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spacing w:line="500" w:lineRule="exact"/>
        <w:contextualSpacing/>
        <w:rPr>
          <w:rFonts w:ascii="宋体" w:hAnsi="宋体" w:cs="宋体"/>
          <w:color w:val="000000" w:themeColor="text1"/>
          <w:sz w:val="24"/>
          <w:szCs w:val="24"/>
          <w14:textFill>
            <w14:solidFill>
              <w14:schemeClr w14:val="tx1"/>
            </w14:solidFill>
          </w14:textFill>
        </w:rPr>
      </w:pPr>
    </w:p>
    <w:p>
      <w:pPr>
        <w:pStyle w:val="4"/>
        <w:bidi w:val="0"/>
        <w:rPr>
          <w:rFonts w:hint="eastAsia" w:ascii="宋体" w:hAnsi="宋体" w:cs="宋体"/>
          <w:color w:val="333333"/>
          <w:shd w:val="clear" w:color="auto" w:fill="FFFFFF"/>
          <w:lang w:val="en-US" w:eastAsia="zh-CN"/>
        </w:rPr>
      </w:pPr>
      <w:bookmarkStart w:id="0" w:name="_Toc2152"/>
      <w:r>
        <w:rPr>
          <w:rFonts w:hint="eastAsia" w:ascii="宋体" w:hAnsi="宋体" w:eastAsia="宋体" w:cs="宋体"/>
          <w:b/>
          <w:kern w:val="2"/>
          <w:sz w:val="52"/>
          <w:szCs w:val="52"/>
          <w:lang w:val="en-US" w:eastAsia="zh-CN" w:bidi="ar-SA"/>
        </w:rPr>
        <w:t>阿克苏职业技术学院美育教育实训中心建设项目</w:t>
      </w:r>
      <w:bookmarkEnd w:id="0"/>
      <w:r>
        <w:rPr>
          <w:rFonts w:hint="eastAsia" w:ascii="宋体" w:hAnsi="宋体" w:cs="宋体"/>
          <w:color w:val="333333"/>
          <w:shd w:val="clear" w:color="auto" w:fill="FFFFFF"/>
          <w:lang w:val="en-US" w:eastAsia="zh-CN"/>
        </w:rPr>
        <w:t xml:space="preserve"> </w:t>
      </w:r>
    </w:p>
    <w:p>
      <w:pPr>
        <w:rPr>
          <w:rFonts w:hint="eastAsia" w:ascii="宋体" w:hAnsi="宋体" w:cs="宋体"/>
          <w:color w:val="333333"/>
          <w:shd w:val="clear" w:color="auto" w:fill="FFFFFF"/>
          <w:lang w:val="en-US" w:eastAsia="zh-CN"/>
        </w:rPr>
      </w:pPr>
    </w:p>
    <w:p>
      <w:pPr>
        <w:pStyle w:val="2"/>
        <w:rPr>
          <w:rFonts w:hint="eastAsia" w:ascii="宋体" w:hAnsi="宋体" w:cs="宋体"/>
          <w:color w:val="333333"/>
          <w:shd w:val="clear" w:color="auto" w:fill="FFFFFF"/>
          <w:lang w:val="en-US" w:eastAsia="zh-CN"/>
        </w:rPr>
      </w:pPr>
    </w:p>
    <w:p>
      <w:pPr>
        <w:rPr>
          <w:rFonts w:hint="eastAsia" w:ascii="宋体" w:hAnsi="宋体" w:cs="宋体"/>
          <w:color w:val="333333"/>
          <w:shd w:val="clear" w:color="auto" w:fill="FFFFFF"/>
          <w:lang w:val="en-US" w:eastAsia="zh-CN"/>
        </w:rPr>
      </w:pPr>
    </w:p>
    <w:p>
      <w:pPr>
        <w:pStyle w:val="2"/>
        <w:rPr>
          <w:rFonts w:hint="eastAsia" w:ascii="宋体" w:hAnsi="宋体" w:cs="宋体"/>
          <w:color w:val="333333"/>
          <w:shd w:val="clear" w:color="auto" w:fill="FFFFFF"/>
          <w:lang w:val="en-US" w:eastAsia="zh-CN"/>
        </w:rPr>
      </w:pPr>
    </w:p>
    <w:p>
      <w:pPr>
        <w:rPr>
          <w:rFonts w:hint="eastAsia" w:ascii="宋体" w:hAnsi="宋体" w:cs="宋体"/>
          <w:color w:val="333333"/>
          <w:shd w:val="clear" w:color="auto" w:fill="FFFFFF"/>
          <w:lang w:val="en-US" w:eastAsia="zh-CN"/>
        </w:rPr>
      </w:pPr>
    </w:p>
    <w:p>
      <w:pPr>
        <w:pStyle w:val="2"/>
        <w:rPr>
          <w:rFonts w:hint="default"/>
          <w:lang w:val="en-US"/>
        </w:rPr>
      </w:pPr>
    </w:p>
    <w:p>
      <w:pPr>
        <w:jc w:val="center"/>
        <w:rPr>
          <w:rFonts w:hint="eastAsia" w:ascii="宋体" w:hAnsi="宋体"/>
          <w:b/>
          <w:color w:val="auto"/>
          <w:sz w:val="72"/>
          <w:szCs w:val="72"/>
        </w:rPr>
      </w:pPr>
      <w:r>
        <w:rPr>
          <w:rFonts w:hint="eastAsia" w:ascii="宋体" w:hAnsi="宋体"/>
          <w:b/>
          <w:color w:val="auto"/>
          <w:sz w:val="72"/>
          <w:szCs w:val="72"/>
        </w:rPr>
        <w:t>招</w:t>
      </w:r>
    </w:p>
    <w:p>
      <w:pPr>
        <w:jc w:val="center"/>
        <w:rPr>
          <w:rFonts w:hint="eastAsia" w:ascii="宋体" w:hAnsi="宋体"/>
          <w:b/>
          <w:color w:val="auto"/>
          <w:sz w:val="72"/>
          <w:szCs w:val="72"/>
        </w:rPr>
      </w:pPr>
      <w:r>
        <w:rPr>
          <w:rFonts w:hint="eastAsia" w:ascii="宋体" w:hAnsi="宋体"/>
          <w:b/>
          <w:color w:val="auto"/>
          <w:sz w:val="72"/>
          <w:szCs w:val="72"/>
        </w:rPr>
        <w:t>标</w:t>
      </w:r>
    </w:p>
    <w:p>
      <w:pPr>
        <w:jc w:val="center"/>
        <w:rPr>
          <w:rFonts w:hint="eastAsia" w:ascii="宋体" w:hAnsi="宋体"/>
          <w:b/>
          <w:color w:val="auto"/>
          <w:sz w:val="72"/>
          <w:szCs w:val="72"/>
        </w:rPr>
      </w:pPr>
      <w:r>
        <w:rPr>
          <w:rFonts w:hint="eastAsia" w:ascii="宋体" w:hAnsi="宋体"/>
          <w:b/>
          <w:color w:val="auto"/>
          <w:sz w:val="72"/>
          <w:szCs w:val="72"/>
        </w:rPr>
        <w:t>文</w:t>
      </w:r>
    </w:p>
    <w:p>
      <w:pPr>
        <w:pStyle w:val="4"/>
        <w:bidi w:val="0"/>
        <w:rPr>
          <w:rFonts w:hint="eastAsia" w:ascii="宋体" w:hAnsi="宋体"/>
          <w:b/>
          <w:color w:val="auto"/>
          <w:sz w:val="72"/>
          <w:szCs w:val="72"/>
        </w:rPr>
      </w:pPr>
      <w:bookmarkStart w:id="1" w:name="_Toc30123"/>
      <w:r>
        <w:rPr>
          <w:rFonts w:hint="eastAsia" w:ascii="宋体" w:hAnsi="宋体"/>
          <w:b/>
          <w:color w:val="auto"/>
          <w:sz w:val="72"/>
          <w:szCs w:val="72"/>
        </w:rPr>
        <w:t>件</w:t>
      </w:r>
      <w:bookmarkEnd w:id="1"/>
    </w:p>
    <w:p>
      <w:pPr>
        <w:rPr>
          <w:rFonts w:hint="eastAsia" w:ascii="宋体" w:hAnsi="宋体"/>
          <w:b/>
          <w:color w:val="auto"/>
          <w:sz w:val="72"/>
          <w:szCs w:val="72"/>
        </w:rPr>
      </w:pPr>
    </w:p>
    <w:p>
      <w:pPr>
        <w:pStyle w:val="47"/>
      </w:pPr>
    </w:p>
    <w:p>
      <w:pPr>
        <w:spacing w:line="500" w:lineRule="exact"/>
        <w:contextualSpacing/>
        <w:rPr>
          <w:rFonts w:ascii="宋体" w:hAnsi="宋体" w:cs="宋体"/>
          <w:b/>
          <w:color w:val="000000" w:themeColor="text1"/>
          <w:sz w:val="24"/>
          <w:szCs w:val="2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ind w:right="0" w:rightChars="0" w:firstLine="1285" w:firstLineChars="400"/>
        <w:jc w:val="left"/>
        <w:textAlignment w:val="auto"/>
        <w:outlineLvl w:val="9"/>
        <w:rPr>
          <w:rFonts w:hint="eastAsia" w:ascii="宋体" w:hAnsi="宋体" w:eastAsia="宋体" w:cs="宋体"/>
          <w:b/>
          <w:sz w:val="32"/>
          <w:szCs w:val="32"/>
          <w:lang w:eastAsia="zh-CN"/>
        </w:rPr>
      </w:pPr>
      <w:bookmarkStart w:id="2" w:name="_Toc25686"/>
      <w:bookmarkStart w:id="3" w:name="_Toc405824236"/>
      <w:bookmarkStart w:id="4" w:name="_Toc406749967"/>
      <w:bookmarkStart w:id="5" w:name="_Toc217446030"/>
      <w:bookmarkStart w:id="6" w:name="_Toc183682338"/>
      <w:r>
        <w:rPr>
          <w:rFonts w:hint="eastAsia" w:ascii="宋体" w:hAnsi="宋体" w:eastAsia="宋体" w:cs="宋体"/>
          <w:b/>
          <w:sz w:val="32"/>
          <w:szCs w:val="32"/>
          <w:lang w:eastAsia="zh-CN"/>
        </w:rPr>
        <w:t>采购</w:t>
      </w:r>
      <w:r>
        <w:rPr>
          <w:rFonts w:hint="eastAsia" w:ascii="宋体" w:hAnsi="宋体" w:eastAsia="宋体" w:cs="宋体"/>
          <w:b/>
          <w:sz w:val="32"/>
          <w:szCs w:val="32"/>
        </w:rPr>
        <w:t>人</w:t>
      </w:r>
      <w:r>
        <w:rPr>
          <w:rFonts w:hint="eastAsia" w:ascii="宋体" w:hAnsi="宋体" w:eastAsia="宋体" w:cs="宋体"/>
          <w:b/>
          <w:sz w:val="32"/>
          <w:szCs w:val="32"/>
          <w:lang w:eastAsia="zh-CN"/>
        </w:rPr>
        <w:t>：</w:t>
      </w:r>
      <w:r>
        <w:rPr>
          <w:rFonts w:hint="eastAsia" w:ascii="宋体" w:hAnsi="宋体" w:eastAsia="宋体" w:cs="宋体"/>
          <w:b/>
          <w:sz w:val="32"/>
          <w:szCs w:val="32"/>
          <w:lang w:val="en-US" w:eastAsia="zh-CN"/>
        </w:rPr>
        <w:t>新疆维吾尔自治区阿克苏职业技术学院</w:t>
      </w:r>
      <w:r>
        <w:rPr>
          <w:rFonts w:hint="eastAsia" w:ascii="宋体" w:hAnsi="宋体" w:eastAsia="宋体" w:cs="宋体"/>
          <w:b/>
          <w:sz w:val="32"/>
          <w:szCs w:val="32"/>
          <w:lang w:eastAsia="zh-CN"/>
        </w:rPr>
        <w:t>　　　</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1285" w:firstLineChars="400"/>
        <w:jc w:val="left"/>
        <w:textAlignment w:val="auto"/>
        <w:outlineLvl w:val="9"/>
        <w:rPr>
          <w:rFonts w:hint="default" w:ascii="宋体" w:hAnsi="宋体" w:eastAsia="宋体" w:cs="宋体"/>
          <w:b/>
          <w:color w:val="auto"/>
          <w:sz w:val="32"/>
          <w:szCs w:val="32"/>
          <w:lang w:val="en-US" w:eastAsia="zh-CN"/>
        </w:rPr>
      </w:pPr>
      <w:r>
        <w:rPr>
          <w:rFonts w:hint="eastAsia" w:ascii="宋体" w:hAnsi="宋体" w:eastAsia="宋体" w:cs="宋体"/>
          <w:b/>
          <w:color w:val="auto"/>
          <w:sz w:val="32"/>
          <w:szCs w:val="32"/>
          <w:lang w:eastAsia="zh-CN"/>
        </w:rPr>
        <w:t>项目编号：</w:t>
      </w:r>
      <w:r>
        <w:rPr>
          <w:rFonts w:hint="eastAsia" w:ascii="宋体" w:hAnsi="宋体" w:cs="宋体"/>
          <w:b/>
          <w:color w:val="auto"/>
          <w:sz w:val="32"/>
          <w:szCs w:val="32"/>
          <w:lang w:val="en-US" w:eastAsia="zh-CN"/>
        </w:rPr>
        <w:t>分2022-01-96</w:t>
      </w:r>
      <w:r>
        <w:rPr>
          <w:rFonts w:hint="eastAsia" w:ascii="宋体" w:hAnsi="宋体" w:eastAsia="宋体" w:cs="宋体"/>
          <w:b/>
          <w:color w:val="auto"/>
          <w:sz w:val="32"/>
          <w:szCs w:val="32"/>
          <w:lang w:val="en-US" w:eastAsia="zh-CN"/>
        </w:rPr>
        <w:t xml:space="preserve"> </w:t>
      </w:r>
    </w:p>
    <w:p>
      <w:pPr>
        <w:spacing w:line="600" w:lineRule="exact"/>
        <w:ind w:firstLine="1285" w:firstLineChars="400"/>
        <w:jc w:val="left"/>
        <w:rPr>
          <w:rFonts w:hint="eastAsia" w:ascii="宋体" w:hAnsi="宋体" w:cs="宋体"/>
          <w:sz w:val="28"/>
          <w:szCs w:val="28"/>
        </w:rPr>
      </w:pPr>
      <w:r>
        <w:rPr>
          <w:rFonts w:hint="eastAsia" w:ascii="宋体" w:hAnsi="宋体" w:eastAsia="宋体" w:cs="宋体"/>
          <w:b/>
          <w:sz w:val="32"/>
          <w:szCs w:val="32"/>
          <w:lang w:eastAsia="zh-CN"/>
        </w:rPr>
        <w:t>采购代理机构：新疆领会项目管理有限公司</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宋体" w:hAnsi="宋体" w:eastAsia="宋体" w:cs="宋体"/>
          <w:b/>
          <w:sz w:val="32"/>
          <w:szCs w:val="32"/>
        </w:rPr>
      </w:pPr>
      <w:r>
        <w:rPr>
          <w:rFonts w:hint="eastAsia" w:ascii="宋体" w:hAnsi="宋体" w:eastAsia="宋体" w:cs="宋体"/>
          <w:b/>
          <w:sz w:val="32"/>
          <w:szCs w:val="32"/>
        </w:rPr>
        <w:t>二Ｏ</w:t>
      </w:r>
      <w:r>
        <w:rPr>
          <w:rFonts w:hint="eastAsia" w:ascii="宋体" w:hAnsi="宋体" w:eastAsia="宋体" w:cs="宋体"/>
          <w:b/>
          <w:sz w:val="32"/>
          <w:szCs w:val="32"/>
          <w:lang w:eastAsia="zh-CN"/>
        </w:rPr>
        <w:t>二二</w:t>
      </w:r>
      <w:r>
        <w:rPr>
          <w:rFonts w:hint="eastAsia" w:ascii="宋体" w:hAnsi="宋体" w:eastAsia="宋体" w:cs="宋体"/>
          <w:b/>
          <w:sz w:val="32"/>
          <w:szCs w:val="32"/>
        </w:rPr>
        <w:t>年</w:t>
      </w:r>
      <w:r>
        <w:rPr>
          <w:rFonts w:hint="eastAsia" w:ascii="宋体" w:hAnsi="宋体" w:eastAsia="宋体" w:cs="宋体"/>
          <w:b/>
          <w:sz w:val="32"/>
          <w:szCs w:val="32"/>
          <w:lang w:val="en-US" w:eastAsia="zh-CN"/>
        </w:rPr>
        <w:t>四</w:t>
      </w:r>
      <w:r>
        <w:rPr>
          <w:rFonts w:hint="eastAsia" w:ascii="宋体" w:hAnsi="宋体" w:eastAsia="宋体" w:cs="宋体"/>
          <w:b/>
          <w:sz w:val="32"/>
          <w:szCs w:val="32"/>
        </w:rPr>
        <w:t>月</w:t>
      </w:r>
    </w:p>
    <w:p>
      <w:pPr>
        <w:ind w:left="0" w:leftChars="0" w:right="0" w:rightChars="0" w:firstLine="0" w:firstLineChars="0"/>
        <w:jc w:val="center"/>
        <w:rPr>
          <w:rFonts w:hint="eastAsia" w:ascii="宋体" w:hAnsi="宋体" w:cs="宋体"/>
          <w:b/>
          <w:color w:val="auto"/>
          <w:sz w:val="40"/>
          <w:szCs w:val="20"/>
          <w:highlight w:val="none"/>
          <w:lang w:eastAsia="zh-CN"/>
        </w:rPr>
        <w:sectPr>
          <w:headerReference r:id="rId3" w:type="default"/>
          <w:pgSz w:w="11906" w:h="16838"/>
          <w:pgMar w:top="1418" w:right="1418" w:bottom="1418" w:left="1418" w:header="851" w:footer="992" w:gutter="0"/>
          <w:pgNumType w:start="1"/>
          <w:cols w:space="720" w:num="1"/>
          <w:docGrid w:type="lines" w:linePitch="312" w:charSpace="0"/>
        </w:sectPr>
      </w:pPr>
    </w:p>
    <w:p>
      <w:pPr>
        <w:spacing w:line="600" w:lineRule="exact"/>
        <w:jc w:val="center"/>
        <w:rPr>
          <w:rFonts w:hint="eastAsia" w:ascii="宋体" w:hAnsi="宋体"/>
          <w:b/>
          <w:color w:val="auto"/>
          <w:sz w:val="52"/>
          <w:szCs w:val="52"/>
        </w:rPr>
      </w:pPr>
      <w:r>
        <w:rPr>
          <w:rFonts w:hint="eastAsia" w:ascii="宋体" w:hAnsi="宋体" w:cs="宋体"/>
          <w:b/>
          <w:color w:val="000000" w:themeColor="text1"/>
          <w:sz w:val="24"/>
          <w:szCs w:val="24"/>
          <w14:textFill>
            <w14:solidFill>
              <w14:schemeClr w14:val="tx1"/>
            </w14:solidFill>
          </w14:textFill>
        </w:rPr>
        <w:br w:type="page"/>
      </w:r>
      <w:r>
        <w:rPr>
          <w:rFonts w:hint="eastAsia" w:ascii="宋体" w:hAnsi="宋体"/>
          <w:b/>
          <w:color w:val="auto"/>
          <w:sz w:val="52"/>
          <w:szCs w:val="52"/>
        </w:rPr>
        <w:t>招标文件</w:t>
      </w:r>
    </w:p>
    <w:p>
      <w:pPr>
        <w:spacing w:line="600" w:lineRule="exact"/>
        <w:jc w:val="left"/>
        <w:rPr>
          <w:rFonts w:ascii="宋体" w:hAnsi="宋体"/>
          <w:b/>
          <w:color w:val="auto"/>
          <w:sz w:val="32"/>
          <w:szCs w:val="32"/>
        </w:rPr>
      </w:pPr>
    </w:p>
    <w:p>
      <w:pPr>
        <w:spacing w:line="600" w:lineRule="exact"/>
        <w:ind w:firstLine="151" w:firstLineChars="50"/>
        <w:jc w:val="left"/>
        <w:rPr>
          <w:rFonts w:hint="eastAsia" w:ascii="宋体" w:hAnsi="宋体"/>
          <w:b/>
          <w:color w:val="auto"/>
          <w:sz w:val="30"/>
          <w:szCs w:val="30"/>
          <w:lang w:val="en-US" w:eastAsia="zh-CN"/>
        </w:rPr>
      </w:pPr>
    </w:p>
    <w:p>
      <w:pPr>
        <w:spacing w:line="600" w:lineRule="exact"/>
        <w:ind w:left="2413" w:leftChars="337" w:hanging="1705" w:hangingChars="609"/>
        <w:jc w:val="left"/>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eastAsia="zh-CN"/>
        </w:rPr>
        <w:t>项目名称：</w:t>
      </w:r>
      <w:r>
        <w:rPr>
          <w:rFonts w:hint="eastAsia" w:ascii="宋体" w:hAnsi="宋体" w:eastAsia="宋体" w:cs="宋体"/>
          <w:color w:val="auto"/>
          <w:sz w:val="28"/>
          <w:szCs w:val="28"/>
          <w:highlight w:val="none"/>
          <w:lang w:val="en-US" w:eastAsia="zh-CN"/>
        </w:rPr>
        <w:t>阿克苏职业技术学院美育教育实训中心建设项目</w:t>
      </w:r>
    </w:p>
    <w:p>
      <w:pPr>
        <w:spacing w:line="600" w:lineRule="exact"/>
        <w:ind w:left="2413" w:leftChars="337" w:hanging="1705" w:hangingChars="609"/>
        <w:jc w:val="left"/>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采购人（公章）：</w:t>
      </w:r>
      <w:r>
        <w:rPr>
          <w:rFonts w:hint="eastAsia" w:ascii="宋体" w:hAnsi="宋体" w:eastAsia="宋体" w:cs="宋体"/>
          <w:color w:val="auto"/>
          <w:sz w:val="28"/>
          <w:szCs w:val="28"/>
          <w:highlight w:val="none"/>
          <w:lang w:val="en-US" w:eastAsia="zh-CN"/>
        </w:rPr>
        <w:t>新疆维吾尔自治区阿克苏职业技术学院</w:t>
      </w:r>
    </w:p>
    <w:p>
      <w:pPr>
        <w:spacing w:line="600" w:lineRule="exact"/>
        <w:ind w:left="2413" w:leftChars="337" w:hanging="1705" w:hangingChars="609"/>
        <w:jc w:val="left"/>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法定代表人（签字或盖章）：</w:t>
      </w:r>
    </w:p>
    <w:p>
      <w:pPr>
        <w:spacing w:line="600" w:lineRule="exact"/>
        <w:ind w:left="2413" w:leftChars="337" w:hanging="1705" w:hangingChars="609"/>
        <w:jc w:val="left"/>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联系人：</w:t>
      </w:r>
      <w:r>
        <w:rPr>
          <w:rFonts w:hint="eastAsia" w:ascii="宋体" w:hAnsi="宋体" w:eastAsia="宋体" w:cs="宋体"/>
          <w:color w:val="auto"/>
          <w:sz w:val="28"/>
          <w:szCs w:val="28"/>
          <w:highlight w:val="none"/>
          <w:lang w:val="en-US" w:eastAsia="zh-CN"/>
        </w:rPr>
        <w:t>李洋</w:t>
      </w:r>
      <w:r>
        <w:rPr>
          <w:rFonts w:hint="eastAsia" w:ascii="宋体" w:hAnsi="宋体" w:eastAsia="宋体" w:cs="宋体"/>
          <w:color w:val="auto"/>
          <w:sz w:val="28"/>
          <w:szCs w:val="28"/>
          <w:highlight w:val="none"/>
          <w:lang w:eastAsia="zh-CN"/>
        </w:rPr>
        <w:t xml:space="preserve">          </w:t>
      </w:r>
    </w:p>
    <w:p>
      <w:pPr>
        <w:spacing w:line="600" w:lineRule="exact"/>
        <w:ind w:left="2413" w:leftChars="337" w:hanging="1705" w:hangingChars="609"/>
        <w:jc w:val="left"/>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联系方式：18609975881</w:t>
      </w:r>
    </w:p>
    <w:p>
      <w:pPr>
        <w:spacing w:line="600" w:lineRule="exact"/>
        <w:ind w:left="2413" w:leftChars="337" w:hanging="1705" w:hangingChars="609"/>
        <w:jc w:val="left"/>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地    址：</w:t>
      </w:r>
      <w:r>
        <w:rPr>
          <w:rFonts w:hint="eastAsia" w:ascii="宋体" w:hAnsi="宋体" w:eastAsia="宋体" w:cs="宋体"/>
          <w:color w:val="auto"/>
          <w:sz w:val="28"/>
          <w:szCs w:val="28"/>
          <w:highlight w:val="none"/>
          <w:lang w:val="en-US" w:eastAsia="zh-CN"/>
        </w:rPr>
        <w:t xml:space="preserve">阿克苏地区温宿县温宿镇学府路 41号  </w:t>
      </w:r>
    </w:p>
    <w:p>
      <w:pPr>
        <w:spacing w:line="600" w:lineRule="exact"/>
        <w:ind w:left="2413" w:leftChars="337" w:hanging="1705" w:hangingChars="609"/>
        <w:jc w:val="left"/>
        <w:rPr>
          <w:rFonts w:hint="default" w:ascii="宋体" w:hAnsi="宋体" w:eastAsia="宋体" w:cs="宋体"/>
          <w:color w:val="auto"/>
          <w:sz w:val="28"/>
          <w:szCs w:val="28"/>
          <w:highlight w:val="none"/>
          <w:lang w:val="en-US" w:eastAsia="zh-CN"/>
        </w:rPr>
      </w:pPr>
    </w:p>
    <w:p>
      <w:pPr>
        <w:rPr>
          <w:rFonts w:hint="eastAsia" w:ascii="宋体" w:hAnsi="宋体" w:eastAsia="宋体" w:cs="宋体"/>
          <w:color w:val="auto"/>
          <w:sz w:val="28"/>
          <w:szCs w:val="28"/>
          <w:highlight w:val="none"/>
        </w:rPr>
      </w:pPr>
    </w:p>
    <w:p>
      <w:pPr>
        <w:rPr>
          <w:rFonts w:hint="eastAsia"/>
        </w:rPr>
      </w:pPr>
    </w:p>
    <w:p>
      <w:pPr>
        <w:pStyle w:val="47"/>
        <w:rPr>
          <w:rFonts w:hint="eastAsia"/>
        </w:rPr>
      </w:pPr>
    </w:p>
    <w:p>
      <w:pPr>
        <w:pStyle w:val="47"/>
        <w:rPr>
          <w:rFonts w:hint="eastAsia"/>
        </w:rPr>
      </w:pPr>
    </w:p>
    <w:p>
      <w:pPr>
        <w:pStyle w:val="47"/>
        <w:rPr>
          <w:rFonts w:hint="eastAsia"/>
        </w:rPr>
      </w:pPr>
    </w:p>
    <w:p>
      <w:pPr>
        <w:pStyle w:val="47"/>
        <w:rPr>
          <w:rFonts w:hint="eastAsia"/>
        </w:rPr>
      </w:pPr>
    </w:p>
    <w:p>
      <w:pPr>
        <w:spacing w:line="600" w:lineRule="exact"/>
        <w:ind w:left="2413" w:leftChars="337" w:hanging="1705" w:hangingChars="609"/>
        <w:jc w:val="left"/>
        <w:rPr>
          <w:rFonts w:hint="eastAsia" w:ascii="宋体" w:hAnsi="宋体" w:eastAsia="宋体" w:cs="宋体"/>
          <w:color w:val="auto"/>
          <w:sz w:val="28"/>
          <w:szCs w:val="28"/>
          <w:highlight w:val="none"/>
          <w:lang w:eastAsia="zh-CN"/>
        </w:rPr>
      </w:pPr>
    </w:p>
    <w:p>
      <w:pPr>
        <w:spacing w:line="600" w:lineRule="exact"/>
        <w:ind w:left="2413" w:leftChars="337" w:hanging="1705" w:hangingChars="609"/>
        <w:jc w:val="left"/>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采购代理机构（公章）：新疆领会项目管理有限公司</w:t>
      </w:r>
    </w:p>
    <w:p>
      <w:pPr>
        <w:spacing w:line="600" w:lineRule="exact"/>
        <w:ind w:left="2413" w:leftChars="337" w:hanging="1705" w:hangingChars="609"/>
        <w:jc w:val="left"/>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法定代表人（签字或盖章）：</w:t>
      </w:r>
    </w:p>
    <w:p>
      <w:pPr>
        <w:spacing w:line="600" w:lineRule="exact"/>
        <w:ind w:left="2413" w:leftChars="337" w:hanging="1705" w:hangingChars="609"/>
        <w:jc w:val="left"/>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联系人：杜亚兰</w:t>
      </w:r>
    </w:p>
    <w:p>
      <w:pPr>
        <w:spacing w:line="600" w:lineRule="exact"/>
        <w:ind w:left="2413" w:leftChars="337" w:hanging="1705" w:hangingChars="609"/>
        <w:jc w:val="left"/>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联系电话：15886809969</w:t>
      </w:r>
    </w:p>
    <w:p>
      <w:pPr>
        <w:spacing w:line="600" w:lineRule="exact"/>
        <w:ind w:left="2413" w:leftChars="337" w:hanging="1705" w:hangingChars="609"/>
        <w:jc w:val="left"/>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联系地址：阿克苏市友谊北路天山美玉城16栋004号</w:t>
      </w:r>
    </w:p>
    <w:p>
      <w:pPr>
        <w:jc w:val="left"/>
        <w:rPr>
          <w:rFonts w:hint="eastAsia" w:ascii="宋体" w:hAnsi="宋体" w:eastAsia="宋体" w:cs="宋体"/>
          <w:color w:val="auto"/>
          <w:sz w:val="28"/>
          <w:szCs w:val="28"/>
          <w:highlight w:val="none"/>
        </w:rPr>
      </w:pPr>
    </w:p>
    <w:p>
      <w:pPr>
        <w:pStyle w:val="47"/>
        <w:jc w:val="left"/>
        <w:rPr>
          <w:rFonts w:hint="eastAsia" w:ascii="宋体" w:hAnsi="宋体" w:eastAsia="宋体" w:cs="宋体"/>
        </w:rPr>
      </w:pPr>
    </w:p>
    <w:p>
      <w:pPr>
        <w:jc w:val="left"/>
        <w:rPr>
          <w:rFonts w:hint="eastAsia" w:ascii="宋体" w:hAnsi="宋体" w:eastAsia="宋体" w:cs="宋体"/>
          <w:b w:val="0"/>
          <w:bCs/>
          <w:color w:val="auto"/>
          <w:sz w:val="28"/>
          <w:szCs w:val="28"/>
          <w:highlight w:val="none"/>
          <w:lang w:val="en-US" w:eastAsia="zh-CN"/>
        </w:rPr>
      </w:pPr>
      <w:r>
        <w:rPr>
          <w:rFonts w:hint="eastAsia" w:ascii="宋体" w:hAnsi="宋体" w:eastAsia="宋体" w:cs="宋体"/>
          <w:b w:val="0"/>
          <w:bCs/>
          <w:color w:val="auto"/>
          <w:sz w:val="28"/>
          <w:szCs w:val="28"/>
          <w:highlight w:val="none"/>
          <w:lang w:val="en-US" w:eastAsia="zh-CN"/>
        </w:rPr>
        <w:t xml:space="preserve">     </w:t>
      </w:r>
    </w:p>
    <w:p>
      <w:pPr>
        <w:jc w:val="left"/>
        <w:rPr>
          <w:rFonts w:hint="eastAsia" w:ascii="宋体" w:hAnsi="宋体" w:eastAsia="宋体" w:cs="宋体"/>
          <w:b w:val="0"/>
          <w:bCs/>
          <w:color w:val="auto"/>
          <w:sz w:val="28"/>
          <w:szCs w:val="28"/>
          <w:highlight w:val="none"/>
          <w:lang w:eastAsia="zh-CN"/>
        </w:rPr>
      </w:pPr>
    </w:p>
    <w:p>
      <w:pPr>
        <w:jc w:val="center"/>
        <w:rPr>
          <w:rFonts w:hint="eastAsia" w:ascii="宋体" w:hAnsi="宋体" w:eastAsia="宋体" w:cs="宋体"/>
          <w:b w:val="0"/>
          <w:bCs/>
          <w:color w:val="auto"/>
          <w:sz w:val="28"/>
          <w:szCs w:val="28"/>
          <w:highlight w:val="none"/>
        </w:rPr>
      </w:pPr>
      <w:r>
        <w:rPr>
          <w:rFonts w:hint="eastAsia" w:ascii="宋体" w:hAnsi="宋体" w:eastAsia="宋体" w:cs="宋体"/>
          <w:b w:val="0"/>
          <w:bCs/>
          <w:color w:val="auto"/>
          <w:sz w:val="28"/>
          <w:szCs w:val="28"/>
          <w:highlight w:val="none"/>
        </w:rPr>
        <w:t>20</w:t>
      </w:r>
      <w:r>
        <w:rPr>
          <w:rFonts w:hint="eastAsia" w:ascii="宋体" w:hAnsi="宋体" w:eastAsia="宋体" w:cs="宋体"/>
          <w:b w:val="0"/>
          <w:bCs/>
          <w:color w:val="auto"/>
          <w:sz w:val="28"/>
          <w:szCs w:val="28"/>
          <w:highlight w:val="none"/>
          <w:lang w:val="en-US" w:eastAsia="zh-CN"/>
        </w:rPr>
        <w:t>22</w:t>
      </w:r>
      <w:r>
        <w:rPr>
          <w:rFonts w:hint="eastAsia" w:ascii="宋体" w:hAnsi="宋体" w:eastAsia="宋体" w:cs="宋体"/>
          <w:b w:val="0"/>
          <w:bCs/>
          <w:color w:val="auto"/>
          <w:sz w:val="28"/>
          <w:szCs w:val="28"/>
          <w:highlight w:val="none"/>
        </w:rPr>
        <w:t>年</w:t>
      </w:r>
      <w:r>
        <w:rPr>
          <w:rFonts w:hint="eastAsia" w:ascii="宋体" w:hAnsi="宋体" w:eastAsia="宋体" w:cs="宋体"/>
          <w:b w:val="0"/>
          <w:bCs/>
          <w:color w:val="auto"/>
          <w:sz w:val="28"/>
          <w:szCs w:val="28"/>
          <w:highlight w:val="none"/>
          <w:lang w:val="en-US" w:eastAsia="zh-CN"/>
        </w:rPr>
        <w:t>4</w:t>
      </w:r>
      <w:r>
        <w:rPr>
          <w:rFonts w:hint="eastAsia" w:ascii="宋体" w:hAnsi="宋体" w:eastAsia="宋体" w:cs="宋体"/>
          <w:b w:val="0"/>
          <w:bCs/>
          <w:color w:val="auto"/>
          <w:sz w:val="28"/>
          <w:szCs w:val="28"/>
          <w:highlight w:val="none"/>
        </w:rPr>
        <w:t>月</w:t>
      </w:r>
    </w:p>
    <w:p>
      <w:pPr>
        <w:jc w:val="center"/>
        <w:rPr>
          <w:rFonts w:hint="eastAsia" w:ascii="宋体" w:hAnsi="宋体"/>
          <w:b/>
          <w:bCs/>
          <w:color w:val="auto"/>
          <w:sz w:val="30"/>
          <w:szCs w:val="30"/>
        </w:rPr>
      </w:pPr>
    </w:p>
    <w:p>
      <w:pPr>
        <w:spacing w:line="500" w:lineRule="exact"/>
        <w:rPr>
          <w:rFonts w:ascii="宋体" w:hAnsi="宋体" w:cs="宋体"/>
          <w:b/>
          <w:color w:val="000000" w:themeColor="text1"/>
          <w:sz w:val="24"/>
          <w:szCs w:val="24"/>
          <w14:textFill>
            <w14:solidFill>
              <w14:schemeClr w14:val="tx1"/>
            </w14:solidFill>
          </w14:textFill>
        </w:rPr>
      </w:pPr>
    </w:p>
    <w:p>
      <w:pPr>
        <w:spacing w:line="500" w:lineRule="exact"/>
        <w:contextualSpacing/>
        <w:jc w:val="center"/>
        <w:rPr>
          <w:rFonts w:hint="eastAsia" w:ascii="宋体" w:hAnsi="宋体" w:cs="宋体"/>
          <w:b/>
          <w:color w:val="000000" w:themeColor="text1"/>
          <w:sz w:val="24"/>
          <w:szCs w:val="24"/>
          <w14:textFill>
            <w14:solidFill>
              <w14:schemeClr w14:val="tx1"/>
            </w14:solidFill>
          </w14:textFill>
        </w:rPr>
      </w:pPr>
    </w:p>
    <w:p>
      <w:pPr>
        <w:spacing w:line="500" w:lineRule="exact"/>
        <w:contextualSpacing/>
        <w:jc w:val="center"/>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 xml:space="preserve"> 目录</w:t>
      </w:r>
      <w:bookmarkEnd w:id="2"/>
      <w:bookmarkEnd w:id="3"/>
      <w:bookmarkEnd w:id="4"/>
    </w:p>
    <w:p>
      <w:pPr>
        <w:pStyle w:val="28"/>
        <w:tabs>
          <w:tab w:val="right" w:leader="dot" w:pos="9639"/>
        </w:tabs>
      </w:pPr>
      <w:r>
        <w:rPr>
          <w:rFonts w:hint="eastAsia" w:ascii="宋体" w:hAnsi="宋体" w:cs="宋体"/>
          <w:color w:val="000000" w:themeColor="text1"/>
          <w:sz w:val="24"/>
          <w:szCs w:val="24"/>
          <w14:textFill>
            <w14:solidFill>
              <w14:schemeClr w14:val="tx1"/>
            </w14:solidFill>
          </w14:textFill>
        </w:rPr>
        <w:fldChar w:fldCharType="begin"/>
      </w:r>
      <w:r>
        <w:rPr>
          <w:rFonts w:hint="eastAsia" w:ascii="宋体" w:hAnsi="宋体" w:cs="宋体"/>
          <w:color w:val="000000" w:themeColor="text1"/>
          <w:sz w:val="24"/>
          <w:szCs w:val="24"/>
          <w14:textFill>
            <w14:solidFill>
              <w14:schemeClr w14:val="tx1"/>
            </w14:solidFill>
          </w14:textFill>
        </w:rPr>
        <w:instrText xml:space="preserve"> TOC \o "1-3" \h \z \u </w:instrText>
      </w:r>
      <w:r>
        <w:rPr>
          <w:rFonts w:hint="eastAsia" w:ascii="宋体" w:hAnsi="宋体" w:cs="宋体"/>
          <w:color w:val="000000" w:themeColor="text1"/>
          <w:sz w:val="24"/>
          <w:szCs w:val="24"/>
          <w14:textFill>
            <w14:solidFill>
              <w14:schemeClr w14:val="tx1"/>
            </w14:solidFill>
          </w14:textFill>
        </w:rPr>
        <w:fldChar w:fldCharType="separate"/>
      </w:r>
    </w:p>
    <w:p>
      <w:pPr>
        <w:pStyle w:val="32"/>
        <w:tabs>
          <w:tab w:val="right" w:leader="dot" w:pos="9639"/>
        </w:tabs>
      </w:pPr>
      <w:r>
        <w:rPr>
          <w:rFonts w:hint="eastAsia" w:ascii="宋体" w:hAnsi="宋体" w:cs="宋体"/>
          <w:color w:val="000000" w:themeColor="text1"/>
          <w:szCs w:val="24"/>
          <w14:textFill>
            <w14:solidFill>
              <w14:schemeClr w14:val="tx1"/>
            </w14:solidFill>
          </w14:textFill>
        </w:rPr>
        <w:fldChar w:fldCharType="begin"/>
      </w:r>
      <w:r>
        <w:rPr>
          <w:rFonts w:hint="eastAsia" w:ascii="宋体" w:hAnsi="宋体" w:cs="宋体"/>
          <w:szCs w:val="24"/>
        </w:rPr>
        <w:instrText xml:space="preserve"> HYPERLINK \l _Toc27123 </w:instrText>
      </w:r>
      <w:r>
        <w:rPr>
          <w:rFonts w:hint="eastAsia" w:ascii="宋体" w:hAnsi="宋体" w:cs="宋体"/>
          <w:szCs w:val="24"/>
        </w:rPr>
        <w:fldChar w:fldCharType="separate"/>
      </w:r>
      <w:r>
        <w:rPr>
          <w:rFonts w:hint="eastAsia" w:ascii="宋体" w:hAnsi="宋体" w:cs="宋体"/>
          <w:szCs w:val="24"/>
        </w:rPr>
        <w:t>投标人须知前附表</w:t>
      </w:r>
      <w:r>
        <w:tab/>
      </w:r>
      <w:r>
        <w:fldChar w:fldCharType="begin"/>
      </w:r>
      <w:r>
        <w:instrText xml:space="preserve"> PAGEREF _Toc27123 \h </w:instrText>
      </w:r>
      <w:r>
        <w:fldChar w:fldCharType="separate"/>
      </w:r>
      <w:r>
        <w:t>8</w:t>
      </w:r>
      <w:r>
        <w:fldChar w:fldCharType="end"/>
      </w:r>
      <w:r>
        <w:rPr>
          <w:rFonts w:hint="eastAsia" w:ascii="宋体" w:hAnsi="宋体" w:cs="宋体"/>
          <w:color w:val="000000" w:themeColor="text1"/>
          <w:szCs w:val="24"/>
          <w14:textFill>
            <w14:solidFill>
              <w14:schemeClr w14:val="tx1"/>
            </w14:solidFill>
          </w14:textFill>
        </w:rPr>
        <w:fldChar w:fldCharType="end"/>
      </w:r>
    </w:p>
    <w:p>
      <w:pPr>
        <w:pStyle w:val="20"/>
        <w:tabs>
          <w:tab w:val="right" w:leader="dot" w:pos="9639"/>
        </w:tabs>
        <w:ind w:left="0" w:leftChars="0" w:firstLine="200" w:firstLineChars="100"/>
      </w:pPr>
      <w:r>
        <w:rPr>
          <w:rFonts w:hint="eastAsia" w:ascii="宋体" w:hAnsi="宋体" w:cs="宋体"/>
          <w:color w:val="000000" w:themeColor="text1"/>
          <w:szCs w:val="24"/>
          <w14:textFill>
            <w14:solidFill>
              <w14:schemeClr w14:val="tx1"/>
            </w14:solidFill>
          </w14:textFill>
        </w:rPr>
        <w:fldChar w:fldCharType="begin"/>
      </w:r>
      <w:r>
        <w:rPr>
          <w:rFonts w:hint="eastAsia" w:ascii="宋体" w:hAnsi="宋体" w:cs="宋体"/>
          <w:szCs w:val="24"/>
        </w:rPr>
        <w:instrText xml:space="preserve"> HYPERLINK \l _Toc8406 </w:instrText>
      </w:r>
      <w:r>
        <w:rPr>
          <w:rFonts w:hint="eastAsia" w:ascii="宋体" w:hAnsi="宋体" w:cs="宋体"/>
          <w:szCs w:val="24"/>
        </w:rPr>
        <w:fldChar w:fldCharType="separate"/>
      </w:r>
      <w:r>
        <w:rPr>
          <w:rFonts w:hint="eastAsia" w:ascii="宋体" w:hAnsi="宋体" w:cs="宋体"/>
          <w:szCs w:val="24"/>
        </w:rPr>
        <w:t>一、总则</w:t>
      </w:r>
      <w:r>
        <w:tab/>
      </w:r>
      <w:r>
        <w:fldChar w:fldCharType="begin"/>
      </w:r>
      <w:r>
        <w:instrText xml:space="preserve"> PAGEREF _Toc8406 \h </w:instrText>
      </w:r>
      <w:r>
        <w:fldChar w:fldCharType="separate"/>
      </w:r>
      <w:r>
        <w:t>13</w:t>
      </w:r>
      <w:r>
        <w:fldChar w:fldCharType="end"/>
      </w:r>
      <w:r>
        <w:rPr>
          <w:rFonts w:hint="eastAsia" w:ascii="宋体" w:hAnsi="宋体" w:cs="宋体"/>
          <w:color w:val="000000" w:themeColor="text1"/>
          <w:szCs w:val="24"/>
          <w14:textFill>
            <w14:solidFill>
              <w14:schemeClr w14:val="tx1"/>
            </w14:solidFill>
          </w14:textFill>
        </w:rPr>
        <w:fldChar w:fldCharType="end"/>
      </w:r>
    </w:p>
    <w:p>
      <w:pPr>
        <w:pStyle w:val="32"/>
        <w:tabs>
          <w:tab w:val="right" w:leader="dot" w:pos="9639"/>
        </w:tabs>
      </w:pPr>
      <w:r>
        <w:rPr>
          <w:rFonts w:hint="eastAsia" w:ascii="宋体" w:hAnsi="宋体" w:cs="宋体"/>
          <w:color w:val="000000" w:themeColor="text1"/>
          <w:szCs w:val="24"/>
          <w14:textFill>
            <w14:solidFill>
              <w14:schemeClr w14:val="tx1"/>
            </w14:solidFill>
          </w14:textFill>
        </w:rPr>
        <w:fldChar w:fldCharType="begin"/>
      </w:r>
      <w:r>
        <w:rPr>
          <w:rFonts w:hint="eastAsia" w:ascii="宋体" w:hAnsi="宋体" w:cs="宋体"/>
          <w:szCs w:val="24"/>
        </w:rPr>
        <w:instrText xml:space="preserve"> HYPERLINK \l _Toc10535 </w:instrText>
      </w:r>
      <w:r>
        <w:rPr>
          <w:rFonts w:hint="eastAsia" w:ascii="宋体" w:hAnsi="宋体" w:cs="宋体"/>
          <w:szCs w:val="24"/>
        </w:rPr>
        <w:fldChar w:fldCharType="separate"/>
      </w:r>
      <w:r>
        <w:rPr>
          <w:rFonts w:hint="eastAsia" w:ascii="宋体" w:hAnsi="宋体" w:cs="宋体"/>
          <w:szCs w:val="24"/>
        </w:rPr>
        <w:t>二、招标文件</w:t>
      </w:r>
      <w:r>
        <w:tab/>
      </w:r>
      <w:r>
        <w:fldChar w:fldCharType="begin"/>
      </w:r>
      <w:r>
        <w:instrText xml:space="preserve"> PAGEREF _Toc10535 \h </w:instrText>
      </w:r>
      <w:r>
        <w:fldChar w:fldCharType="separate"/>
      </w:r>
      <w:r>
        <w:t>14</w:t>
      </w:r>
      <w:r>
        <w:fldChar w:fldCharType="end"/>
      </w:r>
      <w:r>
        <w:rPr>
          <w:rFonts w:hint="eastAsia" w:ascii="宋体" w:hAnsi="宋体" w:cs="宋体"/>
          <w:color w:val="000000" w:themeColor="text1"/>
          <w:szCs w:val="24"/>
          <w14:textFill>
            <w14:solidFill>
              <w14:schemeClr w14:val="tx1"/>
            </w14:solidFill>
          </w14:textFill>
        </w:rPr>
        <w:fldChar w:fldCharType="end"/>
      </w:r>
    </w:p>
    <w:p>
      <w:pPr>
        <w:pStyle w:val="32"/>
        <w:tabs>
          <w:tab w:val="right" w:leader="dot" w:pos="9639"/>
        </w:tabs>
      </w:pPr>
      <w:r>
        <w:rPr>
          <w:rFonts w:hint="eastAsia" w:ascii="宋体" w:hAnsi="宋体" w:cs="宋体"/>
          <w:color w:val="000000" w:themeColor="text1"/>
          <w:szCs w:val="24"/>
          <w14:textFill>
            <w14:solidFill>
              <w14:schemeClr w14:val="tx1"/>
            </w14:solidFill>
          </w14:textFill>
        </w:rPr>
        <w:fldChar w:fldCharType="begin"/>
      </w:r>
      <w:r>
        <w:rPr>
          <w:rFonts w:hint="eastAsia" w:ascii="宋体" w:hAnsi="宋体" w:cs="宋体"/>
          <w:szCs w:val="24"/>
        </w:rPr>
        <w:instrText xml:space="preserve"> HYPERLINK \l _Toc4275 </w:instrText>
      </w:r>
      <w:r>
        <w:rPr>
          <w:rFonts w:hint="eastAsia" w:ascii="宋体" w:hAnsi="宋体" w:cs="宋体"/>
          <w:szCs w:val="24"/>
        </w:rPr>
        <w:fldChar w:fldCharType="separate"/>
      </w:r>
      <w:r>
        <w:rPr>
          <w:rFonts w:hint="eastAsia" w:ascii="宋体" w:hAnsi="宋体" w:cs="宋体"/>
          <w:szCs w:val="24"/>
        </w:rPr>
        <w:t>三、投标文件</w:t>
      </w:r>
      <w:r>
        <w:tab/>
      </w:r>
      <w:r>
        <w:fldChar w:fldCharType="begin"/>
      </w:r>
      <w:r>
        <w:instrText xml:space="preserve"> PAGEREF _Toc4275 \h </w:instrText>
      </w:r>
      <w:r>
        <w:fldChar w:fldCharType="separate"/>
      </w:r>
      <w:r>
        <w:t>15</w:t>
      </w:r>
      <w:r>
        <w:fldChar w:fldCharType="end"/>
      </w:r>
      <w:r>
        <w:rPr>
          <w:rFonts w:hint="eastAsia" w:ascii="宋体" w:hAnsi="宋体" w:cs="宋体"/>
          <w:color w:val="000000" w:themeColor="text1"/>
          <w:szCs w:val="24"/>
          <w14:textFill>
            <w14:solidFill>
              <w14:schemeClr w14:val="tx1"/>
            </w14:solidFill>
          </w14:textFill>
        </w:rPr>
        <w:fldChar w:fldCharType="end"/>
      </w:r>
    </w:p>
    <w:p>
      <w:pPr>
        <w:pStyle w:val="32"/>
        <w:tabs>
          <w:tab w:val="right" w:leader="dot" w:pos="9639"/>
        </w:tabs>
      </w:pPr>
      <w:r>
        <w:rPr>
          <w:rFonts w:hint="eastAsia" w:ascii="宋体" w:hAnsi="宋体" w:cs="宋体"/>
          <w:color w:val="000000" w:themeColor="text1"/>
          <w:szCs w:val="24"/>
          <w14:textFill>
            <w14:solidFill>
              <w14:schemeClr w14:val="tx1"/>
            </w14:solidFill>
          </w14:textFill>
        </w:rPr>
        <w:fldChar w:fldCharType="begin"/>
      </w:r>
      <w:r>
        <w:rPr>
          <w:rFonts w:hint="eastAsia" w:ascii="宋体" w:hAnsi="宋体" w:cs="宋体"/>
          <w:szCs w:val="24"/>
        </w:rPr>
        <w:instrText xml:space="preserve"> HYPERLINK \l _Toc579 </w:instrText>
      </w:r>
      <w:r>
        <w:rPr>
          <w:rFonts w:hint="eastAsia" w:ascii="宋体" w:hAnsi="宋体" w:cs="宋体"/>
          <w:szCs w:val="24"/>
        </w:rPr>
        <w:fldChar w:fldCharType="separate"/>
      </w:r>
      <w:r>
        <w:rPr>
          <w:rFonts w:hint="eastAsia" w:ascii="宋体" w:hAnsi="宋体" w:cs="宋体"/>
          <w:szCs w:val="24"/>
        </w:rPr>
        <w:t>四、开标和评标</w:t>
      </w:r>
      <w:r>
        <w:tab/>
      </w:r>
      <w:r>
        <w:fldChar w:fldCharType="begin"/>
      </w:r>
      <w:r>
        <w:instrText xml:space="preserve"> PAGEREF _Toc579 \h </w:instrText>
      </w:r>
      <w:r>
        <w:fldChar w:fldCharType="separate"/>
      </w:r>
      <w:r>
        <w:t>19</w:t>
      </w:r>
      <w:r>
        <w:fldChar w:fldCharType="end"/>
      </w:r>
      <w:r>
        <w:rPr>
          <w:rFonts w:hint="eastAsia" w:ascii="宋体" w:hAnsi="宋体" w:cs="宋体"/>
          <w:color w:val="000000" w:themeColor="text1"/>
          <w:szCs w:val="24"/>
          <w14:textFill>
            <w14:solidFill>
              <w14:schemeClr w14:val="tx1"/>
            </w14:solidFill>
          </w14:textFill>
        </w:rPr>
        <w:fldChar w:fldCharType="end"/>
      </w:r>
    </w:p>
    <w:p>
      <w:pPr>
        <w:pStyle w:val="32"/>
        <w:tabs>
          <w:tab w:val="right" w:leader="dot" w:pos="9639"/>
        </w:tabs>
      </w:pPr>
      <w:r>
        <w:rPr>
          <w:rFonts w:hint="eastAsia" w:ascii="宋体" w:hAnsi="宋体" w:cs="宋体"/>
          <w:color w:val="000000" w:themeColor="text1"/>
          <w:szCs w:val="24"/>
          <w14:textFill>
            <w14:solidFill>
              <w14:schemeClr w14:val="tx1"/>
            </w14:solidFill>
          </w14:textFill>
        </w:rPr>
        <w:fldChar w:fldCharType="begin"/>
      </w:r>
      <w:r>
        <w:rPr>
          <w:rFonts w:hint="eastAsia" w:ascii="宋体" w:hAnsi="宋体" w:cs="宋体"/>
          <w:szCs w:val="24"/>
        </w:rPr>
        <w:instrText xml:space="preserve"> HYPERLINK \l _Toc30696 </w:instrText>
      </w:r>
      <w:r>
        <w:rPr>
          <w:rFonts w:hint="eastAsia" w:ascii="宋体" w:hAnsi="宋体" w:cs="宋体"/>
          <w:szCs w:val="24"/>
        </w:rPr>
        <w:fldChar w:fldCharType="separate"/>
      </w:r>
      <w:r>
        <w:rPr>
          <w:rFonts w:hint="eastAsia" w:ascii="宋体" w:hAnsi="宋体" w:cs="宋体"/>
          <w:szCs w:val="24"/>
        </w:rPr>
        <w:t>五、定标</w:t>
      </w:r>
      <w:r>
        <w:tab/>
      </w:r>
      <w:r>
        <w:fldChar w:fldCharType="begin"/>
      </w:r>
      <w:r>
        <w:instrText xml:space="preserve"> PAGEREF _Toc30696 \h </w:instrText>
      </w:r>
      <w:r>
        <w:fldChar w:fldCharType="separate"/>
      </w:r>
      <w:r>
        <w:t>21</w:t>
      </w:r>
      <w:r>
        <w:fldChar w:fldCharType="end"/>
      </w:r>
      <w:r>
        <w:rPr>
          <w:rFonts w:hint="eastAsia" w:ascii="宋体" w:hAnsi="宋体" w:cs="宋体"/>
          <w:color w:val="000000" w:themeColor="text1"/>
          <w:szCs w:val="24"/>
          <w14:textFill>
            <w14:solidFill>
              <w14:schemeClr w14:val="tx1"/>
            </w14:solidFill>
          </w14:textFill>
        </w:rPr>
        <w:fldChar w:fldCharType="end"/>
      </w:r>
    </w:p>
    <w:p>
      <w:pPr>
        <w:pStyle w:val="32"/>
        <w:tabs>
          <w:tab w:val="right" w:leader="dot" w:pos="9639"/>
        </w:tabs>
      </w:pPr>
      <w:r>
        <w:rPr>
          <w:rFonts w:hint="eastAsia" w:ascii="宋体" w:hAnsi="宋体" w:cs="宋体"/>
          <w:color w:val="000000" w:themeColor="text1"/>
          <w:szCs w:val="24"/>
          <w14:textFill>
            <w14:solidFill>
              <w14:schemeClr w14:val="tx1"/>
            </w14:solidFill>
          </w14:textFill>
        </w:rPr>
        <w:fldChar w:fldCharType="begin"/>
      </w:r>
      <w:r>
        <w:rPr>
          <w:rFonts w:hint="eastAsia" w:ascii="宋体" w:hAnsi="宋体" w:cs="宋体"/>
          <w:szCs w:val="24"/>
        </w:rPr>
        <w:instrText xml:space="preserve"> HYPERLINK \l _Toc12076 </w:instrText>
      </w:r>
      <w:r>
        <w:rPr>
          <w:rFonts w:hint="eastAsia" w:ascii="宋体" w:hAnsi="宋体" w:cs="宋体"/>
          <w:szCs w:val="24"/>
        </w:rPr>
        <w:fldChar w:fldCharType="separate"/>
      </w:r>
      <w:r>
        <w:rPr>
          <w:rFonts w:hint="eastAsia" w:ascii="宋体" w:hAnsi="宋体" w:cs="宋体"/>
          <w:szCs w:val="24"/>
        </w:rPr>
        <w:t>六、签订及履行合同和验收</w:t>
      </w:r>
      <w:r>
        <w:tab/>
      </w:r>
      <w:r>
        <w:fldChar w:fldCharType="begin"/>
      </w:r>
      <w:r>
        <w:instrText xml:space="preserve"> PAGEREF _Toc12076 \h </w:instrText>
      </w:r>
      <w:r>
        <w:fldChar w:fldCharType="separate"/>
      </w:r>
      <w:r>
        <w:t>22</w:t>
      </w:r>
      <w:r>
        <w:fldChar w:fldCharType="end"/>
      </w:r>
      <w:r>
        <w:rPr>
          <w:rFonts w:hint="eastAsia" w:ascii="宋体" w:hAnsi="宋体" w:cs="宋体"/>
          <w:color w:val="000000" w:themeColor="text1"/>
          <w:szCs w:val="24"/>
          <w14:textFill>
            <w14:solidFill>
              <w14:schemeClr w14:val="tx1"/>
            </w14:solidFill>
          </w14:textFill>
        </w:rPr>
        <w:fldChar w:fldCharType="end"/>
      </w:r>
    </w:p>
    <w:p>
      <w:pPr>
        <w:pStyle w:val="32"/>
        <w:tabs>
          <w:tab w:val="right" w:leader="dot" w:pos="9639"/>
        </w:tabs>
      </w:pPr>
      <w:r>
        <w:rPr>
          <w:rFonts w:hint="eastAsia" w:ascii="宋体" w:hAnsi="宋体" w:cs="宋体"/>
          <w:color w:val="000000" w:themeColor="text1"/>
          <w:szCs w:val="24"/>
          <w14:textFill>
            <w14:solidFill>
              <w14:schemeClr w14:val="tx1"/>
            </w14:solidFill>
          </w14:textFill>
        </w:rPr>
        <w:fldChar w:fldCharType="begin"/>
      </w:r>
      <w:r>
        <w:rPr>
          <w:rFonts w:hint="eastAsia" w:ascii="宋体" w:hAnsi="宋体" w:cs="宋体"/>
          <w:szCs w:val="24"/>
        </w:rPr>
        <w:instrText xml:space="preserve"> HYPERLINK \l _Toc6965 </w:instrText>
      </w:r>
      <w:r>
        <w:rPr>
          <w:rFonts w:hint="eastAsia" w:ascii="宋体" w:hAnsi="宋体" w:cs="宋体"/>
          <w:szCs w:val="24"/>
        </w:rPr>
        <w:fldChar w:fldCharType="separate"/>
      </w:r>
      <w:r>
        <w:rPr>
          <w:rFonts w:hint="eastAsia" w:ascii="宋体" w:hAnsi="宋体" w:cs="宋体"/>
          <w:szCs w:val="24"/>
        </w:rPr>
        <w:t>七、重新招标和其他方式采购</w:t>
      </w:r>
      <w:r>
        <w:tab/>
      </w:r>
      <w:r>
        <w:fldChar w:fldCharType="begin"/>
      </w:r>
      <w:r>
        <w:instrText xml:space="preserve"> PAGEREF _Toc6965 \h </w:instrText>
      </w:r>
      <w:r>
        <w:fldChar w:fldCharType="separate"/>
      </w:r>
      <w:r>
        <w:t>23</w:t>
      </w:r>
      <w:r>
        <w:fldChar w:fldCharType="end"/>
      </w:r>
      <w:r>
        <w:rPr>
          <w:rFonts w:hint="eastAsia" w:ascii="宋体" w:hAnsi="宋体" w:cs="宋体"/>
          <w:color w:val="000000" w:themeColor="text1"/>
          <w:szCs w:val="24"/>
          <w14:textFill>
            <w14:solidFill>
              <w14:schemeClr w14:val="tx1"/>
            </w14:solidFill>
          </w14:textFill>
        </w:rPr>
        <w:fldChar w:fldCharType="end"/>
      </w:r>
    </w:p>
    <w:p>
      <w:pPr>
        <w:pStyle w:val="32"/>
        <w:tabs>
          <w:tab w:val="right" w:leader="dot" w:pos="9639"/>
        </w:tabs>
      </w:pPr>
      <w:r>
        <w:rPr>
          <w:rFonts w:hint="eastAsia" w:ascii="宋体" w:hAnsi="宋体" w:cs="宋体"/>
          <w:color w:val="000000" w:themeColor="text1"/>
          <w:szCs w:val="24"/>
          <w14:textFill>
            <w14:solidFill>
              <w14:schemeClr w14:val="tx1"/>
            </w14:solidFill>
          </w14:textFill>
        </w:rPr>
        <w:fldChar w:fldCharType="begin"/>
      </w:r>
      <w:r>
        <w:rPr>
          <w:rFonts w:hint="eastAsia" w:ascii="宋体" w:hAnsi="宋体" w:cs="宋体"/>
          <w:szCs w:val="24"/>
        </w:rPr>
        <w:instrText xml:space="preserve"> HYPERLINK \l _Toc21068 </w:instrText>
      </w:r>
      <w:r>
        <w:rPr>
          <w:rFonts w:hint="eastAsia" w:ascii="宋体" w:hAnsi="宋体" w:cs="宋体"/>
          <w:szCs w:val="24"/>
        </w:rPr>
        <w:fldChar w:fldCharType="separate"/>
      </w:r>
      <w:r>
        <w:rPr>
          <w:rFonts w:hint="eastAsia" w:ascii="宋体" w:hAnsi="宋体" w:cs="宋体"/>
          <w:szCs w:val="24"/>
        </w:rPr>
        <w:t>八、投标纪律要求</w:t>
      </w:r>
      <w:r>
        <w:tab/>
      </w:r>
      <w:r>
        <w:fldChar w:fldCharType="begin"/>
      </w:r>
      <w:r>
        <w:instrText xml:space="preserve"> PAGEREF _Toc21068 \h </w:instrText>
      </w:r>
      <w:r>
        <w:fldChar w:fldCharType="separate"/>
      </w:r>
      <w:r>
        <w:t>24</w:t>
      </w:r>
      <w:r>
        <w:fldChar w:fldCharType="end"/>
      </w:r>
      <w:r>
        <w:rPr>
          <w:rFonts w:hint="eastAsia" w:ascii="宋体" w:hAnsi="宋体" w:cs="宋体"/>
          <w:color w:val="000000" w:themeColor="text1"/>
          <w:szCs w:val="24"/>
          <w14:textFill>
            <w14:solidFill>
              <w14:schemeClr w14:val="tx1"/>
            </w14:solidFill>
          </w14:textFill>
        </w:rPr>
        <w:fldChar w:fldCharType="end"/>
      </w:r>
    </w:p>
    <w:p>
      <w:pPr>
        <w:pStyle w:val="32"/>
        <w:tabs>
          <w:tab w:val="right" w:leader="dot" w:pos="9639"/>
        </w:tabs>
      </w:pPr>
      <w:r>
        <w:rPr>
          <w:rFonts w:hint="eastAsia" w:ascii="宋体" w:hAnsi="宋体" w:cs="宋体"/>
          <w:color w:val="000000" w:themeColor="text1"/>
          <w:szCs w:val="24"/>
          <w14:textFill>
            <w14:solidFill>
              <w14:schemeClr w14:val="tx1"/>
            </w14:solidFill>
          </w14:textFill>
        </w:rPr>
        <w:fldChar w:fldCharType="begin"/>
      </w:r>
      <w:r>
        <w:rPr>
          <w:rFonts w:hint="eastAsia" w:ascii="宋体" w:hAnsi="宋体" w:cs="宋体"/>
          <w:szCs w:val="24"/>
        </w:rPr>
        <w:instrText xml:space="preserve"> HYPERLINK \l _Toc26976 </w:instrText>
      </w:r>
      <w:r>
        <w:rPr>
          <w:rFonts w:hint="eastAsia" w:ascii="宋体" w:hAnsi="宋体" w:cs="宋体"/>
          <w:szCs w:val="24"/>
        </w:rPr>
        <w:fldChar w:fldCharType="separate"/>
      </w:r>
      <w:r>
        <w:rPr>
          <w:rFonts w:hint="eastAsia" w:ascii="宋体" w:hAnsi="宋体" w:cs="宋体"/>
          <w:szCs w:val="24"/>
        </w:rPr>
        <w:t>九、支付货款</w:t>
      </w:r>
      <w:r>
        <w:tab/>
      </w:r>
      <w:r>
        <w:fldChar w:fldCharType="begin"/>
      </w:r>
      <w:r>
        <w:instrText xml:space="preserve"> PAGEREF _Toc26976 \h </w:instrText>
      </w:r>
      <w:r>
        <w:fldChar w:fldCharType="separate"/>
      </w:r>
      <w:r>
        <w:t>25</w:t>
      </w:r>
      <w:r>
        <w:fldChar w:fldCharType="end"/>
      </w:r>
      <w:r>
        <w:rPr>
          <w:rFonts w:hint="eastAsia" w:ascii="宋体" w:hAnsi="宋体" w:cs="宋体"/>
          <w:color w:val="000000" w:themeColor="text1"/>
          <w:szCs w:val="24"/>
          <w14:textFill>
            <w14:solidFill>
              <w14:schemeClr w14:val="tx1"/>
            </w14:solidFill>
          </w14:textFill>
        </w:rPr>
        <w:fldChar w:fldCharType="end"/>
      </w:r>
    </w:p>
    <w:p>
      <w:pPr>
        <w:pStyle w:val="32"/>
        <w:tabs>
          <w:tab w:val="right" w:leader="dot" w:pos="9639"/>
        </w:tabs>
      </w:pPr>
      <w:r>
        <w:rPr>
          <w:rFonts w:hint="eastAsia" w:ascii="宋体" w:hAnsi="宋体" w:cs="宋体"/>
          <w:color w:val="000000" w:themeColor="text1"/>
          <w:szCs w:val="24"/>
          <w14:textFill>
            <w14:solidFill>
              <w14:schemeClr w14:val="tx1"/>
            </w14:solidFill>
          </w14:textFill>
        </w:rPr>
        <w:fldChar w:fldCharType="begin"/>
      </w:r>
      <w:r>
        <w:rPr>
          <w:rFonts w:hint="eastAsia" w:ascii="宋体" w:hAnsi="宋体" w:cs="宋体"/>
          <w:szCs w:val="24"/>
        </w:rPr>
        <w:instrText xml:space="preserve"> HYPERLINK \l _Toc9549 </w:instrText>
      </w:r>
      <w:r>
        <w:rPr>
          <w:rFonts w:hint="eastAsia" w:ascii="宋体" w:hAnsi="宋体" w:cs="宋体"/>
          <w:szCs w:val="24"/>
        </w:rPr>
        <w:fldChar w:fldCharType="separate"/>
      </w:r>
      <w:r>
        <w:rPr>
          <w:rFonts w:hint="eastAsia" w:ascii="宋体" w:hAnsi="宋体" w:cs="宋体"/>
          <w:szCs w:val="24"/>
        </w:rPr>
        <w:t>十、质疑和投诉</w:t>
      </w:r>
      <w:r>
        <w:tab/>
      </w:r>
      <w:r>
        <w:fldChar w:fldCharType="begin"/>
      </w:r>
      <w:r>
        <w:instrText xml:space="preserve"> PAGEREF _Toc9549 \h </w:instrText>
      </w:r>
      <w:r>
        <w:fldChar w:fldCharType="separate"/>
      </w:r>
      <w:r>
        <w:t>26</w:t>
      </w:r>
      <w:r>
        <w:fldChar w:fldCharType="end"/>
      </w:r>
      <w:r>
        <w:rPr>
          <w:rFonts w:hint="eastAsia" w:ascii="宋体" w:hAnsi="宋体" w:cs="宋体"/>
          <w:color w:val="000000" w:themeColor="text1"/>
          <w:szCs w:val="24"/>
          <w14:textFill>
            <w14:solidFill>
              <w14:schemeClr w14:val="tx1"/>
            </w14:solidFill>
          </w14:textFill>
        </w:rPr>
        <w:fldChar w:fldCharType="end"/>
      </w:r>
    </w:p>
    <w:p>
      <w:pPr>
        <w:pStyle w:val="28"/>
        <w:tabs>
          <w:tab w:val="right" w:leader="dot" w:pos="9639"/>
        </w:tabs>
      </w:pPr>
      <w:r>
        <w:rPr>
          <w:rFonts w:hint="eastAsia" w:ascii="宋体" w:hAnsi="宋体" w:cs="宋体"/>
          <w:color w:val="000000" w:themeColor="text1"/>
          <w:szCs w:val="24"/>
          <w14:textFill>
            <w14:solidFill>
              <w14:schemeClr w14:val="tx1"/>
            </w14:solidFill>
          </w14:textFill>
        </w:rPr>
        <w:fldChar w:fldCharType="begin"/>
      </w:r>
      <w:r>
        <w:rPr>
          <w:rFonts w:hint="eastAsia" w:ascii="宋体" w:hAnsi="宋体" w:cs="宋体"/>
          <w:szCs w:val="24"/>
        </w:rPr>
        <w:instrText xml:space="preserve"> HYPERLINK \l _Toc2938 </w:instrText>
      </w:r>
      <w:r>
        <w:rPr>
          <w:rFonts w:hint="eastAsia" w:ascii="宋体" w:hAnsi="宋体" w:cs="宋体"/>
          <w:szCs w:val="24"/>
        </w:rPr>
        <w:fldChar w:fldCharType="separate"/>
      </w:r>
      <w:r>
        <w:rPr>
          <w:rFonts w:hint="eastAsia"/>
          <w:szCs w:val="24"/>
        </w:rPr>
        <w:t xml:space="preserve">第三章 </w:t>
      </w:r>
      <w:r>
        <w:rPr>
          <w:rFonts w:hint="eastAsia" w:ascii="宋体" w:hAnsi="宋体" w:cs="宋体"/>
          <w:szCs w:val="24"/>
        </w:rPr>
        <w:t>工程量清单</w:t>
      </w:r>
      <w:r>
        <w:tab/>
      </w:r>
      <w:r>
        <w:fldChar w:fldCharType="begin"/>
      </w:r>
      <w:r>
        <w:instrText xml:space="preserve"> PAGEREF _Toc2938 \h </w:instrText>
      </w:r>
      <w:r>
        <w:fldChar w:fldCharType="separate"/>
      </w:r>
      <w:r>
        <w:t>27</w:t>
      </w:r>
      <w:r>
        <w:fldChar w:fldCharType="end"/>
      </w:r>
      <w:r>
        <w:rPr>
          <w:rFonts w:hint="eastAsia" w:ascii="宋体" w:hAnsi="宋体" w:cs="宋体"/>
          <w:color w:val="000000" w:themeColor="text1"/>
          <w:szCs w:val="24"/>
          <w14:textFill>
            <w14:solidFill>
              <w14:schemeClr w14:val="tx1"/>
            </w14:solidFill>
          </w14:textFill>
        </w:rPr>
        <w:fldChar w:fldCharType="end"/>
      </w:r>
    </w:p>
    <w:p>
      <w:pPr>
        <w:pStyle w:val="28"/>
        <w:tabs>
          <w:tab w:val="right" w:leader="dot" w:pos="9639"/>
        </w:tabs>
      </w:pPr>
      <w:r>
        <w:rPr>
          <w:rFonts w:hint="eastAsia" w:ascii="宋体" w:hAnsi="宋体" w:cs="宋体"/>
          <w:color w:val="000000" w:themeColor="text1"/>
          <w:szCs w:val="24"/>
          <w14:textFill>
            <w14:solidFill>
              <w14:schemeClr w14:val="tx1"/>
            </w14:solidFill>
          </w14:textFill>
        </w:rPr>
        <w:fldChar w:fldCharType="begin"/>
      </w:r>
      <w:r>
        <w:rPr>
          <w:rFonts w:hint="eastAsia" w:ascii="宋体" w:hAnsi="宋体" w:cs="宋体"/>
          <w:szCs w:val="24"/>
        </w:rPr>
        <w:instrText xml:space="preserve"> HYPERLINK \l _Toc29377 </w:instrText>
      </w:r>
      <w:r>
        <w:rPr>
          <w:rFonts w:hint="eastAsia" w:ascii="宋体" w:hAnsi="宋体" w:cs="宋体"/>
          <w:szCs w:val="24"/>
        </w:rPr>
        <w:fldChar w:fldCharType="separate"/>
      </w:r>
      <w:r>
        <w:rPr>
          <w:rFonts w:hint="eastAsia" w:ascii="宋体" w:hAnsi="宋体" w:cs="宋体"/>
          <w:szCs w:val="24"/>
        </w:rPr>
        <w:t>第四章  合同主要条款（仅供参考）</w:t>
      </w:r>
      <w:r>
        <w:tab/>
      </w:r>
      <w:r>
        <w:fldChar w:fldCharType="begin"/>
      </w:r>
      <w:r>
        <w:instrText xml:space="preserve"> PAGEREF _Toc29377 \h </w:instrText>
      </w:r>
      <w:r>
        <w:fldChar w:fldCharType="separate"/>
      </w:r>
      <w:r>
        <w:t>36</w:t>
      </w:r>
      <w:r>
        <w:fldChar w:fldCharType="end"/>
      </w:r>
      <w:r>
        <w:rPr>
          <w:rFonts w:hint="eastAsia" w:ascii="宋体" w:hAnsi="宋体" w:cs="宋体"/>
          <w:color w:val="000000" w:themeColor="text1"/>
          <w:szCs w:val="24"/>
          <w14:textFill>
            <w14:solidFill>
              <w14:schemeClr w14:val="tx1"/>
            </w14:solidFill>
          </w14:textFill>
        </w:rPr>
        <w:fldChar w:fldCharType="end"/>
      </w:r>
    </w:p>
    <w:p>
      <w:pPr>
        <w:pStyle w:val="28"/>
        <w:tabs>
          <w:tab w:val="right" w:leader="dot" w:pos="9639"/>
        </w:tabs>
      </w:pPr>
      <w:r>
        <w:rPr>
          <w:rFonts w:hint="eastAsia" w:ascii="宋体" w:hAnsi="宋体" w:cs="宋体"/>
          <w:color w:val="000000" w:themeColor="text1"/>
          <w:szCs w:val="24"/>
          <w14:textFill>
            <w14:solidFill>
              <w14:schemeClr w14:val="tx1"/>
            </w14:solidFill>
          </w14:textFill>
        </w:rPr>
        <w:fldChar w:fldCharType="begin"/>
      </w:r>
      <w:r>
        <w:rPr>
          <w:rFonts w:hint="eastAsia" w:ascii="宋体" w:hAnsi="宋体" w:cs="宋体"/>
          <w:szCs w:val="24"/>
        </w:rPr>
        <w:instrText xml:space="preserve"> HYPERLINK \l _Toc30835 </w:instrText>
      </w:r>
      <w:r>
        <w:rPr>
          <w:rFonts w:hint="eastAsia" w:ascii="宋体" w:hAnsi="宋体" w:cs="宋体"/>
          <w:szCs w:val="24"/>
        </w:rPr>
        <w:fldChar w:fldCharType="separate"/>
      </w:r>
      <w:r>
        <w:rPr>
          <w:rFonts w:hint="eastAsia" w:ascii="宋体" w:hAnsi="宋体" w:cs="宋体"/>
          <w:szCs w:val="24"/>
        </w:rPr>
        <w:t>第五章  评标办法</w:t>
      </w:r>
      <w:r>
        <w:tab/>
      </w:r>
      <w:r>
        <w:fldChar w:fldCharType="begin"/>
      </w:r>
      <w:r>
        <w:instrText xml:space="preserve"> PAGEREF _Toc30835 \h </w:instrText>
      </w:r>
      <w:r>
        <w:fldChar w:fldCharType="separate"/>
      </w:r>
      <w:r>
        <w:t>42</w:t>
      </w:r>
      <w:r>
        <w:fldChar w:fldCharType="end"/>
      </w:r>
      <w:r>
        <w:rPr>
          <w:rFonts w:hint="eastAsia" w:ascii="宋体" w:hAnsi="宋体" w:cs="宋体"/>
          <w:color w:val="000000" w:themeColor="text1"/>
          <w:szCs w:val="24"/>
          <w14:textFill>
            <w14:solidFill>
              <w14:schemeClr w14:val="tx1"/>
            </w14:solidFill>
          </w14:textFill>
        </w:rPr>
        <w:fldChar w:fldCharType="end"/>
      </w:r>
    </w:p>
    <w:p>
      <w:pPr>
        <w:pStyle w:val="28"/>
        <w:tabs>
          <w:tab w:val="right" w:leader="dot" w:pos="9639"/>
        </w:tabs>
      </w:pPr>
      <w:r>
        <w:rPr>
          <w:rFonts w:hint="eastAsia" w:ascii="宋体" w:hAnsi="宋体" w:cs="宋体"/>
          <w:color w:val="000000" w:themeColor="text1"/>
          <w:szCs w:val="24"/>
          <w14:textFill>
            <w14:solidFill>
              <w14:schemeClr w14:val="tx1"/>
            </w14:solidFill>
          </w14:textFill>
        </w:rPr>
        <w:fldChar w:fldCharType="begin"/>
      </w:r>
      <w:r>
        <w:rPr>
          <w:rFonts w:hint="eastAsia" w:ascii="宋体" w:hAnsi="宋体" w:cs="宋体"/>
          <w:szCs w:val="24"/>
        </w:rPr>
        <w:instrText xml:space="preserve"> HYPERLINK \l _Toc23031 </w:instrText>
      </w:r>
      <w:r>
        <w:rPr>
          <w:rFonts w:hint="eastAsia" w:ascii="宋体" w:hAnsi="宋体" w:cs="宋体"/>
          <w:szCs w:val="24"/>
        </w:rPr>
        <w:fldChar w:fldCharType="separate"/>
      </w:r>
      <w:r>
        <w:rPr>
          <w:rFonts w:hint="eastAsia" w:ascii="宋体" w:hAnsi="宋体" w:cs="宋体"/>
          <w:szCs w:val="24"/>
        </w:rPr>
        <w:t>第六章投标文件格式</w:t>
      </w:r>
      <w:r>
        <w:tab/>
      </w:r>
      <w:r>
        <w:fldChar w:fldCharType="begin"/>
      </w:r>
      <w:r>
        <w:instrText xml:space="preserve"> PAGEREF _Toc23031 \h </w:instrText>
      </w:r>
      <w:r>
        <w:fldChar w:fldCharType="separate"/>
      </w:r>
      <w:r>
        <w:t>53</w:t>
      </w:r>
      <w:r>
        <w:fldChar w:fldCharType="end"/>
      </w:r>
      <w:r>
        <w:rPr>
          <w:rFonts w:hint="eastAsia" w:ascii="宋体" w:hAnsi="宋体" w:cs="宋体"/>
          <w:color w:val="000000" w:themeColor="text1"/>
          <w:szCs w:val="24"/>
          <w14:textFill>
            <w14:solidFill>
              <w14:schemeClr w14:val="tx1"/>
            </w14:solidFill>
          </w14:textFill>
        </w:rPr>
        <w:fldChar w:fldCharType="end"/>
      </w:r>
    </w:p>
    <w:p>
      <w:pPr>
        <w:pStyle w:val="32"/>
        <w:tabs>
          <w:tab w:val="right" w:leader="dot" w:pos="9639"/>
        </w:tabs>
      </w:pPr>
      <w:r>
        <w:rPr>
          <w:rFonts w:hint="eastAsia" w:ascii="宋体" w:hAnsi="宋体" w:cs="宋体"/>
          <w:color w:val="000000" w:themeColor="text1"/>
          <w:szCs w:val="24"/>
          <w14:textFill>
            <w14:solidFill>
              <w14:schemeClr w14:val="tx1"/>
            </w14:solidFill>
          </w14:textFill>
        </w:rPr>
        <w:fldChar w:fldCharType="begin"/>
      </w:r>
      <w:r>
        <w:rPr>
          <w:rFonts w:hint="eastAsia" w:ascii="宋体" w:hAnsi="宋体" w:cs="宋体"/>
          <w:szCs w:val="24"/>
        </w:rPr>
        <w:instrText xml:space="preserve"> HYPERLINK \l _Toc11791 </w:instrText>
      </w:r>
      <w:r>
        <w:rPr>
          <w:rFonts w:hint="eastAsia" w:ascii="宋体" w:hAnsi="宋体" w:cs="宋体"/>
          <w:szCs w:val="24"/>
        </w:rPr>
        <w:fldChar w:fldCharType="separate"/>
      </w:r>
      <w:r>
        <w:rPr>
          <w:rFonts w:hint="eastAsia" w:ascii="宋体" w:hAnsi="宋体" w:cs="宋体"/>
          <w:szCs w:val="24"/>
        </w:rPr>
        <w:t>一、投标函</w:t>
      </w:r>
      <w:r>
        <w:tab/>
      </w:r>
      <w:r>
        <w:fldChar w:fldCharType="begin"/>
      </w:r>
      <w:r>
        <w:instrText xml:space="preserve"> PAGEREF _Toc11791 \h </w:instrText>
      </w:r>
      <w:r>
        <w:fldChar w:fldCharType="separate"/>
      </w:r>
      <w:r>
        <w:t>55</w:t>
      </w:r>
      <w:r>
        <w:fldChar w:fldCharType="end"/>
      </w:r>
      <w:r>
        <w:rPr>
          <w:rFonts w:hint="eastAsia" w:ascii="宋体" w:hAnsi="宋体" w:cs="宋体"/>
          <w:color w:val="000000" w:themeColor="text1"/>
          <w:szCs w:val="24"/>
          <w14:textFill>
            <w14:solidFill>
              <w14:schemeClr w14:val="tx1"/>
            </w14:solidFill>
          </w14:textFill>
        </w:rPr>
        <w:fldChar w:fldCharType="end"/>
      </w:r>
    </w:p>
    <w:p>
      <w:pPr>
        <w:pStyle w:val="32"/>
        <w:tabs>
          <w:tab w:val="right" w:leader="dot" w:pos="9639"/>
        </w:tabs>
      </w:pPr>
      <w:r>
        <w:rPr>
          <w:rFonts w:hint="eastAsia" w:ascii="宋体" w:hAnsi="宋体" w:cs="宋体"/>
          <w:color w:val="000000" w:themeColor="text1"/>
          <w:szCs w:val="24"/>
          <w14:textFill>
            <w14:solidFill>
              <w14:schemeClr w14:val="tx1"/>
            </w14:solidFill>
          </w14:textFill>
        </w:rPr>
        <w:fldChar w:fldCharType="begin"/>
      </w:r>
      <w:r>
        <w:rPr>
          <w:rFonts w:hint="eastAsia" w:ascii="宋体" w:hAnsi="宋体" w:cs="宋体"/>
          <w:szCs w:val="24"/>
        </w:rPr>
        <w:instrText xml:space="preserve"> HYPERLINK \l _Toc5772 </w:instrText>
      </w:r>
      <w:r>
        <w:rPr>
          <w:rFonts w:hint="eastAsia" w:ascii="宋体" w:hAnsi="宋体" w:cs="宋体"/>
          <w:szCs w:val="24"/>
        </w:rPr>
        <w:fldChar w:fldCharType="separate"/>
      </w:r>
      <w:r>
        <w:rPr>
          <w:rFonts w:hint="eastAsia" w:ascii="宋体" w:hAnsi="宋体" w:cs="宋体"/>
          <w:szCs w:val="24"/>
        </w:rPr>
        <w:t>二、法定代表人授权书</w:t>
      </w:r>
      <w:r>
        <w:tab/>
      </w:r>
      <w:r>
        <w:fldChar w:fldCharType="begin"/>
      </w:r>
      <w:r>
        <w:instrText xml:space="preserve"> PAGEREF _Toc5772 \h </w:instrText>
      </w:r>
      <w:r>
        <w:fldChar w:fldCharType="separate"/>
      </w:r>
      <w:r>
        <w:t>57</w:t>
      </w:r>
      <w:r>
        <w:fldChar w:fldCharType="end"/>
      </w:r>
      <w:r>
        <w:rPr>
          <w:rFonts w:hint="eastAsia" w:ascii="宋体" w:hAnsi="宋体" w:cs="宋体"/>
          <w:color w:val="000000" w:themeColor="text1"/>
          <w:szCs w:val="24"/>
          <w14:textFill>
            <w14:solidFill>
              <w14:schemeClr w14:val="tx1"/>
            </w14:solidFill>
          </w14:textFill>
        </w:rPr>
        <w:fldChar w:fldCharType="end"/>
      </w:r>
    </w:p>
    <w:p>
      <w:pPr>
        <w:pStyle w:val="32"/>
        <w:tabs>
          <w:tab w:val="right" w:leader="dot" w:pos="9639"/>
        </w:tabs>
      </w:pPr>
      <w:r>
        <w:rPr>
          <w:rFonts w:hint="eastAsia" w:ascii="宋体" w:hAnsi="宋体" w:cs="宋体"/>
          <w:color w:val="000000" w:themeColor="text1"/>
          <w:szCs w:val="24"/>
          <w14:textFill>
            <w14:solidFill>
              <w14:schemeClr w14:val="tx1"/>
            </w14:solidFill>
          </w14:textFill>
        </w:rPr>
        <w:fldChar w:fldCharType="begin"/>
      </w:r>
      <w:r>
        <w:rPr>
          <w:rFonts w:hint="eastAsia" w:ascii="宋体" w:hAnsi="宋体" w:cs="宋体"/>
          <w:szCs w:val="24"/>
        </w:rPr>
        <w:instrText xml:space="preserve"> HYPERLINK \l _Toc695 </w:instrText>
      </w:r>
      <w:r>
        <w:rPr>
          <w:rFonts w:hint="eastAsia" w:ascii="宋体" w:hAnsi="宋体" w:cs="宋体"/>
          <w:szCs w:val="24"/>
        </w:rPr>
        <w:fldChar w:fldCharType="separate"/>
      </w:r>
      <w:r>
        <w:rPr>
          <w:rFonts w:hint="eastAsia" w:ascii="宋体" w:hAnsi="宋体" w:cs="宋体"/>
          <w:szCs w:val="24"/>
        </w:rPr>
        <w:t>三．关于资格的声明函</w:t>
      </w:r>
      <w:r>
        <w:tab/>
      </w:r>
      <w:r>
        <w:fldChar w:fldCharType="begin"/>
      </w:r>
      <w:r>
        <w:instrText xml:space="preserve"> PAGEREF _Toc695 \h </w:instrText>
      </w:r>
      <w:r>
        <w:fldChar w:fldCharType="separate"/>
      </w:r>
      <w:r>
        <w:t>58</w:t>
      </w:r>
      <w:r>
        <w:fldChar w:fldCharType="end"/>
      </w:r>
      <w:r>
        <w:rPr>
          <w:rFonts w:hint="eastAsia" w:ascii="宋体" w:hAnsi="宋体" w:cs="宋体"/>
          <w:color w:val="000000" w:themeColor="text1"/>
          <w:szCs w:val="24"/>
          <w14:textFill>
            <w14:solidFill>
              <w14:schemeClr w14:val="tx1"/>
            </w14:solidFill>
          </w14:textFill>
        </w:rPr>
        <w:fldChar w:fldCharType="end"/>
      </w:r>
    </w:p>
    <w:p>
      <w:pPr>
        <w:pStyle w:val="32"/>
        <w:tabs>
          <w:tab w:val="right" w:leader="dot" w:pos="9639"/>
        </w:tabs>
      </w:pPr>
      <w:r>
        <w:rPr>
          <w:rFonts w:hint="eastAsia" w:ascii="宋体" w:hAnsi="宋体" w:cs="宋体"/>
          <w:color w:val="000000" w:themeColor="text1"/>
          <w:szCs w:val="24"/>
          <w14:textFill>
            <w14:solidFill>
              <w14:schemeClr w14:val="tx1"/>
            </w14:solidFill>
          </w14:textFill>
        </w:rPr>
        <w:fldChar w:fldCharType="begin"/>
      </w:r>
      <w:r>
        <w:rPr>
          <w:rFonts w:hint="eastAsia" w:ascii="宋体" w:hAnsi="宋体" w:cs="宋体"/>
          <w:szCs w:val="24"/>
        </w:rPr>
        <w:instrText xml:space="preserve"> HYPERLINK \l _Toc4478 </w:instrText>
      </w:r>
      <w:r>
        <w:rPr>
          <w:rFonts w:hint="eastAsia" w:ascii="宋体" w:hAnsi="宋体" w:cs="宋体"/>
          <w:szCs w:val="24"/>
        </w:rPr>
        <w:fldChar w:fldCharType="separate"/>
      </w:r>
      <w:r>
        <w:rPr>
          <w:rFonts w:hint="eastAsia" w:ascii="宋体" w:hAnsi="宋体" w:cs="宋体"/>
          <w:szCs w:val="24"/>
        </w:rPr>
        <w:t>四、投标保证金</w:t>
      </w:r>
      <w:r>
        <w:tab/>
      </w:r>
      <w:r>
        <w:fldChar w:fldCharType="begin"/>
      </w:r>
      <w:r>
        <w:instrText xml:space="preserve"> PAGEREF _Toc4478 \h </w:instrText>
      </w:r>
      <w:r>
        <w:fldChar w:fldCharType="separate"/>
      </w:r>
      <w:r>
        <w:t>59</w:t>
      </w:r>
      <w:r>
        <w:fldChar w:fldCharType="end"/>
      </w:r>
      <w:r>
        <w:rPr>
          <w:rFonts w:hint="eastAsia" w:ascii="宋体" w:hAnsi="宋体" w:cs="宋体"/>
          <w:color w:val="000000" w:themeColor="text1"/>
          <w:szCs w:val="24"/>
          <w14:textFill>
            <w14:solidFill>
              <w14:schemeClr w14:val="tx1"/>
            </w14:solidFill>
          </w14:textFill>
        </w:rPr>
        <w:fldChar w:fldCharType="end"/>
      </w:r>
    </w:p>
    <w:p>
      <w:pPr>
        <w:pStyle w:val="32"/>
        <w:tabs>
          <w:tab w:val="right" w:leader="dot" w:pos="9639"/>
        </w:tabs>
      </w:pPr>
      <w:r>
        <w:rPr>
          <w:rFonts w:hint="eastAsia" w:ascii="宋体" w:hAnsi="宋体" w:cs="宋体"/>
          <w:color w:val="000000" w:themeColor="text1"/>
          <w:szCs w:val="24"/>
          <w14:textFill>
            <w14:solidFill>
              <w14:schemeClr w14:val="tx1"/>
            </w14:solidFill>
          </w14:textFill>
        </w:rPr>
        <w:fldChar w:fldCharType="begin"/>
      </w:r>
      <w:r>
        <w:rPr>
          <w:rFonts w:hint="eastAsia" w:ascii="宋体" w:hAnsi="宋体" w:cs="宋体"/>
          <w:szCs w:val="24"/>
        </w:rPr>
        <w:instrText xml:space="preserve"> HYPERLINK \l _Toc24263 </w:instrText>
      </w:r>
      <w:r>
        <w:rPr>
          <w:rFonts w:hint="eastAsia" w:ascii="宋体" w:hAnsi="宋体" w:cs="宋体"/>
          <w:szCs w:val="24"/>
        </w:rPr>
        <w:fldChar w:fldCharType="separate"/>
      </w:r>
      <w:r>
        <w:rPr>
          <w:rFonts w:hint="eastAsia" w:ascii="宋体" w:hAnsi="宋体" w:cs="宋体"/>
          <w:szCs w:val="24"/>
        </w:rPr>
        <w:t>五、开标一览表</w:t>
      </w:r>
      <w:r>
        <w:tab/>
      </w:r>
      <w:r>
        <w:fldChar w:fldCharType="begin"/>
      </w:r>
      <w:r>
        <w:instrText xml:space="preserve"> PAGEREF _Toc24263 \h </w:instrText>
      </w:r>
      <w:r>
        <w:fldChar w:fldCharType="separate"/>
      </w:r>
      <w:r>
        <w:t>60</w:t>
      </w:r>
      <w:r>
        <w:fldChar w:fldCharType="end"/>
      </w:r>
      <w:r>
        <w:rPr>
          <w:rFonts w:hint="eastAsia" w:ascii="宋体" w:hAnsi="宋体" w:cs="宋体"/>
          <w:color w:val="000000" w:themeColor="text1"/>
          <w:szCs w:val="24"/>
          <w14:textFill>
            <w14:solidFill>
              <w14:schemeClr w14:val="tx1"/>
            </w14:solidFill>
          </w14:textFill>
        </w:rPr>
        <w:fldChar w:fldCharType="end"/>
      </w:r>
    </w:p>
    <w:p>
      <w:pPr>
        <w:pStyle w:val="32"/>
        <w:tabs>
          <w:tab w:val="right" w:leader="dot" w:pos="9639"/>
        </w:tabs>
      </w:pPr>
      <w:r>
        <w:rPr>
          <w:rFonts w:hint="eastAsia" w:ascii="宋体" w:hAnsi="宋体" w:cs="宋体"/>
          <w:color w:val="000000" w:themeColor="text1"/>
          <w:szCs w:val="24"/>
          <w14:textFill>
            <w14:solidFill>
              <w14:schemeClr w14:val="tx1"/>
            </w14:solidFill>
          </w14:textFill>
        </w:rPr>
        <w:fldChar w:fldCharType="begin"/>
      </w:r>
      <w:r>
        <w:rPr>
          <w:rFonts w:hint="eastAsia" w:ascii="宋体" w:hAnsi="宋体" w:cs="宋体"/>
          <w:szCs w:val="24"/>
        </w:rPr>
        <w:instrText xml:space="preserve"> HYPERLINK \l _Toc28609 </w:instrText>
      </w:r>
      <w:r>
        <w:rPr>
          <w:rFonts w:hint="eastAsia" w:ascii="宋体" w:hAnsi="宋体" w:cs="宋体"/>
          <w:szCs w:val="24"/>
        </w:rPr>
        <w:fldChar w:fldCharType="separate"/>
      </w:r>
      <w:r>
        <w:rPr>
          <w:rFonts w:hint="eastAsia" w:ascii="宋体" w:hAnsi="宋体" w:cs="宋体"/>
          <w:szCs w:val="24"/>
        </w:rPr>
        <w:t>六、投标分项报价明细表</w:t>
      </w:r>
      <w:r>
        <w:tab/>
      </w:r>
      <w:r>
        <w:fldChar w:fldCharType="begin"/>
      </w:r>
      <w:r>
        <w:instrText xml:space="preserve"> PAGEREF _Toc28609 \h </w:instrText>
      </w:r>
      <w:r>
        <w:fldChar w:fldCharType="separate"/>
      </w:r>
      <w:r>
        <w:t>61</w:t>
      </w:r>
      <w:r>
        <w:fldChar w:fldCharType="end"/>
      </w:r>
      <w:r>
        <w:rPr>
          <w:rFonts w:hint="eastAsia" w:ascii="宋体" w:hAnsi="宋体" w:cs="宋体"/>
          <w:color w:val="000000" w:themeColor="text1"/>
          <w:szCs w:val="24"/>
          <w14:textFill>
            <w14:solidFill>
              <w14:schemeClr w14:val="tx1"/>
            </w14:solidFill>
          </w14:textFill>
        </w:rPr>
        <w:fldChar w:fldCharType="end"/>
      </w:r>
    </w:p>
    <w:p>
      <w:pPr>
        <w:pStyle w:val="32"/>
        <w:tabs>
          <w:tab w:val="right" w:leader="dot" w:pos="9639"/>
        </w:tabs>
      </w:pPr>
      <w:r>
        <w:rPr>
          <w:rFonts w:hint="eastAsia" w:ascii="宋体" w:hAnsi="宋体" w:cs="宋体"/>
          <w:color w:val="000000" w:themeColor="text1"/>
          <w:szCs w:val="24"/>
          <w14:textFill>
            <w14:solidFill>
              <w14:schemeClr w14:val="tx1"/>
            </w14:solidFill>
          </w14:textFill>
        </w:rPr>
        <w:fldChar w:fldCharType="begin"/>
      </w:r>
      <w:r>
        <w:rPr>
          <w:rFonts w:hint="eastAsia" w:ascii="宋体" w:hAnsi="宋体" w:cs="宋体"/>
          <w:szCs w:val="24"/>
        </w:rPr>
        <w:instrText xml:space="preserve"> HYPERLINK \l _Toc24896 </w:instrText>
      </w:r>
      <w:r>
        <w:rPr>
          <w:rFonts w:hint="eastAsia" w:ascii="宋体" w:hAnsi="宋体" w:cs="宋体"/>
          <w:szCs w:val="24"/>
        </w:rPr>
        <w:fldChar w:fldCharType="separate"/>
      </w:r>
      <w:r>
        <w:rPr>
          <w:rFonts w:hint="eastAsia" w:ascii="宋体" w:hAnsi="宋体" w:cs="宋体"/>
          <w:szCs w:val="24"/>
        </w:rPr>
        <w:t>七、企业资格证明文件</w:t>
      </w:r>
      <w:r>
        <w:tab/>
      </w:r>
      <w:r>
        <w:fldChar w:fldCharType="begin"/>
      </w:r>
      <w:r>
        <w:instrText xml:space="preserve"> PAGEREF _Toc24896 \h </w:instrText>
      </w:r>
      <w:r>
        <w:fldChar w:fldCharType="separate"/>
      </w:r>
      <w:r>
        <w:t>62</w:t>
      </w:r>
      <w:r>
        <w:fldChar w:fldCharType="end"/>
      </w:r>
      <w:r>
        <w:rPr>
          <w:rFonts w:hint="eastAsia" w:ascii="宋体" w:hAnsi="宋体" w:cs="宋体"/>
          <w:color w:val="000000" w:themeColor="text1"/>
          <w:szCs w:val="24"/>
          <w14:textFill>
            <w14:solidFill>
              <w14:schemeClr w14:val="tx1"/>
            </w14:solidFill>
          </w14:textFill>
        </w:rPr>
        <w:fldChar w:fldCharType="end"/>
      </w:r>
    </w:p>
    <w:p>
      <w:pPr>
        <w:pStyle w:val="32"/>
        <w:tabs>
          <w:tab w:val="right" w:leader="dot" w:pos="9639"/>
        </w:tabs>
      </w:pPr>
      <w:r>
        <w:rPr>
          <w:rFonts w:hint="eastAsia" w:ascii="宋体" w:hAnsi="宋体" w:cs="宋体"/>
          <w:color w:val="000000" w:themeColor="text1"/>
          <w:szCs w:val="24"/>
          <w14:textFill>
            <w14:solidFill>
              <w14:schemeClr w14:val="tx1"/>
            </w14:solidFill>
          </w14:textFill>
        </w:rPr>
        <w:fldChar w:fldCharType="begin"/>
      </w:r>
      <w:r>
        <w:rPr>
          <w:rFonts w:hint="eastAsia" w:ascii="宋体" w:hAnsi="宋体" w:cs="宋体"/>
          <w:szCs w:val="24"/>
        </w:rPr>
        <w:instrText xml:space="preserve"> HYPERLINK \l _Toc12976 </w:instrText>
      </w:r>
      <w:r>
        <w:rPr>
          <w:rFonts w:hint="eastAsia" w:ascii="宋体" w:hAnsi="宋体" w:cs="宋体"/>
          <w:szCs w:val="24"/>
        </w:rPr>
        <w:fldChar w:fldCharType="separate"/>
      </w:r>
      <w:r>
        <w:rPr>
          <w:rFonts w:hint="eastAsia" w:ascii="宋体" w:hAnsi="宋体" w:cs="宋体"/>
          <w:szCs w:val="24"/>
        </w:rPr>
        <w:t>八、投标人基本情况表</w:t>
      </w:r>
      <w:r>
        <w:tab/>
      </w:r>
      <w:r>
        <w:fldChar w:fldCharType="begin"/>
      </w:r>
      <w:r>
        <w:instrText xml:space="preserve"> PAGEREF _Toc12976 \h </w:instrText>
      </w:r>
      <w:r>
        <w:fldChar w:fldCharType="separate"/>
      </w:r>
      <w:r>
        <w:t>63</w:t>
      </w:r>
      <w:r>
        <w:fldChar w:fldCharType="end"/>
      </w:r>
      <w:r>
        <w:rPr>
          <w:rFonts w:hint="eastAsia" w:ascii="宋体" w:hAnsi="宋体" w:cs="宋体"/>
          <w:color w:val="000000" w:themeColor="text1"/>
          <w:szCs w:val="24"/>
          <w14:textFill>
            <w14:solidFill>
              <w14:schemeClr w14:val="tx1"/>
            </w14:solidFill>
          </w14:textFill>
        </w:rPr>
        <w:fldChar w:fldCharType="end"/>
      </w:r>
    </w:p>
    <w:p>
      <w:pPr>
        <w:pStyle w:val="32"/>
        <w:tabs>
          <w:tab w:val="right" w:leader="dot" w:pos="9639"/>
        </w:tabs>
      </w:pPr>
      <w:r>
        <w:rPr>
          <w:rFonts w:hint="eastAsia" w:ascii="宋体" w:hAnsi="宋体" w:cs="宋体"/>
          <w:color w:val="000000" w:themeColor="text1"/>
          <w:szCs w:val="24"/>
          <w14:textFill>
            <w14:solidFill>
              <w14:schemeClr w14:val="tx1"/>
            </w14:solidFill>
          </w14:textFill>
        </w:rPr>
        <w:fldChar w:fldCharType="begin"/>
      </w:r>
      <w:r>
        <w:rPr>
          <w:rFonts w:hint="eastAsia" w:ascii="宋体" w:hAnsi="宋体" w:cs="宋体"/>
          <w:szCs w:val="24"/>
        </w:rPr>
        <w:instrText xml:space="preserve"> HYPERLINK \l _Toc21251 </w:instrText>
      </w:r>
      <w:r>
        <w:rPr>
          <w:rFonts w:hint="eastAsia" w:ascii="宋体" w:hAnsi="宋体" w:cs="宋体"/>
          <w:szCs w:val="24"/>
        </w:rPr>
        <w:fldChar w:fldCharType="separate"/>
      </w:r>
      <w:r>
        <w:rPr>
          <w:rFonts w:hint="eastAsia" w:ascii="宋体" w:hAnsi="宋体" w:cs="宋体"/>
          <w:szCs w:val="24"/>
        </w:rPr>
        <w:t>九、投标人本项目管理、技术、服务人员情况表</w:t>
      </w:r>
      <w:r>
        <w:tab/>
      </w:r>
      <w:r>
        <w:fldChar w:fldCharType="begin"/>
      </w:r>
      <w:r>
        <w:instrText xml:space="preserve"> PAGEREF _Toc21251 \h </w:instrText>
      </w:r>
      <w:r>
        <w:fldChar w:fldCharType="separate"/>
      </w:r>
      <w:r>
        <w:t>64</w:t>
      </w:r>
      <w:r>
        <w:fldChar w:fldCharType="end"/>
      </w:r>
      <w:r>
        <w:rPr>
          <w:rFonts w:hint="eastAsia" w:ascii="宋体" w:hAnsi="宋体" w:cs="宋体"/>
          <w:color w:val="000000" w:themeColor="text1"/>
          <w:szCs w:val="24"/>
          <w14:textFill>
            <w14:solidFill>
              <w14:schemeClr w14:val="tx1"/>
            </w14:solidFill>
          </w14:textFill>
        </w:rPr>
        <w:fldChar w:fldCharType="end"/>
      </w:r>
    </w:p>
    <w:p>
      <w:pPr>
        <w:pStyle w:val="32"/>
        <w:tabs>
          <w:tab w:val="right" w:leader="dot" w:pos="9639"/>
        </w:tabs>
      </w:pPr>
      <w:r>
        <w:rPr>
          <w:rFonts w:hint="eastAsia" w:ascii="宋体" w:hAnsi="宋体" w:cs="宋体"/>
          <w:color w:val="000000" w:themeColor="text1"/>
          <w:szCs w:val="24"/>
          <w14:textFill>
            <w14:solidFill>
              <w14:schemeClr w14:val="tx1"/>
            </w14:solidFill>
          </w14:textFill>
        </w:rPr>
        <w:fldChar w:fldCharType="begin"/>
      </w:r>
      <w:r>
        <w:rPr>
          <w:rFonts w:hint="eastAsia" w:ascii="宋体" w:hAnsi="宋体" w:cs="宋体"/>
          <w:szCs w:val="24"/>
        </w:rPr>
        <w:instrText xml:space="preserve"> HYPERLINK \l _Toc24784 </w:instrText>
      </w:r>
      <w:r>
        <w:rPr>
          <w:rFonts w:hint="eastAsia" w:ascii="宋体" w:hAnsi="宋体" w:cs="宋体"/>
          <w:szCs w:val="24"/>
        </w:rPr>
        <w:fldChar w:fldCharType="separate"/>
      </w:r>
      <w:r>
        <w:rPr>
          <w:rFonts w:hint="eastAsia" w:ascii="宋体" w:hAnsi="宋体" w:cs="宋体"/>
          <w:szCs w:val="24"/>
        </w:rPr>
        <w:t>十、近</w:t>
      </w:r>
      <w:r>
        <w:rPr>
          <w:rFonts w:hint="eastAsia" w:ascii="宋体" w:hAnsi="宋体" w:cs="宋体"/>
          <w:szCs w:val="24"/>
          <w:lang w:val="en-US" w:eastAsia="zh-CN"/>
        </w:rPr>
        <w:t>1</w:t>
      </w:r>
      <w:r>
        <w:rPr>
          <w:rFonts w:hint="eastAsia" w:ascii="宋体" w:hAnsi="宋体" w:cs="宋体"/>
          <w:szCs w:val="24"/>
        </w:rPr>
        <w:t>年财务状况表</w:t>
      </w:r>
      <w:r>
        <w:tab/>
      </w:r>
      <w:r>
        <w:fldChar w:fldCharType="begin"/>
      </w:r>
      <w:r>
        <w:instrText xml:space="preserve"> PAGEREF _Toc24784 \h </w:instrText>
      </w:r>
      <w:r>
        <w:fldChar w:fldCharType="separate"/>
      </w:r>
      <w:r>
        <w:t>65</w:t>
      </w:r>
      <w:r>
        <w:fldChar w:fldCharType="end"/>
      </w:r>
      <w:r>
        <w:rPr>
          <w:rFonts w:hint="eastAsia" w:ascii="宋体" w:hAnsi="宋体" w:cs="宋体"/>
          <w:color w:val="000000" w:themeColor="text1"/>
          <w:szCs w:val="24"/>
          <w14:textFill>
            <w14:solidFill>
              <w14:schemeClr w14:val="tx1"/>
            </w14:solidFill>
          </w14:textFill>
        </w:rPr>
        <w:fldChar w:fldCharType="end"/>
      </w:r>
    </w:p>
    <w:p>
      <w:pPr>
        <w:pStyle w:val="32"/>
        <w:tabs>
          <w:tab w:val="right" w:leader="dot" w:pos="9639"/>
        </w:tabs>
      </w:pPr>
      <w:r>
        <w:rPr>
          <w:rFonts w:hint="eastAsia" w:ascii="宋体" w:hAnsi="宋体" w:cs="宋体"/>
          <w:color w:val="000000" w:themeColor="text1"/>
          <w:szCs w:val="24"/>
          <w14:textFill>
            <w14:solidFill>
              <w14:schemeClr w14:val="tx1"/>
            </w14:solidFill>
          </w14:textFill>
        </w:rPr>
        <w:fldChar w:fldCharType="begin"/>
      </w:r>
      <w:r>
        <w:rPr>
          <w:rFonts w:hint="eastAsia" w:ascii="宋体" w:hAnsi="宋体" w:cs="宋体"/>
          <w:szCs w:val="24"/>
        </w:rPr>
        <w:instrText xml:space="preserve"> HYPERLINK \l _Toc9481 </w:instrText>
      </w:r>
      <w:r>
        <w:rPr>
          <w:rFonts w:hint="eastAsia" w:ascii="宋体" w:hAnsi="宋体" w:cs="宋体"/>
          <w:szCs w:val="24"/>
        </w:rPr>
        <w:fldChar w:fldCharType="separate"/>
      </w:r>
      <w:r>
        <w:rPr>
          <w:rFonts w:hint="eastAsia" w:ascii="宋体" w:hAnsi="宋体" w:cs="宋体"/>
          <w:szCs w:val="24"/>
        </w:rPr>
        <w:t>十一、近3年完成的类似项目情况表</w:t>
      </w:r>
      <w:r>
        <w:tab/>
      </w:r>
      <w:r>
        <w:fldChar w:fldCharType="begin"/>
      </w:r>
      <w:r>
        <w:instrText xml:space="preserve"> PAGEREF _Toc9481 \h </w:instrText>
      </w:r>
      <w:r>
        <w:fldChar w:fldCharType="separate"/>
      </w:r>
      <w:r>
        <w:t>66</w:t>
      </w:r>
      <w:r>
        <w:fldChar w:fldCharType="end"/>
      </w:r>
      <w:r>
        <w:rPr>
          <w:rFonts w:hint="eastAsia" w:ascii="宋体" w:hAnsi="宋体" w:cs="宋体"/>
          <w:color w:val="000000" w:themeColor="text1"/>
          <w:szCs w:val="24"/>
          <w14:textFill>
            <w14:solidFill>
              <w14:schemeClr w14:val="tx1"/>
            </w14:solidFill>
          </w14:textFill>
        </w:rPr>
        <w:fldChar w:fldCharType="end"/>
      </w:r>
    </w:p>
    <w:p>
      <w:pPr>
        <w:pStyle w:val="32"/>
        <w:tabs>
          <w:tab w:val="right" w:leader="dot" w:pos="9639"/>
        </w:tabs>
      </w:pPr>
      <w:r>
        <w:rPr>
          <w:rFonts w:hint="eastAsia" w:ascii="宋体" w:hAnsi="宋体" w:cs="宋体"/>
          <w:color w:val="000000" w:themeColor="text1"/>
          <w:szCs w:val="24"/>
          <w14:textFill>
            <w14:solidFill>
              <w14:schemeClr w14:val="tx1"/>
            </w14:solidFill>
          </w14:textFill>
        </w:rPr>
        <w:fldChar w:fldCharType="begin"/>
      </w:r>
      <w:r>
        <w:rPr>
          <w:rFonts w:hint="eastAsia" w:ascii="宋体" w:hAnsi="宋体" w:cs="宋体"/>
          <w:szCs w:val="24"/>
        </w:rPr>
        <w:instrText xml:space="preserve"> HYPERLINK \l _Toc8624 </w:instrText>
      </w:r>
      <w:r>
        <w:rPr>
          <w:rFonts w:hint="eastAsia" w:ascii="宋体" w:hAnsi="宋体" w:cs="宋体"/>
          <w:szCs w:val="24"/>
        </w:rPr>
        <w:fldChar w:fldCharType="separate"/>
      </w:r>
      <w:r>
        <w:rPr>
          <w:rFonts w:hint="eastAsia" w:ascii="宋体" w:hAnsi="宋体" w:cs="宋体"/>
          <w:szCs w:val="24"/>
        </w:rPr>
        <w:t>十二、项目实施方案及技术措施</w:t>
      </w:r>
      <w:r>
        <w:tab/>
      </w:r>
      <w:r>
        <w:fldChar w:fldCharType="begin"/>
      </w:r>
      <w:r>
        <w:instrText xml:space="preserve"> PAGEREF _Toc8624 \h </w:instrText>
      </w:r>
      <w:r>
        <w:fldChar w:fldCharType="separate"/>
      </w:r>
      <w:r>
        <w:t>67</w:t>
      </w:r>
      <w:r>
        <w:fldChar w:fldCharType="end"/>
      </w:r>
      <w:r>
        <w:rPr>
          <w:rFonts w:hint="eastAsia" w:ascii="宋体" w:hAnsi="宋体" w:cs="宋体"/>
          <w:color w:val="000000" w:themeColor="text1"/>
          <w:szCs w:val="24"/>
          <w14:textFill>
            <w14:solidFill>
              <w14:schemeClr w14:val="tx1"/>
            </w14:solidFill>
          </w14:textFill>
        </w:rPr>
        <w:fldChar w:fldCharType="end"/>
      </w:r>
    </w:p>
    <w:p>
      <w:pPr>
        <w:pStyle w:val="32"/>
        <w:tabs>
          <w:tab w:val="right" w:leader="dot" w:pos="9639"/>
        </w:tabs>
      </w:pPr>
      <w:r>
        <w:rPr>
          <w:rFonts w:hint="eastAsia" w:ascii="宋体" w:hAnsi="宋体" w:cs="宋体"/>
          <w:color w:val="000000" w:themeColor="text1"/>
          <w:szCs w:val="24"/>
          <w14:textFill>
            <w14:solidFill>
              <w14:schemeClr w14:val="tx1"/>
            </w14:solidFill>
          </w14:textFill>
        </w:rPr>
        <w:fldChar w:fldCharType="begin"/>
      </w:r>
      <w:r>
        <w:rPr>
          <w:rFonts w:hint="eastAsia" w:ascii="宋体" w:hAnsi="宋体" w:cs="宋体"/>
          <w:szCs w:val="24"/>
        </w:rPr>
        <w:instrText xml:space="preserve"> HYPERLINK \l _Toc22833 </w:instrText>
      </w:r>
      <w:r>
        <w:rPr>
          <w:rFonts w:hint="eastAsia" w:ascii="宋体" w:hAnsi="宋体" w:cs="宋体"/>
          <w:szCs w:val="24"/>
        </w:rPr>
        <w:fldChar w:fldCharType="separate"/>
      </w:r>
      <w:r>
        <w:rPr>
          <w:rFonts w:hint="eastAsia" w:ascii="宋体" w:hAnsi="宋体" w:cs="宋体"/>
          <w:szCs w:val="24"/>
        </w:rPr>
        <w:t>十四、货物装卸、运输及储存</w:t>
      </w:r>
      <w:r>
        <w:tab/>
      </w:r>
      <w:r>
        <w:fldChar w:fldCharType="begin"/>
      </w:r>
      <w:r>
        <w:instrText xml:space="preserve"> PAGEREF _Toc22833 \h </w:instrText>
      </w:r>
      <w:r>
        <w:fldChar w:fldCharType="separate"/>
      </w:r>
      <w:r>
        <w:t>67</w:t>
      </w:r>
      <w:r>
        <w:fldChar w:fldCharType="end"/>
      </w:r>
      <w:r>
        <w:rPr>
          <w:rFonts w:hint="eastAsia" w:ascii="宋体" w:hAnsi="宋体" w:cs="宋体"/>
          <w:color w:val="000000" w:themeColor="text1"/>
          <w:szCs w:val="24"/>
          <w14:textFill>
            <w14:solidFill>
              <w14:schemeClr w14:val="tx1"/>
            </w14:solidFill>
          </w14:textFill>
        </w:rPr>
        <w:fldChar w:fldCharType="end"/>
      </w:r>
    </w:p>
    <w:p>
      <w:pPr>
        <w:pStyle w:val="32"/>
        <w:tabs>
          <w:tab w:val="right" w:leader="dot" w:pos="9639"/>
        </w:tabs>
      </w:pPr>
      <w:r>
        <w:rPr>
          <w:rFonts w:hint="eastAsia" w:ascii="宋体" w:hAnsi="宋体" w:cs="宋体"/>
          <w:color w:val="000000" w:themeColor="text1"/>
          <w:szCs w:val="24"/>
          <w14:textFill>
            <w14:solidFill>
              <w14:schemeClr w14:val="tx1"/>
            </w14:solidFill>
          </w14:textFill>
        </w:rPr>
        <w:fldChar w:fldCharType="begin"/>
      </w:r>
      <w:r>
        <w:rPr>
          <w:rFonts w:hint="eastAsia" w:ascii="宋体" w:hAnsi="宋体" w:cs="宋体"/>
          <w:szCs w:val="24"/>
        </w:rPr>
        <w:instrText xml:space="preserve"> HYPERLINK \l _Toc19966 </w:instrText>
      </w:r>
      <w:r>
        <w:rPr>
          <w:rFonts w:hint="eastAsia" w:ascii="宋体" w:hAnsi="宋体" w:cs="宋体"/>
          <w:szCs w:val="24"/>
        </w:rPr>
        <w:fldChar w:fldCharType="separate"/>
      </w:r>
      <w:r>
        <w:rPr>
          <w:rFonts w:hint="eastAsia" w:ascii="宋体" w:hAnsi="宋体" w:cs="宋体"/>
          <w:szCs w:val="24"/>
        </w:rPr>
        <w:t>十五、保证项目实施的技术力量和人力资源安排</w:t>
      </w:r>
      <w:r>
        <w:tab/>
      </w:r>
      <w:r>
        <w:fldChar w:fldCharType="begin"/>
      </w:r>
      <w:r>
        <w:instrText xml:space="preserve"> PAGEREF _Toc19966 \h </w:instrText>
      </w:r>
      <w:r>
        <w:fldChar w:fldCharType="separate"/>
      </w:r>
      <w:r>
        <w:t>67</w:t>
      </w:r>
      <w:r>
        <w:fldChar w:fldCharType="end"/>
      </w:r>
      <w:r>
        <w:rPr>
          <w:rFonts w:hint="eastAsia" w:ascii="宋体" w:hAnsi="宋体" w:cs="宋体"/>
          <w:color w:val="000000" w:themeColor="text1"/>
          <w:szCs w:val="24"/>
          <w14:textFill>
            <w14:solidFill>
              <w14:schemeClr w14:val="tx1"/>
            </w14:solidFill>
          </w14:textFill>
        </w:rPr>
        <w:fldChar w:fldCharType="end"/>
      </w:r>
    </w:p>
    <w:p>
      <w:pPr>
        <w:pStyle w:val="32"/>
        <w:tabs>
          <w:tab w:val="right" w:leader="dot" w:pos="9639"/>
        </w:tabs>
      </w:pPr>
      <w:r>
        <w:rPr>
          <w:rFonts w:hint="eastAsia" w:ascii="宋体" w:hAnsi="宋体" w:cs="宋体"/>
          <w:color w:val="000000" w:themeColor="text1"/>
          <w:szCs w:val="24"/>
          <w14:textFill>
            <w14:solidFill>
              <w14:schemeClr w14:val="tx1"/>
            </w14:solidFill>
          </w14:textFill>
        </w:rPr>
        <w:fldChar w:fldCharType="begin"/>
      </w:r>
      <w:r>
        <w:rPr>
          <w:rFonts w:hint="eastAsia" w:ascii="宋体" w:hAnsi="宋体" w:cs="宋体"/>
          <w:szCs w:val="24"/>
        </w:rPr>
        <w:instrText xml:space="preserve"> HYPERLINK \l _Toc29334 </w:instrText>
      </w:r>
      <w:r>
        <w:rPr>
          <w:rFonts w:hint="eastAsia" w:ascii="宋体" w:hAnsi="宋体" w:cs="宋体"/>
          <w:szCs w:val="24"/>
        </w:rPr>
        <w:fldChar w:fldCharType="separate"/>
      </w:r>
      <w:r>
        <w:rPr>
          <w:rFonts w:hint="eastAsia" w:ascii="宋体" w:hAnsi="宋体" w:cs="宋体"/>
          <w:szCs w:val="24"/>
        </w:rPr>
        <w:t>十八、项目质量及保修期限</w:t>
      </w:r>
      <w:r>
        <w:tab/>
      </w:r>
      <w:r>
        <w:fldChar w:fldCharType="begin"/>
      </w:r>
      <w:r>
        <w:instrText xml:space="preserve"> PAGEREF _Toc29334 \h </w:instrText>
      </w:r>
      <w:r>
        <w:fldChar w:fldCharType="separate"/>
      </w:r>
      <w:r>
        <w:t>68</w:t>
      </w:r>
      <w:r>
        <w:fldChar w:fldCharType="end"/>
      </w:r>
      <w:r>
        <w:rPr>
          <w:rFonts w:hint="eastAsia" w:ascii="宋体" w:hAnsi="宋体" w:cs="宋体"/>
          <w:color w:val="000000" w:themeColor="text1"/>
          <w:szCs w:val="24"/>
          <w14:textFill>
            <w14:solidFill>
              <w14:schemeClr w14:val="tx1"/>
            </w14:solidFill>
          </w14:textFill>
        </w:rPr>
        <w:fldChar w:fldCharType="end"/>
      </w:r>
    </w:p>
    <w:p>
      <w:pPr>
        <w:pStyle w:val="32"/>
        <w:tabs>
          <w:tab w:val="right" w:leader="dot" w:pos="9639"/>
        </w:tabs>
      </w:pPr>
      <w:r>
        <w:rPr>
          <w:rFonts w:hint="eastAsia" w:ascii="宋体" w:hAnsi="宋体" w:cs="宋体"/>
          <w:color w:val="000000" w:themeColor="text1"/>
          <w:szCs w:val="24"/>
          <w14:textFill>
            <w14:solidFill>
              <w14:schemeClr w14:val="tx1"/>
            </w14:solidFill>
          </w14:textFill>
        </w:rPr>
        <w:fldChar w:fldCharType="begin"/>
      </w:r>
      <w:r>
        <w:rPr>
          <w:rFonts w:hint="eastAsia" w:ascii="宋体" w:hAnsi="宋体" w:cs="宋体"/>
          <w:szCs w:val="24"/>
        </w:rPr>
        <w:instrText xml:space="preserve"> HYPERLINK \l _Toc15618 </w:instrText>
      </w:r>
      <w:r>
        <w:rPr>
          <w:rFonts w:hint="eastAsia" w:ascii="宋体" w:hAnsi="宋体" w:cs="宋体"/>
          <w:szCs w:val="24"/>
        </w:rPr>
        <w:fldChar w:fldCharType="separate"/>
      </w:r>
      <w:r>
        <w:rPr>
          <w:rFonts w:hint="eastAsia" w:ascii="宋体" w:hAnsi="宋体" w:cs="宋体"/>
          <w:szCs w:val="24"/>
        </w:rPr>
        <w:t>（必须符合业主方规定的时间期限）</w:t>
      </w:r>
      <w:r>
        <w:tab/>
      </w:r>
      <w:r>
        <w:fldChar w:fldCharType="begin"/>
      </w:r>
      <w:r>
        <w:instrText xml:space="preserve"> PAGEREF _Toc15618 \h </w:instrText>
      </w:r>
      <w:r>
        <w:fldChar w:fldCharType="separate"/>
      </w:r>
      <w:r>
        <w:t>68</w:t>
      </w:r>
      <w:r>
        <w:fldChar w:fldCharType="end"/>
      </w:r>
      <w:r>
        <w:rPr>
          <w:rFonts w:hint="eastAsia" w:ascii="宋体" w:hAnsi="宋体" w:cs="宋体"/>
          <w:color w:val="000000" w:themeColor="text1"/>
          <w:szCs w:val="24"/>
          <w14:textFill>
            <w14:solidFill>
              <w14:schemeClr w14:val="tx1"/>
            </w14:solidFill>
          </w14:textFill>
        </w:rPr>
        <w:fldChar w:fldCharType="end"/>
      </w:r>
    </w:p>
    <w:p>
      <w:pPr>
        <w:pStyle w:val="32"/>
        <w:tabs>
          <w:tab w:val="right" w:leader="dot" w:pos="9639"/>
        </w:tabs>
      </w:pPr>
      <w:r>
        <w:rPr>
          <w:rFonts w:hint="eastAsia" w:ascii="宋体" w:hAnsi="宋体" w:cs="宋体"/>
          <w:color w:val="000000" w:themeColor="text1"/>
          <w:szCs w:val="24"/>
          <w14:textFill>
            <w14:solidFill>
              <w14:schemeClr w14:val="tx1"/>
            </w14:solidFill>
          </w14:textFill>
        </w:rPr>
        <w:fldChar w:fldCharType="begin"/>
      </w:r>
      <w:r>
        <w:rPr>
          <w:rFonts w:hint="eastAsia" w:ascii="宋体" w:hAnsi="宋体" w:cs="宋体"/>
          <w:szCs w:val="24"/>
        </w:rPr>
        <w:instrText xml:space="preserve"> HYPERLINK \l _Toc12691 </w:instrText>
      </w:r>
      <w:r>
        <w:rPr>
          <w:rFonts w:hint="eastAsia" w:ascii="宋体" w:hAnsi="宋体" w:cs="宋体"/>
          <w:szCs w:val="24"/>
        </w:rPr>
        <w:fldChar w:fldCharType="separate"/>
      </w:r>
      <w:r>
        <w:rPr>
          <w:rFonts w:hint="eastAsia" w:ascii="宋体" w:hAnsi="宋体" w:cs="宋体"/>
          <w:szCs w:val="24"/>
        </w:rPr>
        <w:t>十九、投标单位（投标人）《反商业贿赂承诺书》</w:t>
      </w:r>
      <w:r>
        <w:tab/>
      </w:r>
      <w:r>
        <w:fldChar w:fldCharType="begin"/>
      </w:r>
      <w:r>
        <w:instrText xml:space="preserve"> PAGEREF _Toc12691 \h </w:instrText>
      </w:r>
      <w:r>
        <w:fldChar w:fldCharType="separate"/>
      </w:r>
      <w:r>
        <w:t>69</w:t>
      </w:r>
      <w:r>
        <w:fldChar w:fldCharType="end"/>
      </w:r>
      <w:r>
        <w:rPr>
          <w:rFonts w:hint="eastAsia" w:ascii="宋体" w:hAnsi="宋体" w:cs="宋体"/>
          <w:color w:val="000000" w:themeColor="text1"/>
          <w:szCs w:val="24"/>
          <w14:textFill>
            <w14:solidFill>
              <w14:schemeClr w14:val="tx1"/>
            </w14:solidFill>
          </w14:textFill>
        </w:rPr>
        <w:fldChar w:fldCharType="end"/>
      </w:r>
    </w:p>
    <w:p>
      <w:pPr>
        <w:pStyle w:val="32"/>
        <w:tabs>
          <w:tab w:val="right" w:leader="dot" w:pos="9639"/>
        </w:tabs>
      </w:pPr>
      <w:r>
        <w:rPr>
          <w:rFonts w:hint="eastAsia" w:ascii="宋体" w:hAnsi="宋体" w:cs="宋体"/>
          <w:color w:val="000000" w:themeColor="text1"/>
          <w:szCs w:val="24"/>
          <w14:textFill>
            <w14:solidFill>
              <w14:schemeClr w14:val="tx1"/>
            </w14:solidFill>
          </w14:textFill>
        </w:rPr>
        <w:fldChar w:fldCharType="begin"/>
      </w:r>
      <w:r>
        <w:rPr>
          <w:rFonts w:hint="eastAsia" w:ascii="宋体" w:hAnsi="宋体" w:cs="宋体"/>
          <w:szCs w:val="24"/>
        </w:rPr>
        <w:instrText xml:space="preserve"> HYPERLINK \l _Toc8982 </w:instrText>
      </w:r>
      <w:r>
        <w:rPr>
          <w:rFonts w:hint="eastAsia" w:ascii="宋体" w:hAnsi="宋体" w:cs="宋体"/>
          <w:szCs w:val="24"/>
        </w:rPr>
        <w:fldChar w:fldCharType="separate"/>
      </w:r>
      <w:r>
        <w:rPr>
          <w:rFonts w:hint="eastAsia" w:ascii="宋体" w:hAnsi="宋体" w:cs="宋体"/>
          <w:szCs w:val="24"/>
        </w:rPr>
        <w:t>二十一、其他资料</w:t>
      </w:r>
      <w:r>
        <w:tab/>
      </w:r>
      <w:r>
        <w:fldChar w:fldCharType="begin"/>
      </w:r>
      <w:r>
        <w:instrText xml:space="preserve"> PAGEREF _Toc8982 \h </w:instrText>
      </w:r>
      <w:r>
        <w:fldChar w:fldCharType="separate"/>
      </w:r>
      <w:r>
        <w:t>71</w:t>
      </w:r>
      <w:r>
        <w:fldChar w:fldCharType="end"/>
      </w:r>
      <w:r>
        <w:rPr>
          <w:rFonts w:hint="eastAsia" w:ascii="宋体" w:hAnsi="宋体" w:cs="宋体"/>
          <w:color w:val="000000" w:themeColor="text1"/>
          <w:szCs w:val="24"/>
          <w14:textFill>
            <w14:solidFill>
              <w14:schemeClr w14:val="tx1"/>
            </w14:solidFill>
          </w14:textFill>
        </w:rPr>
        <w:fldChar w:fldCharType="end"/>
      </w:r>
    </w:p>
    <w:p>
      <w:pPr>
        <w:pStyle w:val="32"/>
        <w:tabs>
          <w:tab w:val="right" w:leader="dot" w:pos="9639"/>
        </w:tabs>
      </w:pPr>
      <w:r>
        <w:rPr>
          <w:rFonts w:hint="eastAsia" w:ascii="宋体" w:hAnsi="宋体" w:cs="宋体"/>
          <w:color w:val="000000" w:themeColor="text1"/>
          <w:szCs w:val="24"/>
          <w14:textFill>
            <w14:solidFill>
              <w14:schemeClr w14:val="tx1"/>
            </w14:solidFill>
          </w14:textFill>
        </w:rPr>
        <w:fldChar w:fldCharType="begin"/>
      </w:r>
      <w:r>
        <w:rPr>
          <w:rFonts w:hint="eastAsia" w:ascii="宋体" w:hAnsi="宋体" w:cs="宋体"/>
          <w:szCs w:val="24"/>
        </w:rPr>
        <w:instrText xml:space="preserve"> HYPERLINK \l _Toc16600 </w:instrText>
      </w:r>
      <w:r>
        <w:rPr>
          <w:rFonts w:hint="eastAsia" w:ascii="宋体" w:hAnsi="宋体" w:cs="宋体"/>
          <w:szCs w:val="24"/>
        </w:rPr>
        <w:fldChar w:fldCharType="separate"/>
      </w:r>
      <w:r>
        <w:rPr>
          <w:rFonts w:hint="eastAsia" w:ascii="宋体" w:hAnsi="宋体" w:cs="宋体"/>
          <w:bCs/>
          <w:szCs w:val="24"/>
        </w:rPr>
        <w:t>（招标文件要求提供的其他资料及投标人认为需提供的其他资料）</w:t>
      </w:r>
      <w:r>
        <w:tab/>
      </w:r>
      <w:r>
        <w:fldChar w:fldCharType="begin"/>
      </w:r>
      <w:r>
        <w:instrText xml:space="preserve"> PAGEREF _Toc16600 \h </w:instrText>
      </w:r>
      <w:r>
        <w:fldChar w:fldCharType="separate"/>
      </w:r>
      <w:r>
        <w:t>71</w:t>
      </w:r>
      <w:r>
        <w:fldChar w:fldCharType="end"/>
      </w:r>
      <w:r>
        <w:rPr>
          <w:rFonts w:hint="eastAsia" w:ascii="宋体" w:hAnsi="宋体" w:cs="宋体"/>
          <w:color w:val="000000" w:themeColor="text1"/>
          <w:szCs w:val="24"/>
          <w14:textFill>
            <w14:solidFill>
              <w14:schemeClr w14:val="tx1"/>
            </w14:solidFill>
          </w14:textFill>
        </w:rPr>
        <w:fldChar w:fldCharType="end"/>
      </w:r>
    </w:p>
    <w:p>
      <w:pPr>
        <w:widowControl/>
        <w:spacing w:line="500" w:lineRule="exact"/>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Cs w:val="24"/>
          <w14:textFill>
            <w14:solidFill>
              <w14:schemeClr w14:val="tx1"/>
            </w14:solidFill>
          </w14:textFill>
        </w:rPr>
        <w:fldChar w:fldCharType="end"/>
      </w:r>
      <w:bookmarkStart w:id="7" w:name="_Toc406749968"/>
      <w:bookmarkStart w:id="8" w:name="_Toc14599"/>
      <w:bookmarkStart w:id="9" w:name="_Toc1674"/>
      <w:bookmarkStart w:id="10" w:name="_Toc487728197"/>
    </w:p>
    <w:p>
      <w:pPr>
        <w:spacing w:line="500" w:lineRule="exac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br w:type="page"/>
      </w:r>
    </w:p>
    <w:p>
      <w:pPr>
        <w:jc w:val="center"/>
        <w:rPr>
          <w:rFonts w:hint="default"/>
          <w:b/>
          <w:bCs/>
          <w:sz w:val="30"/>
          <w:szCs w:val="30"/>
          <w:lang w:val="en-US" w:eastAsia="zh-CN"/>
        </w:rPr>
      </w:pPr>
      <w:r>
        <w:rPr>
          <w:rFonts w:hint="eastAsia"/>
          <w:b/>
          <w:bCs/>
          <w:sz w:val="30"/>
          <w:szCs w:val="30"/>
          <w:lang w:val="en-US" w:eastAsia="zh-CN"/>
        </w:rPr>
        <w:t>第一章</w:t>
      </w:r>
      <w:bookmarkEnd w:id="5"/>
      <w:bookmarkEnd w:id="6"/>
      <w:bookmarkEnd w:id="7"/>
      <w:bookmarkEnd w:id="8"/>
      <w:bookmarkEnd w:id="9"/>
      <w:bookmarkEnd w:id="10"/>
      <w:bookmarkStart w:id="11" w:name="_Toc213397009"/>
      <w:bookmarkStart w:id="12" w:name="_Toc213496267"/>
      <w:bookmarkStart w:id="13" w:name="_Toc217446031"/>
      <w:bookmarkStart w:id="14" w:name="_Toc213396945"/>
      <w:bookmarkStart w:id="15" w:name="_Toc213396759"/>
      <w:bookmarkStart w:id="16" w:name="_Toc89075871"/>
      <w:bookmarkStart w:id="17" w:name="_Toc183582202"/>
      <w:bookmarkStart w:id="18" w:name="_Toc77400776"/>
      <w:bookmarkStart w:id="19" w:name="_Toc183682339"/>
      <w:r>
        <w:rPr>
          <w:rFonts w:hint="eastAsia"/>
          <w:b/>
          <w:bCs/>
          <w:sz w:val="30"/>
          <w:szCs w:val="30"/>
          <w:lang w:val="en-US" w:eastAsia="zh-CN"/>
        </w:rPr>
        <w:t>招标公告</w:t>
      </w:r>
    </w:p>
    <w:p>
      <w:pPr>
        <w:jc w:val="center"/>
        <w:rPr>
          <w:rFonts w:hint="eastAsia"/>
          <w:b/>
          <w:bCs/>
          <w:sz w:val="30"/>
          <w:szCs w:val="30"/>
          <w:lang w:val="en-US" w:eastAsia="zh-CN"/>
        </w:rPr>
      </w:pPr>
      <w:bookmarkStart w:id="20" w:name="_Toc32650"/>
      <w:bookmarkStart w:id="21" w:name="_Toc487728198"/>
      <w:bookmarkStart w:id="22" w:name="_Toc406749969"/>
      <w:bookmarkStart w:id="23" w:name="_Toc20998"/>
      <w:r>
        <w:rPr>
          <w:rFonts w:hint="eastAsia"/>
          <w:b/>
          <w:bCs/>
          <w:sz w:val="30"/>
          <w:szCs w:val="30"/>
          <w:lang w:val="en-US" w:eastAsia="zh-CN"/>
        </w:rPr>
        <w:t>阿克苏职业技术学院美育教育实训中心建设项目招标公告</w:t>
      </w:r>
    </w:p>
    <w:p>
      <w:pPr>
        <w:pStyle w:val="47"/>
        <w:rPr>
          <w:rFonts w:hint="default"/>
          <w:lang w:val="en-US" w:eastAsia="zh-CN"/>
        </w:rPr>
      </w:pPr>
      <w:r>
        <w:rPr>
          <w:sz w:val="28"/>
        </w:rPr>
        <mc:AlternateContent>
          <mc:Choice Requires="wps">
            <w:drawing>
              <wp:anchor distT="0" distB="0" distL="114300" distR="114300" simplePos="0" relativeHeight="251663360" behindDoc="1" locked="0" layoutInCell="1" allowOverlap="1">
                <wp:simplePos x="0" y="0"/>
                <wp:positionH relativeFrom="column">
                  <wp:posOffset>-121285</wp:posOffset>
                </wp:positionH>
                <wp:positionV relativeFrom="paragraph">
                  <wp:posOffset>147320</wp:posOffset>
                </wp:positionV>
                <wp:extent cx="6332220" cy="1111885"/>
                <wp:effectExtent l="6350" t="6350" r="16510" b="9525"/>
                <wp:wrapNone/>
                <wp:docPr id="5" name="矩形 5"/>
                <wp:cNvGraphicFramePr/>
                <a:graphic xmlns:a="http://schemas.openxmlformats.org/drawingml/2006/main">
                  <a:graphicData uri="http://schemas.microsoft.com/office/word/2010/wordprocessingShape">
                    <wps:wsp>
                      <wps:cNvSpPr/>
                      <wps:spPr>
                        <a:xfrm>
                          <a:off x="1006475" y="1367155"/>
                          <a:ext cx="6332220" cy="953135"/>
                        </a:xfrm>
                        <a:prstGeom prst="rect">
                          <a:avLst/>
                        </a:prstGeom>
                        <a:solidFill>
                          <a:srgbClr val="FFFFFF"/>
                        </a:solidFill>
                        <a:ln w="12700" cap="flat" cmpd="sng" algn="ctr">
                          <a:solidFill>
                            <a:srgbClr val="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9.55pt;margin-top:11.6pt;height:87.55pt;width:498.6pt;z-index:-251653120;v-text-anchor:middle;mso-width-relative:page;mso-height-relative:page;" fillcolor="#FFFFFF" filled="t" stroked="t" coordsize="21600,21600" o:gfxdata="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">
                <v:fill on="t" focussize="0,0"/>
                <v:stroke weight="1pt" color="#000000" miterlimit="8" joinstyle="miter"/>
                <v:imagedata o:title=""/>
                <o:lock v:ext="edit" aspectratio="f"/>
              </v:rect>
            </w:pict>
          </mc:Fallback>
        </mc:AlternateContent>
      </w:r>
    </w:p>
    <w:p>
      <w:pPr>
        <w:keepNext w:val="0"/>
        <w:keepLines w:val="0"/>
        <w:pageBreakBefore w:val="0"/>
        <w:widowControl w:val="0"/>
        <w:kinsoku/>
        <w:wordWrap/>
        <w:overflowPunct/>
        <w:topLinePunct w:val="0"/>
        <w:autoSpaceDE/>
        <w:autoSpaceDN/>
        <w:bidi w:val="0"/>
        <w:adjustRightInd/>
        <w:snapToGrid/>
        <w:spacing w:line="430" w:lineRule="exact"/>
        <w:textAlignment w:val="auto"/>
        <w:rPr>
          <w:rFonts w:hint="eastAsia"/>
          <w:sz w:val="28"/>
          <w:szCs w:val="28"/>
          <w:lang w:val="en-US" w:eastAsia="zh-CN"/>
        </w:rPr>
      </w:pPr>
      <w:r>
        <w:rPr>
          <w:rFonts w:hint="eastAsia"/>
          <w:sz w:val="28"/>
          <w:szCs w:val="28"/>
          <w:lang w:val="en-US" w:eastAsia="zh-CN"/>
        </w:rPr>
        <w:t>项目概况</w:t>
      </w:r>
    </w:p>
    <w:p>
      <w:pPr>
        <w:keepNext w:val="0"/>
        <w:keepLines w:val="0"/>
        <w:pageBreakBefore w:val="0"/>
        <w:widowControl w:val="0"/>
        <w:kinsoku/>
        <w:wordWrap/>
        <w:overflowPunct/>
        <w:topLinePunct w:val="0"/>
        <w:autoSpaceDE/>
        <w:autoSpaceDN/>
        <w:bidi w:val="0"/>
        <w:adjustRightInd/>
        <w:snapToGrid/>
        <w:spacing w:line="430" w:lineRule="exact"/>
        <w:ind w:firstLine="560" w:firstLineChars="200"/>
        <w:textAlignment w:val="auto"/>
        <w:rPr>
          <w:rFonts w:hint="default"/>
          <w:sz w:val="28"/>
          <w:szCs w:val="28"/>
          <w:lang w:val="en-US"/>
        </w:rPr>
      </w:pPr>
      <w:r>
        <w:rPr>
          <w:rFonts w:hint="eastAsia"/>
          <w:sz w:val="28"/>
          <w:szCs w:val="28"/>
          <w:u w:val="single"/>
          <w:lang w:val="en-US" w:eastAsia="zh-CN"/>
        </w:rPr>
        <w:t>阿克苏职业技术学院美育教育实训中心建设项目</w:t>
      </w:r>
      <w:r>
        <w:rPr>
          <w:rFonts w:hint="eastAsia"/>
          <w:sz w:val="28"/>
          <w:szCs w:val="28"/>
          <w:lang w:val="en-US" w:eastAsia="zh-CN"/>
        </w:rPr>
        <w:t>的潜在投标人应在新疆政府采购网获取招标文件，并于</w:t>
      </w:r>
      <w:r>
        <w:rPr>
          <w:rFonts w:hint="eastAsia"/>
          <w:sz w:val="28"/>
          <w:szCs w:val="28"/>
          <w:u w:val="single"/>
          <w:lang w:val="en-US" w:eastAsia="zh-CN"/>
        </w:rPr>
        <w:t>2022年5月25日10:30分</w:t>
      </w:r>
      <w:r>
        <w:rPr>
          <w:rFonts w:hint="eastAsia"/>
          <w:sz w:val="28"/>
          <w:szCs w:val="28"/>
          <w:lang w:val="en-US" w:eastAsia="zh-CN"/>
        </w:rPr>
        <w:t>（北京时间）前递交投标文件。</w:t>
      </w:r>
    </w:p>
    <w:p>
      <w:pPr>
        <w:keepNext w:val="0"/>
        <w:keepLines w:val="0"/>
        <w:pageBreakBefore w:val="0"/>
        <w:widowControl w:val="0"/>
        <w:kinsoku/>
        <w:wordWrap/>
        <w:overflowPunct/>
        <w:topLinePunct w:val="0"/>
        <w:autoSpaceDE/>
        <w:autoSpaceDN/>
        <w:bidi w:val="0"/>
        <w:adjustRightInd/>
        <w:snapToGrid/>
        <w:spacing w:line="430" w:lineRule="exact"/>
        <w:textAlignment w:val="auto"/>
        <w:rPr>
          <w:sz w:val="28"/>
          <w:szCs w:val="28"/>
        </w:rPr>
      </w:pPr>
      <w:r>
        <w:rPr>
          <w:sz w:val="28"/>
          <w:szCs w:val="28"/>
        </w:rPr>
        <w:t>一、项目基本情况</w:t>
      </w:r>
    </w:p>
    <w:p>
      <w:pPr>
        <w:keepNext w:val="0"/>
        <w:keepLines w:val="0"/>
        <w:pageBreakBefore w:val="0"/>
        <w:widowControl w:val="0"/>
        <w:kinsoku/>
        <w:wordWrap/>
        <w:overflowPunct/>
        <w:topLinePunct w:val="0"/>
        <w:autoSpaceDE/>
        <w:autoSpaceDN/>
        <w:bidi w:val="0"/>
        <w:adjustRightInd/>
        <w:snapToGrid/>
        <w:spacing w:line="430" w:lineRule="exact"/>
        <w:textAlignment w:val="auto"/>
        <w:rPr>
          <w:rFonts w:hint="default"/>
          <w:sz w:val="28"/>
          <w:szCs w:val="28"/>
          <w:lang w:val="en-US"/>
        </w:rPr>
      </w:pPr>
      <w:r>
        <w:rPr>
          <w:sz w:val="28"/>
          <w:szCs w:val="28"/>
          <w:lang w:val="en-US" w:eastAsia="zh-CN"/>
        </w:rPr>
        <w:t>项目编号</w:t>
      </w:r>
      <w:r>
        <w:rPr>
          <w:rFonts w:hint="eastAsia"/>
          <w:sz w:val="28"/>
          <w:szCs w:val="28"/>
          <w:lang w:val="en-US" w:eastAsia="zh-CN"/>
        </w:rPr>
        <w:t>：分-2022-01-96</w:t>
      </w:r>
    </w:p>
    <w:p>
      <w:pPr>
        <w:keepNext w:val="0"/>
        <w:keepLines w:val="0"/>
        <w:pageBreakBefore w:val="0"/>
        <w:widowControl w:val="0"/>
        <w:kinsoku/>
        <w:wordWrap/>
        <w:overflowPunct/>
        <w:topLinePunct w:val="0"/>
        <w:autoSpaceDE/>
        <w:autoSpaceDN/>
        <w:bidi w:val="0"/>
        <w:adjustRightInd/>
        <w:snapToGrid/>
        <w:spacing w:line="430" w:lineRule="exact"/>
        <w:textAlignment w:val="auto"/>
        <w:rPr>
          <w:sz w:val="28"/>
          <w:szCs w:val="28"/>
        </w:rPr>
      </w:pPr>
      <w:r>
        <w:rPr>
          <w:rFonts w:hint="eastAsia"/>
          <w:sz w:val="28"/>
          <w:szCs w:val="28"/>
          <w:lang w:val="en-US" w:eastAsia="zh-CN"/>
        </w:rPr>
        <w:t>项目名称：阿克苏职业技术学院美育教育实训中心建设项目</w:t>
      </w:r>
    </w:p>
    <w:p>
      <w:pPr>
        <w:keepNext w:val="0"/>
        <w:keepLines w:val="0"/>
        <w:pageBreakBefore w:val="0"/>
        <w:widowControl w:val="0"/>
        <w:kinsoku/>
        <w:wordWrap/>
        <w:overflowPunct/>
        <w:topLinePunct w:val="0"/>
        <w:autoSpaceDE/>
        <w:autoSpaceDN/>
        <w:bidi w:val="0"/>
        <w:adjustRightInd/>
        <w:snapToGrid/>
        <w:spacing w:line="430" w:lineRule="exact"/>
        <w:textAlignment w:val="auto"/>
        <w:rPr>
          <w:sz w:val="28"/>
          <w:szCs w:val="28"/>
        </w:rPr>
      </w:pPr>
      <w:r>
        <w:rPr>
          <w:rFonts w:hint="eastAsia"/>
          <w:sz w:val="28"/>
          <w:szCs w:val="28"/>
          <w:lang w:val="en-US" w:eastAsia="zh-CN"/>
        </w:rPr>
        <w:t>预算金额：2000000元</w:t>
      </w:r>
    </w:p>
    <w:p>
      <w:pPr>
        <w:keepNext w:val="0"/>
        <w:keepLines w:val="0"/>
        <w:pageBreakBefore w:val="0"/>
        <w:widowControl w:val="0"/>
        <w:kinsoku/>
        <w:wordWrap/>
        <w:overflowPunct/>
        <w:topLinePunct w:val="0"/>
        <w:autoSpaceDE/>
        <w:autoSpaceDN/>
        <w:bidi w:val="0"/>
        <w:adjustRightInd/>
        <w:snapToGrid/>
        <w:spacing w:line="430" w:lineRule="exact"/>
        <w:textAlignment w:val="auto"/>
        <w:rPr>
          <w:sz w:val="28"/>
          <w:szCs w:val="28"/>
        </w:rPr>
      </w:pPr>
      <w:r>
        <w:rPr>
          <w:rFonts w:hint="eastAsia"/>
          <w:sz w:val="28"/>
          <w:szCs w:val="28"/>
          <w:lang w:val="en-US" w:eastAsia="zh-CN"/>
        </w:rPr>
        <w:t>最高限价：2000000元</w:t>
      </w:r>
    </w:p>
    <w:p>
      <w:pPr>
        <w:keepNext w:val="0"/>
        <w:keepLines w:val="0"/>
        <w:pageBreakBefore w:val="0"/>
        <w:widowControl w:val="0"/>
        <w:kinsoku/>
        <w:wordWrap/>
        <w:overflowPunct/>
        <w:topLinePunct w:val="0"/>
        <w:autoSpaceDE/>
        <w:autoSpaceDN/>
        <w:bidi w:val="0"/>
        <w:adjustRightInd/>
        <w:snapToGrid/>
        <w:spacing w:line="430" w:lineRule="exact"/>
        <w:textAlignment w:val="auto"/>
        <w:rPr>
          <w:sz w:val="28"/>
          <w:szCs w:val="28"/>
        </w:rPr>
      </w:pPr>
      <w:r>
        <w:rPr>
          <w:rFonts w:hint="eastAsia"/>
          <w:sz w:val="28"/>
          <w:szCs w:val="28"/>
          <w:lang w:val="en-US" w:eastAsia="zh-CN"/>
        </w:rPr>
        <w:t>采购需求：数量：1</w:t>
      </w:r>
    </w:p>
    <w:p>
      <w:pPr>
        <w:keepNext w:val="0"/>
        <w:keepLines w:val="0"/>
        <w:pageBreakBefore w:val="0"/>
        <w:widowControl w:val="0"/>
        <w:kinsoku/>
        <w:wordWrap/>
        <w:overflowPunct/>
        <w:topLinePunct w:val="0"/>
        <w:autoSpaceDE/>
        <w:autoSpaceDN/>
        <w:bidi w:val="0"/>
        <w:adjustRightInd/>
        <w:snapToGrid/>
        <w:spacing w:line="430" w:lineRule="exact"/>
        <w:textAlignment w:val="auto"/>
        <w:rPr>
          <w:rFonts w:hint="eastAsia"/>
          <w:sz w:val="28"/>
          <w:szCs w:val="28"/>
          <w:lang w:val="en-US" w:eastAsia="zh-CN"/>
        </w:rPr>
      </w:pPr>
      <w:r>
        <w:rPr>
          <w:rFonts w:hint="eastAsia"/>
          <w:sz w:val="28"/>
          <w:szCs w:val="28"/>
          <w:lang w:val="en-US" w:eastAsia="zh-CN"/>
        </w:rPr>
        <w:t>单位：批</w:t>
      </w:r>
    </w:p>
    <w:p>
      <w:pPr>
        <w:keepNext w:val="0"/>
        <w:keepLines w:val="0"/>
        <w:pageBreakBefore w:val="0"/>
        <w:widowControl w:val="0"/>
        <w:kinsoku/>
        <w:wordWrap/>
        <w:overflowPunct/>
        <w:topLinePunct w:val="0"/>
        <w:autoSpaceDE/>
        <w:autoSpaceDN/>
        <w:bidi w:val="0"/>
        <w:adjustRightInd/>
        <w:snapToGrid/>
        <w:spacing w:line="430" w:lineRule="exact"/>
        <w:textAlignment w:val="auto"/>
        <w:rPr>
          <w:sz w:val="28"/>
          <w:szCs w:val="28"/>
        </w:rPr>
      </w:pPr>
      <w:r>
        <w:rPr>
          <w:rFonts w:hint="eastAsia"/>
          <w:sz w:val="28"/>
          <w:szCs w:val="28"/>
          <w:lang w:val="en-US" w:eastAsia="zh-CN"/>
        </w:rPr>
        <w:t>简要规格描述：美育教育实训建设（详见招标文件）</w:t>
      </w:r>
    </w:p>
    <w:p>
      <w:pPr>
        <w:keepNext w:val="0"/>
        <w:keepLines w:val="0"/>
        <w:pageBreakBefore w:val="0"/>
        <w:widowControl w:val="0"/>
        <w:kinsoku/>
        <w:wordWrap/>
        <w:overflowPunct/>
        <w:topLinePunct w:val="0"/>
        <w:autoSpaceDE/>
        <w:autoSpaceDN/>
        <w:bidi w:val="0"/>
        <w:adjustRightInd/>
        <w:snapToGrid/>
        <w:spacing w:line="430" w:lineRule="exact"/>
        <w:textAlignment w:val="auto"/>
        <w:rPr>
          <w:color w:val="auto"/>
          <w:sz w:val="28"/>
          <w:szCs w:val="28"/>
        </w:rPr>
      </w:pPr>
      <w:r>
        <w:rPr>
          <w:rFonts w:hint="eastAsia"/>
          <w:sz w:val="28"/>
          <w:szCs w:val="28"/>
          <w:lang w:val="en-US" w:eastAsia="zh-CN"/>
        </w:rPr>
        <w:t>合同履行期限</w:t>
      </w:r>
      <w:r>
        <w:rPr>
          <w:rFonts w:hint="eastAsia"/>
          <w:color w:val="0000FF"/>
          <w:sz w:val="28"/>
          <w:szCs w:val="28"/>
          <w:lang w:val="en-US" w:eastAsia="zh-CN"/>
        </w:rPr>
        <w:t>：</w:t>
      </w:r>
      <w:r>
        <w:rPr>
          <w:rFonts w:hint="eastAsia"/>
          <w:color w:val="auto"/>
          <w:sz w:val="28"/>
          <w:szCs w:val="28"/>
          <w:lang w:val="en-US" w:eastAsia="zh-CN"/>
        </w:rPr>
        <w:t>60日历天</w:t>
      </w:r>
    </w:p>
    <w:p>
      <w:pPr>
        <w:keepNext w:val="0"/>
        <w:keepLines w:val="0"/>
        <w:pageBreakBefore w:val="0"/>
        <w:widowControl w:val="0"/>
        <w:kinsoku/>
        <w:wordWrap/>
        <w:overflowPunct/>
        <w:topLinePunct w:val="0"/>
        <w:autoSpaceDE/>
        <w:autoSpaceDN/>
        <w:bidi w:val="0"/>
        <w:adjustRightInd/>
        <w:snapToGrid/>
        <w:spacing w:line="430" w:lineRule="exact"/>
        <w:textAlignment w:val="auto"/>
        <w:rPr>
          <w:sz w:val="28"/>
          <w:szCs w:val="28"/>
        </w:rPr>
      </w:pPr>
      <w:r>
        <w:rPr>
          <w:rFonts w:hint="eastAsia"/>
          <w:sz w:val="28"/>
          <w:szCs w:val="28"/>
          <w:lang w:val="en-US" w:eastAsia="zh-CN"/>
        </w:rPr>
        <w:t>本项目（否）接受联合体投标。</w:t>
      </w:r>
    </w:p>
    <w:p>
      <w:pPr>
        <w:keepNext w:val="0"/>
        <w:keepLines w:val="0"/>
        <w:pageBreakBefore w:val="0"/>
        <w:widowControl w:val="0"/>
        <w:kinsoku/>
        <w:wordWrap/>
        <w:overflowPunct/>
        <w:topLinePunct w:val="0"/>
        <w:autoSpaceDE/>
        <w:autoSpaceDN/>
        <w:bidi w:val="0"/>
        <w:adjustRightInd/>
        <w:snapToGrid/>
        <w:spacing w:line="430" w:lineRule="exact"/>
        <w:textAlignment w:val="auto"/>
        <w:rPr>
          <w:sz w:val="28"/>
          <w:szCs w:val="28"/>
        </w:rPr>
      </w:pPr>
      <w:r>
        <w:rPr>
          <w:rFonts w:hint="eastAsia"/>
          <w:sz w:val="28"/>
          <w:szCs w:val="28"/>
        </w:rPr>
        <w:t>二、申请人的资格要求：</w:t>
      </w:r>
    </w:p>
    <w:p>
      <w:pPr>
        <w:keepNext w:val="0"/>
        <w:keepLines w:val="0"/>
        <w:pageBreakBefore w:val="0"/>
        <w:widowControl w:val="0"/>
        <w:kinsoku/>
        <w:wordWrap/>
        <w:overflowPunct/>
        <w:topLinePunct w:val="0"/>
        <w:autoSpaceDE/>
        <w:autoSpaceDN/>
        <w:bidi w:val="0"/>
        <w:adjustRightInd/>
        <w:snapToGrid/>
        <w:spacing w:line="430" w:lineRule="exact"/>
        <w:textAlignment w:val="auto"/>
        <w:rPr>
          <w:sz w:val="28"/>
          <w:szCs w:val="28"/>
        </w:rPr>
      </w:pPr>
      <w:r>
        <w:rPr>
          <w:rFonts w:hint="eastAsia"/>
          <w:sz w:val="28"/>
          <w:szCs w:val="28"/>
          <w:lang w:val="en-US" w:eastAsia="zh-CN"/>
        </w:rPr>
        <w:t>1.满足《中华人民共和国政府采购法》第二十二条规定；</w:t>
      </w:r>
    </w:p>
    <w:p>
      <w:pPr>
        <w:keepNext w:val="0"/>
        <w:keepLines w:val="0"/>
        <w:pageBreakBefore w:val="0"/>
        <w:widowControl w:val="0"/>
        <w:kinsoku/>
        <w:wordWrap/>
        <w:overflowPunct/>
        <w:topLinePunct w:val="0"/>
        <w:autoSpaceDE/>
        <w:autoSpaceDN/>
        <w:bidi w:val="0"/>
        <w:adjustRightInd/>
        <w:snapToGrid/>
        <w:spacing w:line="430" w:lineRule="exact"/>
        <w:textAlignment w:val="auto"/>
        <w:rPr>
          <w:sz w:val="28"/>
          <w:szCs w:val="28"/>
        </w:rPr>
      </w:pPr>
      <w:r>
        <w:rPr>
          <w:rFonts w:hint="eastAsia"/>
          <w:sz w:val="28"/>
          <w:szCs w:val="28"/>
          <w:lang w:val="en-US" w:eastAsia="zh-CN"/>
        </w:rPr>
        <w:t>2.落实政府采购政策需满足的资格要求：</w:t>
      </w:r>
    </w:p>
    <w:p>
      <w:pPr>
        <w:keepNext w:val="0"/>
        <w:keepLines w:val="0"/>
        <w:pageBreakBefore w:val="0"/>
        <w:widowControl w:val="0"/>
        <w:kinsoku/>
        <w:wordWrap/>
        <w:overflowPunct/>
        <w:topLinePunct w:val="0"/>
        <w:autoSpaceDE/>
        <w:autoSpaceDN/>
        <w:bidi w:val="0"/>
        <w:adjustRightInd/>
        <w:snapToGrid/>
        <w:spacing w:line="430" w:lineRule="exact"/>
        <w:textAlignment w:val="auto"/>
        <w:rPr>
          <w:sz w:val="28"/>
          <w:szCs w:val="28"/>
        </w:rPr>
      </w:pPr>
      <w:r>
        <w:rPr>
          <w:rFonts w:hint="eastAsia"/>
          <w:sz w:val="28"/>
          <w:szCs w:val="28"/>
          <w:lang w:val="en-US" w:eastAsia="zh-CN"/>
        </w:rPr>
        <w:t>3.本项目的特定资格要求：</w:t>
      </w:r>
    </w:p>
    <w:p>
      <w:pPr>
        <w:keepNext w:val="0"/>
        <w:keepLines w:val="0"/>
        <w:pageBreakBefore w:val="0"/>
        <w:widowControl w:val="0"/>
        <w:kinsoku/>
        <w:wordWrap/>
        <w:overflowPunct/>
        <w:topLinePunct w:val="0"/>
        <w:autoSpaceDE/>
        <w:autoSpaceDN/>
        <w:bidi w:val="0"/>
        <w:adjustRightInd/>
        <w:snapToGrid/>
        <w:spacing w:line="430" w:lineRule="exact"/>
        <w:textAlignment w:val="auto"/>
        <w:rPr>
          <w:sz w:val="28"/>
          <w:szCs w:val="28"/>
        </w:rPr>
      </w:pPr>
      <w:r>
        <w:rPr>
          <w:rFonts w:hint="eastAsia"/>
          <w:sz w:val="28"/>
          <w:szCs w:val="28"/>
          <w:lang w:val="en-US" w:eastAsia="zh-CN"/>
        </w:rPr>
        <w:t xml:space="preserve">（1）法人代表或其委托代理人应上传本人身份证原件扫描件，授权委托代理人还应上传《法人代表授权委托书》； </w:t>
      </w:r>
    </w:p>
    <w:p>
      <w:pPr>
        <w:keepNext w:val="0"/>
        <w:keepLines w:val="0"/>
        <w:pageBreakBefore w:val="0"/>
        <w:widowControl w:val="0"/>
        <w:kinsoku/>
        <w:wordWrap/>
        <w:overflowPunct/>
        <w:topLinePunct w:val="0"/>
        <w:autoSpaceDE/>
        <w:autoSpaceDN/>
        <w:bidi w:val="0"/>
        <w:adjustRightInd/>
        <w:snapToGrid/>
        <w:spacing w:line="430" w:lineRule="exact"/>
        <w:textAlignment w:val="auto"/>
        <w:rPr>
          <w:sz w:val="28"/>
          <w:szCs w:val="28"/>
        </w:rPr>
      </w:pPr>
      <w:r>
        <w:rPr>
          <w:rFonts w:hint="eastAsia"/>
          <w:sz w:val="28"/>
          <w:szCs w:val="28"/>
          <w:lang w:val="en-US" w:eastAsia="zh-CN"/>
        </w:rPr>
        <w:t>（2）有效经年检的三证合一营业执照；</w:t>
      </w:r>
    </w:p>
    <w:p>
      <w:pPr>
        <w:keepNext w:val="0"/>
        <w:keepLines w:val="0"/>
        <w:pageBreakBefore w:val="0"/>
        <w:widowControl w:val="0"/>
        <w:kinsoku/>
        <w:wordWrap/>
        <w:overflowPunct/>
        <w:topLinePunct w:val="0"/>
        <w:autoSpaceDE/>
        <w:autoSpaceDN/>
        <w:bidi w:val="0"/>
        <w:adjustRightInd/>
        <w:snapToGrid/>
        <w:spacing w:line="430" w:lineRule="exact"/>
        <w:textAlignment w:val="auto"/>
        <w:rPr>
          <w:sz w:val="28"/>
          <w:szCs w:val="28"/>
        </w:rPr>
      </w:pPr>
      <w:r>
        <w:rPr>
          <w:rFonts w:hint="eastAsia"/>
          <w:sz w:val="28"/>
          <w:szCs w:val="28"/>
          <w:lang w:val="en-US" w:eastAsia="zh-CN"/>
        </w:rPr>
        <w:t>（3）提供近六个月内任意三个月社保缴纳证明和完税证明；</w:t>
      </w:r>
    </w:p>
    <w:p>
      <w:pPr>
        <w:keepNext w:val="0"/>
        <w:keepLines w:val="0"/>
        <w:pageBreakBefore w:val="0"/>
        <w:widowControl w:val="0"/>
        <w:kinsoku/>
        <w:wordWrap/>
        <w:overflowPunct/>
        <w:topLinePunct w:val="0"/>
        <w:autoSpaceDE/>
        <w:autoSpaceDN/>
        <w:bidi w:val="0"/>
        <w:adjustRightInd/>
        <w:snapToGrid/>
        <w:spacing w:line="430" w:lineRule="exact"/>
        <w:textAlignment w:val="auto"/>
        <w:rPr>
          <w:sz w:val="28"/>
          <w:szCs w:val="28"/>
        </w:rPr>
      </w:pPr>
      <w:r>
        <w:rPr>
          <w:rFonts w:hint="eastAsia"/>
          <w:sz w:val="28"/>
          <w:szCs w:val="28"/>
          <w:lang w:val="en-US" w:eastAsia="zh-CN"/>
        </w:rPr>
        <w:t>（4）近一年的年度审计报告或财务报表，企业成立不足一年的提供企业成立至今的财务报告；</w:t>
      </w:r>
    </w:p>
    <w:p>
      <w:pPr>
        <w:keepNext w:val="0"/>
        <w:keepLines w:val="0"/>
        <w:pageBreakBefore w:val="0"/>
        <w:widowControl w:val="0"/>
        <w:kinsoku/>
        <w:wordWrap/>
        <w:overflowPunct/>
        <w:topLinePunct w:val="0"/>
        <w:autoSpaceDE/>
        <w:autoSpaceDN/>
        <w:bidi w:val="0"/>
        <w:adjustRightInd/>
        <w:snapToGrid/>
        <w:spacing w:line="430" w:lineRule="exact"/>
        <w:textAlignment w:val="auto"/>
        <w:rPr>
          <w:sz w:val="28"/>
          <w:szCs w:val="28"/>
        </w:rPr>
      </w:pPr>
      <w:r>
        <w:rPr>
          <w:rFonts w:hint="eastAsia"/>
          <w:sz w:val="28"/>
          <w:szCs w:val="28"/>
          <w:lang w:val="en-US" w:eastAsia="zh-CN"/>
        </w:rPr>
        <w:t>（5）如在“信用中国”网站（http://www.creditchina.gov.cn）、中国政府采购网（http://www.ccgp.gov.cn）、国家企业信息系统（http://www.gsxt.gov.cn）受过处罚的、被列入失信被执行人、重大税收违法案件当事人名单、政府采购严重违法失信行为记录名单的（尚在处罚期内的），将拒绝其参本次采购活动；企业自行在网站下载打印，并携带加盖公章的复印件（打印时间须在公告发出之日后）；</w:t>
      </w:r>
    </w:p>
    <w:p>
      <w:pPr>
        <w:keepNext w:val="0"/>
        <w:keepLines w:val="0"/>
        <w:pageBreakBefore w:val="0"/>
        <w:widowControl w:val="0"/>
        <w:kinsoku/>
        <w:wordWrap/>
        <w:overflowPunct/>
        <w:topLinePunct w:val="0"/>
        <w:autoSpaceDE/>
        <w:autoSpaceDN/>
        <w:bidi w:val="0"/>
        <w:adjustRightInd/>
        <w:snapToGrid/>
        <w:spacing w:line="430" w:lineRule="exact"/>
        <w:textAlignment w:val="auto"/>
        <w:rPr>
          <w:sz w:val="28"/>
          <w:szCs w:val="28"/>
        </w:rPr>
      </w:pPr>
      <w:r>
        <w:rPr>
          <w:rFonts w:hint="eastAsia"/>
          <w:sz w:val="28"/>
          <w:szCs w:val="28"/>
          <w:lang w:val="en-US" w:eastAsia="zh-CN"/>
        </w:rPr>
        <w:t xml:space="preserve">（6）与招标人存在利害关系可能影响招标公正性的单位，不得参加投标。单位负责人为同一人或存在控股、管理关系的不同单位，不得参加同一标段投标，否则，相关投标均无效。 </w:t>
      </w:r>
    </w:p>
    <w:p>
      <w:pPr>
        <w:keepNext w:val="0"/>
        <w:keepLines w:val="0"/>
        <w:pageBreakBefore w:val="0"/>
        <w:widowControl w:val="0"/>
        <w:kinsoku/>
        <w:wordWrap/>
        <w:overflowPunct/>
        <w:topLinePunct w:val="0"/>
        <w:autoSpaceDE/>
        <w:autoSpaceDN/>
        <w:bidi w:val="0"/>
        <w:adjustRightInd/>
        <w:snapToGrid/>
        <w:spacing w:line="430" w:lineRule="exact"/>
        <w:textAlignment w:val="auto"/>
        <w:rPr>
          <w:sz w:val="28"/>
          <w:szCs w:val="28"/>
        </w:rPr>
      </w:pPr>
      <w:r>
        <w:rPr>
          <w:rFonts w:hint="eastAsia"/>
          <w:sz w:val="28"/>
          <w:szCs w:val="28"/>
        </w:rPr>
        <w:t>三、获取招标文件</w:t>
      </w:r>
    </w:p>
    <w:p>
      <w:pPr>
        <w:keepNext w:val="0"/>
        <w:keepLines w:val="0"/>
        <w:pageBreakBefore w:val="0"/>
        <w:widowControl w:val="0"/>
        <w:kinsoku/>
        <w:wordWrap/>
        <w:overflowPunct/>
        <w:topLinePunct w:val="0"/>
        <w:autoSpaceDE/>
        <w:autoSpaceDN/>
        <w:bidi w:val="0"/>
        <w:adjustRightInd/>
        <w:snapToGrid/>
        <w:spacing w:line="430" w:lineRule="exact"/>
        <w:textAlignment w:val="auto"/>
        <w:rPr>
          <w:sz w:val="28"/>
          <w:szCs w:val="28"/>
        </w:rPr>
      </w:pPr>
      <w:r>
        <w:rPr>
          <w:rFonts w:hint="eastAsia"/>
          <w:sz w:val="28"/>
          <w:szCs w:val="28"/>
          <w:lang w:val="en-US" w:eastAsia="zh-CN"/>
        </w:rPr>
        <w:t>时间：2022年04月29日至2022年05月12日，每天上午10至14，下午15:30至19:30（北京时间，法定节假日除外）</w:t>
      </w:r>
    </w:p>
    <w:p>
      <w:pPr>
        <w:keepNext w:val="0"/>
        <w:keepLines w:val="0"/>
        <w:pageBreakBefore w:val="0"/>
        <w:widowControl w:val="0"/>
        <w:kinsoku/>
        <w:wordWrap/>
        <w:overflowPunct/>
        <w:topLinePunct w:val="0"/>
        <w:autoSpaceDE/>
        <w:autoSpaceDN/>
        <w:bidi w:val="0"/>
        <w:adjustRightInd/>
        <w:snapToGrid/>
        <w:spacing w:line="430" w:lineRule="exact"/>
        <w:textAlignment w:val="auto"/>
        <w:rPr>
          <w:sz w:val="28"/>
          <w:szCs w:val="28"/>
        </w:rPr>
      </w:pPr>
      <w:r>
        <w:rPr>
          <w:rFonts w:hint="eastAsia"/>
          <w:sz w:val="28"/>
          <w:szCs w:val="28"/>
          <w:lang w:val="en-US" w:eastAsia="zh-CN"/>
        </w:rPr>
        <w:t>地点：新疆政府采购网</w:t>
      </w:r>
    </w:p>
    <w:p>
      <w:pPr>
        <w:keepNext w:val="0"/>
        <w:keepLines w:val="0"/>
        <w:pageBreakBefore w:val="0"/>
        <w:widowControl w:val="0"/>
        <w:kinsoku/>
        <w:wordWrap/>
        <w:overflowPunct/>
        <w:topLinePunct w:val="0"/>
        <w:autoSpaceDE/>
        <w:autoSpaceDN/>
        <w:bidi w:val="0"/>
        <w:adjustRightInd/>
        <w:snapToGrid/>
        <w:spacing w:line="430" w:lineRule="exact"/>
        <w:textAlignment w:val="auto"/>
        <w:rPr>
          <w:rFonts w:hint="eastAsia"/>
          <w:sz w:val="28"/>
          <w:szCs w:val="28"/>
          <w:lang w:val="en-US" w:eastAsia="zh-CN"/>
        </w:rPr>
      </w:pPr>
      <w:r>
        <w:rPr>
          <w:rFonts w:hint="eastAsia"/>
          <w:sz w:val="28"/>
          <w:szCs w:val="28"/>
          <w:lang w:val="en-US" w:eastAsia="zh-CN"/>
        </w:rPr>
        <w:t>方式：政采云报名成功后自行下载</w:t>
      </w:r>
    </w:p>
    <w:p>
      <w:pPr>
        <w:keepNext w:val="0"/>
        <w:keepLines w:val="0"/>
        <w:pageBreakBefore w:val="0"/>
        <w:widowControl w:val="0"/>
        <w:kinsoku/>
        <w:wordWrap/>
        <w:overflowPunct/>
        <w:topLinePunct w:val="0"/>
        <w:autoSpaceDE/>
        <w:autoSpaceDN/>
        <w:bidi w:val="0"/>
        <w:adjustRightInd/>
        <w:snapToGrid/>
        <w:spacing w:line="430" w:lineRule="exact"/>
        <w:textAlignment w:val="auto"/>
        <w:rPr>
          <w:sz w:val="28"/>
          <w:szCs w:val="28"/>
        </w:rPr>
      </w:pPr>
      <w:r>
        <w:rPr>
          <w:rFonts w:hint="eastAsia"/>
          <w:sz w:val="28"/>
          <w:szCs w:val="28"/>
          <w:lang w:val="en-US" w:eastAsia="zh-CN"/>
        </w:rPr>
        <w:t>售价（元）：0</w:t>
      </w:r>
    </w:p>
    <w:p>
      <w:pPr>
        <w:keepNext w:val="0"/>
        <w:keepLines w:val="0"/>
        <w:pageBreakBefore w:val="0"/>
        <w:widowControl w:val="0"/>
        <w:kinsoku/>
        <w:wordWrap/>
        <w:overflowPunct/>
        <w:topLinePunct w:val="0"/>
        <w:autoSpaceDE/>
        <w:autoSpaceDN/>
        <w:bidi w:val="0"/>
        <w:adjustRightInd/>
        <w:snapToGrid/>
        <w:spacing w:line="430" w:lineRule="exact"/>
        <w:textAlignment w:val="auto"/>
        <w:rPr>
          <w:sz w:val="28"/>
          <w:szCs w:val="28"/>
        </w:rPr>
      </w:pPr>
      <w:r>
        <w:rPr>
          <w:rFonts w:hint="eastAsia"/>
          <w:sz w:val="28"/>
          <w:szCs w:val="28"/>
        </w:rPr>
        <w:t>四、提交投标文件截止时间、开标时间和地点</w:t>
      </w:r>
    </w:p>
    <w:p>
      <w:pPr>
        <w:keepNext w:val="0"/>
        <w:keepLines w:val="0"/>
        <w:pageBreakBefore w:val="0"/>
        <w:widowControl w:val="0"/>
        <w:kinsoku/>
        <w:wordWrap/>
        <w:overflowPunct/>
        <w:topLinePunct w:val="0"/>
        <w:autoSpaceDE/>
        <w:autoSpaceDN/>
        <w:bidi w:val="0"/>
        <w:adjustRightInd/>
        <w:snapToGrid/>
        <w:spacing w:line="430" w:lineRule="exact"/>
        <w:textAlignment w:val="auto"/>
        <w:rPr>
          <w:sz w:val="28"/>
          <w:szCs w:val="28"/>
        </w:rPr>
      </w:pPr>
      <w:r>
        <w:rPr>
          <w:rFonts w:hint="eastAsia"/>
          <w:sz w:val="28"/>
          <w:szCs w:val="28"/>
          <w:lang w:val="en-US" w:eastAsia="zh-CN"/>
        </w:rPr>
        <w:t>时间：2022年05月25日10点30分（北京时间）</w:t>
      </w:r>
    </w:p>
    <w:p>
      <w:pPr>
        <w:keepNext w:val="0"/>
        <w:keepLines w:val="0"/>
        <w:pageBreakBefore w:val="0"/>
        <w:widowControl w:val="0"/>
        <w:kinsoku/>
        <w:wordWrap/>
        <w:overflowPunct/>
        <w:topLinePunct w:val="0"/>
        <w:autoSpaceDE/>
        <w:autoSpaceDN/>
        <w:bidi w:val="0"/>
        <w:adjustRightInd/>
        <w:snapToGrid/>
        <w:spacing w:line="430" w:lineRule="exact"/>
        <w:textAlignment w:val="auto"/>
        <w:rPr>
          <w:sz w:val="28"/>
          <w:szCs w:val="28"/>
        </w:rPr>
      </w:pPr>
      <w:r>
        <w:rPr>
          <w:rFonts w:hint="eastAsia"/>
          <w:sz w:val="28"/>
          <w:szCs w:val="28"/>
          <w:lang w:val="en-US" w:eastAsia="zh-CN"/>
        </w:rPr>
        <w:t xml:space="preserve">地点：阿克苏市北京路25号地区为民服务中心（体育馆对面）B座3楼地区公共资源交易中心开标区 </w:t>
      </w:r>
    </w:p>
    <w:p>
      <w:pPr>
        <w:keepNext w:val="0"/>
        <w:keepLines w:val="0"/>
        <w:pageBreakBefore w:val="0"/>
        <w:widowControl w:val="0"/>
        <w:kinsoku/>
        <w:wordWrap/>
        <w:overflowPunct/>
        <w:topLinePunct w:val="0"/>
        <w:autoSpaceDE/>
        <w:autoSpaceDN/>
        <w:bidi w:val="0"/>
        <w:adjustRightInd/>
        <w:snapToGrid/>
        <w:spacing w:line="430" w:lineRule="exact"/>
        <w:textAlignment w:val="auto"/>
        <w:rPr>
          <w:sz w:val="28"/>
          <w:szCs w:val="28"/>
        </w:rPr>
      </w:pPr>
      <w:r>
        <w:rPr>
          <w:rFonts w:hint="eastAsia"/>
          <w:sz w:val="28"/>
          <w:szCs w:val="28"/>
        </w:rPr>
        <w:t>五、公告期限</w:t>
      </w:r>
    </w:p>
    <w:p>
      <w:pPr>
        <w:keepNext w:val="0"/>
        <w:keepLines w:val="0"/>
        <w:pageBreakBefore w:val="0"/>
        <w:widowControl w:val="0"/>
        <w:kinsoku/>
        <w:wordWrap/>
        <w:overflowPunct/>
        <w:topLinePunct w:val="0"/>
        <w:autoSpaceDE/>
        <w:autoSpaceDN/>
        <w:bidi w:val="0"/>
        <w:adjustRightInd/>
        <w:snapToGrid/>
        <w:spacing w:line="430" w:lineRule="exact"/>
        <w:textAlignment w:val="auto"/>
        <w:rPr>
          <w:sz w:val="28"/>
          <w:szCs w:val="28"/>
        </w:rPr>
      </w:pPr>
      <w:r>
        <w:rPr>
          <w:rFonts w:hint="eastAsia"/>
          <w:sz w:val="28"/>
          <w:szCs w:val="28"/>
          <w:lang w:val="en-US" w:eastAsia="zh-CN"/>
        </w:rPr>
        <w:t>自本公告发布之日起5个工作日。</w:t>
      </w:r>
    </w:p>
    <w:p>
      <w:pPr>
        <w:keepNext w:val="0"/>
        <w:keepLines w:val="0"/>
        <w:pageBreakBefore w:val="0"/>
        <w:widowControl w:val="0"/>
        <w:kinsoku/>
        <w:wordWrap/>
        <w:overflowPunct/>
        <w:topLinePunct w:val="0"/>
        <w:autoSpaceDE/>
        <w:autoSpaceDN/>
        <w:bidi w:val="0"/>
        <w:adjustRightInd/>
        <w:snapToGrid/>
        <w:spacing w:line="430" w:lineRule="exact"/>
        <w:textAlignment w:val="auto"/>
        <w:rPr>
          <w:sz w:val="28"/>
          <w:szCs w:val="28"/>
        </w:rPr>
      </w:pPr>
      <w:r>
        <w:rPr>
          <w:rFonts w:hint="eastAsia"/>
          <w:sz w:val="28"/>
          <w:szCs w:val="28"/>
        </w:rPr>
        <w:t>六、其他补充事宜</w:t>
      </w:r>
    </w:p>
    <w:p>
      <w:pPr>
        <w:keepNext w:val="0"/>
        <w:keepLines w:val="0"/>
        <w:pageBreakBefore w:val="0"/>
        <w:widowControl w:val="0"/>
        <w:kinsoku/>
        <w:wordWrap/>
        <w:overflowPunct/>
        <w:topLinePunct w:val="0"/>
        <w:autoSpaceDE/>
        <w:autoSpaceDN/>
        <w:bidi w:val="0"/>
        <w:adjustRightInd/>
        <w:snapToGrid/>
        <w:spacing w:line="430" w:lineRule="exact"/>
        <w:textAlignment w:val="auto"/>
        <w:rPr>
          <w:sz w:val="28"/>
          <w:szCs w:val="28"/>
        </w:rPr>
      </w:pPr>
      <w:r>
        <w:rPr>
          <w:rFonts w:hint="eastAsia"/>
          <w:sz w:val="28"/>
          <w:szCs w:val="28"/>
          <w:lang w:val="en-US" w:eastAsia="zh-CN"/>
        </w:rPr>
        <w:t>1.本公告同时在新疆政府采购网和阿克苏政府网发布。</w:t>
      </w:r>
    </w:p>
    <w:p>
      <w:pPr>
        <w:keepNext w:val="0"/>
        <w:keepLines w:val="0"/>
        <w:pageBreakBefore w:val="0"/>
        <w:widowControl w:val="0"/>
        <w:kinsoku/>
        <w:wordWrap/>
        <w:overflowPunct/>
        <w:topLinePunct w:val="0"/>
        <w:autoSpaceDE/>
        <w:autoSpaceDN/>
        <w:bidi w:val="0"/>
        <w:adjustRightInd/>
        <w:snapToGrid/>
        <w:spacing w:line="430" w:lineRule="exact"/>
        <w:textAlignment w:val="auto"/>
        <w:rPr>
          <w:sz w:val="28"/>
          <w:szCs w:val="28"/>
        </w:rPr>
      </w:pPr>
      <w:r>
        <w:rPr>
          <w:rFonts w:hint="eastAsia"/>
          <w:sz w:val="28"/>
          <w:szCs w:val="28"/>
          <w:lang w:val="en-US" w:eastAsia="zh-CN"/>
        </w:rPr>
        <w:t>2.本项目招标文件的答疑、澄清将在新疆政府采购网上发布，投标人在新疆政府采购网上发出澄清或修改通知即视为所有投标人收到该澄清或修改通知。请投标人每天自行登录新疆政府采购网查阅澄清或修改通知。</w:t>
      </w:r>
    </w:p>
    <w:p>
      <w:pPr>
        <w:keepNext w:val="0"/>
        <w:keepLines w:val="0"/>
        <w:pageBreakBefore w:val="0"/>
        <w:widowControl w:val="0"/>
        <w:kinsoku/>
        <w:wordWrap/>
        <w:overflowPunct/>
        <w:topLinePunct w:val="0"/>
        <w:autoSpaceDE/>
        <w:autoSpaceDN/>
        <w:bidi w:val="0"/>
        <w:adjustRightInd/>
        <w:snapToGrid/>
        <w:spacing w:line="430" w:lineRule="exact"/>
        <w:textAlignment w:val="auto"/>
        <w:rPr>
          <w:sz w:val="28"/>
          <w:szCs w:val="28"/>
        </w:rPr>
      </w:pPr>
      <w:r>
        <w:rPr>
          <w:rFonts w:hint="eastAsia"/>
          <w:sz w:val="28"/>
          <w:szCs w:val="28"/>
          <w:lang w:val="en-US" w:eastAsia="zh-CN"/>
        </w:rPr>
        <w:t>3.本项目实行电子招投标，投标人须登录政采云平台申请获取招标文件，并需要使用CA锁，登录政采云电子投标客户端制作投标文件，若投标人参与投标,自行承担与投标有关的一切费用。</w:t>
      </w:r>
    </w:p>
    <w:p>
      <w:pPr>
        <w:keepNext w:val="0"/>
        <w:keepLines w:val="0"/>
        <w:pageBreakBefore w:val="0"/>
        <w:widowControl w:val="0"/>
        <w:kinsoku/>
        <w:wordWrap/>
        <w:overflowPunct/>
        <w:topLinePunct w:val="0"/>
        <w:autoSpaceDE/>
        <w:autoSpaceDN/>
        <w:bidi w:val="0"/>
        <w:adjustRightInd/>
        <w:snapToGrid/>
        <w:spacing w:line="430" w:lineRule="exact"/>
        <w:textAlignment w:val="auto"/>
        <w:rPr>
          <w:sz w:val="28"/>
          <w:szCs w:val="28"/>
        </w:rPr>
      </w:pPr>
      <w:r>
        <w:rPr>
          <w:rFonts w:hint="eastAsia"/>
          <w:sz w:val="28"/>
          <w:szCs w:val="28"/>
          <w:lang w:val="en-US" w:eastAsia="zh-CN"/>
        </w:rPr>
        <w:t>4.各投标人应在开标前确保是新疆维吾尔自治区政府采购网正式注册入库的供应商，并完成CA数字证书申领。因未注册入库、未办理CA数字证书等原因造成无法投标或投标失败等后果的由投标人自行承担。</w:t>
      </w:r>
    </w:p>
    <w:p>
      <w:pPr>
        <w:keepNext w:val="0"/>
        <w:keepLines w:val="0"/>
        <w:pageBreakBefore w:val="0"/>
        <w:widowControl w:val="0"/>
        <w:kinsoku/>
        <w:wordWrap/>
        <w:overflowPunct/>
        <w:topLinePunct w:val="0"/>
        <w:autoSpaceDE/>
        <w:autoSpaceDN/>
        <w:bidi w:val="0"/>
        <w:adjustRightInd/>
        <w:snapToGrid/>
        <w:spacing w:line="430" w:lineRule="exact"/>
        <w:textAlignment w:val="auto"/>
        <w:rPr>
          <w:sz w:val="28"/>
          <w:szCs w:val="28"/>
        </w:rPr>
      </w:pPr>
      <w:r>
        <w:rPr>
          <w:rFonts w:hint="eastAsia"/>
          <w:sz w:val="28"/>
          <w:szCs w:val="28"/>
          <w:lang w:val="en-US" w:eastAsia="zh-CN"/>
        </w:rPr>
        <w:t>5.投标人可前往新疆政府采购网（http://www.ccgp-xinjiang.gov.cn/）下载专区，下载政采云电子投标客户端，安装完成后，可通过账号密码或CA登录客户端进行响应文件制作。在使用政采云电子投标客户端时，建议使用WIN7及以上操作系统。如有问题可拨打政采云客户服务热线400-881-7190进行咨询。</w:t>
      </w:r>
    </w:p>
    <w:p>
      <w:pPr>
        <w:keepNext w:val="0"/>
        <w:keepLines w:val="0"/>
        <w:pageBreakBefore w:val="0"/>
        <w:widowControl w:val="0"/>
        <w:kinsoku/>
        <w:wordWrap/>
        <w:overflowPunct/>
        <w:topLinePunct w:val="0"/>
        <w:autoSpaceDE/>
        <w:autoSpaceDN/>
        <w:bidi w:val="0"/>
        <w:adjustRightInd/>
        <w:snapToGrid/>
        <w:spacing w:line="430" w:lineRule="exact"/>
        <w:textAlignment w:val="auto"/>
        <w:rPr>
          <w:sz w:val="28"/>
          <w:szCs w:val="28"/>
        </w:rPr>
      </w:pPr>
      <w:r>
        <w:rPr>
          <w:rFonts w:hint="eastAsia"/>
          <w:sz w:val="28"/>
          <w:szCs w:val="28"/>
          <w:lang w:val="en-US" w:eastAsia="zh-CN"/>
        </w:rPr>
        <w:t>6.投标人在开标时须携带制作加密电子投标文件所使用的CA锁，电脑须提前配置好浏览器（建议使用360浏览器或谷歌浏览器），以便开标时在线解密。</w:t>
      </w:r>
    </w:p>
    <w:p>
      <w:pPr>
        <w:keepNext w:val="0"/>
        <w:keepLines w:val="0"/>
        <w:pageBreakBefore w:val="0"/>
        <w:widowControl w:val="0"/>
        <w:kinsoku/>
        <w:wordWrap/>
        <w:overflowPunct/>
        <w:topLinePunct w:val="0"/>
        <w:autoSpaceDE/>
        <w:autoSpaceDN/>
        <w:bidi w:val="0"/>
        <w:adjustRightInd/>
        <w:snapToGrid/>
        <w:spacing w:line="430" w:lineRule="exact"/>
        <w:textAlignment w:val="auto"/>
        <w:rPr>
          <w:sz w:val="28"/>
          <w:szCs w:val="28"/>
        </w:rPr>
      </w:pPr>
      <w:r>
        <w:rPr>
          <w:rFonts w:hint="eastAsia"/>
          <w:sz w:val="28"/>
          <w:szCs w:val="28"/>
          <w:lang w:val="en-US" w:eastAsia="zh-CN"/>
        </w:rPr>
        <w:t>7.投标人应当在投标截止时间前，将生成的“电子加密投标文件”上传递交至“政府采购云平台”，投标截止时间以后上传递交的投标文件将被“政府采购云平台”拒收。</w:t>
      </w:r>
    </w:p>
    <w:p>
      <w:pPr>
        <w:keepNext w:val="0"/>
        <w:keepLines w:val="0"/>
        <w:pageBreakBefore w:val="0"/>
        <w:widowControl w:val="0"/>
        <w:kinsoku/>
        <w:wordWrap/>
        <w:overflowPunct/>
        <w:topLinePunct w:val="0"/>
        <w:autoSpaceDE/>
        <w:autoSpaceDN/>
        <w:bidi w:val="0"/>
        <w:adjustRightInd/>
        <w:snapToGrid/>
        <w:spacing w:line="430" w:lineRule="exact"/>
        <w:textAlignment w:val="auto"/>
        <w:rPr>
          <w:sz w:val="28"/>
          <w:szCs w:val="28"/>
        </w:rPr>
      </w:pPr>
      <w:r>
        <w:rPr>
          <w:rFonts w:hint="eastAsia"/>
          <w:sz w:val="28"/>
          <w:szCs w:val="28"/>
          <w:lang w:val="en-US" w:eastAsia="zh-CN"/>
        </w:rPr>
        <w:t>8.本项目投标文件解密时间定为30分钟，如因自身原因导致无法正常解密，后果由投标人自行承担。</w:t>
      </w:r>
    </w:p>
    <w:p>
      <w:pPr>
        <w:keepNext w:val="0"/>
        <w:keepLines w:val="0"/>
        <w:pageBreakBefore w:val="0"/>
        <w:widowControl w:val="0"/>
        <w:kinsoku/>
        <w:wordWrap/>
        <w:overflowPunct/>
        <w:topLinePunct w:val="0"/>
        <w:autoSpaceDE/>
        <w:autoSpaceDN/>
        <w:bidi w:val="0"/>
        <w:adjustRightInd/>
        <w:snapToGrid/>
        <w:spacing w:line="430" w:lineRule="exact"/>
        <w:textAlignment w:val="auto"/>
        <w:rPr>
          <w:sz w:val="28"/>
          <w:szCs w:val="28"/>
        </w:rPr>
      </w:pPr>
      <w:r>
        <w:rPr>
          <w:rFonts w:hint="eastAsia"/>
          <w:sz w:val="28"/>
          <w:szCs w:val="28"/>
          <w:lang w:val="en-US" w:eastAsia="zh-CN"/>
        </w:rPr>
        <w:t>9.投标企业下载招标文件后请仔细阅读，如对招标文件内容有质疑，投标人应在招标文件规定的质疑及澄清时间内以书面形式通知招标人。招标人认为必要时，将（澄清）修改后的公告发布在新疆政府采购网，敬请投标企业及时关注。在规定期限内投标企业未提出质疑的视为投标企业默认招标文件不存在质疑的相关问题。超过招标文件质疑时间将不再接受投标企业所提出的质疑。</w:t>
      </w:r>
    </w:p>
    <w:p>
      <w:pPr>
        <w:keepNext w:val="0"/>
        <w:keepLines w:val="0"/>
        <w:pageBreakBefore w:val="0"/>
        <w:widowControl w:val="0"/>
        <w:kinsoku/>
        <w:wordWrap/>
        <w:overflowPunct/>
        <w:topLinePunct w:val="0"/>
        <w:autoSpaceDE/>
        <w:autoSpaceDN/>
        <w:bidi w:val="0"/>
        <w:adjustRightInd/>
        <w:snapToGrid/>
        <w:spacing w:line="430" w:lineRule="exact"/>
        <w:textAlignment w:val="auto"/>
        <w:rPr>
          <w:sz w:val="28"/>
          <w:szCs w:val="28"/>
        </w:rPr>
      </w:pPr>
      <w:r>
        <w:rPr>
          <w:rFonts w:hint="eastAsia"/>
          <w:sz w:val="28"/>
          <w:szCs w:val="28"/>
        </w:rPr>
        <w:t>七、对本次招标提出询问，请按以下方式联系。</w:t>
      </w:r>
    </w:p>
    <w:p>
      <w:pPr>
        <w:keepNext w:val="0"/>
        <w:keepLines w:val="0"/>
        <w:pageBreakBefore w:val="0"/>
        <w:widowControl w:val="0"/>
        <w:kinsoku/>
        <w:wordWrap/>
        <w:overflowPunct/>
        <w:topLinePunct w:val="0"/>
        <w:autoSpaceDE/>
        <w:autoSpaceDN/>
        <w:bidi w:val="0"/>
        <w:adjustRightInd/>
        <w:snapToGrid/>
        <w:spacing w:line="430" w:lineRule="exact"/>
        <w:textAlignment w:val="auto"/>
        <w:rPr>
          <w:rFonts w:hint="eastAsia"/>
          <w:sz w:val="28"/>
          <w:szCs w:val="28"/>
          <w:lang w:val="en-US" w:eastAsia="zh-CN"/>
        </w:rPr>
      </w:pPr>
      <w:r>
        <w:rPr>
          <w:rFonts w:hint="eastAsia"/>
          <w:sz w:val="28"/>
          <w:szCs w:val="28"/>
          <w:lang w:val="en-US" w:eastAsia="zh-CN"/>
        </w:rPr>
        <w:t>1.采购人信息</w:t>
      </w:r>
    </w:p>
    <w:p>
      <w:pPr>
        <w:keepNext w:val="0"/>
        <w:keepLines w:val="0"/>
        <w:pageBreakBefore w:val="0"/>
        <w:widowControl w:val="0"/>
        <w:kinsoku/>
        <w:wordWrap/>
        <w:overflowPunct/>
        <w:topLinePunct w:val="0"/>
        <w:autoSpaceDE/>
        <w:autoSpaceDN/>
        <w:bidi w:val="0"/>
        <w:adjustRightInd/>
        <w:snapToGrid/>
        <w:spacing w:line="430" w:lineRule="exact"/>
        <w:textAlignment w:val="auto"/>
        <w:rPr>
          <w:rFonts w:hint="eastAsia"/>
          <w:sz w:val="28"/>
          <w:szCs w:val="28"/>
          <w:lang w:val="en-US" w:eastAsia="zh-CN"/>
        </w:rPr>
      </w:pPr>
      <w:r>
        <w:rPr>
          <w:rFonts w:hint="eastAsia"/>
          <w:sz w:val="28"/>
          <w:szCs w:val="28"/>
          <w:lang w:val="en-US" w:eastAsia="zh-CN"/>
        </w:rPr>
        <w:t>名称：新疆维吾尔自治区阿克苏职业技术学院</w:t>
      </w:r>
    </w:p>
    <w:p>
      <w:pPr>
        <w:keepNext w:val="0"/>
        <w:keepLines w:val="0"/>
        <w:pageBreakBefore w:val="0"/>
        <w:widowControl w:val="0"/>
        <w:kinsoku/>
        <w:wordWrap/>
        <w:overflowPunct/>
        <w:topLinePunct w:val="0"/>
        <w:autoSpaceDE/>
        <w:autoSpaceDN/>
        <w:bidi w:val="0"/>
        <w:adjustRightInd/>
        <w:snapToGrid/>
        <w:spacing w:line="430" w:lineRule="exact"/>
        <w:textAlignment w:val="auto"/>
        <w:rPr>
          <w:rFonts w:hint="eastAsia"/>
          <w:sz w:val="28"/>
          <w:szCs w:val="28"/>
          <w:lang w:val="zh-CN" w:eastAsia="zh-CN"/>
        </w:rPr>
      </w:pPr>
      <w:r>
        <w:rPr>
          <w:rFonts w:hint="eastAsia"/>
          <w:sz w:val="28"/>
          <w:szCs w:val="28"/>
          <w:lang w:val="en-US" w:eastAsia="zh-CN"/>
        </w:rPr>
        <w:t>地址：</w:t>
      </w:r>
      <w:r>
        <w:rPr>
          <w:rFonts w:hint="eastAsia"/>
          <w:sz w:val="28"/>
          <w:szCs w:val="28"/>
          <w:lang w:val="zh-CN" w:eastAsia="zh-CN"/>
        </w:rPr>
        <w:t>阿克苏地区温宿县温宿镇学府路 41号</w:t>
      </w:r>
    </w:p>
    <w:p>
      <w:pPr>
        <w:keepNext w:val="0"/>
        <w:keepLines w:val="0"/>
        <w:pageBreakBefore w:val="0"/>
        <w:widowControl w:val="0"/>
        <w:kinsoku/>
        <w:wordWrap/>
        <w:overflowPunct/>
        <w:topLinePunct w:val="0"/>
        <w:autoSpaceDE/>
        <w:autoSpaceDN/>
        <w:bidi w:val="0"/>
        <w:adjustRightInd/>
        <w:snapToGrid/>
        <w:spacing w:line="430" w:lineRule="exact"/>
        <w:textAlignment w:val="auto"/>
        <w:rPr>
          <w:sz w:val="28"/>
          <w:szCs w:val="28"/>
        </w:rPr>
      </w:pPr>
      <w:r>
        <w:rPr>
          <w:rFonts w:hint="eastAsia"/>
          <w:sz w:val="28"/>
          <w:szCs w:val="28"/>
          <w:lang w:val="en-US" w:eastAsia="zh-CN"/>
        </w:rPr>
        <w:t>联系方式：</w:t>
      </w:r>
      <w:r>
        <w:rPr>
          <w:rFonts w:hint="eastAsia"/>
          <w:sz w:val="28"/>
          <w:szCs w:val="28"/>
          <w:lang w:eastAsia="zh-CN"/>
        </w:rPr>
        <w:t>18609975881</w:t>
      </w:r>
    </w:p>
    <w:p>
      <w:pPr>
        <w:keepNext w:val="0"/>
        <w:keepLines w:val="0"/>
        <w:pageBreakBefore w:val="0"/>
        <w:widowControl w:val="0"/>
        <w:kinsoku/>
        <w:wordWrap/>
        <w:overflowPunct/>
        <w:topLinePunct w:val="0"/>
        <w:autoSpaceDE/>
        <w:autoSpaceDN/>
        <w:bidi w:val="0"/>
        <w:adjustRightInd/>
        <w:snapToGrid/>
        <w:spacing w:line="430" w:lineRule="exact"/>
        <w:textAlignment w:val="auto"/>
        <w:rPr>
          <w:sz w:val="28"/>
          <w:szCs w:val="28"/>
        </w:rPr>
      </w:pPr>
      <w:r>
        <w:rPr>
          <w:rFonts w:hint="eastAsia"/>
          <w:sz w:val="28"/>
          <w:szCs w:val="28"/>
        </w:rPr>
        <w:t>2.采购代理机构信息</w:t>
      </w:r>
    </w:p>
    <w:p>
      <w:pPr>
        <w:keepNext w:val="0"/>
        <w:keepLines w:val="0"/>
        <w:pageBreakBefore w:val="0"/>
        <w:widowControl w:val="0"/>
        <w:kinsoku/>
        <w:wordWrap/>
        <w:overflowPunct/>
        <w:topLinePunct w:val="0"/>
        <w:autoSpaceDE/>
        <w:autoSpaceDN/>
        <w:bidi w:val="0"/>
        <w:adjustRightInd/>
        <w:snapToGrid/>
        <w:spacing w:line="430" w:lineRule="exact"/>
        <w:textAlignment w:val="auto"/>
        <w:rPr>
          <w:rFonts w:hint="eastAsia"/>
          <w:sz w:val="28"/>
          <w:szCs w:val="28"/>
          <w:lang w:val="en-US" w:eastAsia="zh-CN"/>
        </w:rPr>
      </w:pPr>
      <w:r>
        <w:rPr>
          <w:rFonts w:hint="eastAsia"/>
          <w:sz w:val="28"/>
          <w:szCs w:val="28"/>
          <w:lang w:val="en-US" w:eastAsia="zh-CN"/>
        </w:rPr>
        <w:t xml:space="preserve">名    称：新疆领会项目管理有限公司 </w:t>
      </w:r>
    </w:p>
    <w:p>
      <w:pPr>
        <w:keepNext w:val="0"/>
        <w:keepLines w:val="0"/>
        <w:pageBreakBefore w:val="0"/>
        <w:widowControl w:val="0"/>
        <w:kinsoku/>
        <w:wordWrap/>
        <w:overflowPunct/>
        <w:topLinePunct w:val="0"/>
        <w:autoSpaceDE/>
        <w:autoSpaceDN/>
        <w:bidi w:val="0"/>
        <w:adjustRightInd/>
        <w:snapToGrid/>
        <w:spacing w:line="430" w:lineRule="exact"/>
        <w:textAlignment w:val="auto"/>
        <w:rPr>
          <w:sz w:val="28"/>
          <w:szCs w:val="28"/>
        </w:rPr>
      </w:pPr>
      <w:r>
        <w:rPr>
          <w:rFonts w:hint="eastAsia"/>
          <w:sz w:val="28"/>
          <w:szCs w:val="28"/>
          <w:lang w:val="en-US" w:eastAsia="zh-CN"/>
        </w:rPr>
        <w:t>地  址：阿克苏市友谊北路天山美玉城16栋004号</w:t>
      </w:r>
    </w:p>
    <w:p>
      <w:pPr>
        <w:keepNext w:val="0"/>
        <w:keepLines w:val="0"/>
        <w:pageBreakBefore w:val="0"/>
        <w:widowControl w:val="0"/>
        <w:kinsoku/>
        <w:wordWrap/>
        <w:overflowPunct/>
        <w:topLinePunct w:val="0"/>
        <w:autoSpaceDE/>
        <w:autoSpaceDN/>
        <w:bidi w:val="0"/>
        <w:adjustRightInd/>
        <w:snapToGrid/>
        <w:spacing w:line="430" w:lineRule="exact"/>
        <w:textAlignment w:val="auto"/>
        <w:rPr>
          <w:rFonts w:hint="default"/>
          <w:sz w:val="28"/>
          <w:szCs w:val="28"/>
          <w:lang w:val="en-US"/>
        </w:rPr>
      </w:pPr>
      <w:r>
        <w:rPr>
          <w:rFonts w:hint="eastAsia"/>
          <w:sz w:val="28"/>
          <w:szCs w:val="28"/>
          <w:lang w:val="en-US" w:eastAsia="zh-CN"/>
        </w:rPr>
        <w:t>联系方式：15886809969</w:t>
      </w:r>
    </w:p>
    <w:p>
      <w:pPr>
        <w:keepNext w:val="0"/>
        <w:keepLines w:val="0"/>
        <w:pageBreakBefore w:val="0"/>
        <w:widowControl w:val="0"/>
        <w:kinsoku/>
        <w:wordWrap/>
        <w:overflowPunct/>
        <w:topLinePunct w:val="0"/>
        <w:autoSpaceDE/>
        <w:autoSpaceDN/>
        <w:bidi w:val="0"/>
        <w:adjustRightInd/>
        <w:snapToGrid/>
        <w:spacing w:line="430" w:lineRule="exact"/>
        <w:textAlignment w:val="auto"/>
        <w:rPr>
          <w:sz w:val="28"/>
          <w:szCs w:val="28"/>
        </w:rPr>
      </w:pPr>
      <w:r>
        <w:rPr>
          <w:rFonts w:hint="eastAsia"/>
          <w:sz w:val="28"/>
          <w:szCs w:val="28"/>
        </w:rPr>
        <w:t>3.项目联系方式</w:t>
      </w:r>
    </w:p>
    <w:p>
      <w:pPr>
        <w:keepNext w:val="0"/>
        <w:keepLines w:val="0"/>
        <w:pageBreakBefore w:val="0"/>
        <w:widowControl w:val="0"/>
        <w:kinsoku/>
        <w:wordWrap/>
        <w:overflowPunct/>
        <w:topLinePunct w:val="0"/>
        <w:autoSpaceDE/>
        <w:autoSpaceDN/>
        <w:bidi w:val="0"/>
        <w:adjustRightInd/>
        <w:snapToGrid/>
        <w:spacing w:line="430" w:lineRule="exact"/>
        <w:textAlignment w:val="auto"/>
        <w:rPr>
          <w:sz w:val="28"/>
          <w:szCs w:val="28"/>
        </w:rPr>
      </w:pPr>
      <w:r>
        <w:rPr>
          <w:rFonts w:hint="eastAsia"/>
          <w:sz w:val="28"/>
          <w:szCs w:val="28"/>
        </w:rPr>
        <w:t>项目联系人：</w:t>
      </w:r>
      <w:r>
        <w:rPr>
          <w:rFonts w:hint="eastAsia"/>
          <w:sz w:val="28"/>
          <w:szCs w:val="28"/>
          <w:lang w:val="en-US" w:eastAsia="zh-CN"/>
        </w:rPr>
        <w:t>杜亚兰</w:t>
      </w:r>
      <w:r>
        <w:rPr>
          <w:rFonts w:hint="eastAsia"/>
          <w:sz w:val="28"/>
          <w:szCs w:val="28"/>
        </w:rPr>
        <w:t xml:space="preserve">  </w:t>
      </w:r>
    </w:p>
    <w:p>
      <w:pPr>
        <w:keepNext w:val="0"/>
        <w:keepLines w:val="0"/>
        <w:pageBreakBefore w:val="0"/>
        <w:widowControl w:val="0"/>
        <w:kinsoku/>
        <w:wordWrap/>
        <w:overflowPunct/>
        <w:topLinePunct w:val="0"/>
        <w:autoSpaceDE/>
        <w:autoSpaceDN/>
        <w:bidi w:val="0"/>
        <w:adjustRightInd/>
        <w:snapToGrid/>
        <w:spacing w:line="430" w:lineRule="exact"/>
        <w:textAlignment w:val="auto"/>
        <w:rPr>
          <w:rFonts w:hint="default"/>
          <w:sz w:val="28"/>
          <w:szCs w:val="28"/>
          <w:lang w:val="en-US"/>
        </w:rPr>
      </w:pPr>
      <w:r>
        <w:rPr>
          <w:rFonts w:hint="eastAsia"/>
          <w:sz w:val="28"/>
          <w:szCs w:val="28"/>
          <w:lang w:val="en-US" w:eastAsia="zh-CN"/>
        </w:rPr>
        <w:t>电   话：15886809969</w:t>
      </w:r>
    </w:p>
    <w:p>
      <w:pPr>
        <w:pStyle w:val="35"/>
        <w:spacing w:before="0" w:beforeAutospacing="0" w:after="0" w:afterAutospacing="0" w:line="240" w:lineRule="auto"/>
        <w:ind w:firstLine="0" w:firstLineChars="0"/>
        <w:rPr>
          <w:rFonts w:hint="eastAsia" w:ascii="宋体" w:hAnsi="宋体" w:eastAsia="宋体" w:cs="宋体"/>
          <w:sz w:val="24"/>
          <w:szCs w:val="24"/>
          <w:lang w:val="zh-CN"/>
        </w:rPr>
      </w:pPr>
    </w:p>
    <w:p>
      <w:pPr>
        <w:pStyle w:val="35"/>
        <w:spacing w:before="0" w:beforeAutospacing="0" w:after="0" w:afterAutospacing="0" w:line="500" w:lineRule="exact"/>
        <w:ind w:firstLine="240" w:firstLineChars="100"/>
        <w:rPr>
          <w:rFonts w:hint="eastAsia" w:ascii="宋体" w:hAnsi="宋体" w:eastAsia="宋体" w:cs="宋体"/>
          <w:sz w:val="24"/>
          <w:szCs w:val="24"/>
          <w:lang w:val="zh-CN"/>
        </w:rPr>
      </w:pPr>
    </w:p>
    <w:p>
      <w:pPr>
        <w:pStyle w:val="35"/>
        <w:spacing w:before="0" w:beforeAutospacing="0" w:after="0" w:afterAutospacing="0" w:line="500" w:lineRule="exact"/>
        <w:ind w:firstLine="240" w:firstLineChars="100"/>
        <w:rPr>
          <w:rFonts w:hint="eastAsia" w:ascii="宋体" w:hAnsi="宋体" w:eastAsia="宋体" w:cs="宋体"/>
          <w:sz w:val="24"/>
          <w:szCs w:val="24"/>
          <w:lang w:val="zh-CN"/>
        </w:rPr>
      </w:pPr>
    </w:p>
    <w:p>
      <w:pPr>
        <w:pStyle w:val="35"/>
        <w:spacing w:before="0" w:beforeAutospacing="0" w:after="0" w:afterAutospacing="0" w:line="500" w:lineRule="exact"/>
        <w:ind w:firstLine="240" w:firstLineChars="100"/>
        <w:rPr>
          <w:rFonts w:hint="eastAsia" w:ascii="宋体" w:hAnsi="宋体" w:eastAsia="宋体" w:cs="宋体"/>
          <w:sz w:val="24"/>
          <w:szCs w:val="24"/>
          <w:lang w:val="zh-CN"/>
        </w:rPr>
      </w:pPr>
    </w:p>
    <w:p>
      <w:pPr>
        <w:pStyle w:val="35"/>
        <w:spacing w:before="0" w:beforeAutospacing="0" w:after="0" w:afterAutospacing="0" w:line="500" w:lineRule="exact"/>
        <w:ind w:firstLine="240" w:firstLineChars="100"/>
        <w:rPr>
          <w:rFonts w:hint="eastAsia" w:ascii="宋体" w:hAnsi="宋体" w:eastAsia="宋体" w:cs="宋体"/>
          <w:sz w:val="24"/>
          <w:szCs w:val="24"/>
          <w:lang w:val="zh-CN"/>
        </w:rPr>
      </w:pPr>
    </w:p>
    <w:p>
      <w:pPr>
        <w:pStyle w:val="35"/>
        <w:spacing w:before="0" w:beforeAutospacing="0" w:after="0" w:afterAutospacing="0" w:line="500" w:lineRule="exact"/>
        <w:ind w:firstLine="240" w:firstLineChars="100"/>
        <w:rPr>
          <w:rFonts w:hint="eastAsia" w:ascii="宋体" w:hAnsi="宋体" w:eastAsia="宋体" w:cs="宋体"/>
          <w:sz w:val="24"/>
          <w:szCs w:val="24"/>
          <w:lang w:val="zh-CN"/>
        </w:rPr>
      </w:pPr>
    </w:p>
    <w:p>
      <w:pPr>
        <w:pStyle w:val="35"/>
        <w:spacing w:before="0" w:beforeAutospacing="0" w:after="0" w:afterAutospacing="0" w:line="500" w:lineRule="exact"/>
        <w:ind w:firstLine="240" w:firstLineChars="100"/>
        <w:rPr>
          <w:rFonts w:hint="eastAsia" w:ascii="宋体" w:hAnsi="宋体" w:eastAsia="宋体" w:cs="宋体"/>
          <w:sz w:val="24"/>
          <w:szCs w:val="24"/>
          <w:lang w:val="zh-CN"/>
        </w:rPr>
      </w:pPr>
    </w:p>
    <w:p>
      <w:pPr>
        <w:pStyle w:val="35"/>
        <w:spacing w:before="0" w:beforeAutospacing="0" w:after="0" w:afterAutospacing="0" w:line="500" w:lineRule="exact"/>
        <w:ind w:firstLine="240" w:firstLineChars="100"/>
        <w:rPr>
          <w:rFonts w:hint="eastAsia" w:ascii="宋体" w:hAnsi="宋体" w:eastAsia="宋体" w:cs="宋体"/>
          <w:sz w:val="24"/>
          <w:szCs w:val="24"/>
          <w:lang w:val="zh-CN"/>
        </w:rPr>
      </w:pPr>
    </w:p>
    <w:p>
      <w:pPr>
        <w:pStyle w:val="35"/>
        <w:spacing w:before="0" w:beforeAutospacing="0" w:after="0" w:afterAutospacing="0" w:line="500" w:lineRule="exact"/>
        <w:ind w:firstLine="240" w:firstLineChars="100"/>
        <w:rPr>
          <w:rFonts w:hint="eastAsia" w:ascii="宋体" w:hAnsi="宋体" w:eastAsia="宋体" w:cs="宋体"/>
          <w:sz w:val="24"/>
          <w:szCs w:val="24"/>
          <w:lang w:val="zh-CN"/>
        </w:rPr>
      </w:pPr>
    </w:p>
    <w:p>
      <w:pPr>
        <w:pStyle w:val="35"/>
        <w:spacing w:before="0" w:beforeAutospacing="0" w:after="0" w:afterAutospacing="0" w:line="500" w:lineRule="exact"/>
        <w:ind w:firstLine="240" w:firstLineChars="100"/>
        <w:rPr>
          <w:rFonts w:hint="eastAsia" w:ascii="宋体" w:hAnsi="宋体" w:eastAsia="宋体" w:cs="宋体"/>
          <w:sz w:val="24"/>
          <w:szCs w:val="24"/>
          <w:lang w:val="zh-CN"/>
        </w:rPr>
      </w:pPr>
    </w:p>
    <w:p>
      <w:pPr>
        <w:pStyle w:val="35"/>
        <w:spacing w:before="0" w:beforeAutospacing="0" w:after="0" w:afterAutospacing="0" w:line="500" w:lineRule="exact"/>
        <w:ind w:firstLine="240" w:firstLineChars="100"/>
        <w:rPr>
          <w:rFonts w:hint="eastAsia" w:ascii="宋体" w:hAnsi="宋体" w:eastAsia="宋体" w:cs="宋体"/>
          <w:sz w:val="24"/>
          <w:szCs w:val="24"/>
          <w:lang w:val="zh-CN"/>
        </w:rPr>
      </w:pPr>
    </w:p>
    <w:p>
      <w:pPr>
        <w:pStyle w:val="35"/>
        <w:spacing w:before="0" w:beforeAutospacing="0" w:after="0" w:afterAutospacing="0" w:line="500" w:lineRule="exact"/>
        <w:ind w:firstLine="240" w:firstLineChars="100"/>
        <w:rPr>
          <w:rFonts w:hint="eastAsia" w:ascii="宋体" w:hAnsi="宋体" w:eastAsia="宋体" w:cs="宋体"/>
          <w:sz w:val="24"/>
          <w:szCs w:val="24"/>
          <w:lang w:val="zh-CN"/>
        </w:rPr>
      </w:pPr>
    </w:p>
    <w:p>
      <w:pPr>
        <w:widowControl/>
        <w:spacing w:line="500" w:lineRule="exact"/>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第二章  投标人须知</w:t>
      </w:r>
      <w:bookmarkEnd w:id="11"/>
      <w:bookmarkEnd w:id="12"/>
      <w:bookmarkEnd w:id="13"/>
      <w:bookmarkEnd w:id="14"/>
      <w:bookmarkEnd w:id="15"/>
      <w:bookmarkEnd w:id="20"/>
      <w:bookmarkEnd w:id="21"/>
      <w:bookmarkEnd w:id="22"/>
      <w:bookmarkEnd w:id="23"/>
      <w:bookmarkStart w:id="24" w:name="_Toc184283909"/>
      <w:bookmarkStart w:id="25" w:name="_Toc184274915"/>
    </w:p>
    <w:p>
      <w:pPr>
        <w:pStyle w:val="5"/>
        <w:spacing w:line="500" w:lineRule="exact"/>
        <w:contextualSpacing/>
        <w:rPr>
          <w:rFonts w:ascii="宋体" w:hAnsi="宋体" w:cs="宋体"/>
          <w:color w:val="000000" w:themeColor="text1"/>
          <w:sz w:val="24"/>
          <w:szCs w:val="24"/>
          <w14:textFill>
            <w14:solidFill>
              <w14:schemeClr w14:val="tx1"/>
            </w14:solidFill>
          </w14:textFill>
        </w:rPr>
      </w:pPr>
      <w:bookmarkStart w:id="26" w:name="_Toc406749970"/>
      <w:bookmarkStart w:id="27" w:name="_Toc27123"/>
      <w:bookmarkStart w:id="28" w:name="_Toc14237"/>
      <w:bookmarkStart w:id="29" w:name="_Toc213396760"/>
      <w:bookmarkStart w:id="30" w:name="_Toc189727030"/>
      <w:bookmarkStart w:id="31" w:name="_Toc213496268"/>
      <w:bookmarkStart w:id="32" w:name="_Toc487728199"/>
      <w:bookmarkStart w:id="33" w:name="_Toc217446032"/>
      <w:bookmarkStart w:id="34" w:name="_Toc15994"/>
      <w:bookmarkStart w:id="35" w:name="_Toc213397010"/>
      <w:bookmarkStart w:id="36" w:name="_Toc213396946"/>
      <w:bookmarkStart w:id="37" w:name="OLE_LINK4"/>
      <w:r>
        <w:rPr>
          <w:rFonts w:hint="eastAsia" w:ascii="宋体" w:hAnsi="宋体" w:cs="宋体"/>
          <w:color w:val="000000" w:themeColor="text1"/>
          <w:sz w:val="24"/>
          <w:szCs w:val="24"/>
          <w14:textFill>
            <w14:solidFill>
              <w14:schemeClr w14:val="tx1"/>
            </w14:solidFill>
          </w14:textFill>
        </w:rPr>
        <w:t>投标人须知前附表</w:t>
      </w:r>
      <w:bookmarkEnd w:id="24"/>
      <w:bookmarkEnd w:id="25"/>
      <w:bookmarkEnd w:id="26"/>
      <w:bookmarkEnd w:id="27"/>
      <w:bookmarkEnd w:id="28"/>
      <w:bookmarkEnd w:id="29"/>
      <w:bookmarkEnd w:id="30"/>
      <w:bookmarkEnd w:id="31"/>
      <w:bookmarkEnd w:id="32"/>
      <w:bookmarkEnd w:id="33"/>
      <w:bookmarkEnd w:id="34"/>
      <w:bookmarkEnd w:id="35"/>
      <w:bookmarkEnd w:id="36"/>
    </w:p>
    <w:bookmarkEnd w:id="37"/>
    <w:tbl>
      <w:tblPr>
        <w:tblStyle w:val="36"/>
        <w:tblW w:w="94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12"/>
        <w:gridCol w:w="2523"/>
        <w:gridCol w:w="59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1" w:hRule="exact"/>
          <w:tblHeader/>
          <w:jc w:val="center"/>
        </w:trPr>
        <w:tc>
          <w:tcPr>
            <w:tcW w:w="1012" w:type="dxa"/>
            <w:vAlign w:val="center"/>
          </w:tcPr>
          <w:p>
            <w:pPr>
              <w:pStyle w:val="93"/>
              <w:spacing w:line="500" w:lineRule="exact"/>
              <w:ind w:left="9"/>
              <w:contextualSpacing/>
              <w:jc w:val="center"/>
              <w:rPr>
                <w:b/>
                <w:color w:val="000000" w:themeColor="text1"/>
                <w:lang w:val="zh-CN"/>
                <w14:textFill>
                  <w14:solidFill>
                    <w14:schemeClr w14:val="tx1"/>
                  </w14:solidFill>
                </w14:textFill>
              </w:rPr>
            </w:pPr>
            <w:r>
              <w:rPr>
                <w:rFonts w:hint="eastAsia"/>
                <w:b/>
                <w:color w:val="000000" w:themeColor="text1"/>
                <w:lang w:val="zh-CN"/>
                <w14:textFill>
                  <w14:solidFill>
                    <w14:schemeClr w14:val="tx1"/>
                  </w14:solidFill>
                </w14:textFill>
              </w:rPr>
              <w:t>序号</w:t>
            </w:r>
          </w:p>
        </w:tc>
        <w:tc>
          <w:tcPr>
            <w:tcW w:w="2523" w:type="dxa"/>
            <w:vAlign w:val="center"/>
          </w:tcPr>
          <w:p>
            <w:pPr>
              <w:pStyle w:val="93"/>
              <w:spacing w:line="500" w:lineRule="exact"/>
              <w:ind w:left="38"/>
              <w:contextualSpacing/>
              <w:jc w:val="center"/>
              <w:rPr>
                <w:b/>
                <w:color w:val="000000" w:themeColor="text1"/>
                <w:lang w:val="zh-CN"/>
                <w14:textFill>
                  <w14:solidFill>
                    <w14:schemeClr w14:val="tx1"/>
                  </w14:solidFill>
                </w14:textFill>
              </w:rPr>
            </w:pPr>
            <w:r>
              <w:rPr>
                <w:rFonts w:hint="eastAsia"/>
                <w:b/>
                <w:color w:val="000000" w:themeColor="text1"/>
                <w:lang w:val="zh-CN"/>
                <w14:textFill>
                  <w14:solidFill>
                    <w14:schemeClr w14:val="tx1"/>
                  </w14:solidFill>
                </w14:textFill>
              </w:rPr>
              <w:t>条款名称</w:t>
            </w:r>
          </w:p>
        </w:tc>
        <w:tc>
          <w:tcPr>
            <w:tcW w:w="5960" w:type="dxa"/>
            <w:vAlign w:val="center"/>
          </w:tcPr>
          <w:p>
            <w:pPr>
              <w:pStyle w:val="93"/>
              <w:spacing w:line="500" w:lineRule="exact"/>
              <w:contextualSpacing/>
              <w:jc w:val="center"/>
              <w:rPr>
                <w:b/>
                <w:color w:val="000000" w:themeColor="text1"/>
                <w:lang w:val="zh-CN"/>
                <w14:textFill>
                  <w14:solidFill>
                    <w14:schemeClr w14:val="tx1"/>
                  </w14:solidFill>
                </w14:textFill>
              </w:rPr>
            </w:pPr>
            <w:r>
              <w:rPr>
                <w:rFonts w:hint="eastAsia"/>
                <w:b/>
                <w:color w:val="000000" w:themeColor="text1"/>
                <w:lang w:val="zh-CN"/>
                <w14:textFill>
                  <w14:solidFill>
                    <w14:schemeClr w14:val="tx1"/>
                  </w14:solidFill>
                </w14:textFill>
              </w:rPr>
              <w:t>说明和要求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15" w:hRule="atLeast"/>
          <w:jc w:val="center"/>
        </w:trPr>
        <w:tc>
          <w:tcPr>
            <w:tcW w:w="1012" w:type="dxa"/>
            <w:vAlign w:val="center"/>
          </w:tcPr>
          <w:p>
            <w:pPr>
              <w:pStyle w:val="93"/>
              <w:spacing w:line="500" w:lineRule="exact"/>
              <w:ind w:right="230"/>
              <w:contextualSpacing/>
              <w:jc w:val="center"/>
              <w:rPr>
                <w:b/>
                <w:color w:val="000000" w:themeColor="text1"/>
                <w:lang w:val="zh-CN"/>
                <w14:textFill>
                  <w14:solidFill>
                    <w14:schemeClr w14:val="tx1"/>
                  </w14:solidFill>
                </w14:textFill>
              </w:rPr>
            </w:pPr>
            <w:r>
              <w:rPr>
                <w:rFonts w:hint="eastAsia"/>
                <w:b/>
                <w:color w:val="000000" w:themeColor="text1"/>
                <w:lang w:val="zh-CN"/>
                <w14:textFill>
                  <w14:solidFill>
                    <w14:schemeClr w14:val="tx1"/>
                  </w14:solidFill>
                </w14:textFill>
              </w:rPr>
              <w:t>1</w:t>
            </w:r>
          </w:p>
        </w:tc>
        <w:tc>
          <w:tcPr>
            <w:tcW w:w="2523" w:type="dxa"/>
            <w:vAlign w:val="center"/>
          </w:tcPr>
          <w:p>
            <w:pPr>
              <w:pStyle w:val="93"/>
              <w:spacing w:line="500" w:lineRule="exact"/>
              <w:contextualSpacing/>
              <w:jc w:val="center"/>
              <w:rPr>
                <w:b/>
                <w:color w:val="000000" w:themeColor="text1"/>
                <w:lang w:val="zh-CN"/>
                <w14:textFill>
                  <w14:solidFill>
                    <w14:schemeClr w14:val="tx1"/>
                  </w14:solidFill>
                </w14:textFill>
              </w:rPr>
            </w:pPr>
            <w:r>
              <w:rPr>
                <w:rFonts w:hint="eastAsia"/>
                <w:b/>
                <w:color w:val="000000" w:themeColor="text1"/>
                <w:lang w:val="zh-CN"/>
                <w14:textFill>
                  <w14:solidFill>
                    <w14:schemeClr w14:val="tx1"/>
                  </w14:solidFill>
                </w14:textFill>
              </w:rPr>
              <w:t>采购人</w:t>
            </w:r>
          </w:p>
        </w:tc>
        <w:tc>
          <w:tcPr>
            <w:tcW w:w="5960" w:type="dxa"/>
            <w:vAlign w:val="center"/>
          </w:tcPr>
          <w:p>
            <w:pPr>
              <w:pStyle w:val="93"/>
              <w:spacing w:line="500" w:lineRule="exact"/>
              <w:contextualSpacing/>
              <w:jc w:val="left"/>
              <w:rPr>
                <w:rFonts w:hint="eastAsia"/>
                <w:color w:val="333333"/>
                <w:shd w:val="clear" w:color="auto" w:fill="FFFFFF"/>
                <w:lang w:val="zh-CN" w:eastAsia="zh-CN"/>
              </w:rPr>
            </w:pPr>
            <w:r>
              <w:rPr>
                <w:rFonts w:hint="eastAsia"/>
                <w:color w:val="333333"/>
                <w:shd w:val="clear" w:color="auto" w:fill="FFFFFF"/>
                <w:lang w:val="zh-CN" w:eastAsia="zh-CN"/>
              </w:rPr>
              <w:t>名称：新疆维吾尔自治区阿克苏职业技术学院　　</w:t>
            </w:r>
          </w:p>
          <w:p>
            <w:pPr>
              <w:pStyle w:val="93"/>
              <w:spacing w:line="500" w:lineRule="exact"/>
              <w:contextualSpacing/>
              <w:jc w:val="left"/>
              <w:rPr>
                <w:rFonts w:hint="eastAsia"/>
                <w:color w:val="333333"/>
                <w:shd w:val="clear" w:color="auto" w:fill="FFFFFF"/>
                <w:lang w:val="zh-CN" w:eastAsia="zh-CN"/>
              </w:rPr>
            </w:pPr>
            <w:r>
              <w:rPr>
                <w:rFonts w:hint="eastAsia"/>
                <w:color w:val="333333"/>
                <w:shd w:val="clear" w:color="auto" w:fill="FFFFFF"/>
                <w:lang w:val="zh-CN" w:eastAsia="zh-CN"/>
              </w:rPr>
              <w:t>地址：阿克苏地区温宿县温宿镇学府路 41号</w:t>
            </w:r>
          </w:p>
          <w:p>
            <w:pPr>
              <w:pStyle w:val="93"/>
              <w:spacing w:line="500" w:lineRule="exact"/>
              <w:contextualSpacing/>
              <w:jc w:val="left"/>
              <w:rPr>
                <w:rFonts w:cs="宋体"/>
                <w:kern w:val="2"/>
                <w:sz w:val="24"/>
                <w:szCs w:val="24"/>
              </w:rPr>
            </w:pPr>
            <w:r>
              <w:rPr>
                <w:rFonts w:hint="eastAsia"/>
                <w:color w:val="333333"/>
                <w:shd w:val="clear" w:color="auto" w:fill="FFFFFF"/>
                <w:lang w:val="zh-CN" w:eastAsia="zh-CN"/>
              </w:rPr>
              <w:t>联系人：</w:t>
            </w:r>
            <w:r>
              <w:rPr>
                <w:rFonts w:hint="eastAsia"/>
                <w:color w:val="333333"/>
                <w:shd w:val="clear" w:color="auto" w:fill="FFFFFF"/>
                <w:lang w:val="en-US" w:eastAsia="zh-CN"/>
              </w:rPr>
              <w:t xml:space="preserve">李洋   </w:t>
            </w:r>
            <w:r>
              <w:rPr>
                <w:rFonts w:hint="eastAsia"/>
                <w:color w:val="333333"/>
                <w:shd w:val="clear" w:color="auto" w:fill="FFFFFF"/>
                <w:lang w:val="zh-CN" w:eastAsia="zh-CN"/>
              </w:rPr>
              <w:t>电话：18609975881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25" w:hRule="atLeast"/>
          <w:jc w:val="center"/>
        </w:trPr>
        <w:tc>
          <w:tcPr>
            <w:tcW w:w="1012" w:type="dxa"/>
            <w:vAlign w:val="center"/>
          </w:tcPr>
          <w:p>
            <w:pPr>
              <w:pStyle w:val="93"/>
              <w:spacing w:line="500" w:lineRule="exact"/>
              <w:ind w:right="230"/>
              <w:contextualSpacing/>
              <w:jc w:val="center"/>
              <w:rPr>
                <w:b/>
                <w:color w:val="000000" w:themeColor="text1"/>
                <w:lang w:val="zh-CN"/>
                <w14:textFill>
                  <w14:solidFill>
                    <w14:schemeClr w14:val="tx1"/>
                  </w14:solidFill>
                </w14:textFill>
              </w:rPr>
            </w:pPr>
            <w:r>
              <w:rPr>
                <w:rFonts w:hint="eastAsia"/>
                <w:b/>
                <w:color w:val="000000" w:themeColor="text1"/>
                <w:lang w:val="zh-CN"/>
                <w14:textFill>
                  <w14:solidFill>
                    <w14:schemeClr w14:val="tx1"/>
                  </w14:solidFill>
                </w14:textFill>
              </w:rPr>
              <w:t>2</w:t>
            </w:r>
          </w:p>
        </w:tc>
        <w:tc>
          <w:tcPr>
            <w:tcW w:w="2523" w:type="dxa"/>
            <w:vAlign w:val="center"/>
          </w:tcPr>
          <w:p>
            <w:pPr>
              <w:pStyle w:val="93"/>
              <w:spacing w:line="500" w:lineRule="exact"/>
              <w:ind w:left="38"/>
              <w:contextualSpacing/>
              <w:jc w:val="center"/>
              <w:rPr>
                <w:b/>
                <w:color w:val="000000" w:themeColor="text1"/>
                <w:lang w:val="zh-CN"/>
                <w14:textFill>
                  <w14:solidFill>
                    <w14:schemeClr w14:val="tx1"/>
                  </w14:solidFill>
                </w14:textFill>
              </w:rPr>
            </w:pPr>
            <w:r>
              <w:rPr>
                <w:rFonts w:hint="eastAsia"/>
                <w:b/>
                <w:color w:val="000000" w:themeColor="text1"/>
                <w:lang w:val="zh-CN"/>
                <w14:textFill>
                  <w14:solidFill>
                    <w14:schemeClr w14:val="tx1"/>
                  </w14:solidFill>
                </w14:textFill>
              </w:rPr>
              <w:t>代理机构</w:t>
            </w:r>
          </w:p>
        </w:tc>
        <w:tc>
          <w:tcPr>
            <w:tcW w:w="5960" w:type="dxa"/>
            <w:vAlign w:val="center"/>
          </w:tcPr>
          <w:p>
            <w:pPr>
              <w:pStyle w:val="93"/>
              <w:spacing w:line="500" w:lineRule="exact"/>
              <w:contextualSpacing/>
              <w:jc w:val="left"/>
              <w:rPr>
                <w:color w:val="333333"/>
                <w:shd w:val="clear" w:color="auto" w:fill="FFFFFF"/>
              </w:rPr>
            </w:pPr>
            <w:r>
              <w:rPr>
                <w:rFonts w:hint="eastAsia"/>
                <w:lang w:val="zh-CN"/>
              </w:rPr>
              <w:t>名称：</w:t>
            </w:r>
            <w:r>
              <w:rPr>
                <w:rFonts w:hint="eastAsia"/>
                <w:color w:val="333333"/>
                <w:shd w:val="clear" w:color="auto" w:fill="FFFFFF"/>
              </w:rPr>
              <w:t>新疆领会项目管理有限公司</w:t>
            </w:r>
          </w:p>
          <w:p>
            <w:pPr>
              <w:pStyle w:val="93"/>
              <w:spacing w:line="500" w:lineRule="exact"/>
              <w:contextualSpacing/>
              <w:jc w:val="left"/>
              <w:rPr>
                <w:lang w:val="zh-CN"/>
              </w:rPr>
            </w:pPr>
            <w:r>
              <w:rPr>
                <w:rFonts w:hint="eastAsia"/>
                <w:lang w:val="zh-CN"/>
              </w:rPr>
              <w:t>地址：</w:t>
            </w:r>
            <w:r>
              <w:rPr>
                <w:rFonts w:hint="eastAsia"/>
                <w:color w:val="333333"/>
                <w:shd w:val="clear" w:color="auto" w:fill="FFFFFF"/>
              </w:rPr>
              <w:t>新疆阿克苏地区友谊北路19号阿克苏“丝路古镇”奇石、玉石博览旅游文化中心16栋04铺一层</w:t>
            </w:r>
          </w:p>
          <w:p>
            <w:pPr>
              <w:pStyle w:val="93"/>
              <w:spacing w:line="500" w:lineRule="exact"/>
              <w:contextualSpacing/>
              <w:jc w:val="left"/>
              <w:rPr>
                <w:lang w:val="zh-CN"/>
              </w:rPr>
            </w:pPr>
            <w:r>
              <w:rPr>
                <w:rFonts w:hint="eastAsia"/>
                <w:lang w:val="zh-CN"/>
              </w:rPr>
              <w:t>联系人：杜亚兰</w:t>
            </w:r>
          </w:p>
          <w:p>
            <w:pPr>
              <w:pStyle w:val="93"/>
              <w:spacing w:line="500" w:lineRule="exact"/>
              <w:contextualSpacing/>
              <w:jc w:val="left"/>
              <w:rPr>
                <w:rFonts w:hint="default" w:eastAsia="宋体"/>
                <w:kern w:val="2"/>
                <w:lang w:val="en-US" w:eastAsia="zh-CN"/>
              </w:rPr>
            </w:pPr>
            <w:r>
              <w:rPr>
                <w:rFonts w:hint="eastAsia"/>
                <w:lang w:val="zh-CN"/>
              </w:rPr>
              <w:t xml:space="preserve">电话: </w:t>
            </w:r>
            <w:r>
              <w:rPr>
                <w:rFonts w:hint="eastAsia"/>
                <w:lang w:val="en-US" w:eastAsia="zh-CN"/>
              </w:rPr>
              <w:t>15886809969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84" w:hRule="exact"/>
          <w:jc w:val="center"/>
        </w:trPr>
        <w:tc>
          <w:tcPr>
            <w:tcW w:w="1012" w:type="dxa"/>
            <w:vAlign w:val="center"/>
          </w:tcPr>
          <w:p>
            <w:pPr>
              <w:pStyle w:val="93"/>
              <w:spacing w:line="500" w:lineRule="exact"/>
              <w:ind w:right="230"/>
              <w:contextualSpacing/>
              <w:jc w:val="center"/>
              <w:rPr>
                <w:b/>
                <w:color w:val="000000" w:themeColor="text1"/>
                <w:lang w:val="zh-CN"/>
                <w14:textFill>
                  <w14:solidFill>
                    <w14:schemeClr w14:val="tx1"/>
                  </w14:solidFill>
                </w14:textFill>
              </w:rPr>
            </w:pPr>
            <w:r>
              <w:rPr>
                <w:rFonts w:hint="eastAsia"/>
                <w:b/>
                <w:color w:val="000000" w:themeColor="text1"/>
                <w:lang w:val="zh-CN"/>
                <w14:textFill>
                  <w14:solidFill>
                    <w14:schemeClr w14:val="tx1"/>
                  </w14:solidFill>
                </w14:textFill>
              </w:rPr>
              <w:t>3</w:t>
            </w:r>
          </w:p>
        </w:tc>
        <w:tc>
          <w:tcPr>
            <w:tcW w:w="2523" w:type="dxa"/>
            <w:vAlign w:val="center"/>
          </w:tcPr>
          <w:p>
            <w:pPr>
              <w:pStyle w:val="93"/>
              <w:spacing w:line="500" w:lineRule="exact"/>
              <w:ind w:left="38"/>
              <w:contextualSpacing/>
              <w:jc w:val="center"/>
              <w:rPr>
                <w:b/>
                <w:color w:val="000000" w:themeColor="text1"/>
                <w:lang w:val="zh-CN"/>
                <w14:textFill>
                  <w14:solidFill>
                    <w14:schemeClr w14:val="tx1"/>
                  </w14:solidFill>
                </w14:textFill>
              </w:rPr>
            </w:pPr>
            <w:r>
              <w:rPr>
                <w:rFonts w:hint="eastAsia"/>
                <w:b/>
                <w:color w:val="000000" w:themeColor="text1"/>
                <w:lang w:val="zh-CN"/>
                <w14:textFill>
                  <w14:solidFill>
                    <w14:schemeClr w14:val="tx1"/>
                  </w14:solidFill>
                </w14:textFill>
              </w:rPr>
              <w:t>采购项目名称</w:t>
            </w:r>
          </w:p>
        </w:tc>
        <w:tc>
          <w:tcPr>
            <w:tcW w:w="5960" w:type="dxa"/>
            <w:vAlign w:val="center"/>
          </w:tcPr>
          <w:p>
            <w:pPr>
              <w:widowControl/>
              <w:spacing w:line="500" w:lineRule="exact"/>
              <w:contextualSpacing/>
              <w:jc w:val="both"/>
              <w:rPr>
                <w:rFonts w:hint="eastAsia" w:ascii="宋体" w:hAnsi="宋体" w:eastAsia="宋体" w:cs="宋体"/>
                <w:bCs/>
                <w:kern w:val="0"/>
                <w:sz w:val="24"/>
                <w:szCs w:val="24"/>
                <w:lang w:eastAsia="zh-CN"/>
              </w:rPr>
            </w:pPr>
            <w:r>
              <w:rPr>
                <w:rFonts w:hint="eastAsia" w:ascii="宋体" w:hAnsi="宋体" w:eastAsia="宋体" w:cs="宋体"/>
                <w:kern w:val="0"/>
                <w:sz w:val="24"/>
                <w:szCs w:val="24"/>
                <w:lang w:val="en-US" w:eastAsia="zh-CN" w:bidi="ar-SA"/>
              </w:rPr>
              <w:t>阿克苏职业技术学院美育教育实训中心建设项目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3" w:hRule="exact"/>
          <w:jc w:val="center"/>
        </w:trPr>
        <w:tc>
          <w:tcPr>
            <w:tcW w:w="1012" w:type="dxa"/>
            <w:vAlign w:val="center"/>
          </w:tcPr>
          <w:p>
            <w:pPr>
              <w:pStyle w:val="93"/>
              <w:spacing w:line="500" w:lineRule="exact"/>
              <w:ind w:right="230"/>
              <w:contextualSpacing/>
              <w:jc w:val="center"/>
              <w:rPr>
                <w:b/>
                <w:color w:val="000000" w:themeColor="text1"/>
                <w:lang w:val="zh-CN"/>
                <w14:textFill>
                  <w14:solidFill>
                    <w14:schemeClr w14:val="tx1"/>
                  </w14:solidFill>
                </w14:textFill>
              </w:rPr>
            </w:pPr>
            <w:r>
              <w:rPr>
                <w:rFonts w:hint="eastAsia"/>
                <w:b/>
                <w:color w:val="000000" w:themeColor="text1"/>
                <w:lang w:val="zh-CN"/>
                <w14:textFill>
                  <w14:solidFill>
                    <w14:schemeClr w14:val="tx1"/>
                  </w14:solidFill>
                </w14:textFill>
              </w:rPr>
              <w:t>4</w:t>
            </w:r>
          </w:p>
        </w:tc>
        <w:tc>
          <w:tcPr>
            <w:tcW w:w="2523" w:type="dxa"/>
            <w:vAlign w:val="center"/>
          </w:tcPr>
          <w:p>
            <w:pPr>
              <w:pStyle w:val="93"/>
              <w:spacing w:line="500" w:lineRule="exact"/>
              <w:ind w:left="38"/>
              <w:contextualSpacing/>
              <w:jc w:val="center"/>
              <w:rPr>
                <w:b/>
                <w:color w:val="000000" w:themeColor="text1"/>
                <w:lang w:val="zh-CN"/>
                <w14:textFill>
                  <w14:solidFill>
                    <w14:schemeClr w14:val="tx1"/>
                  </w14:solidFill>
                </w14:textFill>
              </w:rPr>
            </w:pPr>
            <w:r>
              <w:rPr>
                <w:rFonts w:hint="eastAsia"/>
                <w:b/>
                <w:color w:val="000000" w:themeColor="text1"/>
                <w:lang w:val="zh-CN"/>
                <w14:textFill>
                  <w14:solidFill>
                    <w14:schemeClr w14:val="tx1"/>
                  </w14:solidFill>
                </w14:textFill>
              </w:rPr>
              <w:t>采购项目编号</w:t>
            </w:r>
          </w:p>
        </w:tc>
        <w:tc>
          <w:tcPr>
            <w:tcW w:w="5960" w:type="dxa"/>
            <w:vAlign w:val="center"/>
          </w:tcPr>
          <w:p>
            <w:pPr>
              <w:spacing w:line="500" w:lineRule="exact"/>
              <w:contextualSpacing/>
              <w:jc w:val="center"/>
              <w:rPr>
                <w:rFonts w:hint="default" w:ascii="宋体" w:hAnsi="宋体" w:eastAsia="宋体" w:cs="宋体"/>
                <w:sz w:val="24"/>
                <w:szCs w:val="24"/>
                <w:lang w:val="en-US" w:eastAsia="zh-CN"/>
              </w:rPr>
            </w:pPr>
            <w:r>
              <w:rPr>
                <w:rFonts w:hint="eastAsia" w:ascii="仿宋" w:hAnsi="仿宋" w:eastAsia="仿宋"/>
                <w:color w:val="auto"/>
                <w:sz w:val="24"/>
                <w:szCs w:val="24"/>
                <w:lang w:val="en-US" w:eastAsia="zh-CN"/>
              </w:rPr>
              <w:t>分2022-01-96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5" w:hRule="exact"/>
          <w:jc w:val="center"/>
        </w:trPr>
        <w:tc>
          <w:tcPr>
            <w:tcW w:w="1012" w:type="dxa"/>
            <w:vAlign w:val="center"/>
          </w:tcPr>
          <w:p>
            <w:pPr>
              <w:pStyle w:val="93"/>
              <w:spacing w:line="500" w:lineRule="exact"/>
              <w:ind w:right="230"/>
              <w:contextualSpacing/>
              <w:jc w:val="center"/>
              <w:rPr>
                <w:b/>
                <w:color w:val="000000" w:themeColor="text1"/>
                <w:lang w:val="zh-CN"/>
                <w14:textFill>
                  <w14:solidFill>
                    <w14:schemeClr w14:val="tx1"/>
                  </w14:solidFill>
                </w14:textFill>
              </w:rPr>
            </w:pPr>
            <w:r>
              <w:rPr>
                <w:rFonts w:hint="eastAsia"/>
                <w:b/>
                <w:color w:val="000000" w:themeColor="text1"/>
                <w:lang w:val="zh-CN"/>
                <w14:textFill>
                  <w14:solidFill>
                    <w14:schemeClr w14:val="tx1"/>
                  </w14:solidFill>
                </w14:textFill>
              </w:rPr>
              <w:t>5</w:t>
            </w:r>
          </w:p>
        </w:tc>
        <w:tc>
          <w:tcPr>
            <w:tcW w:w="2523" w:type="dxa"/>
            <w:vAlign w:val="center"/>
          </w:tcPr>
          <w:p>
            <w:pPr>
              <w:pStyle w:val="93"/>
              <w:spacing w:line="500" w:lineRule="exact"/>
              <w:ind w:left="38"/>
              <w:contextualSpacing/>
              <w:jc w:val="center"/>
              <w:rPr>
                <w:b/>
                <w:color w:val="000000" w:themeColor="text1"/>
                <w:lang w:val="zh-CN"/>
                <w14:textFill>
                  <w14:solidFill>
                    <w14:schemeClr w14:val="tx1"/>
                  </w14:solidFill>
                </w14:textFill>
              </w:rPr>
            </w:pPr>
            <w:r>
              <w:rPr>
                <w:rFonts w:hint="eastAsia"/>
                <w:b/>
                <w:color w:val="000000" w:themeColor="text1"/>
                <w:lang w:val="zh-CN"/>
                <w14:textFill>
                  <w14:solidFill>
                    <w14:schemeClr w14:val="tx1"/>
                  </w14:solidFill>
                </w14:textFill>
              </w:rPr>
              <w:t>资金来源</w:t>
            </w:r>
          </w:p>
          <w:p>
            <w:pPr>
              <w:pStyle w:val="93"/>
              <w:spacing w:line="500" w:lineRule="exact"/>
              <w:ind w:left="38"/>
              <w:contextualSpacing/>
              <w:jc w:val="center"/>
              <w:rPr>
                <w:b/>
                <w:color w:val="000000" w:themeColor="text1"/>
                <w:lang w:val="zh-CN"/>
                <w14:textFill>
                  <w14:solidFill>
                    <w14:schemeClr w14:val="tx1"/>
                  </w14:solidFill>
                </w14:textFill>
              </w:rPr>
            </w:pPr>
          </w:p>
        </w:tc>
        <w:tc>
          <w:tcPr>
            <w:tcW w:w="5960" w:type="dxa"/>
            <w:vAlign w:val="center"/>
          </w:tcPr>
          <w:p>
            <w:pPr>
              <w:pStyle w:val="93"/>
              <w:spacing w:line="500" w:lineRule="exact"/>
              <w:contextualSpacing/>
              <w:jc w:val="center"/>
              <w:rPr>
                <w:rFonts w:hint="default" w:eastAsia="宋体"/>
                <w:lang w:val="en-US" w:eastAsia="zh-CN"/>
              </w:rPr>
            </w:pPr>
            <w:r>
              <w:rPr>
                <w:rFonts w:hint="eastAsia"/>
                <w:lang w:val="en-US" w:eastAsia="zh-CN"/>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6" w:hRule="exact"/>
          <w:jc w:val="center"/>
        </w:trPr>
        <w:tc>
          <w:tcPr>
            <w:tcW w:w="1012" w:type="dxa"/>
            <w:vAlign w:val="center"/>
          </w:tcPr>
          <w:p>
            <w:pPr>
              <w:pStyle w:val="93"/>
              <w:spacing w:line="500" w:lineRule="exact"/>
              <w:ind w:right="230"/>
              <w:contextualSpacing/>
              <w:jc w:val="center"/>
              <w:rPr>
                <w:b/>
                <w:color w:val="000000" w:themeColor="text1"/>
                <w:lang w:val="zh-CN"/>
                <w14:textFill>
                  <w14:solidFill>
                    <w14:schemeClr w14:val="tx1"/>
                  </w14:solidFill>
                </w14:textFill>
              </w:rPr>
            </w:pPr>
            <w:r>
              <w:rPr>
                <w:rFonts w:hint="eastAsia"/>
                <w:b/>
                <w:color w:val="000000" w:themeColor="text1"/>
                <w:lang w:val="zh-CN"/>
                <w14:textFill>
                  <w14:solidFill>
                    <w14:schemeClr w14:val="tx1"/>
                  </w14:solidFill>
                </w14:textFill>
              </w:rPr>
              <w:t>6</w:t>
            </w:r>
          </w:p>
        </w:tc>
        <w:tc>
          <w:tcPr>
            <w:tcW w:w="2523" w:type="dxa"/>
            <w:vAlign w:val="center"/>
          </w:tcPr>
          <w:p>
            <w:pPr>
              <w:pStyle w:val="93"/>
              <w:spacing w:line="500" w:lineRule="exact"/>
              <w:ind w:left="38"/>
              <w:contextualSpacing/>
              <w:jc w:val="center"/>
              <w:rPr>
                <w:b/>
                <w:color w:val="000000" w:themeColor="text1"/>
                <w:lang w:val="zh-CN"/>
                <w14:textFill>
                  <w14:solidFill>
                    <w14:schemeClr w14:val="tx1"/>
                  </w14:solidFill>
                </w14:textFill>
              </w:rPr>
            </w:pPr>
            <w:r>
              <w:rPr>
                <w:rFonts w:hint="eastAsia"/>
                <w:b/>
                <w:color w:val="000000" w:themeColor="text1"/>
                <w:lang w:val="zh-CN"/>
                <w14:textFill>
                  <w14:solidFill>
                    <w14:schemeClr w14:val="tx1"/>
                  </w14:solidFill>
                </w14:textFill>
              </w:rPr>
              <w:t>最高限价</w:t>
            </w:r>
          </w:p>
        </w:tc>
        <w:tc>
          <w:tcPr>
            <w:tcW w:w="5960" w:type="dxa"/>
            <w:vAlign w:val="center"/>
          </w:tcPr>
          <w:p>
            <w:pPr>
              <w:pStyle w:val="93"/>
              <w:spacing w:line="500" w:lineRule="exact"/>
              <w:ind w:left="194" w:leftChars="92" w:right="210" w:rightChars="100" w:hanging="1"/>
              <w:contextualSpacing/>
              <w:jc w:val="center"/>
              <w:rPr>
                <w:lang w:val="zh-CN"/>
              </w:rPr>
            </w:pPr>
            <w:r>
              <w:rPr>
                <w:rFonts w:hint="eastAsia"/>
                <w:spacing w:val="-4"/>
              </w:rPr>
              <w:t>最高限价：</w:t>
            </w:r>
            <w:r>
              <w:rPr>
                <w:rFonts w:hint="eastAsia"/>
                <w:color w:val="333333"/>
                <w:shd w:val="clear" w:color="auto" w:fill="FFFFFF"/>
                <w:lang w:val="en-US" w:eastAsia="zh-CN"/>
              </w:rPr>
              <w:t>2000000</w:t>
            </w:r>
            <w:r>
              <w:rPr>
                <w:rFonts w:hint="eastAsia"/>
                <w:b/>
                <w:bCs/>
                <w:spacing w:val="-4"/>
              </w:rPr>
              <w:t>元</w:t>
            </w:r>
            <w:r>
              <w:rPr>
                <w:rFonts w:hint="eastAsia"/>
                <w:spacing w:val="-4"/>
              </w:rPr>
              <w:t>，投标报价不得超过最高限价。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5" w:hRule="exact"/>
          <w:jc w:val="center"/>
        </w:trPr>
        <w:tc>
          <w:tcPr>
            <w:tcW w:w="1012" w:type="dxa"/>
            <w:vAlign w:val="center"/>
          </w:tcPr>
          <w:p>
            <w:pPr>
              <w:pStyle w:val="93"/>
              <w:spacing w:line="500" w:lineRule="exact"/>
              <w:ind w:right="230"/>
              <w:contextualSpacing/>
              <w:jc w:val="center"/>
              <w:rPr>
                <w:b/>
                <w:color w:val="000000" w:themeColor="text1"/>
                <w:lang w:val="zh-CN"/>
                <w14:textFill>
                  <w14:solidFill>
                    <w14:schemeClr w14:val="tx1"/>
                  </w14:solidFill>
                </w14:textFill>
              </w:rPr>
            </w:pPr>
            <w:r>
              <w:rPr>
                <w:rFonts w:hint="eastAsia"/>
                <w:b/>
                <w:color w:val="000000" w:themeColor="text1"/>
                <w:lang w:val="zh-CN"/>
                <w14:textFill>
                  <w14:solidFill>
                    <w14:schemeClr w14:val="tx1"/>
                  </w14:solidFill>
                </w14:textFill>
              </w:rPr>
              <w:t>7</w:t>
            </w:r>
          </w:p>
        </w:tc>
        <w:tc>
          <w:tcPr>
            <w:tcW w:w="2523" w:type="dxa"/>
            <w:vAlign w:val="center"/>
          </w:tcPr>
          <w:p>
            <w:pPr>
              <w:pStyle w:val="93"/>
              <w:spacing w:line="500" w:lineRule="exact"/>
              <w:ind w:left="38"/>
              <w:contextualSpacing/>
              <w:jc w:val="center"/>
              <w:rPr>
                <w:b/>
                <w:color w:val="000000" w:themeColor="text1"/>
                <w:lang w:val="zh-CN"/>
                <w14:textFill>
                  <w14:solidFill>
                    <w14:schemeClr w14:val="tx1"/>
                  </w14:solidFill>
                </w14:textFill>
              </w:rPr>
            </w:pPr>
            <w:r>
              <w:rPr>
                <w:rFonts w:hint="eastAsia"/>
                <w:b/>
                <w:color w:val="000000" w:themeColor="text1"/>
                <w:lang w:val="zh-CN"/>
                <w14:textFill>
                  <w14:solidFill>
                    <w14:schemeClr w14:val="tx1"/>
                  </w14:solidFill>
                </w14:textFill>
              </w:rPr>
              <w:t>采购方式</w:t>
            </w:r>
          </w:p>
        </w:tc>
        <w:tc>
          <w:tcPr>
            <w:tcW w:w="5960" w:type="dxa"/>
            <w:vAlign w:val="center"/>
          </w:tcPr>
          <w:p>
            <w:pPr>
              <w:pStyle w:val="93"/>
              <w:spacing w:line="500" w:lineRule="exact"/>
              <w:ind w:firstLine="249" w:firstLineChars="104"/>
              <w:contextualSpacing/>
              <w:jc w:val="center"/>
              <w:rPr>
                <w:color w:val="000000" w:themeColor="text1"/>
                <w:lang w:val="zh-CN"/>
                <w14:textFill>
                  <w14:solidFill>
                    <w14:schemeClr w14:val="tx1"/>
                  </w14:solidFill>
                </w14:textFill>
              </w:rPr>
            </w:pPr>
            <w:r>
              <w:rPr>
                <w:rFonts w:hint="eastAsia"/>
                <w:color w:val="000000" w:themeColor="text1"/>
                <w14:textFill>
                  <w14:solidFill>
                    <w14:schemeClr w14:val="tx1"/>
                  </w14:solidFill>
                </w14:textFill>
              </w:rPr>
              <w:t>公开</w:t>
            </w:r>
            <w:r>
              <w:rPr>
                <w:rFonts w:hint="eastAsia"/>
                <w:color w:val="000000" w:themeColor="text1"/>
                <w:lang w:val="zh-CN"/>
                <w14:textFill>
                  <w14:solidFill>
                    <w14:schemeClr w14:val="tx1"/>
                  </w14:solidFill>
                </w14:textFill>
              </w:rPr>
              <w:t>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5" w:hRule="atLeast"/>
          <w:jc w:val="center"/>
        </w:trPr>
        <w:tc>
          <w:tcPr>
            <w:tcW w:w="1012" w:type="dxa"/>
            <w:vAlign w:val="center"/>
          </w:tcPr>
          <w:p>
            <w:pPr>
              <w:pStyle w:val="93"/>
              <w:spacing w:line="500" w:lineRule="exact"/>
              <w:ind w:right="230"/>
              <w:contextualSpacing/>
              <w:jc w:val="center"/>
              <w:rPr>
                <w:b/>
                <w:color w:val="000000" w:themeColor="text1"/>
                <w:lang w:val="zh-CN"/>
                <w14:textFill>
                  <w14:solidFill>
                    <w14:schemeClr w14:val="tx1"/>
                  </w14:solidFill>
                </w14:textFill>
              </w:rPr>
            </w:pPr>
            <w:r>
              <w:rPr>
                <w:rFonts w:hint="eastAsia"/>
                <w:b/>
                <w:color w:val="000000" w:themeColor="text1"/>
                <w:lang w:val="zh-CN"/>
                <w14:textFill>
                  <w14:solidFill>
                    <w14:schemeClr w14:val="tx1"/>
                  </w14:solidFill>
                </w14:textFill>
              </w:rPr>
              <w:t>8</w:t>
            </w:r>
          </w:p>
        </w:tc>
        <w:tc>
          <w:tcPr>
            <w:tcW w:w="2523" w:type="dxa"/>
            <w:vAlign w:val="center"/>
          </w:tcPr>
          <w:p>
            <w:pPr>
              <w:pStyle w:val="93"/>
              <w:spacing w:line="500" w:lineRule="exact"/>
              <w:ind w:left="96"/>
              <w:contextualSpacing/>
              <w:jc w:val="center"/>
              <w:rPr>
                <w:b/>
                <w:lang w:val="zh-CN"/>
              </w:rPr>
            </w:pPr>
            <w:r>
              <w:rPr>
                <w:rFonts w:hint="eastAsia"/>
                <w:b/>
                <w:lang w:val="zh-CN"/>
              </w:rPr>
              <w:t>评标方法</w:t>
            </w:r>
          </w:p>
        </w:tc>
        <w:tc>
          <w:tcPr>
            <w:tcW w:w="5960" w:type="dxa"/>
            <w:vAlign w:val="center"/>
          </w:tcPr>
          <w:p>
            <w:pPr>
              <w:pStyle w:val="93"/>
              <w:spacing w:line="500" w:lineRule="exact"/>
              <w:ind w:left="694" w:leftChars="102" w:hanging="480" w:hangingChars="200"/>
              <w:contextualSpacing/>
              <w:rPr>
                <w:lang w:val="zh-CN"/>
              </w:rPr>
            </w:pPr>
            <w:r>
              <w:rPr>
                <w:rFonts w:hint="eastAsia"/>
                <w:lang w:val="zh-CN"/>
              </w:rPr>
              <w:t>综合评估法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5" w:hRule="atLeast"/>
          <w:jc w:val="center"/>
        </w:trPr>
        <w:tc>
          <w:tcPr>
            <w:tcW w:w="1012" w:type="dxa"/>
            <w:vAlign w:val="center"/>
          </w:tcPr>
          <w:p>
            <w:pPr>
              <w:pStyle w:val="93"/>
              <w:spacing w:line="500" w:lineRule="exact"/>
              <w:ind w:right="230"/>
              <w:contextualSpacing/>
              <w:jc w:val="center"/>
              <w:rPr>
                <w:b/>
                <w:color w:val="000000" w:themeColor="text1"/>
                <w:lang w:val="zh-CN"/>
                <w14:textFill>
                  <w14:solidFill>
                    <w14:schemeClr w14:val="tx1"/>
                  </w14:solidFill>
                </w14:textFill>
              </w:rPr>
            </w:pPr>
            <w:r>
              <w:rPr>
                <w:rFonts w:hint="eastAsia"/>
                <w:b/>
                <w:color w:val="000000" w:themeColor="text1"/>
                <w:lang w:val="zh-CN"/>
                <w14:textFill>
                  <w14:solidFill>
                    <w14:schemeClr w14:val="tx1"/>
                  </w14:solidFill>
                </w14:textFill>
              </w:rPr>
              <w:t>9</w:t>
            </w:r>
          </w:p>
        </w:tc>
        <w:tc>
          <w:tcPr>
            <w:tcW w:w="2523" w:type="dxa"/>
            <w:vAlign w:val="center"/>
          </w:tcPr>
          <w:p>
            <w:pPr>
              <w:pStyle w:val="93"/>
              <w:spacing w:line="500" w:lineRule="exact"/>
              <w:ind w:left="96"/>
              <w:contextualSpacing/>
              <w:jc w:val="center"/>
              <w:rPr>
                <w:b/>
                <w:color w:val="auto"/>
                <w:lang w:val="zh-CN"/>
              </w:rPr>
            </w:pPr>
            <w:r>
              <w:rPr>
                <w:rFonts w:hint="eastAsia"/>
                <w:b/>
                <w:color w:val="auto"/>
                <w:lang w:val="zh-CN"/>
              </w:rPr>
              <w:t>工期、地点</w:t>
            </w:r>
          </w:p>
        </w:tc>
        <w:tc>
          <w:tcPr>
            <w:tcW w:w="5960" w:type="dxa"/>
            <w:vAlign w:val="center"/>
          </w:tcPr>
          <w:p>
            <w:pPr>
              <w:pStyle w:val="93"/>
              <w:spacing w:line="500" w:lineRule="exact"/>
              <w:ind w:left="694" w:leftChars="102" w:hanging="480" w:hangingChars="200"/>
              <w:contextualSpacing/>
              <w:rPr>
                <w:color w:val="auto"/>
              </w:rPr>
            </w:pPr>
            <w:r>
              <w:rPr>
                <w:rFonts w:hint="eastAsia"/>
                <w:color w:val="auto"/>
                <w:lang w:val="zh-CN"/>
              </w:rPr>
              <w:t>工期：</w:t>
            </w:r>
            <w:r>
              <w:rPr>
                <w:rFonts w:hint="eastAsia"/>
                <w:color w:val="auto"/>
                <w:lang w:val="en-US" w:eastAsia="zh-CN"/>
              </w:rPr>
              <w:t>60</w:t>
            </w:r>
            <w:r>
              <w:rPr>
                <w:rFonts w:hint="eastAsia"/>
                <w:color w:val="auto"/>
              </w:rPr>
              <w:t>（日历天）202</w:t>
            </w:r>
            <w:r>
              <w:rPr>
                <w:rFonts w:hint="eastAsia"/>
                <w:color w:val="auto"/>
                <w:lang w:val="en-US" w:eastAsia="zh-CN"/>
              </w:rPr>
              <w:t>2</w:t>
            </w:r>
            <w:r>
              <w:rPr>
                <w:rFonts w:hint="eastAsia"/>
                <w:color w:val="auto"/>
              </w:rPr>
              <w:t>年</w:t>
            </w:r>
            <w:r>
              <w:rPr>
                <w:rFonts w:hint="eastAsia"/>
                <w:color w:val="auto"/>
                <w:lang w:val="en-US" w:eastAsia="zh-CN"/>
              </w:rPr>
              <w:t>5</w:t>
            </w:r>
            <w:r>
              <w:rPr>
                <w:rFonts w:hint="eastAsia"/>
                <w:color w:val="auto"/>
              </w:rPr>
              <w:t>月</w:t>
            </w:r>
            <w:r>
              <w:rPr>
                <w:rFonts w:hint="eastAsia"/>
                <w:color w:val="auto"/>
                <w:lang w:val="en-US" w:eastAsia="zh-CN"/>
              </w:rPr>
              <w:t>27</w:t>
            </w:r>
            <w:r>
              <w:rPr>
                <w:rFonts w:hint="eastAsia"/>
                <w:color w:val="auto"/>
              </w:rPr>
              <w:t>日-202</w:t>
            </w:r>
            <w:r>
              <w:rPr>
                <w:rFonts w:hint="eastAsia"/>
                <w:color w:val="auto"/>
                <w:lang w:val="en-US" w:eastAsia="zh-CN"/>
              </w:rPr>
              <w:t>2</w:t>
            </w:r>
            <w:r>
              <w:rPr>
                <w:rFonts w:hint="eastAsia"/>
                <w:color w:val="auto"/>
              </w:rPr>
              <w:t>年</w:t>
            </w:r>
            <w:r>
              <w:rPr>
                <w:rFonts w:hint="eastAsia"/>
                <w:color w:val="auto"/>
                <w:lang w:val="en-US" w:eastAsia="zh-CN"/>
              </w:rPr>
              <w:t>7</w:t>
            </w:r>
            <w:r>
              <w:rPr>
                <w:rFonts w:hint="eastAsia"/>
                <w:color w:val="auto"/>
              </w:rPr>
              <w:t>月</w:t>
            </w:r>
            <w:r>
              <w:rPr>
                <w:rFonts w:hint="eastAsia"/>
                <w:color w:val="auto"/>
                <w:lang w:val="en-US" w:eastAsia="zh-CN"/>
              </w:rPr>
              <w:t>25</w:t>
            </w:r>
            <w:r>
              <w:rPr>
                <w:rFonts w:hint="eastAsia"/>
                <w:color w:val="auto"/>
              </w:rPr>
              <w:t>日</w:t>
            </w:r>
          </w:p>
          <w:p>
            <w:pPr>
              <w:pStyle w:val="93"/>
              <w:spacing w:line="500" w:lineRule="exact"/>
              <w:ind w:left="694" w:leftChars="102" w:hanging="480" w:hangingChars="200"/>
              <w:contextualSpacing/>
              <w:rPr>
                <w:rFonts w:hint="default" w:eastAsia="宋体"/>
                <w:color w:val="auto"/>
                <w:lang w:val="en-US" w:eastAsia="zh-CN"/>
              </w:rPr>
            </w:pPr>
            <w:r>
              <w:rPr>
                <w:rFonts w:hint="eastAsia"/>
                <w:color w:val="auto"/>
                <w:lang w:val="zh-CN"/>
              </w:rPr>
              <w:t>地点：</w:t>
            </w:r>
            <w:r>
              <w:rPr>
                <w:rFonts w:hint="eastAsia"/>
                <w:color w:val="auto"/>
                <w:lang w:val="zh-CN" w:eastAsia="zh-CN"/>
              </w:rPr>
              <w:t>阿克苏职业技术学院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46" w:hRule="exact"/>
          <w:jc w:val="center"/>
        </w:trPr>
        <w:tc>
          <w:tcPr>
            <w:tcW w:w="1012" w:type="dxa"/>
            <w:vAlign w:val="center"/>
          </w:tcPr>
          <w:p>
            <w:pPr>
              <w:pStyle w:val="93"/>
              <w:spacing w:line="500" w:lineRule="exact"/>
              <w:ind w:right="230"/>
              <w:contextualSpacing/>
              <w:jc w:val="center"/>
              <w:rPr>
                <w:b/>
                <w:color w:val="000000" w:themeColor="text1"/>
                <w:lang w:val="zh-CN"/>
                <w14:textFill>
                  <w14:solidFill>
                    <w14:schemeClr w14:val="tx1"/>
                  </w14:solidFill>
                </w14:textFill>
              </w:rPr>
            </w:pPr>
            <w:r>
              <w:rPr>
                <w:rFonts w:hint="eastAsia"/>
                <w:b/>
                <w:color w:val="000000" w:themeColor="text1"/>
                <w:lang w:val="zh-CN"/>
                <w14:textFill>
                  <w14:solidFill>
                    <w14:schemeClr w14:val="tx1"/>
                  </w14:solidFill>
                </w14:textFill>
              </w:rPr>
              <w:t>10</w:t>
            </w:r>
          </w:p>
        </w:tc>
        <w:tc>
          <w:tcPr>
            <w:tcW w:w="2523" w:type="dxa"/>
            <w:vAlign w:val="center"/>
          </w:tcPr>
          <w:p>
            <w:pPr>
              <w:pStyle w:val="93"/>
              <w:spacing w:line="500" w:lineRule="exact"/>
              <w:ind w:left="96"/>
              <w:contextualSpacing/>
              <w:jc w:val="center"/>
              <w:rPr>
                <w:b/>
              </w:rPr>
            </w:pPr>
            <w:r>
              <w:rPr>
                <w:rFonts w:hint="eastAsia"/>
                <w:b/>
                <w:lang w:val="zh-CN"/>
              </w:rPr>
              <w:t>质量要求</w:t>
            </w:r>
          </w:p>
        </w:tc>
        <w:tc>
          <w:tcPr>
            <w:tcW w:w="5960" w:type="dxa"/>
            <w:vAlign w:val="center"/>
          </w:tcPr>
          <w:p>
            <w:pPr>
              <w:pStyle w:val="93"/>
              <w:spacing w:line="500" w:lineRule="exact"/>
              <w:ind w:left="210" w:leftChars="100"/>
              <w:contextualSpacing/>
              <w:jc w:val="left"/>
              <w:rPr>
                <w:lang w:val="zh-CN"/>
              </w:rPr>
            </w:pPr>
            <w:r>
              <w:rPr>
                <w:rFonts w:hint="eastAsia"/>
              </w:rPr>
              <w:t>质量要求：</w:t>
            </w:r>
            <w:r>
              <w:rPr>
                <w:rFonts w:hint="eastAsia"/>
                <w:lang w:val="zh-CN"/>
              </w:rPr>
              <w:t>达到国家强制标准、</w:t>
            </w:r>
            <w:r>
              <w:rPr>
                <w:rFonts w:hint="eastAsia"/>
              </w:rPr>
              <w:t>及行业标准</w:t>
            </w:r>
            <w:r>
              <w:rPr>
                <w:rFonts w:hint="eastAsia"/>
                <w:lang w:val="zh-CN"/>
              </w:rPr>
              <w:t>要求。</w:t>
            </w:r>
          </w:p>
          <w:p>
            <w:pPr>
              <w:pStyle w:val="93"/>
              <w:spacing w:line="500" w:lineRule="exact"/>
              <w:ind w:firstLine="240" w:firstLineChars="100"/>
              <w:contextualSpacing/>
              <w:jc w:val="left"/>
              <w:rPr>
                <w:lang w:val="zh-CN"/>
              </w:rPr>
            </w:pPr>
            <w:r>
              <w:rPr>
                <w:rFonts w:hint="eastAsia"/>
                <w:lang w:val="zh-CN"/>
              </w:rPr>
              <w:t>验收标准：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5" w:hRule="atLeast"/>
          <w:jc w:val="center"/>
        </w:trPr>
        <w:tc>
          <w:tcPr>
            <w:tcW w:w="1012" w:type="dxa"/>
            <w:vAlign w:val="center"/>
          </w:tcPr>
          <w:p>
            <w:pPr>
              <w:pStyle w:val="93"/>
              <w:spacing w:line="500" w:lineRule="exact"/>
              <w:ind w:right="230"/>
              <w:contextualSpacing/>
              <w:jc w:val="center"/>
              <w:rPr>
                <w:b/>
                <w:color w:val="000000" w:themeColor="text1"/>
                <w:lang w:val="zh-CN"/>
                <w14:textFill>
                  <w14:solidFill>
                    <w14:schemeClr w14:val="tx1"/>
                  </w14:solidFill>
                </w14:textFill>
              </w:rPr>
            </w:pPr>
            <w:r>
              <w:rPr>
                <w:rFonts w:hint="eastAsia"/>
                <w:b/>
                <w:color w:val="000000" w:themeColor="text1"/>
                <w:lang w:val="zh-CN"/>
                <w14:textFill>
                  <w14:solidFill>
                    <w14:schemeClr w14:val="tx1"/>
                  </w14:solidFill>
                </w14:textFill>
              </w:rPr>
              <w:t>11</w:t>
            </w:r>
          </w:p>
        </w:tc>
        <w:tc>
          <w:tcPr>
            <w:tcW w:w="2523" w:type="dxa"/>
            <w:vAlign w:val="center"/>
          </w:tcPr>
          <w:p>
            <w:pPr>
              <w:pStyle w:val="93"/>
              <w:spacing w:line="500" w:lineRule="exact"/>
              <w:ind w:left="235"/>
              <w:contextualSpacing/>
              <w:jc w:val="center"/>
              <w:rPr>
                <w:b/>
                <w:lang w:val="zh-CN"/>
              </w:rPr>
            </w:pPr>
            <w:r>
              <w:rPr>
                <w:rFonts w:hint="eastAsia"/>
                <w:b/>
                <w:lang w:val="zh-CN"/>
              </w:rPr>
              <w:t>联合体投标</w:t>
            </w:r>
          </w:p>
        </w:tc>
        <w:tc>
          <w:tcPr>
            <w:tcW w:w="5960" w:type="dxa"/>
            <w:vAlign w:val="center"/>
          </w:tcPr>
          <w:p>
            <w:pPr>
              <w:pStyle w:val="93"/>
              <w:spacing w:line="500" w:lineRule="exact"/>
              <w:ind w:left="210" w:leftChars="100"/>
              <w:contextualSpacing/>
              <w:rPr>
                <w:lang w:val="zh-CN"/>
              </w:rPr>
            </w:pPr>
            <w:r>
              <w:rPr>
                <w:rFonts w:hint="eastAsia"/>
              </w:rPr>
              <w:t>不接受联合体投标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1" w:hRule="atLeast"/>
          <w:jc w:val="center"/>
        </w:trPr>
        <w:tc>
          <w:tcPr>
            <w:tcW w:w="1012" w:type="dxa"/>
            <w:vAlign w:val="center"/>
          </w:tcPr>
          <w:p>
            <w:pPr>
              <w:pStyle w:val="93"/>
              <w:spacing w:line="500" w:lineRule="exact"/>
              <w:ind w:right="230"/>
              <w:contextualSpacing/>
              <w:jc w:val="center"/>
              <w:rPr>
                <w:b/>
                <w:color w:val="000000" w:themeColor="text1"/>
                <w:lang w:val="zh-CN"/>
                <w14:textFill>
                  <w14:solidFill>
                    <w14:schemeClr w14:val="tx1"/>
                  </w14:solidFill>
                </w14:textFill>
              </w:rPr>
            </w:pPr>
            <w:r>
              <w:rPr>
                <w:rFonts w:hint="eastAsia"/>
                <w:b/>
                <w:color w:val="000000" w:themeColor="text1"/>
                <w:lang w:val="zh-CN"/>
                <w14:textFill>
                  <w14:solidFill>
                    <w14:schemeClr w14:val="tx1"/>
                  </w14:solidFill>
                </w14:textFill>
              </w:rPr>
              <w:t>12</w:t>
            </w:r>
          </w:p>
        </w:tc>
        <w:tc>
          <w:tcPr>
            <w:tcW w:w="2523" w:type="dxa"/>
            <w:vAlign w:val="center"/>
          </w:tcPr>
          <w:p>
            <w:pPr>
              <w:pStyle w:val="93"/>
              <w:spacing w:line="500" w:lineRule="exact"/>
              <w:contextualSpacing/>
              <w:jc w:val="center"/>
              <w:rPr>
                <w:b/>
                <w:lang w:val="zh-CN"/>
              </w:rPr>
            </w:pPr>
            <w:r>
              <w:rPr>
                <w:rFonts w:hint="eastAsia"/>
                <w:b/>
                <w:lang w:val="zh-CN"/>
              </w:rPr>
              <w:t>考察现场、标前答疑会</w:t>
            </w:r>
          </w:p>
        </w:tc>
        <w:tc>
          <w:tcPr>
            <w:tcW w:w="5960" w:type="dxa"/>
            <w:vAlign w:val="center"/>
          </w:tcPr>
          <w:p>
            <w:pPr>
              <w:pStyle w:val="93"/>
              <w:spacing w:line="500" w:lineRule="exact"/>
              <w:ind w:firstLine="240" w:firstLineChars="100"/>
              <w:contextualSpacing/>
              <w:rPr>
                <w:lang w:val="zh-CN"/>
              </w:rPr>
            </w:pPr>
            <w:r>
              <w:rPr>
                <w:rFonts w:hint="eastAsia"/>
                <w:lang w:val="zh-CN"/>
              </w:rPr>
              <w:t>招标采购单位认为有必要，另行书面通知。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9" w:hRule="atLeast"/>
          <w:jc w:val="center"/>
        </w:trPr>
        <w:tc>
          <w:tcPr>
            <w:tcW w:w="1012" w:type="dxa"/>
            <w:vAlign w:val="center"/>
          </w:tcPr>
          <w:p>
            <w:pPr>
              <w:pStyle w:val="93"/>
              <w:spacing w:line="500" w:lineRule="exact"/>
              <w:ind w:right="230"/>
              <w:contextualSpacing/>
              <w:jc w:val="center"/>
              <w:rPr>
                <w:b/>
                <w:color w:val="000000" w:themeColor="text1"/>
                <w:lang w:val="zh-CN"/>
                <w14:textFill>
                  <w14:solidFill>
                    <w14:schemeClr w14:val="tx1"/>
                  </w14:solidFill>
                </w14:textFill>
              </w:rPr>
            </w:pPr>
            <w:r>
              <w:rPr>
                <w:rFonts w:hint="eastAsia"/>
                <w:b/>
                <w:color w:val="000000" w:themeColor="text1"/>
                <w:lang w:val="zh-CN"/>
                <w14:textFill>
                  <w14:solidFill>
                    <w14:schemeClr w14:val="tx1"/>
                  </w14:solidFill>
                </w14:textFill>
              </w:rPr>
              <w:t>13</w:t>
            </w:r>
          </w:p>
        </w:tc>
        <w:tc>
          <w:tcPr>
            <w:tcW w:w="2523" w:type="dxa"/>
            <w:vAlign w:val="center"/>
          </w:tcPr>
          <w:p>
            <w:pPr>
              <w:pStyle w:val="93"/>
              <w:spacing w:line="500" w:lineRule="exact"/>
              <w:contextualSpacing/>
              <w:jc w:val="center"/>
              <w:rPr>
                <w:b/>
                <w:lang w:val="zh-CN"/>
              </w:rPr>
            </w:pPr>
            <w:r>
              <w:rPr>
                <w:rFonts w:hint="eastAsia"/>
                <w:b/>
                <w:lang w:val="zh-CN"/>
              </w:rPr>
              <w:t>投标人对招标文件</w:t>
            </w:r>
          </w:p>
          <w:p>
            <w:pPr>
              <w:pStyle w:val="93"/>
              <w:spacing w:line="500" w:lineRule="exact"/>
              <w:contextualSpacing/>
              <w:jc w:val="center"/>
              <w:rPr>
                <w:b/>
                <w:lang w:val="zh-CN"/>
              </w:rPr>
            </w:pPr>
            <w:r>
              <w:rPr>
                <w:rFonts w:hint="eastAsia"/>
                <w:b/>
                <w:lang w:val="zh-CN"/>
              </w:rPr>
              <w:t>提出质疑的时间</w:t>
            </w:r>
          </w:p>
        </w:tc>
        <w:tc>
          <w:tcPr>
            <w:tcW w:w="5960" w:type="dxa"/>
            <w:vAlign w:val="center"/>
          </w:tcPr>
          <w:p>
            <w:pPr>
              <w:pStyle w:val="93"/>
              <w:spacing w:line="500" w:lineRule="exact"/>
              <w:ind w:firstLine="240" w:firstLineChars="100"/>
              <w:contextualSpacing/>
              <w:rPr>
                <w:lang w:val="zh-CN"/>
              </w:rPr>
            </w:pPr>
            <w:r>
              <w:rPr>
                <w:rFonts w:hint="eastAsia"/>
                <w:lang w:val="zh-CN"/>
              </w:rPr>
              <w:t>自招标文件发售时间起的七个工作日内。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3" w:hRule="exact"/>
          <w:jc w:val="center"/>
        </w:trPr>
        <w:tc>
          <w:tcPr>
            <w:tcW w:w="1012" w:type="dxa"/>
            <w:vAlign w:val="center"/>
          </w:tcPr>
          <w:p>
            <w:pPr>
              <w:pStyle w:val="93"/>
              <w:spacing w:line="500" w:lineRule="exact"/>
              <w:ind w:right="230"/>
              <w:contextualSpacing/>
              <w:jc w:val="center"/>
              <w:rPr>
                <w:b/>
                <w:color w:val="000000" w:themeColor="text1"/>
                <w:lang w:val="zh-CN"/>
                <w14:textFill>
                  <w14:solidFill>
                    <w14:schemeClr w14:val="tx1"/>
                  </w14:solidFill>
                </w14:textFill>
              </w:rPr>
            </w:pPr>
            <w:r>
              <w:rPr>
                <w:rFonts w:hint="eastAsia"/>
                <w:b/>
                <w:color w:val="000000" w:themeColor="text1"/>
                <w:lang w:val="zh-CN"/>
                <w14:textFill>
                  <w14:solidFill>
                    <w14:schemeClr w14:val="tx1"/>
                  </w14:solidFill>
                </w14:textFill>
              </w:rPr>
              <w:t>14</w:t>
            </w:r>
          </w:p>
        </w:tc>
        <w:tc>
          <w:tcPr>
            <w:tcW w:w="2523" w:type="dxa"/>
            <w:vAlign w:val="center"/>
          </w:tcPr>
          <w:p>
            <w:pPr>
              <w:pStyle w:val="93"/>
              <w:spacing w:line="500" w:lineRule="exact"/>
              <w:contextualSpacing/>
              <w:jc w:val="center"/>
              <w:rPr>
                <w:b/>
                <w:lang w:val="zh-CN"/>
              </w:rPr>
            </w:pPr>
            <w:r>
              <w:rPr>
                <w:rFonts w:hint="eastAsia"/>
                <w:b/>
                <w:lang w:val="zh-CN"/>
              </w:rPr>
              <w:t>分包履约</w:t>
            </w:r>
          </w:p>
        </w:tc>
        <w:tc>
          <w:tcPr>
            <w:tcW w:w="5960" w:type="dxa"/>
            <w:vAlign w:val="center"/>
          </w:tcPr>
          <w:p>
            <w:pPr>
              <w:pStyle w:val="93"/>
              <w:spacing w:line="500" w:lineRule="exact"/>
              <w:ind w:right="67" w:rightChars="32" w:firstLine="249" w:firstLineChars="104"/>
              <w:contextualSpacing/>
            </w:pPr>
            <w:r>
              <w:rPr>
                <w:rFonts w:hint="eastAsia"/>
                <w:lang w:val="zh-CN"/>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88" w:hRule="exact"/>
          <w:jc w:val="center"/>
        </w:trPr>
        <w:tc>
          <w:tcPr>
            <w:tcW w:w="1012" w:type="dxa"/>
            <w:vAlign w:val="center"/>
          </w:tcPr>
          <w:p>
            <w:pPr>
              <w:pStyle w:val="93"/>
              <w:spacing w:line="500" w:lineRule="exact"/>
              <w:ind w:right="230"/>
              <w:contextualSpacing/>
              <w:jc w:val="center"/>
              <w:rPr>
                <w:b/>
                <w:color w:val="000000" w:themeColor="text1"/>
                <w:lang w:val="zh-CN"/>
                <w14:textFill>
                  <w14:solidFill>
                    <w14:schemeClr w14:val="tx1"/>
                  </w14:solidFill>
                </w14:textFill>
              </w:rPr>
            </w:pPr>
            <w:r>
              <w:rPr>
                <w:rFonts w:hint="eastAsia"/>
                <w:b/>
                <w:color w:val="000000" w:themeColor="text1"/>
                <w:lang w:val="zh-CN"/>
                <w14:textFill>
                  <w14:solidFill>
                    <w14:schemeClr w14:val="tx1"/>
                  </w14:solidFill>
                </w14:textFill>
              </w:rPr>
              <w:t>15</w:t>
            </w:r>
          </w:p>
        </w:tc>
        <w:tc>
          <w:tcPr>
            <w:tcW w:w="2523" w:type="dxa"/>
            <w:vAlign w:val="center"/>
          </w:tcPr>
          <w:p>
            <w:pPr>
              <w:pStyle w:val="93"/>
              <w:spacing w:line="500" w:lineRule="exact"/>
              <w:ind w:left="52"/>
              <w:contextualSpacing/>
              <w:jc w:val="center"/>
              <w:rPr>
                <w:b/>
                <w:lang w:val="zh-CN"/>
              </w:rPr>
            </w:pPr>
            <w:r>
              <w:rPr>
                <w:rFonts w:hint="eastAsia"/>
                <w:b/>
                <w:lang w:val="zh-CN"/>
              </w:rPr>
              <w:t>构成招标文件             的其他文件</w:t>
            </w:r>
          </w:p>
        </w:tc>
        <w:tc>
          <w:tcPr>
            <w:tcW w:w="5960" w:type="dxa"/>
            <w:vAlign w:val="center"/>
          </w:tcPr>
          <w:p>
            <w:pPr>
              <w:pStyle w:val="93"/>
              <w:spacing w:line="500" w:lineRule="exact"/>
              <w:ind w:left="216" w:leftChars="103" w:right="67" w:rightChars="32"/>
              <w:contextualSpacing/>
              <w:rPr>
                <w:lang w:val="zh-CN"/>
              </w:rPr>
            </w:pPr>
            <w:r>
              <w:rPr>
                <w:rFonts w:hint="eastAsia"/>
                <w:lang w:val="zh-CN"/>
              </w:rPr>
              <w:t>招标文件的澄清</w:t>
            </w:r>
            <w:r>
              <w:rPr>
                <w:rFonts w:hint="eastAsia"/>
              </w:rPr>
              <w:t>、修改书及有关补充通知为招标文件的有效组成部分。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1" w:hRule="exact"/>
          <w:jc w:val="center"/>
        </w:trPr>
        <w:tc>
          <w:tcPr>
            <w:tcW w:w="1012" w:type="dxa"/>
            <w:vAlign w:val="center"/>
          </w:tcPr>
          <w:p>
            <w:pPr>
              <w:pStyle w:val="93"/>
              <w:spacing w:line="500" w:lineRule="exact"/>
              <w:ind w:right="230"/>
              <w:contextualSpacing/>
              <w:jc w:val="center"/>
              <w:rPr>
                <w:b/>
                <w:color w:val="000000" w:themeColor="text1"/>
                <w:lang w:val="zh-CN"/>
                <w14:textFill>
                  <w14:solidFill>
                    <w14:schemeClr w14:val="tx1"/>
                  </w14:solidFill>
                </w14:textFill>
              </w:rPr>
            </w:pPr>
            <w:r>
              <w:rPr>
                <w:rFonts w:hint="eastAsia"/>
                <w:b/>
                <w:color w:val="000000" w:themeColor="text1"/>
                <w:lang w:val="zh-CN"/>
                <w14:textFill>
                  <w14:solidFill>
                    <w14:schemeClr w14:val="tx1"/>
                  </w14:solidFill>
                </w14:textFill>
              </w:rPr>
              <w:t>16</w:t>
            </w:r>
          </w:p>
        </w:tc>
        <w:tc>
          <w:tcPr>
            <w:tcW w:w="2523" w:type="dxa"/>
            <w:vAlign w:val="center"/>
          </w:tcPr>
          <w:p>
            <w:pPr>
              <w:pStyle w:val="93"/>
              <w:spacing w:line="500" w:lineRule="exact"/>
              <w:ind w:left="52"/>
              <w:contextualSpacing/>
              <w:jc w:val="center"/>
              <w:rPr>
                <w:b/>
                <w:lang w:val="zh-CN"/>
              </w:rPr>
            </w:pPr>
            <w:r>
              <w:rPr>
                <w:rFonts w:hint="eastAsia"/>
                <w:b/>
                <w:lang w:val="zh-CN"/>
              </w:rPr>
              <w:t>投标截止时间</w:t>
            </w:r>
          </w:p>
        </w:tc>
        <w:tc>
          <w:tcPr>
            <w:tcW w:w="5960" w:type="dxa"/>
            <w:vAlign w:val="center"/>
          </w:tcPr>
          <w:p>
            <w:pPr>
              <w:pStyle w:val="93"/>
              <w:spacing w:line="500" w:lineRule="exact"/>
              <w:ind w:firstLine="120" w:firstLineChars="50"/>
              <w:contextualSpacing/>
              <w:rPr>
                <w:lang w:val="zh-CN"/>
              </w:rPr>
            </w:pPr>
            <w:r>
              <w:rPr>
                <w:rFonts w:hint="eastAsia"/>
              </w:rPr>
              <w:t xml:space="preserve"> </w:t>
            </w:r>
            <w:bookmarkStart w:id="297" w:name="_GoBack"/>
            <w:r>
              <w:rPr>
                <w:rFonts w:hint="eastAsia"/>
                <w:color w:val="auto"/>
              </w:rPr>
              <w:t>202</w:t>
            </w:r>
            <w:r>
              <w:rPr>
                <w:rFonts w:hint="eastAsia"/>
                <w:color w:val="auto"/>
                <w:lang w:val="en-US" w:eastAsia="zh-CN"/>
              </w:rPr>
              <w:t>2</w:t>
            </w:r>
            <w:r>
              <w:rPr>
                <w:rFonts w:hint="eastAsia"/>
                <w:color w:val="auto"/>
              </w:rPr>
              <w:t>年5月</w:t>
            </w:r>
            <w:r>
              <w:rPr>
                <w:rFonts w:hint="eastAsia"/>
                <w:color w:val="auto"/>
                <w:lang w:val="en-US" w:eastAsia="zh-CN"/>
              </w:rPr>
              <w:t>25</w:t>
            </w:r>
            <w:r>
              <w:rPr>
                <w:rFonts w:hint="eastAsia"/>
                <w:color w:val="auto"/>
              </w:rPr>
              <w:t>日1</w:t>
            </w:r>
            <w:r>
              <w:rPr>
                <w:rFonts w:hint="eastAsia"/>
                <w:color w:val="auto"/>
                <w:lang w:val="en-US" w:eastAsia="zh-CN"/>
              </w:rPr>
              <w:t>0</w:t>
            </w:r>
            <w:r>
              <w:rPr>
                <w:rFonts w:hint="eastAsia"/>
                <w:color w:val="auto"/>
              </w:rPr>
              <w:t>︰</w:t>
            </w:r>
            <w:r>
              <w:rPr>
                <w:rFonts w:hint="eastAsia"/>
                <w:color w:val="auto"/>
                <w:lang w:val="en-US" w:eastAsia="zh-CN"/>
              </w:rPr>
              <w:t>3</w:t>
            </w:r>
            <w:r>
              <w:rPr>
                <w:rFonts w:hint="eastAsia"/>
                <w:color w:val="auto"/>
              </w:rPr>
              <w:t>0</w:t>
            </w:r>
            <w:r>
              <w:rPr>
                <w:rFonts w:hint="eastAsia"/>
                <w:color w:val="auto"/>
                <w:lang w:val="zh-CN"/>
              </w:rPr>
              <w:t>时（北京时间）</w:t>
            </w:r>
            <w:bookmarkEnd w:id="29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5" w:hRule="exact"/>
          <w:jc w:val="center"/>
        </w:trPr>
        <w:tc>
          <w:tcPr>
            <w:tcW w:w="1012" w:type="dxa"/>
            <w:vAlign w:val="center"/>
          </w:tcPr>
          <w:p>
            <w:pPr>
              <w:pStyle w:val="93"/>
              <w:spacing w:line="500" w:lineRule="exact"/>
              <w:ind w:right="230"/>
              <w:contextualSpacing/>
              <w:jc w:val="center"/>
              <w:rPr>
                <w:b/>
                <w:color w:val="000000" w:themeColor="text1"/>
                <w:lang w:val="zh-CN"/>
                <w14:textFill>
                  <w14:solidFill>
                    <w14:schemeClr w14:val="tx1"/>
                  </w14:solidFill>
                </w14:textFill>
              </w:rPr>
            </w:pPr>
            <w:r>
              <w:rPr>
                <w:rFonts w:hint="eastAsia"/>
                <w:b/>
                <w:color w:val="000000" w:themeColor="text1"/>
                <w:lang w:val="zh-CN"/>
                <w14:textFill>
                  <w14:solidFill>
                    <w14:schemeClr w14:val="tx1"/>
                  </w14:solidFill>
                </w14:textFill>
              </w:rPr>
              <w:t>17</w:t>
            </w:r>
          </w:p>
        </w:tc>
        <w:tc>
          <w:tcPr>
            <w:tcW w:w="2523" w:type="dxa"/>
            <w:vAlign w:val="center"/>
          </w:tcPr>
          <w:p>
            <w:pPr>
              <w:pStyle w:val="93"/>
              <w:spacing w:line="500" w:lineRule="exact"/>
              <w:ind w:left="33"/>
              <w:contextualSpacing/>
              <w:jc w:val="center"/>
              <w:rPr>
                <w:b/>
                <w:lang w:val="zh-CN"/>
              </w:rPr>
            </w:pPr>
            <w:r>
              <w:rPr>
                <w:rFonts w:hint="eastAsia"/>
                <w:b/>
                <w:lang w:val="zh-CN"/>
              </w:rPr>
              <w:t>投标有效期</w:t>
            </w:r>
          </w:p>
        </w:tc>
        <w:tc>
          <w:tcPr>
            <w:tcW w:w="5960" w:type="dxa"/>
            <w:vAlign w:val="center"/>
          </w:tcPr>
          <w:p>
            <w:pPr>
              <w:pStyle w:val="93"/>
              <w:spacing w:line="500" w:lineRule="exact"/>
              <w:ind w:firstLine="240" w:firstLineChars="100"/>
              <w:contextualSpacing/>
              <w:jc w:val="both"/>
              <w:rPr>
                <w:lang w:val="zh-CN"/>
              </w:rPr>
            </w:pPr>
            <w:r>
              <w:rPr>
                <w:rFonts w:hint="eastAsia"/>
              </w:rPr>
              <w:t>30 日历天（从投标截止之日算起）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58" w:hRule="atLeast"/>
          <w:jc w:val="center"/>
        </w:trPr>
        <w:tc>
          <w:tcPr>
            <w:tcW w:w="1012" w:type="dxa"/>
            <w:vAlign w:val="center"/>
          </w:tcPr>
          <w:p>
            <w:pPr>
              <w:pStyle w:val="93"/>
              <w:spacing w:line="500" w:lineRule="exact"/>
              <w:ind w:right="230"/>
              <w:contextualSpacing/>
              <w:jc w:val="center"/>
              <w:rPr>
                <w:b/>
                <w:color w:val="000000" w:themeColor="text1"/>
                <w:lang w:val="zh-CN"/>
                <w14:textFill>
                  <w14:solidFill>
                    <w14:schemeClr w14:val="tx1"/>
                  </w14:solidFill>
                </w14:textFill>
              </w:rPr>
            </w:pPr>
            <w:r>
              <w:rPr>
                <w:rFonts w:hint="eastAsia"/>
                <w:b/>
                <w:color w:val="000000" w:themeColor="text1"/>
                <w:lang w:val="zh-CN"/>
                <w14:textFill>
                  <w14:solidFill>
                    <w14:schemeClr w14:val="tx1"/>
                  </w14:solidFill>
                </w14:textFill>
              </w:rPr>
              <w:t>18</w:t>
            </w:r>
          </w:p>
        </w:tc>
        <w:tc>
          <w:tcPr>
            <w:tcW w:w="2523" w:type="dxa"/>
            <w:vAlign w:val="center"/>
          </w:tcPr>
          <w:p>
            <w:pPr>
              <w:pStyle w:val="93"/>
              <w:spacing w:line="500" w:lineRule="exact"/>
              <w:ind w:left="33"/>
              <w:contextualSpacing/>
              <w:jc w:val="center"/>
              <w:rPr>
                <w:b/>
                <w:lang w:val="zh-CN"/>
              </w:rPr>
            </w:pPr>
            <w:r>
              <w:rPr>
                <w:rFonts w:hint="eastAsia"/>
                <w:b/>
                <w:lang w:val="zh-CN"/>
              </w:rPr>
              <w:t>投标保证金</w:t>
            </w:r>
          </w:p>
        </w:tc>
        <w:tc>
          <w:tcPr>
            <w:tcW w:w="5960" w:type="dxa"/>
            <w:vAlign w:val="center"/>
          </w:tcPr>
          <w:p>
            <w:pPr>
              <w:spacing w:line="500" w:lineRule="exact"/>
              <w:ind w:right="210" w:rightChars="100"/>
              <w:contextualSpacing/>
              <w:jc w:val="left"/>
              <w:rPr>
                <w:rFonts w:ascii="宋体" w:hAnsi="宋体" w:cs="宋体"/>
                <w:sz w:val="24"/>
                <w:szCs w:val="24"/>
              </w:rPr>
            </w:pPr>
            <w:r>
              <w:rPr>
                <w:rFonts w:hint="eastAsia" w:ascii="宋体" w:hAnsi="宋体" w:cs="宋体"/>
                <w:b/>
                <w:sz w:val="24"/>
                <w:szCs w:val="24"/>
              </w:rPr>
              <w:t>投标保证金额</w:t>
            </w:r>
            <w:r>
              <w:rPr>
                <w:rFonts w:hint="eastAsia" w:ascii="宋体" w:hAnsi="宋体" w:cs="宋体"/>
                <w:sz w:val="24"/>
                <w:szCs w:val="24"/>
              </w:rPr>
              <w:t>：</w:t>
            </w:r>
            <w:r>
              <w:rPr>
                <w:rFonts w:hint="eastAsia" w:ascii="宋体" w:hAnsi="宋体" w:cs="宋体"/>
                <w:sz w:val="24"/>
                <w:szCs w:val="24"/>
                <w:lang w:val="en-US" w:eastAsia="zh-CN"/>
              </w:rPr>
              <w:t>3</w:t>
            </w:r>
            <w:r>
              <w:rPr>
                <w:rFonts w:hint="eastAsia" w:ascii="宋体" w:hAnsi="宋体" w:cs="宋体"/>
                <w:sz w:val="24"/>
                <w:szCs w:val="24"/>
              </w:rPr>
              <w:t>0000元（大写：</w:t>
            </w:r>
            <w:r>
              <w:rPr>
                <w:rFonts w:hint="eastAsia" w:ascii="宋体" w:hAnsi="宋体" w:cs="宋体"/>
                <w:sz w:val="24"/>
                <w:szCs w:val="24"/>
                <w:lang w:val="en-US" w:eastAsia="zh-CN"/>
              </w:rPr>
              <w:t>叁</w:t>
            </w:r>
            <w:r>
              <w:rPr>
                <w:rFonts w:hint="eastAsia" w:ascii="宋体" w:hAnsi="宋体" w:cs="宋体"/>
                <w:sz w:val="24"/>
                <w:szCs w:val="24"/>
              </w:rPr>
              <w:t>万元整）</w:t>
            </w:r>
          </w:p>
          <w:p>
            <w:pPr>
              <w:spacing w:line="500" w:lineRule="exact"/>
              <w:rPr>
                <w:rFonts w:ascii="宋体" w:hAnsi="宋体"/>
                <w:bCs/>
                <w:color w:val="auto"/>
                <w:sz w:val="24"/>
                <w:szCs w:val="24"/>
              </w:rPr>
            </w:pPr>
            <w:r>
              <w:rPr>
                <w:rFonts w:hint="eastAsia" w:ascii="宋体" w:hAnsi="宋体"/>
                <w:bCs/>
                <w:color w:val="auto"/>
                <w:sz w:val="24"/>
                <w:szCs w:val="24"/>
              </w:rPr>
              <w:t>截止为</w:t>
            </w:r>
            <w:r>
              <w:rPr>
                <w:rFonts w:ascii="宋体" w:hAnsi="宋体"/>
                <w:bCs/>
                <w:color w:val="auto"/>
                <w:sz w:val="24"/>
                <w:szCs w:val="24"/>
              </w:rPr>
              <w:t>20</w:t>
            </w:r>
            <w:r>
              <w:rPr>
                <w:rFonts w:hint="eastAsia" w:ascii="宋体" w:hAnsi="宋体"/>
                <w:bCs/>
                <w:color w:val="auto"/>
                <w:sz w:val="24"/>
                <w:szCs w:val="24"/>
              </w:rPr>
              <w:t>2</w:t>
            </w:r>
            <w:r>
              <w:rPr>
                <w:rFonts w:hint="eastAsia" w:ascii="宋体" w:hAnsi="宋体"/>
                <w:bCs/>
                <w:color w:val="auto"/>
                <w:sz w:val="24"/>
                <w:szCs w:val="24"/>
                <w:lang w:val="en-US" w:eastAsia="zh-CN"/>
              </w:rPr>
              <w:t>2</w:t>
            </w:r>
            <w:r>
              <w:rPr>
                <w:rFonts w:ascii="宋体" w:hAnsi="宋体"/>
                <w:bCs/>
                <w:color w:val="auto"/>
                <w:sz w:val="24"/>
                <w:szCs w:val="24"/>
              </w:rPr>
              <w:t>年</w:t>
            </w:r>
            <w:r>
              <w:rPr>
                <w:rFonts w:hint="eastAsia" w:ascii="宋体" w:hAnsi="宋体"/>
                <w:bCs/>
                <w:color w:val="auto"/>
                <w:sz w:val="24"/>
                <w:szCs w:val="24"/>
              </w:rPr>
              <w:t>5</w:t>
            </w:r>
            <w:r>
              <w:rPr>
                <w:rFonts w:ascii="宋体" w:hAnsi="宋体"/>
                <w:bCs/>
                <w:color w:val="auto"/>
                <w:sz w:val="24"/>
                <w:szCs w:val="24"/>
              </w:rPr>
              <w:t>月</w:t>
            </w:r>
            <w:r>
              <w:rPr>
                <w:rFonts w:hint="eastAsia" w:ascii="宋体" w:hAnsi="宋体"/>
                <w:bCs/>
                <w:color w:val="auto"/>
                <w:sz w:val="24"/>
                <w:szCs w:val="24"/>
                <w:lang w:val="en-US" w:eastAsia="zh-CN"/>
              </w:rPr>
              <w:t>24</w:t>
            </w:r>
            <w:r>
              <w:rPr>
                <w:rFonts w:ascii="宋体" w:hAnsi="宋体"/>
                <w:bCs/>
                <w:color w:val="auto"/>
                <w:sz w:val="24"/>
                <w:szCs w:val="24"/>
              </w:rPr>
              <w:t>日</w:t>
            </w:r>
            <w:r>
              <w:rPr>
                <w:rFonts w:hint="eastAsia" w:ascii="宋体" w:hAnsi="宋体"/>
                <w:bCs/>
                <w:color w:val="auto"/>
                <w:sz w:val="24"/>
                <w:szCs w:val="24"/>
              </w:rPr>
              <w:t>18:00（北京时间）前须到帐（电汇时须注明项目名称，可简写），未按期交纳并到账的投标保证金的投标文件无效。</w:t>
            </w:r>
          </w:p>
          <w:p>
            <w:pPr>
              <w:spacing w:line="500" w:lineRule="exact"/>
              <w:rPr>
                <w:rFonts w:hint="eastAsia" w:ascii="宋体" w:hAnsi="宋体" w:eastAsia="宋体"/>
                <w:bCs/>
                <w:color w:val="000000"/>
                <w:sz w:val="24"/>
                <w:szCs w:val="24"/>
                <w:lang w:val="en-US" w:eastAsia="zh-CN"/>
              </w:rPr>
            </w:pPr>
            <w:r>
              <w:rPr>
                <w:rFonts w:hint="eastAsia" w:ascii="宋体" w:hAnsi="宋体"/>
                <w:bCs/>
                <w:color w:val="000000"/>
                <w:sz w:val="24"/>
                <w:szCs w:val="24"/>
              </w:rPr>
              <w:t>投标保证金的</w:t>
            </w:r>
            <w:r>
              <w:rPr>
                <w:rFonts w:ascii="宋体" w:hAnsi="宋体"/>
                <w:bCs/>
                <w:color w:val="000000"/>
                <w:sz w:val="24"/>
                <w:szCs w:val="24"/>
              </w:rPr>
              <w:t>形式：</w:t>
            </w:r>
            <w:r>
              <w:rPr>
                <w:rFonts w:hint="eastAsia" w:ascii="宋体" w:hAnsi="宋体"/>
                <w:bCs/>
                <w:color w:val="000000"/>
                <w:sz w:val="24"/>
                <w:szCs w:val="24"/>
              </w:rPr>
              <w:t>支票、汇票、本票或者金融机构、担保机构出具的保函等非现金形式提交</w:t>
            </w:r>
            <w:r>
              <w:rPr>
                <w:rFonts w:hint="eastAsia" w:ascii="宋体" w:hAnsi="宋体"/>
                <w:bCs/>
                <w:color w:val="000000"/>
                <w:sz w:val="24"/>
                <w:szCs w:val="24"/>
                <w:lang w:eastAsia="zh-CN"/>
              </w:rPr>
              <w:t>。</w:t>
            </w:r>
          </w:p>
          <w:p>
            <w:pPr>
              <w:spacing w:line="500" w:lineRule="exact"/>
              <w:rPr>
                <w:rFonts w:ascii="宋体" w:hAnsi="宋体"/>
                <w:bCs/>
                <w:color w:val="000000"/>
                <w:sz w:val="24"/>
                <w:szCs w:val="24"/>
              </w:rPr>
            </w:pPr>
            <w:r>
              <w:rPr>
                <w:rFonts w:hint="eastAsia" w:ascii="宋体" w:hAnsi="宋体"/>
                <w:bCs/>
                <w:color w:val="000000"/>
                <w:sz w:val="24"/>
                <w:szCs w:val="24"/>
              </w:rPr>
              <w:t>开户银行：中国银行股份有限公司阿克苏市东大街支行</w:t>
            </w:r>
          </w:p>
          <w:p>
            <w:pPr>
              <w:spacing w:line="500" w:lineRule="exact"/>
              <w:rPr>
                <w:rFonts w:ascii="宋体" w:hAnsi="宋体"/>
                <w:bCs/>
                <w:color w:val="000000"/>
                <w:sz w:val="24"/>
                <w:szCs w:val="24"/>
              </w:rPr>
            </w:pPr>
            <w:r>
              <w:rPr>
                <w:rFonts w:hint="eastAsia" w:ascii="宋体" w:hAnsi="宋体"/>
                <w:bCs/>
                <w:color w:val="000000"/>
                <w:sz w:val="24"/>
                <w:szCs w:val="24"/>
              </w:rPr>
              <w:t>开户行行号：104891001064</w:t>
            </w:r>
          </w:p>
          <w:p>
            <w:pPr>
              <w:spacing w:line="500" w:lineRule="exact"/>
              <w:rPr>
                <w:rFonts w:ascii="宋体" w:hAnsi="宋体"/>
                <w:bCs/>
                <w:color w:val="000000"/>
                <w:sz w:val="24"/>
                <w:szCs w:val="24"/>
              </w:rPr>
            </w:pPr>
            <w:r>
              <w:rPr>
                <w:rFonts w:hint="eastAsia" w:ascii="宋体" w:hAnsi="宋体"/>
                <w:bCs/>
                <w:color w:val="000000"/>
                <w:sz w:val="24"/>
                <w:szCs w:val="24"/>
              </w:rPr>
              <w:t>开户名称:新疆领会项目管理有限公司</w:t>
            </w:r>
          </w:p>
          <w:p>
            <w:pPr>
              <w:spacing w:line="500" w:lineRule="exact"/>
              <w:ind w:left="216" w:leftChars="103" w:right="269" w:rightChars="128"/>
              <w:rPr>
                <w:rFonts w:ascii="宋体" w:hAnsi="宋体" w:cs="宋体"/>
                <w:sz w:val="24"/>
                <w:szCs w:val="24"/>
              </w:rPr>
            </w:pPr>
            <w:r>
              <w:rPr>
                <w:rFonts w:hint="eastAsia" w:ascii="宋体" w:hAnsi="宋体"/>
                <w:bCs/>
                <w:color w:val="000000"/>
                <w:sz w:val="24"/>
                <w:szCs w:val="24"/>
              </w:rPr>
              <w:t>帐    号：108282793420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08" w:hRule="exact"/>
          <w:jc w:val="center"/>
        </w:trPr>
        <w:tc>
          <w:tcPr>
            <w:tcW w:w="1012" w:type="dxa"/>
            <w:vAlign w:val="center"/>
          </w:tcPr>
          <w:p>
            <w:pPr>
              <w:pStyle w:val="93"/>
              <w:spacing w:line="500" w:lineRule="exact"/>
              <w:ind w:right="230"/>
              <w:contextualSpacing/>
              <w:jc w:val="center"/>
              <w:rPr>
                <w:b/>
                <w:color w:val="000000" w:themeColor="text1"/>
                <w:lang w:val="zh-CN"/>
                <w14:textFill>
                  <w14:solidFill>
                    <w14:schemeClr w14:val="tx1"/>
                  </w14:solidFill>
                </w14:textFill>
              </w:rPr>
            </w:pPr>
            <w:r>
              <w:rPr>
                <w:rFonts w:hint="eastAsia"/>
                <w:b/>
                <w:color w:val="000000" w:themeColor="text1"/>
                <w:lang w:val="zh-CN"/>
                <w14:textFill>
                  <w14:solidFill>
                    <w14:schemeClr w14:val="tx1"/>
                  </w14:solidFill>
                </w14:textFill>
              </w:rPr>
              <w:t>19</w:t>
            </w:r>
          </w:p>
        </w:tc>
        <w:tc>
          <w:tcPr>
            <w:tcW w:w="2523" w:type="dxa"/>
            <w:vAlign w:val="center"/>
          </w:tcPr>
          <w:p>
            <w:pPr>
              <w:pStyle w:val="93"/>
              <w:spacing w:line="500" w:lineRule="exact"/>
              <w:ind w:left="33"/>
              <w:contextualSpacing/>
              <w:jc w:val="center"/>
              <w:rPr>
                <w:b/>
                <w:lang w:val="zh-CN"/>
              </w:rPr>
            </w:pPr>
            <w:r>
              <w:rPr>
                <w:rFonts w:hint="eastAsia"/>
                <w:b/>
                <w:lang w:val="zh-CN"/>
              </w:rPr>
              <w:t>财务报表</w:t>
            </w:r>
          </w:p>
        </w:tc>
        <w:tc>
          <w:tcPr>
            <w:tcW w:w="5960" w:type="dxa"/>
            <w:vAlign w:val="center"/>
          </w:tcPr>
          <w:p>
            <w:pPr>
              <w:keepNext w:val="0"/>
              <w:keepLines w:val="0"/>
              <w:pageBreakBefore w:val="0"/>
              <w:widowControl w:val="0"/>
              <w:kinsoku/>
              <w:wordWrap/>
              <w:overflowPunct/>
              <w:topLinePunct w:val="0"/>
              <w:autoSpaceDE/>
              <w:autoSpaceDN/>
              <w:bidi w:val="0"/>
              <w:adjustRightInd/>
              <w:snapToGrid/>
              <w:spacing w:line="430" w:lineRule="exact"/>
              <w:textAlignment w:val="auto"/>
              <w:rPr>
                <w:lang w:val="zh-CN"/>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近一年的年度审计报告或财务报表，企业成立不足一年的提供企业成立至今的财务报告；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3" w:hRule="atLeast"/>
          <w:jc w:val="center"/>
        </w:trPr>
        <w:tc>
          <w:tcPr>
            <w:tcW w:w="1012" w:type="dxa"/>
            <w:vAlign w:val="center"/>
          </w:tcPr>
          <w:p>
            <w:pPr>
              <w:pStyle w:val="93"/>
              <w:spacing w:line="500" w:lineRule="exact"/>
              <w:ind w:right="230"/>
              <w:contextualSpacing/>
              <w:jc w:val="center"/>
              <w:rPr>
                <w:b/>
                <w:color w:val="000000" w:themeColor="text1"/>
                <w:lang w:val="zh-CN"/>
                <w14:textFill>
                  <w14:solidFill>
                    <w14:schemeClr w14:val="tx1"/>
                  </w14:solidFill>
                </w14:textFill>
              </w:rPr>
            </w:pPr>
            <w:r>
              <w:rPr>
                <w:rFonts w:hint="eastAsia"/>
                <w:b/>
                <w:color w:val="000000" w:themeColor="text1"/>
                <w:lang w:val="zh-CN"/>
                <w14:textFill>
                  <w14:solidFill>
                    <w14:schemeClr w14:val="tx1"/>
                  </w14:solidFill>
                </w14:textFill>
              </w:rPr>
              <w:t>20</w:t>
            </w:r>
          </w:p>
        </w:tc>
        <w:tc>
          <w:tcPr>
            <w:tcW w:w="2523" w:type="dxa"/>
            <w:vAlign w:val="center"/>
          </w:tcPr>
          <w:p>
            <w:pPr>
              <w:pStyle w:val="93"/>
              <w:spacing w:line="500" w:lineRule="exact"/>
              <w:ind w:right="28"/>
              <w:contextualSpacing/>
              <w:jc w:val="center"/>
              <w:rPr>
                <w:b/>
                <w:color w:val="000000" w:themeColor="text1"/>
                <w:lang w:val="zh-CN"/>
                <w14:textFill>
                  <w14:solidFill>
                    <w14:schemeClr w14:val="tx1"/>
                  </w14:solidFill>
                </w14:textFill>
              </w:rPr>
            </w:pPr>
            <w:r>
              <w:rPr>
                <w:rFonts w:hint="eastAsia"/>
                <w:b/>
                <w:color w:val="000000" w:themeColor="text1"/>
                <w:lang w:val="zh-CN"/>
                <w14:textFill>
                  <w14:solidFill>
                    <w14:schemeClr w14:val="tx1"/>
                  </w14:solidFill>
                </w14:textFill>
              </w:rPr>
              <w:t>备选投标方案和报价</w:t>
            </w:r>
          </w:p>
        </w:tc>
        <w:tc>
          <w:tcPr>
            <w:tcW w:w="5960" w:type="dxa"/>
            <w:vAlign w:val="center"/>
          </w:tcPr>
          <w:p>
            <w:pPr>
              <w:pStyle w:val="93"/>
              <w:tabs>
                <w:tab w:val="left" w:pos="5749"/>
              </w:tabs>
              <w:spacing w:line="500" w:lineRule="exact"/>
              <w:ind w:firstLine="240" w:firstLineChars="100"/>
              <w:contextualSpacing/>
              <w:rPr>
                <w:color w:val="000000" w:themeColor="text1"/>
                <w:lang w:val="zh-CN"/>
                <w14:textFill>
                  <w14:solidFill>
                    <w14:schemeClr w14:val="tx1"/>
                  </w14:solidFill>
                </w14:textFill>
              </w:rPr>
            </w:pPr>
            <w:r>
              <w:rPr>
                <w:rFonts w:hint="eastAsia"/>
                <w:color w:val="000000" w:themeColor="text1"/>
                <w:lang w:val="zh-CN"/>
                <w14:textFill>
                  <w14:solidFill>
                    <w14:schemeClr w14:val="tx1"/>
                  </w14:solidFill>
                </w14:textFill>
              </w:rPr>
              <w:t>不接受备选投标方案和多个报价。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87" w:hRule="exact"/>
          <w:jc w:val="center"/>
        </w:trPr>
        <w:tc>
          <w:tcPr>
            <w:tcW w:w="1012" w:type="dxa"/>
            <w:vAlign w:val="center"/>
          </w:tcPr>
          <w:p>
            <w:pPr>
              <w:pStyle w:val="93"/>
              <w:spacing w:line="500" w:lineRule="exact"/>
              <w:ind w:right="264"/>
              <w:contextualSpacing/>
              <w:jc w:val="center"/>
              <w:rPr>
                <w:b/>
                <w:color w:val="000000" w:themeColor="text1"/>
                <w:lang w:val="zh-CN"/>
                <w14:textFill>
                  <w14:solidFill>
                    <w14:schemeClr w14:val="tx1"/>
                  </w14:solidFill>
                </w14:textFill>
              </w:rPr>
            </w:pPr>
            <w:r>
              <w:rPr>
                <w:rFonts w:hint="eastAsia"/>
                <w:b/>
                <w:color w:val="000000" w:themeColor="text1"/>
                <w:lang w:val="zh-CN"/>
                <w14:textFill>
                  <w14:solidFill>
                    <w14:schemeClr w14:val="tx1"/>
                  </w14:solidFill>
                </w14:textFill>
              </w:rPr>
              <w:t>21</w:t>
            </w:r>
          </w:p>
        </w:tc>
        <w:tc>
          <w:tcPr>
            <w:tcW w:w="2523" w:type="dxa"/>
            <w:vAlign w:val="center"/>
          </w:tcPr>
          <w:p>
            <w:pPr>
              <w:pStyle w:val="93"/>
              <w:spacing w:line="500" w:lineRule="exact"/>
              <w:contextualSpacing/>
              <w:jc w:val="center"/>
              <w:rPr>
                <w:b/>
                <w:color w:val="000000" w:themeColor="text1"/>
                <w:lang w:val="zh-CN"/>
                <w14:textFill>
                  <w14:solidFill>
                    <w14:schemeClr w14:val="tx1"/>
                  </w14:solidFill>
                </w14:textFill>
              </w:rPr>
            </w:pPr>
            <w:r>
              <w:rPr>
                <w:rFonts w:hint="eastAsia"/>
                <w:b/>
                <w:color w:val="000000" w:themeColor="text1"/>
                <w:lang w:val="zh-CN"/>
                <w14:textFill>
                  <w14:solidFill>
                    <w14:schemeClr w14:val="tx1"/>
                  </w14:solidFill>
                </w14:textFill>
              </w:rPr>
              <w:t>签字盖章</w:t>
            </w:r>
          </w:p>
        </w:tc>
        <w:tc>
          <w:tcPr>
            <w:tcW w:w="5960" w:type="dxa"/>
            <w:vAlign w:val="center"/>
          </w:tcPr>
          <w:p>
            <w:pPr>
              <w:pStyle w:val="93"/>
              <w:tabs>
                <w:tab w:val="left" w:pos="5749"/>
              </w:tabs>
              <w:spacing w:line="500" w:lineRule="exact"/>
              <w:ind w:left="195" w:leftChars="93" w:right="210" w:rightChars="100" w:firstLine="14" w:firstLineChars="6"/>
              <w:contextualSpacing/>
              <w:rPr>
                <w:color w:val="000000" w:themeColor="text1"/>
                <w:lang w:val="zh-CN"/>
                <w14:textFill>
                  <w14:solidFill>
                    <w14:schemeClr w14:val="tx1"/>
                  </w14:solidFill>
                </w14:textFill>
              </w:rPr>
            </w:pPr>
            <w:r>
              <w:rPr>
                <w:rFonts w:hint="eastAsia"/>
                <w:color w:val="000000" w:themeColor="text1"/>
                <w:lang w:val="zh-CN"/>
                <w14:textFill>
                  <w14:solidFill>
                    <w14:schemeClr w14:val="tx1"/>
                  </w14:solidFill>
                </w14:textFill>
              </w:rPr>
              <w:t>投标人必须按照招标文件的规定和要求签字、盖章（法人代表的签字可用具有法定效力的签字章）。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23" w:hRule="exact"/>
          <w:jc w:val="center"/>
        </w:trPr>
        <w:tc>
          <w:tcPr>
            <w:tcW w:w="1012" w:type="dxa"/>
            <w:vAlign w:val="center"/>
          </w:tcPr>
          <w:p>
            <w:pPr>
              <w:pStyle w:val="93"/>
              <w:spacing w:line="500" w:lineRule="exact"/>
              <w:ind w:right="264"/>
              <w:contextualSpacing/>
              <w:jc w:val="center"/>
              <w:rPr>
                <w:b/>
                <w:color w:val="000000" w:themeColor="text1"/>
                <w:lang w:val="zh-CN"/>
                <w14:textFill>
                  <w14:solidFill>
                    <w14:schemeClr w14:val="tx1"/>
                  </w14:solidFill>
                </w14:textFill>
              </w:rPr>
            </w:pPr>
            <w:r>
              <w:rPr>
                <w:rFonts w:hint="eastAsia"/>
                <w:b/>
                <w:color w:val="000000" w:themeColor="text1"/>
                <w:lang w:val="zh-CN"/>
                <w14:textFill>
                  <w14:solidFill>
                    <w14:schemeClr w14:val="tx1"/>
                  </w14:solidFill>
                </w14:textFill>
              </w:rPr>
              <w:t>22</w:t>
            </w:r>
          </w:p>
        </w:tc>
        <w:tc>
          <w:tcPr>
            <w:tcW w:w="2523" w:type="dxa"/>
            <w:vAlign w:val="center"/>
          </w:tcPr>
          <w:p>
            <w:pPr>
              <w:pStyle w:val="93"/>
              <w:spacing w:line="500" w:lineRule="exact"/>
              <w:ind w:left="351" w:leftChars="167" w:firstLine="241" w:firstLineChars="100"/>
              <w:contextualSpacing/>
              <w:rPr>
                <w:b/>
                <w:color w:val="000000" w:themeColor="text1"/>
                <w:lang w:val="zh-CN"/>
                <w14:textFill>
                  <w14:solidFill>
                    <w14:schemeClr w14:val="tx1"/>
                  </w14:solidFill>
                </w14:textFill>
              </w:rPr>
            </w:pPr>
            <w:r>
              <w:rPr>
                <w:rFonts w:hint="eastAsia"/>
                <w:b/>
                <w:color w:val="000000" w:themeColor="text1"/>
                <w:lang w:val="zh-CN"/>
                <w14:textFill>
                  <w14:solidFill>
                    <w14:schemeClr w14:val="tx1"/>
                  </w14:solidFill>
                </w14:textFill>
              </w:rPr>
              <w:t>投标文件份数</w:t>
            </w:r>
          </w:p>
        </w:tc>
        <w:tc>
          <w:tcPr>
            <w:tcW w:w="5960" w:type="dxa"/>
            <w:vAlign w:val="center"/>
          </w:tcPr>
          <w:p>
            <w:pPr>
              <w:pStyle w:val="93"/>
              <w:tabs>
                <w:tab w:val="left" w:pos="5749"/>
              </w:tabs>
              <w:spacing w:line="500" w:lineRule="exact"/>
              <w:ind w:left="195" w:leftChars="93" w:right="210" w:rightChars="100" w:firstLine="14" w:firstLineChars="6"/>
              <w:contextualSpacing/>
              <w:rPr>
                <w:rFonts w:hint="eastAsia"/>
                <w:color w:val="000000" w:themeColor="text1"/>
                <w:lang w:val="zh-CN"/>
                <w14:textFill>
                  <w14:solidFill>
                    <w14:schemeClr w14:val="tx1"/>
                  </w14:solidFill>
                </w14:textFill>
              </w:rPr>
            </w:pPr>
            <w:r>
              <w:rPr>
                <w:rFonts w:hint="eastAsia"/>
                <w:color w:val="000000" w:themeColor="text1"/>
                <w:lang w:val="zh-CN"/>
                <w14:textFill>
                  <w14:solidFill>
                    <w14:schemeClr w14:val="tx1"/>
                  </w14:solidFill>
                </w14:textFill>
              </w:rPr>
              <w:t>电子版</w:t>
            </w:r>
            <w:r>
              <w:rPr>
                <w:rFonts w:hint="eastAsia"/>
                <w:color w:val="000000" w:themeColor="text1"/>
                <w:lang w:val="en-US" w:eastAsia="zh-CN"/>
                <w14:textFill>
                  <w14:solidFill>
                    <w14:schemeClr w14:val="tx1"/>
                  </w14:solidFill>
                </w14:textFill>
              </w:rPr>
              <w:t>投标</w:t>
            </w:r>
            <w:r>
              <w:rPr>
                <w:rFonts w:hint="eastAsia"/>
                <w:color w:val="000000" w:themeColor="text1"/>
                <w:lang w:val="zh-CN"/>
                <w14:textFill>
                  <w14:solidFill>
                    <w14:schemeClr w14:val="tx1"/>
                  </w14:solidFill>
                </w14:textFill>
              </w:rPr>
              <w:t>文件： 一 份(</w:t>
            </w:r>
            <w:r>
              <w:rPr>
                <w:rFonts w:hint="eastAsia"/>
                <w:color w:val="000000" w:themeColor="text1"/>
                <w:lang w:val="zh-CN"/>
                <w14:textFill>
                  <w14:solidFill>
                    <w14:schemeClr w14:val="tx1"/>
                  </w14:solidFill>
                </w14:textFill>
              </w:rPr>
              <w:sym w:font="Wingdings 2" w:char="0052"/>
            </w:r>
            <w:r>
              <w:rPr>
                <w:rFonts w:hint="eastAsia"/>
                <w:color w:val="000000" w:themeColor="text1"/>
                <w:lang w:val="zh-CN"/>
                <w14:textFill>
                  <w14:solidFill>
                    <w14:schemeClr w14:val="tx1"/>
                  </w14:solidFill>
                </w14:textFill>
              </w:rPr>
              <w:t>扫描件，以U盘形式提交)</w:t>
            </w:r>
          </w:p>
          <w:p>
            <w:pPr>
              <w:pStyle w:val="93"/>
              <w:tabs>
                <w:tab w:val="left" w:pos="5749"/>
              </w:tabs>
              <w:spacing w:line="500" w:lineRule="exact"/>
              <w:ind w:left="195" w:leftChars="93" w:right="210" w:rightChars="100" w:firstLine="14" w:firstLineChars="6"/>
              <w:contextualSpacing/>
              <w:rPr>
                <w:color w:val="000000" w:themeColor="text1"/>
                <w:u w:val="single"/>
                <w:lang w:val="zh-CN"/>
                <w14:textFill>
                  <w14:solidFill>
                    <w14:schemeClr w14:val="tx1"/>
                  </w14:solidFill>
                </w14:textFill>
              </w:rPr>
            </w:pPr>
            <w:r>
              <w:rPr>
                <w:rFonts w:hint="eastAsia"/>
                <w:color w:val="000000" w:themeColor="text1"/>
                <w:lang w:val="zh-CN"/>
                <w14:textFill>
                  <w14:solidFill>
                    <w14:schemeClr w14:val="tx1"/>
                  </w14:solidFill>
                </w14:textFill>
              </w:rPr>
              <w:t>（</w:t>
            </w:r>
            <w:r>
              <w:rPr>
                <w:rFonts w:hint="eastAsia"/>
                <w:color w:val="000000" w:themeColor="text1"/>
                <w:lang w:val="zh-CN" w:eastAsia="zh-CN"/>
                <w14:textFill>
                  <w14:solidFill>
                    <w14:schemeClr w14:val="tx1"/>
                  </w14:solidFill>
                </w14:textFill>
              </w:rPr>
              <w:t>投标结束后投标供应商在5天内将纸质版投标文件</w:t>
            </w:r>
            <w:r>
              <w:rPr>
                <w:rFonts w:hint="eastAsia" w:ascii="宋体" w:hAnsi="宋体" w:cs="宋体"/>
                <w:color w:val="auto"/>
                <w:sz w:val="24"/>
                <w:highlight w:val="none"/>
                <w:lang w:val="zh-CN" w:eastAsia="zh-CN"/>
              </w:rPr>
              <w:t>（一正</w:t>
            </w:r>
            <w:r>
              <w:rPr>
                <w:rFonts w:hint="eastAsia" w:ascii="宋体" w:hAnsi="宋体" w:cs="宋体"/>
                <w:color w:val="auto"/>
                <w:sz w:val="24"/>
                <w:highlight w:val="none"/>
                <w:lang w:eastAsia="zh-CN"/>
              </w:rPr>
              <w:t>二</w:t>
            </w:r>
            <w:r>
              <w:rPr>
                <w:rFonts w:hint="eastAsia" w:ascii="宋体" w:hAnsi="宋体" w:cs="宋体"/>
                <w:color w:val="auto"/>
                <w:sz w:val="24"/>
                <w:highlight w:val="none"/>
                <w:lang w:val="zh-CN" w:eastAsia="zh-CN"/>
              </w:rPr>
              <w:t>副）须与电子版响应文件内容一致，纸质响应文件需留存备案</w:t>
            </w:r>
            <w:r>
              <w:rPr>
                <w:rFonts w:hint="eastAsia" w:ascii="仿宋" w:hAnsi="仿宋" w:eastAsia="仿宋" w:cs="仿宋"/>
                <w:b/>
                <w:bCs/>
                <w:color w:val="auto"/>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74" w:hRule="exact"/>
          <w:jc w:val="center"/>
        </w:trPr>
        <w:tc>
          <w:tcPr>
            <w:tcW w:w="1012" w:type="dxa"/>
            <w:vAlign w:val="center"/>
          </w:tcPr>
          <w:p>
            <w:pPr>
              <w:pStyle w:val="93"/>
              <w:spacing w:line="500" w:lineRule="exact"/>
              <w:ind w:right="264"/>
              <w:contextualSpacing/>
              <w:jc w:val="center"/>
              <w:rPr>
                <w:b/>
                <w:color w:val="000000" w:themeColor="text1"/>
                <w:lang w:val="zh-CN"/>
                <w14:textFill>
                  <w14:solidFill>
                    <w14:schemeClr w14:val="tx1"/>
                  </w14:solidFill>
                </w14:textFill>
              </w:rPr>
            </w:pPr>
            <w:r>
              <w:rPr>
                <w:rFonts w:hint="eastAsia"/>
                <w:b/>
                <w:color w:val="000000" w:themeColor="text1"/>
                <w:lang w:val="zh-CN"/>
                <w14:textFill>
                  <w14:solidFill>
                    <w14:schemeClr w14:val="tx1"/>
                  </w14:solidFill>
                </w14:textFill>
              </w:rPr>
              <w:t>23</w:t>
            </w:r>
          </w:p>
        </w:tc>
        <w:tc>
          <w:tcPr>
            <w:tcW w:w="2523" w:type="dxa"/>
            <w:vAlign w:val="center"/>
          </w:tcPr>
          <w:p>
            <w:pPr>
              <w:pStyle w:val="93"/>
              <w:spacing w:line="500" w:lineRule="exact"/>
              <w:contextualSpacing/>
              <w:jc w:val="center"/>
              <w:rPr>
                <w:b/>
                <w:color w:val="000000" w:themeColor="text1"/>
                <w:lang w:val="zh-CN"/>
                <w14:textFill>
                  <w14:solidFill>
                    <w14:schemeClr w14:val="tx1"/>
                  </w14:solidFill>
                </w14:textFill>
              </w:rPr>
            </w:pPr>
            <w:r>
              <w:rPr>
                <w:rFonts w:hint="eastAsia"/>
                <w:b/>
                <w:color w:val="000000" w:themeColor="text1"/>
                <w:lang w:val="zh-CN"/>
                <w14:textFill>
                  <w14:solidFill>
                    <w14:schemeClr w14:val="tx1"/>
                  </w14:solidFill>
                </w14:textFill>
              </w:rPr>
              <w:t>投标文件的装订</w:t>
            </w:r>
          </w:p>
        </w:tc>
        <w:tc>
          <w:tcPr>
            <w:tcW w:w="5960" w:type="dxa"/>
            <w:vAlign w:val="center"/>
          </w:tcPr>
          <w:p>
            <w:pPr>
              <w:pStyle w:val="93"/>
              <w:tabs>
                <w:tab w:val="left" w:pos="5749"/>
              </w:tabs>
              <w:spacing w:line="500" w:lineRule="exact"/>
              <w:ind w:left="210" w:leftChars="100"/>
              <w:contextualSpacing/>
              <w:rPr>
                <w:color w:val="000000" w:themeColor="text1"/>
                <w:lang w:val="zh-CN"/>
                <w14:textFill>
                  <w14:solidFill>
                    <w14:schemeClr w14:val="tx1"/>
                  </w14:solidFill>
                </w14:textFill>
              </w:rPr>
            </w:pPr>
            <w:r>
              <w:rPr>
                <w:rFonts w:hint="eastAsia"/>
                <w:color w:val="000000" w:themeColor="text1"/>
                <w:lang w:val="zh-CN"/>
                <w14:textFill>
                  <w14:solidFill>
                    <w14:schemeClr w14:val="tx1"/>
                  </w14:solidFill>
                </w14:textFill>
              </w:rPr>
              <w:t>不得采用活页装订。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2" w:hRule="atLeast"/>
          <w:jc w:val="center"/>
        </w:trPr>
        <w:tc>
          <w:tcPr>
            <w:tcW w:w="1012" w:type="dxa"/>
            <w:vAlign w:val="center"/>
          </w:tcPr>
          <w:p>
            <w:pPr>
              <w:pStyle w:val="93"/>
              <w:spacing w:line="500" w:lineRule="exact"/>
              <w:ind w:right="264"/>
              <w:contextualSpacing/>
              <w:jc w:val="center"/>
              <w:rPr>
                <w:b/>
                <w:color w:val="000000" w:themeColor="text1"/>
                <w:lang w:val="zh-CN"/>
                <w14:textFill>
                  <w14:solidFill>
                    <w14:schemeClr w14:val="tx1"/>
                  </w14:solidFill>
                </w14:textFill>
              </w:rPr>
            </w:pPr>
            <w:r>
              <w:rPr>
                <w:rFonts w:hint="eastAsia"/>
                <w:b/>
                <w:color w:val="000000" w:themeColor="text1"/>
                <w:lang w:val="zh-CN"/>
                <w14:textFill>
                  <w14:solidFill>
                    <w14:schemeClr w14:val="tx1"/>
                  </w14:solidFill>
                </w14:textFill>
              </w:rPr>
              <w:t>24</w:t>
            </w:r>
          </w:p>
        </w:tc>
        <w:tc>
          <w:tcPr>
            <w:tcW w:w="2523" w:type="dxa"/>
            <w:vAlign w:val="center"/>
          </w:tcPr>
          <w:p>
            <w:pPr>
              <w:pStyle w:val="93"/>
              <w:spacing w:line="500" w:lineRule="exact"/>
              <w:contextualSpacing/>
              <w:rPr>
                <w:b/>
                <w:color w:val="000000" w:themeColor="text1"/>
                <w:lang w:val="zh-CN"/>
                <w14:textFill>
                  <w14:solidFill>
                    <w14:schemeClr w14:val="tx1"/>
                  </w14:solidFill>
                </w14:textFill>
              </w:rPr>
            </w:pPr>
            <w:r>
              <w:rPr>
                <w:rFonts w:hint="eastAsia"/>
                <w:b/>
                <w:color w:val="000000" w:themeColor="text1"/>
                <w:lang w:val="zh-CN"/>
                <w14:textFill>
                  <w14:solidFill>
                    <w14:schemeClr w14:val="tx1"/>
                  </w14:solidFill>
                </w14:textFill>
              </w:rPr>
              <w:t>投标文件封面的标注</w:t>
            </w:r>
          </w:p>
        </w:tc>
        <w:tc>
          <w:tcPr>
            <w:tcW w:w="5960" w:type="dxa"/>
            <w:vAlign w:val="center"/>
          </w:tcPr>
          <w:p>
            <w:pPr>
              <w:pStyle w:val="93"/>
              <w:tabs>
                <w:tab w:val="left" w:pos="5749"/>
              </w:tabs>
              <w:spacing w:line="500" w:lineRule="exact"/>
              <w:ind w:left="195" w:leftChars="93" w:right="210" w:rightChars="100" w:firstLine="14" w:firstLineChars="6"/>
              <w:contextualSpacing/>
              <w:jc w:val="both"/>
              <w:rPr>
                <w:color w:val="000000" w:themeColor="text1"/>
                <w:lang w:val="zh-CN"/>
                <w14:textFill>
                  <w14:solidFill>
                    <w14:schemeClr w14:val="tx1"/>
                  </w14:solidFill>
                </w14:textFill>
              </w:rPr>
            </w:pPr>
            <w:r>
              <w:rPr>
                <w:rFonts w:hint="eastAsia"/>
                <w:color w:val="000000" w:themeColor="text1"/>
                <w:lang w:val="zh-CN"/>
                <w14:textFill>
                  <w14:solidFill>
                    <w14:schemeClr w14:val="tx1"/>
                  </w14:solidFill>
                </w14:textFill>
              </w:rPr>
              <w:t>投标文件封面上均应标明：招标项目名称、项目编号、分包号（如有分包）、投标人名称、年月日；并分别在右上角标明“正本”和“副本”字样,</w:t>
            </w:r>
            <w:r>
              <w:rPr>
                <w:rFonts w:hint="eastAsia"/>
                <w:b/>
                <w:color w:val="000000" w:themeColor="text1"/>
                <w:lang w:val="zh-CN"/>
                <w14:textFill>
                  <w14:solidFill>
                    <w14:schemeClr w14:val="tx1"/>
                  </w14:solidFill>
                </w14:textFill>
              </w:rPr>
              <w:t>并加盖单位公章。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4" w:hRule="atLeast"/>
          <w:jc w:val="center"/>
        </w:trPr>
        <w:tc>
          <w:tcPr>
            <w:tcW w:w="1012" w:type="dxa"/>
            <w:vAlign w:val="center"/>
          </w:tcPr>
          <w:p>
            <w:pPr>
              <w:pStyle w:val="93"/>
              <w:spacing w:line="500" w:lineRule="exact"/>
              <w:ind w:right="264"/>
              <w:contextualSpacing/>
              <w:jc w:val="center"/>
              <w:rPr>
                <w:b/>
                <w:color w:val="000000" w:themeColor="text1"/>
                <w:lang w:val="zh-CN"/>
                <w14:textFill>
                  <w14:solidFill>
                    <w14:schemeClr w14:val="tx1"/>
                  </w14:solidFill>
                </w14:textFill>
              </w:rPr>
            </w:pPr>
            <w:r>
              <w:rPr>
                <w:rFonts w:hint="eastAsia"/>
                <w:b/>
                <w:color w:val="000000" w:themeColor="text1"/>
                <w:lang w:val="zh-CN"/>
                <w14:textFill>
                  <w14:solidFill>
                    <w14:schemeClr w14:val="tx1"/>
                  </w14:solidFill>
                </w14:textFill>
              </w:rPr>
              <w:t>25</w:t>
            </w:r>
          </w:p>
        </w:tc>
        <w:tc>
          <w:tcPr>
            <w:tcW w:w="2523" w:type="dxa"/>
            <w:vAlign w:val="center"/>
          </w:tcPr>
          <w:p>
            <w:pPr>
              <w:pStyle w:val="93"/>
              <w:spacing w:line="500" w:lineRule="exact"/>
              <w:contextualSpacing/>
              <w:jc w:val="center"/>
              <w:rPr>
                <w:b/>
                <w:color w:val="000000" w:themeColor="text1"/>
                <w:lang w:val="zh-CN"/>
                <w14:textFill>
                  <w14:solidFill>
                    <w14:schemeClr w14:val="tx1"/>
                  </w14:solidFill>
                </w14:textFill>
              </w:rPr>
            </w:pPr>
            <w:r>
              <w:rPr>
                <w:rFonts w:hint="eastAsia"/>
                <w:b/>
                <w:color w:val="000000" w:themeColor="text1"/>
                <w:lang w:val="zh-CN"/>
                <w14:textFill>
                  <w14:solidFill>
                    <w14:schemeClr w14:val="tx1"/>
                  </w14:solidFill>
                </w14:textFill>
              </w:rPr>
              <w:t>投标文件</w:t>
            </w:r>
            <w:r>
              <w:rPr>
                <w:rFonts w:hint="eastAsia"/>
                <w:b/>
                <w:color w:val="000000" w:themeColor="text1"/>
                <w:lang w:val="en-US" w:eastAsia="zh-CN"/>
                <w14:textFill>
                  <w14:solidFill>
                    <w14:schemeClr w14:val="tx1"/>
                  </w14:solidFill>
                </w14:textFill>
              </w:rPr>
              <w:t>的</w:t>
            </w:r>
            <w:r>
              <w:rPr>
                <w:rFonts w:hint="eastAsia"/>
                <w:b/>
                <w:color w:val="000000" w:themeColor="text1"/>
                <w:lang w:val="zh-CN"/>
                <w14:textFill>
                  <w14:solidFill>
                    <w14:schemeClr w14:val="tx1"/>
                  </w14:solidFill>
                </w14:textFill>
              </w:rPr>
              <w:t>标注</w:t>
            </w:r>
          </w:p>
        </w:tc>
        <w:tc>
          <w:tcPr>
            <w:tcW w:w="5960" w:type="dxa"/>
            <w:vAlign w:val="center"/>
          </w:tcPr>
          <w:p>
            <w:pPr>
              <w:pStyle w:val="93"/>
              <w:tabs>
                <w:tab w:val="left" w:pos="5749"/>
              </w:tabs>
              <w:spacing w:line="500" w:lineRule="exact"/>
              <w:ind w:left="214" w:leftChars="92" w:hanging="21" w:hangingChars="9"/>
              <w:contextualSpacing/>
              <w:jc w:val="both"/>
              <w:rPr>
                <w:color w:val="000000" w:themeColor="text1"/>
                <w:lang w:val="zh-CN"/>
                <w14:textFill>
                  <w14:solidFill>
                    <w14:schemeClr w14:val="tx1"/>
                  </w14:solidFill>
                </w14:textFill>
              </w:rPr>
            </w:pPr>
            <w:r>
              <w:rPr>
                <w:rFonts w:hint="eastAsia"/>
                <w:color w:val="000000" w:themeColor="text1"/>
                <w:lang w:val="en-US" w:eastAsia="zh-CN"/>
                <w14:textFill>
                  <w14:solidFill>
                    <w14:schemeClr w14:val="tx1"/>
                  </w14:solidFill>
                </w14:textFill>
              </w:rPr>
              <w:t>本项目采用以上传电子标书为准，开标现场进行解秘</w:t>
            </w:r>
            <w:r>
              <w:rPr>
                <w:rFonts w:hint="eastAsia"/>
                <w:color w:val="000000" w:themeColor="text1"/>
                <w:lang w:val="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1" w:hRule="exact"/>
          <w:jc w:val="center"/>
        </w:trPr>
        <w:tc>
          <w:tcPr>
            <w:tcW w:w="1012" w:type="dxa"/>
            <w:vAlign w:val="center"/>
          </w:tcPr>
          <w:p>
            <w:pPr>
              <w:pStyle w:val="93"/>
              <w:spacing w:line="500" w:lineRule="exact"/>
              <w:ind w:right="264"/>
              <w:contextualSpacing/>
              <w:jc w:val="center"/>
              <w:rPr>
                <w:b/>
                <w:color w:val="000000" w:themeColor="text1"/>
                <w:lang w:val="zh-CN"/>
                <w14:textFill>
                  <w14:solidFill>
                    <w14:schemeClr w14:val="tx1"/>
                  </w14:solidFill>
                </w14:textFill>
              </w:rPr>
            </w:pPr>
            <w:r>
              <w:rPr>
                <w:rFonts w:hint="eastAsia"/>
                <w:b/>
                <w:color w:val="000000" w:themeColor="text1"/>
                <w:lang w:val="zh-CN"/>
                <w14:textFill>
                  <w14:solidFill>
                    <w14:schemeClr w14:val="tx1"/>
                  </w14:solidFill>
                </w14:textFill>
              </w:rPr>
              <w:t>26</w:t>
            </w:r>
          </w:p>
        </w:tc>
        <w:tc>
          <w:tcPr>
            <w:tcW w:w="2523" w:type="dxa"/>
            <w:vAlign w:val="center"/>
          </w:tcPr>
          <w:p>
            <w:pPr>
              <w:pStyle w:val="93"/>
              <w:spacing w:line="500" w:lineRule="exact"/>
              <w:ind w:left="350"/>
              <w:contextualSpacing/>
              <w:rPr>
                <w:b/>
                <w:color w:val="000000" w:themeColor="text1"/>
                <w:lang w:val="zh-CN"/>
                <w14:textFill>
                  <w14:solidFill>
                    <w14:schemeClr w14:val="tx1"/>
                  </w14:solidFill>
                </w14:textFill>
              </w:rPr>
            </w:pPr>
            <w:r>
              <w:rPr>
                <w:rFonts w:hint="eastAsia"/>
                <w:b/>
                <w:color w:val="000000" w:themeColor="text1"/>
                <w:lang w:val="zh-CN"/>
                <w14:textFill>
                  <w14:solidFill>
                    <w14:schemeClr w14:val="tx1"/>
                  </w14:solidFill>
                </w14:textFill>
              </w:rPr>
              <w:t>递交投标文件地点</w:t>
            </w:r>
          </w:p>
        </w:tc>
        <w:tc>
          <w:tcPr>
            <w:tcW w:w="5960" w:type="dxa"/>
            <w:vAlign w:val="center"/>
          </w:tcPr>
          <w:p>
            <w:pPr>
              <w:tabs>
                <w:tab w:val="left" w:pos="5749"/>
              </w:tabs>
              <w:autoSpaceDE w:val="0"/>
              <w:autoSpaceDN w:val="0"/>
              <w:adjustRightInd w:val="0"/>
              <w:spacing w:line="500" w:lineRule="exact"/>
              <w:ind w:left="214" w:leftChars="92" w:right="67" w:rightChars="32" w:hanging="21" w:hangingChars="9"/>
              <w:contextualSpacing/>
              <w:jc w:val="left"/>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cs="宋体"/>
                <w:color w:val="333333"/>
                <w:sz w:val="24"/>
                <w:szCs w:val="24"/>
                <w:shd w:val="clear" w:color="auto" w:fill="FFFFFF"/>
                <w:lang w:eastAsia="zh-CN"/>
              </w:rPr>
              <w:t>新疆政府采购网政采云平台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43" w:hRule="exact"/>
          <w:jc w:val="center"/>
        </w:trPr>
        <w:tc>
          <w:tcPr>
            <w:tcW w:w="1012" w:type="dxa"/>
            <w:vAlign w:val="center"/>
          </w:tcPr>
          <w:p>
            <w:pPr>
              <w:pStyle w:val="93"/>
              <w:spacing w:line="500" w:lineRule="exact"/>
              <w:ind w:right="264"/>
              <w:contextualSpacing/>
              <w:jc w:val="center"/>
              <w:rPr>
                <w:b/>
                <w:lang w:val="zh-CN"/>
              </w:rPr>
            </w:pPr>
            <w:r>
              <w:rPr>
                <w:rFonts w:hint="eastAsia"/>
                <w:b/>
                <w:lang w:val="zh-CN"/>
              </w:rPr>
              <w:t>27</w:t>
            </w:r>
          </w:p>
        </w:tc>
        <w:tc>
          <w:tcPr>
            <w:tcW w:w="2523" w:type="dxa"/>
            <w:vAlign w:val="center"/>
          </w:tcPr>
          <w:p>
            <w:pPr>
              <w:pStyle w:val="104"/>
              <w:spacing w:line="500" w:lineRule="exact"/>
              <w:contextualSpacing/>
              <w:jc w:val="center"/>
              <w:rPr>
                <w:rFonts w:hAnsi="宋体" w:cs="宋体"/>
                <w:b/>
                <w:sz w:val="24"/>
                <w:szCs w:val="24"/>
              </w:rPr>
            </w:pPr>
            <w:r>
              <w:rPr>
                <w:rFonts w:hint="eastAsia" w:hAnsi="宋体" w:cs="宋体"/>
                <w:b/>
                <w:sz w:val="24"/>
                <w:szCs w:val="24"/>
              </w:rPr>
              <w:t>评标委员会的组建</w:t>
            </w:r>
          </w:p>
        </w:tc>
        <w:tc>
          <w:tcPr>
            <w:tcW w:w="5960" w:type="dxa"/>
            <w:vAlign w:val="center"/>
          </w:tcPr>
          <w:p>
            <w:pPr>
              <w:pStyle w:val="104"/>
              <w:tabs>
                <w:tab w:val="left" w:pos="5749"/>
              </w:tabs>
              <w:spacing w:line="500" w:lineRule="exact"/>
              <w:ind w:left="215" w:leftChars="92" w:right="210" w:rightChars="100" w:hanging="22" w:hangingChars="9"/>
              <w:contextualSpacing/>
              <w:rPr>
                <w:rFonts w:hAnsi="宋体" w:cs="宋体"/>
                <w:sz w:val="24"/>
                <w:szCs w:val="24"/>
              </w:rPr>
            </w:pPr>
            <w:r>
              <w:rPr>
                <w:rFonts w:hint="eastAsia" w:hAnsi="宋体" w:cs="宋体"/>
                <w:b/>
                <w:sz w:val="24"/>
                <w:szCs w:val="24"/>
              </w:rPr>
              <w:t>评标委员会构成：</w:t>
            </w:r>
            <w:r>
              <w:rPr>
                <w:rFonts w:hint="eastAsia" w:hAnsi="宋体" w:cs="宋体"/>
                <w:sz w:val="24"/>
                <w:szCs w:val="24"/>
              </w:rPr>
              <w:t>5人，其中专家4人，业主代表1人；</w:t>
            </w:r>
          </w:p>
          <w:p>
            <w:pPr>
              <w:pStyle w:val="104"/>
              <w:tabs>
                <w:tab w:val="left" w:pos="5749"/>
              </w:tabs>
              <w:spacing w:line="500" w:lineRule="exact"/>
              <w:ind w:left="215" w:leftChars="92" w:right="210" w:rightChars="100" w:hanging="22" w:hangingChars="9"/>
              <w:contextualSpacing/>
              <w:rPr>
                <w:rFonts w:hAnsi="宋体" w:cs="宋体"/>
                <w:sz w:val="24"/>
                <w:szCs w:val="24"/>
              </w:rPr>
            </w:pPr>
            <w:r>
              <w:rPr>
                <w:rFonts w:hint="eastAsia" w:hAnsi="宋体" w:cs="宋体"/>
                <w:b/>
                <w:sz w:val="24"/>
                <w:szCs w:val="24"/>
              </w:rPr>
              <w:t>评标专家确定方式：</w:t>
            </w:r>
            <w:r>
              <w:rPr>
                <w:rFonts w:hint="eastAsia" w:hAnsi="宋体" w:cs="宋体"/>
                <w:sz w:val="24"/>
                <w:szCs w:val="24"/>
              </w:rPr>
              <w:t>新疆政府采购政采云随机抽取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12" w:hRule="atLeast"/>
          <w:jc w:val="center"/>
        </w:trPr>
        <w:tc>
          <w:tcPr>
            <w:tcW w:w="1012" w:type="dxa"/>
            <w:vAlign w:val="center"/>
          </w:tcPr>
          <w:p>
            <w:pPr>
              <w:pStyle w:val="93"/>
              <w:spacing w:line="500" w:lineRule="exact"/>
              <w:ind w:firstLine="354" w:firstLineChars="147"/>
              <w:contextualSpacing/>
              <w:rPr>
                <w:b/>
                <w:lang w:val="zh-CN"/>
              </w:rPr>
            </w:pPr>
            <w:r>
              <w:rPr>
                <w:rFonts w:hint="eastAsia"/>
                <w:b/>
                <w:lang w:val="zh-CN"/>
              </w:rPr>
              <w:t>28</w:t>
            </w:r>
          </w:p>
        </w:tc>
        <w:tc>
          <w:tcPr>
            <w:tcW w:w="2523" w:type="dxa"/>
            <w:vAlign w:val="center"/>
          </w:tcPr>
          <w:p>
            <w:pPr>
              <w:pStyle w:val="93"/>
              <w:spacing w:line="500" w:lineRule="exact"/>
              <w:contextualSpacing/>
              <w:jc w:val="center"/>
              <w:rPr>
                <w:b/>
                <w:lang w:val="zh-CN"/>
              </w:rPr>
            </w:pPr>
            <w:r>
              <w:rPr>
                <w:rFonts w:hint="eastAsia"/>
                <w:b/>
                <w:lang w:val="zh-CN"/>
              </w:rPr>
              <w:t>开标时间和地点</w:t>
            </w:r>
          </w:p>
        </w:tc>
        <w:tc>
          <w:tcPr>
            <w:tcW w:w="5960" w:type="dxa"/>
            <w:vAlign w:val="center"/>
          </w:tcPr>
          <w:p>
            <w:pPr>
              <w:pStyle w:val="104"/>
              <w:tabs>
                <w:tab w:val="left" w:pos="5749"/>
              </w:tabs>
              <w:spacing w:line="500" w:lineRule="exact"/>
              <w:ind w:firstLine="240" w:firstLineChars="100"/>
              <w:contextualSpacing/>
              <w:rPr>
                <w:rFonts w:hAnsi="宋体" w:cs="宋体"/>
                <w:sz w:val="24"/>
                <w:szCs w:val="24"/>
              </w:rPr>
            </w:pPr>
            <w:r>
              <w:rPr>
                <w:rFonts w:hint="eastAsia" w:hAnsi="宋体" w:cs="宋体"/>
                <w:sz w:val="24"/>
                <w:szCs w:val="24"/>
              </w:rPr>
              <w:t>开标时间</w:t>
            </w:r>
            <w:r>
              <w:rPr>
                <w:rFonts w:hint="eastAsia" w:hAnsi="宋体" w:cs="宋体"/>
                <w:color w:val="auto"/>
                <w:sz w:val="24"/>
                <w:szCs w:val="24"/>
              </w:rPr>
              <w:t>： 202</w:t>
            </w:r>
            <w:r>
              <w:rPr>
                <w:rFonts w:hint="eastAsia" w:hAnsi="宋体" w:cs="宋体"/>
                <w:color w:val="auto"/>
                <w:sz w:val="24"/>
                <w:szCs w:val="24"/>
                <w:lang w:val="en-US" w:eastAsia="zh-CN"/>
              </w:rPr>
              <w:t>2</w:t>
            </w:r>
            <w:r>
              <w:rPr>
                <w:rFonts w:hint="eastAsia" w:hAnsi="宋体" w:cs="宋体"/>
                <w:color w:val="auto"/>
                <w:sz w:val="24"/>
                <w:szCs w:val="24"/>
              </w:rPr>
              <w:t>年</w:t>
            </w:r>
            <w:r>
              <w:rPr>
                <w:rFonts w:hint="eastAsia" w:cs="宋体"/>
                <w:color w:val="auto"/>
                <w:sz w:val="24"/>
                <w:szCs w:val="24"/>
              </w:rPr>
              <w:t>5</w:t>
            </w:r>
            <w:r>
              <w:rPr>
                <w:rFonts w:hint="eastAsia" w:hAnsi="宋体" w:cs="宋体"/>
                <w:color w:val="auto"/>
                <w:sz w:val="24"/>
                <w:szCs w:val="24"/>
              </w:rPr>
              <w:t>月</w:t>
            </w:r>
            <w:r>
              <w:rPr>
                <w:rFonts w:hint="eastAsia" w:cs="宋体"/>
                <w:color w:val="auto"/>
                <w:sz w:val="24"/>
                <w:szCs w:val="24"/>
                <w:lang w:val="en-US" w:eastAsia="zh-CN"/>
              </w:rPr>
              <w:t>25</w:t>
            </w:r>
            <w:r>
              <w:rPr>
                <w:rFonts w:hint="eastAsia" w:hAnsi="宋体" w:cs="宋体"/>
                <w:color w:val="auto"/>
                <w:sz w:val="24"/>
                <w:szCs w:val="24"/>
              </w:rPr>
              <w:t>日1</w:t>
            </w:r>
            <w:r>
              <w:rPr>
                <w:rFonts w:hint="eastAsia" w:hAnsi="宋体" w:cs="宋体"/>
                <w:color w:val="auto"/>
                <w:sz w:val="24"/>
                <w:szCs w:val="24"/>
                <w:lang w:val="en-US" w:eastAsia="zh-CN"/>
              </w:rPr>
              <w:t>0</w:t>
            </w:r>
            <w:r>
              <w:rPr>
                <w:rFonts w:hint="eastAsia" w:hAnsi="宋体" w:cs="宋体"/>
                <w:color w:val="auto"/>
                <w:sz w:val="24"/>
                <w:szCs w:val="24"/>
              </w:rPr>
              <w:t>︰</w:t>
            </w:r>
            <w:r>
              <w:rPr>
                <w:rFonts w:hint="eastAsia" w:cs="宋体"/>
                <w:color w:val="auto"/>
                <w:sz w:val="24"/>
                <w:szCs w:val="24"/>
                <w:lang w:val="en-US" w:eastAsia="zh-CN"/>
              </w:rPr>
              <w:t>3</w:t>
            </w:r>
            <w:r>
              <w:rPr>
                <w:rFonts w:hint="eastAsia" w:hAnsi="宋体" w:cs="宋体"/>
                <w:color w:val="auto"/>
                <w:sz w:val="24"/>
                <w:szCs w:val="24"/>
              </w:rPr>
              <w:t>0</w:t>
            </w:r>
            <w:r>
              <w:rPr>
                <w:rFonts w:hint="eastAsia" w:hAnsi="宋体" w:cs="宋体"/>
                <w:color w:val="auto"/>
                <w:sz w:val="24"/>
                <w:szCs w:val="24"/>
                <w:lang w:val="zh-CN"/>
              </w:rPr>
              <w:t>时</w:t>
            </w:r>
            <w:r>
              <w:rPr>
                <w:rFonts w:hint="eastAsia" w:hAnsi="宋体" w:cs="宋体"/>
                <w:color w:val="auto"/>
                <w:sz w:val="24"/>
                <w:szCs w:val="24"/>
              </w:rPr>
              <w:t>（北京时间）</w:t>
            </w:r>
          </w:p>
          <w:p>
            <w:pPr>
              <w:pStyle w:val="93"/>
              <w:tabs>
                <w:tab w:val="left" w:pos="5749"/>
              </w:tabs>
              <w:spacing w:line="500" w:lineRule="exact"/>
              <w:ind w:left="195" w:leftChars="93"/>
              <w:contextualSpacing/>
              <w:rPr>
                <w:lang w:val="zh-CN"/>
              </w:rPr>
            </w:pPr>
            <w:r>
              <w:rPr>
                <w:rFonts w:hint="eastAsia"/>
              </w:rPr>
              <w:t>开标地点：</w:t>
            </w:r>
            <w:r>
              <w:rPr>
                <w:rFonts w:hint="eastAsia" w:ascii="宋体" w:hAnsi="宋体" w:cs="宋体"/>
                <w:color w:val="333333"/>
                <w:sz w:val="24"/>
                <w:szCs w:val="24"/>
                <w:shd w:val="clear" w:color="auto" w:fill="FFFFFF"/>
                <w:lang w:eastAsia="zh-CN"/>
              </w:rPr>
              <w:t>新疆政府采购网政采云平台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1" w:hRule="atLeast"/>
          <w:jc w:val="center"/>
        </w:trPr>
        <w:tc>
          <w:tcPr>
            <w:tcW w:w="1012" w:type="dxa"/>
            <w:vAlign w:val="center"/>
          </w:tcPr>
          <w:p>
            <w:pPr>
              <w:pStyle w:val="93"/>
              <w:spacing w:line="500" w:lineRule="exact"/>
              <w:ind w:right="264"/>
              <w:contextualSpacing/>
              <w:jc w:val="center"/>
              <w:rPr>
                <w:b/>
                <w:lang w:val="zh-CN"/>
              </w:rPr>
            </w:pPr>
            <w:r>
              <w:rPr>
                <w:rFonts w:hint="eastAsia"/>
                <w:b/>
                <w:lang w:val="zh-CN"/>
              </w:rPr>
              <w:t>29</w:t>
            </w:r>
          </w:p>
        </w:tc>
        <w:tc>
          <w:tcPr>
            <w:tcW w:w="2523" w:type="dxa"/>
            <w:vAlign w:val="center"/>
          </w:tcPr>
          <w:p>
            <w:pPr>
              <w:pStyle w:val="93"/>
              <w:spacing w:line="500" w:lineRule="exact"/>
              <w:ind w:left="388" w:leftChars="185" w:firstLine="361" w:firstLineChars="150"/>
              <w:contextualSpacing/>
              <w:rPr>
                <w:b/>
                <w:lang w:val="zh-CN"/>
              </w:rPr>
            </w:pPr>
            <w:r>
              <w:rPr>
                <w:rFonts w:hint="eastAsia"/>
                <w:b/>
                <w:lang w:val="zh-CN"/>
              </w:rPr>
              <w:t>履约保证金</w:t>
            </w:r>
          </w:p>
        </w:tc>
        <w:tc>
          <w:tcPr>
            <w:tcW w:w="5960" w:type="dxa"/>
            <w:vAlign w:val="center"/>
          </w:tcPr>
          <w:p>
            <w:pPr>
              <w:pStyle w:val="104"/>
              <w:tabs>
                <w:tab w:val="left" w:pos="5749"/>
              </w:tabs>
              <w:spacing w:line="500" w:lineRule="exact"/>
              <w:ind w:firstLine="240" w:firstLineChars="100"/>
              <w:contextualSpacing/>
              <w:rPr>
                <w:rFonts w:hint="eastAsia" w:hAnsi="宋体" w:eastAsia="宋体" w:cs="宋体"/>
                <w:sz w:val="24"/>
                <w:szCs w:val="24"/>
                <w:lang w:eastAsia="zh-CN"/>
              </w:rPr>
            </w:pPr>
            <w:r>
              <w:rPr>
                <w:rFonts w:hint="eastAsia" w:hAnsi="宋体" w:cs="宋体"/>
                <w:sz w:val="24"/>
                <w:szCs w:val="24"/>
              </w:rPr>
              <w:t>履约担保的形式：</w:t>
            </w:r>
            <w:r>
              <w:rPr>
                <w:rFonts w:hint="eastAsia"/>
              </w:rPr>
              <w:t>/</w:t>
            </w:r>
          </w:p>
          <w:p>
            <w:pPr>
              <w:pStyle w:val="93"/>
              <w:tabs>
                <w:tab w:val="left" w:pos="5749"/>
              </w:tabs>
              <w:spacing w:line="500" w:lineRule="exact"/>
              <w:ind w:left="105" w:leftChars="50" w:right="105" w:rightChars="50" w:firstLine="120" w:firstLineChars="50"/>
              <w:contextualSpacing/>
              <w:rPr>
                <w:kern w:val="2"/>
              </w:rPr>
            </w:pPr>
            <w:r>
              <w:rPr>
                <w:rFonts w:hint="eastAsia"/>
              </w:rPr>
              <w:t>履约担保的金额：/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8" w:hRule="atLeast"/>
          <w:jc w:val="center"/>
        </w:trPr>
        <w:tc>
          <w:tcPr>
            <w:tcW w:w="1012" w:type="dxa"/>
            <w:vAlign w:val="center"/>
          </w:tcPr>
          <w:p>
            <w:pPr>
              <w:pStyle w:val="93"/>
              <w:spacing w:line="500" w:lineRule="exact"/>
              <w:ind w:right="264"/>
              <w:contextualSpacing/>
              <w:jc w:val="center"/>
              <w:rPr>
                <w:b/>
                <w:color w:val="000000" w:themeColor="text1"/>
                <w14:textFill>
                  <w14:solidFill>
                    <w14:schemeClr w14:val="tx1"/>
                  </w14:solidFill>
                </w14:textFill>
              </w:rPr>
            </w:pPr>
            <w:r>
              <w:rPr>
                <w:rFonts w:hint="eastAsia"/>
                <w:b/>
                <w:color w:val="000000" w:themeColor="text1"/>
                <w14:textFill>
                  <w14:solidFill>
                    <w14:schemeClr w14:val="tx1"/>
                  </w14:solidFill>
                </w14:textFill>
              </w:rPr>
              <w:t xml:space="preserve"> 30</w:t>
            </w:r>
          </w:p>
        </w:tc>
        <w:tc>
          <w:tcPr>
            <w:tcW w:w="2523" w:type="dxa"/>
            <w:vAlign w:val="center"/>
          </w:tcPr>
          <w:p>
            <w:pPr>
              <w:spacing w:line="500" w:lineRule="exact"/>
              <w:contextualSpacing/>
              <w:jc w:val="center"/>
              <w:rPr>
                <w:rFonts w:ascii="宋体" w:hAnsi="宋体" w:cs="宋体"/>
                <w:b/>
                <w:color w:val="000000" w:themeColor="text1"/>
                <w:sz w:val="24"/>
                <w:szCs w:val="24"/>
                <w:lang w:val="zh-CN"/>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承包形式</w:t>
            </w:r>
          </w:p>
        </w:tc>
        <w:tc>
          <w:tcPr>
            <w:tcW w:w="5960" w:type="dxa"/>
            <w:vAlign w:val="center"/>
          </w:tcPr>
          <w:p>
            <w:pPr>
              <w:spacing w:line="500" w:lineRule="exact"/>
              <w:ind w:left="216" w:leftChars="103"/>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eastAsia="zh-CN"/>
                <w14:textFill>
                  <w14:solidFill>
                    <w14:schemeClr w14:val="tx1"/>
                  </w14:solidFill>
                </w14:textFill>
              </w:rPr>
              <w:t>按合同约定方式执行</w:t>
            </w:r>
            <w:r>
              <w:rPr>
                <w:rFonts w:hint="eastAsia" w:ascii="宋体" w:hAnsi="宋体" w:cs="宋体"/>
                <w:color w:val="000000" w:themeColor="text1"/>
                <w:sz w:val="24"/>
                <w:szCs w:val="24"/>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9" w:hRule="atLeast"/>
          <w:jc w:val="center"/>
        </w:trPr>
        <w:tc>
          <w:tcPr>
            <w:tcW w:w="1012" w:type="dxa"/>
            <w:vAlign w:val="center"/>
          </w:tcPr>
          <w:p>
            <w:pPr>
              <w:pStyle w:val="93"/>
              <w:spacing w:line="500" w:lineRule="exact"/>
              <w:ind w:right="264"/>
              <w:contextualSpacing/>
              <w:jc w:val="center"/>
              <w:rPr>
                <w:b/>
                <w:color w:val="000000" w:themeColor="text1"/>
                <w14:textFill>
                  <w14:solidFill>
                    <w14:schemeClr w14:val="tx1"/>
                  </w14:solidFill>
                </w14:textFill>
              </w:rPr>
            </w:pPr>
            <w:r>
              <w:rPr>
                <w:rFonts w:hint="eastAsia"/>
                <w:b/>
                <w:color w:val="000000" w:themeColor="text1"/>
                <w14:textFill>
                  <w14:solidFill>
                    <w14:schemeClr w14:val="tx1"/>
                  </w14:solidFill>
                </w14:textFill>
              </w:rPr>
              <w:t>31</w:t>
            </w:r>
          </w:p>
        </w:tc>
        <w:tc>
          <w:tcPr>
            <w:tcW w:w="2523" w:type="dxa"/>
            <w:vAlign w:val="center"/>
          </w:tcPr>
          <w:p>
            <w:pPr>
              <w:spacing w:line="500" w:lineRule="exact"/>
              <w:contextualSpacing/>
              <w:jc w:val="center"/>
              <w:rPr>
                <w:rFonts w:ascii="宋体" w:hAnsi="宋体" w:cs="宋体"/>
                <w:b/>
                <w:color w:val="000000" w:themeColor="text1"/>
                <w:sz w:val="24"/>
                <w:szCs w:val="24"/>
                <w:lang w:val="zh-CN"/>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关于运距补充说明</w:t>
            </w:r>
          </w:p>
        </w:tc>
        <w:tc>
          <w:tcPr>
            <w:tcW w:w="5960" w:type="dxa"/>
            <w:vAlign w:val="center"/>
          </w:tcPr>
          <w:p>
            <w:pPr>
              <w:spacing w:line="500" w:lineRule="exact"/>
              <w:ind w:left="216" w:leftChars="103"/>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业主指定地点或合同中指定地点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5" w:hRule="atLeast"/>
          <w:jc w:val="center"/>
        </w:trPr>
        <w:tc>
          <w:tcPr>
            <w:tcW w:w="1012" w:type="dxa"/>
            <w:vAlign w:val="center"/>
          </w:tcPr>
          <w:p>
            <w:pPr>
              <w:pStyle w:val="93"/>
              <w:spacing w:line="500" w:lineRule="exact"/>
              <w:ind w:right="264"/>
              <w:contextualSpacing/>
              <w:jc w:val="center"/>
              <w:rPr>
                <w:b/>
                <w:color w:val="000000" w:themeColor="text1"/>
                <w14:textFill>
                  <w14:solidFill>
                    <w14:schemeClr w14:val="tx1"/>
                  </w14:solidFill>
                </w14:textFill>
              </w:rPr>
            </w:pPr>
            <w:bookmarkStart w:id="38" w:name="OLE_LINK8" w:colFirst="0" w:colLast="2"/>
            <w:r>
              <w:rPr>
                <w:rFonts w:hint="eastAsia"/>
                <w:b/>
                <w:color w:val="000000" w:themeColor="text1"/>
                <w14:textFill>
                  <w14:solidFill>
                    <w14:schemeClr w14:val="tx1"/>
                  </w14:solidFill>
                </w14:textFill>
              </w:rPr>
              <w:t xml:space="preserve"> 32</w:t>
            </w:r>
          </w:p>
        </w:tc>
        <w:tc>
          <w:tcPr>
            <w:tcW w:w="2523" w:type="dxa"/>
            <w:vAlign w:val="center"/>
          </w:tcPr>
          <w:p>
            <w:pPr>
              <w:spacing w:line="500" w:lineRule="exact"/>
              <w:contextualSpacing/>
              <w:jc w:val="center"/>
              <w:rPr>
                <w:rFonts w:ascii="宋体" w:hAnsi="宋体" w:cs="宋体"/>
                <w:b/>
                <w:color w:val="000000" w:themeColor="text1"/>
                <w:sz w:val="24"/>
                <w:szCs w:val="24"/>
                <w:lang w:val="zh-CN"/>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质量保证金</w:t>
            </w:r>
          </w:p>
        </w:tc>
        <w:tc>
          <w:tcPr>
            <w:tcW w:w="5960" w:type="dxa"/>
            <w:vAlign w:val="center"/>
          </w:tcPr>
          <w:p>
            <w:pPr>
              <w:spacing w:line="500" w:lineRule="exact"/>
              <w:ind w:left="216" w:leftChars="103"/>
              <w:contextualSpacing/>
              <w:rPr>
                <w:rFonts w:ascii="宋体" w:hAnsi="宋体" w:cs="宋体"/>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以合同约定为主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7" w:hRule="atLeast"/>
          <w:jc w:val="center"/>
        </w:trPr>
        <w:tc>
          <w:tcPr>
            <w:tcW w:w="1012" w:type="dxa"/>
            <w:vMerge w:val="restart"/>
            <w:vAlign w:val="center"/>
          </w:tcPr>
          <w:p>
            <w:pPr>
              <w:pStyle w:val="93"/>
              <w:spacing w:line="500" w:lineRule="exact"/>
              <w:ind w:right="264"/>
              <w:contextualSpacing/>
              <w:jc w:val="center"/>
              <w:rPr>
                <w:b/>
                <w:color w:val="000000" w:themeColor="text1"/>
                <w14:textFill>
                  <w14:solidFill>
                    <w14:schemeClr w14:val="tx1"/>
                  </w14:solidFill>
                </w14:textFill>
              </w:rPr>
            </w:pPr>
            <w:r>
              <w:rPr>
                <w:rFonts w:hint="eastAsia"/>
                <w:b/>
                <w:color w:val="000000" w:themeColor="text1"/>
                <w14:textFill>
                  <w14:solidFill>
                    <w14:schemeClr w14:val="tx1"/>
                  </w14:solidFill>
                </w14:textFill>
              </w:rPr>
              <w:t xml:space="preserve"> 33</w:t>
            </w:r>
          </w:p>
        </w:tc>
        <w:tc>
          <w:tcPr>
            <w:tcW w:w="2523" w:type="dxa"/>
            <w:vAlign w:val="center"/>
          </w:tcPr>
          <w:p>
            <w:pPr>
              <w:spacing w:line="500" w:lineRule="exact"/>
              <w:contextualSpacing/>
              <w:jc w:val="center"/>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分值的构成</w:t>
            </w:r>
          </w:p>
        </w:tc>
        <w:tc>
          <w:tcPr>
            <w:tcW w:w="5960" w:type="dxa"/>
            <w:vAlign w:val="center"/>
          </w:tcPr>
          <w:p>
            <w:pPr>
              <w:pStyle w:val="136"/>
              <w:spacing w:line="500" w:lineRule="exact"/>
              <w:ind w:left="216" w:leftChars="103" w:right="210" w:rightChars="100" w:firstLine="0" w:firstLineChars="0"/>
              <w:contextualSpacing/>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一、综合部分（K1权重70%）；二、报价部分（K2权重30%）详见招标文件综合评分明细表。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012" w:type="dxa"/>
            <w:vMerge w:val="continue"/>
            <w:vAlign w:val="center"/>
          </w:tcPr>
          <w:p>
            <w:pPr>
              <w:pStyle w:val="93"/>
              <w:spacing w:line="500" w:lineRule="exact"/>
              <w:ind w:right="264"/>
              <w:contextualSpacing/>
              <w:jc w:val="center"/>
              <w:rPr>
                <w:rFonts w:hint="eastAsia"/>
                <w:b/>
                <w:color w:val="000000" w:themeColor="text1"/>
                <w14:textFill>
                  <w14:solidFill>
                    <w14:schemeClr w14:val="tx1"/>
                  </w14:solidFill>
                </w14:textFill>
              </w:rPr>
            </w:pPr>
          </w:p>
        </w:tc>
        <w:tc>
          <w:tcPr>
            <w:tcW w:w="2523" w:type="dxa"/>
            <w:vAlign w:val="center"/>
          </w:tcPr>
          <w:p>
            <w:pPr>
              <w:spacing w:line="500" w:lineRule="exact"/>
              <w:contextualSpacing/>
              <w:jc w:val="center"/>
              <w:rPr>
                <w:rFonts w:hint="eastAsia" w:ascii="宋体" w:hAnsi="宋体" w:cs="宋体"/>
                <w:b/>
                <w:color w:val="000000" w:themeColor="text1"/>
                <w:sz w:val="24"/>
                <w:szCs w:val="24"/>
                <w14:textFill>
                  <w14:solidFill>
                    <w14:schemeClr w14:val="tx1"/>
                  </w14:solidFill>
                </w14:textFill>
              </w:rPr>
            </w:pPr>
          </w:p>
        </w:tc>
        <w:tc>
          <w:tcPr>
            <w:tcW w:w="5960" w:type="dxa"/>
            <w:vAlign w:val="center"/>
          </w:tcPr>
          <w:p>
            <w:pPr>
              <w:pStyle w:val="136"/>
              <w:spacing w:line="500" w:lineRule="exact"/>
              <w:ind w:left="216" w:leftChars="103" w:right="210" w:rightChars="100" w:firstLine="0" w:firstLineChars="0"/>
              <w:contextualSpacing/>
              <w:rPr>
                <w:rFonts w:hint="eastAsia"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lang w:val="en-US" w:eastAsia="zh-CN"/>
                <w14:textFill>
                  <w14:solidFill>
                    <w14:schemeClr w14:val="tx1"/>
                  </w14:solidFill>
                </w14:textFill>
              </w:rPr>
              <w:t>本项目落实中小微企业政策：</w:t>
            </w:r>
            <w:r>
              <w:rPr>
                <w:rFonts w:hint="eastAsia" w:ascii="宋体" w:hAnsi="宋体" w:cs="宋体"/>
                <w:b/>
                <w:color w:val="000000" w:themeColor="text1"/>
                <w:sz w:val="24"/>
                <w:szCs w:val="24"/>
                <w14:textFill>
                  <w14:solidFill>
                    <w14:schemeClr w14:val="tx1"/>
                  </w14:solidFill>
                </w14:textFill>
              </w:rPr>
              <w:t>1、给予</w:t>
            </w:r>
            <w:r>
              <w:rPr>
                <w:rFonts w:hint="eastAsia" w:ascii="宋体" w:hAnsi="宋体" w:cs="宋体"/>
                <w:b/>
                <w:color w:val="000000" w:themeColor="text1"/>
                <w:sz w:val="24"/>
                <w:szCs w:val="24"/>
                <w:lang w:val="en-US" w:eastAsia="zh-CN"/>
                <w14:textFill>
                  <w14:solidFill>
                    <w14:schemeClr w14:val="tx1"/>
                  </w14:solidFill>
                </w14:textFill>
              </w:rPr>
              <w:t>中</w:t>
            </w:r>
            <w:r>
              <w:rPr>
                <w:rFonts w:hint="eastAsia" w:ascii="宋体" w:hAnsi="宋体" w:cs="宋体"/>
                <w:b/>
                <w:color w:val="000000" w:themeColor="text1"/>
                <w:sz w:val="24"/>
                <w:szCs w:val="24"/>
                <w14:textFill>
                  <w14:solidFill>
                    <w14:schemeClr w14:val="tx1"/>
                  </w14:solidFill>
                </w14:textFill>
              </w:rPr>
              <w:t>小型和微型企业的价格给予6%-10%的扣除，用扣除后的价格参与评审，本项目具体扣除比例为6%。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7" w:hRule="atLeast"/>
          <w:jc w:val="center"/>
        </w:trPr>
        <w:tc>
          <w:tcPr>
            <w:tcW w:w="1012" w:type="dxa"/>
            <w:vAlign w:val="center"/>
          </w:tcPr>
          <w:p>
            <w:pPr>
              <w:pStyle w:val="93"/>
              <w:spacing w:line="500" w:lineRule="exact"/>
              <w:ind w:right="264"/>
              <w:contextualSpacing/>
              <w:jc w:val="center"/>
              <w:rPr>
                <w:b/>
                <w:color w:val="000000" w:themeColor="text1"/>
                <w14:textFill>
                  <w14:solidFill>
                    <w14:schemeClr w14:val="tx1"/>
                  </w14:solidFill>
                </w14:textFill>
              </w:rPr>
            </w:pPr>
            <w:r>
              <w:rPr>
                <w:rFonts w:hint="eastAsia"/>
                <w:b/>
                <w:color w:val="000000" w:themeColor="text1"/>
                <w14:textFill>
                  <w14:solidFill>
                    <w14:schemeClr w14:val="tx1"/>
                  </w14:solidFill>
                </w14:textFill>
              </w:rPr>
              <w:t>34</w:t>
            </w:r>
          </w:p>
        </w:tc>
        <w:tc>
          <w:tcPr>
            <w:tcW w:w="2523" w:type="dxa"/>
            <w:vAlign w:val="center"/>
          </w:tcPr>
          <w:p>
            <w:pPr>
              <w:spacing w:line="500" w:lineRule="exact"/>
              <w:contextualSpacing/>
              <w:jc w:val="center"/>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服务费</w:t>
            </w:r>
          </w:p>
        </w:tc>
        <w:tc>
          <w:tcPr>
            <w:tcW w:w="5960" w:type="dxa"/>
            <w:vAlign w:val="center"/>
          </w:tcPr>
          <w:p>
            <w:pPr>
              <w:pStyle w:val="136"/>
              <w:numPr>
                <w:ilvl w:val="0"/>
                <w:numId w:val="2"/>
              </w:numPr>
              <w:spacing w:line="500" w:lineRule="exact"/>
              <w:ind w:left="216" w:leftChars="103" w:right="210" w:rightChars="100" w:firstLine="0" w:firstLineChars="0"/>
              <w:contextualSpacing/>
              <w:rPr>
                <w:rFonts w:hint="eastAsia" w:ascii="宋体" w:hAnsi="宋体"/>
                <w:sz w:val="24"/>
                <w:szCs w:val="24"/>
              </w:rPr>
            </w:pPr>
            <w:r>
              <w:rPr>
                <w:rFonts w:hint="eastAsia" w:ascii="宋体" w:hAnsi="宋体"/>
                <w:sz w:val="24"/>
                <w:szCs w:val="24"/>
              </w:rPr>
              <w:t>招标代理服务费依照（计价格【2002】1980号文）的规定的取费标准计取；</w:t>
            </w:r>
          </w:p>
          <w:p>
            <w:pPr>
              <w:pStyle w:val="136"/>
              <w:numPr>
                <w:ilvl w:val="0"/>
                <w:numId w:val="2"/>
              </w:numPr>
              <w:spacing w:line="500" w:lineRule="exact"/>
              <w:ind w:left="216" w:leftChars="103" w:right="210" w:rightChars="100" w:firstLine="0" w:firstLineChars="0"/>
              <w:contextualSpacing/>
              <w:rPr>
                <w:rFonts w:hint="eastAsia" w:ascii="宋体" w:hAnsi="宋体"/>
                <w:sz w:val="24"/>
                <w:szCs w:val="24"/>
              </w:rPr>
            </w:pPr>
            <w:r>
              <w:rPr>
                <w:rFonts w:hint="eastAsia" w:hAnsi="宋体" w:cs="宋体"/>
                <w:color w:val="auto"/>
                <w:sz w:val="24"/>
                <w:highlight w:val="none"/>
                <w:lang w:val="zh-CN" w:eastAsia="zh-CN"/>
              </w:rPr>
              <w:t>场地费金额：供应商小于等于6家时，每家供应商应缴纳场地费1000元；供应商大于6家时，均摊6000元场地费。</w:t>
            </w:r>
          </w:p>
          <w:p>
            <w:pPr>
              <w:pStyle w:val="136"/>
              <w:numPr>
                <w:ilvl w:val="0"/>
                <w:numId w:val="2"/>
              </w:numPr>
              <w:spacing w:line="500" w:lineRule="exact"/>
              <w:ind w:left="216" w:leftChars="103" w:right="210" w:rightChars="100" w:firstLine="0" w:firstLineChars="0"/>
              <w:contextualSpacing/>
              <w:rPr>
                <w:rFonts w:hint="eastAsia" w:ascii="宋体" w:hAnsi="宋体"/>
                <w:sz w:val="24"/>
                <w:szCs w:val="24"/>
              </w:rPr>
            </w:pPr>
            <w:r>
              <w:rPr>
                <w:rFonts w:hint="eastAsia" w:hAnsi="宋体" w:cs="宋体"/>
                <w:color w:val="auto"/>
                <w:sz w:val="24"/>
                <w:highlight w:val="none"/>
                <w:lang w:val="en-US" w:eastAsia="zh-CN"/>
              </w:rPr>
              <w:t>公证费：由中标单位支付1000元公证费。</w:t>
            </w:r>
          </w:p>
        </w:tc>
      </w:tr>
      <w:bookmarkEnd w:id="3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7" w:hRule="atLeast"/>
          <w:jc w:val="center"/>
        </w:trPr>
        <w:tc>
          <w:tcPr>
            <w:tcW w:w="1012" w:type="dxa"/>
            <w:vAlign w:val="center"/>
          </w:tcPr>
          <w:p>
            <w:pPr>
              <w:pStyle w:val="93"/>
              <w:spacing w:line="500" w:lineRule="exact"/>
              <w:ind w:right="264"/>
              <w:contextualSpacing/>
              <w:jc w:val="center"/>
              <w:rPr>
                <w:b/>
                <w:color w:val="000000" w:themeColor="text1"/>
                <w14:textFill>
                  <w14:solidFill>
                    <w14:schemeClr w14:val="tx1"/>
                  </w14:solidFill>
                </w14:textFill>
              </w:rPr>
            </w:pPr>
            <w:r>
              <w:rPr>
                <w:rFonts w:hint="eastAsia"/>
                <w:b/>
                <w:color w:val="000000" w:themeColor="text1"/>
                <w14:textFill>
                  <w14:solidFill>
                    <w14:schemeClr w14:val="tx1"/>
                  </w14:solidFill>
                </w14:textFill>
              </w:rPr>
              <w:t>35</w:t>
            </w:r>
          </w:p>
        </w:tc>
        <w:tc>
          <w:tcPr>
            <w:tcW w:w="2523" w:type="dxa"/>
            <w:vAlign w:val="center"/>
          </w:tcPr>
          <w:p>
            <w:pPr>
              <w:spacing w:line="500" w:lineRule="exact"/>
              <w:contextualSpacing/>
              <w:jc w:val="center"/>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其它说明</w:t>
            </w:r>
          </w:p>
        </w:tc>
        <w:tc>
          <w:tcPr>
            <w:tcW w:w="5960" w:type="dxa"/>
            <w:vAlign w:val="center"/>
          </w:tcPr>
          <w:p>
            <w:pPr>
              <w:spacing w:line="500" w:lineRule="exact"/>
              <w:ind w:left="220" w:leftChars="104" w:right="210" w:rightChars="100" w:hanging="2"/>
              <w:contextualSpacing/>
              <w:rPr>
                <w:sz w:val="24"/>
                <w:szCs w:val="24"/>
              </w:rPr>
            </w:pPr>
            <w:r>
              <w:rPr>
                <w:rFonts w:hint="eastAsia"/>
                <w:sz w:val="24"/>
                <w:szCs w:val="24"/>
              </w:rPr>
              <w:t xml:space="preserve"> 特别提醒：</w:t>
            </w:r>
          </w:p>
          <w:p>
            <w:pPr>
              <w:numPr>
                <w:ilvl w:val="0"/>
                <w:numId w:val="3"/>
              </w:numPr>
              <w:spacing w:line="500" w:lineRule="exact"/>
              <w:ind w:left="210" w:right="210" w:rightChars="100" w:firstLine="210"/>
              <w:contextualSpacing/>
              <w:rPr>
                <w:sz w:val="24"/>
                <w:szCs w:val="24"/>
              </w:rPr>
            </w:pPr>
            <w:r>
              <w:rPr>
                <w:rFonts w:hint="eastAsia"/>
                <w:sz w:val="24"/>
                <w:szCs w:val="24"/>
              </w:rPr>
              <w:t>所有投标人的报价高于最高限价视为无效报价（即作否决投标处理）。</w:t>
            </w:r>
          </w:p>
          <w:p>
            <w:pPr>
              <w:numPr>
                <w:ilvl w:val="0"/>
                <w:numId w:val="3"/>
              </w:numPr>
              <w:spacing w:line="500" w:lineRule="exact"/>
              <w:ind w:left="210" w:right="210" w:rightChars="100" w:firstLine="210"/>
              <w:contextualSpacing/>
              <w:rPr>
                <w:rFonts w:hint="eastAsia"/>
                <w:sz w:val="24"/>
                <w:szCs w:val="24"/>
              </w:rPr>
            </w:pPr>
            <w:r>
              <w:rPr>
                <w:rFonts w:hint="eastAsia"/>
                <w:sz w:val="24"/>
                <w:szCs w:val="24"/>
                <w:lang w:val="en-US" w:eastAsia="zh-CN"/>
              </w:rPr>
              <w:t>本项目招标文件的答疑、澄清将在新疆政府采购网上发布，投标人在新疆政府采购网上发出澄清或修改通知即视为所有投标人收到该澄清或修改通知。请投标人每天自行登录新疆政府采购网查阅澄清或修改通知。</w:t>
            </w:r>
          </w:p>
          <w:p>
            <w:pPr>
              <w:numPr>
                <w:ilvl w:val="0"/>
                <w:numId w:val="3"/>
              </w:numPr>
              <w:spacing w:line="500" w:lineRule="exact"/>
              <w:ind w:left="210" w:right="210" w:rightChars="100" w:firstLine="210"/>
              <w:contextualSpacing/>
              <w:rPr>
                <w:rFonts w:hint="eastAsia"/>
                <w:sz w:val="24"/>
                <w:szCs w:val="24"/>
              </w:rPr>
            </w:pPr>
            <w:r>
              <w:rPr>
                <w:rFonts w:hint="eastAsia"/>
                <w:sz w:val="24"/>
                <w:szCs w:val="24"/>
                <w:lang w:val="en-US" w:eastAsia="zh-CN"/>
              </w:rPr>
              <w:t>本项目实行电子招投标，投标人须登录政采云平台申请获取招标文件，并需要使用CA锁，登录政采云电子投标客户端制作投标文件，若投标人参与投标,自行承担与投标有关的一切费用。</w:t>
            </w:r>
          </w:p>
          <w:p>
            <w:pPr>
              <w:numPr>
                <w:ilvl w:val="0"/>
                <w:numId w:val="3"/>
              </w:numPr>
              <w:spacing w:line="500" w:lineRule="exact"/>
              <w:ind w:left="210" w:right="210" w:rightChars="100" w:firstLine="210"/>
              <w:contextualSpacing/>
              <w:rPr>
                <w:rFonts w:hint="eastAsia"/>
                <w:sz w:val="24"/>
                <w:szCs w:val="24"/>
              </w:rPr>
            </w:pPr>
            <w:r>
              <w:rPr>
                <w:rFonts w:hint="eastAsia"/>
                <w:sz w:val="24"/>
                <w:szCs w:val="24"/>
                <w:lang w:val="en-US" w:eastAsia="zh-CN"/>
              </w:rPr>
              <w:t>各投标人应在开标前确保是新疆维吾尔自治区政府采购网正式注册入库的供应商，并完成CA数字证书申领。因未注册入库、未办理CA数字证书等原因造成无法投标或投标失败等后果的由投标人自行承担。</w:t>
            </w:r>
          </w:p>
          <w:p>
            <w:pPr>
              <w:numPr>
                <w:ilvl w:val="0"/>
                <w:numId w:val="3"/>
              </w:numPr>
              <w:spacing w:line="500" w:lineRule="exact"/>
              <w:ind w:left="210" w:right="210" w:rightChars="100" w:firstLine="210"/>
              <w:contextualSpacing/>
              <w:rPr>
                <w:rFonts w:hint="eastAsia"/>
                <w:sz w:val="24"/>
                <w:szCs w:val="24"/>
              </w:rPr>
            </w:pPr>
            <w:r>
              <w:rPr>
                <w:rFonts w:hint="eastAsia"/>
                <w:sz w:val="24"/>
                <w:szCs w:val="24"/>
                <w:lang w:val="en-US" w:eastAsia="zh-CN"/>
              </w:rPr>
              <w:t>投标人可前往新疆政府采购网（http://www.ccgp-xinjiang.gov.cn/）下载专区，下载政采云电子投标客户端，安装完成后，可通过账号密码或CA登录客户端进行响应文件制作。在使用政采云电子投标客户端时，建议使用WIN7及以上操作系统。如有问题可拨打政采云客户服务热线400-881-7190进行咨询。</w:t>
            </w:r>
          </w:p>
          <w:p>
            <w:pPr>
              <w:numPr>
                <w:ilvl w:val="0"/>
                <w:numId w:val="3"/>
              </w:numPr>
              <w:spacing w:line="500" w:lineRule="exact"/>
              <w:ind w:left="210" w:right="210" w:rightChars="100" w:firstLine="210"/>
              <w:contextualSpacing/>
              <w:rPr>
                <w:rFonts w:hint="eastAsia"/>
                <w:sz w:val="24"/>
                <w:szCs w:val="24"/>
              </w:rPr>
            </w:pPr>
            <w:r>
              <w:rPr>
                <w:rFonts w:hint="eastAsia"/>
                <w:sz w:val="24"/>
                <w:szCs w:val="24"/>
                <w:lang w:val="en-US" w:eastAsia="zh-CN"/>
              </w:rPr>
              <w:t>投标人在开标时须携带制作加密电子投标文件所使用的CA锁，电脑须提前配置好浏览器（建议使用360浏览器或谷歌浏览器），以便开标时在线解密。</w:t>
            </w:r>
          </w:p>
          <w:p>
            <w:pPr>
              <w:numPr>
                <w:ilvl w:val="0"/>
                <w:numId w:val="3"/>
              </w:numPr>
              <w:spacing w:line="500" w:lineRule="exact"/>
              <w:ind w:left="210" w:right="210" w:rightChars="100" w:firstLine="210"/>
              <w:contextualSpacing/>
              <w:rPr>
                <w:rFonts w:hint="eastAsia"/>
                <w:sz w:val="24"/>
                <w:szCs w:val="24"/>
              </w:rPr>
            </w:pPr>
            <w:r>
              <w:rPr>
                <w:rFonts w:hint="eastAsia"/>
                <w:sz w:val="24"/>
                <w:szCs w:val="24"/>
                <w:lang w:val="en-US" w:eastAsia="zh-CN"/>
              </w:rPr>
              <w:t>投标人应当在投标截止时间前，将生成的“电子加密投标文件”上传递交至“政府采购云平台”，投标截止时间以后上传递交的投标文件将被“政府采购云平台”拒收。</w:t>
            </w:r>
          </w:p>
          <w:p>
            <w:pPr>
              <w:numPr>
                <w:ilvl w:val="0"/>
                <w:numId w:val="3"/>
              </w:numPr>
              <w:spacing w:line="500" w:lineRule="exact"/>
              <w:ind w:left="210" w:right="210" w:rightChars="100" w:firstLine="210"/>
              <w:contextualSpacing/>
              <w:rPr>
                <w:rFonts w:hint="eastAsia"/>
                <w:sz w:val="24"/>
                <w:szCs w:val="24"/>
              </w:rPr>
            </w:pPr>
            <w:r>
              <w:rPr>
                <w:rFonts w:hint="eastAsia"/>
                <w:sz w:val="24"/>
                <w:szCs w:val="24"/>
                <w:lang w:val="en-US" w:eastAsia="zh-CN"/>
              </w:rPr>
              <w:t>本项目投标文件解密时间定为30分钟，如因自身原因导致无法正常解密，后果由投标人自行承担。</w:t>
            </w:r>
          </w:p>
          <w:p>
            <w:pPr>
              <w:numPr>
                <w:ilvl w:val="0"/>
                <w:numId w:val="3"/>
              </w:numPr>
              <w:spacing w:line="500" w:lineRule="exact"/>
              <w:ind w:left="210" w:right="210" w:rightChars="100" w:firstLine="210"/>
              <w:contextualSpacing/>
              <w:rPr>
                <w:sz w:val="24"/>
                <w:szCs w:val="24"/>
              </w:rPr>
            </w:pPr>
            <w:r>
              <w:rPr>
                <w:rFonts w:hint="eastAsia"/>
                <w:sz w:val="24"/>
                <w:szCs w:val="24"/>
                <w:lang w:val="en-US" w:eastAsia="zh-CN"/>
              </w:rPr>
              <w:t>投标企业下载招标文件后请仔细阅读，如对招标文件内容有质疑，投标人应在招标文件规定的质疑及澄清时间内以书面形式通知招标人。招标人认为必要时，将（澄清）修改后的公告发布在新疆政府采购网，敬请投标企业及时关注。在规定期限内投标企业未提出质疑的视为投标企业默认招标文件不存在质疑的相关问题。超过招标文件质疑时间将不再接受投标企业所提出的质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5" w:hRule="atLeast"/>
          <w:jc w:val="center"/>
        </w:trPr>
        <w:tc>
          <w:tcPr>
            <w:tcW w:w="9495" w:type="dxa"/>
            <w:gridSpan w:val="3"/>
            <w:vAlign w:val="center"/>
          </w:tcPr>
          <w:p>
            <w:pPr>
              <w:numPr>
                <w:ilvl w:val="0"/>
                <w:numId w:val="0"/>
              </w:numPr>
              <w:spacing w:line="500" w:lineRule="exact"/>
              <w:ind w:right="210" w:rightChars="100"/>
              <w:contextualSpacing/>
              <w:rPr>
                <w:rFonts w:hint="default"/>
                <w:sz w:val="24"/>
                <w:szCs w:val="24"/>
                <w:lang w:val="en-US" w:eastAsia="zh-CN"/>
              </w:rPr>
            </w:pPr>
            <w:r>
              <w:rPr>
                <w:rFonts w:hint="eastAsia"/>
                <w:b/>
                <w:bCs/>
                <w:sz w:val="24"/>
                <w:szCs w:val="24"/>
                <w:lang w:val="en-US" w:eastAsia="zh-CN"/>
              </w:rPr>
              <w:t>注：招标文件中有不一致入以投标须知为准。</w:t>
            </w:r>
          </w:p>
        </w:tc>
      </w:tr>
    </w:tbl>
    <w:p>
      <w:pPr>
        <w:pStyle w:val="6"/>
        <w:spacing w:line="500" w:lineRule="exact"/>
        <w:contextualSpacing/>
        <w:jc w:val="center"/>
        <w:rPr>
          <w:rFonts w:ascii="宋体" w:hAnsi="宋体" w:cs="宋体"/>
          <w:b w:val="0"/>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br w:type="page"/>
      </w:r>
      <w:bookmarkEnd w:id="16"/>
      <w:bookmarkEnd w:id="17"/>
      <w:bookmarkEnd w:id="18"/>
      <w:bookmarkEnd w:id="19"/>
      <w:bookmarkStart w:id="39" w:name="_Toc487728200"/>
      <w:bookmarkStart w:id="40" w:name="_Toc217446033"/>
      <w:bookmarkStart w:id="41" w:name="_Toc183582204"/>
      <w:bookmarkStart w:id="42" w:name="_Toc89075873"/>
      <w:bookmarkStart w:id="43" w:name="_Toc7379"/>
      <w:bookmarkStart w:id="44" w:name="_Toc183682341"/>
      <w:bookmarkStart w:id="45" w:name="_Toc8406"/>
      <w:bookmarkStart w:id="46" w:name="_Toc406749971"/>
      <w:bookmarkStart w:id="47" w:name="_Toc14978"/>
      <w:bookmarkStart w:id="48" w:name="_Toc77400778"/>
      <w:r>
        <w:rPr>
          <w:rStyle w:val="50"/>
          <w:rFonts w:hint="eastAsia" w:ascii="宋体" w:hAnsi="宋体" w:cs="宋体"/>
          <w:b/>
          <w:color w:val="000000" w:themeColor="text1"/>
          <w:sz w:val="24"/>
          <w:szCs w:val="24"/>
          <w14:textFill>
            <w14:solidFill>
              <w14:schemeClr w14:val="tx1"/>
            </w14:solidFill>
          </w14:textFill>
        </w:rPr>
        <w:t>一、总则</w:t>
      </w:r>
      <w:bookmarkEnd w:id="39"/>
      <w:bookmarkEnd w:id="40"/>
      <w:bookmarkEnd w:id="41"/>
      <w:bookmarkEnd w:id="42"/>
      <w:bookmarkEnd w:id="43"/>
      <w:bookmarkEnd w:id="44"/>
      <w:bookmarkEnd w:id="45"/>
      <w:bookmarkEnd w:id="46"/>
      <w:bookmarkEnd w:id="47"/>
      <w:bookmarkEnd w:id="48"/>
    </w:p>
    <w:p>
      <w:pPr>
        <w:spacing w:line="500" w:lineRule="exact"/>
        <w:contextualSpacing/>
        <w:rPr>
          <w:rFonts w:ascii="宋体" w:hAnsi="宋体" w:cs="宋体"/>
          <w:b/>
          <w:color w:val="000000" w:themeColor="text1"/>
          <w:sz w:val="24"/>
          <w:szCs w:val="24"/>
          <w14:textFill>
            <w14:solidFill>
              <w14:schemeClr w14:val="tx1"/>
            </w14:solidFill>
          </w14:textFill>
        </w:rPr>
      </w:pPr>
      <w:bookmarkStart w:id="49" w:name="_Toc183582205"/>
      <w:bookmarkStart w:id="50" w:name="_Toc183682342"/>
      <w:bookmarkStart w:id="51" w:name="_Toc217446034"/>
      <w:r>
        <w:rPr>
          <w:rFonts w:hint="eastAsia" w:ascii="宋体" w:hAnsi="宋体" w:cs="宋体"/>
          <w:b/>
          <w:color w:val="000000" w:themeColor="text1"/>
          <w:sz w:val="24"/>
          <w:szCs w:val="24"/>
          <w14:textFill>
            <w14:solidFill>
              <w14:schemeClr w14:val="tx1"/>
            </w14:solidFill>
          </w14:textFill>
        </w:rPr>
        <w:t>1.</w:t>
      </w:r>
      <w:bookmarkEnd w:id="49"/>
      <w:bookmarkEnd w:id="50"/>
      <w:r>
        <w:rPr>
          <w:rFonts w:hint="eastAsia" w:ascii="宋体" w:hAnsi="宋体" w:cs="宋体"/>
          <w:b/>
          <w:color w:val="000000" w:themeColor="text1"/>
          <w:sz w:val="24"/>
          <w:szCs w:val="24"/>
          <w14:textFill>
            <w14:solidFill>
              <w14:schemeClr w14:val="tx1"/>
            </w14:solidFill>
          </w14:textFill>
        </w:rPr>
        <w:t>适用范围</w:t>
      </w:r>
      <w:bookmarkEnd w:id="51"/>
    </w:p>
    <w:p>
      <w:pPr>
        <w:tabs>
          <w:tab w:val="left" w:pos="7665"/>
        </w:tabs>
        <w:spacing w:line="500" w:lineRule="exact"/>
        <w:ind w:firstLine="480" w:firstLineChars="200"/>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1.1 本招标文件仅适用于本次公开招标所叙述的货物和服务项目采购。</w:t>
      </w:r>
    </w:p>
    <w:p>
      <w:pPr>
        <w:spacing w:line="500" w:lineRule="exact"/>
        <w:contextualSpacing/>
        <w:rPr>
          <w:rFonts w:ascii="宋体" w:hAnsi="宋体" w:cs="宋体"/>
          <w:b/>
          <w:color w:val="000000" w:themeColor="text1"/>
          <w:sz w:val="24"/>
          <w:szCs w:val="24"/>
          <w14:textFill>
            <w14:solidFill>
              <w14:schemeClr w14:val="tx1"/>
            </w14:solidFill>
          </w14:textFill>
        </w:rPr>
      </w:pPr>
      <w:bookmarkStart w:id="52" w:name="_Toc183682343"/>
      <w:bookmarkStart w:id="53" w:name="_Toc183582206"/>
      <w:bookmarkStart w:id="54" w:name="_Toc217446035"/>
      <w:r>
        <w:rPr>
          <w:rFonts w:hint="eastAsia" w:ascii="宋体" w:hAnsi="宋体" w:cs="宋体"/>
          <w:b/>
          <w:color w:val="000000" w:themeColor="text1"/>
          <w:sz w:val="24"/>
          <w:szCs w:val="24"/>
          <w14:textFill>
            <w14:solidFill>
              <w14:schemeClr w14:val="tx1"/>
            </w14:solidFill>
          </w14:textFill>
        </w:rPr>
        <w:t xml:space="preserve">2. </w:t>
      </w:r>
      <w:bookmarkEnd w:id="52"/>
      <w:bookmarkEnd w:id="53"/>
      <w:r>
        <w:rPr>
          <w:rFonts w:hint="eastAsia" w:ascii="宋体" w:hAnsi="宋体" w:cs="宋体"/>
          <w:b/>
          <w:color w:val="000000" w:themeColor="text1"/>
          <w:sz w:val="24"/>
          <w:szCs w:val="24"/>
          <w14:textFill>
            <w14:solidFill>
              <w14:schemeClr w14:val="tx1"/>
            </w14:solidFill>
          </w14:textFill>
        </w:rPr>
        <w:t>有关定义</w:t>
      </w:r>
      <w:bookmarkEnd w:id="54"/>
    </w:p>
    <w:p>
      <w:pPr>
        <w:tabs>
          <w:tab w:val="left" w:pos="7665"/>
        </w:tabs>
        <w:spacing w:line="500" w:lineRule="exact"/>
        <w:ind w:firstLine="480" w:firstLineChars="200"/>
        <w:contextualSpacing/>
        <w:rPr>
          <w:rFonts w:ascii="宋体" w:hAnsi="宋体" w:cs="宋体"/>
          <w:color w:val="000000" w:themeColor="text1"/>
          <w:sz w:val="24"/>
          <w:szCs w:val="24"/>
          <w:u w:val="single"/>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2.1 “采购人”系指依法进行政府采购的国家机关、事业单位、团体组织。本次招标的采购人是</w:t>
      </w:r>
      <w:r>
        <w:rPr>
          <w:rFonts w:hint="eastAsia" w:ascii="宋体" w:hAnsi="宋体" w:cs="宋体"/>
          <w:color w:val="000000" w:themeColor="text1"/>
          <w:sz w:val="24"/>
          <w:szCs w:val="24"/>
          <w:lang w:val="en-US" w:eastAsia="zh-CN"/>
          <w14:textFill>
            <w14:solidFill>
              <w14:schemeClr w14:val="tx1"/>
            </w14:solidFill>
          </w14:textFill>
        </w:rPr>
        <w:t>新疆维吾尔自治区阿克苏职业技术学院</w:t>
      </w:r>
      <w:r>
        <w:rPr>
          <w:rFonts w:hint="eastAsia" w:ascii="宋体" w:hAnsi="宋体" w:cs="宋体"/>
          <w:color w:val="000000" w:themeColor="text1"/>
          <w:sz w:val="24"/>
          <w:szCs w:val="24"/>
          <w14:textFill>
            <w14:solidFill>
              <w14:schemeClr w14:val="tx1"/>
            </w14:solidFill>
          </w14:textFill>
        </w:rPr>
        <w:t>。</w:t>
      </w:r>
    </w:p>
    <w:p>
      <w:pPr>
        <w:tabs>
          <w:tab w:val="left" w:pos="7665"/>
        </w:tabs>
        <w:spacing w:line="500" w:lineRule="exact"/>
        <w:ind w:firstLine="480" w:firstLineChars="200"/>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2.2 “采购代理机构”系指根据采购人的委托依法办理招标事宜的采购机构。本次招标的采购代理机构是新疆领会项目管理有限公司（简称“招标人”）。</w:t>
      </w:r>
    </w:p>
    <w:p>
      <w:pPr>
        <w:tabs>
          <w:tab w:val="left" w:pos="7665"/>
        </w:tabs>
        <w:spacing w:line="500" w:lineRule="exact"/>
        <w:ind w:firstLine="480" w:firstLineChars="200"/>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2.3 “招标采购单位”系指“采购人”和“采购代理机构”的统称。</w:t>
      </w:r>
    </w:p>
    <w:p>
      <w:pPr>
        <w:tabs>
          <w:tab w:val="left" w:pos="7665"/>
        </w:tabs>
        <w:spacing w:line="500" w:lineRule="exact"/>
        <w:ind w:firstLine="480" w:firstLineChars="200"/>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2.4 “投标人”系指购买了招标文件拟参加投标和向采购人提供货物及相应服务的供应商。</w:t>
      </w:r>
    </w:p>
    <w:p>
      <w:pPr>
        <w:tabs>
          <w:tab w:val="left" w:pos="7665"/>
        </w:tabs>
        <w:spacing w:line="500" w:lineRule="exact"/>
        <w:ind w:firstLine="480" w:firstLineChars="200"/>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2.5 “中标方”系指经评标委员会评定后得分最高并由评标委员会推荐的投标人。</w:t>
      </w:r>
    </w:p>
    <w:p>
      <w:pPr>
        <w:tabs>
          <w:tab w:val="left" w:pos="7665"/>
        </w:tabs>
        <w:spacing w:line="500" w:lineRule="exact"/>
        <w:ind w:firstLine="480" w:firstLineChars="200"/>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2.6 “货物”、“产品”指本招标文件中第三章《采购货物清单及技术参数》所述所有货物及相关服务。</w:t>
      </w:r>
    </w:p>
    <w:p>
      <w:pPr>
        <w:tabs>
          <w:tab w:val="left" w:pos="7665"/>
        </w:tabs>
        <w:spacing w:line="500" w:lineRule="exact"/>
        <w:ind w:firstLine="480" w:firstLineChars="200"/>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2.7  “服务”系指招标文件中规定投标人须承担的质保、技术协助、培训及其他类似的责任。</w:t>
      </w:r>
    </w:p>
    <w:p>
      <w:pPr>
        <w:tabs>
          <w:tab w:val="left" w:pos="7665"/>
        </w:tabs>
        <w:spacing w:line="500" w:lineRule="exact"/>
        <w:ind w:firstLine="480" w:firstLineChars="200"/>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2.8  “响应”系指投标人根据招标代理机构发布的招标文件，编制投标文件并按规定投标的行为。</w:t>
      </w:r>
    </w:p>
    <w:p>
      <w:pPr>
        <w:tabs>
          <w:tab w:val="left" w:pos="7665"/>
        </w:tabs>
        <w:spacing w:line="500" w:lineRule="exact"/>
        <w:ind w:firstLine="480" w:firstLineChars="200"/>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2.9  “标段（包）”系指一个完整独立的投标项目。</w:t>
      </w:r>
    </w:p>
    <w:p>
      <w:pPr>
        <w:spacing w:line="500" w:lineRule="exact"/>
        <w:contextualSpacing/>
        <w:rPr>
          <w:rFonts w:ascii="宋体" w:hAnsi="宋体" w:cs="宋体"/>
          <w:b/>
          <w:color w:val="000000" w:themeColor="text1"/>
          <w:sz w:val="24"/>
          <w:szCs w:val="24"/>
          <w14:textFill>
            <w14:solidFill>
              <w14:schemeClr w14:val="tx1"/>
            </w14:solidFill>
          </w14:textFill>
        </w:rPr>
      </w:pPr>
      <w:bookmarkStart w:id="55" w:name="_Toc217446036"/>
      <w:bookmarkStart w:id="56" w:name="_Toc183582207"/>
      <w:bookmarkStart w:id="57" w:name="_Toc217390843"/>
      <w:bookmarkStart w:id="58" w:name="_Toc183682344"/>
      <w:r>
        <w:rPr>
          <w:rFonts w:hint="eastAsia" w:ascii="宋体" w:hAnsi="宋体" w:cs="宋体"/>
          <w:b/>
          <w:color w:val="000000" w:themeColor="text1"/>
          <w:sz w:val="24"/>
          <w:szCs w:val="24"/>
          <w14:textFill>
            <w14:solidFill>
              <w14:schemeClr w14:val="tx1"/>
            </w14:solidFill>
          </w14:textFill>
        </w:rPr>
        <w:t>3. 合格的投标人</w:t>
      </w:r>
      <w:bookmarkEnd w:id="55"/>
      <w:bookmarkEnd w:id="56"/>
      <w:bookmarkEnd w:id="57"/>
      <w:bookmarkEnd w:id="58"/>
    </w:p>
    <w:p>
      <w:pPr>
        <w:tabs>
          <w:tab w:val="left" w:pos="7665"/>
        </w:tabs>
        <w:spacing w:line="500" w:lineRule="exact"/>
        <w:ind w:firstLine="480" w:firstLineChars="200"/>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合格的投标人应具备以下条件：</w:t>
      </w:r>
    </w:p>
    <w:p>
      <w:pPr>
        <w:tabs>
          <w:tab w:val="left" w:pos="7665"/>
        </w:tabs>
        <w:spacing w:line="500" w:lineRule="exact"/>
        <w:ind w:firstLine="480" w:firstLineChars="200"/>
        <w:contextualSpacing/>
        <w:rPr>
          <w:rFonts w:ascii="宋体" w:hAnsi="宋体" w:cs="宋体"/>
          <w:color w:val="000000" w:themeColor="text1"/>
          <w:spacing w:val="-4"/>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（1）具备“招标公告”第九条的基本条件</w:t>
      </w:r>
      <w:r>
        <w:rPr>
          <w:rFonts w:hint="eastAsia" w:ascii="宋体" w:hAnsi="宋体" w:cs="宋体"/>
          <w:color w:val="000000" w:themeColor="text1"/>
          <w:spacing w:val="-4"/>
          <w:sz w:val="24"/>
          <w:szCs w:val="24"/>
          <w14:textFill>
            <w14:solidFill>
              <w14:schemeClr w14:val="tx1"/>
            </w14:solidFill>
          </w14:textFill>
        </w:rPr>
        <w:t>；</w:t>
      </w:r>
    </w:p>
    <w:p>
      <w:pPr>
        <w:tabs>
          <w:tab w:val="left" w:pos="7665"/>
        </w:tabs>
        <w:spacing w:line="500" w:lineRule="exact"/>
        <w:ind w:firstLine="480" w:firstLineChars="200"/>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（2）向采购代理机构购买了招标文件并登记备案；</w:t>
      </w:r>
    </w:p>
    <w:p>
      <w:pPr>
        <w:tabs>
          <w:tab w:val="left" w:pos="7665"/>
        </w:tabs>
        <w:spacing w:line="500" w:lineRule="exact"/>
        <w:ind w:firstLine="426"/>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（3）遵守国家有关的法律、法规和条例；</w:t>
      </w:r>
    </w:p>
    <w:p>
      <w:pPr>
        <w:tabs>
          <w:tab w:val="left" w:pos="7665"/>
        </w:tabs>
        <w:spacing w:line="500" w:lineRule="exact"/>
        <w:ind w:firstLine="426"/>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（4）招标文件和法律、行政法规规定的其他条件。</w:t>
      </w:r>
    </w:p>
    <w:p>
      <w:pPr>
        <w:spacing w:line="500" w:lineRule="exact"/>
        <w:contextualSpacing/>
        <w:rPr>
          <w:rFonts w:ascii="宋体" w:hAnsi="宋体" w:cs="宋体"/>
          <w:b/>
          <w:color w:val="000000" w:themeColor="text1"/>
          <w:sz w:val="24"/>
          <w:szCs w:val="24"/>
          <w14:textFill>
            <w14:solidFill>
              <w14:schemeClr w14:val="tx1"/>
            </w14:solidFill>
          </w14:textFill>
        </w:rPr>
      </w:pPr>
      <w:bookmarkStart w:id="59" w:name="_Toc217446037"/>
      <w:bookmarkStart w:id="60" w:name="_Toc183582208"/>
      <w:bookmarkStart w:id="61" w:name="_Toc183682345"/>
      <w:r>
        <w:rPr>
          <w:rFonts w:hint="eastAsia" w:ascii="宋体" w:hAnsi="宋体" w:cs="宋体"/>
          <w:b/>
          <w:color w:val="000000" w:themeColor="text1"/>
          <w:sz w:val="24"/>
          <w:szCs w:val="24"/>
          <w14:textFill>
            <w14:solidFill>
              <w14:schemeClr w14:val="tx1"/>
            </w14:solidFill>
          </w14:textFill>
        </w:rPr>
        <w:t>4. 投标费用</w:t>
      </w:r>
      <w:bookmarkEnd w:id="59"/>
      <w:bookmarkEnd w:id="60"/>
      <w:bookmarkEnd w:id="61"/>
    </w:p>
    <w:p>
      <w:pPr>
        <w:tabs>
          <w:tab w:val="left" w:pos="7665"/>
        </w:tabs>
        <w:spacing w:line="500" w:lineRule="exact"/>
        <w:ind w:firstLine="405"/>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投标人参加投标的有关费用由投标人自行承担。</w:t>
      </w:r>
    </w:p>
    <w:p>
      <w:pPr>
        <w:pStyle w:val="5"/>
        <w:spacing w:line="500" w:lineRule="exact"/>
        <w:contextualSpacing/>
        <w:rPr>
          <w:rFonts w:ascii="宋体" w:hAnsi="宋体" w:cs="宋体"/>
          <w:color w:val="000000" w:themeColor="text1"/>
          <w:sz w:val="24"/>
          <w:szCs w:val="24"/>
          <w14:textFill>
            <w14:solidFill>
              <w14:schemeClr w14:val="tx1"/>
            </w14:solidFill>
          </w14:textFill>
        </w:rPr>
      </w:pPr>
      <w:bookmarkStart w:id="62" w:name="_Toc217446038"/>
      <w:bookmarkStart w:id="63" w:name="_Toc1701"/>
      <w:bookmarkStart w:id="64" w:name="_Toc9564"/>
      <w:bookmarkStart w:id="65" w:name="_Toc406749972"/>
      <w:bookmarkStart w:id="66" w:name="_Toc77400779"/>
      <w:bookmarkStart w:id="67" w:name="_Toc183682346"/>
      <w:bookmarkStart w:id="68" w:name="_Toc10535"/>
      <w:bookmarkStart w:id="69" w:name="_Toc183582209"/>
      <w:bookmarkStart w:id="70" w:name="_Toc89075875"/>
      <w:bookmarkStart w:id="71" w:name="_Toc487728201"/>
      <w:r>
        <w:rPr>
          <w:rFonts w:hint="eastAsia" w:ascii="宋体" w:hAnsi="宋体" w:cs="宋体"/>
          <w:color w:val="000000" w:themeColor="text1"/>
          <w:sz w:val="24"/>
          <w:szCs w:val="24"/>
          <w14:textFill>
            <w14:solidFill>
              <w14:schemeClr w14:val="tx1"/>
            </w14:solidFill>
          </w14:textFill>
        </w:rPr>
        <w:t>二、招标文件</w:t>
      </w:r>
      <w:bookmarkEnd w:id="62"/>
      <w:bookmarkEnd w:id="63"/>
      <w:bookmarkEnd w:id="64"/>
      <w:bookmarkEnd w:id="65"/>
      <w:bookmarkEnd w:id="66"/>
      <w:bookmarkEnd w:id="67"/>
      <w:bookmarkEnd w:id="68"/>
      <w:bookmarkEnd w:id="69"/>
      <w:bookmarkEnd w:id="70"/>
      <w:bookmarkEnd w:id="71"/>
    </w:p>
    <w:p>
      <w:pPr>
        <w:spacing w:line="500" w:lineRule="exact"/>
        <w:contextualSpacing/>
        <w:rPr>
          <w:rFonts w:ascii="宋体" w:hAnsi="宋体" w:cs="宋体"/>
          <w:b/>
          <w:color w:val="000000" w:themeColor="text1"/>
          <w:sz w:val="24"/>
          <w:szCs w:val="24"/>
          <w14:textFill>
            <w14:solidFill>
              <w14:schemeClr w14:val="tx1"/>
            </w14:solidFill>
          </w14:textFill>
        </w:rPr>
      </w:pPr>
      <w:bookmarkStart w:id="72" w:name="_Toc183582210"/>
      <w:bookmarkStart w:id="73" w:name="_Toc183682347"/>
      <w:bookmarkStart w:id="74" w:name="_Toc217446039"/>
      <w:r>
        <w:rPr>
          <w:rFonts w:hint="eastAsia" w:ascii="宋体" w:hAnsi="宋体" w:cs="宋体"/>
          <w:b/>
          <w:color w:val="000000" w:themeColor="text1"/>
          <w:sz w:val="24"/>
          <w:szCs w:val="24"/>
          <w14:textFill>
            <w14:solidFill>
              <w14:schemeClr w14:val="tx1"/>
            </w14:solidFill>
          </w14:textFill>
        </w:rPr>
        <w:t>5．招标文件的构成</w:t>
      </w:r>
      <w:bookmarkEnd w:id="72"/>
      <w:bookmarkEnd w:id="73"/>
      <w:bookmarkEnd w:id="74"/>
    </w:p>
    <w:p>
      <w:pPr>
        <w:tabs>
          <w:tab w:val="left" w:pos="7665"/>
        </w:tabs>
        <w:spacing w:line="500" w:lineRule="exact"/>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5</w:t>
      </w:r>
      <w:r>
        <w:rPr>
          <w:rFonts w:hint="eastAsia" w:ascii="宋体" w:hAnsi="宋体" w:cs="宋体"/>
          <w:b/>
          <w:bCs/>
          <w:color w:val="000000" w:themeColor="text1"/>
          <w:sz w:val="24"/>
          <w:szCs w:val="24"/>
          <w14:textFill>
            <w14:solidFill>
              <w14:schemeClr w14:val="tx1"/>
            </w14:solidFill>
          </w14:textFill>
        </w:rPr>
        <w:t>.</w:t>
      </w:r>
      <w:r>
        <w:rPr>
          <w:rFonts w:hint="eastAsia" w:ascii="宋体" w:hAnsi="宋体" w:cs="宋体"/>
          <w:color w:val="000000" w:themeColor="text1"/>
          <w:sz w:val="24"/>
          <w:szCs w:val="24"/>
          <w14:textFill>
            <w14:solidFill>
              <w14:schemeClr w14:val="tx1"/>
            </w14:solidFill>
          </w14:textFill>
        </w:rPr>
        <w:t>1 招标文件用以阐明招标项目所需的资质、技术、服务及报价等要求、招标投标程序、有关规定和注意事项以及合同主要条款等。本招标文件包括以下内容：</w:t>
      </w:r>
    </w:p>
    <w:p>
      <w:pPr>
        <w:tabs>
          <w:tab w:val="left" w:pos="7665"/>
        </w:tabs>
        <w:spacing w:line="500" w:lineRule="exact"/>
        <w:ind w:firstLine="480" w:firstLineChars="200"/>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（1）招标公告；</w:t>
      </w:r>
    </w:p>
    <w:p>
      <w:pPr>
        <w:tabs>
          <w:tab w:val="left" w:pos="7665"/>
        </w:tabs>
        <w:spacing w:line="500" w:lineRule="exact"/>
        <w:ind w:firstLine="480" w:firstLineChars="200"/>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（2）投标人须知及前附表；</w:t>
      </w:r>
    </w:p>
    <w:p>
      <w:pPr>
        <w:tabs>
          <w:tab w:val="left" w:pos="7665"/>
        </w:tabs>
        <w:spacing w:line="500" w:lineRule="exact"/>
        <w:ind w:firstLine="480" w:firstLineChars="200"/>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（3）采购清单及技术参数；</w:t>
      </w:r>
    </w:p>
    <w:p>
      <w:pPr>
        <w:tabs>
          <w:tab w:val="left" w:pos="7665"/>
        </w:tabs>
        <w:spacing w:line="500" w:lineRule="exact"/>
        <w:ind w:firstLine="480" w:firstLineChars="200"/>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（4）合同条款；</w:t>
      </w:r>
    </w:p>
    <w:p>
      <w:pPr>
        <w:tabs>
          <w:tab w:val="left" w:pos="7665"/>
        </w:tabs>
        <w:spacing w:line="500" w:lineRule="exact"/>
        <w:ind w:firstLine="480" w:firstLineChars="200"/>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（5）评标办法；</w:t>
      </w:r>
    </w:p>
    <w:p>
      <w:pPr>
        <w:tabs>
          <w:tab w:val="left" w:pos="7665"/>
        </w:tabs>
        <w:spacing w:line="500" w:lineRule="exact"/>
        <w:ind w:firstLine="480" w:firstLineChars="200"/>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（6）投标文件格式要求；</w:t>
      </w:r>
    </w:p>
    <w:p>
      <w:pPr>
        <w:tabs>
          <w:tab w:val="left" w:pos="7665"/>
        </w:tabs>
        <w:spacing w:line="500" w:lineRule="exact"/>
        <w:ind w:firstLine="480" w:firstLineChars="200"/>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5</w:t>
      </w:r>
      <w:r>
        <w:rPr>
          <w:rFonts w:hint="eastAsia" w:ascii="宋体" w:hAnsi="宋体" w:cs="宋体"/>
          <w:b/>
          <w:bCs/>
          <w:color w:val="000000" w:themeColor="text1"/>
          <w:sz w:val="24"/>
          <w:szCs w:val="24"/>
          <w14:textFill>
            <w14:solidFill>
              <w14:schemeClr w14:val="tx1"/>
            </w14:solidFill>
          </w14:textFill>
        </w:rPr>
        <w:t>.</w:t>
      </w:r>
      <w:r>
        <w:rPr>
          <w:rFonts w:hint="eastAsia" w:ascii="宋体" w:hAnsi="宋体" w:cs="宋体"/>
          <w:color w:val="000000" w:themeColor="text1"/>
          <w:sz w:val="24"/>
          <w:szCs w:val="24"/>
          <w14:textFill>
            <w14:solidFill>
              <w14:schemeClr w14:val="tx1"/>
            </w14:solidFill>
          </w14:textFill>
        </w:rPr>
        <w:t>2 投标人应认真阅读和充分理解招标文件中所有的事项、格式条款和规范要求。投标人没有对招标文件全面做出实质性响应是投标人的风险。没有按照招标文件要求作出实质性响应的投标文件将被拒绝。</w:t>
      </w:r>
    </w:p>
    <w:p>
      <w:pPr>
        <w:spacing w:line="500" w:lineRule="exact"/>
        <w:contextualSpacing/>
        <w:rPr>
          <w:rFonts w:ascii="宋体" w:hAnsi="宋体" w:cs="宋体"/>
          <w:b/>
          <w:color w:val="000000" w:themeColor="text1"/>
          <w:sz w:val="24"/>
          <w:szCs w:val="24"/>
          <w14:textFill>
            <w14:solidFill>
              <w14:schemeClr w14:val="tx1"/>
            </w14:solidFill>
          </w14:textFill>
        </w:rPr>
      </w:pPr>
      <w:bookmarkStart w:id="75" w:name="_Toc183582211"/>
      <w:bookmarkStart w:id="76" w:name="_Toc183682348"/>
      <w:bookmarkStart w:id="77" w:name="_Toc217446040"/>
      <w:r>
        <w:rPr>
          <w:rFonts w:hint="eastAsia" w:ascii="宋体" w:hAnsi="宋体" w:cs="宋体"/>
          <w:b/>
          <w:color w:val="000000" w:themeColor="text1"/>
          <w:sz w:val="24"/>
          <w:szCs w:val="24"/>
          <w14:textFill>
            <w14:solidFill>
              <w14:schemeClr w14:val="tx1"/>
            </w14:solidFill>
          </w14:textFill>
        </w:rPr>
        <w:t>6. 招标文件的澄清</w:t>
      </w:r>
      <w:bookmarkEnd w:id="75"/>
      <w:bookmarkEnd w:id="76"/>
      <w:r>
        <w:rPr>
          <w:rFonts w:hint="eastAsia" w:ascii="宋体" w:hAnsi="宋体" w:cs="宋体"/>
          <w:b/>
          <w:color w:val="000000" w:themeColor="text1"/>
          <w:sz w:val="24"/>
          <w:szCs w:val="24"/>
          <w14:textFill>
            <w14:solidFill>
              <w14:schemeClr w14:val="tx1"/>
            </w14:solidFill>
          </w14:textFill>
        </w:rPr>
        <w:t>和修改</w:t>
      </w:r>
      <w:bookmarkEnd w:id="77"/>
    </w:p>
    <w:p>
      <w:pPr>
        <w:tabs>
          <w:tab w:val="left" w:pos="720"/>
        </w:tabs>
        <w:spacing w:line="500" w:lineRule="exact"/>
        <w:ind w:firstLine="480" w:firstLineChars="200"/>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6.1 在投标截止时间前，招标采购单位无论出于何种原因，可以对招标文件进行澄清或者修改。</w:t>
      </w:r>
    </w:p>
    <w:p>
      <w:pPr>
        <w:spacing w:line="500" w:lineRule="exact"/>
        <w:ind w:firstLine="480" w:firstLineChars="200"/>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6.2 招标采购单位对已发出的招标文件进行澄清或者修改，将在招标文件要求的提交投标文件截止时间15日前进行，并以书面形式将澄清或者修改的内容通知所有购买了招标文件的供应商。该澄清或者修改的内容为招标文件的组成部分。</w:t>
      </w:r>
    </w:p>
    <w:p>
      <w:pPr>
        <w:spacing w:line="500" w:lineRule="exact"/>
        <w:ind w:firstLine="480" w:firstLineChars="200"/>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6</w:t>
      </w:r>
      <w:r>
        <w:rPr>
          <w:rFonts w:hint="eastAsia" w:ascii="宋体" w:hAnsi="宋体" w:cs="宋体"/>
          <w:b/>
          <w:bCs/>
          <w:color w:val="000000" w:themeColor="text1"/>
          <w:sz w:val="24"/>
          <w:szCs w:val="24"/>
          <w14:textFill>
            <w14:solidFill>
              <w14:schemeClr w14:val="tx1"/>
            </w14:solidFill>
          </w14:textFill>
        </w:rPr>
        <w:t>.</w:t>
      </w:r>
      <w:r>
        <w:rPr>
          <w:rFonts w:hint="eastAsia" w:ascii="宋体" w:hAnsi="宋体" w:cs="宋体"/>
          <w:color w:val="000000" w:themeColor="text1"/>
          <w:sz w:val="24"/>
          <w:szCs w:val="24"/>
          <w14:textFill>
            <w14:solidFill>
              <w14:schemeClr w14:val="tx1"/>
            </w14:solidFill>
          </w14:textFill>
        </w:rPr>
        <w:t>3 投标人要求对招标文件进行澄清的，均应在投标截止日7天前按招标文件中的联系方式，以书面形式通知采购代理机构。</w:t>
      </w:r>
    </w:p>
    <w:p>
      <w:pPr>
        <w:spacing w:line="500" w:lineRule="exact"/>
        <w:ind w:firstLine="480" w:firstLineChars="200"/>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6.4 在投标截止时间前，招标采购单位可以视采购具体情况，延长投标截止时间和开标时间，并在招标文件要求提交投标文件的截止时间</w:t>
      </w:r>
      <w:r>
        <w:rPr>
          <w:rFonts w:hint="eastAsia" w:ascii="宋体" w:hAnsi="宋体" w:cs="宋体"/>
          <w:color w:val="000000" w:themeColor="text1"/>
          <w:sz w:val="24"/>
          <w:szCs w:val="24"/>
          <w:lang w:val="en-US" w:eastAsia="zh-CN"/>
          <w14:textFill>
            <w14:solidFill>
              <w14:schemeClr w14:val="tx1"/>
            </w14:solidFill>
          </w14:textFill>
        </w:rPr>
        <w:t>二</w:t>
      </w:r>
      <w:r>
        <w:rPr>
          <w:rFonts w:hint="eastAsia" w:ascii="宋体" w:hAnsi="宋体" w:cs="宋体"/>
          <w:color w:val="000000" w:themeColor="text1"/>
          <w:sz w:val="24"/>
          <w:szCs w:val="24"/>
          <w14:textFill>
            <w14:solidFill>
              <w14:schemeClr w14:val="tx1"/>
            </w14:solidFill>
          </w14:textFill>
        </w:rPr>
        <w:t>日前，将变更时间</w:t>
      </w:r>
      <w:r>
        <w:rPr>
          <w:rFonts w:hint="eastAsia" w:ascii="宋体" w:hAnsi="宋体" w:cs="宋体"/>
          <w:color w:val="000000" w:themeColor="text1"/>
          <w:sz w:val="24"/>
          <w:szCs w:val="24"/>
          <w:lang w:val="en-US" w:eastAsia="zh-CN"/>
          <w14:textFill>
            <w14:solidFill>
              <w14:schemeClr w14:val="tx1"/>
            </w14:solidFill>
          </w14:textFill>
        </w:rPr>
        <w:t>在新疆政府采购网发出澄清修改通知</w:t>
      </w:r>
      <w:r>
        <w:rPr>
          <w:rFonts w:hint="eastAsia" w:ascii="宋体" w:hAnsi="宋体" w:cs="宋体"/>
          <w:color w:val="000000" w:themeColor="text1"/>
          <w:sz w:val="24"/>
          <w:szCs w:val="24"/>
          <w14:textFill>
            <w14:solidFill>
              <w14:schemeClr w14:val="tx1"/>
            </w14:solidFill>
          </w14:textFill>
        </w:rPr>
        <w:t>。</w:t>
      </w:r>
    </w:p>
    <w:p>
      <w:pPr>
        <w:spacing w:line="500" w:lineRule="exact"/>
        <w:contextualSpacing/>
        <w:rPr>
          <w:rFonts w:ascii="宋体" w:hAnsi="宋体" w:cs="宋体"/>
          <w:b/>
          <w:color w:val="000000" w:themeColor="text1"/>
          <w:sz w:val="24"/>
          <w:szCs w:val="24"/>
          <w14:textFill>
            <w14:solidFill>
              <w14:schemeClr w14:val="tx1"/>
            </w14:solidFill>
          </w14:textFill>
        </w:rPr>
      </w:pPr>
      <w:bookmarkStart w:id="78" w:name="_Toc183582213"/>
      <w:bookmarkStart w:id="79" w:name="_Toc183682350"/>
      <w:bookmarkStart w:id="80" w:name="_Toc208848971"/>
      <w:bookmarkStart w:id="81" w:name="_Toc217446041"/>
      <w:r>
        <w:rPr>
          <w:rFonts w:hint="eastAsia" w:ascii="宋体" w:hAnsi="宋体" w:cs="宋体"/>
          <w:b/>
          <w:color w:val="000000" w:themeColor="text1"/>
          <w:sz w:val="24"/>
          <w:szCs w:val="24"/>
          <w14:textFill>
            <w14:solidFill>
              <w14:schemeClr w14:val="tx1"/>
            </w14:solidFill>
          </w14:textFill>
        </w:rPr>
        <w:t>7</w:t>
      </w:r>
      <w:bookmarkEnd w:id="78"/>
      <w:bookmarkEnd w:id="79"/>
      <w:r>
        <w:rPr>
          <w:rFonts w:hint="eastAsia" w:ascii="宋体" w:hAnsi="宋体" w:cs="宋体"/>
          <w:b/>
          <w:color w:val="000000" w:themeColor="text1"/>
          <w:sz w:val="24"/>
          <w:szCs w:val="24"/>
          <w14:textFill>
            <w14:solidFill>
              <w14:schemeClr w14:val="tx1"/>
            </w14:solidFill>
          </w14:textFill>
        </w:rPr>
        <w:t>. 答疑会和现场考察</w:t>
      </w:r>
      <w:bookmarkEnd w:id="80"/>
      <w:bookmarkEnd w:id="81"/>
    </w:p>
    <w:p>
      <w:pPr>
        <w:spacing w:line="500" w:lineRule="exact"/>
        <w:ind w:firstLine="480" w:firstLineChars="200"/>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7.1 根据采购项目和具体情况，招标采购单位认为有必要，可以组织召开标前答疑会或组织投标人对项目现场进行考察。答疑会或进行现场考察的时间，</w:t>
      </w:r>
      <w:r>
        <w:rPr>
          <w:rFonts w:hint="eastAsia" w:ascii="宋体" w:hAnsi="宋体" w:cs="宋体"/>
          <w:color w:val="000000" w:themeColor="text1"/>
          <w:sz w:val="24"/>
          <w:szCs w:val="24"/>
          <w:lang w:val="en-US" w:eastAsia="zh-CN"/>
          <w14:textFill>
            <w14:solidFill>
              <w14:schemeClr w14:val="tx1"/>
            </w14:solidFill>
          </w14:textFill>
        </w:rPr>
        <w:t>自行约定</w:t>
      </w:r>
      <w:r>
        <w:rPr>
          <w:rFonts w:hint="eastAsia" w:ascii="宋体" w:hAnsi="宋体" w:cs="宋体"/>
          <w:color w:val="000000" w:themeColor="text1"/>
          <w:sz w:val="24"/>
          <w:szCs w:val="24"/>
          <w14:textFill>
            <w14:solidFill>
              <w14:schemeClr w14:val="tx1"/>
            </w14:solidFill>
          </w14:textFill>
        </w:rPr>
        <w:t>。</w:t>
      </w:r>
    </w:p>
    <w:p>
      <w:pPr>
        <w:adjustRightInd w:val="0"/>
        <w:spacing w:line="500" w:lineRule="exact"/>
        <w:ind w:firstLine="420" w:firstLineChars="175"/>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7.2 供应商考察现场所发生的一切费用由供应商自己承担。</w:t>
      </w:r>
    </w:p>
    <w:p>
      <w:pPr>
        <w:pStyle w:val="5"/>
        <w:spacing w:line="500" w:lineRule="exact"/>
        <w:contextualSpacing/>
        <w:rPr>
          <w:rFonts w:ascii="宋体" w:hAnsi="宋体" w:cs="宋体"/>
          <w:color w:val="000000" w:themeColor="text1"/>
          <w:sz w:val="24"/>
          <w:szCs w:val="24"/>
          <w14:textFill>
            <w14:solidFill>
              <w14:schemeClr w14:val="tx1"/>
            </w14:solidFill>
          </w14:textFill>
        </w:rPr>
      </w:pPr>
      <w:bookmarkStart w:id="82" w:name="_Toc406749973"/>
      <w:bookmarkStart w:id="83" w:name="_Toc217446042"/>
      <w:bookmarkStart w:id="84" w:name="_Toc89075876"/>
      <w:bookmarkStart w:id="85" w:name="_Toc487728202"/>
      <w:bookmarkStart w:id="86" w:name="_Toc183682351"/>
      <w:bookmarkStart w:id="87" w:name="_Toc183582214"/>
      <w:bookmarkStart w:id="88" w:name="_Toc4275"/>
      <w:bookmarkStart w:id="89" w:name="_Toc13556"/>
      <w:bookmarkStart w:id="90" w:name="_Toc77400780"/>
      <w:bookmarkStart w:id="91" w:name="_Toc24889"/>
      <w:r>
        <w:rPr>
          <w:rFonts w:hint="eastAsia" w:ascii="宋体" w:hAnsi="宋体" w:cs="宋体"/>
          <w:color w:val="000000" w:themeColor="text1"/>
          <w:sz w:val="24"/>
          <w:szCs w:val="24"/>
          <w14:textFill>
            <w14:solidFill>
              <w14:schemeClr w14:val="tx1"/>
            </w14:solidFill>
          </w14:textFill>
        </w:rPr>
        <w:t>三、投标文件</w:t>
      </w:r>
      <w:bookmarkEnd w:id="82"/>
      <w:bookmarkEnd w:id="83"/>
      <w:bookmarkEnd w:id="84"/>
      <w:bookmarkEnd w:id="85"/>
      <w:bookmarkEnd w:id="86"/>
      <w:bookmarkEnd w:id="87"/>
      <w:bookmarkEnd w:id="88"/>
      <w:bookmarkEnd w:id="89"/>
      <w:bookmarkEnd w:id="90"/>
      <w:bookmarkEnd w:id="91"/>
    </w:p>
    <w:p>
      <w:pPr>
        <w:spacing w:line="500" w:lineRule="exact"/>
        <w:contextualSpacing/>
        <w:rPr>
          <w:rFonts w:ascii="宋体" w:hAnsi="宋体" w:cs="宋体"/>
          <w:b/>
          <w:color w:val="000000" w:themeColor="text1"/>
          <w:sz w:val="24"/>
          <w:szCs w:val="24"/>
          <w14:textFill>
            <w14:solidFill>
              <w14:schemeClr w14:val="tx1"/>
            </w14:solidFill>
          </w14:textFill>
        </w:rPr>
      </w:pPr>
      <w:bookmarkStart w:id="92" w:name="_Toc183682352"/>
      <w:bookmarkStart w:id="93" w:name="_Toc183582215"/>
      <w:bookmarkStart w:id="94" w:name="_Toc217446043"/>
      <w:r>
        <w:rPr>
          <w:rFonts w:hint="eastAsia" w:ascii="宋体" w:hAnsi="宋体" w:cs="宋体"/>
          <w:b/>
          <w:color w:val="000000" w:themeColor="text1"/>
          <w:sz w:val="24"/>
          <w:szCs w:val="24"/>
          <w14:textFill>
            <w14:solidFill>
              <w14:schemeClr w14:val="tx1"/>
            </w14:solidFill>
          </w14:textFill>
        </w:rPr>
        <w:t>8．投标文件的语言</w:t>
      </w:r>
      <w:bookmarkEnd w:id="92"/>
      <w:bookmarkEnd w:id="93"/>
      <w:bookmarkEnd w:id="94"/>
    </w:p>
    <w:p>
      <w:pPr>
        <w:spacing w:line="500" w:lineRule="exact"/>
        <w:ind w:firstLine="480" w:firstLineChars="200"/>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8.1投标人提交的投标文件以及投标人与招标采购单位就有关投标的所有来往书面文件均须使用中文。投标文件中如附有外文资料，必须逐一对应翻译成中文并加盖投标人公章后附在相关外文资料后面，否则，投标人的投标文件将作为无效投标处理。</w:t>
      </w:r>
    </w:p>
    <w:p>
      <w:pPr>
        <w:spacing w:line="500" w:lineRule="exact"/>
        <w:ind w:firstLine="480" w:firstLineChars="200"/>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8.2 翻译的中文资料与外文资料如果出现差异和矛盾时，以中文为准。但不能故意错误翻译，否则，投标人的投标文件将作为无效投标处理。</w:t>
      </w:r>
    </w:p>
    <w:p>
      <w:pPr>
        <w:spacing w:line="500" w:lineRule="exact"/>
        <w:contextualSpacing/>
        <w:rPr>
          <w:rFonts w:ascii="宋体" w:hAnsi="宋体" w:cs="宋体"/>
          <w:b/>
          <w:color w:val="000000" w:themeColor="text1"/>
          <w:sz w:val="24"/>
          <w:szCs w:val="24"/>
          <w14:textFill>
            <w14:solidFill>
              <w14:schemeClr w14:val="tx1"/>
            </w14:solidFill>
          </w14:textFill>
        </w:rPr>
      </w:pPr>
      <w:bookmarkStart w:id="95" w:name="_Toc183682353"/>
      <w:bookmarkStart w:id="96" w:name="_Toc183582216"/>
      <w:bookmarkStart w:id="97" w:name="_Toc217446044"/>
      <w:r>
        <w:rPr>
          <w:rFonts w:hint="eastAsia" w:ascii="宋体" w:hAnsi="宋体" w:cs="宋体"/>
          <w:b/>
          <w:color w:val="000000" w:themeColor="text1"/>
          <w:sz w:val="24"/>
          <w:szCs w:val="24"/>
          <w14:textFill>
            <w14:solidFill>
              <w14:schemeClr w14:val="tx1"/>
            </w14:solidFill>
          </w14:textFill>
        </w:rPr>
        <w:t>9．计量单位</w:t>
      </w:r>
      <w:bookmarkEnd w:id="95"/>
      <w:bookmarkEnd w:id="96"/>
      <w:bookmarkEnd w:id="97"/>
    </w:p>
    <w:p>
      <w:pPr>
        <w:spacing w:line="500" w:lineRule="exact"/>
        <w:ind w:firstLine="470" w:firstLineChars="196"/>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除技术规格及要求中另有规定外，本采购项下的投标均采用国家法定的计量单位。</w:t>
      </w:r>
    </w:p>
    <w:p>
      <w:pPr>
        <w:spacing w:line="500" w:lineRule="exact"/>
        <w:contextualSpacing/>
        <w:rPr>
          <w:rFonts w:ascii="宋体" w:hAnsi="宋体" w:cs="宋体"/>
          <w:b/>
          <w:color w:val="000000" w:themeColor="text1"/>
          <w:sz w:val="24"/>
          <w:szCs w:val="24"/>
          <w14:textFill>
            <w14:solidFill>
              <w14:schemeClr w14:val="tx1"/>
            </w14:solidFill>
          </w14:textFill>
        </w:rPr>
      </w:pPr>
      <w:bookmarkStart w:id="98" w:name="_Toc217446045"/>
      <w:r>
        <w:rPr>
          <w:rFonts w:hint="eastAsia" w:ascii="宋体" w:hAnsi="宋体" w:cs="宋体"/>
          <w:b/>
          <w:color w:val="000000" w:themeColor="text1"/>
          <w:sz w:val="24"/>
          <w:szCs w:val="24"/>
          <w14:textFill>
            <w14:solidFill>
              <w14:schemeClr w14:val="tx1"/>
            </w14:solidFill>
          </w14:textFill>
        </w:rPr>
        <w:t>10. 投标货币</w:t>
      </w:r>
      <w:bookmarkEnd w:id="98"/>
    </w:p>
    <w:p>
      <w:pPr>
        <w:tabs>
          <w:tab w:val="left" w:pos="7665"/>
        </w:tabs>
        <w:spacing w:line="500" w:lineRule="exact"/>
        <w:ind w:left="13" w:hanging="118"/>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本次招标项目的投标均以人民币报价。</w:t>
      </w:r>
    </w:p>
    <w:p>
      <w:pPr>
        <w:spacing w:line="500" w:lineRule="exact"/>
        <w:contextualSpacing/>
        <w:rPr>
          <w:rFonts w:ascii="宋体" w:hAnsi="宋体" w:cs="宋体"/>
          <w:b/>
          <w:color w:val="000000" w:themeColor="text1"/>
          <w:sz w:val="24"/>
          <w:szCs w:val="24"/>
          <w14:textFill>
            <w14:solidFill>
              <w14:schemeClr w14:val="tx1"/>
            </w14:solidFill>
          </w14:textFill>
        </w:rPr>
      </w:pPr>
      <w:bookmarkStart w:id="99" w:name="_Toc217446046"/>
      <w:r>
        <w:rPr>
          <w:rFonts w:hint="eastAsia" w:ascii="宋体" w:hAnsi="宋体" w:cs="宋体"/>
          <w:b/>
          <w:color w:val="000000" w:themeColor="text1"/>
          <w:sz w:val="24"/>
          <w:szCs w:val="24"/>
          <w14:textFill>
            <w14:solidFill>
              <w14:schemeClr w14:val="tx1"/>
            </w14:solidFill>
          </w14:textFill>
        </w:rPr>
        <w:t>11. 联合投标</w:t>
      </w:r>
      <w:bookmarkEnd w:id="99"/>
    </w:p>
    <w:p>
      <w:pPr>
        <w:spacing w:line="500" w:lineRule="exact"/>
        <w:ind w:firstLine="468" w:firstLineChars="195"/>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11.1 两个以上供应商可以组成一个投标联合体，以一个投标人的身份投标。以联合体形式参加投标的，联合体各方均应当符合《政府采购法》第二十二条第一款规定的条件。采购人根据采购项目的特殊要求规定投标人特定条件的，联合体各方中至少应当有一方符合采购人规定的特定条件。</w:t>
      </w:r>
    </w:p>
    <w:p>
      <w:pPr>
        <w:spacing w:line="500" w:lineRule="exact"/>
        <w:ind w:firstLine="468" w:firstLineChars="195"/>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11.2 联合体各方之间应当签订共同投标协议，明确约定联合体各方承担的工作和相应的责任，并将共同投标协议连同投标文件一并提交招标采购单位。联合体各方签订共同投标协议后，不得再以自己名义单独在同一项目中投标，也不得组成新的联合体参加同一项目投标。</w:t>
      </w:r>
    </w:p>
    <w:p>
      <w:pPr>
        <w:spacing w:line="500" w:lineRule="exact"/>
        <w:ind w:firstLine="470" w:firstLineChars="196"/>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11.3 联合体应当确定其中一个单位为投标的全权代表，负责参加投标的一切事务，并承担投标及履约中应承担的全部责任与义务。</w:t>
      </w:r>
    </w:p>
    <w:p>
      <w:pPr>
        <w:pStyle w:val="17"/>
        <w:spacing w:line="500" w:lineRule="exact"/>
        <w:ind w:firstLine="480" w:firstLineChars="200"/>
        <w:contextualSpacing/>
        <w:rPr>
          <w:rFonts w:ascii="宋体" w:hAnsi="宋体" w:cs="宋体"/>
          <w:b/>
          <w:bCs/>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11.4 联合体各方应当共同与采购人签订采购合同，就采购合同约定的事项对采购人承担连带责任。</w:t>
      </w:r>
    </w:p>
    <w:p>
      <w:pPr>
        <w:spacing w:line="500" w:lineRule="exact"/>
        <w:contextualSpacing/>
        <w:rPr>
          <w:rFonts w:ascii="宋体" w:hAnsi="宋体" w:cs="宋体"/>
          <w:b/>
          <w:color w:val="000000" w:themeColor="text1"/>
          <w:sz w:val="24"/>
          <w:szCs w:val="24"/>
          <w14:textFill>
            <w14:solidFill>
              <w14:schemeClr w14:val="tx1"/>
            </w14:solidFill>
          </w14:textFill>
        </w:rPr>
      </w:pPr>
      <w:bookmarkStart w:id="100" w:name="_Toc217446047"/>
      <w:r>
        <w:rPr>
          <w:rFonts w:hint="eastAsia" w:ascii="宋体" w:hAnsi="宋体" w:cs="宋体"/>
          <w:b/>
          <w:color w:val="000000" w:themeColor="text1"/>
          <w:sz w:val="24"/>
          <w:szCs w:val="24"/>
          <w14:textFill>
            <w14:solidFill>
              <w14:schemeClr w14:val="tx1"/>
            </w14:solidFill>
          </w14:textFill>
        </w:rPr>
        <w:t>12. 知识产权</w:t>
      </w:r>
      <w:bookmarkEnd w:id="100"/>
    </w:p>
    <w:p>
      <w:pPr>
        <w:pStyle w:val="17"/>
        <w:spacing w:line="500" w:lineRule="exact"/>
        <w:ind w:firstLine="480" w:firstLineChars="200"/>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12.1 投标人应保证在本项目使用的任何产品和服务（包括部分使用）时，不会产生因第三方提出侵犯其专利权、商标权或其它知识产权而引起的法律和经济纠纷，如因专利权、商标权或其它知识产权而引起法律和经济纠纷，由投标人承担所有相关责任。</w:t>
      </w:r>
    </w:p>
    <w:p>
      <w:pPr>
        <w:pStyle w:val="17"/>
        <w:spacing w:line="500" w:lineRule="exact"/>
        <w:ind w:firstLine="480" w:firstLineChars="200"/>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12.2 采购人享有本项目实施过程中产生的知识成果及知识产权。</w:t>
      </w:r>
    </w:p>
    <w:p>
      <w:pPr>
        <w:spacing w:line="500" w:lineRule="exact"/>
        <w:ind w:firstLine="480" w:firstLineChars="200"/>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12.3 投标人如欲在项目实施过程中采用自有知识成果，需在投标文件中声明，并提供相关知识产权证明文件。使用该知识成果后，投标人需提供开发接口和开发手册等技术文档，并承诺提供无限期技术支持，采购人享有永久使用权。</w:t>
      </w:r>
    </w:p>
    <w:p>
      <w:pPr>
        <w:spacing w:line="500" w:lineRule="exact"/>
        <w:ind w:firstLine="460" w:firstLineChars="192"/>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12.4 如采用投标人所不拥有的知识产权，则在投标报价中必须包括合法获取该知识产权的相关费用。</w:t>
      </w:r>
    </w:p>
    <w:p>
      <w:pPr>
        <w:spacing w:line="500" w:lineRule="exact"/>
        <w:contextualSpacing/>
        <w:rPr>
          <w:rFonts w:ascii="宋体" w:hAnsi="宋体" w:cs="宋体"/>
          <w:b/>
          <w:color w:val="000000" w:themeColor="text1"/>
          <w:sz w:val="24"/>
          <w:szCs w:val="24"/>
          <w14:textFill>
            <w14:solidFill>
              <w14:schemeClr w14:val="tx1"/>
            </w14:solidFill>
          </w14:textFill>
        </w:rPr>
      </w:pPr>
      <w:bookmarkStart w:id="101" w:name="_Toc183682354"/>
      <w:bookmarkStart w:id="102" w:name="_Toc183582217"/>
      <w:bookmarkStart w:id="103" w:name="_Toc217446048"/>
      <w:r>
        <w:rPr>
          <w:rFonts w:hint="eastAsia" w:ascii="宋体" w:hAnsi="宋体" w:cs="宋体"/>
          <w:b/>
          <w:color w:val="000000" w:themeColor="text1"/>
          <w:sz w:val="24"/>
          <w:szCs w:val="24"/>
          <w14:textFill>
            <w14:solidFill>
              <w14:schemeClr w14:val="tx1"/>
            </w14:solidFill>
          </w14:textFill>
        </w:rPr>
        <w:t>13．投标文件的组成</w:t>
      </w:r>
      <w:bookmarkEnd w:id="101"/>
      <w:bookmarkEnd w:id="102"/>
      <w:bookmarkEnd w:id="103"/>
    </w:p>
    <w:p>
      <w:pPr>
        <w:spacing w:line="500" w:lineRule="exact"/>
        <w:ind w:firstLine="470" w:firstLineChars="196"/>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投标人应按照招标文件的规定和要求编制投标文件。投标人拟在中标后将中标项目的非主体、非关键性工作交由他人完成的，应当在投标文件中载明。投标人编写的投标文件应包括下列部分：</w:t>
      </w:r>
    </w:p>
    <w:p>
      <w:pPr>
        <w:spacing w:line="500" w:lineRule="exact"/>
        <w:ind w:firstLine="470" w:firstLineChars="196"/>
        <w:contextualSpacing/>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13.1 报价部分：投标人按照招标文件要求填写的“开标一览表”及“报价明细表”。本次招标报价要求：</w:t>
      </w:r>
    </w:p>
    <w:p>
      <w:pPr>
        <w:spacing w:line="500" w:lineRule="exact"/>
        <w:ind w:firstLine="480" w:firstLineChars="200"/>
        <w:contextualSpacing/>
        <w:rPr>
          <w:rFonts w:ascii="宋体" w:hAnsi="宋体" w:cs="宋体"/>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（1）投标人的报价是投</w:t>
      </w:r>
      <w:r>
        <w:rPr>
          <w:rFonts w:hint="eastAsia" w:ascii="宋体" w:hAnsi="宋体" w:cs="宋体"/>
          <w:color w:val="000000" w:themeColor="text1"/>
          <w:sz w:val="24"/>
          <w:szCs w:val="24"/>
          <w14:textFill>
            <w14:solidFill>
              <w14:schemeClr w14:val="tx1"/>
            </w14:solidFill>
          </w14:textFill>
        </w:rPr>
        <w:t>标人响应招标项目要求的全部工作内容的价格体现，包括投标人完成本项目所需的一切费用。</w:t>
      </w:r>
    </w:p>
    <w:p>
      <w:pPr>
        <w:spacing w:line="500" w:lineRule="exact"/>
        <w:ind w:left="2" w:firstLine="352" w:firstLineChars="147"/>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（2）投标人每种货物（服务）只允许有一个报价，并且在合同履行过程中是固定不变的，任何有选择或可调整的报价将不予接受</w:t>
      </w:r>
      <w:r>
        <w:rPr>
          <w:rFonts w:hint="eastAsia" w:ascii="宋体" w:hAnsi="宋体" w:cs="宋体"/>
          <w:b/>
          <w:bCs/>
          <w:color w:val="000000" w:themeColor="text1"/>
          <w:sz w:val="24"/>
          <w:szCs w:val="24"/>
          <w14:textFill>
            <w14:solidFill>
              <w14:schemeClr w14:val="tx1"/>
            </w14:solidFill>
          </w14:textFill>
        </w:rPr>
        <w:t>，并按无效投标处理。</w:t>
      </w:r>
    </w:p>
    <w:p>
      <w:pPr>
        <w:spacing w:line="500" w:lineRule="exact"/>
        <w:ind w:firstLine="470" w:firstLineChars="196"/>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（3）投标人如果免费提供某项产品、部件或服务，除在价格栏中填写“0”外，还必须在备注栏中声明免费或赠送。</w:t>
      </w:r>
    </w:p>
    <w:p>
      <w:pPr>
        <w:spacing w:line="500" w:lineRule="exact"/>
        <w:ind w:firstLine="470" w:firstLineChars="196"/>
        <w:contextualSpacing/>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（4）投标报价时应注意包括下列几项费用：</w:t>
      </w:r>
    </w:p>
    <w:p>
      <w:pPr>
        <w:spacing w:line="500" w:lineRule="exact"/>
        <w:ind w:firstLine="600" w:firstLineChars="250"/>
        <w:contextualSpacing/>
        <w:jc w:val="left"/>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a招标文件中特别要求的备品备件、易损件和专用工具的费用；</w:t>
      </w:r>
    </w:p>
    <w:p>
      <w:pPr>
        <w:spacing w:line="500" w:lineRule="exact"/>
        <w:ind w:firstLine="600" w:firstLineChars="250"/>
        <w:contextualSpacing/>
        <w:jc w:val="left"/>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b招标文件中特别要求的安装、调试、培训、运输、保险及其它附带服务的全部费用；</w:t>
      </w:r>
    </w:p>
    <w:p>
      <w:pPr>
        <w:spacing w:line="500" w:lineRule="exact"/>
        <w:ind w:firstLine="600" w:firstLineChars="250"/>
        <w:contextualSpacing/>
        <w:jc w:val="left"/>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c投标人提供的在中华人民共和国制造的货物，其货物的投标价即交货价中，包括制造、组装该货物所使用的零部件及原材料已付的全部关税、销售税和其他税。</w:t>
      </w:r>
    </w:p>
    <w:p>
      <w:pPr>
        <w:spacing w:line="500" w:lineRule="exact"/>
        <w:ind w:firstLine="600" w:firstLineChars="250"/>
        <w:contextualSpacing/>
        <w:jc w:val="left"/>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d综合单价必须包括货物、安装、调试、技术支持、运输保险、售后服务、培训及其它必需服务的报价。</w:t>
      </w:r>
    </w:p>
    <w:p>
      <w:pPr>
        <w:tabs>
          <w:tab w:val="left" w:pos="540"/>
        </w:tabs>
        <w:spacing w:line="500" w:lineRule="exact"/>
        <w:ind w:firstLine="472" w:firstLineChars="196"/>
        <w:contextualSpacing/>
        <w:rPr>
          <w:rFonts w:ascii="宋体" w:hAnsi="宋体" w:cs="宋体"/>
          <w:b/>
          <w:color w:val="000000"/>
          <w:sz w:val="24"/>
          <w:szCs w:val="24"/>
        </w:rPr>
      </w:pPr>
      <w:r>
        <w:rPr>
          <w:rFonts w:hint="eastAsia" w:ascii="宋体" w:hAnsi="宋体" w:cs="宋体"/>
          <w:b/>
          <w:bCs/>
          <w:color w:val="000000"/>
          <w:sz w:val="24"/>
          <w:szCs w:val="24"/>
        </w:rPr>
        <w:t>13.2 技术部分：</w:t>
      </w:r>
      <w:r>
        <w:rPr>
          <w:rFonts w:hint="eastAsia" w:ascii="宋体" w:hAnsi="宋体" w:cs="宋体"/>
          <w:bCs/>
          <w:color w:val="000000"/>
          <w:sz w:val="24"/>
          <w:szCs w:val="24"/>
        </w:rPr>
        <w:t>投标人</w:t>
      </w:r>
      <w:r>
        <w:rPr>
          <w:rFonts w:hint="eastAsia" w:ascii="宋体" w:hAnsi="宋体" w:cs="宋体"/>
          <w:color w:val="000000"/>
          <w:sz w:val="24"/>
          <w:szCs w:val="24"/>
        </w:rPr>
        <w:t>按照招标文件要求做出的技术应答，主要是针对招标项目的技术指标、参数和技术要求做出的实质性响应和满足。投标人的技术应答应包括下列内容：</w:t>
      </w:r>
      <w:r>
        <w:rPr>
          <w:rFonts w:hint="eastAsia" w:ascii="宋体" w:hAnsi="宋体" w:cs="宋体"/>
          <w:b/>
          <w:color w:val="000000"/>
          <w:sz w:val="24"/>
          <w:szCs w:val="24"/>
        </w:rPr>
        <w:t>详见评标办法技术部分评审内容。</w:t>
      </w:r>
    </w:p>
    <w:p>
      <w:pPr>
        <w:spacing w:line="500" w:lineRule="exact"/>
        <w:ind w:firstLine="470" w:firstLineChars="196"/>
        <w:contextualSpacing/>
        <w:rPr>
          <w:rFonts w:ascii="宋体" w:hAnsi="宋体" w:cs="宋体"/>
          <w:sz w:val="24"/>
          <w:szCs w:val="24"/>
        </w:rPr>
      </w:pPr>
      <w:r>
        <w:rPr>
          <w:rFonts w:hint="eastAsia" w:ascii="宋体" w:hAnsi="宋体" w:cs="宋体"/>
          <w:sz w:val="24"/>
          <w:szCs w:val="24"/>
        </w:rPr>
        <w:t>13.3 商务部分：投标人按照招标文件要求提供的有关资质证明文件及优惠承诺。包括以下内容：</w:t>
      </w:r>
    </w:p>
    <w:p>
      <w:pPr>
        <w:spacing w:line="500" w:lineRule="exact"/>
        <w:ind w:firstLine="480" w:firstLineChars="200"/>
        <w:contextualSpacing/>
        <w:rPr>
          <w:rFonts w:ascii="宋体" w:hAnsi="宋体" w:cs="宋体"/>
          <w:sz w:val="24"/>
          <w:szCs w:val="24"/>
        </w:rPr>
      </w:pPr>
      <w:r>
        <w:rPr>
          <w:rFonts w:hint="eastAsia" w:ascii="宋体" w:hAnsi="宋体" w:cs="宋体"/>
          <w:sz w:val="24"/>
          <w:szCs w:val="24"/>
        </w:rPr>
        <w:t>（1）投标函；</w:t>
      </w:r>
    </w:p>
    <w:p>
      <w:pPr>
        <w:spacing w:line="500" w:lineRule="exact"/>
        <w:ind w:firstLine="480" w:firstLineChars="200"/>
        <w:contextualSpacing/>
        <w:rPr>
          <w:rFonts w:ascii="宋体" w:hAnsi="宋体" w:cs="宋体"/>
          <w:sz w:val="24"/>
          <w:szCs w:val="24"/>
        </w:rPr>
      </w:pPr>
      <w:r>
        <w:rPr>
          <w:rFonts w:hint="eastAsia" w:ascii="宋体" w:hAnsi="宋体" w:cs="宋体"/>
          <w:sz w:val="24"/>
          <w:szCs w:val="24"/>
        </w:rPr>
        <w:t>（2）法定代表人授权书</w:t>
      </w:r>
    </w:p>
    <w:p>
      <w:pPr>
        <w:spacing w:line="500" w:lineRule="exact"/>
        <w:ind w:firstLine="480" w:firstLineChars="200"/>
        <w:contextualSpacing/>
        <w:rPr>
          <w:rFonts w:ascii="宋体" w:hAnsi="宋体" w:cs="宋体"/>
          <w:sz w:val="24"/>
          <w:szCs w:val="24"/>
        </w:rPr>
      </w:pPr>
      <w:r>
        <w:rPr>
          <w:rFonts w:hint="eastAsia" w:ascii="宋体" w:hAnsi="宋体" w:cs="宋体"/>
          <w:sz w:val="24"/>
          <w:szCs w:val="24"/>
        </w:rPr>
        <w:t>（3）关于资格的声明函；</w:t>
      </w:r>
    </w:p>
    <w:p>
      <w:pPr>
        <w:spacing w:line="500" w:lineRule="exact"/>
        <w:ind w:firstLine="480" w:firstLineChars="200"/>
        <w:contextualSpacing/>
        <w:rPr>
          <w:rFonts w:ascii="宋体" w:hAnsi="宋体" w:cs="宋体"/>
          <w:sz w:val="24"/>
          <w:szCs w:val="24"/>
        </w:rPr>
      </w:pPr>
      <w:r>
        <w:rPr>
          <w:rFonts w:hint="eastAsia" w:ascii="宋体" w:hAnsi="宋体" w:cs="宋体"/>
          <w:sz w:val="24"/>
          <w:szCs w:val="24"/>
        </w:rPr>
        <w:t>（4）投标保证金；</w:t>
      </w:r>
    </w:p>
    <w:p>
      <w:pPr>
        <w:spacing w:line="500" w:lineRule="exact"/>
        <w:ind w:firstLine="480" w:firstLineChars="200"/>
        <w:contextualSpacing/>
        <w:rPr>
          <w:rFonts w:ascii="宋体" w:hAnsi="宋体" w:cs="宋体"/>
          <w:sz w:val="24"/>
          <w:szCs w:val="24"/>
        </w:rPr>
      </w:pPr>
      <w:r>
        <w:rPr>
          <w:rFonts w:hint="eastAsia" w:ascii="宋体" w:hAnsi="宋体" w:cs="宋体"/>
          <w:sz w:val="24"/>
          <w:szCs w:val="24"/>
        </w:rPr>
        <w:t>（5）开标一览表；</w:t>
      </w:r>
    </w:p>
    <w:p>
      <w:pPr>
        <w:spacing w:line="500" w:lineRule="exact"/>
        <w:ind w:firstLine="480" w:firstLineChars="200"/>
        <w:contextualSpacing/>
        <w:rPr>
          <w:rFonts w:ascii="宋体" w:hAnsi="宋体" w:cs="宋体"/>
          <w:bCs/>
          <w:sz w:val="24"/>
          <w:szCs w:val="24"/>
        </w:rPr>
      </w:pPr>
      <w:r>
        <w:rPr>
          <w:rFonts w:hint="eastAsia" w:ascii="宋体" w:hAnsi="宋体" w:cs="宋体"/>
          <w:bCs/>
          <w:sz w:val="24"/>
          <w:szCs w:val="24"/>
        </w:rPr>
        <w:t>（6）投标分项报价明细表；</w:t>
      </w:r>
    </w:p>
    <w:p>
      <w:pPr>
        <w:spacing w:line="500" w:lineRule="exact"/>
        <w:ind w:firstLine="480" w:firstLineChars="200"/>
        <w:contextualSpacing/>
        <w:rPr>
          <w:rFonts w:ascii="宋体" w:hAnsi="宋体" w:cs="宋体"/>
          <w:bCs/>
          <w:sz w:val="24"/>
          <w:szCs w:val="24"/>
        </w:rPr>
      </w:pPr>
      <w:r>
        <w:rPr>
          <w:rFonts w:hint="eastAsia" w:ascii="宋体" w:hAnsi="宋体" w:cs="宋体"/>
          <w:bCs/>
          <w:sz w:val="24"/>
          <w:szCs w:val="24"/>
        </w:rPr>
        <w:t>（7）商务偏离表；</w:t>
      </w:r>
    </w:p>
    <w:p>
      <w:pPr>
        <w:spacing w:line="500" w:lineRule="exact"/>
        <w:ind w:firstLine="480" w:firstLineChars="200"/>
        <w:contextualSpacing/>
        <w:rPr>
          <w:rFonts w:ascii="宋体" w:hAnsi="宋体" w:cs="宋体"/>
          <w:sz w:val="24"/>
          <w:szCs w:val="24"/>
        </w:rPr>
      </w:pPr>
      <w:r>
        <w:rPr>
          <w:rFonts w:hint="eastAsia" w:ascii="宋体" w:hAnsi="宋体" w:cs="宋体"/>
          <w:sz w:val="24"/>
          <w:szCs w:val="24"/>
        </w:rPr>
        <w:t>（8）技术规格偏离表；</w:t>
      </w:r>
    </w:p>
    <w:p>
      <w:pPr>
        <w:spacing w:line="500" w:lineRule="exact"/>
        <w:ind w:firstLine="480" w:firstLineChars="200"/>
        <w:contextualSpacing/>
        <w:rPr>
          <w:rFonts w:ascii="宋体" w:hAnsi="宋体" w:cs="宋体"/>
          <w:sz w:val="24"/>
          <w:szCs w:val="24"/>
        </w:rPr>
      </w:pPr>
      <w:r>
        <w:rPr>
          <w:rFonts w:hint="eastAsia" w:ascii="宋体" w:hAnsi="宋体" w:cs="宋体"/>
          <w:sz w:val="24"/>
          <w:szCs w:val="24"/>
        </w:rPr>
        <w:t>（9）企业资信证明；</w:t>
      </w:r>
    </w:p>
    <w:p>
      <w:pPr>
        <w:spacing w:line="500" w:lineRule="exact"/>
        <w:ind w:firstLine="480" w:firstLineChars="200"/>
        <w:contextualSpacing/>
        <w:rPr>
          <w:rFonts w:ascii="宋体" w:hAnsi="宋体" w:cs="宋体"/>
          <w:sz w:val="24"/>
          <w:szCs w:val="24"/>
        </w:rPr>
      </w:pPr>
      <w:r>
        <w:rPr>
          <w:rFonts w:hint="eastAsia" w:ascii="宋体" w:hAnsi="宋体" w:cs="宋体"/>
          <w:sz w:val="24"/>
          <w:szCs w:val="24"/>
        </w:rPr>
        <w:t>（10）投标人基本情况表；</w:t>
      </w:r>
    </w:p>
    <w:p>
      <w:pPr>
        <w:spacing w:line="500" w:lineRule="exact"/>
        <w:ind w:firstLine="480" w:firstLineChars="200"/>
        <w:contextualSpacing/>
        <w:rPr>
          <w:rFonts w:ascii="宋体" w:hAnsi="宋体" w:cs="宋体"/>
          <w:sz w:val="24"/>
          <w:szCs w:val="24"/>
        </w:rPr>
      </w:pPr>
      <w:r>
        <w:rPr>
          <w:rFonts w:hint="eastAsia" w:ascii="宋体" w:hAnsi="宋体" w:cs="宋体"/>
          <w:sz w:val="24"/>
          <w:szCs w:val="24"/>
        </w:rPr>
        <w:t>（11）投标人本项目管理、技术、服务人员情况表；</w:t>
      </w:r>
    </w:p>
    <w:p>
      <w:pPr>
        <w:spacing w:line="500" w:lineRule="exact"/>
        <w:ind w:firstLine="480" w:firstLineChars="200"/>
        <w:contextualSpacing/>
        <w:rPr>
          <w:rFonts w:ascii="宋体" w:hAnsi="宋体" w:cs="宋体"/>
          <w:sz w:val="24"/>
          <w:szCs w:val="24"/>
        </w:rPr>
      </w:pPr>
      <w:r>
        <w:rPr>
          <w:rFonts w:hint="eastAsia" w:ascii="宋体" w:hAnsi="宋体" w:cs="宋体"/>
          <w:sz w:val="24"/>
          <w:szCs w:val="24"/>
        </w:rPr>
        <w:t>（12）近年财务状况表</w:t>
      </w:r>
    </w:p>
    <w:p>
      <w:pPr>
        <w:spacing w:line="500" w:lineRule="exact"/>
        <w:ind w:firstLine="480" w:firstLineChars="200"/>
        <w:contextualSpacing/>
        <w:rPr>
          <w:rFonts w:ascii="宋体" w:hAnsi="宋体" w:cs="宋体"/>
          <w:sz w:val="24"/>
          <w:szCs w:val="24"/>
        </w:rPr>
      </w:pPr>
      <w:r>
        <w:rPr>
          <w:rFonts w:hint="eastAsia" w:ascii="宋体" w:hAnsi="宋体" w:cs="宋体"/>
          <w:sz w:val="24"/>
          <w:szCs w:val="24"/>
        </w:rPr>
        <w:t>（13）近年完成的类似项目情况表</w:t>
      </w:r>
    </w:p>
    <w:p>
      <w:pPr>
        <w:spacing w:line="500" w:lineRule="exact"/>
        <w:ind w:firstLine="480" w:firstLineChars="200"/>
        <w:contextualSpacing/>
        <w:rPr>
          <w:rFonts w:ascii="宋体" w:hAnsi="宋体" w:cs="宋体"/>
          <w:sz w:val="24"/>
          <w:szCs w:val="24"/>
        </w:rPr>
      </w:pPr>
      <w:r>
        <w:rPr>
          <w:rFonts w:hint="eastAsia" w:ascii="宋体" w:hAnsi="宋体" w:cs="宋体"/>
          <w:sz w:val="24"/>
          <w:szCs w:val="24"/>
        </w:rPr>
        <w:t>（14）项目实施方案及技术措施</w:t>
      </w:r>
    </w:p>
    <w:p>
      <w:pPr>
        <w:spacing w:line="500" w:lineRule="exact"/>
        <w:ind w:firstLine="480" w:firstLineChars="200"/>
        <w:contextualSpacing/>
        <w:rPr>
          <w:rFonts w:ascii="宋体" w:hAnsi="宋体" w:cs="宋体"/>
          <w:sz w:val="24"/>
          <w:szCs w:val="24"/>
        </w:rPr>
      </w:pPr>
      <w:r>
        <w:rPr>
          <w:rFonts w:hint="eastAsia" w:ascii="宋体" w:hAnsi="宋体" w:cs="宋体"/>
          <w:sz w:val="24"/>
          <w:szCs w:val="24"/>
        </w:rPr>
        <w:t>（15）设备配备</w:t>
      </w:r>
    </w:p>
    <w:p>
      <w:pPr>
        <w:spacing w:line="500" w:lineRule="exact"/>
        <w:ind w:firstLine="480" w:firstLineChars="200"/>
        <w:contextualSpacing/>
        <w:rPr>
          <w:rFonts w:ascii="宋体" w:hAnsi="宋体" w:cs="宋体"/>
          <w:sz w:val="24"/>
          <w:szCs w:val="24"/>
        </w:rPr>
      </w:pPr>
      <w:r>
        <w:rPr>
          <w:rFonts w:hint="eastAsia" w:ascii="宋体" w:hAnsi="宋体" w:cs="宋体"/>
          <w:sz w:val="24"/>
          <w:szCs w:val="24"/>
        </w:rPr>
        <w:t>（16）货物装卸、运输及储存</w:t>
      </w:r>
    </w:p>
    <w:p>
      <w:pPr>
        <w:spacing w:line="500" w:lineRule="exact"/>
        <w:ind w:firstLine="480" w:firstLineChars="200"/>
        <w:contextualSpacing/>
        <w:rPr>
          <w:rFonts w:ascii="宋体" w:hAnsi="宋体" w:cs="宋体"/>
          <w:sz w:val="24"/>
          <w:szCs w:val="24"/>
        </w:rPr>
      </w:pPr>
      <w:r>
        <w:rPr>
          <w:rFonts w:hint="eastAsia" w:ascii="宋体" w:hAnsi="宋体" w:cs="宋体"/>
          <w:sz w:val="24"/>
          <w:szCs w:val="24"/>
        </w:rPr>
        <w:t>（17）保证项目实施的技术力量和人力资源安排</w:t>
      </w:r>
    </w:p>
    <w:p>
      <w:pPr>
        <w:spacing w:line="500" w:lineRule="exact"/>
        <w:ind w:firstLine="480" w:firstLineChars="200"/>
        <w:contextualSpacing/>
        <w:rPr>
          <w:rFonts w:ascii="宋体" w:hAnsi="宋体" w:cs="宋体"/>
          <w:sz w:val="24"/>
          <w:szCs w:val="24"/>
        </w:rPr>
      </w:pPr>
      <w:r>
        <w:rPr>
          <w:rFonts w:hint="eastAsia" w:ascii="宋体" w:hAnsi="宋体" w:cs="宋体"/>
          <w:sz w:val="24"/>
          <w:szCs w:val="24"/>
        </w:rPr>
        <w:t>（18）投标人综合实力及信誉</w:t>
      </w:r>
    </w:p>
    <w:p>
      <w:pPr>
        <w:spacing w:line="500" w:lineRule="exact"/>
        <w:ind w:firstLine="480" w:firstLineChars="200"/>
        <w:contextualSpacing/>
        <w:rPr>
          <w:rFonts w:ascii="宋体" w:hAnsi="宋体" w:cs="宋体"/>
          <w:sz w:val="24"/>
          <w:szCs w:val="24"/>
        </w:rPr>
      </w:pPr>
      <w:r>
        <w:rPr>
          <w:rFonts w:hint="eastAsia" w:ascii="宋体" w:hAnsi="宋体" w:cs="宋体"/>
          <w:sz w:val="24"/>
          <w:szCs w:val="24"/>
        </w:rPr>
        <w:t>（19）验收的方案和措施</w:t>
      </w:r>
    </w:p>
    <w:p>
      <w:pPr>
        <w:spacing w:line="500" w:lineRule="exact"/>
        <w:ind w:firstLine="480" w:firstLineChars="200"/>
        <w:contextualSpacing/>
        <w:rPr>
          <w:rFonts w:ascii="宋体" w:hAnsi="宋体" w:cs="宋体"/>
          <w:sz w:val="24"/>
          <w:szCs w:val="24"/>
        </w:rPr>
      </w:pPr>
      <w:r>
        <w:rPr>
          <w:rFonts w:hint="eastAsia" w:ascii="宋体" w:hAnsi="宋体" w:cs="宋体"/>
          <w:sz w:val="24"/>
          <w:szCs w:val="24"/>
        </w:rPr>
        <w:t>（20）项目质量及保修期限</w:t>
      </w:r>
    </w:p>
    <w:p>
      <w:pPr>
        <w:spacing w:line="500" w:lineRule="exact"/>
        <w:ind w:firstLine="480" w:firstLineChars="200"/>
        <w:contextualSpacing/>
        <w:rPr>
          <w:rFonts w:ascii="宋体" w:hAnsi="宋体" w:cs="宋体"/>
          <w:sz w:val="24"/>
          <w:szCs w:val="24"/>
        </w:rPr>
      </w:pPr>
      <w:r>
        <w:rPr>
          <w:rFonts w:hint="eastAsia" w:ascii="宋体" w:hAnsi="宋体" w:cs="宋体"/>
          <w:sz w:val="24"/>
          <w:szCs w:val="24"/>
        </w:rPr>
        <w:t>（21）投标单位（投标人）《反商业贿赂承诺书》</w:t>
      </w:r>
    </w:p>
    <w:p>
      <w:pPr>
        <w:spacing w:line="500" w:lineRule="exact"/>
        <w:ind w:firstLine="480" w:firstLineChars="200"/>
        <w:contextualSpacing/>
        <w:rPr>
          <w:rFonts w:ascii="宋体" w:hAnsi="宋体" w:cs="宋体"/>
          <w:sz w:val="24"/>
          <w:szCs w:val="24"/>
        </w:rPr>
      </w:pPr>
      <w:r>
        <w:rPr>
          <w:rFonts w:hint="eastAsia" w:ascii="宋体" w:hAnsi="宋体" w:cs="宋体"/>
          <w:sz w:val="24"/>
          <w:szCs w:val="24"/>
        </w:rPr>
        <w:t>（22）声明及承诺</w:t>
      </w:r>
    </w:p>
    <w:p>
      <w:pPr>
        <w:spacing w:line="500" w:lineRule="exact"/>
        <w:ind w:firstLine="480" w:firstLineChars="200"/>
        <w:contextualSpacing/>
        <w:rPr>
          <w:rFonts w:ascii="宋体" w:hAnsi="宋体" w:cs="宋体"/>
          <w:sz w:val="24"/>
          <w:szCs w:val="24"/>
        </w:rPr>
      </w:pPr>
      <w:r>
        <w:rPr>
          <w:rFonts w:hint="eastAsia" w:ascii="宋体" w:hAnsi="宋体" w:cs="宋体"/>
          <w:sz w:val="24"/>
          <w:szCs w:val="24"/>
        </w:rPr>
        <w:t>（23）其他资料</w:t>
      </w:r>
    </w:p>
    <w:p>
      <w:pPr>
        <w:spacing w:line="500" w:lineRule="exact"/>
        <w:ind w:firstLine="480" w:firstLineChars="200"/>
        <w:contextualSpacing/>
        <w:rPr>
          <w:rFonts w:ascii="宋体" w:hAnsi="宋体" w:cs="宋体"/>
          <w:sz w:val="24"/>
          <w:szCs w:val="24"/>
        </w:rPr>
      </w:pPr>
      <w:r>
        <w:rPr>
          <w:rFonts w:hint="eastAsia" w:ascii="宋体" w:hAnsi="宋体" w:cs="宋体"/>
          <w:sz w:val="24"/>
          <w:szCs w:val="24"/>
        </w:rPr>
        <w:t>（24）原件的复印件</w:t>
      </w:r>
    </w:p>
    <w:p>
      <w:pPr>
        <w:spacing w:line="500" w:lineRule="exact"/>
        <w:contextualSpacing/>
        <w:rPr>
          <w:rFonts w:ascii="宋体" w:hAnsi="宋体" w:cs="宋体"/>
          <w:b/>
          <w:color w:val="000000" w:themeColor="text1"/>
          <w:sz w:val="24"/>
          <w:szCs w:val="24"/>
          <w14:textFill>
            <w14:solidFill>
              <w14:schemeClr w14:val="tx1"/>
            </w14:solidFill>
          </w14:textFill>
        </w:rPr>
      </w:pPr>
      <w:bookmarkStart w:id="104" w:name="_Toc217446049"/>
      <w:bookmarkStart w:id="105" w:name="_Toc183682355"/>
      <w:bookmarkStart w:id="106" w:name="_Toc183582218"/>
      <w:r>
        <w:rPr>
          <w:rFonts w:hint="eastAsia" w:ascii="宋体" w:hAnsi="宋体" w:cs="宋体"/>
          <w:b/>
          <w:color w:val="000000" w:themeColor="text1"/>
          <w:sz w:val="24"/>
          <w:szCs w:val="24"/>
          <w14:textFill>
            <w14:solidFill>
              <w14:schemeClr w14:val="tx1"/>
            </w14:solidFill>
          </w14:textFill>
        </w:rPr>
        <w:t>14．投标文件格式</w:t>
      </w:r>
      <w:bookmarkEnd w:id="104"/>
      <w:bookmarkEnd w:id="105"/>
      <w:bookmarkEnd w:id="106"/>
      <w:r>
        <w:rPr>
          <w:rFonts w:hint="eastAsia" w:ascii="宋体" w:hAnsi="宋体" w:cs="宋体"/>
          <w:b/>
          <w:color w:val="000000" w:themeColor="text1"/>
          <w:sz w:val="24"/>
          <w:szCs w:val="24"/>
          <w14:textFill>
            <w14:solidFill>
              <w14:schemeClr w14:val="tx1"/>
            </w14:solidFill>
          </w14:textFill>
        </w:rPr>
        <w:tab/>
      </w:r>
    </w:p>
    <w:p>
      <w:pPr>
        <w:tabs>
          <w:tab w:val="left" w:pos="7665"/>
        </w:tabs>
        <w:spacing w:line="500" w:lineRule="exact"/>
        <w:ind w:left="252" w:leftChars="120" w:firstLine="241" w:firstLineChars="100"/>
        <w:contextualSpacing/>
        <w:rPr>
          <w:rFonts w:hint="eastAsia"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14.1 投标人应按照招标文件第六章中提供的“投标文件格式”填写相关内容。</w:t>
      </w:r>
    </w:p>
    <w:p>
      <w:pPr>
        <w:tabs>
          <w:tab w:val="left" w:pos="7665"/>
        </w:tabs>
        <w:spacing w:line="500" w:lineRule="exact"/>
        <w:ind w:left="252" w:leftChars="120" w:firstLine="241" w:firstLineChars="100"/>
        <w:contextualSpacing/>
        <w:rPr>
          <w:rFonts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除对于没有格式要求的投标文件由投标人自行编写。</w:t>
      </w:r>
    </w:p>
    <w:p>
      <w:pPr>
        <w:spacing w:line="500" w:lineRule="exact"/>
        <w:ind w:firstLine="482" w:firstLineChars="200"/>
        <w:contextualSpacing/>
        <w:jc w:val="left"/>
        <w:rPr>
          <w:rFonts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14.</w:t>
      </w:r>
      <w:r>
        <w:rPr>
          <w:rFonts w:hint="eastAsia" w:ascii="宋体" w:hAnsi="宋体" w:cs="宋体"/>
          <w:b/>
          <w:bCs/>
          <w:color w:val="000000" w:themeColor="text1"/>
          <w:sz w:val="24"/>
          <w:szCs w:val="24"/>
          <w:lang w:val="en-US" w:eastAsia="zh-CN"/>
          <w14:textFill>
            <w14:solidFill>
              <w14:schemeClr w14:val="tx1"/>
            </w14:solidFill>
          </w14:textFill>
        </w:rPr>
        <w:t>2</w:t>
      </w:r>
      <w:r>
        <w:rPr>
          <w:rFonts w:hint="eastAsia" w:ascii="宋体" w:hAnsi="宋体" w:cs="宋体"/>
          <w:b/>
          <w:bCs/>
          <w:color w:val="000000" w:themeColor="text1"/>
          <w:sz w:val="24"/>
          <w:szCs w:val="24"/>
          <w14:textFill>
            <w14:solidFill>
              <w14:schemeClr w14:val="tx1"/>
            </w14:solidFill>
          </w14:textFill>
        </w:rPr>
        <w:t>投标人应将响应性文件按规定的顺序编排、并应编制目录、逐页标注连续页码，必须采用胶装，不得采用活页装订，否则视为无效响应性文件。</w:t>
      </w:r>
    </w:p>
    <w:p>
      <w:pPr>
        <w:spacing w:line="500" w:lineRule="exact"/>
        <w:contextualSpacing/>
        <w:rPr>
          <w:rFonts w:ascii="宋体" w:hAnsi="宋体" w:cs="宋体"/>
          <w:b/>
          <w:color w:val="000000" w:themeColor="text1"/>
          <w:sz w:val="24"/>
          <w:szCs w:val="24"/>
          <w14:textFill>
            <w14:solidFill>
              <w14:schemeClr w14:val="tx1"/>
            </w14:solidFill>
          </w14:textFill>
        </w:rPr>
      </w:pPr>
      <w:bookmarkStart w:id="107" w:name="_Toc183582223"/>
      <w:bookmarkStart w:id="108" w:name="_Toc183682360"/>
      <w:bookmarkStart w:id="109" w:name="_Toc217446050"/>
      <w:r>
        <w:rPr>
          <w:rFonts w:hint="eastAsia" w:ascii="宋体" w:hAnsi="宋体" w:cs="宋体"/>
          <w:b/>
          <w:color w:val="000000" w:themeColor="text1"/>
          <w:sz w:val="24"/>
          <w:szCs w:val="24"/>
          <w14:textFill>
            <w14:solidFill>
              <w14:schemeClr w14:val="tx1"/>
            </w14:solidFill>
          </w14:textFill>
        </w:rPr>
        <w:t>15．投标保证金</w:t>
      </w:r>
      <w:bookmarkEnd w:id="107"/>
      <w:bookmarkEnd w:id="108"/>
      <w:bookmarkEnd w:id="109"/>
    </w:p>
    <w:p>
      <w:pPr>
        <w:spacing w:line="500" w:lineRule="exact"/>
        <w:ind w:firstLine="470" w:firstLineChars="196"/>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15.1 投标人投标时，必须以人民币提交招标文件规定数额的投标保证金，并作为其投标的一部分。联合投标的，可以由联合体的一方或者共同提交投标保证金，以一方名义提交投标保证金的，对联合体各方均具有约束力。</w:t>
      </w:r>
    </w:p>
    <w:p>
      <w:pPr>
        <w:spacing w:line="500" w:lineRule="exact"/>
        <w:ind w:firstLine="470" w:firstLineChars="196"/>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15.2 投标保证金本地采取银行转账形式，外地采取电汇凭证形式。</w:t>
      </w:r>
    </w:p>
    <w:p>
      <w:pPr>
        <w:spacing w:line="500" w:lineRule="exact"/>
        <w:ind w:firstLine="470" w:firstLineChars="196"/>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15.3未按招标文件要求在规定时间前（以银行实际下账时间为准）交纳规定数额投标保证金的投标将被拒绝。</w:t>
      </w:r>
    </w:p>
    <w:p>
      <w:pPr>
        <w:spacing w:line="500" w:lineRule="exact"/>
        <w:ind w:firstLine="470" w:firstLineChars="196"/>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15.4 投标人所交纳的投标保证金不计利息。</w:t>
      </w:r>
    </w:p>
    <w:p>
      <w:pPr>
        <w:spacing w:line="500" w:lineRule="exact"/>
        <w:ind w:firstLine="470" w:firstLineChars="196"/>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15.5未中标人的投标保证金，将在中标通知书发出后五个工作日内全额退还。中标人的投标保证金，在合同签订生效并按规定交纳了履约保证金后五个工作日内全额退还。</w:t>
      </w:r>
    </w:p>
    <w:p>
      <w:pPr>
        <w:spacing w:line="500" w:lineRule="exact"/>
        <w:ind w:firstLine="470" w:firstLineChars="196"/>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15.6下列任何情况发生时，采购代理机构将不予退还其交纳的投标保证金：</w:t>
      </w:r>
    </w:p>
    <w:p>
      <w:pPr>
        <w:spacing w:line="500" w:lineRule="exact"/>
        <w:ind w:firstLine="470" w:firstLineChars="196"/>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（1）如果投标人在招标文件规定的投标有效期内撤回投标。</w:t>
      </w:r>
    </w:p>
    <w:p>
      <w:pPr>
        <w:spacing w:line="500" w:lineRule="exact"/>
        <w:ind w:firstLine="470" w:firstLineChars="196"/>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（2）由于中标人的原因未能按照招标文件的规定与采购人签订合同。</w:t>
      </w:r>
    </w:p>
    <w:p>
      <w:pPr>
        <w:spacing w:line="500" w:lineRule="exact"/>
        <w:ind w:firstLine="480" w:firstLineChars="200"/>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（3）由于中标人的原因未能按照招标文件的规定交纳履约保证金。</w:t>
      </w:r>
    </w:p>
    <w:p>
      <w:pPr>
        <w:spacing w:line="500" w:lineRule="exact"/>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（4）投标有效期内，投标人在政府采购活动中有违规、违纪和违法的行为。</w:t>
      </w:r>
    </w:p>
    <w:p>
      <w:pPr>
        <w:spacing w:line="500" w:lineRule="exact"/>
        <w:contextualSpacing/>
        <w:rPr>
          <w:rFonts w:ascii="宋体" w:hAnsi="宋体" w:cs="宋体"/>
          <w:b/>
          <w:color w:val="000000" w:themeColor="text1"/>
          <w:sz w:val="24"/>
          <w:szCs w:val="24"/>
          <w14:textFill>
            <w14:solidFill>
              <w14:schemeClr w14:val="tx1"/>
            </w14:solidFill>
          </w14:textFill>
        </w:rPr>
      </w:pPr>
      <w:bookmarkStart w:id="110" w:name="_Toc217446051"/>
      <w:bookmarkStart w:id="111" w:name="_Toc183582224"/>
      <w:bookmarkStart w:id="112" w:name="_Toc183682361"/>
      <w:r>
        <w:rPr>
          <w:rFonts w:hint="eastAsia" w:ascii="宋体" w:hAnsi="宋体" w:cs="宋体"/>
          <w:b/>
          <w:color w:val="000000" w:themeColor="text1"/>
          <w:sz w:val="24"/>
          <w:szCs w:val="24"/>
          <w14:textFill>
            <w14:solidFill>
              <w14:schemeClr w14:val="tx1"/>
            </w14:solidFill>
          </w14:textFill>
        </w:rPr>
        <w:t>16．投标有效期</w:t>
      </w:r>
      <w:bookmarkEnd w:id="110"/>
      <w:bookmarkEnd w:id="111"/>
      <w:bookmarkEnd w:id="112"/>
    </w:p>
    <w:p>
      <w:pPr>
        <w:tabs>
          <w:tab w:val="left" w:pos="7665"/>
        </w:tabs>
        <w:spacing w:line="500" w:lineRule="exact"/>
        <w:ind w:left="13" w:leftChars="6" w:firstLine="480" w:firstLineChars="200"/>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16.1 投标有效期见投标人须知前附表。投标有效期短于此规定期限的投标，将被拒绝。</w:t>
      </w:r>
    </w:p>
    <w:p>
      <w:pPr>
        <w:tabs>
          <w:tab w:val="left" w:pos="7665"/>
        </w:tabs>
        <w:spacing w:line="500" w:lineRule="exact"/>
        <w:ind w:left="13" w:leftChars="6" w:firstLine="360" w:firstLineChars="150"/>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16.2 特殊情况下，采购人可于投标有效期满之前要求投标人同意延长有效期，要求与答复均应为书面形式。投标人可以拒绝上述要求，其投标保证金</w:t>
      </w:r>
      <w:r>
        <w:rPr>
          <w:rFonts w:hint="eastAsia" w:ascii="宋体" w:hAnsi="宋体" w:cs="宋体"/>
          <w:color w:val="000000" w:themeColor="text1"/>
          <w:spacing w:val="8"/>
          <w:sz w:val="24"/>
          <w:szCs w:val="24"/>
          <w14:textFill>
            <w14:solidFill>
              <w14:schemeClr w14:val="tx1"/>
            </w14:solidFill>
          </w14:textFill>
        </w:rPr>
        <w:t>不被没收。</w:t>
      </w:r>
      <w:r>
        <w:rPr>
          <w:rFonts w:hint="eastAsia" w:ascii="宋体" w:hAnsi="宋体" w:cs="宋体"/>
          <w:color w:val="000000" w:themeColor="text1"/>
          <w:sz w:val="24"/>
          <w:szCs w:val="24"/>
          <w14:textFill>
            <w14:solidFill>
              <w14:schemeClr w14:val="tx1"/>
            </w14:solidFill>
          </w14:textFill>
        </w:rPr>
        <w:t>拒绝延长投标有效期的投标人不得再参与该项目后续采购活动。同意延长投标有效期的投标人不能修改其投标文件，关于投标保证金的有关规定在延长的投标有效期内继续有效。</w:t>
      </w:r>
    </w:p>
    <w:p>
      <w:pPr>
        <w:spacing w:line="500" w:lineRule="exact"/>
        <w:contextualSpacing/>
        <w:rPr>
          <w:rFonts w:ascii="宋体" w:hAnsi="宋体" w:cs="宋体"/>
          <w:b/>
          <w:color w:val="000000" w:themeColor="text1"/>
          <w:sz w:val="24"/>
          <w:szCs w:val="24"/>
          <w14:textFill>
            <w14:solidFill>
              <w14:schemeClr w14:val="tx1"/>
            </w14:solidFill>
          </w14:textFill>
        </w:rPr>
      </w:pPr>
      <w:bookmarkStart w:id="113" w:name="_Toc183682362"/>
      <w:bookmarkStart w:id="114" w:name="_Toc183582225"/>
      <w:bookmarkStart w:id="115" w:name="_Toc217446052"/>
      <w:r>
        <w:rPr>
          <w:rFonts w:hint="eastAsia" w:ascii="宋体" w:hAnsi="宋体" w:cs="宋体"/>
          <w:b/>
          <w:color w:val="000000" w:themeColor="text1"/>
          <w:sz w:val="24"/>
          <w:szCs w:val="24"/>
          <w14:textFill>
            <w14:solidFill>
              <w14:schemeClr w14:val="tx1"/>
            </w14:solidFill>
          </w14:textFill>
        </w:rPr>
        <w:t>17．投标文件的印制和签署</w:t>
      </w:r>
      <w:bookmarkEnd w:id="113"/>
      <w:bookmarkEnd w:id="114"/>
      <w:bookmarkEnd w:id="115"/>
    </w:p>
    <w:p>
      <w:pPr>
        <w:tabs>
          <w:tab w:val="left" w:pos="1080"/>
        </w:tabs>
        <w:spacing w:line="500" w:lineRule="exact"/>
        <w:ind w:firstLine="460" w:firstLineChars="192"/>
        <w:contextualSpacing/>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17.1 投标人应按“投标须知前附表”</w:t>
      </w:r>
      <w:r>
        <w:rPr>
          <w:rFonts w:hint="eastAsia" w:ascii="宋体" w:hAnsi="宋体" w:cs="宋体"/>
          <w:color w:val="000000" w:themeColor="text1"/>
          <w:sz w:val="24"/>
          <w:szCs w:val="24"/>
          <w:lang w:val="en-US" w:eastAsia="zh-CN"/>
          <w14:textFill>
            <w14:solidFill>
              <w14:schemeClr w14:val="tx1"/>
            </w14:solidFill>
          </w14:textFill>
        </w:rPr>
        <w:t>要求。</w:t>
      </w:r>
    </w:p>
    <w:p>
      <w:pPr>
        <w:tabs>
          <w:tab w:val="left" w:pos="1095"/>
        </w:tabs>
        <w:spacing w:line="500" w:lineRule="exact"/>
        <w:ind w:firstLine="460" w:firstLineChars="192"/>
        <w:contextualSpacing/>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17.2 投标文件的正本和副本均需打印或用不褪色、不变质的墨水书写，并由投标人的法定代表人或其授权代表在规定签章处签字和盖章</w:t>
      </w:r>
      <w:r>
        <w:rPr>
          <w:rFonts w:hint="eastAsia" w:ascii="宋体" w:hAnsi="宋体" w:cs="宋体"/>
          <w:color w:val="000000" w:themeColor="text1"/>
          <w:sz w:val="24"/>
          <w:szCs w:val="24"/>
          <w:lang w:eastAsia="zh-CN"/>
          <w14:textFill>
            <w14:solidFill>
              <w14:schemeClr w14:val="tx1"/>
            </w14:solidFill>
          </w14:textFill>
        </w:rPr>
        <w:t>。</w:t>
      </w:r>
    </w:p>
    <w:p>
      <w:pPr>
        <w:tabs>
          <w:tab w:val="left" w:pos="1095"/>
        </w:tabs>
        <w:spacing w:line="500" w:lineRule="exact"/>
        <w:ind w:firstLine="460" w:firstLineChars="192"/>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17.3 投标文件的打印和书写应清楚工整，任何行间插字、涂改或增删，必须由投标人的法定代表人或其授权代表签字或盖个人印鉴。字迹潦草、表达不清或可能导致非唯一理解的投标文件可能视为无效投标。</w:t>
      </w:r>
    </w:p>
    <w:p>
      <w:pPr>
        <w:tabs>
          <w:tab w:val="left" w:pos="1080"/>
        </w:tabs>
        <w:spacing w:line="500" w:lineRule="exact"/>
        <w:ind w:firstLine="460" w:firstLineChars="192"/>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17.4 投标文件正本和副本必须装订成册并逐页编目编码。</w:t>
      </w:r>
    </w:p>
    <w:p>
      <w:pPr>
        <w:tabs>
          <w:tab w:val="left" w:pos="1080"/>
        </w:tabs>
        <w:spacing w:line="500" w:lineRule="exact"/>
        <w:ind w:firstLine="460" w:firstLineChars="192"/>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17.5 投标文件应根据招标文件的要求制作，签署、盖章和内容应完整，如有遗漏，将被视为无效投标。</w:t>
      </w:r>
    </w:p>
    <w:p>
      <w:pPr>
        <w:tabs>
          <w:tab w:val="left" w:pos="1080"/>
        </w:tabs>
        <w:spacing w:line="500" w:lineRule="exact"/>
        <w:ind w:firstLine="460" w:firstLineChars="192"/>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17.6 投标文件统一用A4幅面纸印制。</w:t>
      </w:r>
    </w:p>
    <w:p>
      <w:pPr>
        <w:spacing w:line="500" w:lineRule="exact"/>
        <w:contextualSpacing/>
        <w:rPr>
          <w:rFonts w:ascii="宋体" w:hAnsi="宋体" w:cs="宋体"/>
          <w:b/>
          <w:color w:val="000000" w:themeColor="text1"/>
          <w:sz w:val="24"/>
          <w:szCs w:val="24"/>
          <w14:textFill>
            <w14:solidFill>
              <w14:schemeClr w14:val="tx1"/>
            </w14:solidFill>
          </w14:textFill>
        </w:rPr>
      </w:pPr>
      <w:bookmarkStart w:id="116" w:name="_Toc89075877"/>
      <w:bookmarkStart w:id="117" w:name="_Toc183682363"/>
      <w:bookmarkStart w:id="118" w:name="_Toc77400781"/>
      <w:bookmarkStart w:id="119" w:name="_Toc183582226"/>
      <w:bookmarkStart w:id="120" w:name="_Toc217446053"/>
      <w:r>
        <w:rPr>
          <w:rFonts w:hint="eastAsia" w:ascii="宋体" w:hAnsi="宋体" w:cs="宋体"/>
          <w:b/>
          <w:color w:val="000000" w:themeColor="text1"/>
          <w:sz w:val="24"/>
          <w:szCs w:val="24"/>
          <w14:textFill>
            <w14:solidFill>
              <w14:schemeClr w14:val="tx1"/>
            </w14:solidFill>
          </w14:textFill>
        </w:rPr>
        <w:t>18. 投标文件的密封和标</w:t>
      </w:r>
      <w:bookmarkEnd w:id="116"/>
      <w:bookmarkEnd w:id="117"/>
      <w:bookmarkEnd w:id="118"/>
      <w:bookmarkEnd w:id="119"/>
      <w:r>
        <w:rPr>
          <w:rFonts w:hint="eastAsia" w:ascii="宋体" w:hAnsi="宋体" w:cs="宋体"/>
          <w:b/>
          <w:color w:val="000000" w:themeColor="text1"/>
          <w:sz w:val="24"/>
          <w:szCs w:val="24"/>
          <w14:textFill>
            <w14:solidFill>
              <w14:schemeClr w14:val="tx1"/>
            </w14:solidFill>
          </w14:textFill>
        </w:rPr>
        <w:t>注</w:t>
      </w:r>
      <w:bookmarkEnd w:id="120"/>
    </w:p>
    <w:p>
      <w:pPr>
        <w:tabs>
          <w:tab w:val="left" w:pos="1080"/>
        </w:tabs>
        <w:spacing w:line="500" w:lineRule="exact"/>
        <w:ind w:firstLine="460" w:firstLineChars="192"/>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18.1 </w:t>
      </w:r>
      <w:r>
        <w:rPr>
          <w:rFonts w:hint="eastAsia" w:ascii="宋体" w:hAnsi="宋体" w:cs="宋体"/>
          <w:color w:val="000000" w:themeColor="text1"/>
          <w:sz w:val="24"/>
          <w:szCs w:val="24"/>
          <w:lang w:val="en-US" w:eastAsia="zh-CN"/>
          <w14:textFill>
            <w14:solidFill>
              <w14:schemeClr w14:val="tx1"/>
            </w14:solidFill>
          </w14:textFill>
        </w:rPr>
        <w:t>以上传电子投标文件为准，</w:t>
      </w:r>
      <w:r>
        <w:rPr>
          <w:rFonts w:hint="eastAsia" w:ascii="宋体" w:hAnsi="宋体" w:cs="宋体"/>
          <w:color w:val="000000" w:themeColor="text1"/>
          <w:sz w:val="24"/>
          <w:szCs w:val="24"/>
          <w14:textFill>
            <w14:solidFill>
              <w14:schemeClr w14:val="tx1"/>
            </w14:solidFill>
          </w14:textFill>
        </w:rPr>
        <w:t>投标文件应根据招标文件的要求制作，签署、盖章和内容应完整，如有遗漏，将被视为无效投标。</w:t>
      </w:r>
    </w:p>
    <w:p>
      <w:pPr>
        <w:spacing w:line="500" w:lineRule="exact"/>
        <w:contextualSpacing/>
        <w:rPr>
          <w:rFonts w:ascii="宋体" w:hAnsi="宋体" w:cs="宋体"/>
          <w:b/>
          <w:color w:val="000000" w:themeColor="text1"/>
          <w:sz w:val="24"/>
          <w:szCs w:val="24"/>
          <w14:textFill>
            <w14:solidFill>
              <w14:schemeClr w14:val="tx1"/>
            </w14:solidFill>
          </w14:textFill>
        </w:rPr>
      </w:pPr>
      <w:bookmarkStart w:id="121" w:name="_Toc183682364"/>
      <w:bookmarkStart w:id="122" w:name="_Toc183582227"/>
      <w:bookmarkStart w:id="123" w:name="_Toc217446054"/>
      <w:r>
        <w:rPr>
          <w:rFonts w:hint="eastAsia" w:ascii="宋体" w:hAnsi="宋体" w:cs="宋体"/>
          <w:b/>
          <w:color w:val="000000" w:themeColor="text1"/>
          <w:sz w:val="24"/>
          <w:szCs w:val="24"/>
          <w14:textFill>
            <w14:solidFill>
              <w14:schemeClr w14:val="tx1"/>
            </w14:solidFill>
          </w14:textFill>
        </w:rPr>
        <w:t>19．投标文件的</w:t>
      </w:r>
      <w:bookmarkEnd w:id="121"/>
      <w:bookmarkEnd w:id="122"/>
      <w:r>
        <w:rPr>
          <w:rFonts w:hint="eastAsia" w:ascii="宋体" w:hAnsi="宋体" w:cs="宋体"/>
          <w:b/>
          <w:color w:val="000000" w:themeColor="text1"/>
          <w:sz w:val="24"/>
          <w:szCs w:val="24"/>
          <w14:textFill>
            <w14:solidFill>
              <w14:schemeClr w14:val="tx1"/>
            </w14:solidFill>
          </w14:textFill>
        </w:rPr>
        <w:t>递交</w:t>
      </w:r>
      <w:bookmarkEnd w:id="123"/>
    </w:p>
    <w:p>
      <w:pPr>
        <w:tabs>
          <w:tab w:val="left" w:pos="1095"/>
        </w:tabs>
        <w:spacing w:line="500" w:lineRule="exact"/>
        <w:ind w:firstLine="460" w:firstLineChars="192"/>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19.1 投标人应在招标文件规定的投标截止时间前，将投标文件按规定</w:t>
      </w:r>
      <w:r>
        <w:rPr>
          <w:rFonts w:hint="eastAsia" w:ascii="宋体" w:hAnsi="宋体" w:cs="宋体"/>
          <w:color w:val="000000" w:themeColor="text1"/>
          <w:sz w:val="24"/>
          <w:szCs w:val="24"/>
          <w:lang w:val="en-US" w:eastAsia="zh-CN"/>
          <w14:textFill>
            <w14:solidFill>
              <w14:schemeClr w14:val="tx1"/>
            </w14:solidFill>
          </w14:textFill>
        </w:rPr>
        <w:t>提交投标文件对投标文件进行解密</w:t>
      </w:r>
      <w:r>
        <w:rPr>
          <w:rFonts w:hint="eastAsia" w:ascii="宋体" w:hAnsi="宋体" w:cs="宋体"/>
          <w:color w:val="000000" w:themeColor="text1"/>
          <w:sz w:val="24"/>
          <w:szCs w:val="24"/>
          <w14:textFill>
            <w14:solidFill>
              <w14:schemeClr w14:val="tx1"/>
            </w14:solidFill>
          </w14:textFill>
        </w:rPr>
        <w:t>。投标截止时间以后</w:t>
      </w:r>
      <w:r>
        <w:rPr>
          <w:rFonts w:hint="eastAsia" w:ascii="宋体" w:hAnsi="宋体" w:cs="宋体"/>
          <w:color w:val="000000" w:themeColor="text1"/>
          <w:sz w:val="24"/>
          <w:szCs w:val="24"/>
          <w:lang w:val="en-US" w:eastAsia="zh-CN"/>
          <w14:textFill>
            <w14:solidFill>
              <w14:schemeClr w14:val="tx1"/>
            </w14:solidFill>
          </w14:textFill>
        </w:rPr>
        <w:t>提交</w:t>
      </w:r>
      <w:r>
        <w:rPr>
          <w:rFonts w:hint="eastAsia" w:ascii="宋体" w:hAnsi="宋体" w:cs="宋体"/>
          <w:color w:val="000000" w:themeColor="text1"/>
          <w:sz w:val="24"/>
          <w:szCs w:val="24"/>
          <w14:textFill>
            <w14:solidFill>
              <w14:schemeClr w14:val="tx1"/>
            </w14:solidFill>
          </w14:textFill>
        </w:rPr>
        <w:t>的投标文件将被拒绝。</w:t>
      </w:r>
    </w:p>
    <w:p>
      <w:pPr>
        <w:spacing w:line="500" w:lineRule="exact"/>
        <w:ind w:firstLine="480" w:firstLineChars="200"/>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19.</w:t>
      </w:r>
      <w:r>
        <w:rPr>
          <w:rFonts w:hint="eastAsia" w:ascii="宋体" w:hAnsi="宋体" w:cs="宋体"/>
          <w:color w:val="000000" w:themeColor="text1"/>
          <w:sz w:val="24"/>
          <w:szCs w:val="24"/>
          <w:lang w:val="en-US" w:eastAsia="zh-CN"/>
          <w14:textFill>
            <w14:solidFill>
              <w14:schemeClr w14:val="tx1"/>
            </w14:solidFill>
          </w14:textFill>
        </w:rPr>
        <w:t>2</w:t>
      </w:r>
      <w:r>
        <w:rPr>
          <w:rFonts w:hint="eastAsia" w:ascii="宋体" w:hAnsi="宋体" w:cs="宋体"/>
          <w:color w:val="000000" w:themeColor="text1"/>
          <w:sz w:val="24"/>
          <w:szCs w:val="24"/>
          <w14:textFill>
            <w14:solidFill>
              <w14:schemeClr w14:val="tx1"/>
            </w14:solidFill>
          </w14:textFill>
        </w:rPr>
        <w:t xml:space="preserve">  出现因招标文件的修改而推迟投标截止时间的情况时，投标人则需按招标方的书面修改通知重新规定的投标时间递交。</w:t>
      </w:r>
    </w:p>
    <w:p>
      <w:pPr>
        <w:spacing w:line="500" w:lineRule="exact"/>
        <w:contextualSpacing/>
        <w:rPr>
          <w:rFonts w:ascii="宋体" w:hAnsi="宋体" w:cs="宋体"/>
          <w:b/>
          <w:color w:val="000000" w:themeColor="text1"/>
          <w:sz w:val="24"/>
          <w:szCs w:val="24"/>
          <w14:textFill>
            <w14:solidFill>
              <w14:schemeClr w14:val="tx1"/>
            </w14:solidFill>
          </w14:textFill>
        </w:rPr>
      </w:pPr>
      <w:bookmarkStart w:id="124" w:name="_Toc183582228"/>
      <w:bookmarkStart w:id="125" w:name="_Toc183682365"/>
      <w:bookmarkStart w:id="126" w:name="_Toc217446055"/>
      <w:r>
        <w:rPr>
          <w:rFonts w:hint="eastAsia" w:ascii="宋体" w:hAnsi="宋体" w:cs="宋体"/>
          <w:b/>
          <w:color w:val="000000" w:themeColor="text1"/>
          <w:sz w:val="24"/>
          <w:szCs w:val="24"/>
          <w14:textFill>
            <w14:solidFill>
              <w14:schemeClr w14:val="tx1"/>
            </w14:solidFill>
          </w14:textFill>
        </w:rPr>
        <w:t>20．投标文件的修改和撤</w:t>
      </w:r>
      <w:bookmarkEnd w:id="124"/>
      <w:bookmarkEnd w:id="125"/>
      <w:r>
        <w:rPr>
          <w:rFonts w:hint="eastAsia" w:ascii="宋体" w:hAnsi="宋体" w:cs="宋体"/>
          <w:b/>
          <w:color w:val="000000" w:themeColor="text1"/>
          <w:sz w:val="24"/>
          <w:szCs w:val="24"/>
          <w14:textFill>
            <w14:solidFill>
              <w14:schemeClr w14:val="tx1"/>
            </w14:solidFill>
          </w14:textFill>
        </w:rPr>
        <w:t>回</w:t>
      </w:r>
      <w:bookmarkEnd w:id="126"/>
    </w:p>
    <w:p>
      <w:pPr>
        <w:spacing w:line="500" w:lineRule="exact"/>
        <w:ind w:firstLine="470" w:firstLineChars="196"/>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20.1 投标人在递交了投标文件后，可以修改或撤回其投标文件，但必须在规定的投标截止时间前</w:t>
      </w:r>
      <w:r>
        <w:rPr>
          <w:rFonts w:hint="eastAsia" w:ascii="宋体" w:hAnsi="宋体" w:cs="宋体"/>
          <w:color w:val="000000" w:themeColor="text1"/>
          <w:sz w:val="24"/>
          <w:szCs w:val="24"/>
          <w:lang w:val="en-US" w:eastAsia="zh-CN"/>
          <w14:textFill>
            <w14:solidFill>
              <w14:schemeClr w14:val="tx1"/>
            </w14:solidFill>
          </w14:textFill>
        </w:rPr>
        <w:t>在线递交投标文件</w:t>
      </w:r>
      <w:r>
        <w:rPr>
          <w:rFonts w:hint="eastAsia" w:ascii="宋体" w:hAnsi="宋体" w:cs="宋体"/>
          <w:color w:val="000000" w:themeColor="text1"/>
          <w:sz w:val="24"/>
          <w:szCs w:val="24"/>
          <w14:textFill>
            <w14:solidFill>
              <w14:schemeClr w14:val="tx1"/>
            </w14:solidFill>
          </w14:textFill>
        </w:rPr>
        <w:t>。</w:t>
      </w:r>
    </w:p>
    <w:p>
      <w:pPr>
        <w:spacing w:line="500" w:lineRule="exact"/>
        <w:ind w:firstLine="470" w:firstLineChars="196"/>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20.2  在投标截止时间之后，投标人不得对其递交的投标文件做任何修改或撤回投标。</w:t>
      </w:r>
      <w:bookmarkStart w:id="127" w:name="_Toc77400782"/>
      <w:bookmarkStart w:id="128" w:name="_Toc183682368"/>
      <w:bookmarkStart w:id="129" w:name="_Toc217446056"/>
      <w:bookmarkStart w:id="130" w:name="_Toc89075878"/>
      <w:bookmarkStart w:id="131" w:name="_Toc183582231"/>
    </w:p>
    <w:p>
      <w:pPr>
        <w:pStyle w:val="5"/>
        <w:spacing w:line="500" w:lineRule="exact"/>
        <w:contextualSpacing/>
        <w:rPr>
          <w:rFonts w:ascii="宋体" w:hAnsi="宋体" w:cs="宋体"/>
          <w:color w:val="000000" w:themeColor="text1"/>
          <w:sz w:val="24"/>
          <w:szCs w:val="24"/>
          <w14:textFill>
            <w14:solidFill>
              <w14:schemeClr w14:val="tx1"/>
            </w14:solidFill>
          </w14:textFill>
        </w:rPr>
      </w:pPr>
      <w:bookmarkStart w:id="132" w:name="_Toc7219"/>
      <w:bookmarkStart w:id="133" w:name="_Toc406749974"/>
      <w:bookmarkStart w:id="134" w:name="_Toc3779"/>
      <w:bookmarkStart w:id="135" w:name="_Toc487728203"/>
      <w:bookmarkStart w:id="136" w:name="_Toc579"/>
      <w:r>
        <w:rPr>
          <w:rFonts w:hint="eastAsia" w:ascii="宋体" w:hAnsi="宋体" w:cs="宋体"/>
          <w:color w:val="000000" w:themeColor="text1"/>
          <w:sz w:val="24"/>
          <w:szCs w:val="24"/>
          <w14:textFill>
            <w14:solidFill>
              <w14:schemeClr w14:val="tx1"/>
            </w14:solidFill>
          </w14:textFill>
        </w:rPr>
        <w:t>四、开标和评标</w:t>
      </w:r>
      <w:bookmarkEnd w:id="127"/>
      <w:bookmarkEnd w:id="128"/>
      <w:bookmarkEnd w:id="129"/>
      <w:bookmarkEnd w:id="130"/>
      <w:bookmarkEnd w:id="131"/>
      <w:bookmarkEnd w:id="132"/>
      <w:bookmarkEnd w:id="133"/>
      <w:bookmarkEnd w:id="134"/>
      <w:bookmarkEnd w:id="135"/>
      <w:bookmarkEnd w:id="136"/>
    </w:p>
    <w:p>
      <w:pPr>
        <w:spacing w:line="500" w:lineRule="exact"/>
        <w:contextualSpacing/>
        <w:rPr>
          <w:rFonts w:ascii="宋体" w:hAnsi="宋体" w:cs="宋体"/>
          <w:b/>
          <w:color w:val="000000" w:themeColor="text1"/>
          <w:sz w:val="24"/>
          <w:szCs w:val="24"/>
          <w14:textFill>
            <w14:solidFill>
              <w14:schemeClr w14:val="tx1"/>
            </w14:solidFill>
          </w14:textFill>
        </w:rPr>
      </w:pPr>
      <w:bookmarkStart w:id="137" w:name="_Toc217446057"/>
      <w:bookmarkStart w:id="138" w:name="_Toc183682369"/>
      <w:bookmarkStart w:id="139" w:name="_Toc183582232"/>
      <w:r>
        <w:rPr>
          <w:rFonts w:hint="eastAsia" w:ascii="宋体" w:hAnsi="宋体" w:cs="宋体"/>
          <w:b/>
          <w:color w:val="000000" w:themeColor="text1"/>
          <w:sz w:val="24"/>
          <w:szCs w:val="24"/>
          <w14:textFill>
            <w14:solidFill>
              <w14:schemeClr w14:val="tx1"/>
            </w14:solidFill>
          </w14:textFill>
        </w:rPr>
        <w:t>21．开标</w:t>
      </w:r>
      <w:bookmarkEnd w:id="137"/>
      <w:bookmarkEnd w:id="138"/>
      <w:bookmarkEnd w:id="139"/>
    </w:p>
    <w:p>
      <w:pPr>
        <w:spacing w:line="500" w:lineRule="exact"/>
        <w:ind w:firstLine="480" w:firstLineChars="200"/>
        <w:contextualSpacing/>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21.1 采购代理机构在招标文件规定的时间和地点组织公开开标，采购人、投标人须</w:t>
      </w:r>
      <w:r>
        <w:rPr>
          <w:rFonts w:hint="eastAsia" w:ascii="宋体" w:hAnsi="宋体" w:cs="宋体"/>
          <w:color w:val="000000" w:themeColor="text1"/>
          <w:sz w:val="24"/>
          <w:szCs w:val="24"/>
          <w:lang w:val="en-US" w:eastAsia="zh-CN"/>
          <w14:textFill>
            <w14:solidFill>
              <w14:schemeClr w14:val="tx1"/>
            </w14:solidFill>
          </w14:textFill>
        </w:rPr>
        <w:t>在线参加开标活动</w:t>
      </w:r>
      <w:r>
        <w:rPr>
          <w:rFonts w:hint="eastAsia" w:ascii="宋体" w:hAnsi="宋体" w:cs="宋体"/>
          <w:color w:val="000000" w:themeColor="text1"/>
          <w:sz w:val="24"/>
          <w:szCs w:val="24"/>
          <w14:textFill>
            <w14:solidFill>
              <w14:schemeClr w14:val="tx1"/>
            </w14:solidFill>
          </w14:textFill>
        </w:rPr>
        <w:t>。</w:t>
      </w:r>
    </w:p>
    <w:p>
      <w:pPr>
        <w:spacing w:line="500" w:lineRule="exact"/>
        <w:ind w:firstLine="480" w:firstLineChars="200"/>
        <w:contextualSpacing/>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21.2 开标时，采购代理机构可以邀请有关监督管理部门对开标进行现场监督。</w:t>
      </w:r>
    </w:p>
    <w:p>
      <w:pPr>
        <w:spacing w:line="500" w:lineRule="exact"/>
        <w:ind w:firstLine="480" w:firstLineChars="200"/>
        <w:contextualSpacing/>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21.3 开标时，</w:t>
      </w:r>
      <w:r>
        <w:rPr>
          <w:rFonts w:hint="eastAsia" w:ascii="宋体" w:hAnsi="宋体" w:cs="宋体"/>
          <w:color w:val="000000" w:themeColor="text1"/>
          <w:sz w:val="24"/>
          <w:szCs w:val="24"/>
          <w:lang w:val="en-US" w:eastAsia="zh-CN"/>
          <w14:textFill>
            <w14:solidFill>
              <w14:schemeClr w14:val="tx1"/>
            </w14:solidFill>
          </w14:textFill>
        </w:rPr>
        <w:t>进行在线解密，</w:t>
      </w:r>
      <w:r>
        <w:rPr>
          <w:rFonts w:hint="eastAsia" w:ascii="宋体" w:hAnsi="宋体" w:cs="宋体"/>
          <w:color w:val="000000" w:themeColor="text1"/>
          <w:sz w:val="24"/>
          <w:szCs w:val="24"/>
          <w14:textFill>
            <w14:solidFill>
              <w14:schemeClr w14:val="tx1"/>
            </w14:solidFill>
          </w14:textFill>
        </w:rPr>
        <w:t xml:space="preserve">并由唱标人员按照招标文件规定的内容进行宣读。 </w:t>
      </w:r>
    </w:p>
    <w:p>
      <w:pPr>
        <w:widowControl/>
        <w:spacing w:line="500" w:lineRule="exact"/>
        <w:ind w:firstLine="480" w:firstLineChars="200"/>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21.4 开标时，总价金额与按单价计算的汇总金额不一致的，以单价计算的汇总金额为准；单价金额有明显小数点错误的，以总价为准，并修改单价。</w:t>
      </w:r>
    </w:p>
    <w:p>
      <w:pPr>
        <w:pStyle w:val="31"/>
        <w:snapToGrid/>
        <w:spacing w:line="500" w:lineRule="exact"/>
        <w:ind w:firstLine="480"/>
        <w:contextualSpacing/>
        <w:jc w:val="left"/>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21.5 投标文件中有关明细表内容与“开标一览表”不一致的，以“开标一览表”为准。对不同文字文本投标文件的解释发生异议的，以中文文本为准。</w:t>
      </w:r>
    </w:p>
    <w:p>
      <w:pPr>
        <w:spacing w:line="500" w:lineRule="exact"/>
        <w:ind w:firstLine="480" w:firstLineChars="200"/>
        <w:contextualSpacing/>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21.6 所有投标唱标完毕，如投标人代表对宣读的“开标一览表”上的内容有异议的，应在获得开标会主持人同意后当场提出。如确实属于唱标人员宣读错了的，经现场监督人员核实后，当场予以更正。</w:t>
      </w:r>
    </w:p>
    <w:p>
      <w:pPr>
        <w:spacing w:line="500" w:lineRule="exact"/>
        <w:contextualSpacing/>
        <w:rPr>
          <w:rFonts w:ascii="宋体" w:hAnsi="宋体" w:cs="宋体"/>
          <w:b/>
          <w:color w:val="000000" w:themeColor="text1"/>
          <w:sz w:val="24"/>
          <w:szCs w:val="24"/>
          <w14:textFill>
            <w14:solidFill>
              <w14:schemeClr w14:val="tx1"/>
            </w14:solidFill>
          </w14:textFill>
        </w:rPr>
      </w:pPr>
      <w:bookmarkStart w:id="140" w:name="_Toc217446058"/>
      <w:r>
        <w:rPr>
          <w:rFonts w:hint="eastAsia" w:ascii="宋体" w:hAnsi="宋体" w:cs="宋体"/>
          <w:b/>
          <w:color w:val="000000" w:themeColor="text1"/>
          <w:sz w:val="24"/>
          <w:szCs w:val="24"/>
          <w14:textFill>
            <w14:solidFill>
              <w14:schemeClr w14:val="tx1"/>
            </w14:solidFill>
          </w14:textFill>
        </w:rPr>
        <w:t>22. 开标程序</w:t>
      </w:r>
      <w:bookmarkEnd w:id="140"/>
    </w:p>
    <w:p>
      <w:pPr>
        <w:pStyle w:val="31"/>
        <w:snapToGrid/>
        <w:spacing w:line="500" w:lineRule="exact"/>
        <w:ind w:firstLine="480"/>
        <w:contextualSpacing/>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22.1 开标会主持人按照招标文件规定的开标时间宣布开标，按照规定要求主持开标会。开标将按以下程序进行：</w:t>
      </w:r>
    </w:p>
    <w:p>
      <w:pPr>
        <w:spacing w:line="500" w:lineRule="exact"/>
        <w:ind w:firstLine="480" w:firstLineChars="200"/>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（1）宣布开标会开始。开标时间到，主持人宣布开标会开始并致辞，当众宣布参加开标会的现场监督人员和主持人、唱标、监标、会议记录等招标工作人员，根据“供应商签到表”宣布参加投标的供应商名单。</w:t>
      </w:r>
    </w:p>
    <w:p>
      <w:pPr>
        <w:spacing w:line="500" w:lineRule="exact"/>
        <w:ind w:firstLine="480" w:firstLineChars="200"/>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（2）宣布会场纪律和有关注意事项。</w:t>
      </w:r>
    </w:p>
    <w:p>
      <w:pPr>
        <w:spacing w:line="500" w:lineRule="exact"/>
        <w:ind w:firstLine="480" w:firstLineChars="200"/>
        <w:contextualSpacing/>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（3）监督人当众宣布</w:t>
      </w:r>
      <w:r>
        <w:rPr>
          <w:rFonts w:hint="eastAsia" w:ascii="宋体" w:hAnsi="宋体" w:cs="宋体"/>
          <w:color w:val="000000" w:themeColor="text1"/>
          <w:sz w:val="24"/>
          <w:szCs w:val="24"/>
          <w:lang w:val="en-US" w:eastAsia="zh-CN"/>
          <w14:textFill>
            <w14:solidFill>
              <w14:schemeClr w14:val="tx1"/>
            </w14:solidFill>
          </w14:textFill>
        </w:rPr>
        <w:t>递交</w:t>
      </w:r>
      <w:r>
        <w:rPr>
          <w:rFonts w:hint="eastAsia" w:ascii="宋体" w:hAnsi="宋体" w:cs="宋体"/>
          <w:color w:val="000000" w:themeColor="text1"/>
          <w:sz w:val="24"/>
          <w:szCs w:val="24"/>
          <w14:textFill>
            <w14:solidFill>
              <w14:schemeClr w14:val="tx1"/>
            </w14:solidFill>
          </w14:textFill>
        </w:rPr>
        <w:t>投标文件的情况。</w:t>
      </w:r>
    </w:p>
    <w:p>
      <w:pPr>
        <w:pStyle w:val="47"/>
        <w:ind w:firstLine="480" w:firstLineChars="200"/>
        <w:rPr>
          <w:rFonts w:hint="default" w:eastAsia="宋体"/>
          <w:lang w:val="en-US" w:eastAsia="zh-CN"/>
        </w:rPr>
      </w:pPr>
      <w:r>
        <w:rPr>
          <w:rFonts w:hint="eastAsia" w:ascii="宋体" w:hAnsi="宋体" w:cs="宋体"/>
          <w:color w:val="000000" w:themeColor="text1"/>
          <w:sz w:val="24"/>
          <w:szCs w:val="24"/>
          <w14:textFill>
            <w14:solidFill>
              <w14:schemeClr w14:val="tx1"/>
            </w14:solidFill>
          </w14:textFill>
        </w:rPr>
        <w:t>（4）</w:t>
      </w:r>
      <w:r>
        <w:rPr>
          <w:rFonts w:hint="eastAsia" w:ascii="宋体" w:hAnsi="宋体" w:eastAsia="宋体" w:cs="宋体"/>
          <w:color w:val="000000" w:themeColor="text1"/>
          <w:sz w:val="24"/>
          <w:szCs w:val="24"/>
          <w:lang w:val="en-US" w:eastAsia="zh-CN"/>
          <w14:textFill>
            <w14:solidFill>
              <w14:schemeClr w14:val="tx1"/>
            </w14:solidFill>
          </w14:textFill>
        </w:rPr>
        <w:t>投标文件解密。</w:t>
      </w:r>
    </w:p>
    <w:p>
      <w:pPr>
        <w:spacing w:line="500" w:lineRule="exact"/>
        <w:ind w:firstLine="460" w:firstLineChars="192"/>
        <w:contextualSpacing/>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w:t>
      </w:r>
      <w:r>
        <w:rPr>
          <w:rFonts w:hint="eastAsia" w:ascii="宋体" w:hAnsi="宋体" w:cs="宋体"/>
          <w:color w:val="000000" w:themeColor="text1"/>
          <w:sz w:val="24"/>
          <w:szCs w:val="24"/>
          <w:lang w:val="en-US" w:eastAsia="zh-CN"/>
          <w14:textFill>
            <w14:solidFill>
              <w14:schemeClr w14:val="tx1"/>
            </w14:solidFill>
          </w14:textFill>
        </w:rPr>
        <w:t>5</w:t>
      </w:r>
      <w:r>
        <w:rPr>
          <w:rFonts w:hint="eastAsia" w:ascii="宋体" w:hAnsi="宋体" w:cs="宋体"/>
          <w:color w:val="000000" w:themeColor="text1"/>
          <w:sz w:val="24"/>
          <w:szCs w:val="24"/>
          <w14:textFill>
            <w14:solidFill>
              <w14:schemeClr w14:val="tx1"/>
            </w14:solidFill>
          </w14:textFill>
        </w:rPr>
        <w:t>）开标唱标。主持人宣布开标后，由现场工作人员按任意顺序对投标人的</w:t>
      </w:r>
      <w:r>
        <w:rPr>
          <w:rFonts w:hint="eastAsia" w:ascii="宋体" w:hAnsi="宋体" w:cs="宋体"/>
          <w:color w:val="000000" w:themeColor="text1"/>
          <w:sz w:val="24"/>
          <w:szCs w:val="24"/>
          <w:lang w:val="en-US" w:eastAsia="zh-CN"/>
          <w14:textFill>
            <w14:solidFill>
              <w14:schemeClr w14:val="tx1"/>
            </w14:solidFill>
          </w14:textFill>
        </w:rPr>
        <w:t>投标报价</w:t>
      </w:r>
      <w:r>
        <w:rPr>
          <w:rFonts w:hint="eastAsia" w:ascii="宋体" w:hAnsi="宋体" w:cs="宋体"/>
          <w:color w:val="000000" w:themeColor="text1"/>
          <w:sz w:val="24"/>
          <w:szCs w:val="24"/>
          <w14:textFill>
            <w14:solidFill>
              <w14:schemeClr w14:val="tx1"/>
            </w14:solidFill>
          </w14:textFill>
        </w:rPr>
        <w:t>进行宣读并做开标记录。</w:t>
      </w:r>
    </w:p>
    <w:p>
      <w:pPr>
        <w:spacing w:line="500" w:lineRule="exact"/>
        <w:ind w:firstLine="460" w:firstLineChars="192"/>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（6）对各投标人的投标文件资格性审查、符合性审查和详细评审，评审标准详见第六章。</w:t>
      </w:r>
    </w:p>
    <w:p>
      <w:pPr>
        <w:spacing w:line="500" w:lineRule="exact"/>
        <w:ind w:firstLine="480" w:firstLineChars="200"/>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（7）宣布开标会结束。主持人宣布开标会结束后，所有投标人代表应立即退场。</w:t>
      </w:r>
    </w:p>
    <w:p>
      <w:pPr>
        <w:spacing w:line="500" w:lineRule="exact"/>
        <w:contextualSpacing/>
        <w:rPr>
          <w:rFonts w:ascii="宋体" w:hAnsi="宋体" w:cs="宋体"/>
          <w:b/>
          <w:color w:val="000000" w:themeColor="text1"/>
          <w:sz w:val="24"/>
          <w:szCs w:val="24"/>
          <w14:textFill>
            <w14:solidFill>
              <w14:schemeClr w14:val="tx1"/>
            </w14:solidFill>
          </w14:textFill>
        </w:rPr>
      </w:pPr>
      <w:bookmarkStart w:id="141" w:name="_Toc217446059"/>
      <w:r>
        <w:rPr>
          <w:rFonts w:hint="eastAsia" w:ascii="宋体" w:hAnsi="宋体" w:cs="宋体"/>
          <w:b/>
          <w:color w:val="000000" w:themeColor="text1"/>
          <w:sz w:val="24"/>
          <w:szCs w:val="24"/>
          <w14:textFill>
            <w14:solidFill>
              <w14:schemeClr w14:val="tx1"/>
            </w14:solidFill>
          </w14:textFill>
        </w:rPr>
        <w:t>23. 评标</w:t>
      </w:r>
      <w:bookmarkEnd w:id="141"/>
    </w:p>
    <w:p>
      <w:pPr>
        <w:spacing w:line="500" w:lineRule="exact"/>
        <w:ind w:firstLine="460" w:firstLineChars="192"/>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23.1 评标工作由招标人依法组建的评标委员会（以下简称评委会）负责。评标委员会由专家库中熟悉相关技术的专家组成，成员人数为五人及以上的单数，其中熟悉相关技术方面的专家不得少于成员总数的三分之二。评标委员会设负责人的，评标委员会主任由评标委员会推举产生或者由招标人确定。评标委员会主任与评标委员会其他成员有同等的表决权。</w:t>
      </w:r>
    </w:p>
    <w:p>
      <w:pPr>
        <w:spacing w:line="500" w:lineRule="exact"/>
        <w:ind w:firstLine="460" w:firstLineChars="192"/>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23.2 评委会严格按照《政府采购货物和服务招标投标管理办法》（财政部第87号令）规定的程序和招标文件规定的评分办法及标准对投标文件进行评审打分。</w:t>
      </w:r>
    </w:p>
    <w:p>
      <w:pPr>
        <w:spacing w:line="500" w:lineRule="exact"/>
        <w:ind w:firstLine="480" w:firstLineChars="200"/>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23.3 评标过程严格保密。投标人对评委会的评标过程或合同授予决定施加影响的任何行为都可能导致其投标被拒绝。投标人在评标过程中，所进行的试图影响评标结果的不符合《中华人民共和国政府采购法》及本次招标有关规定的活动，将被取消中标资格。</w:t>
      </w:r>
    </w:p>
    <w:p>
      <w:pPr>
        <w:spacing w:line="500" w:lineRule="exact"/>
        <w:ind w:firstLine="460" w:firstLineChars="192"/>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23.4 在评标期间，评委会可要求投标人对其投标文件中非实质性的有关问题进行澄清、说明或者补正。有关澄清、说明或者补正的要求和答复应以书面形式提交。投标人的澄清、说明或者补正不得超出投标文件的范围或者改变投标文件的实质性内容。</w:t>
      </w:r>
    </w:p>
    <w:p>
      <w:pPr>
        <w:spacing w:line="500" w:lineRule="exact"/>
        <w:ind w:firstLine="480" w:firstLineChars="200"/>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23.5 评委会认定实质性响应招标文件的投标是投标文件与招标文件要求的全部条款、条件和规格相符，没有实质性负偏离。评委会决定投标文件的响应性依据投标文件本身的内容，而不寻求外部的证据。</w:t>
      </w:r>
    </w:p>
    <w:p>
      <w:pPr>
        <w:spacing w:line="500" w:lineRule="exact"/>
        <w:ind w:firstLine="470" w:firstLineChars="196"/>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23.6 如果投标文件没有实质性响应招标文件的要求，评委会将予以拒绝。投标人不得通过修正或撤消不合要求的偏离或保留从而使其投标成为实质性响应的投标。</w:t>
      </w:r>
    </w:p>
    <w:p>
      <w:pPr>
        <w:spacing w:line="500" w:lineRule="exact"/>
        <w:ind w:firstLine="460" w:firstLineChars="192"/>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23.7 评委会只对确定为实质性响应招标文件要求的投标文件，根据招标文件的要求采用相同的评标程序、评分办法及标准进行评价和比较。</w:t>
      </w:r>
    </w:p>
    <w:p>
      <w:pPr>
        <w:spacing w:line="500" w:lineRule="exact"/>
        <w:ind w:firstLine="482" w:firstLineChars="200"/>
        <w:contextualSpacing/>
        <w:rPr>
          <w:rFonts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23.8 投标文件属于下列情况的，在资格性、符合性检查时按照无效投标处理：</w:t>
      </w:r>
    </w:p>
    <w:p>
      <w:pPr>
        <w:spacing w:line="500" w:lineRule="exact"/>
        <w:ind w:firstLine="482" w:firstLineChars="200"/>
        <w:contextualSpacing/>
        <w:rPr>
          <w:rFonts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（1）未按照招标文件规定交纳投标保证金的；</w:t>
      </w:r>
    </w:p>
    <w:p>
      <w:pPr>
        <w:spacing w:line="500" w:lineRule="exact"/>
        <w:ind w:firstLine="482" w:firstLineChars="200"/>
        <w:contextualSpacing/>
        <w:rPr>
          <w:rFonts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（2）未按照招标文件规定和要求密封、签署、盖章的；</w:t>
      </w:r>
    </w:p>
    <w:p>
      <w:pPr>
        <w:spacing w:line="500" w:lineRule="exact"/>
        <w:ind w:firstLine="482" w:firstLineChars="200"/>
        <w:contextualSpacing/>
        <w:rPr>
          <w:rFonts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（3）不具备招标文件中规定的资格条件和要求的；</w:t>
      </w:r>
    </w:p>
    <w:p>
      <w:pPr>
        <w:spacing w:line="500" w:lineRule="exact"/>
        <w:ind w:firstLine="482" w:firstLineChars="200"/>
        <w:contextualSpacing/>
        <w:rPr>
          <w:rFonts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（4）报价超过招标文件中规定的预算金额或者最高限价的；</w:t>
      </w:r>
    </w:p>
    <w:p>
      <w:pPr>
        <w:spacing w:line="500" w:lineRule="exact"/>
        <w:ind w:firstLine="482" w:firstLineChars="200"/>
        <w:contextualSpacing/>
        <w:rPr>
          <w:rFonts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（5</w:t>
      </w:r>
      <w:bookmarkStart w:id="142" w:name="_Toc183682370"/>
      <w:bookmarkStart w:id="143" w:name="_Toc183582233"/>
      <w:r>
        <w:rPr>
          <w:rFonts w:hint="eastAsia" w:ascii="宋体" w:hAnsi="宋体" w:cs="宋体"/>
          <w:b/>
          <w:bCs/>
          <w:color w:val="000000" w:themeColor="text1"/>
          <w:sz w:val="24"/>
          <w:szCs w:val="24"/>
          <w14:textFill>
            <w14:solidFill>
              <w14:schemeClr w14:val="tx1"/>
            </w14:solidFill>
          </w14:textFill>
        </w:rPr>
        <w:t>）投标文件含有采购人不能接受的附件条件的；</w:t>
      </w:r>
    </w:p>
    <w:p>
      <w:pPr>
        <w:spacing w:line="500" w:lineRule="exact"/>
        <w:ind w:firstLine="482" w:firstLineChars="200"/>
        <w:contextualSpacing/>
        <w:rPr>
          <w:rFonts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（6）不符合法律法规和招标文件中规定的其他实质性要求的；</w:t>
      </w:r>
    </w:p>
    <w:p>
      <w:pPr>
        <w:spacing w:line="500" w:lineRule="exact"/>
        <w:ind w:firstLine="482" w:firstLineChars="200"/>
        <w:contextualSpacing/>
        <w:rPr>
          <w:rFonts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（7）招标文件规定的其他无效投标情形。</w:t>
      </w:r>
    </w:p>
    <w:p>
      <w:pPr>
        <w:spacing w:line="500" w:lineRule="exact"/>
        <w:ind w:firstLine="460" w:firstLineChars="192"/>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23.9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bookmarkEnd w:id="142"/>
    <w:bookmarkEnd w:id="143"/>
    <w:p>
      <w:pPr>
        <w:pStyle w:val="5"/>
        <w:spacing w:line="500" w:lineRule="exact"/>
        <w:contextualSpacing/>
        <w:rPr>
          <w:rFonts w:ascii="宋体" w:hAnsi="宋体" w:cs="宋体"/>
          <w:color w:val="000000" w:themeColor="text1"/>
          <w:sz w:val="24"/>
          <w:szCs w:val="24"/>
          <w14:textFill>
            <w14:solidFill>
              <w14:schemeClr w14:val="tx1"/>
            </w14:solidFill>
          </w14:textFill>
        </w:rPr>
      </w:pPr>
      <w:bookmarkStart w:id="144" w:name="_Toc13333"/>
      <w:bookmarkStart w:id="145" w:name="_Toc30696"/>
      <w:bookmarkStart w:id="146" w:name="_Toc487728204"/>
      <w:bookmarkStart w:id="147" w:name="_Toc217446060"/>
      <w:bookmarkStart w:id="148" w:name="_Toc406749975"/>
      <w:bookmarkStart w:id="149" w:name="_Toc6915"/>
      <w:r>
        <w:rPr>
          <w:rFonts w:hint="eastAsia" w:ascii="宋体" w:hAnsi="宋体" w:cs="宋体"/>
          <w:color w:val="000000" w:themeColor="text1"/>
          <w:sz w:val="24"/>
          <w:szCs w:val="24"/>
          <w14:textFill>
            <w14:solidFill>
              <w14:schemeClr w14:val="tx1"/>
            </w14:solidFill>
          </w14:textFill>
        </w:rPr>
        <w:t>五、定标</w:t>
      </w:r>
      <w:bookmarkEnd w:id="144"/>
      <w:bookmarkEnd w:id="145"/>
      <w:bookmarkEnd w:id="146"/>
      <w:bookmarkEnd w:id="147"/>
      <w:bookmarkEnd w:id="148"/>
      <w:bookmarkEnd w:id="149"/>
      <w:bookmarkStart w:id="150" w:name="_Toc217446061"/>
    </w:p>
    <w:p>
      <w:pPr>
        <w:spacing w:line="500" w:lineRule="exact"/>
        <w:contextualSpacing/>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24. 定标原则</w:t>
      </w:r>
      <w:bookmarkEnd w:id="150"/>
    </w:p>
    <w:p>
      <w:pPr>
        <w:pStyle w:val="9"/>
        <w:spacing w:line="500" w:lineRule="exact"/>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根据评委会推荐的中标候选人名单，按顺序确定中标人。</w:t>
      </w:r>
    </w:p>
    <w:p>
      <w:pPr>
        <w:spacing w:line="500" w:lineRule="exact"/>
        <w:contextualSpacing/>
        <w:rPr>
          <w:rFonts w:ascii="宋体" w:hAnsi="宋体" w:cs="宋体"/>
          <w:b/>
          <w:color w:val="000000" w:themeColor="text1"/>
          <w:sz w:val="24"/>
          <w:szCs w:val="24"/>
          <w14:textFill>
            <w14:solidFill>
              <w14:schemeClr w14:val="tx1"/>
            </w14:solidFill>
          </w14:textFill>
        </w:rPr>
      </w:pPr>
      <w:bookmarkStart w:id="151" w:name="_Toc217446062"/>
      <w:r>
        <w:rPr>
          <w:rFonts w:hint="eastAsia" w:ascii="宋体" w:hAnsi="宋体" w:cs="宋体"/>
          <w:b/>
          <w:color w:val="000000" w:themeColor="text1"/>
          <w:sz w:val="24"/>
          <w:szCs w:val="24"/>
          <w14:textFill>
            <w14:solidFill>
              <w14:schemeClr w14:val="tx1"/>
            </w14:solidFill>
          </w14:textFill>
        </w:rPr>
        <w:t>25. 定标程序</w:t>
      </w:r>
      <w:bookmarkEnd w:id="151"/>
    </w:p>
    <w:p>
      <w:pPr>
        <w:spacing w:line="500" w:lineRule="exact"/>
        <w:ind w:firstLine="420" w:firstLineChars="175"/>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25.1 评委会将评标情况写出书面报告，推荐中标候选人，并按照综合得分高低标明排列顺序。综合得分相同的，按投标报价由低到高顺序排列。得分且投标报价相同的，按技术指标优劣顺序排列。</w:t>
      </w:r>
    </w:p>
    <w:p>
      <w:pPr>
        <w:spacing w:line="500" w:lineRule="exact"/>
        <w:ind w:firstLine="420" w:firstLineChars="175"/>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25.2 招标人在评标结束后五个工作日内将评标报告送采购人。</w:t>
      </w:r>
    </w:p>
    <w:p>
      <w:pPr>
        <w:spacing w:line="500" w:lineRule="exact"/>
        <w:ind w:firstLine="420" w:firstLineChars="175"/>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25.3 采购人在收到评标报告后五个工作日内，按照评标报告中推荐的中标候选人顺序确定中标人。</w:t>
      </w:r>
    </w:p>
    <w:p>
      <w:pPr>
        <w:spacing w:line="500" w:lineRule="exact"/>
        <w:ind w:firstLine="420" w:firstLineChars="175"/>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25.4 根据采购人确定的中标人，招标人在和田信息网上发布中标公告，同时向中标人发出中标通知书。</w:t>
      </w:r>
    </w:p>
    <w:p>
      <w:pPr>
        <w:spacing w:line="500" w:lineRule="exact"/>
        <w:ind w:firstLine="420" w:firstLineChars="175"/>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25.5 招标采购单位不解释中标或落标原因，不退回投标文件和其他投标资料。</w:t>
      </w:r>
    </w:p>
    <w:p>
      <w:pPr>
        <w:spacing w:line="500" w:lineRule="exact"/>
        <w:contextualSpacing/>
        <w:rPr>
          <w:rFonts w:ascii="宋体" w:hAnsi="宋体" w:cs="宋体"/>
          <w:b/>
          <w:color w:val="000000" w:themeColor="text1"/>
          <w:sz w:val="24"/>
          <w:szCs w:val="24"/>
          <w14:textFill>
            <w14:solidFill>
              <w14:schemeClr w14:val="tx1"/>
            </w14:solidFill>
          </w14:textFill>
        </w:rPr>
      </w:pPr>
      <w:bookmarkStart w:id="152" w:name="_Toc183682375"/>
      <w:bookmarkStart w:id="153" w:name="_Toc183582238"/>
      <w:bookmarkStart w:id="154" w:name="_Toc217446063"/>
      <w:r>
        <w:rPr>
          <w:rFonts w:hint="eastAsia" w:ascii="宋体" w:hAnsi="宋体" w:cs="宋体"/>
          <w:b/>
          <w:color w:val="000000" w:themeColor="text1"/>
          <w:sz w:val="24"/>
          <w:szCs w:val="24"/>
          <w14:textFill>
            <w14:solidFill>
              <w14:schemeClr w14:val="tx1"/>
            </w14:solidFill>
          </w14:textFill>
        </w:rPr>
        <w:t>26．中标通知</w:t>
      </w:r>
      <w:bookmarkEnd w:id="152"/>
      <w:bookmarkEnd w:id="153"/>
      <w:r>
        <w:rPr>
          <w:rFonts w:hint="eastAsia" w:ascii="宋体" w:hAnsi="宋体" w:cs="宋体"/>
          <w:b/>
          <w:color w:val="000000" w:themeColor="text1"/>
          <w:sz w:val="24"/>
          <w:szCs w:val="24"/>
          <w14:textFill>
            <w14:solidFill>
              <w14:schemeClr w14:val="tx1"/>
            </w14:solidFill>
          </w14:textFill>
        </w:rPr>
        <w:t>书</w:t>
      </w:r>
      <w:bookmarkEnd w:id="154"/>
    </w:p>
    <w:p>
      <w:pPr>
        <w:tabs>
          <w:tab w:val="left" w:pos="7665"/>
        </w:tabs>
        <w:spacing w:line="500" w:lineRule="exact"/>
        <w:ind w:firstLine="480" w:firstLineChars="200"/>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26</w:t>
      </w:r>
      <w:r>
        <w:rPr>
          <w:rFonts w:hint="eastAsia" w:ascii="宋体" w:hAnsi="宋体" w:cs="宋体"/>
          <w:b/>
          <w:bCs/>
          <w:color w:val="000000" w:themeColor="text1"/>
          <w:sz w:val="24"/>
          <w:szCs w:val="24"/>
          <w14:textFill>
            <w14:solidFill>
              <w14:schemeClr w14:val="tx1"/>
            </w14:solidFill>
          </w14:textFill>
        </w:rPr>
        <w:t>.</w:t>
      </w:r>
      <w:r>
        <w:rPr>
          <w:rFonts w:hint="eastAsia" w:ascii="宋体" w:hAnsi="宋体" w:cs="宋体"/>
          <w:color w:val="000000" w:themeColor="text1"/>
          <w:sz w:val="24"/>
          <w:szCs w:val="24"/>
          <w14:textFill>
            <w14:solidFill>
              <w14:schemeClr w14:val="tx1"/>
            </w14:solidFill>
          </w14:textFill>
        </w:rPr>
        <w:t>1 中标通知书为签订政府采购合同的依据，是合同的有效组成部分。</w:t>
      </w:r>
    </w:p>
    <w:p>
      <w:pPr>
        <w:tabs>
          <w:tab w:val="left" w:pos="7665"/>
        </w:tabs>
        <w:spacing w:line="500" w:lineRule="exact"/>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26.2 中标通知书对采购人和中标人均具有法律效力。中标通知书发出后，采购人改变中标结果，或者中标人无正当理由放弃中标的，应当承担相应的法律责任。</w:t>
      </w:r>
    </w:p>
    <w:p>
      <w:pPr>
        <w:tabs>
          <w:tab w:val="left" w:pos="7665"/>
        </w:tabs>
        <w:spacing w:line="500" w:lineRule="exact"/>
        <w:ind w:firstLine="480"/>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26．3中标人的投标文件本应作为无效投标处理或者有政府采购法律法规规章制度规定的中标无效情形的，采购代理机构在取得有权主体的认定以后，应当宣布发出的中标通知书无效，并收回发出的中标通知书（中标人也应当缴回），依法重新确定中标人或者重新开展采购活动。</w:t>
      </w:r>
    </w:p>
    <w:p>
      <w:pPr>
        <w:pStyle w:val="5"/>
        <w:spacing w:line="500" w:lineRule="exact"/>
        <w:contextualSpacing/>
        <w:rPr>
          <w:rFonts w:ascii="宋体" w:hAnsi="宋体" w:cs="宋体"/>
          <w:color w:val="000000" w:themeColor="text1"/>
          <w:sz w:val="24"/>
          <w:szCs w:val="24"/>
          <w14:textFill>
            <w14:solidFill>
              <w14:schemeClr w14:val="tx1"/>
            </w14:solidFill>
          </w14:textFill>
        </w:rPr>
      </w:pPr>
      <w:bookmarkStart w:id="155" w:name="_Toc22321"/>
      <w:bookmarkStart w:id="156" w:name="_Toc406749976"/>
      <w:bookmarkStart w:id="157" w:name="_Toc217446064"/>
      <w:bookmarkStart w:id="158" w:name="_Toc487728205"/>
      <w:bookmarkStart w:id="159" w:name="_Toc20203"/>
      <w:bookmarkStart w:id="160" w:name="_Toc12076"/>
      <w:bookmarkStart w:id="161" w:name="_Toc183582240"/>
      <w:bookmarkStart w:id="162" w:name="_Toc183682377"/>
      <w:r>
        <w:rPr>
          <w:rFonts w:hint="eastAsia" w:ascii="宋体" w:hAnsi="宋体" w:cs="宋体"/>
          <w:color w:val="000000" w:themeColor="text1"/>
          <w:sz w:val="24"/>
          <w:szCs w:val="24"/>
          <w14:textFill>
            <w14:solidFill>
              <w14:schemeClr w14:val="tx1"/>
            </w14:solidFill>
          </w14:textFill>
        </w:rPr>
        <w:t>六、签订及履行合同和验收</w:t>
      </w:r>
      <w:bookmarkEnd w:id="155"/>
      <w:bookmarkEnd w:id="156"/>
      <w:bookmarkEnd w:id="157"/>
      <w:bookmarkEnd w:id="158"/>
      <w:bookmarkEnd w:id="159"/>
      <w:bookmarkEnd w:id="160"/>
    </w:p>
    <w:p>
      <w:pPr>
        <w:spacing w:line="500" w:lineRule="exact"/>
        <w:contextualSpacing/>
        <w:rPr>
          <w:rFonts w:ascii="宋体" w:hAnsi="宋体" w:cs="宋体"/>
          <w:b/>
          <w:color w:val="000000" w:themeColor="text1"/>
          <w:sz w:val="24"/>
          <w:szCs w:val="24"/>
          <w14:textFill>
            <w14:solidFill>
              <w14:schemeClr w14:val="tx1"/>
            </w14:solidFill>
          </w14:textFill>
        </w:rPr>
      </w:pPr>
      <w:bookmarkStart w:id="163" w:name="_Toc217446065"/>
      <w:r>
        <w:rPr>
          <w:rFonts w:hint="eastAsia" w:ascii="宋体" w:hAnsi="宋体" w:cs="宋体"/>
          <w:b/>
          <w:color w:val="000000" w:themeColor="text1"/>
          <w:sz w:val="24"/>
          <w:szCs w:val="24"/>
          <w14:textFill>
            <w14:solidFill>
              <w14:schemeClr w14:val="tx1"/>
            </w14:solidFill>
          </w14:textFill>
        </w:rPr>
        <w:t>27. 签订合同</w:t>
      </w:r>
      <w:bookmarkEnd w:id="163"/>
    </w:p>
    <w:p>
      <w:pPr>
        <w:spacing w:line="500" w:lineRule="exact"/>
        <w:ind w:firstLine="480" w:firstLineChars="200"/>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27.1 中标人在收到招标人发出的《中标通知书》后，应在招标文件规定的时间内与采购人签订采购合同。由于中标人的原因逾期未与采购人签订采购合同的，将视为放弃中标，取消其中标资格并将按相关规定进行处理。</w:t>
      </w:r>
    </w:p>
    <w:p>
      <w:pPr>
        <w:spacing w:line="500" w:lineRule="exact"/>
        <w:ind w:firstLine="420" w:firstLineChars="175"/>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27.2 采购人不得向中标人提出任何不合理的要求，作为签订合同的条件，不得与中标人私下订立背离合同实质性内容的任何协议，所签订的合同不得对招标文件和中标人投标文件作实质性修改。</w:t>
      </w:r>
    </w:p>
    <w:p>
      <w:pPr>
        <w:spacing w:line="500" w:lineRule="exact"/>
        <w:ind w:firstLine="420" w:firstLineChars="175"/>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27.3 中标人因不可抗力原因不能履行采购合同或放弃中标的，采购人可以与排在中标人之后第一位的中标候选人签订采购合同，以此类推。</w:t>
      </w:r>
    </w:p>
    <w:p>
      <w:pPr>
        <w:spacing w:line="500" w:lineRule="exact"/>
        <w:contextualSpacing/>
        <w:rPr>
          <w:rFonts w:ascii="宋体" w:hAnsi="宋体" w:cs="宋体"/>
          <w:b/>
          <w:color w:val="000000" w:themeColor="text1"/>
          <w:sz w:val="24"/>
          <w:szCs w:val="24"/>
          <w14:textFill>
            <w14:solidFill>
              <w14:schemeClr w14:val="tx1"/>
            </w14:solidFill>
          </w14:textFill>
        </w:rPr>
      </w:pPr>
      <w:bookmarkStart w:id="164" w:name="_Toc217446066"/>
      <w:r>
        <w:rPr>
          <w:rFonts w:hint="eastAsia" w:ascii="宋体" w:hAnsi="宋体" w:cs="宋体"/>
          <w:b/>
          <w:color w:val="000000" w:themeColor="text1"/>
          <w:sz w:val="24"/>
          <w:szCs w:val="24"/>
          <w14:textFill>
            <w14:solidFill>
              <w14:schemeClr w14:val="tx1"/>
            </w14:solidFill>
          </w14:textFill>
        </w:rPr>
        <w:t>28. 合同分包</w:t>
      </w:r>
      <w:bookmarkEnd w:id="164"/>
    </w:p>
    <w:p>
      <w:pPr>
        <w:spacing w:line="500" w:lineRule="exact"/>
        <w:ind w:firstLine="480" w:firstLineChars="200"/>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28.1 经采购人同意，中标人可以依法采取分包方式履行合同。这种要求应当在合同签订之前征得采购人同意，并且分包供应商履行的分包项目的品牌、规格型号及技术要求等，必须与中标的一致。</w:t>
      </w:r>
    </w:p>
    <w:p>
      <w:pPr>
        <w:spacing w:line="500" w:lineRule="exact"/>
        <w:ind w:firstLine="495"/>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28.2 采购合同实行分包履行的，中标人就采购项目和分包项目向采购人负责，分包供应商就分包项目承担责任。</w:t>
      </w:r>
    </w:p>
    <w:p>
      <w:pPr>
        <w:spacing w:line="500" w:lineRule="exact"/>
        <w:contextualSpacing/>
        <w:rPr>
          <w:rFonts w:ascii="宋体" w:hAnsi="宋体" w:cs="宋体"/>
          <w:b/>
          <w:color w:val="000000" w:themeColor="text1"/>
          <w:sz w:val="24"/>
          <w:szCs w:val="24"/>
          <w14:textFill>
            <w14:solidFill>
              <w14:schemeClr w14:val="tx1"/>
            </w14:solidFill>
          </w14:textFill>
        </w:rPr>
      </w:pPr>
      <w:bookmarkStart w:id="165" w:name="_Toc217446067"/>
      <w:r>
        <w:rPr>
          <w:rFonts w:hint="eastAsia" w:ascii="宋体" w:hAnsi="宋体" w:cs="宋体"/>
          <w:b/>
          <w:color w:val="000000" w:themeColor="text1"/>
          <w:sz w:val="24"/>
          <w:szCs w:val="24"/>
          <w14:textFill>
            <w14:solidFill>
              <w14:schemeClr w14:val="tx1"/>
            </w14:solidFill>
          </w14:textFill>
        </w:rPr>
        <w:t>29. 采购人增加合同标的权</w:t>
      </w:r>
      <w:bookmarkEnd w:id="165"/>
      <w:r>
        <w:rPr>
          <w:rFonts w:hint="eastAsia" w:ascii="宋体" w:hAnsi="宋体" w:cs="宋体"/>
          <w:b/>
          <w:color w:val="000000" w:themeColor="text1"/>
          <w:sz w:val="24"/>
          <w:szCs w:val="24"/>
          <w14:textFill>
            <w14:solidFill>
              <w14:schemeClr w14:val="tx1"/>
            </w14:solidFill>
          </w14:textFill>
        </w:rPr>
        <w:t>利</w:t>
      </w:r>
    </w:p>
    <w:p>
      <w:pPr>
        <w:spacing w:line="500" w:lineRule="exact"/>
        <w:ind w:firstLine="495"/>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采购合同履行过程中，采购人需要追加与合同标的相同的货物或者服务的，在不改变合同其他条款的前提下，可以与中标供应商协商签订补充合同，但所有补充合同的采购金额不得超过原合同采购金额的百分之十。</w:t>
      </w:r>
    </w:p>
    <w:p>
      <w:pPr>
        <w:spacing w:line="500" w:lineRule="exact"/>
        <w:contextualSpacing/>
        <w:rPr>
          <w:rFonts w:ascii="宋体" w:hAnsi="宋体" w:cs="宋体"/>
          <w:b/>
          <w:color w:val="000000" w:themeColor="text1"/>
          <w:sz w:val="24"/>
          <w:szCs w:val="24"/>
          <w14:textFill>
            <w14:solidFill>
              <w14:schemeClr w14:val="tx1"/>
            </w14:solidFill>
          </w14:textFill>
        </w:rPr>
      </w:pPr>
      <w:bookmarkStart w:id="166" w:name="_Toc217446068"/>
      <w:r>
        <w:rPr>
          <w:rFonts w:hint="eastAsia" w:ascii="宋体" w:hAnsi="宋体" w:cs="宋体"/>
          <w:b/>
          <w:color w:val="000000" w:themeColor="text1"/>
          <w:sz w:val="24"/>
          <w:szCs w:val="24"/>
          <w14:textFill>
            <w14:solidFill>
              <w14:schemeClr w14:val="tx1"/>
            </w14:solidFill>
          </w14:textFill>
        </w:rPr>
        <w:t>30. 履约保证金</w:t>
      </w:r>
      <w:bookmarkEnd w:id="166"/>
    </w:p>
    <w:p>
      <w:pPr>
        <w:spacing w:line="500" w:lineRule="exact"/>
        <w:ind w:firstLine="420" w:firstLineChars="175"/>
        <w:contextualSpacing/>
        <w:rPr>
          <w:rFonts w:ascii="宋体" w:hAnsi="宋体" w:cs="宋体"/>
          <w:color w:val="000000" w:themeColor="text1"/>
          <w:sz w:val="24"/>
          <w:szCs w:val="24"/>
          <w:u w:val="single"/>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30.1 中标人应在合同签订之前交纳招标文件规定数额的履约保证金。履约保证金，本地以转账、异地以电汇方式交至：采购人指定账户上。</w:t>
      </w:r>
    </w:p>
    <w:p>
      <w:pPr>
        <w:spacing w:line="500" w:lineRule="exact"/>
        <w:ind w:firstLine="480" w:firstLineChars="200"/>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30.2 如果中标人在规定的合同签订时间内，没有按照招标文件的规定交纳履约保证金，且又无正当理由的，将视为放弃中标，其交纳的投标保证金将不与退还。</w:t>
      </w:r>
    </w:p>
    <w:p>
      <w:pPr>
        <w:spacing w:line="500" w:lineRule="exact"/>
        <w:contextualSpacing/>
        <w:rPr>
          <w:rFonts w:ascii="宋体" w:hAnsi="宋体" w:cs="宋体"/>
          <w:b/>
          <w:color w:val="000000" w:themeColor="text1"/>
          <w:sz w:val="24"/>
          <w:szCs w:val="24"/>
          <w14:textFill>
            <w14:solidFill>
              <w14:schemeClr w14:val="tx1"/>
            </w14:solidFill>
          </w14:textFill>
        </w:rPr>
      </w:pPr>
      <w:bookmarkStart w:id="167" w:name="_Toc217446069"/>
      <w:r>
        <w:rPr>
          <w:rFonts w:hint="eastAsia" w:ascii="宋体" w:hAnsi="宋体" w:cs="宋体"/>
          <w:b/>
          <w:color w:val="000000" w:themeColor="text1"/>
          <w:sz w:val="24"/>
          <w:szCs w:val="24"/>
          <w14:textFill>
            <w14:solidFill>
              <w14:schemeClr w14:val="tx1"/>
            </w14:solidFill>
          </w14:textFill>
        </w:rPr>
        <w:t>31. 履行合同</w:t>
      </w:r>
      <w:bookmarkEnd w:id="167"/>
    </w:p>
    <w:p>
      <w:pPr>
        <w:spacing w:line="500" w:lineRule="exact"/>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31.1 中标人与采购人签订合同后，合同双方应严格执行合同条款，履行合同规定的义务，保证合同的顺利完成。</w:t>
      </w:r>
    </w:p>
    <w:p>
      <w:pPr>
        <w:spacing w:line="500" w:lineRule="exact"/>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31.2 在合同履行过程中，如发生合同纠纷，合同双方应按照《合同法》的有关规定进行处理。</w:t>
      </w:r>
    </w:p>
    <w:p>
      <w:pPr>
        <w:spacing w:line="500" w:lineRule="exact"/>
        <w:contextualSpacing/>
        <w:rPr>
          <w:rFonts w:ascii="宋体" w:hAnsi="宋体" w:cs="宋体"/>
          <w:b/>
          <w:color w:val="000000" w:themeColor="text1"/>
          <w:sz w:val="24"/>
          <w:szCs w:val="24"/>
          <w14:textFill>
            <w14:solidFill>
              <w14:schemeClr w14:val="tx1"/>
            </w14:solidFill>
          </w14:textFill>
        </w:rPr>
      </w:pPr>
      <w:bookmarkStart w:id="168" w:name="_Toc217446070"/>
      <w:r>
        <w:rPr>
          <w:rFonts w:hint="eastAsia" w:ascii="宋体" w:hAnsi="宋体" w:cs="宋体"/>
          <w:b/>
          <w:color w:val="000000" w:themeColor="text1"/>
          <w:sz w:val="24"/>
          <w:szCs w:val="24"/>
          <w14:textFill>
            <w14:solidFill>
              <w14:schemeClr w14:val="tx1"/>
            </w14:solidFill>
          </w14:textFill>
        </w:rPr>
        <w:t>32. 验收</w:t>
      </w:r>
      <w:bookmarkEnd w:id="168"/>
    </w:p>
    <w:p>
      <w:pPr>
        <w:spacing w:line="500" w:lineRule="exact"/>
        <w:ind w:firstLine="460" w:firstLineChars="192"/>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32.1 中标人交货时，由采购人依据合同组织验收，如验收合格，采购人应签署《验收结算书》。</w:t>
      </w:r>
    </w:p>
    <w:p>
      <w:pPr>
        <w:spacing w:line="500" w:lineRule="exact"/>
        <w:ind w:firstLine="434" w:firstLineChars="181"/>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32.2 采购人应当在中标人交货后10个工作日内组织货物或服务的验收，无正当理由拒不验收超过10个工作日后，视为验收合格。</w:t>
      </w:r>
    </w:p>
    <w:p>
      <w:pPr>
        <w:spacing w:line="500" w:lineRule="exact"/>
        <w:ind w:firstLine="420"/>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32.3 货物（设备）使用和运行60天后无质量问题，采购人应签署《质量验收合格证明书》。</w:t>
      </w:r>
    </w:p>
    <w:p>
      <w:pPr>
        <w:spacing w:line="500" w:lineRule="exact"/>
        <w:ind w:firstLine="470" w:firstLineChars="196"/>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32.4 中标人凭《质量验收合格证明书》到采购人财务科室办理履约保证金退款手续（办理退款手续时，中标人需开具收据）。</w:t>
      </w:r>
      <w:bookmarkStart w:id="169" w:name="_Toc217446071"/>
    </w:p>
    <w:p>
      <w:pPr>
        <w:pStyle w:val="5"/>
        <w:spacing w:line="500" w:lineRule="exact"/>
        <w:contextualSpacing/>
        <w:rPr>
          <w:rFonts w:ascii="宋体" w:hAnsi="宋体" w:cs="宋体"/>
          <w:color w:val="000000" w:themeColor="text1"/>
          <w:sz w:val="24"/>
          <w:szCs w:val="24"/>
          <w14:textFill>
            <w14:solidFill>
              <w14:schemeClr w14:val="tx1"/>
            </w14:solidFill>
          </w14:textFill>
        </w:rPr>
      </w:pPr>
      <w:bookmarkStart w:id="170" w:name="_Toc30766"/>
      <w:bookmarkStart w:id="171" w:name="_Toc406749977"/>
      <w:bookmarkStart w:id="172" w:name="_Toc6965"/>
      <w:bookmarkStart w:id="173" w:name="_Toc487728206"/>
      <w:bookmarkStart w:id="174" w:name="_Toc7688"/>
      <w:r>
        <w:rPr>
          <w:rFonts w:hint="eastAsia" w:ascii="宋体" w:hAnsi="宋体" w:cs="宋体"/>
          <w:color w:val="000000" w:themeColor="text1"/>
          <w:sz w:val="24"/>
          <w:szCs w:val="24"/>
          <w14:textFill>
            <w14:solidFill>
              <w14:schemeClr w14:val="tx1"/>
            </w14:solidFill>
          </w14:textFill>
        </w:rPr>
        <w:t>七、</w:t>
      </w:r>
      <w:bookmarkEnd w:id="169"/>
      <w:bookmarkEnd w:id="170"/>
      <w:bookmarkEnd w:id="171"/>
      <w:r>
        <w:rPr>
          <w:rFonts w:hint="eastAsia" w:ascii="宋体" w:hAnsi="宋体" w:cs="宋体"/>
          <w:color w:val="000000" w:themeColor="text1"/>
          <w:sz w:val="24"/>
          <w:szCs w:val="24"/>
          <w14:textFill>
            <w14:solidFill>
              <w14:schemeClr w14:val="tx1"/>
            </w14:solidFill>
          </w14:textFill>
        </w:rPr>
        <w:t>重新招标和其他方式采购</w:t>
      </w:r>
      <w:bookmarkEnd w:id="172"/>
      <w:bookmarkEnd w:id="173"/>
      <w:bookmarkEnd w:id="174"/>
    </w:p>
    <w:bookmarkEnd w:id="161"/>
    <w:bookmarkEnd w:id="162"/>
    <w:p>
      <w:pPr>
        <w:spacing w:line="500" w:lineRule="exact"/>
        <w:contextualSpacing/>
        <w:rPr>
          <w:rFonts w:ascii="宋体" w:hAnsi="宋体" w:cs="宋体"/>
          <w:b/>
          <w:color w:val="000000" w:themeColor="text1"/>
          <w:sz w:val="24"/>
          <w:szCs w:val="24"/>
          <w14:textFill>
            <w14:solidFill>
              <w14:schemeClr w14:val="tx1"/>
            </w14:solidFill>
          </w14:textFill>
        </w:rPr>
      </w:pPr>
      <w:bookmarkStart w:id="175" w:name="_Toc406749978"/>
      <w:bookmarkStart w:id="176" w:name="_Toc164"/>
      <w:bookmarkStart w:id="177" w:name="_Toc217446074"/>
      <w:bookmarkStart w:id="178" w:name="_Toc183582243"/>
      <w:bookmarkStart w:id="179" w:name="_Toc183682380"/>
      <w:r>
        <w:rPr>
          <w:rFonts w:hint="eastAsia" w:ascii="宋体" w:hAnsi="宋体" w:cs="宋体"/>
          <w:b/>
          <w:color w:val="000000" w:themeColor="text1"/>
          <w:sz w:val="24"/>
          <w:szCs w:val="24"/>
          <w14:textFill>
            <w14:solidFill>
              <w14:schemeClr w14:val="tx1"/>
            </w14:solidFill>
          </w14:textFill>
        </w:rPr>
        <w:t>33. 重新招标</w:t>
      </w:r>
    </w:p>
    <w:p>
      <w:pPr>
        <w:spacing w:line="500" w:lineRule="exact"/>
        <w:ind w:firstLine="434" w:firstLineChars="181"/>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33.1在招标采购中，出现下列情形之一的，应当在废标后重新招标：</w:t>
      </w:r>
    </w:p>
    <w:p>
      <w:pPr>
        <w:spacing w:line="500" w:lineRule="exact"/>
        <w:ind w:firstLine="434" w:firstLineChars="181"/>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（1）符合专业条件的投标人或者对招标文件作实质响应的投标人不足三家的；</w:t>
      </w:r>
    </w:p>
    <w:p>
      <w:pPr>
        <w:spacing w:line="500" w:lineRule="exact"/>
        <w:ind w:firstLine="434" w:firstLineChars="181"/>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（2）出现影响采购公正的违法、违规行为的；</w:t>
      </w:r>
    </w:p>
    <w:p>
      <w:pPr>
        <w:spacing w:line="500" w:lineRule="exact"/>
        <w:ind w:firstLine="434" w:firstLineChars="181"/>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（3）投标人的报价均超过了采购预算，采购人不能支付的；</w:t>
      </w:r>
    </w:p>
    <w:p>
      <w:pPr>
        <w:spacing w:line="500" w:lineRule="exact"/>
        <w:ind w:firstLine="434" w:firstLineChars="181"/>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（4）因重大变故，采购任务取消的。</w:t>
      </w:r>
    </w:p>
    <w:p>
      <w:pPr>
        <w:spacing w:line="500" w:lineRule="exact"/>
        <w:ind w:firstLine="434" w:firstLineChars="181"/>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33.2如果排名第一、二的中标候选人，直至排名第三的中标候选人因不可抗力或自身原因放弃中标结果，本次招标宣布失败。招标人应重新组织招标。</w:t>
      </w:r>
    </w:p>
    <w:p>
      <w:pPr>
        <w:spacing w:line="500" w:lineRule="exact"/>
        <w:contextualSpacing/>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34. 其他方式采购</w:t>
      </w:r>
    </w:p>
    <w:p>
      <w:pPr>
        <w:spacing w:line="500" w:lineRule="exact"/>
        <w:ind w:firstLine="434" w:firstLineChars="181"/>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34.1需要采取其他方式采购的，应当在采购活动开始前获得设区的市、自治州以上人民政府采购监督管理部门或者政府有关部门批准。</w:t>
      </w:r>
    </w:p>
    <w:p>
      <w:pPr>
        <w:pStyle w:val="5"/>
        <w:spacing w:line="500" w:lineRule="exact"/>
        <w:contextualSpacing/>
        <w:rPr>
          <w:rFonts w:ascii="宋体" w:hAnsi="宋体" w:cs="宋体"/>
          <w:color w:val="000000" w:themeColor="text1"/>
          <w:sz w:val="24"/>
          <w:szCs w:val="24"/>
          <w14:textFill>
            <w14:solidFill>
              <w14:schemeClr w14:val="tx1"/>
            </w14:solidFill>
          </w14:textFill>
        </w:rPr>
      </w:pPr>
      <w:bookmarkStart w:id="180" w:name="_Toc487728207"/>
      <w:bookmarkStart w:id="181" w:name="_Toc10160"/>
      <w:bookmarkStart w:id="182" w:name="_Toc21068"/>
      <w:r>
        <w:rPr>
          <w:rFonts w:hint="eastAsia" w:ascii="宋体" w:hAnsi="宋体" w:cs="宋体"/>
          <w:color w:val="000000" w:themeColor="text1"/>
          <w:sz w:val="24"/>
          <w:szCs w:val="24"/>
          <w14:textFill>
            <w14:solidFill>
              <w14:schemeClr w14:val="tx1"/>
            </w14:solidFill>
          </w14:textFill>
        </w:rPr>
        <w:t>八、投标纪律要求</w:t>
      </w:r>
      <w:bookmarkEnd w:id="175"/>
      <w:bookmarkEnd w:id="176"/>
      <w:bookmarkEnd w:id="177"/>
      <w:bookmarkEnd w:id="180"/>
      <w:bookmarkEnd w:id="181"/>
      <w:bookmarkEnd w:id="182"/>
    </w:p>
    <w:p>
      <w:pPr>
        <w:spacing w:line="500" w:lineRule="exact"/>
        <w:contextualSpacing/>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35.对招标人的纪律要求</w:t>
      </w:r>
    </w:p>
    <w:p>
      <w:pPr>
        <w:spacing w:line="500" w:lineRule="exact"/>
        <w:ind w:firstLine="460" w:firstLineChars="192"/>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35.1招标人不得泄露招标投标活动中应当保密的情况和资料，不得与投标人串通损害国家利益、社会公共利益或者他人合法利益。招标人不得有下列行为之一：</w:t>
      </w:r>
    </w:p>
    <w:p>
      <w:pPr>
        <w:spacing w:line="500" w:lineRule="exact"/>
        <w:ind w:firstLine="460" w:firstLineChars="192"/>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（1）与投标人恶意串通的； </w:t>
      </w:r>
    </w:p>
    <w:p>
      <w:pPr>
        <w:spacing w:line="500" w:lineRule="exact"/>
        <w:ind w:firstLine="460" w:firstLineChars="192"/>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（2）在采购过程中接受贿赂或者获取其他不正当利益的； </w:t>
      </w:r>
    </w:p>
    <w:p>
      <w:pPr>
        <w:spacing w:line="500" w:lineRule="exact"/>
        <w:ind w:firstLine="460" w:firstLineChars="192"/>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（3）在有关部门依法实施的监督检查中提供虚假情况的； </w:t>
      </w:r>
    </w:p>
    <w:p>
      <w:pPr>
        <w:spacing w:line="500" w:lineRule="exact"/>
        <w:ind w:firstLine="460" w:firstLineChars="192"/>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（4）开标前泄露已获取招标文件的潜在投标人的名称、数量、标底或者其他可能影响公平竞争的有关招标投标情况的。 </w:t>
      </w:r>
    </w:p>
    <w:p>
      <w:pPr>
        <w:spacing w:line="500" w:lineRule="exact"/>
        <w:ind w:firstLine="460" w:firstLineChars="192"/>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（5）法律、法规规定的其他违法、违规情形。</w:t>
      </w:r>
    </w:p>
    <w:p>
      <w:pPr>
        <w:spacing w:line="500" w:lineRule="exact"/>
        <w:contextualSpacing/>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36. 对投标人的纪律要求</w:t>
      </w:r>
    </w:p>
    <w:p>
      <w:pPr>
        <w:spacing w:line="500" w:lineRule="exact"/>
        <w:ind w:firstLine="460" w:firstLineChars="192"/>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36. 1投标人不得相互串通投标或者与招标人串通投标，不得向招标人或者评标委员会成员行贿谋取中标，不得以其它方式弄虚作假骗取中标；投标人不得以任何方式干扰、影响评标工作。投标人不得有下列行为之一：</w:t>
      </w:r>
    </w:p>
    <w:p>
      <w:pPr>
        <w:spacing w:line="500" w:lineRule="exact"/>
        <w:ind w:firstLine="460" w:firstLineChars="192"/>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（1）提供虚假材料谋取中标的； </w:t>
      </w:r>
    </w:p>
    <w:p>
      <w:pPr>
        <w:spacing w:line="500" w:lineRule="exact"/>
        <w:ind w:firstLine="460" w:firstLineChars="192"/>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（2）采取不正当手段诋毁、排挤其他投标人的；</w:t>
      </w:r>
    </w:p>
    <w:p>
      <w:pPr>
        <w:spacing w:line="500" w:lineRule="exact"/>
        <w:ind w:firstLine="460" w:firstLineChars="192"/>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（3）与招标采购单位、其他投标人恶意串通的；</w:t>
      </w:r>
    </w:p>
    <w:p>
      <w:pPr>
        <w:spacing w:line="500" w:lineRule="exact"/>
        <w:ind w:firstLine="460" w:firstLineChars="192"/>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（4）向招标采购单位行贿或者提供其他不正当利益的； </w:t>
      </w:r>
    </w:p>
    <w:p>
      <w:pPr>
        <w:spacing w:line="500" w:lineRule="exact"/>
        <w:ind w:firstLine="460" w:firstLineChars="192"/>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（5）在招标过程中与招标采购单位进行协商谈判、不按照招标文件和中标投标人的投标文件订立合同，或者与采购人另行订立背离合同实质性内容的协议的； </w:t>
      </w:r>
    </w:p>
    <w:p>
      <w:pPr>
        <w:spacing w:line="500" w:lineRule="exact"/>
        <w:ind w:firstLine="460" w:firstLineChars="192"/>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（6）拒绝有关部门监督检查或者提供虚假情况的； </w:t>
      </w:r>
    </w:p>
    <w:p>
      <w:pPr>
        <w:spacing w:line="500" w:lineRule="exact"/>
        <w:ind w:firstLine="460" w:firstLineChars="192"/>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（7）法律、法规规定的其他违法、违规情形。</w:t>
      </w:r>
    </w:p>
    <w:p>
      <w:pPr>
        <w:spacing w:line="500" w:lineRule="exact"/>
        <w:contextualSpacing/>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37. 对评标委员会成员的纪律要求</w:t>
      </w:r>
    </w:p>
    <w:p>
      <w:pPr>
        <w:spacing w:line="500" w:lineRule="exact"/>
        <w:ind w:firstLine="460" w:firstLineChars="192"/>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评标委员会成员不得收受他人的财物或者其他好处，不得向他人透漏对投标文件的评审和比较、中标候选人的推荐情况以及评标有关的其他情况。在评标活动中，评标委员会成员不得擅离职守，影响评标程序正常进行。评标委员不得有下列行为之一： </w:t>
      </w:r>
    </w:p>
    <w:p>
      <w:pPr>
        <w:spacing w:line="500" w:lineRule="exact"/>
        <w:ind w:firstLine="460" w:firstLineChars="192"/>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（1）明知应当回避而未主动回避的； </w:t>
      </w:r>
    </w:p>
    <w:p>
      <w:pPr>
        <w:spacing w:line="500" w:lineRule="exact"/>
        <w:ind w:firstLine="460" w:firstLineChars="192"/>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（2）在知道自己为评委会成员身份后至评标结束前的时段内私下接触投标投标人的；</w:t>
      </w:r>
    </w:p>
    <w:p>
      <w:pPr>
        <w:spacing w:line="500" w:lineRule="exact"/>
        <w:ind w:firstLine="460" w:firstLineChars="192"/>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（3）在评标过程中擅离职守，影响评标程序正常进行的； </w:t>
      </w:r>
    </w:p>
    <w:p>
      <w:pPr>
        <w:spacing w:line="500" w:lineRule="exact"/>
        <w:ind w:firstLine="460" w:firstLineChars="192"/>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（4）在评标过程中有明显不合理或者不正当倾向性的； </w:t>
      </w:r>
    </w:p>
    <w:p>
      <w:pPr>
        <w:spacing w:line="500" w:lineRule="exact"/>
        <w:ind w:firstLine="460" w:firstLineChars="192"/>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（5）未按招标文件规定的评标方法和标准进行评标的。</w:t>
      </w:r>
    </w:p>
    <w:p>
      <w:pPr>
        <w:spacing w:line="500" w:lineRule="exact"/>
        <w:ind w:firstLine="460" w:firstLineChars="192"/>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（6）法律、法规规定的其他违法、违规情形。 </w:t>
      </w:r>
    </w:p>
    <w:p>
      <w:pPr>
        <w:spacing w:line="500" w:lineRule="exact"/>
        <w:contextualSpacing/>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38.对与评标活动有关的工作人员的纪律要求</w:t>
      </w:r>
    </w:p>
    <w:p>
      <w:pPr>
        <w:spacing w:line="500" w:lineRule="exact"/>
        <w:ind w:firstLine="460" w:firstLineChars="192"/>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pPr>
        <w:spacing w:line="500" w:lineRule="exact"/>
        <w:contextualSpacing/>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39 监督检查</w:t>
      </w:r>
    </w:p>
    <w:p>
      <w:pPr>
        <w:spacing w:line="500" w:lineRule="exact"/>
        <w:ind w:firstLine="460" w:firstLineChars="192"/>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39.1政府采购监督管理部门应对在政府采购活动中的当事人有关政府采购的法律、行政法规和规章的执行情况和采购范围、采购方式和采购程序的执行等情况进行监督检查。</w:t>
      </w:r>
    </w:p>
    <w:p>
      <w:pPr>
        <w:spacing w:line="500" w:lineRule="exact"/>
        <w:ind w:firstLine="460" w:firstLineChars="192"/>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39.2招标项目行政监督部门可视情依法派员对招标活动的全程进行监督。</w:t>
      </w:r>
    </w:p>
    <w:p>
      <w:pPr>
        <w:pStyle w:val="5"/>
        <w:spacing w:line="500" w:lineRule="exact"/>
        <w:contextualSpacing/>
        <w:rPr>
          <w:rFonts w:ascii="宋体" w:hAnsi="宋体" w:cs="宋体"/>
          <w:color w:val="000000" w:themeColor="text1"/>
          <w:sz w:val="24"/>
          <w:szCs w:val="24"/>
          <w14:textFill>
            <w14:solidFill>
              <w14:schemeClr w14:val="tx1"/>
            </w14:solidFill>
          </w14:textFill>
        </w:rPr>
      </w:pPr>
      <w:bookmarkStart w:id="183" w:name="_Toc217446076"/>
      <w:bookmarkStart w:id="184" w:name="_Toc487728208"/>
      <w:bookmarkStart w:id="185" w:name="_Toc406749979"/>
      <w:bookmarkStart w:id="186" w:name="_Toc8437"/>
      <w:bookmarkStart w:id="187" w:name="_Toc26976"/>
      <w:bookmarkStart w:id="188" w:name="_Toc25635"/>
      <w:r>
        <w:rPr>
          <w:rFonts w:hint="eastAsia" w:ascii="宋体" w:hAnsi="宋体" w:cs="宋体"/>
          <w:color w:val="000000" w:themeColor="text1"/>
          <w:sz w:val="24"/>
          <w:szCs w:val="24"/>
          <w14:textFill>
            <w14:solidFill>
              <w14:schemeClr w14:val="tx1"/>
            </w14:solidFill>
          </w14:textFill>
        </w:rPr>
        <w:t>九、支付货款</w:t>
      </w:r>
      <w:bookmarkEnd w:id="183"/>
      <w:bookmarkEnd w:id="184"/>
      <w:bookmarkEnd w:id="185"/>
      <w:bookmarkEnd w:id="186"/>
      <w:bookmarkEnd w:id="187"/>
      <w:bookmarkEnd w:id="188"/>
    </w:p>
    <w:p>
      <w:pPr>
        <w:spacing w:line="500" w:lineRule="exact"/>
        <w:contextualSpacing/>
        <w:rPr>
          <w:rFonts w:ascii="宋体" w:hAnsi="宋体" w:cs="宋体"/>
          <w:b/>
          <w:color w:val="000000" w:themeColor="text1"/>
          <w:sz w:val="24"/>
          <w:szCs w:val="24"/>
          <w14:textFill>
            <w14:solidFill>
              <w14:schemeClr w14:val="tx1"/>
            </w14:solidFill>
          </w14:textFill>
        </w:rPr>
      </w:pPr>
      <w:bookmarkStart w:id="189" w:name="_Toc217446077"/>
      <w:r>
        <w:rPr>
          <w:rFonts w:hint="eastAsia" w:ascii="宋体" w:hAnsi="宋体" w:cs="宋体"/>
          <w:b/>
          <w:color w:val="000000" w:themeColor="text1"/>
          <w:sz w:val="24"/>
          <w:szCs w:val="24"/>
          <w14:textFill>
            <w14:solidFill>
              <w14:schemeClr w14:val="tx1"/>
            </w14:solidFill>
          </w14:textFill>
        </w:rPr>
        <w:t>40. 申请支付</w:t>
      </w:r>
      <w:bookmarkEnd w:id="189"/>
    </w:p>
    <w:p>
      <w:pPr>
        <w:spacing w:line="500" w:lineRule="exact"/>
        <w:ind w:firstLine="460" w:firstLineChars="192"/>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40.1 货物（设备）或服务验收合格，采购人签署《验收结算书》后，向财政部门提出支付申请。采购人采购货物的自有资金部分，由采购人直接支付给中标人。</w:t>
      </w:r>
    </w:p>
    <w:p>
      <w:pPr>
        <w:pStyle w:val="24"/>
        <w:spacing w:line="500" w:lineRule="exact"/>
        <w:ind w:firstLine="480" w:firstLineChars="200"/>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40.2 财政部门根据采购人的支付申请，并对采购合同进行审核后，直接将集中支付货款支付给中标人。</w:t>
      </w:r>
      <w:bookmarkStart w:id="190" w:name="_Toc217446078"/>
    </w:p>
    <w:p>
      <w:pPr>
        <w:pStyle w:val="5"/>
        <w:spacing w:line="500" w:lineRule="exact"/>
        <w:contextualSpacing/>
        <w:rPr>
          <w:rFonts w:ascii="宋体" w:hAnsi="宋体" w:cs="宋体"/>
          <w:color w:val="000000" w:themeColor="text1"/>
          <w:sz w:val="24"/>
          <w:szCs w:val="24"/>
          <w14:textFill>
            <w14:solidFill>
              <w14:schemeClr w14:val="tx1"/>
            </w14:solidFill>
          </w14:textFill>
        </w:rPr>
      </w:pPr>
      <w:bookmarkStart w:id="191" w:name="_Toc9549"/>
      <w:bookmarkStart w:id="192" w:name="_Toc32663"/>
      <w:bookmarkStart w:id="193" w:name="_Toc1719"/>
      <w:bookmarkStart w:id="194" w:name="_Toc406749980"/>
      <w:bookmarkStart w:id="195" w:name="_Toc487728209"/>
      <w:r>
        <w:rPr>
          <w:rFonts w:hint="eastAsia" w:ascii="宋体" w:hAnsi="宋体" w:cs="宋体"/>
          <w:color w:val="000000" w:themeColor="text1"/>
          <w:sz w:val="24"/>
          <w:szCs w:val="24"/>
          <w14:textFill>
            <w14:solidFill>
              <w14:schemeClr w14:val="tx1"/>
            </w14:solidFill>
          </w14:textFill>
        </w:rPr>
        <w:t>十、质疑和投诉</w:t>
      </w:r>
      <w:bookmarkEnd w:id="190"/>
      <w:bookmarkEnd w:id="191"/>
      <w:bookmarkEnd w:id="192"/>
      <w:bookmarkEnd w:id="193"/>
      <w:bookmarkEnd w:id="194"/>
      <w:bookmarkEnd w:id="195"/>
      <w:bookmarkStart w:id="196" w:name="_Toc217446079"/>
    </w:p>
    <w:p>
      <w:pPr>
        <w:spacing w:line="500" w:lineRule="exact"/>
        <w:contextualSpacing/>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41.质疑和投诉</w:t>
      </w:r>
    </w:p>
    <w:bookmarkEnd w:id="178"/>
    <w:bookmarkEnd w:id="179"/>
    <w:bookmarkEnd w:id="196"/>
    <w:p>
      <w:pPr>
        <w:pStyle w:val="24"/>
        <w:spacing w:line="500" w:lineRule="exact"/>
        <w:ind w:firstLine="480" w:firstLineChars="200"/>
        <w:contextualSpacing/>
        <w:rPr>
          <w:rFonts w:ascii="宋体" w:hAnsi="宋体" w:cs="宋体"/>
          <w:color w:val="000000" w:themeColor="text1"/>
          <w:sz w:val="24"/>
          <w:szCs w:val="24"/>
          <w14:textFill>
            <w14:solidFill>
              <w14:schemeClr w14:val="tx1"/>
            </w14:solidFill>
          </w14:textFill>
        </w:rPr>
      </w:pPr>
      <w:bookmarkStart w:id="197" w:name="_Toc217446081"/>
      <w:r>
        <w:rPr>
          <w:rFonts w:hint="eastAsia" w:ascii="宋体" w:hAnsi="宋体" w:cs="宋体"/>
          <w:color w:val="000000" w:themeColor="text1"/>
          <w:sz w:val="24"/>
          <w:szCs w:val="24"/>
          <w14:textFill>
            <w14:solidFill>
              <w14:schemeClr w14:val="tx1"/>
            </w14:solidFill>
          </w14:textFill>
        </w:rPr>
        <w:t>详细规定在新疆维吾尔自治区政府采购网法律法规模块见《政府采购法》、《政府采购供应商投诉办法》、《财政部关于加强政府采购供应商投诉受理审查工作的通知》、《新疆维吾尔自治区政府采购供应商质疑处理暂行办法》和《新疆维吾尔自治区政府采购供应商投诉处理工作规程》。</w:t>
      </w:r>
    </w:p>
    <w:p>
      <w:pPr>
        <w:pStyle w:val="24"/>
        <w:spacing w:line="500" w:lineRule="exact"/>
        <w:ind w:firstLine="480" w:firstLineChars="200"/>
        <w:contextualSpacing/>
        <w:rPr>
          <w:rFonts w:ascii="宋体" w:hAnsi="宋体" w:cs="宋体"/>
          <w:color w:val="000000" w:themeColor="text1"/>
          <w:sz w:val="24"/>
          <w:szCs w:val="24"/>
          <w14:textFill>
            <w14:solidFill>
              <w14:schemeClr w14:val="tx1"/>
            </w14:solidFill>
          </w14:textFill>
        </w:rPr>
      </w:pPr>
    </w:p>
    <w:p>
      <w:pPr>
        <w:pStyle w:val="24"/>
        <w:spacing w:line="500" w:lineRule="exact"/>
        <w:ind w:firstLine="480" w:firstLineChars="200"/>
        <w:contextualSpacing/>
        <w:rPr>
          <w:rFonts w:ascii="宋体" w:hAnsi="宋体" w:cs="宋体"/>
          <w:color w:val="000000" w:themeColor="text1"/>
          <w:sz w:val="24"/>
          <w:szCs w:val="24"/>
          <w14:textFill>
            <w14:solidFill>
              <w14:schemeClr w14:val="tx1"/>
            </w14:solidFill>
          </w14:textFill>
        </w:rPr>
      </w:pPr>
    </w:p>
    <w:p>
      <w:pPr>
        <w:pStyle w:val="24"/>
        <w:spacing w:line="500" w:lineRule="exact"/>
        <w:ind w:firstLine="480" w:firstLineChars="200"/>
        <w:contextualSpacing/>
        <w:rPr>
          <w:rFonts w:ascii="宋体" w:hAnsi="宋体" w:cs="宋体"/>
          <w:color w:val="000000" w:themeColor="text1"/>
          <w:sz w:val="24"/>
          <w:szCs w:val="24"/>
          <w14:textFill>
            <w14:solidFill>
              <w14:schemeClr w14:val="tx1"/>
            </w14:solidFill>
          </w14:textFill>
        </w:rPr>
      </w:pPr>
    </w:p>
    <w:p>
      <w:pPr>
        <w:pStyle w:val="24"/>
        <w:spacing w:line="500" w:lineRule="exact"/>
        <w:ind w:firstLine="480" w:firstLineChars="200"/>
        <w:contextualSpacing/>
        <w:rPr>
          <w:rFonts w:ascii="宋体" w:hAnsi="宋体" w:cs="宋体"/>
          <w:color w:val="000000" w:themeColor="text1"/>
          <w:sz w:val="24"/>
          <w:szCs w:val="24"/>
          <w14:textFill>
            <w14:solidFill>
              <w14:schemeClr w14:val="tx1"/>
            </w14:solidFill>
          </w14:textFill>
        </w:rPr>
      </w:pPr>
    </w:p>
    <w:p>
      <w:pPr>
        <w:spacing w:line="500" w:lineRule="exact"/>
        <w:rPr>
          <w:sz w:val="24"/>
          <w:szCs w:val="24"/>
        </w:rPr>
        <w:sectPr>
          <w:footerReference r:id="rId6" w:type="first"/>
          <w:headerReference r:id="rId4" w:type="default"/>
          <w:footerReference r:id="rId5" w:type="default"/>
          <w:pgSz w:w="11907" w:h="16840"/>
          <w:pgMar w:top="1134" w:right="1134" w:bottom="1134" w:left="1134" w:header="851" w:footer="851" w:gutter="0"/>
          <w:pgNumType w:chapStyle="1"/>
          <w:cols w:space="720" w:num="1"/>
          <w:titlePg/>
        </w:sectPr>
      </w:pPr>
      <w:bookmarkStart w:id="198" w:name="_Toc10914"/>
      <w:bookmarkStart w:id="199" w:name="_Toc487728210"/>
      <w:r>
        <w:rPr>
          <w:rFonts w:hint="eastAsia" w:ascii="宋体" w:hAnsi="宋体" w:cs="宋体"/>
          <w:color w:val="000000" w:themeColor="text1"/>
          <w:sz w:val="24"/>
          <w:szCs w:val="24"/>
          <w14:textFill>
            <w14:solidFill>
              <w14:schemeClr w14:val="tx1"/>
            </w14:solidFill>
          </w14:textFill>
        </w:rPr>
        <w:br w:type="page"/>
      </w:r>
    </w:p>
    <w:bookmarkEnd w:id="198"/>
    <w:bookmarkEnd w:id="199"/>
    <w:p>
      <w:pPr>
        <w:pStyle w:val="4"/>
        <w:numPr>
          <w:ilvl w:val="0"/>
          <w:numId w:val="4"/>
        </w:numPr>
        <w:spacing w:line="500" w:lineRule="exact"/>
        <w:contextualSpacing/>
        <w:rPr>
          <w:sz w:val="24"/>
          <w:szCs w:val="24"/>
        </w:rPr>
      </w:pPr>
      <w:bookmarkStart w:id="200" w:name="_Toc2938"/>
      <w:r>
        <w:rPr>
          <w:rFonts w:hint="eastAsia"/>
          <w:sz w:val="24"/>
          <w:szCs w:val="24"/>
          <w:lang w:eastAsia="zh-CN"/>
        </w:rPr>
        <w:t>采购需求</w:t>
      </w:r>
    </w:p>
    <w:p>
      <w:pPr>
        <w:pStyle w:val="4"/>
        <w:numPr>
          <w:ilvl w:val="0"/>
          <w:numId w:val="0"/>
        </w:numPr>
        <w:spacing w:line="500" w:lineRule="exact"/>
        <w:contextualSpacing/>
        <w:jc w:val="both"/>
        <w:rPr>
          <w:rFonts w:hint="eastAsia" w:ascii="宋体" w:hAnsi="宋体" w:cs="宋体"/>
          <w:color w:val="000000" w:themeColor="text1"/>
          <w:sz w:val="24"/>
          <w:szCs w:val="24"/>
          <w:lang w:eastAsia="zh-CN"/>
          <w14:textFill>
            <w14:solidFill>
              <w14:schemeClr w14:val="tx1"/>
            </w14:solidFill>
          </w14:textFill>
        </w:rPr>
      </w:pPr>
      <w:r>
        <w:rPr>
          <w:rFonts w:hint="eastAsia" w:ascii="宋体" w:hAnsi="宋体" w:cs="宋体"/>
          <w:color w:val="000000" w:themeColor="text1"/>
          <w:sz w:val="24"/>
          <w:szCs w:val="24"/>
          <w:lang w:eastAsia="zh-CN"/>
          <w14:textFill>
            <w14:solidFill>
              <w14:schemeClr w14:val="tx1"/>
            </w14:solidFill>
          </w14:textFill>
        </w:rPr>
        <w:t>项目概况：</w:t>
      </w:r>
    </w:p>
    <w:p>
      <w:pPr>
        <w:pStyle w:val="4"/>
        <w:numPr>
          <w:ilvl w:val="0"/>
          <w:numId w:val="0"/>
        </w:numPr>
        <w:spacing w:line="500" w:lineRule="exact"/>
        <w:contextualSpacing/>
        <w:jc w:val="both"/>
        <w:rPr>
          <w:rFonts w:hint="eastAsia" w:ascii="宋体" w:hAnsi="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改造建设约430平方米的</w:t>
      </w:r>
      <w:r>
        <w:rPr>
          <w:rFonts w:hint="eastAsia" w:ascii="宋体" w:hAnsi="宋体" w:cs="宋体"/>
          <w:color w:val="000000" w:themeColor="text1"/>
          <w:sz w:val="24"/>
          <w:szCs w:val="24"/>
          <w:lang w:val="en-US" w:eastAsia="zh-CN"/>
          <w14:textFill>
            <w14:solidFill>
              <w14:schemeClr w14:val="tx1"/>
            </w14:solidFill>
          </w14:textFill>
        </w:rPr>
        <w:t>美育基地</w:t>
      </w:r>
      <w:r>
        <w:rPr>
          <w:rFonts w:hint="eastAsia" w:ascii="宋体" w:hAnsi="宋体" w:cs="宋体"/>
          <w:color w:val="000000" w:themeColor="text1"/>
          <w:sz w:val="24"/>
          <w:szCs w:val="24"/>
          <w14:textFill>
            <w14:solidFill>
              <w14:schemeClr w14:val="tx1"/>
            </w14:solidFill>
          </w14:textFill>
        </w:rPr>
        <w:t>，包含音乐、美术、书法、舞蹈、艺术设计等艺术类美育课程的教学、实训和作品展示空间，基本形成全覆盖、多样化、高质量、现代化的新时代美育体系</w:t>
      </w:r>
      <w:r>
        <w:rPr>
          <w:rFonts w:hint="eastAsia" w:ascii="宋体" w:hAnsi="宋体" w:cs="宋体"/>
          <w:color w:val="000000" w:themeColor="text1"/>
          <w:sz w:val="24"/>
          <w:szCs w:val="24"/>
          <w:lang w:val="en-US" w:eastAsia="zh-CN"/>
          <w14:textFill>
            <w14:solidFill>
              <w14:schemeClr w14:val="tx1"/>
            </w14:solidFill>
          </w14:textFill>
        </w:rPr>
        <w:t>。</w:t>
      </w:r>
    </w:p>
    <w:p>
      <w:pPr>
        <w:pStyle w:val="4"/>
        <w:numPr>
          <w:ilvl w:val="0"/>
          <w:numId w:val="0"/>
        </w:numPr>
        <w:spacing w:line="500" w:lineRule="exact"/>
        <w:contextualSpacing/>
        <w:jc w:val="both"/>
        <w:rPr>
          <w:rFonts w:hint="eastAsia" w:ascii="宋体" w:hAnsi="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设计深度要求：设计主题精准体现胡杨精神、柯柯牙精神，构思独特新颖。</w:t>
      </w:r>
    </w:p>
    <w:p>
      <w:pPr>
        <w:pStyle w:val="4"/>
        <w:numPr>
          <w:ilvl w:val="0"/>
          <w:numId w:val="0"/>
        </w:numPr>
        <w:spacing w:line="500" w:lineRule="exact"/>
        <w:contextualSpacing/>
        <w:jc w:val="both"/>
        <w:rPr>
          <w:rFonts w:hint="eastAsia" w:ascii="宋体" w:hAnsi="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项目平面图：详见招标文件最后一页。</w:t>
      </w:r>
    </w:p>
    <w:p>
      <w:pPr>
        <w:pStyle w:val="4"/>
        <w:numPr>
          <w:ilvl w:val="0"/>
          <w:numId w:val="0"/>
        </w:numPr>
        <w:spacing w:line="500" w:lineRule="exact"/>
        <w:ind w:firstLine="4337" w:firstLineChars="1800"/>
        <w:contextualSpacing/>
        <w:jc w:val="both"/>
        <w:rPr>
          <w:sz w:val="24"/>
          <w:szCs w:val="24"/>
        </w:rPr>
      </w:pPr>
      <w:r>
        <w:rPr>
          <w:rFonts w:hint="eastAsia" w:ascii="宋体" w:hAnsi="宋体" w:cs="宋体"/>
          <w:color w:val="000000" w:themeColor="text1"/>
          <w:sz w:val="24"/>
          <w:szCs w:val="24"/>
          <w14:textFill>
            <w14:solidFill>
              <w14:schemeClr w14:val="tx1"/>
            </w14:solidFill>
          </w14:textFill>
        </w:rPr>
        <w:t>工程量清单</w:t>
      </w:r>
      <w:bookmarkEnd w:id="200"/>
    </w:p>
    <w:tbl>
      <w:tblPr>
        <w:tblStyle w:val="36"/>
        <w:tblW w:w="964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51"/>
        <w:gridCol w:w="2616"/>
        <w:gridCol w:w="3216"/>
        <w:gridCol w:w="644"/>
        <w:gridCol w:w="508"/>
        <w:gridCol w:w="858"/>
        <w:gridCol w:w="810"/>
        <w:gridCol w:w="54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bookmarkStart w:id="201" w:name="_Toc8607"/>
            <w:bookmarkStart w:id="202" w:name="_Toc487728211"/>
            <w:r>
              <w:rPr>
                <w:rFonts w:hint="eastAsia" w:ascii="宋体" w:hAnsi="宋体" w:eastAsia="宋体" w:cs="宋体"/>
                <w:b/>
                <w:bCs/>
                <w:i w:val="0"/>
                <w:iCs w:val="0"/>
                <w:color w:val="000000"/>
                <w:kern w:val="0"/>
                <w:sz w:val="21"/>
                <w:szCs w:val="21"/>
                <w:u w:val="none"/>
                <w:lang w:val="en-US" w:eastAsia="zh-CN" w:bidi="ar"/>
              </w:rPr>
              <w:t>序号</w:t>
            </w:r>
          </w:p>
        </w:tc>
        <w:tc>
          <w:tcPr>
            <w:tcW w:w="2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设备名称</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型号规格或技术参数</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数量</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单位</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单价(元)</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总价(元)</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 w:hRule="atLeast"/>
        </w:trPr>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布展费</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0" w:hRule="atLeast"/>
        </w:trPr>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展厅设计</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概念设计（符合功能要求</w:t>
            </w:r>
            <w:r>
              <w:rPr>
                <w:rStyle w:val="183"/>
                <w:lang w:val="en-US" w:eastAsia="zh-CN" w:bidi="ar"/>
              </w:rPr>
              <w:t>，体现胡杨精神和柯柯牙精神，</w:t>
            </w:r>
            <w:r>
              <w:rPr>
                <w:rFonts w:hint="eastAsia" w:ascii="宋体" w:hAnsi="宋体" w:eastAsia="宋体" w:cs="宋体"/>
                <w:i w:val="0"/>
                <w:iCs w:val="0"/>
                <w:color w:val="000000"/>
                <w:kern w:val="0"/>
                <w:sz w:val="20"/>
                <w:szCs w:val="20"/>
                <w:u w:val="none"/>
                <w:lang w:val="en-US" w:eastAsia="zh-CN" w:bidi="ar"/>
              </w:rPr>
              <w:t>艺术性强）、深化设计（彩立面图纸）、效果图（不少于5张）、平面布局图（动线合理）、施工图（平、立、刨）</w:t>
            </w:r>
          </w:p>
        </w:tc>
        <w:tc>
          <w:tcPr>
            <w:tcW w:w="65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 w:hRule="atLeast"/>
        </w:trPr>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设计稿短板印刷费</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A3铜版纸彩印胶装</w:t>
            </w:r>
          </w:p>
        </w:tc>
        <w:tc>
          <w:tcPr>
            <w:tcW w:w="65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88" w:hRule="atLeast"/>
        </w:trPr>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弧形演出台舞台</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镀锌方钢龙骨10mm厚+10mm厚多层板+10mm厚无醛板+舞台地胶（3mm厚，同质同心，纯PVC,耐磨防滑，无甲醛，含铺设）</w:t>
            </w:r>
          </w:p>
        </w:tc>
        <w:tc>
          <w:tcPr>
            <w:tcW w:w="65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155</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r>
              <w:rPr>
                <w:rStyle w:val="184"/>
                <w:lang w:val="en-US" w:eastAsia="zh-CN" w:bidi="ar"/>
              </w:rPr>
              <w:t>2</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72" w:hRule="atLeast"/>
        </w:trPr>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艺术装置-精神之树</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仿胡杨，钢筋塑型，水泥罩面，手工修型、着色，树叶定制（高5米，树干直径1.5米，树冠直径8米）</w:t>
            </w:r>
          </w:p>
        </w:tc>
        <w:tc>
          <w:tcPr>
            <w:tcW w:w="65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88" w:hRule="atLeast"/>
        </w:trPr>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歌咏舞台（阶梯）</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方钢龙骨+双层多层板+复合木地板包覆（三层实木复合12mm，防水耐磨，环保E0，适用地暖）</w:t>
            </w:r>
          </w:p>
        </w:tc>
        <w:tc>
          <w:tcPr>
            <w:tcW w:w="65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r>
              <w:rPr>
                <w:rStyle w:val="184"/>
                <w:lang w:val="en-US" w:eastAsia="zh-CN" w:bidi="ar"/>
              </w:rPr>
              <w:t>2</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8" w:hRule="atLeast"/>
        </w:trPr>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休息树墩</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仿胡杨，玻璃钢（高50CM*直径不小于60CM）</w:t>
            </w:r>
          </w:p>
        </w:tc>
        <w:tc>
          <w:tcPr>
            <w:tcW w:w="65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画框</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木质</w:t>
            </w:r>
            <w:r>
              <w:rPr>
                <w:rFonts w:hint="eastAsia" w:ascii="宋体" w:hAnsi="宋体" w:eastAsia="宋体" w:cs="宋体"/>
                <w:i w:val="0"/>
                <w:iCs w:val="0"/>
                <w:color w:val="000000"/>
                <w:kern w:val="0"/>
                <w:sz w:val="20"/>
                <w:szCs w:val="20"/>
                <w:u w:val="none"/>
                <w:lang w:val="en-US" w:eastAsia="zh-CN" w:bidi="ar"/>
              </w:rPr>
              <w:t>木色油画框（60*80CM，边框不小于8CM宽）</w:t>
            </w:r>
          </w:p>
        </w:tc>
        <w:tc>
          <w:tcPr>
            <w:tcW w:w="65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 w:hRule="atLeast"/>
        </w:trPr>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文字及图案雕刻</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精工镀钛不锈钢字、PVC衬底，含安装</w:t>
            </w:r>
          </w:p>
        </w:tc>
        <w:tc>
          <w:tcPr>
            <w:tcW w:w="65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r>
              <w:rPr>
                <w:rStyle w:val="184"/>
                <w:lang w:val="en-US" w:eastAsia="zh-CN" w:bidi="ar"/>
              </w:rPr>
              <w:t>2</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 w:hRule="atLeast"/>
        </w:trPr>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丝网印</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设计、制版、手工翻印</w:t>
            </w:r>
          </w:p>
        </w:tc>
        <w:tc>
          <w:tcPr>
            <w:tcW w:w="65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r>
              <w:rPr>
                <w:rStyle w:val="184"/>
                <w:lang w:val="en-US" w:eastAsia="zh-CN" w:bidi="ar"/>
              </w:rPr>
              <w:t>2</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2" w:hRule="atLeast"/>
        </w:trPr>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高清喷绘</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图案设计、宣绒布制作，含装裱</w:t>
            </w:r>
          </w:p>
        </w:tc>
        <w:tc>
          <w:tcPr>
            <w:tcW w:w="65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r>
              <w:rPr>
                <w:rStyle w:val="184"/>
                <w:lang w:val="en-US" w:eastAsia="zh-CN" w:bidi="ar"/>
              </w:rPr>
              <w:t>2</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阳光膜</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专用隔热隔光黑膜，含表贴</w:t>
            </w:r>
          </w:p>
        </w:tc>
        <w:tc>
          <w:tcPr>
            <w:tcW w:w="65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265</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r>
              <w:rPr>
                <w:rStyle w:val="184"/>
                <w:lang w:val="en-US" w:eastAsia="zh-CN" w:bidi="ar"/>
              </w:rPr>
              <w:t>2</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舞台幕布</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重磅不透光棉麻，含安装</w:t>
            </w:r>
          </w:p>
        </w:tc>
        <w:tc>
          <w:tcPr>
            <w:tcW w:w="65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r>
              <w:rPr>
                <w:rStyle w:val="184"/>
                <w:lang w:val="en-US" w:eastAsia="zh-CN" w:bidi="ar"/>
              </w:rPr>
              <w:t>2</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8" w:hRule="atLeast"/>
        </w:trPr>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手绘壁画</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壁画创作及手绘、仿古基层处理（克孜尔千佛洞遗址效果）</w:t>
            </w:r>
          </w:p>
        </w:tc>
        <w:tc>
          <w:tcPr>
            <w:tcW w:w="65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r>
              <w:rPr>
                <w:rStyle w:val="184"/>
                <w:lang w:val="en-US" w:eastAsia="zh-CN" w:bidi="ar"/>
              </w:rPr>
              <w:t>2</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十大国乐乐器</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古琴、琵琶、二胡、古筝、笛、埙、笙、箫、鼓、瑟（实物，可演奏）</w:t>
            </w:r>
          </w:p>
        </w:tc>
        <w:tc>
          <w:tcPr>
            <w:tcW w:w="65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trPr>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十大国乐乐器展架</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造型设计、双层1CM厚亚克力定做（不低于1米高）</w:t>
            </w:r>
          </w:p>
        </w:tc>
        <w:tc>
          <w:tcPr>
            <w:tcW w:w="65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 w:hRule="atLeast"/>
        </w:trPr>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4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lang w:eastAsia="zh-CN"/>
              </w:rPr>
            </w:pPr>
            <w:r>
              <w:rPr>
                <w:rFonts w:hint="eastAsia" w:ascii="宋体" w:hAnsi="宋体" w:eastAsia="宋体" w:cs="宋体"/>
                <w:b/>
                <w:bCs/>
                <w:i w:val="0"/>
                <w:iCs w:val="0"/>
                <w:color w:val="000000"/>
                <w:kern w:val="0"/>
                <w:sz w:val="20"/>
                <w:szCs w:val="20"/>
                <w:u w:val="none"/>
                <w:lang w:val="en-US" w:eastAsia="zh-CN" w:bidi="ar"/>
              </w:rPr>
              <w:t>小计</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652" w:type="dxa"/>
            <w:tcBorders>
              <w:top w:val="single" w:color="000000" w:sz="4" w:space="0"/>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 w:hRule="atLeast"/>
        </w:trPr>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多媒体</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652" w:type="dxa"/>
            <w:tcBorders>
              <w:top w:val="single" w:color="000000" w:sz="4" w:space="0"/>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80" w:hRule="atLeast"/>
        </w:trPr>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highlight w:val="yellow"/>
                <w:u w:val="none"/>
                <w:lang w:val="en-US" w:eastAsia="zh-CN" w:bidi="ar"/>
              </w:rPr>
              <w:t>多媒体弧形演出台屏幕★</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弧形（宽7米*高3.6米）LED全彩显示屏（像素点：160000点/㎡；每个像素点内采用1R1G1B 3颗发光管晶片组成；管芯采用进口管芯，亮度900cd/㎡，防震、防潮、防尘、防腐、防静电、防雷击。平均无故障≥1万小时，灯驱合一，使用寿命≥8万小时；拼接缝隙 ≤1.5mm；盲点率  ≤万分之3，2.0SMD1515灯珠+普刷IC，定制小间距专用电源105个，X4E控制系统，75E接收卡），弧形方钢框架（7*3.6米），强、弱电缆及铺设，大屏10CM宽不锈钢包边装饰，含运输、安装、调试。</w:t>
            </w:r>
          </w:p>
        </w:tc>
        <w:tc>
          <w:tcPr>
            <w:tcW w:w="65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r>
              <w:rPr>
                <w:rStyle w:val="184"/>
                <w:lang w:val="en-US" w:eastAsia="zh-CN" w:bidi="ar"/>
              </w:rPr>
              <w:t>2</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84" w:hRule="atLeast"/>
        </w:trPr>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2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多媒体弧形演出台屏幕视频制作</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脚本设计，高清视频制作，三维特效，背景音效（作品应清晰表现舞蹈意境,要求画面充实、清晰,色调统一、协调。</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A.稍微复杂的建筑或室内场景5个左右</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B.分辨率:1920*1080</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C.音频要求清晰，无交流声或其他杂音、噪音等缺陷。</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D.视频比例:2:1    E.采用H.264编码方式,MP4格式）</w:t>
            </w:r>
          </w:p>
        </w:tc>
        <w:tc>
          <w:tcPr>
            <w:tcW w:w="65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600</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秒</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0" w:hRule="atLeast"/>
        </w:trPr>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2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highlight w:val="yellow"/>
                <w:u w:val="none"/>
                <w:lang w:val="en-US" w:eastAsia="zh-CN" w:bidi="ar"/>
              </w:rPr>
              <w:t>多媒体弧形演出台屏幕配套设备★</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28寸显示器、视频主机（i7/ 10700/h510/8G/512G/Rx550/无线键鼠） 、2U专业数字纯后级功放（频响:20Z-20KHZ30KHZ±3dB</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阻尼系数:80</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输入阻尼:=20K</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总谐波失真:&lt;0.05%</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信噪比:&gt;98dB</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输入共模抑制比:1kz&gt;80dB</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通道分离度:1khz&gt;80dB</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保护功能:过流、短路、过温等</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面板工艺:金属喷漆</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主输入电压:220V350W*2）、JBL落地高保真音箱一对（分别带高、中、低音单元）</w:t>
            </w:r>
          </w:p>
        </w:tc>
        <w:tc>
          <w:tcPr>
            <w:tcW w:w="65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08" w:hRule="atLeast"/>
        </w:trPr>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十大国乐乐器点播程序</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点播程序编程（软件采用C#语言和Unity 3D进行开发，三层逻辑架构(3-Tier Architecture)，控制动画层（FadeManager），控制扩散层（SpreadManager层），详情窗口层(ImageCreator)三层组成。动作识别、图像采集、图像合成和Unity 3D图形技术，双向互动动作与屏幕交互，配合流线运动方式将目标生成的图像、文字、声音、视频等多媒体成像在大屏上互动展示。支持自定义详情窗口样式，支持加载不同格式的数据类型，支持渐入渐出动画方式的添加。</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人性化UI触控界面设计，触控界面，全屏分区布局设计，意形状表现，支持多点触控技术，多模块组件。），音效采集，界面设计</w:t>
            </w:r>
          </w:p>
        </w:tc>
        <w:tc>
          <w:tcPr>
            <w:tcW w:w="65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28" w:hRule="atLeast"/>
        </w:trPr>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highlight w:val="yellow"/>
                <w:u w:val="none"/>
                <w:lang w:val="en-US" w:eastAsia="zh-CN" w:bidi="ar"/>
              </w:rPr>
              <w:t>十大国乐乐器点播设备★</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主机（i7/10700/h510/8G/512G/Rx550/无线键鼠） +2U专业数字纯后级功放（350W*2）+JBL高保真监听音箱</w:t>
            </w:r>
          </w:p>
        </w:tc>
        <w:tc>
          <w:tcPr>
            <w:tcW w:w="65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舞台灯光</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全彩帕灯、三基色柔光灯，含安装调试</w:t>
            </w:r>
          </w:p>
        </w:tc>
        <w:tc>
          <w:tcPr>
            <w:tcW w:w="65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6" w:hRule="atLeast"/>
        </w:trPr>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highlight w:val="yellow"/>
                <w:u w:val="none"/>
                <w:lang w:val="en-US" w:eastAsia="zh-CN" w:bidi="ar"/>
              </w:rPr>
              <w:t>影展魔墙★</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红外触控液晶幕（两行三列，显示比例16:9，面板类型LED背光源，分辨率1920（RGB）*1080，FHD，点间距0.210（H）*0.630（V），</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亮度500CD/M²，</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对比度1400:1，</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显示色彩16.7M，</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响应时间8ms，</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可视角度89/89/89/89（Typ）</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工作频率60HZ，</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拼接拼缝3.5mm，</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工作电压AC220V  50/60Hz，</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产品功耗≤240W，</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待机功耗3W，</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工作温度0～50℃，</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存储温度-20～65℃，</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安装方式嵌入式，）+箱体+主机（i7/ 10700/h510/32G/512G/Rx550/无线键鼠）</w:t>
            </w:r>
          </w:p>
        </w:tc>
        <w:tc>
          <w:tcPr>
            <w:tcW w:w="65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r>
              <w:rPr>
                <w:rStyle w:val="184"/>
                <w:lang w:val="en-US" w:eastAsia="zh-CN" w:bidi="ar"/>
              </w:rPr>
              <w:t>2</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84" w:hRule="atLeast"/>
        </w:trPr>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影展魔墙程序开发</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互动程序编程（软件采用C#语言和Unity 3D进行开发，三层逻辑架构(3-Tier Architecture)，控制动画层（FadeManager），控制扩散层（SpreadManager层），详情窗口层(ImageCreator)三层组成。动作识别、图像采集、图像合成和Unity 3D图形技术，双向互动动作与屏幕交互，配合流线运动方式将目标生成的图像、文字、声音、视频等多媒体成像在大屏上互动展示。支持自定义详情窗口样式，支持加载不同格式的数据类型，支持渐入渐出动画方式的添加。人性化UI触控界面设计，触控界面，全屏分区布局设计，意形状表现，支持多点触控技术，多模块组件。），界面设计(制作图片或视频，图片或视频线性滚动，点击单个可放大、播放、停止)</w:t>
            </w:r>
          </w:p>
        </w:tc>
        <w:tc>
          <w:tcPr>
            <w:tcW w:w="65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中央控制系统</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所有多媒体、灯光PAD自动控制</w:t>
            </w:r>
          </w:p>
        </w:tc>
        <w:tc>
          <w:tcPr>
            <w:tcW w:w="65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 w:hRule="atLeast"/>
        </w:trPr>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4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652" w:type="dxa"/>
            <w:tcBorders>
              <w:top w:val="single" w:color="000000" w:sz="4" w:space="0"/>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小计：</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 w:hRule="atLeast"/>
        </w:trPr>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墙面工程</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 w:hRule="atLeast"/>
        </w:trPr>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拆除铝合金门斗</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r>
              <w:rPr>
                <w:rStyle w:val="185"/>
                <w:rFonts w:ascii="宋体" w:hAnsi="宋体" w:eastAsia="宋体" w:cs="宋体"/>
                <w:sz w:val="24"/>
                <w:szCs w:val="24"/>
                <w:lang w:val="en-US" w:eastAsia="zh-CN" w:bidi="ar"/>
              </w:rPr>
              <w:t>2</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08" w:hRule="atLeast"/>
        </w:trPr>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直墙面轻钢龙骨(含支撑)</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沿顶龙骨与沿地龙骨均为QU100×40×0.7mm,竖向龙骨规格为QC100×50×0.7mm，通贯龙骨规格为DU38×12×1.0，水平接头82×0.6mm。</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轻钢骨架配件：支撑卡、卡托、角托、连接件、固定件、附墙龙骨、压条等附件应符合设计要求。</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紧固材料：射钉、</w:t>
            </w:r>
            <w:r>
              <w:rPr>
                <w:rFonts w:ascii="Calibri" w:hAnsi="Calibri" w:eastAsia="宋体" w:cs="Calibri"/>
                <w:i w:val="0"/>
                <w:iCs w:val="0"/>
                <w:color w:val="000000"/>
                <w:kern w:val="0"/>
                <w:sz w:val="20"/>
                <w:szCs w:val="20"/>
                <w:u w:val="none"/>
                <w:lang w:val="en-US" w:eastAsia="zh-CN" w:bidi="ar"/>
              </w:rPr>
              <w:t>φ</w:t>
            </w:r>
            <w:r>
              <w:rPr>
                <w:rStyle w:val="186"/>
                <w:lang w:val="en-US" w:eastAsia="zh-CN" w:bidi="ar"/>
              </w:rPr>
              <w:t>8膨胀螺栓、镀锌自攻螺丝和粘结嵌缝料应符合设计要求。</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276</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r>
              <w:rPr>
                <w:rStyle w:val="185"/>
                <w:rFonts w:ascii="宋体" w:hAnsi="宋体" w:eastAsia="宋体" w:cs="宋体"/>
                <w:sz w:val="24"/>
                <w:szCs w:val="24"/>
                <w:lang w:val="en-US" w:eastAsia="zh-CN" w:bidi="ar"/>
              </w:rPr>
              <w:t>2</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 w:hRule="atLeast"/>
        </w:trPr>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单层无醛板+单层石膏板</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国标，E1级</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276</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r>
              <w:rPr>
                <w:rStyle w:val="185"/>
                <w:rFonts w:ascii="宋体" w:hAnsi="宋体" w:eastAsia="宋体" w:cs="宋体"/>
                <w:sz w:val="24"/>
                <w:szCs w:val="24"/>
                <w:lang w:val="en-US" w:eastAsia="zh-CN" w:bidi="ar"/>
              </w:rPr>
              <w:t>2</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 w:hRule="atLeast"/>
        </w:trPr>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刷防火涂料二道</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国标，E1级</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276</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r>
              <w:rPr>
                <w:rStyle w:val="185"/>
                <w:rFonts w:ascii="宋体" w:hAnsi="宋体" w:eastAsia="宋体" w:cs="宋体"/>
                <w:sz w:val="24"/>
                <w:szCs w:val="24"/>
                <w:lang w:val="en-US" w:eastAsia="zh-CN" w:bidi="ar"/>
              </w:rPr>
              <w:t>2</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2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突出基层异形造型面（单层无醛板+单层石膏板）</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国标，E1级</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93</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r>
              <w:rPr>
                <w:rStyle w:val="185"/>
                <w:rFonts w:ascii="宋体" w:hAnsi="宋体" w:eastAsia="宋体" w:cs="宋体"/>
                <w:sz w:val="24"/>
                <w:szCs w:val="24"/>
                <w:lang w:val="en-US" w:eastAsia="zh-CN" w:bidi="ar"/>
              </w:rPr>
              <w:t>2</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 w:hRule="atLeast"/>
        </w:trPr>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精致乳胶漆饰面</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国标，E1级</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246</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r>
              <w:rPr>
                <w:rStyle w:val="185"/>
                <w:rFonts w:ascii="宋体" w:hAnsi="宋体" w:eastAsia="宋体" w:cs="宋体"/>
                <w:sz w:val="24"/>
                <w:szCs w:val="24"/>
                <w:lang w:val="en-US" w:eastAsia="zh-CN" w:bidi="ar"/>
              </w:rPr>
              <w:t>2</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玻璃背景墙</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10MM定制钢化安全玻璃</w:t>
            </w:r>
            <w:r>
              <w:rPr>
                <w:rStyle w:val="186"/>
                <w:lang w:val="en-US" w:eastAsia="zh-CN" w:bidi="ar"/>
              </w:rPr>
              <w:t>，4米高，专车运输</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r>
              <w:rPr>
                <w:rStyle w:val="185"/>
                <w:rFonts w:ascii="宋体" w:hAnsi="宋体" w:eastAsia="宋体" w:cs="宋体"/>
                <w:sz w:val="24"/>
                <w:szCs w:val="24"/>
                <w:lang w:val="en-US" w:eastAsia="zh-CN" w:bidi="ar"/>
              </w:rPr>
              <w:t>2</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4" w:hRule="atLeast"/>
        </w:trPr>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折叠推拉隔断</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定制铝合金轨道，无醛板</w:t>
            </w:r>
          </w:p>
        </w:tc>
        <w:tc>
          <w:tcPr>
            <w:tcW w:w="65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r>
              <w:rPr>
                <w:rStyle w:val="184"/>
                <w:lang w:val="en-US" w:eastAsia="zh-CN" w:bidi="ar"/>
              </w:rPr>
              <w:t>2</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 w:hRule="atLeast"/>
        </w:trPr>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踢脚线(不锈钢)</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129</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trPr>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造型门洞</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木龙骨+双层6mm厚无醛板+水性漆(国标，E1级)</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 w:hRule="atLeast"/>
        </w:trPr>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天花工程</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8" w:hRule="atLeast"/>
        </w:trPr>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2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天花顶部原水泥板底喷黑处理</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内墙乳胶漆（墙面漆挥发性有机化合物VOC（g/L）≤200；游离甲醛（g/KG）≤0.1；可溶性铅（mg/kg）≤90；可溶性镉（mg/kg）≤75；可溶性铬（mg/kg）≤60；可溶性汞（mg/kg）≤60。）</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414</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r>
              <w:rPr>
                <w:rStyle w:val="185"/>
                <w:rFonts w:ascii="宋体" w:hAnsi="宋体" w:eastAsia="宋体" w:cs="宋体"/>
                <w:sz w:val="24"/>
                <w:szCs w:val="24"/>
                <w:lang w:val="en-US" w:eastAsia="zh-CN" w:bidi="ar"/>
              </w:rPr>
              <w:t>2</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16" w:hRule="atLeast"/>
        </w:trPr>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石膏板造型吊顶</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吊杆标准8mm以上，间隔1-1.2米，38主龙骨1-1.2米间隔，主龙副龙的配比1：主龙骨50-60cm宽度，厚度是1.2mm,50副龙骨厚度是0.5mm。石膏板的厚度是0.95mm以上。国标</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r>
              <w:rPr>
                <w:rStyle w:val="185"/>
                <w:rFonts w:ascii="宋体" w:hAnsi="宋体" w:eastAsia="宋体" w:cs="宋体"/>
                <w:sz w:val="24"/>
                <w:szCs w:val="24"/>
                <w:lang w:val="en-US" w:eastAsia="zh-CN" w:bidi="ar"/>
              </w:rPr>
              <w:t>2</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 w:hRule="atLeast"/>
        </w:trPr>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电气工程</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96" w:hRule="atLeast"/>
        </w:trPr>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综合布线管</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强弱电双桥架（XQJ-C/无孔电缆托盘桥架</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，150*80mm,1.2mm厚，镀锌），国标2.5KGB穿线管（双面冷镀锌），国标2.5平方BVR纯铜电线（绞合导体中单线最少根数19根，绝缘厚度0.8mm，平均外径上限4.1mm,20℃时导体电阻最大值7.41</w:t>
            </w:r>
            <w:r>
              <w:rPr>
                <w:rFonts w:ascii="Calibri" w:hAnsi="Calibri" w:eastAsia="宋体" w:cs="Calibri"/>
                <w:i w:val="0"/>
                <w:iCs w:val="0"/>
                <w:color w:val="000000"/>
                <w:kern w:val="0"/>
                <w:sz w:val="20"/>
                <w:szCs w:val="20"/>
                <w:u w:val="none"/>
                <w:lang w:val="en-US" w:eastAsia="zh-CN" w:bidi="ar"/>
              </w:rPr>
              <w:t>Ω</w:t>
            </w:r>
            <w:r>
              <w:rPr>
                <w:rStyle w:val="186"/>
                <w:lang w:val="en-US" w:eastAsia="zh-CN" w:bidi="ar"/>
              </w:rPr>
              <w:t>/km，70℃时绝缘电阻最小值0.010M</w:t>
            </w:r>
            <w:r>
              <w:rPr>
                <w:rFonts w:ascii="Calibri" w:hAnsi="Calibri" w:eastAsia="宋体" w:cs="Calibri"/>
                <w:i w:val="0"/>
                <w:iCs w:val="0"/>
                <w:color w:val="000000"/>
                <w:kern w:val="0"/>
                <w:sz w:val="20"/>
                <w:szCs w:val="20"/>
                <w:u w:val="none"/>
                <w:lang w:val="en-US" w:eastAsia="zh-CN" w:bidi="ar"/>
              </w:rPr>
              <w:t>Ω</w:t>
            </w:r>
            <w:r>
              <w:rPr>
                <w:rStyle w:val="186"/>
                <w:lang w:val="en-US" w:eastAsia="zh-CN" w:bidi="ar"/>
              </w:rPr>
              <w:t>/km），含铺设、安装</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414</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r>
              <w:rPr>
                <w:rStyle w:val="185"/>
                <w:rFonts w:ascii="宋体" w:hAnsi="宋体" w:eastAsia="宋体" w:cs="宋体"/>
                <w:sz w:val="24"/>
                <w:szCs w:val="24"/>
                <w:lang w:val="en-US" w:eastAsia="zh-CN" w:bidi="ar"/>
              </w:rPr>
              <w:t>2</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专用射灯</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LED中性光，防眩光，高显色，30W，含轨道，含安装</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132</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2" w:hRule="atLeast"/>
        </w:trPr>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筒灯</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LED中性光，12W，5寸，含安装</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2" w:hRule="atLeast"/>
        </w:trPr>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开关插座</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三开3个，单开1个，暗装五孔插座4个，明装五孔插座4个，国标，含安装</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92" w:hRule="atLeast"/>
        </w:trPr>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配电箱</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160A三相1个，1P10A8个，3P20A2个，带漏电保护，国标，含安装</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20" w:hRule="atLeast"/>
        </w:trPr>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电缆线</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4芯6平</w:t>
            </w:r>
            <w:r>
              <w:rPr>
                <w:rStyle w:val="183"/>
                <w:lang w:val="en-US" w:eastAsia="zh-CN" w:bidi="ar"/>
              </w:rPr>
              <w:t>方多股铜芯线（绞合导体中单线最</w:t>
            </w:r>
            <w:r>
              <w:rPr>
                <w:rStyle w:val="186"/>
                <w:lang w:val="en-US" w:eastAsia="zh-CN" w:bidi="ar"/>
              </w:rPr>
              <w:t>少根数19根，绝缘厚度0.8mm，平均外径上限5.3mm,20℃时导体电阻最大值3.08</w:t>
            </w:r>
            <w:r>
              <w:rPr>
                <w:rFonts w:ascii="Calibri" w:hAnsi="Calibri" w:eastAsia="宋体" w:cs="Calibri"/>
                <w:i w:val="0"/>
                <w:iCs w:val="0"/>
                <w:color w:val="000000"/>
                <w:kern w:val="0"/>
                <w:sz w:val="20"/>
                <w:szCs w:val="20"/>
                <w:u w:val="none"/>
                <w:lang w:val="en-US" w:eastAsia="zh-CN" w:bidi="ar"/>
              </w:rPr>
              <w:t>Ω</w:t>
            </w:r>
            <w:r>
              <w:rPr>
                <w:rStyle w:val="186"/>
                <w:lang w:val="en-US" w:eastAsia="zh-CN" w:bidi="ar"/>
              </w:rPr>
              <w:t>/km，70℃时绝缘电阻最小值0.0068M</w:t>
            </w:r>
            <w:r>
              <w:rPr>
                <w:rFonts w:ascii="Calibri" w:hAnsi="Calibri" w:eastAsia="宋体" w:cs="Calibri"/>
                <w:i w:val="0"/>
                <w:iCs w:val="0"/>
                <w:color w:val="000000"/>
                <w:kern w:val="0"/>
                <w:sz w:val="20"/>
                <w:szCs w:val="20"/>
                <w:u w:val="none"/>
                <w:lang w:val="en-US" w:eastAsia="zh-CN" w:bidi="ar"/>
              </w:rPr>
              <w:t>Ω</w:t>
            </w:r>
            <w:r>
              <w:rPr>
                <w:rStyle w:val="186"/>
                <w:lang w:val="en-US" w:eastAsia="zh-CN" w:bidi="ar"/>
              </w:rPr>
              <w:t>/km），含铺设、安装</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 w:hRule="atLeast"/>
        </w:trPr>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地面工程</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68" w:hRule="atLeast"/>
        </w:trPr>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自流平</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Style w:val="186"/>
                <w:lang w:val="en-US" w:eastAsia="zh-CN" w:bidi="ar"/>
              </w:rPr>
            </w:pPr>
            <w:r>
              <w:rPr>
                <w:rFonts w:hint="eastAsia" w:ascii="宋体" w:hAnsi="宋体" w:eastAsia="宋体" w:cs="宋体"/>
                <w:i w:val="0"/>
                <w:iCs w:val="0"/>
                <w:color w:val="000000"/>
                <w:kern w:val="0"/>
                <w:sz w:val="20"/>
                <w:szCs w:val="20"/>
                <w:u w:val="none"/>
                <w:lang w:val="en-US" w:eastAsia="zh-CN" w:bidi="ar"/>
              </w:rPr>
              <w:t>地面用水泥基自流平砂浆5MM厚，</w:t>
            </w:r>
            <w:r>
              <w:rPr>
                <w:rStyle w:val="183"/>
                <w:lang w:val="en-US" w:eastAsia="zh-CN" w:bidi="ar"/>
              </w:rPr>
              <w:t>标号C16，</w:t>
            </w:r>
            <w:r>
              <w:rPr>
                <w:rStyle w:val="186"/>
                <w:lang w:val="en-US" w:eastAsia="zh-CN" w:bidi="ar"/>
              </w:rPr>
              <w:t>符合《JC/T 985-2005 地面用水泥基自流平砂浆》标准。           （1.初始流动度：≥130</w:t>
            </w:r>
          </w:p>
          <w:p>
            <w:pPr>
              <w:keepNext w:val="0"/>
              <w:keepLines w:val="0"/>
              <w:widowControl/>
              <w:suppressLineNumbers w:val="0"/>
              <w:jc w:val="left"/>
              <w:textAlignment w:val="center"/>
              <w:rPr>
                <w:rStyle w:val="186"/>
                <w:lang w:val="en-US" w:eastAsia="zh-CN" w:bidi="ar"/>
              </w:rPr>
            </w:pPr>
            <w:r>
              <w:rPr>
                <w:rStyle w:val="186"/>
                <w:lang w:val="en-US" w:eastAsia="zh-CN" w:bidi="ar"/>
              </w:rPr>
              <w:t>2.20min流动度：≥130</w:t>
            </w:r>
          </w:p>
          <w:p>
            <w:pPr>
              <w:keepNext w:val="0"/>
              <w:keepLines w:val="0"/>
              <w:widowControl/>
              <w:suppressLineNumbers w:val="0"/>
              <w:jc w:val="left"/>
              <w:textAlignment w:val="center"/>
              <w:rPr>
                <w:rStyle w:val="186"/>
                <w:lang w:val="en-US" w:eastAsia="zh-CN" w:bidi="ar"/>
              </w:rPr>
            </w:pPr>
            <w:r>
              <w:rPr>
                <w:rStyle w:val="186"/>
                <w:lang w:val="en-US" w:eastAsia="zh-CN" w:bidi="ar"/>
              </w:rPr>
              <w:t>3.导热系数：≤0.55W/(m·k)</w:t>
            </w:r>
          </w:p>
          <w:p>
            <w:pPr>
              <w:keepNext w:val="0"/>
              <w:keepLines w:val="0"/>
              <w:widowControl/>
              <w:suppressLineNumbers w:val="0"/>
              <w:jc w:val="left"/>
              <w:textAlignment w:val="center"/>
              <w:rPr>
                <w:rStyle w:val="186"/>
                <w:lang w:val="en-US" w:eastAsia="zh-CN" w:bidi="ar"/>
              </w:rPr>
            </w:pPr>
            <w:r>
              <w:rPr>
                <w:rStyle w:val="186"/>
                <w:lang w:val="en-US" w:eastAsia="zh-CN" w:bidi="ar"/>
              </w:rPr>
              <w:t>4.拉伸粘结强度：≥1.0MPa</w:t>
            </w:r>
          </w:p>
          <w:p>
            <w:pPr>
              <w:keepNext w:val="0"/>
              <w:keepLines w:val="0"/>
              <w:widowControl/>
              <w:suppressLineNumbers w:val="0"/>
              <w:jc w:val="left"/>
              <w:textAlignment w:val="center"/>
              <w:rPr>
                <w:rStyle w:val="186"/>
                <w:lang w:val="en-US" w:eastAsia="zh-CN" w:bidi="ar"/>
              </w:rPr>
            </w:pPr>
            <w:r>
              <w:rPr>
                <w:rStyle w:val="186"/>
                <w:lang w:val="en-US" w:eastAsia="zh-CN" w:bidi="ar"/>
              </w:rPr>
              <w:t>5.尺寸变化率：-0.1~+0.1</w:t>
            </w:r>
          </w:p>
          <w:p>
            <w:pPr>
              <w:keepNext w:val="0"/>
              <w:keepLines w:val="0"/>
              <w:widowControl/>
              <w:suppressLineNumbers w:val="0"/>
              <w:jc w:val="left"/>
              <w:textAlignment w:val="center"/>
              <w:rPr>
                <w:rStyle w:val="186"/>
                <w:lang w:val="en-US" w:eastAsia="zh-CN" w:bidi="ar"/>
              </w:rPr>
            </w:pPr>
            <w:r>
              <w:rPr>
                <w:rStyle w:val="186"/>
                <w:lang w:val="en-US" w:eastAsia="zh-CN" w:bidi="ar"/>
              </w:rPr>
              <w:t>6.抗冲击性：无开裂或脱离地板</w:t>
            </w:r>
          </w:p>
          <w:p>
            <w:pPr>
              <w:keepNext w:val="0"/>
              <w:keepLines w:val="0"/>
              <w:widowControl/>
              <w:suppressLineNumbers w:val="0"/>
              <w:jc w:val="left"/>
              <w:textAlignment w:val="center"/>
              <w:rPr>
                <w:rStyle w:val="186"/>
                <w:lang w:val="en-US" w:eastAsia="zh-CN" w:bidi="ar"/>
              </w:rPr>
            </w:pPr>
            <w:r>
              <w:rPr>
                <w:rStyle w:val="186"/>
                <w:lang w:val="en-US" w:eastAsia="zh-CN" w:bidi="ar"/>
              </w:rPr>
              <w:t>7.24h抗压强度：≥6.0MPa</w:t>
            </w:r>
          </w:p>
          <w:p>
            <w:pPr>
              <w:keepNext w:val="0"/>
              <w:keepLines w:val="0"/>
              <w:widowControl/>
              <w:suppressLineNumbers w:val="0"/>
              <w:jc w:val="left"/>
              <w:textAlignment w:val="center"/>
              <w:rPr>
                <w:rStyle w:val="186"/>
                <w:lang w:val="en-US" w:eastAsia="zh-CN" w:bidi="ar"/>
              </w:rPr>
            </w:pPr>
            <w:r>
              <w:rPr>
                <w:rStyle w:val="186"/>
                <w:lang w:val="en-US" w:eastAsia="zh-CN" w:bidi="ar"/>
              </w:rPr>
              <w:t>8.24h抗折强度：≥2.0MPa</w:t>
            </w:r>
          </w:p>
          <w:p>
            <w:pPr>
              <w:keepNext w:val="0"/>
              <w:keepLines w:val="0"/>
              <w:widowControl/>
              <w:suppressLineNumbers w:val="0"/>
              <w:jc w:val="left"/>
              <w:textAlignment w:val="center"/>
              <w:rPr>
                <w:rStyle w:val="186"/>
                <w:lang w:val="en-US" w:eastAsia="zh-CN" w:bidi="ar"/>
              </w:rPr>
            </w:pPr>
            <w:r>
              <w:rPr>
                <w:rStyle w:val="186"/>
                <w:lang w:val="en-US" w:eastAsia="zh-CN" w:bidi="ar"/>
              </w:rPr>
              <w:t>9.28d抗压强度：≥20MPa</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186"/>
                <w:lang w:val="en-US" w:eastAsia="zh-CN" w:bidi="ar"/>
              </w:rPr>
              <w:t>10.28d抗折强度：≥4.0MPa）</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320</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r>
              <w:rPr>
                <w:rStyle w:val="185"/>
                <w:rFonts w:ascii="宋体" w:hAnsi="宋体" w:eastAsia="宋体" w:cs="宋体"/>
                <w:sz w:val="24"/>
                <w:szCs w:val="24"/>
                <w:lang w:val="en-US" w:eastAsia="zh-CN" w:bidi="ar"/>
              </w:rPr>
              <w:t>2</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2" w:hRule="atLeast"/>
        </w:trPr>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展馆专用地胶</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3mm厚，同质同心，纯PVC,耐磨防滑，无甲醛，含铺设。</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320</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r>
              <w:rPr>
                <w:rStyle w:val="185"/>
                <w:rFonts w:ascii="宋体" w:hAnsi="宋体" w:eastAsia="宋体" w:cs="宋体"/>
                <w:sz w:val="24"/>
                <w:szCs w:val="24"/>
                <w:lang w:val="en-US" w:eastAsia="zh-CN" w:bidi="ar"/>
              </w:rPr>
              <w:t>2</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12" w:hRule="atLeast"/>
        </w:trPr>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异形地台</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镀锌方钢龙骨</w:t>
            </w:r>
            <w:r>
              <w:rPr>
                <w:rStyle w:val="183"/>
                <w:lang w:val="en-US" w:eastAsia="zh-CN" w:bidi="ar"/>
              </w:rPr>
              <w:t>（100*600mm）</w:t>
            </w:r>
            <w:r>
              <w:rPr>
                <w:rStyle w:val="186"/>
                <w:lang w:val="en-US" w:eastAsia="zh-CN" w:bidi="ar"/>
              </w:rPr>
              <w:t>+10mm厚多层板+复合木地板（三层实木复合12mm，防水耐磨，环保E0，适</w:t>
            </w:r>
            <w:r>
              <w:rPr>
                <w:rStyle w:val="183"/>
                <w:lang w:val="en-US" w:eastAsia="zh-CN" w:bidi="ar"/>
              </w:rPr>
              <w:t>用石墨烯地暖）</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148</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r>
              <w:rPr>
                <w:rStyle w:val="185"/>
                <w:rFonts w:ascii="宋体" w:hAnsi="宋体" w:eastAsia="宋体" w:cs="宋体"/>
                <w:sz w:val="24"/>
                <w:szCs w:val="24"/>
                <w:lang w:val="en-US" w:eastAsia="zh-CN" w:bidi="ar"/>
              </w:rPr>
              <w:t>2</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 w:hRule="atLeast"/>
        </w:trPr>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工程间接费</w:t>
            </w:r>
          </w:p>
        </w:tc>
        <w:tc>
          <w:tcPr>
            <w:tcW w:w="3216"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 w:hRule="atLeast"/>
        </w:trPr>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材料搬运、运输费</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 w:hRule="atLeast"/>
        </w:trPr>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施工垃圾清运费</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 w:hRule="atLeast"/>
        </w:trPr>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0"/>
                <w:szCs w:val="20"/>
                <w:u w:val="none"/>
              </w:rPr>
            </w:pP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小计：</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 w:hRule="atLeast"/>
        </w:trPr>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空调、新风系统</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b/>
                <w:bCs/>
                <w:i w:val="0"/>
                <w:iCs w:val="0"/>
                <w:color w:val="000000"/>
                <w:sz w:val="20"/>
                <w:szCs w:val="20"/>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55" w:hRule="atLeast"/>
        </w:trPr>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yellow"/>
                <w:u w:val="none"/>
              </w:rPr>
            </w:pPr>
            <w:r>
              <w:rPr>
                <w:rFonts w:hint="eastAsia" w:ascii="宋体" w:hAnsi="宋体" w:eastAsia="宋体" w:cs="宋体"/>
                <w:i w:val="0"/>
                <w:iCs w:val="0"/>
                <w:color w:val="000000"/>
                <w:kern w:val="0"/>
                <w:sz w:val="20"/>
                <w:szCs w:val="20"/>
                <w:highlight w:val="yellow"/>
                <w:u w:val="none"/>
                <w:lang w:val="en-US" w:eastAsia="zh-CN" w:bidi="ar"/>
              </w:rPr>
              <w:t>新风机★</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产品类型：全热除霾新风系统</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安装方式：吊顶式新风机</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净化效率：PM2.5：98%</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热回收效率：81%</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过滤系统：PET初过滤网，PM2.5过滤网</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风机：低噪离心风扇</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 w:hRule="atLeast"/>
        </w:trPr>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PVC-U新风专用风道</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含一出风四进风线路敷设</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7" w:hRule="atLeast"/>
        </w:trPr>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highlight w:val="yellow"/>
                <w:u w:val="none"/>
                <w:lang w:val="en-US" w:eastAsia="zh-CN" w:bidi="ar"/>
              </w:rPr>
              <w:t>多联机室外机★</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制冷量：12500 W</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额定功率/电流：190W/0.86A</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最大输入功率/电流： 190W/0.86A</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制热量： 14000 W</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额定功率/电流：190W/0.86A</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最大输入功率/电流： 2890W/13.13A</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电热功率/电流：2700W/12.3A</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室内转速 高速：650±30 r/min</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 xml:space="preserve"> 中速：550±30 r/min</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 xml:space="preserve"> 低速：450±40 r/min</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风量(高速) 内机：2050m3/h</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 w:hRule="atLeast"/>
        </w:trPr>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highlight w:val="yellow"/>
                <w:u w:val="none"/>
                <w:lang w:val="en-US" w:eastAsia="zh-CN" w:bidi="ar"/>
              </w:rPr>
              <w:t>空调（</w:t>
            </w:r>
            <w:r>
              <w:rPr>
                <w:rFonts w:hint="eastAsia" w:ascii="宋体" w:hAnsi="宋体" w:eastAsia="宋体" w:cs="宋体"/>
                <w:i w:val="0"/>
                <w:iCs w:val="0"/>
                <w:color w:val="000000"/>
                <w:kern w:val="0"/>
                <w:sz w:val="20"/>
                <w:szCs w:val="20"/>
                <w:highlight w:val="yellow"/>
                <w:u w:val="none"/>
                <w:lang w:val="en-US" w:eastAsia="zh-CN" w:bidi="ar"/>
              </w:rPr>
              <w:t>四面出风嵌入式</w:t>
            </w:r>
            <w:r>
              <w:rPr>
                <w:rFonts w:hint="eastAsia" w:ascii="宋体" w:hAnsi="宋体" w:cs="宋体"/>
                <w:i w:val="0"/>
                <w:iCs w:val="0"/>
                <w:color w:val="000000"/>
                <w:kern w:val="0"/>
                <w:sz w:val="20"/>
                <w:szCs w:val="20"/>
                <w:highlight w:val="yellow"/>
                <w:u w:val="none"/>
                <w:lang w:val="en-US" w:eastAsia="zh-CN" w:bidi="ar"/>
              </w:rPr>
              <w:t>）</w:t>
            </w:r>
            <w:r>
              <w:rPr>
                <w:rFonts w:hint="eastAsia" w:ascii="宋体" w:hAnsi="宋体" w:eastAsia="宋体" w:cs="宋体"/>
                <w:i w:val="0"/>
                <w:iCs w:val="0"/>
                <w:color w:val="000000"/>
                <w:kern w:val="0"/>
                <w:sz w:val="20"/>
                <w:szCs w:val="20"/>
                <w:highlight w:val="yellow"/>
                <w:u w:val="none"/>
                <w:lang w:val="en-US" w:eastAsia="zh-CN" w:bidi="ar"/>
              </w:rPr>
              <w:t>★</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 xml:space="preserve">变频/定频：变频 </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 xml:space="preserve">冷暖类型：冷暖电辅 </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 xml:space="preserve">内机制冷量：13000瓦 </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 xml:space="preserve">外机制冷量：26000瓦 </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 xml:space="preserve">内机制冷功率：240瓦 </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 xml:space="preserve">外机制冷功率：8700瓦 </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 xml:space="preserve">内机制热量：14000瓦 </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 xml:space="preserve">外机制热量：28000瓦 </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 xml:space="preserve">内机制热功率：240+3600瓦 </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外机制热功率：8400瓦</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 w:hRule="atLeast"/>
        </w:trPr>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空调配管及安装</w:t>
            </w: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铜管、配件、辅料等</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 w:hRule="atLeast"/>
        </w:trPr>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24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小计：</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 w:hRule="atLeast"/>
        </w:trPr>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24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合计：</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 w:hRule="atLeast"/>
        </w:trPr>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24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b/>
                <w:bCs/>
                <w:i w:val="0"/>
                <w:iCs w:val="0"/>
                <w:color w:val="000000"/>
                <w:sz w:val="20"/>
                <w:szCs w:val="20"/>
                <w:u w:val="none"/>
              </w:rPr>
            </w:pP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b/>
                <w:bCs/>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总计：</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r>
    </w:tbl>
    <w:p>
      <w:pPr>
        <w:pStyle w:val="4"/>
        <w:spacing w:line="500" w:lineRule="exact"/>
        <w:contextualSpacing/>
        <w:jc w:val="both"/>
        <w:rPr>
          <w:rFonts w:ascii="宋体" w:hAnsi="宋体" w:cs="宋体"/>
          <w:color w:val="000000" w:themeColor="text1"/>
          <w:sz w:val="24"/>
          <w:szCs w:val="24"/>
          <w14:textFill>
            <w14:solidFill>
              <w14:schemeClr w14:val="tx1"/>
            </w14:solidFill>
          </w14:textFill>
        </w:rPr>
      </w:pPr>
    </w:p>
    <w:p>
      <w:pPr>
        <w:spacing w:line="500" w:lineRule="exact"/>
        <w:rPr>
          <w:sz w:val="24"/>
          <w:szCs w:val="24"/>
        </w:rPr>
      </w:pPr>
    </w:p>
    <w:p>
      <w:pPr>
        <w:pStyle w:val="4"/>
        <w:spacing w:line="500" w:lineRule="exact"/>
        <w:contextualSpacing/>
        <w:jc w:val="both"/>
        <w:rPr>
          <w:rFonts w:ascii="宋体" w:hAnsi="宋体" w:cs="宋体"/>
          <w:color w:val="000000" w:themeColor="text1"/>
          <w:sz w:val="24"/>
          <w:szCs w:val="24"/>
          <w14:textFill>
            <w14:solidFill>
              <w14:schemeClr w14:val="tx1"/>
            </w14:solidFill>
          </w14:textFill>
        </w:rPr>
      </w:pPr>
    </w:p>
    <w:p>
      <w:pPr>
        <w:pStyle w:val="4"/>
        <w:spacing w:line="500" w:lineRule="exact"/>
        <w:contextualSpacing/>
        <w:jc w:val="both"/>
        <w:rPr>
          <w:rFonts w:ascii="宋体" w:hAnsi="宋体" w:cs="宋体"/>
          <w:color w:val="000000" w:themeColor="text1"/>
          <w:sz w:val="24"/>
          <w:szCs w:val="24"/>
          <w14:textFill>
            <w14:solidFill>
              <w14:schemeClr w14:val="tx1"/>
            </w14:solidFill>
          </w14:textFill>
        </w:rPr>
      </w:pPr>
    </w:p>
    <w:p>
      <w:pPr>
        <w:spacing w:line="500" w:lineRule="exac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br w:type="page"/>
      </w:r>
    </w:p>
    <w:p>
      <w:pPr>
        <w:pStyle w:val="4"/>
        <w:spacing w:line="500" w:lineRule="exact"/>
        <w:contextualSpacing/>
        <w:rPr>
          <w:rFonts w:ascii="宋体" w:hAnsi="宋体" w:cs="宋体"/>
          <w:color w:val="000000" w:themeColor="text1"/>
          <w:sz w:val="24"/>
          <w:szCs w:val="24"/>
          <w14:textFill>
            <w14:solidFill>
              <w14:schemeClr w14:val="tx1"/>
            </w14:solidFill>
          </w14:textFill>
        </w:rPr>
      </w:pPr>
      <w:bookmarkStart w:id="203" w:name="_Toc29377"/>
      <w:r>
        <w:rPr>
          <w:rFonts w:hint="eastAsia" w:ascii="宋体" w:hAnsi="宋体" w:cs="宋体"/>
          <w:color w:val="000000" w:themeColor="text1"/>
          <w:sz w:val="24"/>
          <w:szCs w:val="24"/>
          <w14:textFill>
            <w14:solidFill>
              <w14:schemeClr w14:val="tx1"/>
            </w14:solidFill>
          </w14:textFill>
        </w:rPr>
        <w:t>第四章  合同主要条款</w:t>
      </w:r>
      <w:bookmarkEnd w:id="201"/>
      <w:bookmarkEnd w:id="202"/>
      <w:bookmarkStart w:id="204" w:name="_Toc380404622"/>
      <w:bookmarkStart w:id="205" w:name="_Toc487728212"/>
      <w:r>
        <w:rPr>
          <w:rFonts w:hint="eastAsia" w:ascii="宋体" w:hAnsi="宋体" w:cs="宋体"/>
          <w:color w:val="000000" w:themeColor="text1"/>
          <w:sz w:val="24"/>
          <w:szCs w:val="24"/>
          <w14:textFill>
            <w14:solidFill>
              <w14:schemeClr w14:val="tx1"/>
            </w14:solidFill>
          </w14:textFill>
        </w:rPr>
        <w:t>（仅供参考）</w:t>
      </w:r>
      <w:bookmarkEnd w:id="203"/>
    </w:p>
    <w:p>
      <w:pPr>
        <w:spacing w:line="500" w:lineRule="exact"/>
        <w:jc w:val="center"/>
        <w:rPr>
          <w:rFonts w:ascii="宋体" w:hAnsi="宋体" w:cs="宋体"/>
          <w:b/>
          <w:bCs/>
          <w:color w:val="000000" w:themeColor="text1"/>
          <w:sz w:val="24"/>
          <w:szCs w:val="24"/>
          <w14:textFill>
            <w14:solidFill>
              <w14:schemeClr w14:val="tx1"/>
            </w14:solidFill>
          </w14:textFill>
        </w:rPr>
      </w:pPr>
      <w:bookmarkStart w:id="206" w:name="_Toc17243"/>
      <w:r>
        <w:rPr>
          <w:rFonts w:hint="eastAsia" w:ascii="宋体" w:hAnsi="宋体" w:cs="宋体"/>
          <w:b/>
          <w:bCs/>
          <w:color w:val="000000" w:themeColor="text1"/>
          <w:sz w:val="24"/>
          <w:szCs w:val="24"/>
          <w14:textFill>
            <w14:solidFill>
              <w14:schemeClr w14:val="tx1"/>
            </w14:solidFill>
          </w14:textFill>
        </w:rPr>
        <w:t>第一节 合同一般条款</w:t>
      </w:r>
      <w:bookmarkEnd w:id="204"/>
      <w:bookmarkEnd w:id="205"/>
      <w:bookmarkEnd w:id="206"/>
    </w:p>
    <w:p>
      <w:pPr>
        <w:spacing w:line="500" w:lineRule="exact"/>
        <w:contextualSpacing/>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1. 定义</w:t>
      </w:r>
    </w:p>
    <w:p>
      <w:pPr>
        <w:spacing w:line="500" w:lineRule="exact"/>
        <w:ind w:firstLine="480" w:firstLineChars="200"/>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1.1　“合同”系指甲方和乙方(以下简称合同双方)已达成的协议，即由双方签订的合同格式文件，包括所有的招标文件、投标文件、招标答疑记录、澄清说明、附件、附录和组成合同的所有其他文件。</w:t>
      </w:r>
    </w:p>
    <w:p>
      <w:pPr>
        <w:spacing w:line="500" w:lineRule="exact"/>
        <w:ind w:firstLine="480" w:firstLineChars="200"/>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1.2　“合同价格”系指根据合同规定，在乙方全面正确地履行合同义务时，甲方应支付给乙方的款项。</w:t>
      </w:r>
    </w:p>
    <w:p>
      <w:pPr>
        <w:shd w:val="clear" w:color="auto" w:fill="FEFEFE"/>
        <w:kinsoku w:val="0"/>
        <w:overflowPunct w:val="0"/>
        <w:autoSpaceDE w:val="0"/>
        <w:autoSpaceDN w:val="0"/>
        <w:adjustRightInd w:val="0"/>
        <w:spacing w:line="500" w:lineRule="exact"/>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1.3  “货物”系指乙方按合同要求，须向甲方提供符合采购项目要求的物品</w:t>
      </w:r>
      <w:r>
        <w:rPr>
          <w:rFonts w:hint="eastAsia" w:ascii="宋体" w:hAnsi="宋体" w:cs="宋体"/>
          <w:color w:val="000000" w:themeColor="text1"/>
          <w:kern w:val="0"/>
          <w:sz w:val="24"/>
          <w:szCs w:val="24"/>
          <w14:textFill>
            <w14:solidFill>
              <w14:schemeClr w14:val="tx1"/>
            </w14:solidFill>
          </w14:textFill>
        </w:rPr>
        <w:t>等等。</w:t>
      </w:r>
    </w:p>
    <w:p>
      <w:pPr>
        <w:spacing w:line="500" w:lineRule="exact"/>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1.4　“服务”系指合同规定乙方必须承担的安装、调试、技术协助、校准、培训以及其他类似售后义务。</w:t>
      </w:r>
    </w:p>
    <w:p>
      <w:pPr>
        <w:spacing w:line="500" w:lineRule="exact"/>
        <w:ind w:firstLine="480" w:firstLineChars="200"/>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1.5　“甲方”、“买方”、“招标方”均系指通过招标采购，接受合同货物及服务的各行政事业单位、社会团体等采购单位及社会代理公司。</w:t>
      </w:r>
    </w:p>
    <w:p>
      <w:pPr>
        <w:spacing w:line="500" w:lineRule="exact"/>
        <w:ind w:firstLine="480" w:firstLineChars="200"/>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1.6　“乙方”、“卖方”系指中标后提供合同货物和服务的经济实体。</w:t>
      </w:r>
    </w:p>
    <w:p>
      <w:pPr>
        <w:spacing w:line="500" w:lineRule="exact"/>
        <w:ind w:firstLine="480" w:firstLineChars="200"/>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1.7　“现场”系指将要进行货物安装和运转的地点。</w:t>
      </w:r>
    </w:p>
    <w:p>
      <w:pPr>
        <w:spacing w:line="500" w:lineRule="exact"/>
        <w:ind w:firstLine="480" w:firstLineChars="200"/>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1.8　“验收”系指甲方依据国家技术规范及本合同的约定，对技术规格规定接受合同货物所依据的程序和条件。</w:t>
      </w:r>
    </w:p>
    <w:p>
      <w:pPr>
        <w:spacing w:line="500" w:lineRule="exact"/>
        <w:ind w:firstLine="482" w:firstLineChars="200"/>
        <w:contextualSpacing/>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2. 适用范围</w:t>
      </w:r>
    </w:p>
    <w:p>
      <w:pPr>
        <w:spacing w:line="500" w:lineRule="exact"/>
        <w:ind w:firstLine="480" w:firstLineChars="200"/>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2.1　本合同条款仅适用于本次招标活动。</w:t>
      </w:r>
    </w:p>
    <w:p>
      <w:pPr>
        <w:spacing w:line="500" w:lineRule="exact"/>
        <w:ind w:firstLine="482" w:firstLineChars="200"/>
        <w:contextualSpacing/>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3. 原产地</w:t>
      </w:r>
    </w:p>
    <w:p>
      <w:pPr>
        <w:spacing w:line="500" w:lineRule="exact"/>
        <w:ind w:firstLine="480" w:firstLineChars="200"/>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3.1　原产地系指货物的生产地，或提供辅助服务的来源地。</w:t>
      </w:r>
    </w:p>
    <w:p>
      <w:pPr>
        <w:spacing w:line="500" w:lineRule="exact"/>
        <w:ind w:firstLine="482" w:firstLineChars="200"/>
        <w:contextualSpacing/>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4. 技术规格和标准</w:t>
      </w:r>
    </w:p>
    <w:p>
      <w:pPr>
        <w:spacing w:line="500" w:lineRule="exact"/>
        <w:ind w:firstLine="480" w:firstLineChars="200"/>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4.1　本合同项下所供货物的技术规格应与本招标文件技术规格规定的标准相一致。若技术规格中无相应规定，货物则应符合相应的国家标准或有关权威部门最新颁布的相应的正式标准。</w:t>
      </w:r>
    </w:p>
    <w:p>
      <w:pPr>
        <w:spacing w:line="500" w:lineRule="exact"/>
        <w:ind w:firstLine="482" w:firstLineChars="200"/>
        <w:contextualSpacing/>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5. 专利权</w:t>
      </w:r>
    </w:p>
    <w:p>
      <w:pPr>
        <w:spacing w:line="500" w:lineRule="exact"/>
        <w:ind w:firstLine="480" w:firstLineChars="200"/>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5.1　乙方须保障甲方在使用其提供的货物、服务及其任何部分时不受到第三方关于侵犯专利权、商标权或工业设计权的指控。任何第三方如果提出侵权指控，乙方须与第三方交涉并承担由此而引起的一切法律责任和费用。</w:t>
      </w:r>
    </w:p>
    <w:p>
      <w:pPr>
        <w:spacing w:line="500" w:lineRule="exact"/>
        <w:ind w:firstLine="482" w:firstLineChars="200"/>
        <w:contextualSpacing/>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6. 包装</w:t>
      </w:r>
    </w:p>
    <w:p>
      <w:pPr>
        <w:spacing w:line="500" w:lineRule="exact"/>
        <w:ind w:firstLine="480" w:firstLineChars="200"/>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6.1　除本合同另有规定之外，提供的全部货物须采用相应标准的保护措施进行包装。这种包装应适于空运和内陆运输，并有良好的防潮、防震、防锈和防野蛮装卸等保护措施，以确保货物安全运抵现场。乙方应承担由于其包装或其防护措施不妥而引起货物锈蚀、损坏和丢失造成的任何损失或费用。</w:t>
      </w:r>
    </w:p>
    <w:p>
      <w:pPr>
        <w:spacing w:line="500" w:lineRule="exact"/>
        <w:ind w:firstLine="480" w:firstLineChars="200"/>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6.2　每件包装应附有详细装箱单和质量证书各两套，一套在包装箱里，一套在包装箱外。</w:t>
      </w:r>
    </w:p>
    <w:p>
      <w:pPr>
        <w:spacing w:line="500" w:lineRule="exact"/>
        <w:ind w:firstLine="241" w:firstLineChars="100"/>
        <w:contextualSpacing/>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7. 运输标记</w:t>
      </w:r>
    </w:p>
    <w:p>
      <w:pPr>
        <w:spacing w:line="500" w:lineRule="exact"/>
        <w:ind w:firstLine="240" w:firstLineChars="100"/>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7.1　乙方应在每一包装箱邻接的四个侧面用不易褪色的油漆以醒目的中文印刷字体标明以下各项：</w:t>
      </w:r>
    </w:p>
    <w:p>
      <w:pPr>
        <w:spacing w:line="500" w:lineRule="exact"/>
        <w:ind w:firstLine="240" w:firstLineChars="100"/>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(1) 收货人；</w:t>
      </w:r>
    </w:p>
    <w:p>
      <w:pPr>
        <w:spacing w:line="500" w:lineRule="exact"/>
        <w:ind w:firstLine="720" w:firstLineChars="300"/>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 合同号；</w:t>
      </w:r>
    </w:p>
    <w:p>
      <w:pPr>
        <w:spacing w:line="500" w:lineRule="exact"/>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(3) 收货人代号；</w:t>
      </w:r>
    </w:p>
    <w:p>
      <w:pPr>
        <w:spacing w:line="500" w:lineRule="exact"/>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(4) 目的地；</w:t>
      </w:r>
    </w:p>
    <w:p>
      <w:pPr>
        <w:spacing w:line="500" w:lineRule="exact"/>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(5) 货物的名称、品目号、箱号；</w:t>
      </w:r>
    </w:p>
    <w:p>
      <w:pPr>
        <w:spacing w:line="500" w:lineRule="exact"/>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(6) 毛重／净重(公斤)；</w:t>
      </w:r>
    </w:p>
    <w:p>
      <w:pPr>
        <w:spacing w:line="500" w:lineRule="exact"/>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(7) 尺寸(长x宽x高，以厘米计)。</w:t>
      </w:r>
    </w:p>
    <w:p>
      <w:pPr>
        <w:spacing w:line="500" w:lineRule="exact"/>
        <w:ind w:firstLine="480"/>
        <w:contextualSpacing/>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8. 乙方的交货价</w:t>
      </w:r>
    </w:p>
    <w:p>
      <w:pPr>
        <w:spacing w:line="500" w:lineRule="exact"/>
        <w:ind w:firstLine="480"/>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8.1　乙方负责安排自发运地至甲方现场的运输，费用包含在合同总价中。</w:t>
      </w:r>
    </w:p>
    <w:p>
      <w:pPr>
        <w:spacing w:line="500" w:lineRule="exact"/>
        <w:ind w:firstLine="480"/>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8.2　交货日期以货物到达甲方现场为准。</w:t>
      </w:r>
    </w:p>
    <w:p>
      <w:pPr>
        <w:spacing w:line="500" w:lineRule="exact"/>
        <w:ind w:firstLine="480"/>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8.3　乙方装运的货物必须符合合同规定的货物名称、型号规格、数量或重量，否则，一切后果均由乙方承担。</w:t>
      </w:r>
    </w:p>
    <w:p>
      <w:pPr>
        <w:spacing w:line="500" w:lineRule="exact"/>
        <w:ind w:firstLine="480"/>
        <w:contextualSpacing/>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9. 保险</w:t>
      </w:r>
    </w:p>
    <w:p>
      <w:pPr>
        <w:spacing w:line="500" w:lineRule="exact"/>
        <w:ind w:firstLine="480"/>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9.1　在合同价条件下，由乙方负责办理保险。</w:t>
      </w:r>
    </w:p>
    <w:p>
      <w:pPr>
        <w:spacing w:line="500" w:lineRule="exact"/>
        <w:ind w:firstLine="480"/>
        <w:contextualSpacing/>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10. 合同价款的支付方式</w:t>
      </w:r>
    </w:p>
    <w:p>
      <w:pPr>
        <w:spacing w:line="500" w:lineRule="exact"/>
        <w:ind w:firstLine="480"/>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10.1  除另有规定者外，本合同价款将由采购人直接向乙方支付。</w:t>
      </w:r>
    </w:p>
    <w:p>
      <w:pPr>
        <w:spacing w:line="500" w:lineRule="exact"/>
        <w:ind w:firstLine="482" w:firstLineChars="200"/>
        <w:contextualSpacing/>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 xml:space="preserve"> 11. 技术资料</w:t>
      </w:r>
    </w:p>
    <w:p>
      <w:pPr>
        <w:spacing w:line="500" w:lineRule="exact"/>
        <w:ind w:firstLine="480" w:firstLineChars="200"/>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11.1　除招标文件中另有规定的外，乙方应准备与合同设备或仪器相符的中文技术资料，并于合同生效后十五日内寄送到甲方，如样本、图纸、操作手册、使用说明、维修指南或服务手册等。如本条款所述资料寄送不完整或丢失，乙方应在收到甲方通知后立即免费另寄。</w:t>
      </w:r>
    </w:p>
    <w:p>
      <w:pPr>
        <w:spacing w:line="500" w:lineRule="exact"/>
        <w:ind w:firstLine="480" w:firstLineChars="200"/>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11.2　上述一套完整的资料应包装好随每批货物一起发运。</w:t>
      </w:r>
    </w:p>
    <w:p>
      <w:pPr>
        <w:spacing w:line="500" w:lineRule="exact"/>
        <w:ind w:firstLine="482" w:firstLineChars="200"/>
        <w:contextualSpacing/>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 xml:space="preserve"> 12. 价格</w:t>
      </w:r>
    </w:p>
    <w:p>
      <w:pPr>
        <w:spacing w:line="500" w:lineRule="exact"/>
        <w:ind w:firstLine="480" w:firstLineChars="200"/>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12.1　除合同中另有规定者外，乙方所供货物和服务而要求甲方支付的金额应与其投标报价一致。　</w:t>
      </w:r>
    </w:p>
    <w:p>
      <w:pPr>
        <w:spacing w:line="500" w:lineRule="exact"/>
        <w:ind w:firstLine="482" w:firstLineChars="200"/>
        <w:contextualSpacing/>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 xml:space="preserve"> 13. 质量保证</w:t>
      </w:r>
    </w:p>
    <w:p>
      <w:pPr>
        <w:spacing w:line="500" w:lineRule="exact"/>
        <w:ind w:firstLine="480" w:firstLineChars="200"/>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13.1 在货物最终验收后的质量保证期之内，乙方应对由于设计、工艺或材料等的缺陷而产生的任何不足或故障负责，费用由乙方负担。</w:t>
      </w:r>
    </w:p>
    <w:p>
      <w:pPr>
        <w:spacing w:line="500" w:lineRule="exact"/>
        <w:ind w:firstLine="480" w:firstLineChars="200"/>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13.2如乙方提供的货物出现质量问题或故障，乙方在接到通知后24小时内应免费维修或更换有缺陷的部件。</w:t>
      </w:r>
    </w:p>
    <w:p>
      <w:pPr>
        <w:spacing w:line="500" w:lineRule="exact"/>
        <w:ind w:firstLine="480" w:firstLineChars="200"/>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13.3如果乙方在收到通知后24小时内，没有维修或弥补缺陷，使用单位可采取必要的补救措施，但风险和费用将由乙方承担。</w:t>
      </w:r>
    </w:p>
    <w:p>
      <w:pPr>
        <w:spacing w:line="500" w:lineRule="exact"/>
        <w:ind w:firstLine="480" w:firstLineChars="200"/>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13.4上述内容以外的保修和售后服务内容为乙方在投标文件中所承诺的内容。</w:t>
      </w:r>
    </w:p>
    <w:p>
      <w:pPr>
        <w:spacing w:line="500" w:lineRule="exact"/>
        <w:ind w:firstLine="482" w:firstLineChars="200"/>
        <w:contextualSpacing/>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 xml:space="preserve"> 14. 履约保证金</w:t>
      </w:r>
    </w:p>
    <w:p>
      <w:pPr>
        <w:spacing w:line="500" w:lineRule="exact"/>
        <w:ind w:firstLine="470" w:firstLineChars="196"/>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14.1中标通知书领取前，中标单位须</w:t>
      </w:r>
      <w:r>
        <w:rPr>
          <w:rFonts w:hint="eastAsia" w:ascii="宋体" w:hAnsi="宋体" w:cs="宋体"/>
          <w:sz w:val="24"/>
          <w:szCs w:val="24"/>
        </w:rPr>
        <w:t>向阿瓦提县工业园区管理委员会</w:t>
      </w:r>
      <w:r>
        <w:rPr>
          <w:rFonts w:hint="eastAsia" w:ascii="宋体" w:hAnsi="宋体" w:cs="宋体"/>
          <w:color w:val="000000" w:themeColor="text1"/>
          <w:sz w:val="24"/>
          <w:szCs w:val="24"/>
          <w14:textFill>
            <w14:solidFill>
              <w14:schemeClr w14:val="tx1"/>
            </w14:solidFill>
          </w14:textFill>
        </w:rPr>
        <w:t>提供中标价格10%的履约保证金,与招标方签订书面合同。</w:t>
      </w:r>
    </w:p>
    <w:p>
      <w:pPr>
        <w:spacing w:line="500" w:lineRule="exact"/>
        <w:ind w:firstLine="470" w:firstLineChars="196"/>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14.2 履约保证金的数额为中标金额的10%。</w:t>
      </w:r>
    </w:p>
    <w:p>
      <w:pPr>
        <w:spacing w:line="500" w:lineRule="exact"/>
        <w:ind w:firstLine="470" w:firstLineChars="196"/>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14.3 履约保证金将在货物安装完成并经采购人验收合格后，十五个工作日内无息返还给中标方。</w:t>
      </w:r>
    </w:p>
    <w:p>
      <w:pPr>
        <w:spacing w:line="500" w:lineRule="exact"/>
        <w:ind w:firstLine="480" w:firstLineChars="200"/>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14.4 如中标方未履行招标文件及合同规定的相关条款，招标方有权从履约保证金中进行扣罚。</w:t>
      </w:r>
    </w:p>
    <w:p>
      <w:pPr>
        <w:spacing w:line="500" w:lineRule="exact"/>
        <w:ind w:firstLine="482" w:firstLineChars="200"/>
        <w:contextualSpacing/>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15. 检验</w:t>
      </w:r>
    </w:p>
    <w:p>
      <w:pPr>
        <w:spacing w:line="500" w:lineRule="exact"/>
        <w:ind w:firstLine="480" w:firstLineChars="200"/>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15.1  乙方应在发货之前，对货物的有关内在和外观质量、规格、性能、数量和重量进行准确和全面的检验，并出具其货物符合合同规定的质量证书。该证书将作为提交付款单据的组成部分，但不应视为是对质量、规格、性能、数量或重量的最终定论。质量证书应附有写明制造商检验的细节和结果的说明。</w:t>
      </w:r>
    </w:p>
    <w:p>
      <w:pPr>
        <w:spacing w:line="500" w:lineRule="exact"/>
        <w:ind w:firstLine="480" w:firstLineChars="200"/>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15.2  在合同规定的质量保证期内，如果发现货物的质量或规格与招标文件不符，或证明货物有缺陷，包括潜在的缺陷或使用不合适的原材料等，甲方应申请质检部门进行检验，并有权根据检验证书及质量保证条款立即向乙方提出索赔。</w:t>
      </w:r>
    </w:p>
    <w:p>
      <w:pPr>
        <w:spacing w:line="500" w:lineRule="exact"/>
        <w:ind w:firstLine="482" w:firstLineChars="200"/>
        <w:contextualSpacing/>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16. 索赔</w:t>
      </w:r>
    </w:p>
    <w:p>
      <w:pPr>
        <w:spacing w:line="500" w:lineRule="exact"/>
        <w:ind w:firstLine="240" w:firstLineChars="100"/>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16.1  乙方对所供货物与合同约定相一致负完全责任。在甲方已于规定的检验、安装、调试和验收测试期限内和质量保证期内提出索赔时，乙方应按甲方同意的下述一种或多种方法解决索赔事宜：</w:t>
      </w:r>
    </w:p>
    <w:p>
      <w:pPr>
        <w:spacing w:line="500" w:lineRule="exact"/>
        <w:ind w:firstLine="472" w:firstLineChars="200"/>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pacing w:val="-2"/>
          <w:sz w:val="24"/>
          <w:szCs w:val="24"/>
          <w14:textFill>
            <w14:solidFill>
              <w14:schemeClr w14:val="tx1"/>
            </w14:solidFill>
          </w14:textFill>
        </w:rPr>
        <w:t>（1）</w:t>
      </w:r>
      <w:r>
        <w:rPr>
          <w:rFonts w:hint="eastAsia" w:ascii="宋体" w:hAnsi="宋体" w:cs="宋体"/>
          <w:color w:val="000000" w:themeColor="text1"/>
          <w:sz w:val="24"/>
          <w:szCs w:val="24"/>
          <w14:textFill>
            <w14:solidFill>
              <w14:schemeClr w14:val="tx1"/>
            </w14:solidFill>
          </w14:textFill>
        </w:rPr>
        <w:t xml:space="preserve"> 乙方同意甲方拒收货物并把被拒收货物的金额以合同规定的同类货币还付给甲方，乙方负担发生的一切损失和费用，包括利息、银行费用、运输和保险费、检验费、仓储和装卸费以及为保管和保护被拒绝货物所需的其它必要费用；</w:t>
      </w:r>
    </w:p>
    <w:p>
      <w:pPr>
        <w:spacing w:line="500" w:lineRule="exact"/>
        <w:ind w:firstLine="472" w:firstLineChars="200"/>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pacing w:val="-2"/>
          <w:sz w:val="24"/>
          <w:szCs w:val="24"/>
          <w14:textFill>
            <w14:solidFill>
              <w14:schemeClr w14:val="tx1"/>
            </w14:solidFill>
          </w14:textFill>
        </w:rPr>
        <w:t xml:space="preserve">（2） </w:t>
      </w:r>
      <w:r>
        <w:rPr>
          <w:rFonts w:hint="eastAsia" w:ascii="宋体" w:hAnsi="宋体" w:cs="宋体"/>
          <w:color w:val="000000" w:themeColor="text1"/>
          <w:sz w:val="24"/>
          <w:szCs w:val="24"/>
          <w14:textFill>
            <w14:solidFill>
              <w14:schemeClr w14:val="tx1"/>
            </w14:solidFill>
          </w14:textFill>
        </w:rPr>
        <w:t>更换有缺陷的零件、部件和设备，或修理缺陷部分，以达到合同规定的规格、质量和性能，乙方承担一切费用和风险并负担甲方遭受的一切直接费用。同时乙方应相应延长被更换货物的质量保证期。</w:t>
      </w:r>
    </w:p>
    <w:p>
      <w:pPr>
        <w:spacing w:line="500" w:lineRule="exact"/>
        <w:ind w:firstLine="480" w:firstLineChars="200"/>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16.2　如果甲方提出索赔通知后三十日内乙方未能予以答复，该索赔应视为已被乙方接受。若乙方未能在甲方提出索赔通知的三十日内或甲方同意的更长时间内，按甲方同意的上述任何一种方式处理索赔事宜，甲方将从未付款或乙方提供的履约保证金中扣回索赔金额，同时保留进一步要求赔偿的权利。索赔金额为合同金额的20%。</w:t>
      </w:r>
    </w:p>
    <w:p>
      <w:pPr>
        <w:spacing w:line="500" w:lineRule="exact"/>
        <w:ind w:firstLine="482" w:firstLineChars="200"/>
        <w:contextualSpacing/>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17. 延期交货与核定损失额</w:t>
      </w:r>
    </w:p>
    <w:p>
      <w:pPr>
        <w:spacing w:line="500" w:lineRule="exact"/>
        <w:ind w:firstLine="470" w:firstLineChars="196"/>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17.1  乙方应按照“开标一览表”中规定的交货期交货和提供服务，并交付甲方验收使用。</w:t>
      </w:r>
    </w:p>
    <w:p>
      <w:pPr>
        <w:spacing w:line="500" w:lineRule="exact"/>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17.2  如果乙方无正当理由拖延交货，将受到以下制裁：</w:t>
      </w:r>
      <w:r>
        <w:rPr>
          <w:rFonts w:hint="eastAsia" w:ascii="宋体" w:hAnsi="宋体" w:cs="宋体"/>
          <w:b/>
          <w:bCs/>
          <w:color w:val="000000" w:themeColor="text1"/>
          <w:sz w:val="24"/>
          <w:szCs w:val="24"/>
          <w14:textFill>
            <w14:solidFill>
              <w14:schemeClr w14:val="tx1"/>
            </w14:solidFill>
          </w14:textFill>
        </w:rPr>
        <w:t>不予退还履约保证金，加收误期赔偿或终止合同</w:t>
      </w:r>
      <w:r>
        <w:rPr>
          <w:rFonts w:hint="eastAsia" w:ascii="宋体" w:hAnsi="宋体" w:cs="宋体"/>
          <w:color w:val="000000" w:themeColor="text1"/>
          <w:sz w:val="24"/>
          <w:szCs w:val="24"/>
          <w14:textFill>
            <w14:solidFill>
              <w14:schemeClr w14:val="tx1"/>
            </w14:solidFill>
          </w14:textFill>
        </w:rPr>
        <w:t>。</w:t>
      </w:r>
    </w:p>
    <w:p>
      <w:pPr>
        <w:spacing w:line="500" w:lineRule="exact"/>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17.3  在履行合同过程中，如果乙方遇到不能按时交货和提供服务的情况，应及时以书面形式将不能按时交货的理由、可能延误的时间同时通知甲方。甲方在收到乙方通知后，应对情况进行分析，决定是否修改合同、酌情延长交货时间或终止合同；同时保留按第17.2条规定对乙方进行制裁的权力。</w:t>
      </w:r>
    </w:p>
    <w:p>
      <w:pPr>
        <w:spacing w:line="500" w:lineRule="exact"/>
        <w:ind w:firstLine="482" w:firstLineChars="200"/>
        <w:contextualSpacing/>
        <w:rPr>
          <w:rFonts w:ascii="宋体" w:hAnsi="宋体" w:cs="宋体"/>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18. 不可抗力</w:t>
      </w:r>
    </w:p>
    <w:p>
      <w:pPr>
        <w:spacing w:line="500" w:lineRule="exact"/>
        <w:ind w:firstLine="480" w:firstLineChars="200"/>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18.1　签约任何一方由于受诸如战争、严重火灾、洪水、台风、地震等不可抗力事故的影响而不能执行合同时，履行合同的期限应予以延长，则延长的期限应相当于事故所影响的时间。不可抗力事故系指买卖双方在缔结合同时所不能预见的，并且它的发生及其后果是无法避免和无法克服的事故。</w:t>
      </w:r>
    </w:p>
    <w:p>
      <w:pPr>
        <w:spacing w:line="500" w:lineRule="exact"/>
        <w:ind w:firstLine="480" w:firstLineChars="200"/>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18.2  受阻一方应在不可抗力事故发生后尽快用电报、传真或电传通知对方，并于事故发生后15天内将有关部门出具的证明文件用特快专递或挂号信等形式寄给对方审阅确认。一旦不可抗力事故的影响持续一百二十日以上，双方应通过友好协商在合理的时间内达成进一步履行合同的协议。</w:t>
      </w:r>
    </w:p>
    <w:p>
      <w:pPr>
        <w:spacing w:line="500" w:lineRule="exact"/>
        <w:ind w:firstLine="482" w:firstLineChars="200"/>
        <w:contextualSpacing/>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19. 纠纷处理方式</w:t>
      </w:r>
    </w:p>
    <w:p>
      <w:pPr>
        <w:spacing w:line="500" w:lineRule="exact"/>
        <w:ind w:firstLine="480" w:firstLineChars="200"/>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19.1　双方发生纠纷，向招标方所在地有管辖权的人民法院进行诉讼。</w:t>
      </w:r>
    </w:p>
    <w:p>
      <w:pPr>
        <w:spacing w:line="500" w:lineRule="exact"/>
        <w:ind w:firstLine="482" w:firstLineChars="200"/>
        <w:contextualSpacing/>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20. 违约终止合同</w:t>
      </w:r>
    </w:p>
    <w:p>
      <w:pPr>
        <w:spacing w:line="500" w:lineRule="exact"/>
        <w:ind w:firstLine="480" w:firstLineChars="200"/>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20.1　在补救违约而采取的任何其他措施未能实现的情况下，即在乙方收到甲方发出的违约通知后三十日内(或经甲方书面确认的更长时间内)仍未纠正其下述任何一种违约行为，甲方可向乙方发出书面违约通知(违约金为合同金额15%)，终止部分或全部合同：</w:t>
      </w:r>
    </w:p>
    <w:p>
      <w:pPr>
        <w:spacing w:line="500" w:lineRule="exact"/>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pacing w:val="-2"/>
          <w:sz w:val="24"/>
          <w:szCs w:val="24"/>
          <w14:textFill>
            <w14:solidFill>
              <w14:schemeClr w14:val="tx1"/>
            </w14:solidFill>
          </w14:textFill>
        </w:rPr>
        <w:t xml:space="preserve">（1） </w:t>
      </w:r>
      <w:r>
        <w:rPr>
          <w:rFonts w:hint="eastAsia" w:ascii="宋体" w:hAnsi="宋体" w:cs="宋体"/>
          <w:color w:val="000000" w:themeColor="text1"/>
          <w:sz w:val="24"/>
          <w:szCs w:val="24"/>
          <w14:textFill>
            <w14:solidFill>
              <w14:schemeClr w14:val="tx1"/>
            </w14:solidFill>
          </w14:textFill>
        </w:rPr>
        <w:t>如果乙方未能在合同规定的期限内或甲方准许的任何延期内交付部分或全部货物。</w:t>
      </w:r>
    </w:p>
    <w:p>
      <w:pPr>
        <w:spacing w:line="500" w:lineRule="exact"/>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pacing w:val="-2"/>
          <w:sz w:val="24"/>
          <w:szCs w:val="24"/>
          <w14:textFill>
            <w14:solidFill>
              <w14:schemeClr w14:val="tx1"/>
            </w14:solidFill>
          </w14:textFill>
        </w:rPr>
        <w:t xml:space="preserve">（2） </w:t>
      </w:r>
      <w:r>
        <w:rPr>
          <w:rFonts w:hint="eastAsia" w:ascii="宋体" w:hAnsi="宋体" w:cs="宋体"/>
          <w:color w:val="000000" w:themeColor="text1"/>
          <w:sz w:val="24"/>
          <w:szCs w:val="24"/>
          <w14:textFill>
            <w14:solidFill>
              <w14:schemeClr w14:val="tx1"/>
            </w14:solidFill>
          </w14:textFill>
        </w:rPr>
        <w:t>乙方未能履行合同项下的其它义务。</w:t>
      </w:r>
    </w:p>
    <w:p>
      <w:pPr>
        <w:spacing w:line="500" w:lineRule="exact"/>
        <w:ind w:firstLine="480" w:firstLineChars="200"/>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20.2　一旦甲方根据第20.1款终止合同，甲方可以按其认为适当的条件和方式采购类似未交付部分的货物。乙方应承担甲方购买类似货物的价格差及额外费用。但是，乙方应继续履行合同中未终止的部分。</w:t>
      </w:r>
    </w:p>
    <w:p>
      <w:pPr>
        <w:spacing w:line="500" w:lineRule="exact"/>
        <w:ind w:firstLine="480" w:firstLineChars="200"/>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20.3 乙方按照《中华人民共和国政府采购法》第七十七条规定，承担相应的法律责任。</w:t>
      </w:r>
    </w:p>
    <w:p>
      <w:pPr>
        <w:spacing w:line="500" w:lineRule="exact"/>
        <w:ind w:firstLine="482" w:firstLineChars="200"/>
        <w:contextualSpacing/>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21. 变更指示</w:t>
      </w:r>
    </w:p>
    <w:p>
      <w:pPr>
        <w:spacing w:line="500" w:lineRule="exact"/>
        <w:ind w:firstLine="480" w:firstLineChars="200"/>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21.1　甲方可以随时向乙方发出书面指示，在合同总体范围内对如下一点或几点提出变更：</w:t>
      </w:r>
    </w:p>
    <w:p>
      <w:pPr>
        <w:spacing w:line="500" w:lineRule="exact"/>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pacing w:val="-2"/>
          <w:sz w:val="24"/>
          <w:szCs w:val="24"/>
          <w14:textFill>
            <w14:solidFill>
              <w14:schemeClr w14:val="tx1"/>
            </w14:solidFill>
          </w14:textFill>
        </w:rPr>
        <w:t xml:space="preserve">（1） </w:t>
      </w:r>
      <w:r>
        <w:rPr>
          <w:rFonts w:hint="eastAsia" w:ascii="宋体" w:hAnsi="宋体" w:cs="宋体"/>
          <w:color w:val="000000" w:themeColor="text1"/>
          <w:sz w:val="24"/>
          <w:szCs w:val="24"/>
          <w14:textFill>
            <w14:solidFill>
              <w14:schemeClr w14:val="tx1"/>
            </w14:solidFill>
          </w14:textFill>
        </w:rPr>
        <w:t>合同项下需为甲方特殊制造货物的图纸、设计或规格；</w:t>
      </w:r>
    </w:p>
    <w:p>
      <w:pPr>
        <w:spacing w:line="500" w:lineRule="exact"/>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pacing w:val="-2"/>
          <w:sz w:val="24"/>
          <w:szCs w:val="24"/>
          <w14:textFill>
            <w14:solidFill>
              <w14:schemeClr w14:val="tx1"/>
            </w14:solidFill>
          </w14:textFill>
        </w:rPr>
        <w:t xml:space="preserve">（2） </w:t>
      </w:r>
      <w:r>
        <w:rPr>
          <w:rFonts w:hint="eastAsia" w:ascii="宋体" w:hAnsi="宋体" w:cs="宋体"/>
          <w:color w:val="000000" w:themeColor="text1"/>
          <w:sz w:val="24"/>
          <w:szCs w:val="24"/>
          <w14:textFill>
            <w14:solidFill>
              <w14:schemeClr w14:val="tx1"/>
            </w14:solidFill>
          </w14:textFill>
        </w:rPr>
        <w:t>装运方式和包装方式；</w:t>
      </w:r>
    </w:p>
    <w:p>
      <w:pPr>
        <w:spacing w:line="500" w:lineRule="exact"/>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pacing w:val="-2"/>
          <w:sz w:val="24"/>
          <w:szCs w:val="24"/>
          <w14:textFill>
            <w14:solidFill>
              <w14:schemeClr w14:val="tx1"/>
            </w14:solidFill>
          </w14:textFill>
        </w:rPr>
        <w:t xml:space="preserve">（3） </w:t>
      </w:r>
      <w:r>
        <w:rPr>
          <w:rFonts w:hint="eastAsia" w:ascii="宋体" w:hAnsi="宋体" w:cs="宋体"/>
          <w:color w:val="000000" w:themeColor="text1"/>
          <w:sz w:val="24"/>
          <w:szCs w:val="24"/>
          <w14:textFill>
            <w14:solidFill>
              <w14:schemeClr w14:val="tx1"/>
            </w14:solidFill>
          </w14:textFill>
        </w:rPr>
        <w:t>交货地点；</w:t>
      </w:r>
    </w:p>
    <w:p>
      <w:pPr>
        <w:spacing w:line="500" w:lineRule="exact"/>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pacing w:val="-2"/>
          <w:sz w:val="24"/>
          <w:szCs w:val="24"/>
          <w14:textFill>
            <w14:solidFill>
              <w14:schemeClr w14:val="tx1"/>
            </w14:solidFill>
          </w14:textFill>
        </w:rPr>
        <w:t xml:space="preserve">（4） </w:t>
      </w:r>
      <w:r>
        <w:rPr>
          <w:rFonts w:hint="eastAsia" w:ascii="宋体" w:hAnsi="宋体" w:cs="宋体"/>
          <w:color w:val="000000" w:themeColor="text1"/>
          <w:sz w:val="24"/>
          <w:szCs w:val="24"/>
          <w14:textFill>
            <w14:solidFill>
              <w14:schemeClr w14:val="tx1"/>
            </w14:solidFill>
          </w14:textFill>
        </w:rPr>
        <w:t>乙方须提供的服务。</w:t>
      </w:r>
    </w:p>
    <w:p>
      <w:pPr>
        <w:spacing w:line="500" w:lineRule="exact"/>
        <w:ind w:firstLine="480" w:firstLineChars="200"/>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21.2　若上述变更导致了乙方履行合同项下任何部分义务的费用或所需时间的增减，应对合同价格或交货进度进行合理的调整，同时相应地修改合同。乙方必须在接到甲方的变更指示后30天内根据本款提出调整的实施意见。</w:t>
      </w:r>
    </w:p>
    <w:p>
      <w:pPr>
        <w:spacing w:line="500" w:lineRule="exact"/>
        <w:ind w:firstLine="482" w:firstLineChars="200"/>
        <w:contextualSpacing/>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22. 合同修改</w:t>
      </w:r>
    </w:p>
    <w:p>
      <w:pPr>
        <w:spacing w:line="500" w:lineRule="exact"/>
        <w:ind w:firstLine="480" w:firstLineChars="200"/>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22.1　欲对合同条款做出任何改动或偏离，均须由买卖双方签署书面的合同修改书。</w:t>
      </w:r>
    </w:p>
    <w:p>
      <w:pPr>
        <w:spacing w:line="500" w:lineRule="exact"/>
        <w:ind w:firstLine="482" w:firstLineChars="200"/>
        <w:contextualSpacing/>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23. 转让与分包</w:t>
      </w:r>
    </w:p>
    <w:p>
      <w:pPr>
        <w:spacing w:line="500" w:lineRule="exact"/>
        <w:ind w:firstLine="480" w:firstLineChars="200"/>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23.1　除甲方事先同意外，乙方不得部分转让或全部转让其应履行的合同项下的义务。</w:t>
      </w:r>
    </w:p>
    <w:p>
      <w:pPr>
        <w:spacing w:line="500" w:lineRule="exact"/>
        <w:ind w:firstLine="480" w:firstLineChars="200"/>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23.2　甲方应书面通知乙方本合同项下所授予的所有分包合同。但该通知不解除乙方承担的本合同项下的任何责任或义务。</w:t>
      </w:r>
    </w:p>
    <w:p>
      <w:pPr>
        <w:spacing w:line="500" w:lineRule="exact"/>
        <w:ind w:firstLine="482" w:firstLineChars="200"/>
        <w:contextualSpacing/>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24. 适用法律</w:t>
      </w:r>
    </w:p>
    <w:p>
      <w:pPr>
        <w:spacing w:line="500" w:lineRule="exact"/>
        <w:ind w:firstLine="480" w:firstLineChars="200"/>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24.1　本合同应按中华人民共和国的相关法律解释。</w:t>
      </w:r>
    </w:p>
    <w:p>
      <w:pPr>
        <w:spacing w:line="500" w:lineRule="exact"/>
        <w:ind w:firstLine="482" w:firstLineChars="200"/>
        <w:contextualSpacing/>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25. 通知</w:t>
      </w:r>
    </w:p>
    <w:p>
      <w:pPr>
        <w:spacing w:line="500" w:lineRule="exact"/>
        <w:ind w:firstLine="480" w:firstLineChars="200"/>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25.1　本合同任何一方给另一方的通知都应以书面或电传、电报、传真的形式发送，而另一方应以书面形式确认并发送到对方明确的地址。</w:t>
      </w:r>
    </w:p>
    <w:p>
      <w:pPr>
        <w:spacing w:line="500" w:lineRule="exact"/>
        <w:ind w:firstLine="482" w:firstLineChars="200"/>
        <w:contextualSpacing/>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26. 合同文件及资料的使用</w:t>
      </w:r>
    </w:p>
    <w:p>
      <w:pPr>
        <w:spacing w:line="500" w:lineRule="exact"/>
        <w:ind w:firstLine="480" w:firstLineChars="200"/>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26.1　除了乙方为执行合同所雇人员外，在未经甲方同意的情况下，乙方不得将合同、合同中的规定、有关规格、计划、图纸、式样、样本或甲方为上述内容向乙方提供的资料透露给任何人。乙方须在对外保密的前提下，对其雇用人员提供有关情况，所提供的情况仅限于执行本合同必不可少的范围内。</w:t>
      </w:r>
    </w:p>
    <w:p>
      <w:pPr>
        <w:spacing w:line="500" w:lineRule="exact"/>
        <w:ind w:firstLine="480" w:firstLineChars="200"/>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26.2　除非执行合同需要，在事先未得到甲方同意的情况下，乙方不得将与本合同有关的任何文件和资料给第三方使用。</w:t>
      </w:r>
    </w:p>
    <w:p>
      <w:pPr>
        <w:spacing w:line="500" w:lineRule="exact"/>
        <w:ind w:firstLine="480" w:firstLineChars="200"/>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26.3　除合同本身以外，若甲方要求，乙方应于其合同义务履行完毕以后将这些资料(包括所有副本)退还甲方。</w:t>
      </w:r>
    </w:p>
    <w:p>
      <w:pPr>
        <w:spacing w:line="500" w:lineRule="exact"/>
        <w:ind w:firstLine="482" w:firstLineChars="200"/>
        <w:contextualSpacing/>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27. 合同生效及其他</w:t>
      </w:r>
    </w:p>
    <w:p>
      <w:pPr>
        <w:spacing w:line="500" w:lineRule="exact"/>
        <w:ind w:firstLine="480" w:firstLineChars="200"/>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27.1本合同未涉及的内容或与招标文件相矛盾的内容以招标文件为准。</w:t>
      </w:r>
    </w:p>
    <w:p>
      <w:pPr>
        <w:spacing w:line="500" w:lineRule="exact"/>
        <w:ind w:firstLine="480" w:firstLineChars="200"/>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27.2　在乙方缴纳履约保证金后方可与甲方签订合同，并加盖鉴证章后生效。</w:t>
      </w:r>
    </w:p>
    <w:p>
      <w:pPr>
        <w:spacing w:line="500" w:lineRule="exact"/>
        <w:ind w:firstLine="480" w:firstLineChars="200"/>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27.3　乙方须按招标文件的规定，向甲方提供与合同项下货物有关的现场安装调试、技术服务、培训等其他相关服务。</w:t>
      </w:r>
    </w:p>
    <w:p>
      <w:pPr>
        <w:spacing w:line="500" w:lineRule="exact"/>
        <w:ind w:firstLine="480" w:firstLineChars="200"/>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27.4　 商务合同应包括甲方最后确认的价格条款和付款方式。</w:t>
      </w:r>
    </w:p>
    <w:p>
      <w:pPr>
        <w:spacing w:line="500" w:lineRule="exact"/>
        <w:ind w:firstLine="480" w:firstLineChars="200"/>
        <w:contextualSpacing/>
        <w:rPr>
          <w:rFonts w:ascii="宋体" w:hAnsi="宋体" w:cs="宋体"/>
          <w:color w:val="000000" w:themeColor="text1"/>
          <w:spacing w:val="-6"/>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27.5　</w:t>
      </w:r>
      <w:r>
        <w:rPr>
          <w:rFonts w:hint="eastAsia" w:ascii="宋体" w:hAnsi="宋体" w:cs="宋体"/>
          <w:color w:val="000000" w:themeColor="text1"/>
          <w:spacing w:val="-6"/>
          <w:sz w:val="24"/>
          <w:szCs w:val="24"/>
          <w14:textFill>
            <w14:solidFill>
              <w14:schemeClr w14:val="tx1"/>
            </w14:solidFill>
          </w14:textFill>
        </w:rPr>
        <w:t>下述文件将作为合同附件，为本合同不可分割的组成部分，并与本合同具有同等效力；</w:t>
      </w:r>
    </w:p>
    <w:p>
      <w:pPr>
        <w:spacing w:line="500" w:lineRule="exact"/>
        <w:ind w:firstLine="480" w:firstLineChars="200"/>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 招标文件；</w:t>
      </w:r>
    </w:p>
    <w:p>
      <w:pPr>
        <w:spacing w:line="500" w:lineRule="exact"/>
        <w:ind w:firstLine="480" w:firstLineChars="200"/>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 中标通知书；</w:t>
      </w:r>
    </w:p>
    <w:p>
      <w:pPr>
        <w:spacing w:line="500" w:lineRule="exact"/>
        <w:ind w:firstLine="480" w:firstLineChars="200"/>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 中标方的投标文件及其澄清文件和询标过程中的书面答疑记录。</w:t>
      </w:r>
    </w:p>
    <w:p>
      <w:pPr>
        <w:spacing w:line="500" w:lineRule="exact"/>
        <w:contextualSpacing/>
        <w:rPr>
          <w:rFonts w:ascii="宋体" w:hAnsi="宋体" w:cs="宋体"/>
          <w:color w:val="000000" w:themeColor="text1"/>
          <w:sz w:val="24"/>
          <w:szCs w:val="24"/>
          <w14:textFill>
            <w14:solidFill>
              <w14:schemeClr w14:val="tx1"/>
            </w14:solidFill>
          </w14:textFill>
        </w:rPr>
      </w:pPr>
    </w:p>
    <w:p>
      <w:pPr>
        <w:pStyle w:val="4"/>
        <w:spacing w:line="500" w:lineRule="exact"/>
        <w:contextualSpacing/>
        <w:rPr>
          <w:rFonts w:ascii="宋体" w:hAnsi="宋体" w:cs="宋体"/>
          <w:color w:val="000000" w:themeColor="text1"/>
          <w:sz w:val="24"/>
          <w:szCs w:val="24"/>
          <w14:textFill>
            <w14:solidFill>
              <w14:schemeClr w14:val="tx1"/>
            </w14:solidFill>
          </w14:textFill>
        </w:rPr>
      </w:pPr>
      <w:bookmarkStart w:id="207" w:name="_Toc380404623"/>
      <w:r>
        <w:rPr>
          <w:rFonts w:hint="eastAsia" w:ascii="宋体" w:hAnsi="宋体" w:cs="宋体"/>
          <w:color w:val="000000" w:themeColor="text1"/>
          <w:sz w:val="24"/>
          <w:szCs w:val="24"/>
          <w14:textFill>
            <w14:solidFill>
              <w14:schemeClr w14:val="tx1"/>
            </w14:solidFill>
          </w14:textFill>
        </w:rPr>
        <w:br w:type="page"/>
      </w:r>
      <w:bookmarkEnd w:id="197"/>
      <w:bookmarkEnd w:id="207"/>
      <w:bookmarkStart w:id="208" w:name="_Toc217446096"/>
      <w:bookmarkStart w:id="209" w:name="_Toc9586"/>
      <w:bookmarkStart w:id="210" w:name="_Toc14187"/>
      <w:bookmarkStart w:id="211" w:name="_Toc30835"/>
      <w:bookmarkStart w:id="212" w:name="_Toc406749998"/>
      <w:bookmarkStart w:id="213" w:name="_Toc487728215"/>
      <w:r>
        <w:rPr>
          <w:rFonts w:hint="eastAsia" w:ascii="宋体" w:hAnsi="宋体" w:cs="宋体"/>
          <w:color w:val="000000" w:themeColor="text1"/>
          <w:sz w:val="24"/>
          <w:szCs w:val="24"/>
          <w14:textFill>
            <w14:solidFill>
              <w14:schemeClr w14:val="tx1"/>
            </w14:solidFill>
          </w14:textFill>
        </w:rPr>
        <w:t>第五章  评标办法</w:t>
      </w:r>
      <w:bookmarkEnd w:id="208"/>
      <w:bookmarkEnd w:id="209"/>
      <w:bookmarkEnd w:id="210"/>
      <w:bookmarkEnd w:id="211"/>
      <w:bookmarkEnd w:id="212"/>
      <w:bookmarkEnd w:id="213"/>
      <w:bookmarkStart w:id="214" w:name="_Toc217446097"/>
      <w:bookmarkStart w:id="215" w:name="_Toc208849007"/>
      <w:bookmarkStart w:id="216" w:name="_Toc183682415"/>
      <w:bookmarkStart w:id="217" w:name="_Toc183582280"/>
    </w:p>
    <w:p>
      <w:pPr>
        <w:spacing w:line="500" w:lineRule="exact"/>
        <w:contextualSpacing/>
        <w:rPr>
          <w:rFonts w:ascii="宋体" w:hAnsi="宋体" w:cs="宋体"/>
          <w:b/>
          <w:bCs/>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1. 总则</w:t>
      </w:r>
      <w:bookmarkEnd w:id="214"/>
      <w:bookmarkEnd w:id="215"/>
      <w:bookmarkEnd w:id="216"/>
      <w:bookmarkEnd w:id="217"/>
    </w:p>
    <w:p>
      <w:pPr>
        <w:spacing w:line="500" w:lineRule="exact"/>
        <w:ind w:firstLine="480" w:firstLineChars="200"/>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1.1 根据《中华人民共和国政府采购法》、《中华人民共和国政府采购法实施条例》和《政府采购货物和服务招标投标管理办法》（财政部第87号令）等法律规章，结合采购项目特点制定本评标办法。</w:t>
      </w:r>
    </w:p>
    <w:p>
      <w:pPr>
        <w:spacing w:line="500" w:lineRule="exact"/>
        <w:ind w:firstLine="480" w:firstLineChars="200"/>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1.2 </w:t>
      </w:r>
      <w:r>
        <w:rPr>
          <w:rFonts w:hint="eastAsia" w:ascii="宋体" w:hAnsi="宋体" w:cs="宋体"/>
          <w:bCs/>
          <w:color w:val="000000" w:themeColor="text1"/>
          <w:sz w:val="24"/>
          <w:szCs w:val="24"/>
          <w14:textFill>
            <w14:solidFill>
              <w14:schemeClr w14:val="tx1"/>
            </w14:solidFill>
          </w14:textFill>
        </w:rPr>
        <w:t>评标工作由招标人负责组织，具体评标事务由招标人依法组建的评标委员会负责。评标委员会由采购人代表和有关技术、经济等方面的专家组成。</w:t>
      </w:r>
    </w:p>
    <w:p>
      <w:pPr>
        <w:spacing w:line="500" w:lineRule="exact"/>
        <w:ind w:firstLine="480" w:firstLineChars="200"/>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1.3 评标工作应遵循公平、公正、科学及择优的原则，并以相同的评标程序和标准对待所有的投标人。</w:t>
      </w:r>
    </w:p>
    <w:p>
      <w:pPr>
        <w:spacing w:line="500" w:lineRule="exact"/>
        <w:ind w:firstLine="480" w:firstLineChars="200"/>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1.4 评标委员会按照招标文件规定的评标方法和标准进行评标，并独立履行下列职责：</w:t>
      </w:r>
    </w:p>
    <w:p>
      <w:pPr>
        <w:spacing w:line="500" w:lineRule="exact"/>
        <w:ind w:firstLine="426"/>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（1）审查投标文件是否符合招标文件要求，并作出评价；</w:t>
      </w:r>
    </w:p>
    <w:p>
      <w:pPr>
        <w:spacing w:line="500" w:lineRule="exact"/>
        <w:ind w:firstLine="426"/>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（2）要求投标供应商对投标文件有关事项作出解释或者澄清；</w:t>
      </w:r>
    </w:p>
    <w:p>
      <w:pPr>
        <w:spacing w:line="500" w:lineRule="exact"/>
        <w:ind w:firstLine="426"/>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（3）推荐中标候选供应商名单，或者受采购人委托按照事先确定的办法直接确定中标供应商；</w:t>
      </w:r>
    </w:p>
    <w:p>
      <w:pPr>
        <w:spacing w:line="500" w:lineRule="exact"/>
        <w:ind w:firstLine="426"/>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（4）向招标采购单位或者有关部门报告非法干预评标工作的行为。</w:t>
      </w:r>
      <w:bookmarkStart w:id="218" w:name="_Toc217446098"/>
    </w:p>
    <w:p>
      <w:pPr>
        <w:spacing w:line="500" w:lineRule="exact"/>
        <w:contextualSpacing/>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2. 评标程序</w:t>
      </w:r>
      <w:bookmarkEnd w:id="218"/>
    </w:p>
    <w:p>
      <w:pPr>
        <w:spacing w:line="500" w:lineRule="exact"/>
        <w:ind w:firstLine="484" w:firstLineChars="202"/>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根据《政府采购货物和服务招标投标管理办法》的规定，评标按照下列工作程序进行：</w:t>
      </w:r>
    </w:p>
    <w:p>
      <w:pPr>
        <w:spacing w:line="500" w:lineRule="exact"/>
        <w:ind w:firstLine="484" w:firstLineChars="202"/>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（1）投标文件初审（符合性检查）；</w:t>
      </w:r>
    </w:p>
    <w:p>
      <w:pPr>
        <w:spacing w:line="500" w:lineRule="exact"/>
        <w:ind w:firstLine="484" w:firstLineChars="202"/>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（2）澄清有关问题；</w:t>
      </w:r>
    </w:p>
    <w:p>
      <w:pPr>
        <w:spacing w:line="500" w:lineRule="exact"/>
        <w:ind w:firstLine="484" w:firstLineChars="202"/>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（3）比较与评价；</w:t>
      </w:r>
    </w:p>
    <w:p>
      <w:pPr>
        <w:spacing w:line="500" w:lineRule="exact"/>
        <w:ind w:firstLine="484" w:firstLineChars="202"/>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（4）推荐中标供应商名单；</w:t>
      </w:r>
    </w:p>
    <w:p>
      <w:pPr>
        <w:spacing w:line="500" w:lineRule="exact"/>
        <w:ind w:firstLine="484" w:firstLineChars="202"/>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（5）编写评标报告。</w:t>
      </w:r>
    </w:p>
    <w:p>
      <w:pPr>
        <w:spacing w:line="500" w:lineRule="exact"/>
        <w:contextualSpacing/>
        <w:rPr>
          <w:rFonts w:ascii="宋体" w:hAnsi="宋体" w:cs="宋体"/>
          <w:b/>
          <w:color w:val="000000" w:themeColor="text1"/>
          <w:sz w:val="24"/>
          <w:szCs w:val="24"/>
          <w14:textFill>
            <w14:solidFill>
              <w14:schemeClr w14:val="tx1"/>
            </w14:solidFill>
          </w14:textFill>
        </w:rPr>
      </w:pPr>
      <w:bookmarkStart w:id="219" w:name="_Toc217446099"/>
      <w:r>
        <w:rPr>
          <w:rFonts w:hint="eastAsia" w:ascii="宋体" w:hAnsi="宋体" w:cs="宋体"/>
          <w:b/>
          <w:color w:val="000000" w:themeColor="text1"/>
          <w:sz w:val="24"/>
          <w:szCs w:val="24"/>
          <w14:textFill>
            <w14:solidFill>
              <w14:schemeClr w14:val="tx1"/>
            </w14:solidFill>
          </w14:textFill>
        </w:rPr>
        <w:t>3. 定标及定标程序</w:t>
      </w:r>
      <w:bookmarkEnd w:id="219"/>
    </w:p>
    <w:p>
      <w:pPr>
        <w:spacing w:line="500" w:lineRule="exact"/>
        <w:ind w:firstLine="480" w:firstLineChars="200"/>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（见第二章）</w:t>
      </w:r>
    </w:p>
    <w:p>
      <w:pPr>
        <w:spacing w:line="500" w:lineRule="exact"/>
        <w:contextualSpacing/>
        <w:rPr>
          <w:rFonts w:ascii="宋体" w:hAnsi="宋体" w:cs="宋体"/>
          <w:b/>
          <w:color w:val="000000" w:themeColor="text1"/>
          <w:sz w:val="24"/>
          <w:szCs w:val="24"/>
          <w14:textFill>
            <w14:solidFill>
              <w14:schemeClr w14:val="tx1"/>
            </w14:solidFill>
          </w14:textFill>
        </w:rPr>
      </w:pPr>
      <w:bookmarkStart w:id="220" w:name="_Toc217446101"/>
      <w:r>
        <w:rPr>
          <w:rFonts w:hint="eastAsia" w:ascii="宋体" w:hAnsi="宋体" w:cs="宋体"/>
          <w:b/>
          <w:color w:val="000000" w:themeColor="text1"/>
          <w:sz w:val="24"/>
          <w:szCs w:val="24"/>
          <w14:textFill>
            <w14:solidFill>
              <w14:schemeClr w14:val="tx1"/>
            </w14:solidFill>
          </w14:textFill>
        </w:rPr>
        <w:t>4. 评标方法</w:t>
      </w:r>
      <w:bookmarkEnd w:id="220"/>
    </w:p>
    <w:p>
      <w:pPr>
        <w:pStyle w:val="9"/>
        <w:spacing w:line="500" w:lineRule="exact"/>
        <w:ind w:firstLine="480" w:firstLineChars="200"/>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（见投标人须知前附表）</w:t>
      </w:r>
    </w:p>
    <w:p>
      <w:pPr>
        <w:spacing w:line="500" w:lineRule="exact"/>
        <w:contextualSpacing/>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5、初步评审</w:t>
      </w:r>
      <w:bookmarkStart w:id="221" w:name="_Toc217446103"/>
    </w:p>
    <w:p>
      <w:pPr>
        <w:spacing w:line="500" w:lineRule="exact"/>
        <w:ind w:firstLine="453" w:firstLineChars="192"/>
        <w:contextualSpacing/>
        <w:rPr>
          <w:rFonts w:ascii="宋体" w:hAnsi="宋体" w:cs="宋体"/>
          <w:color w:val="000000" w:themeColor="text1"/>
          <w:spacing w:val="-2"/>
          <w:sz w:val="24"/>
          <w:szCs w:val="24"/>
          <w14:textFill>
            <w14:solidFill>
              <w14:schemeClr w14:val="tx1"/>
            </w14:solidFill>
          </w14:textFill>
        </w:rPr>
      </w:pPr>
      <w:r>
        <w:rPr>
          <w:rFonts w:hint="eastAsia" w:ascii="宋体" w:hAnsi="宋体" w:cs="宋体"/>
          <w:color w:val="000000" w:themeColor="text1"/>
          <w:spacing w:val="-2"/>
          <w:sz w:val="24"/>
          <w:szCs w:val="24"/>
          <w14:textFill>
            <w14:solidFill>
              <w14:schemeClr w14:val="tx1"/>
            </w14:solidFill>
          </w14:textFill>
        </w:rPr>
        <w:t>5.1  评标委员会可以以书面方式要求投标人对投标文件中含义不明确、对同类问题表述不一致或者有明显文字和计算错误的内容作必要的澄清、说明或补正。澄清、说明或补正应以书面方式进行,且不得超出投标文件的范围或者改变投标文件的实质性内容。投标文件中明细报价表的大写金额和小写金额不一致的以大写金额为准；总价金额与综合单价金额不一致的，以综合单价金额为准；</w:t>
      </w:r>
      <w:r>
        <w:rPr>
          <w:rFonts w:hint="eastAsia" w:ascii="宋体" w:hAnsi="宋体" w:cs="宋体"/>
          <w:color w:val="000000" w:themeColor="text1"/>
          <w:sz w:val="24"/>
          <w:szCs w:val="24"/>
          <w14:textFill>
            <w14:solidFill>
              <w14:schemeClr w14:val="tx1"/>
            </w14:solidFill>
          </w14:textFill>
        </w:rPr>
        <w:t>投标文件中开标一览表（报价表）内容与投标文件中相应内容不一致的，以开标一览表（报价表）为准；单价金额小数点或者百分比有明显错位的，以开标一览表的总价为准，并修改单价。</w:t>
      </w:r>
    </w:p>
    <w:p>
      <w:pPr>
        <w:spacing w:line="500" w:lineRule="exact"/>
        <w:ind w:firstLine="472" w:firstLineChars="200"/>
        <w:contextualSpacing/>
        <w:rPr>
          <w:rFonts w:ascii="宋体" w:hAnsi="宋体" w:cs="宋体"/>
          <w:color w:val="000000" w:themeColor="text1"/>
          <w:spacing w:val="-2"/>
          <w:sz w:val="24"/>
          <w:szCs w:val="24"/>
          <w14:textFill>
            <w14:solidFill>
              <w14:schemeClr w14:val="tx1"/>
            </w14:solidFill>
          </w14:textFill>
        </w:rPr>
      </w:pPr>
      <w:r>
        <w:rPr>
          <w:rFonts w:hint="eastAsia" w:ascii="宋体" w:hAnsi="宋体" w:cs="宋体"/>
          <w:color w:val="000000" w:themeColor="text1"/>
          <w:spacing w:val="-2"/>
          <w:sz w:val="24"/>
          <w:szCs w:val="24"/>
          <w14:textFill>
            <w14:solidFill>
              <w14:schemeClr w14:val="tx1"/>
            </w14:solidFill>
          </w14:textFill>
        </w:rPr>
        <w:t>5.2  在评标过程中，评标委员会发现投标人的报价明显低于其他投标报价，使得其投标报价可能低于其个别成本的，应当要求该投标人做出书面说明并提供相关证明材料。投标人不能合理说明或者不能提供相关证明材料的，评标委员会认定该投标人以低于成本报价竞标，其投标应作废标处理。</w:t>
      </w:r>
    </w:p>
    <w:p>
      <w:pPr>
        <w:spacing w:line="500" w:lineRule="exact"/>
        <w:ind w:firstLine="355" w:firstLineChars="150"/>
        <w:contextualSpacing/>
        <w:rPr>
          <w:rFonts w:ascii="宋体" w:hAnsi="宋体" w:cs="宋体"/>
          <w:b/>
          <w:color w:val="000000" w:themeColor="text1"/>
          <w:spacing w:val="-2"/>
          <w:sz w:val="24"/>
          <w:szCs w:val="24"/>
          <w14:textFill>
            <w14:solidFill>
              <w14:schemeClr w14:val="tx1"/>
            </w14:solidFill>
          </w14:textFill>
        </w:rPr>
      </w:pPr>
      <w:r>
        <w:rPr>
          <w:rFonts w:hint="eastAsia" w:ascii="宋体" w:hAnsi="宋体" w:cs="宋体"/>
          <w:b/>
          <w:color w:val="000000" w:themeColor="text1"/>
          <w:spacing w:val="-2"/>
          <w:sz w:val="24"/>
          <w:szCs w:val="24"/>
          <w14:textFill>
            <w14:solidFill>
              <w14:schemeClr w14:val="tx1"/>
            </w14:solidFill>
          </w14:textFill>
        </w:rPr>
        <w:t>5.3　投标最低报价，不作为中标的依据。</w:t>
      </w:r>
    </w:p>
    <w:p>
      <w:pPr>
        <w:spacing w:line="500" w:lineRule="exact"/>
        <w:ind w:firstLine="354" w:firstLineChars="150"/>
        <w:contextualSpacing/>
        <w:rPr>
          <w:rFonts w:ascii="宋体" w:hAnsi="宋体" w:cs="宋体"/>
          <w:color w:val="000000" w:themeColor="text1"/>
          <w:spacing w:val="-2"/>
          <w:sz w:val="24"/>
          <w:szCs w:val="24"/>
          <w14:textFill>
            <w14:solidFill>
              <w14:schemeClr w14:val="tx1"/>
            </w14:solidFill>
          </w14:textFill>
        </w:rPr>
      </w:pPr>
      <w:r>
        <w:rPr>
          <w:rFonts w:hint="eastAsia" w:ascii="宋体" w:hAnsi="宋体" w:cs="宋体"/>
          <w:color w:val="000000" w:themeColor="text1"/>
          <w:spacing w:val="-2"/>
          <w:sz w:val="24"/>
          <w:szCs w:val="24"/>
          <w14:textFill>
            <w14:solidFill>
              <w14:schemeClr w14:val="tx1"/>
            </w14:solidFill>
          </w14:textFill>
        </w:rPr>
        <w:t>5.4　招标方不接受不符合国家有关部门相关规定的投标报价或优惠方案。</w:t>
      </w:r>
    </w:p>
    <w:p>
      <w:pPr>
        <w:spacing w:line="500" w:lineRule="exact"/>
        <w:ind w:firstLine="354" w:firstLineChars="150"/>
        <w:contextualSpacing/>
        <w:rPr>
          <w:rFonts w:ascii="宋体" w:hAnsi="宋体" w:cs="宋体"/>
          <w:color w:val="000000" w:themeColor="text1"/>
          <w:spacing w:val="-2"/>
          <w:sz w:val="24"/>
          <w:szCs w:val="24"/>
          <w14:textFill>
            <w14:solidFill>
              <w14:schemeClr w14:val="tx1"/>
            </w14:solidFill>
          </w14:textFill>
        </w:rPr>
      </w:pPr>
      <w:r>
        <w:rPr>
          <w:rFonts w:hint="eastAsia" w:ascii="宋体" w:hAnsi="宋体" w:cs="宋体"/>
          <w:color w:val="000000" w:themeColor="text1"/>
          <w:spacing w:val="-2"/>
          <w:sz w:val="24"/>
          <w:szCs w:val="24"/>
          <w14:textFill>
            <w14:solidFill>
              <w14:schemeClr w14:val="tx1"/>
            </w14:solidFill>
          </w14:textFill>
        </w:rPr>
        <w:t>5.5　在评标过程中，评标委员会发现投标人以他人名义投标、串通投标、以行贿手段谋取中标或者以其他弄虚作假方式投标的，该投标人的投标应作废标处理。</w:t>
      </w:r>
    </w:p>
    <w:p>
      <w:pPr>
        <w:spacing w:line="500" w:lineRule="exact"/>
        <w:ind w:firstLine="354" w:firstLineChars="150"/>
        <w:contextualSpacing/>
        <w:rPr>
          <w:rFonts w:ascii="宋体" w:hAnsi="宋体" w:cs="宋体"/>
          <w:color w:val="000000" w:themeColor="text1"/>
          <w:spacing w:val="-2"/>
          <w:sz w:val="24"/>
          <w:szCs w:val="24"/>
          <w14:textFill>
            <w14:solidFill>
              <w14:schemeClr w14:val="tx1"/>
            </w14:solidFill>
          </w14:textFill>
        </w:rPr>
      </w:pPr>
      <w:r>
        <w:rPr>
          <w:rFonts w:hint="eastAsia" w:ascii="宋体" w:hAnsi="宋体" w:cs="宋体"/>
          <w:color w:val="000000" w:themeColor="text1"/>
          <w:spacing w:val="-2"/>
          <w:sz w:val="24"/>
          <w:szCs w:val="24"/>
          <w14:textFill>
            <w14:solidFill>
              <w14:schemeClr w14:val="tx1"/>
            </w14:solidFill>
          </w14:textFill>
        </w:rPr>
        <w:t>5.6  投标人的资格条件不符合国家有关规定和招标文件要求的，或者拒不按照要求对投标文件进行澄清、说明或补正的，评标委员会可以否决其投标。</w:t>
      </w:r>
    </w:p>
    <w:p>
      <w:pPr>
        <w:spacing w:line="500" w:lineRule="exact"/>
        <w:ind w:firstLine="472" w:firstLineChars="200"/>
        <w:contextualSpacing/>
        <w:rPr>
          <w:rFonts w:ascii="宋体" w:hAnsi="宋体" w:cs="宋体"/>
          <w:color w:val="000000" w:themeColor="text1"/>
          <w:spacing w:val="-2"/>
          <w:sz w:val="24"/>
          <w:szCs w:val="24"/>
          <w14:textFill>
            <w14:solidFill>
              <w14:schemeClr w14:val="tx1"/>
            </w14:solidFill>
          </w14:textFill>
        </w:rPr>
      </w:pPr>
      <w:r>
        <w:rPr>
          <w:rFonts w:hint="eastAsia" w:ascii="宋体" w:hAnsi="宋体" w:cs="宋体"/>
          <w:color w:val="000000" w:themeColor="text1"/>
          <w:spacing w:val="-2"/>
          <w:sz w:val="24"/>
          <w:szCs w:val="24"/>
          <w14:textFill>
            <w14:solidFill>
              <w14:schemeClr w14:val="tx1"/>
            </w14:solidFill>
          </w14:textFill>
        </w:rPr>
        <w:t>5.7  评标委员会应当审查每一投标文件是否对招标文件提出的所有实质性要求和条件做出满足。未能在实质上满足的投标，应作废标处理。</w:t>
      </w:r>
    </w:p>
    <w:p>
      <w:pPr>
        <w:spacing w:line="500" w:lineRule="exact"/>
        <w:ind w:firstLine="472" w:firstLineChars="200"/>
        <w:contextualSpacing/>
        <w:rPr>
          <w:rFonts w:ascii="宋体" w:hAnsi="宋体" w:cs="宋体"/>
          <w:color w:val="000000" w:themeColor="text1"/>
          <w:spacing w:val="-2"/>
          <w:sz w:val="24"/>
          <w:szCs w:val="24"/>
          <w14:textFill>
            <w14:solidFill>
              <w14:schemeClr w14:val="tx1"/>
            </w14:solidFill>
          </w14:textFill>
        </w:rPr>
      </w:pPr>
      <w:r>
        <w:rPr>
          <w:rFonts w:hint="eastAsia" w:ascii="宋体" w:hAnsi="宋体" w:cs="宋体"/>
          <w:color w:val="000000" w:themeColor="text1"/>
          <w:spacing w:val="-2"/>
          <w:sz w:val="24"/>
          <w:szCs w:val="24"/>
          <w14:textFill>
            <w14:solidFill>
              <w14:schemeClr w14:val="tx1"/>
            </w14:solidFill>
          </w14:textFill>
        </w:rPr>
        <w:t>5.8　投标人不得误导、干扰招标方的评标活动，否则将废除其投标。</w:t>
      </w:r>
    </w:p>
    <w:p>
      <w:pPr>
        <w:spacing w:line="500" w:lineRule="exact"/>
        <w:ind w:firstLine="472" w:firstLineChars="200"/>
        <w:contextualSpacing/>
        <w:rPr>
          <w:rFonts w:ascii="宋体" w:hAnsi="宋体" w:cs="宋体"/>
          <w:color w:val="000000" w:themeColor="text1"/>
          <w:spacing w:val="-2"/>
          <w:sz w:val="24"/>
          <w:szCs w:val="24"/>
          <w14:textFill>
            <w14:solidFill>
              <w14:schemeClr w14:val="tx1"/>
            </w14:solidFill>
          </w14:textFill>
        </w:rPr>
      </w:pPr>
      <w:r>
        <w:rPr>
          <w:rFonts w:hint="eastAsia" w:ascii="宋体" w:hAnsi="宋体" w:cs="宋体"/>
          <w:color w:val="000000" w:themeColor="text1"/>
          <w:spacing w:val="-2"/>
          <w:sz w:val="24"/>
          <w:szCs w:val="24"/>
          <w14:textFill>
            <w14:solidFill>
              <w14:schemeClr w14:val="tx1"/>
            </w14:solidFill>
          </w14:textFill>
        </w:rPr>
        <w:t>5.9　评标委员会应当根据招标文件，审查并逐项列出投标文件的全部投标偏差。投标偏差分为重大偏差和细微偏差。</w:t>
      </w:r>
    </w:p>
    <w:p>
      <w:pPr>
        <w:spacing w:line="500" w:lineRule="exact"/>
        <w:ind w:firstLine="472" w:firstLineChars="200"/>
        <w:contextualSpacing/>
        <w:rPr>
          <w:rFonts w:ascii="宋体" w:hAnsi="宋体" w:cs="宋体"/>
          <w:color w:val="000000" w:themeColor="text1"/>
          <w:spacing w:val="-2"/>
          <w:sz w:val="24"/>
          <w:szCs w:val="24"/>
          <w14:textFill>
            <w14:solidFill>
              <w14:schemeClr w14:val="tx1"/>
            </w14:solidFill>
          </w14:textFill>
        </w:rPr>
      </w:pPr>
      <w:r>
        <w:rPr>
          <w:rFonts w:hint="eastAsia" w:ascii="宋体" w:hAnsi="宋体" w:cs="宋体"/>
          <w:color w:val="000000" w:themeColor="text1"/>
          <w:spacing w:val="-2"/>
          <w:sz w:val="24"/>
          <w:szCs w:val="24"/>
          <w14:textFill>
            <w14:solidFill>
              <w14:schemeClr w14:val="tx1"/>
            </w14:solidFill>
          </w14:textFill>
        </w:rPr>
        <w:t>5.10  下列情况属于重大偏差：</w:t>
      </w:r>
    </w:p>
    <w:p>
      <w:pPr>
        <w:spacing w:line="500" w:lineRule="exact"/>
        <w:ind w:firstLine="472" w:firstLineChars="200"/>
        <w:contextualSpacing/>
        <w:rPr>
          <w:rFonts w:ascii="宋体" w:hAnsi="宋体" w:cs="宋体"/>
          <w:color w:val="000000" w:themeColor="text1"/>
          <w:spacing w:val="-2"/>
          <w:sz w:val="24"/>
          <w:szCs w:val="24"/>
          <w14:textFill>
            <w14:solidFill>
              <w14:schemeClr w14:val="tx1"/>
            </w14:solidFill>
          </w14:textFill>
        </w:rPr>
      </w:pPr>
      <w:r>
        <w:rPr>
          <w:rFonts w:hint="eastAsia" w:ascii="宋体" w:hAnsi="宋体" w:cs="宋体"/>
          <w:color w:val="000000" w:themeColor="text1"/>
          <w:spacing w:val="-2"/>
          <w:sz w:val="24"/>
          <w:szCs w:val="24"/>
          <w14:textFill>
            <w14:solidFill>
              <w14:schemeClr w14:val="tx1"/>
            </w14:solidFill>
          </w14:textFill>
        </w:rPr>
        <w:t>（1） 没有按照招标文件要求提供投标保证金的；</w:t>
      </w:r>
    </w:p>
    <w:p>
      <w:pPr>
        <w:spacing w:line="500" w:lineRule="exact"/>
        <w:ind w:firstLine="472" w:firstLineChars="200"/>
        <w:contextualSpacing/>
        <w:rPr>
          <w:rFonts w:ascii="宋体" w:hAnsi="宋体" w:cs="宋体"/>
          <w:color w:val="000000" w:themeColor="text1"/>
          <w:spacing w:val="-2"/>
          <w:sz w:val="24"/>
          <w:szCs w:val="24"/>
          <w14:textFill>
            <w14:solidFill>
              <w14:schemeClr w14:val="tx1"/>
            </w14:solidFill>
          </w14:textFill>
        </w:rPr>
      </w:pPr>
      <w:r>
        <w:rPr>
          <w:rFonts w:hint="eastAsia" w:ascii="宋体" w:hAnsi="宋体" w:cs="宋体"/>
          <w:color w:val="000000" w:themeColor="text1"/>
          <w:spacing w:val="-2"/>
          <w:sz w:val="24"/>
          <w:szCs w:val="24"/>
          <w14:textFill>
            <w14:solidFill>
              <w14:schemeClr w14:val="tx1"/>
            </w14:solidFill>
          </w14:textFill>
        </w:rPr>
        <w:t>（2） 投标文件没有投标人授权代表签字和加盖公章的；</w:t>
      </w:r>
    </w:p>
    <w:p>
      <w:pPr>
        <w:spacing w:line="500" w:lineRule="exact"/>
        <w:ind w:firstLine="472" w:firstLineChars="200"/>
        <w:contextualSpacing/>
        <w:rPr>
          <w:rFonts w:ascii="宋体" w:hAnsi="宋体" w:cs="宋体"/>
          <w:color w:val="000000" w:themeColor="text1"/>
          <w:spacing w:val="-2"/>
          <w:sz w:val="24"/>
          <w:szCs w:val="24"/>
          <w14:textFill>
            <w14:solidFill>
              <w14:schemeClr w14:val="tx1"/>
            </w14:solidFill>
          </w14:textFill>
        </w:rPr>
      </w:pPr>
      <w:r>
        <w:rPr>
          <w:rFonts w:hint="eastAsia" w:ascii="宋体" w:hAnsi="宋体" w:cs="宋体"/>
          <w:color w:val="000000" w:themeColor="text1"/>
          <w:spacing w:val="-2"/>
          <w:sz w:val="24"/>
          <w:szCs w:val="24"/>
          <w14:textFill>
            <w14:solidFill>
              <w14:schemeClr w14:val="tx1"/>
            </w14:solidFill>
          </w14:textFill>
        </w:rPr>
        <w:t>（3） 投标文件中附有招标方不能接受的条件的；</w:t>
      </w:r>
    </w:p>
    <w:p>
      <w:pPr>
        <w:spacing w:line="500" w:lineRule="exact"/>
        <w:ind w:firstLine="472" w:firstLineChars="200"/>
        <w:contextualSpacing/>
        <w:rPr>
          <w:rFonts w:ascii="宋体" w:hAnsi="宋体" w:cs="宋体"/>
          <w:color w:val="000000" w:themeColor="text1"/>
          <w:spacing w:val="-2"/>
          <w:sz w:val="24"/>
          <w:szCs w:val="24"/>
          <w14:textFill>
            <w14:solidFill>
              <w14:schemeClr w14:val="tx1"/>
            </w14:solidFill>
          </w14:textFill>
        </w:rPr>
      </w:pPr>
      <w:r>
        <w:rPr>
          <w:rFonts w:hint="eastAsia" w:ascii="宋体" w:hAnsi="宋体" w:cs="宋体"/>
          <w:color w:val="000000" w:themeColor="text1"/>
          <w:spacing w:val="-2"/>
          <w:sz w:val="24"/>
          <w:szCs w:val="24"/>
          <w14:textFill>
            <w14:solidFill>
              <w14:schemeClr w14:val="tx1"/>
            </w14:solidFill>
          </w14:textFill>
        </w:rPr>
        <w:t>（4） 不符合招标文件中规定的其他实质性要求的。</w:t>
      </w:r>
    </w:p>
    <w:p>
      <w:pPr>
        <w:spacing w:line="500" w:lineRule="exact"/>
        <w:ind w:firstLine="472" w:firstLineChars="200"/>
        <w:contextualSpacing/>
        <w:rPr>
          <w:rFonts w:ascii="宋体" w:hAnsi="宋体" w:cs="宋体"/>
          <w:color w:val="000000" w:themeColor="text1"/>
          <w:spacing w:val="-2"/>
          <w:sz w:val="24"/>
          <w:szCs w:val="24"/>
          <w14:textFill>
            <w14:solidFill>
              <w14:schemeClr w14:val="tx1"/>
            </w14:solidFill>
          </w14:textFill>
        </w:rPr>
      </w:pPr>
      <w:r>
        <w:rPr>
          <w:rFonts w:hint="eastAsia" w:ascii="宋体" w:hAnsi="宋体" w:cs="宋体"/>
          <w:color w:val="000000" w:themeColor="text1"/>
          <w:spacing w:val="-2"/>
          <w:sz w:val="24"/>
          <w:szCs w:val="24"/>
          <w14:textFill>
            <w14:solidFill>
              <w14:schemeClr w14:val="tx1"/>
            </w14:solidFill>
          </w14:textFill>
        </w:rPr>
        <w:t>投标文件有上述情形之一的，为未能对招标文件做出实质性满足的投标，并作废标处理。</w:t>
      </w:r>
    </w:p>
    <w:p>
      <w:pPr>
        <w:spacing w:line="500" w:lineRule="exact"/>
        <w:ind w:firstLine="472" w:firstLineChars="200"/>
        <w:contextualSpacing/>
        <w:rPr>
          <w:rFonts w:ascii="宋体" w:hAnsi="宋体" w:cs="宋体"/>
          <w:color w:val="000000" w:themeColor="text1"/>
          <w:spacing w:val="-2"/>
          <w:sz w:val="24"/>
          <w:szCs w:val="24"/>
          <w14:textFill>
            <w14:solidFill>
              <w14:schemeClr w14:val="tx1"/>
            </w14:solidFill>
          </w14:textFill>
        </w:rPr>
      </w:pPr>
      <w:r>
        <w:rPr>
          <w:rFonts w:hint="eastAsia" w:ascii="宋体" w:hAnsi="宋体" w:cs="宋体"/>
          <w:color w:val="000000" w:themeColor="text1"/>
          <w:spacing w:val="-2"/>
          <w:sz w:val="24"/>
          <w:szCs w:val="24"/>
          <w14:textFill>
            <w14:solidFill>
              <w14:schemeClr w14:val="tx1"/>
            </w14:solidFill>
          </w14:textFill>
        </w:rPr>
        <w:t>5.11  细微偏差是指投标实质上满足了招标文件要求，但在个别地方存在漏项或者提供了不完整的技术信息和数据等情况，并且补正这些遗漏或不完整不会对其他投标人造成不公平的结果。细微偏差不影响投标文件的有效性。</w:t>
      </w:r>
    </w:p>
    <w:p>
      <w:pPr>
        <w:spacing w:line="500" w:lineRule="exact"/>
        <w:ind w:firstLine="472" w:firstLineChars="200"/>
        <w:contextualSpacing/>
        <w:rPr>
          <w:rFonts w:ascii="宋体" w:hAnsi="宋体" w:cs="宋体"/>
          <w:color w:val="000000" w:themeColor="text1"/>
          <w:spacing w:val="-2"/>
          <w:sz w:val="24"/>
          <w:szCs w:val="24"/>
          <w14:textFill>
            <w14:solidFill>
              <w14:schemeClr w14:val="tx1"/>
            </w14:solidFill>
          </w14:textFill>
        </w:rPr>
      </w:pPr>
      <w:r>
        <w:rPr>
          <w:rFonts w:hint="eastAsia" w:ascii="宋体" w:hAnsi="宋体" w:cs="宋体"/>
          <w:color w:val="000000" w:themeColor="text1"/>
          <w:spacing w:val="-2"/>
          <w:sz w:val="24"/>
          <w:szCs w:val="24"/>
          <w14:textFill>
            <w14:solidFill>
              <w14:schemeClr w14:val="tx1"/>
            </w14:solidFill>
          </w14:textFill>
        </w:rPr>
        <w:t>评标委员会应当要求存在细小偏差的投标人在评标结束前以书面形式予以补正。拒绝补正的，在详细评审时可以对细微偏差作不利于该投标人的量化。</w:t>
      </w:r>
    </w:p>
    <w:p>
      <w:pPr>
        <w:spacing w:line="500" w:lineRule="exact"/>
        <w:ind w:firstLine="472" w:firstLineChars="200"/>
        <w:contextualSpacing/>
        <w:rPr>
          <w:rFonts w:ascii="宋体" w:hAnsi="宋体" w:cs="宋体"/>
          <w:color w:val="000000" w:themeColor="text1"/>
          <w:spacing w:val="-2"/>
          <w:sz w:val="24"/>
          <w:szCs w:val="24"/>
          <w14:textFill>
            <w14:solidFill>
              <w14:schemeClr w14:val="tx1"/>
            </w14:solidFill>
          </w14:textFill>
        </w:rPr>
      </w:pPr>
      <w:r>
        <w:rPr>
          <w:rFonts w:hint="eastAsia" w:ascii="宋体" w:hAnsi="宋体" w:cs="宋体"/>
          <w:color w:val="000000" w:themeColor="text1"/>
          <w:spacing w:val="-2"/>
          <w:sz w:val="24"/>
          <w:szCs w:val="24"/>
          <w14:textFill>
            <w14:solidFill>
              <w14:schemeClr w14:val="tx1"/>
            </w14:solidFill>
          </w14:textFill>
        </w:rPr>
        <w:t>5.12  评标委员会根据本规定否决不合格投标或者界定为废标后，因有效投标不足三个使得投标明显缺乏竞争性时，根据《中华人民共和国政府采购法》的相关规定，将作废标处理。</w:t>
      </w:r>
    </w:p>
    <w:p>
      <w:pPr>
        <w:spacing w:line="500" w:lineRule="exact"/>
        <w:ind w:firstLine="472" w:firstLineChars="200"/>
        <w:contextualSpacing/>
        <w:rPr>
          <w:rFonts w:ascii="宋体" w:hAnsi="宋体" w:cs="宋体"/>
          <w:color w:val="000000" w:themeColor="text1"/>
          <w:spacing w:val="-2"/>
          <w:sz w:val="24"/>
          <w:szCs w:val="24"/>
          <w14:textFill>
            <w14:solidFill>
              <w14:schemeClr w14:val="tx1"/>
            </w14:solidFill>
          </w14:textFill>
        </w:rPr>
      </w:pPr>
      <w:r>
        <w:rPr>
          <w:rFonts w:hint="eastAsia" w:ascii="宋体" w:hAnsi="宋体" w:cs="宋体"/>
          <w:color w:val="000000" w:themeColor="text1"/>
          <w:spacing w:val="-2"/>
          <w:sz w:val="24"/>
          <w:szCs w:val="24"/>
          <w14:textFill>
            <w14:solidFill>
              <w14:schemeClr w14:val="tx1"/>
            </w14:solidFill>
          </w14:textFill>
        </w:rPr>
        <w:t>5.13  对投标文件满足招标文件条款的审查：</w:t>
      </w:r>
    </w:p>
    <w:p>
      <w:pPr>
        <w:spacing w:line="500" w:lineRule="exact"/>
        <w:ind w:firstLine="472" w:firstLineChars="200"/>
        <w:contextualSpacing/>
        <w:rPr>
          <w:rFonts w:ascii="宋体" w:hAnsi="宋体" w:cs="宋体"/>
          <w:color w:val="000000" w:themeColor="text1"/>
          <w:spacing w:val="-2"/>
          <w:sz w:val="24"/>
          <w:szCs w:val="24"/>
          <w14:textFill>
            <w14:solidFill>
              <w14:schemeClr w14:val="tx1"/>
            </w14:solidFill>
          </w14:textFill>
        </w:rPr>
      </w:pPr>
      <w:r>
        <w:rPr>
          <w:rFonts w:hint="eastAsia" w:ascii="宋体" w:hAnsi="宋体" w:cs="宋体"/>
          <w:color w:val="000000" w:themeColor="text1"/>
          <w:spacing w:val="-2"/>
          <w:sz w:val="24"/>
          <w:szCs w:val="24"/>
          <w14:textFill>
            <w14:solidFill>
              <w14:schemeClr w14:val="tx1"/>
            </w14:solidFill>
          </w14:textFill>
        </w:rPr>
        <w:t>（1） 开标后，评标委员会将组织对投标文件进行审查，检查投标文件是否完整，是否出现计算性错误，投标文件正本是否满足招标文件的格式要求；</w:t>
      </w:r>
    </w:p>
    <w:p>
      <w:pPr>
        <w:spacing w:line="500" w:lineRule="exact"/>
        <w:ind w:firstLine="472" w:firstLineChars="200"/>
        <w:contextualSpacing/>
        <w:rPr>
          <w:rFonts w:ascii="宋体" w:hAnsi="宋体" w:cs="宋体"/>
          <w:color w:val="000000" w:themeColor="text1"/>
          <w:spacing w:val="-2"/>
          <w:sz w:val="24"/>
          <w:szCs w:val="24"/>
          <w14:textFill>
            <w14:solidFill>
              <w14:schemeClr w14:val="tx1"/>
            </w14:solidFill>
          </w14:textFill>
        </w:rPr>
      </w:pPr>
      <w:r>
        <w:rPr>
          <w:rFonts w:hint="eastAsia" w:ascii="宋体" w:hAnsi="宋体" w:cs="宋体"/>
          <w:color w:val="000000" w:themeColor="text1"/>
          <w:spacing w:val="-2"/>
          <w:sz w:val="24"/>
          <w:szCs w:val="24"/>
          <w14:textFill>
            <w14:solidFill>
              <w14:schemeClr w14:val="tx1"/>
            </w14:solidFill>
          </w14:textFill>
        </w:rPr>
        <w:t>（2） 在对投标文件进行详细评估之前，评标委员会将依据投标人提供的资格证明文件审查投标人的财务和技术能力。如果确定投标人无能力履行合同，其投标将被拒绝；</w:t>
      </w:r>
    </w:p>
    <w:p>
      <w:pPr>
        <w:spacing w:line="500" w:lineRule="exact"/>
        <w:ind w:firstLine="472" w:firstLineChars="200"/>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pacing w:val="-2"/>
          <w:sz w:val="24"/>
          <w:szCs w:val="24"/>
          <w14:textFill>
            <w14:solidFill>
              <w14:schemeClr w14:val="tx1"/>
            </w14:solidFill>
          </w14:textFill>
        </w:rPr>
        <w:t xml:space="preserve">（3） </w:t>
      </w:r>
      <w:r>
        <w:rPr>
          <w:rFonts w:hint="eastAsia" w:ascii="宋体" w:hAnsi="宋体" w:cs="宋体"/>
          <w:color w:val="000000" w:themeColor="text1"/>
          <w:sz w:val="24"/>
          <w:szCs w:val="24"/>
          <w14:textFill>
            <w14:solidFill>
              <w14:schemeClr w14:val="tx1"/>
            </w14:solidFill>
          </w14:textFill>
        </w:rPr>
        <w:t>评标委员会将确定每一投标人是否对招标文件的要求做出了实质性满足，而没有重大偏离。实质性满足的投标是指符合招标文件的所有条款、条件和规定且没有重大偏离和保留的投标。重大偏离或保留系指影响到招标文件规定的服务范围和质量，或限制了招标人的权力和投标人义务的规定，而纠正这些偏离将影响到其他提交实质性满足的投标人的公平竞争地位；</w:t>
      </w:r>
    </w:p>
    <w:p>
      <w:pPr>
        <w:spacing w:line="500" w:lineRule="exact"/>
        <w:ind w:firstLine="472" w:firstLineChars="200"/>
        <w:contextualSpacing/>
        <w:rPr>
          <w:rFonts w:ascii="宋体" w:hAnsi="宋体" w:cs="宋体"/>
          <w:color w:val="000000" w:themeColor="text1"/>
          <w:spacing w:val="-2"/>
          <w:sz w:val="24"/>
          <w:szCs w:val="24"/>
          <w14:textFill>
            <w14:solidFill>
              <w14:schemeClr w14:val="tx1"/>
            </w14:solidFill>
          </w14:textFill>
        </w:rPr>
      </w:pPr>
      <w:r>
        <w:rPr>
          <w:rFonts w:hint="eastAsia" w:ascii="宋体" w:hAnsi="宋体" w:cs="宋体"/>
          <w:color w:val="000000" w:themeColor="text1"/>
          <w:spacing w:val="-2"/>
          <w:sz w:val="24"/>
          <w:szCs w:val="24"/>
          <w14:textFill>
            <w14:solidFill>
              <w14:schemeClr w14:val="tx1"/>
            </w14:solidFill>
          </w14:textFill>
        </w:rPr>
        <w:t>（4） 评标委员会判断投标文件的满足性仅基于投标文件本身而不靠外部证据；</w:t>
      </w:r>
    </w:p>
    <w:p>
      <w:pPr>
        <w:spacing w:line="500" w:lineRule="exact"/>
        <w:ind w:firstLine="472" w:firstLineChars="200"/>
        <w:contextualSpacing/>
        <w:rPr>
          <w:rFonts w:ascii="宋体" w:hAnsi="宋体" w:cs="宋体"/>
          <w:color w:val="000000" w:themeColor="text1"/>
          <w:spacing w:val="-2"/>
          <w:sz w:val="24"/>
          <w:szCs w:val="24"/>
          <w14:textFill>
            <w14:solidFill>
              <w14:schemeClr w14:val="tx1"/>
            </w14:solidFill>
          </w14:textFill>
        </w:rPr>
      </w:pPr>
      <w:r>
        <w:rPr>
          <w:rFonts w:hint="eastAsia" w:ascii="宋体" w:hAnsi="宋体" w:cs="宋体"/>
          <w:color w:val="000000" w:themeColor="text1"/>
          <w:spacing w:val="-2"/>
          <w:sz w:val="24"/>
          <w:szCs w:val="24"/>
          <w14:textFill>
            <w14:solidFill>
              <w14:schemeClr w14:val="tx1"/>
            </w14:solidFill>
          </w14:textFill>
        </w:rPr>
        <w:t>（5） 评标委员会将拒绝被确定为非实质性满足的投标。投标人不能通过修正或撤消不符合之处而使其投标成为实质性满足的投标。</w:t>
      </w:r>
    </w:p>
    <w:p>
      <w:pPr>
        <w:spacing w:line="500" w:lineRule="exact"/>
        <w:contextualSpacing/>
        <w:rPr>
          <w:rFonts w:ascii="宋体" w:hAnsi="宋体" w:cs="宋体"/>
          <w:b/>
          <w:color w:val="000000" w:themeColor="text1"/>
          <w:spacing w:val="-2"/>
          <w:sz w:val="24"/>
          <w:szCs w:val="24"/>
          <w14:textFill>
            <w14:solidFill>
              <w14:schemeClr w14:val="tx1"/>
            </w14:solidFill>
          </w14:textFill>
        </w:rPr>
      </w:pPr>
      <w:r>
        <w:rPr>
          <w:rFonts w:hint="eastAsia" w:ascii="宋体" w:hAnsi="宋体" w:cs="宋体"/>
          <w:color w:val="000000" w:themeColor="text1"/>
          <w:spacing w:val="-2"/>
          <w:sz w:val="24"/>
          <w:szCs w:val="24"/>
          <w14:textFill>
            <w14:solidFill>
              <w14:schemeClr w14:val="tx1"/>
            </w14:solidFill>
          </w14:textFill>
        </w:rPr>
        <w:br w:type="page"/>
      </w:r>
      <w:r>
        <w:rPr>
          <w:rFonts w:hint="eastAsia" w:ascii="宋体" w:hAnsi="宋体" w:cs="宋体"/>
          <w:b/>
          <w:color w:val="000000" w:themeColor="text1"/>
          <w:spacing w:val="-2"/>
          <w:sz w:val="24"/>
          <w:szCs w:val="24"/>
          <w14:textFill>
            <w14:solidFill>
              <w14:schemeClr w14:val="tx1"/>
            </w14:solidFill>
          </w14:textFill>
        </w:rPr>
        <w:t>1.资格性审查</w:t>
      </w:r>
    </w:p>
    <w:tbl>
      <w:tblPr>
        <w:tblStyle w:val="36"/>
        <w:tblW w:w="9854"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77"/>
        <w:gridCol w:w="6163"/>
        <w:gridCol w:w="870"/>
        <w:gridCol w:w="690"/>
        <w:gridCol w:w="750"/>
        <w:gridCol w:w="70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6840" w:type="dxa"/>
            <w:gridSpan w:val="2"/>
            <w:vMerge w:val="restart"/>
            <w:tcBorders>
              <w:top w:val="single" w:color="auto" w:sz="12" w:space="0"/>
              <w:left w:val="single" w:color="auto" w:sz="12" w:space="0"/>
              <w:bottom w:val="single" w:color="auto" w:sz="6" w:space="0"/>
              <w:right w:val="single" w:color="auto" w:sz="4" w:space="0"/>
            </w:tcBorders>
            <w:vAlign w:val="center"/>
          </w:tcPr>
          <w:p>
            <w:pPr>
              <w:spacing w:line="500" w:lineRule="exact"/>
              <w:ind w:firstLine="2666" w:firstLineChars="1130"/>
              <w:contextualSpacing/>
              <w:rPr>
                <w:rFonts w:ascii="宋体" w:hAnsi="宋体" w:cs="宋体"/>
                <w:spacing w:val="-2"/>
                <w:sz w:val="24"/>
                <w:szCs w:val="24"/>
              </w:rPr>
            </w:pPr>
            <w:r>
              <w:rPr>
                <w:rFonts w:hint="eastAsia" w:ascii="宋体" w:hAnsi="宋体" w:cs="宋体"/>
                <w:spacing w:val="-2"/>
                <w:sz w:val="24"/>
                <w:szCs w:val="24"/>
              </w:rPr>
              <w:t>评审内容</w:t>
            </w:r>
          </w:p>
        </w:tc>
        <w:tc>
          <w:tcPr>
            <w:tcW w:w="3014" w:type="dxa"/>
            <w:gridSpan w:val="4"/>
            <w:tcBorders>
              <w:top w:val="single" w:color="auto" w:sz="12" w:space="0"/>
              <w:left w:val="single" w:color="auto" w:sz="4" w:space="0"/>
              <w:bottom w:val="single" w:color="auto" w:sz="4" w:space="0"/>
              <w:right w:val="single" w:color="auto" w:sz="12" w:space="0"/>
            </w:tcBorders>
            <w:vAlign w:val="center"/>
          </w:tcPr>
          <w:p>
            <w:pPr>
              <w:spacing w:line="500" w:lineRule="exact"/>
              <w:ind w:firstLine="424" w:firstLineChars="180"/>
              <w:contextualSpacing/>
              <w:jc w:val="center"/>
              <w:rPr>
                <w:rFonts w:ascii="宋体" w:hAnsi="宋体" w:cs="宋体"/>
                <w:color w:val="000000" w:themeColor="text1"/>
                <w:spacing w:val="-2"/>
                <w:sz w:val="24"/>
                <w:szCs w:val="24"/>
                <w14:textFill>
                  <w14:solidFill>
                    <w14:schemeClr w14:val="tx1"/>
                  </w14:solidFill>
                </w14:textFill>
              </w:rPr>
            </w:pPr>
            <w:r>
              <w:rPr>
                <w:rFonts w:hint="eastAsia" w:ascii="宋体" w:hAnsi="宋体" w:cs="宋体"/>
                <w:color w:val="000000" w:themeColor="text1"/>
                <w:spacing w:val="-2"/>
                <w:sz w:val="24"/>
                <w:szCs w:val="24"/>
                <w14:textFill>
                  <w14:solidFill>
                    <w14:schemeClr w14:val="tx1"/>
                  </w14:solidFill>
                </w14:textFill>
              </w:rPr>
              <w:t>投标企业名称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6840" w:type="dxa"/>
            <w:gridSpan w:val="2"/>
            <w:vMerge w:val="continue"/>
            <w:tcBorders>
              <w:top w:val="single" w:color="auto" w:sz="12" w:space="0"/>
              <w:left w:val="single" w:color="auto" w:sz="12" w:space="0"/>
              <w:bottom w:val="single" w:color="auto" w:sz="6" w:space="0"/>
              <w:right w:val="single" w:color="auto" w:sz="4" w:space="0"/>
            </w:tcBorders>
            <w:vAlign w:val="center"/>
          </w:tcPr>
          <w:p>
            <w:pPr>
              <w:widowControl/>
              <w:spacing w:line="500" w:lineRule="exact"/>
              <w:contextualSpacing/>
              <w:jc w:val="left"/>
              <w:rPr>
                <w:rFonts w:ascii="宋体" w:hAnsi="宋体" w:cs="宋体"/>
                <w:color w:val="FF0000"/>
                <w:spacing w:val="-2"/>
                <w:sz w:val="24"/>
                <w:szCs w:val="24"/>
              </w:rPr>
            </w:pPr>
          </w:p>
        </w:tc>
        <w:tc>
          <w:tcPr>
            <w:tcW w:w="870" w:type="dxa"/>
            <w:tcBorders>
              <w:top w:val="single" w:color="auto" w:sz="4" w:space="0"/>
              <w:left w:val="single" w:color="auto" w:sz="4" w:space="0"/>
              <w:bottom w:val="single" w:color="auto" w:sz="6" w:space="0"/>
              <w:right w:val="single" w:color="auto" w:sz="4" w:space="0"/>
            </w:tcBorders>
          </w:tcPr>
          <w:p>
            <w:pPr>
              <w:spacing w:line="500" w:lineRule="exact"/>
              <w:contextualSpacing/>
              <w:jc w:val="center"/>
              <w:rPr>
                <w:rFonts w:ascii="宋体" w:hAnsi="宋体" w:cs="宋体"/>
                <w:color w:val="000000" w:themeColor="text1"/>
                <w:spacing w:val="-2"/>
                <w:sz w:val="24"/>
                <w:szCs w:val="24"/>
                <w14:textFill>
                  <w14:solidFill>
                    <w14:schemeClr w14:val="tx1"/>
                  </w14:solidFill>
                </w14:textFill>
              </w:rPr>
            </w:pPr>
            <w:r>
              <w:rPr>
                <w:rFonts w:hint="eastAsia" w:ascii="宋体" w:hAnsi="宋体" w:cs="宋体"/>
                <w:color w:val="000000" w:themeColor="text1"/>
                <w:spacing w:val="-2"/>
                <w:sz w:val="24"/>
                <w:szCs w:val="24"/>
                <w14:textFill>
                  <w14:solidFill>
                    <w14:schemeClr w14:val="tx1"/>
                  </w14:solidFill>
                </w14:textFill>
              </w:rPr>
              <w:t>1</w:t>
            </w:r>
          </w:p>
        </w:tc>
        <w:tc>
          <w:tcPr>
            <w:tcW w:w="690" w:type="dxa"/>
            <w:tcBorders>
              <w:top w:val="single" w:color="auto" w:sz="4" w:space="0"/>
              <w:left w:val="single" w:color="auto" w:sz="4" w:space="0"/>
              <w:bottom w:val="single" w:color="auto" w:sz="6" w:space="0"/>
              <w:right w:val="single" w:color="auto" w:sz="6" w:space="0"/>
            </w:tcBorders>
          </w:tcPr>
          <w:p>
            <w:pPr>
              <w:spacing w:line="500" w:lineRule="exact"/>
              <w:ind w:right="-38" w:rightChars="-18"/>
              <w:contextualSpacing/>
              <w:jc w:val="center"/>
              <w:rPr>
                <w:rFonts w:ascii="宋体" w:hAnsi="宋体" w:cs="宋体"/>
                <w:color w:val="000000" w:themeColor="text1"/>
                <w:spacing w:val="-2"/>
                <w:sz w:val="24"/>
                <w:szCs w:val="24"/>
                <w14:textFill>
                  <w14:solidFill>
                    <w14:schemeClr w14:val="tx1"/>
                  </w14:solidFill>
                </w14:textFill>
              </w:rPr>
            </w:pPr>
            <w:r>
              <w:rPr>
                <w:rFonts w:hint="eastAsia" w:ascii="宋体" w:hAnsi="宋体" w:cs="宋体"/>
                <w:color w:val="000000" w:themeColor="text1"/>
                <w:spacing w:val="-2"/>
                <w:sz w:val="24"/>
                <w:szCs w:val="24"/>
                <w14:textFill>
                  <w14:solidFill>
                    <w14:schemeClr w14:val="tx1"/>
                  </w14:solidFill>
                </w14:textFill>
              </w:rPr>
              <w:t>2</w:t>
            </w:r>
          </w:p>
        </w:tc>
        <w:tc>
          <w:tcPr>
            <w:tcW w:w="750" w:type="dxa"/>
            <w:tcBorders>
              <w:top w:val="single" w:color="auto" w:sz="6" w:space="0"/>
              <w:left w:val="single" w:color="auto" w:sz="6" w:space="0"/>
              <w:bottom w:val="single" w:color="auto" w:sz="6" w:space="0"/>
              <w:right w:val="single" w:color="auto" w:sz="6" w:space="0"/>
            </w:tcBorders>
            <w:vAlign w:val="center"/>
          </w:tcPr>
          <w:p>
            <w:pPr>
              <w:spacing w:line="500" w:lineRule="exact"/>
              <w:ind w:right="-38" w:rightChars="-18"/>
              <w:contextualSpacing/>
              <w:jc w:val="center"/>
              <w:rPr>
                <w:rFonts w:ascii="宋体" w:hAnsi="宋体" w:cs="宋体"/>
                <w:color w:val="000000" w:themeColor="text1"/>
                <w:spacing w:val="-2"/>
                <w:sz w:val="24"/>
                <w:szCs w:val="24"/>
                <w14:textFill>
                  <w14:solidFill>
                    <w14:schemeClr w14:val="tx1"/>
                  </w14:solidFill>
                </w14:textFill>
              </w:rPr>
            </w:pPr>
            <w:r>
              <w:rPr>
                <w:rFonts w:hint="eastAsia" w:ascii="宋体" w:hAnsi="宋体" w:cs="宋体"/>
                <w:color w:val="000000" w:themeColor="text1"/>
                <w:spacing w:val="-2"/>
                <w:sz w:val="24"/>
                <w:szCs w:val="24"/>
                <w14:textFill>
                  <w14:solidFill>
                    <w14:schemeClr w14:val="tx1"/>
                  </w14:solidFill>
                </w14:textFill>
              </w:rPr>
              <w:t>3</w:t>
            </w:r>
          </w:p>
        </w:tc>
        <w:tc>
          <w:tcPr>
            <w:tcW w:w="704" w:type="dxa"/>
            <w:tcBorders>
              <w:top w:val="single" w:color="auto" w:sz="6" w:space="0"/>
              <w:left w:val="single" w:color="auto" w:sz="6" w:space="0"/>
              <w:bottom w:val="single" w:color="auto" w:sz="6" w:space="0"/>
              <w:right w:val="single" w:color="auto" w:sz="12" w:space="0"/>
            </w:tcBorders>
            <w:vAlign w:val="center"/>
          </w:tcPr>
          <w:p>
            <w:pPr>
              <w:spacing w:line="500" w:lineRule="exact"/>
              <w:ind w:right="-38" w:rightChars="-18"/>
              <w:contextualSpacing/>
              <w:jc w:val="center"/>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677" w:type="dxa"/>
            <w:tcBorders>
              <w:top w:val="single" w:color="auto" w:sz="6" w:space="0"/>
              <w:left w:val="single" w:color="auto" w:sz="12" w:space="0"/>
              <w:bottom w:val="single" w:color="auto" w:sz="6" w:space="0"/>
              <w:right w:val="single" w:color="auto" w:sz="6" w:space="0"/>
            </w:tcBorders>
            <w:vAlign w:val="center"/>
          </w:tcPr>
          <w:p>
            <w:pPr>
              <w:spacing w:line="500" w:lineRule="exact"/>
              <w:contextualSpacing/>
              <w:jc w:val="center"/>
              <w:rPr>
                <w:rFonts w:ascii="宋体" w:hAnsi="宋体" w:cs="宋体"/>
                <w:sz w:val="24"/>
                <w:szCs w:val="24"/>
              </w:rPr>
            </w:pPr>
            <w:r>
              <w:rPr>
                <w:rFonts w:hint="eastAsia" w:ascii="宋体" w:hAnsi="宋体" w:cs="宋体"/>
                <w:sz w:val="24"/>
                <w:szCs w:val="24"/>
              </w:rPr>
              <w:t>1</w:t>
            </w:r>
          </w:p>
        </w:tc>
        <w:tc>
          <w:tcPr>
            <w:tcW w:w="6163" w:type="dxa"/>
            <w:tcBorders>
              <w:top w:val="single" w:color="auto" w:sz="6" w:space="0"/>
              <w:left w:val="single" w:color="auto" w:sz="6" w:space="0"/>
              <w:bottom w:val="single" w:color="auto" w:sz="6" w:space="0"/>
              <w:right w:val="single" w:color="auto" w:sz="4" w:space="0"/>
            </w:tcBorders>
            <w:vAlign w:val="center"/>
          </w:tcPr>
          <w:p>
            <w:pPr>
              <w:spacing w:line="500" w:lineRule="exact"/>
              <w:contextualSpacing/>
              <w:rPr>
                <w:rFonts w:ascii="宋体" w:hAnsi="宋体" w:cs="宋体"/>
                <w:spacing w:val="-2"/>
                <w:sz w:val="24"/>
                <w:szCs w:val="24"/>
              </w:rPr>
            </w:pPr>
            <w:r>
              <w:rPr>
                <w:rFonts w:hint="eastAsia" w:ascii="宋体" w:hAnsi="宋体" w:cs="宋体"/>
                <w:spacing w:val="-2"/>
                <w:sz w:val="24"/>
                <w:szCs w:val="24"/>
              </w:rPr>
              <w:t>是否具备有效的营业执照（三证合一）；</w:t>
            </w:r>
          </w:p>
        </w:tc>
        <w:tc>
          <w:tcPr>
            <w:tcW w:w="870" w:type="dxa"/>
            <w:tcBorders>
              <w:top w:val="single" w:color="auto" w:sz="6" w:space="0"/>
              <w:left w:val="single" w:color="auto" w:sz="4" w:space="0"/>
              <w:bottom w:val="single" w:color="auto" w:sz="6" w:space="0"/>
              <w:right w:val="single" w:color="auto" w:sz="4" w:space="0"/>
            </w:tcBorders>
            <w:vAlign w:val="center"/>
          </w:tcPr>
          <w:p>
            <w:pPr>
              <w:spacing w:line="500" w:lineRule="exact"/>
              <w:ind w:firstLine="424" w:firstLineChars="180"/>
              <w:contextualSpacing/>
              <w:jc w:val="center"/>
              <w:rPr>
                <w:rFonts w:ascii="宋体" w:hAnsi="宋体" w:cs="宋体"/>
                <w:color w:val="000000" w:themeColor="text1"/>
                <w:spacing w:val="-2"/>
                <w:sz w:val="24"/>
                <w:szCs w:val="24"/>
                <w14:textFill>
                  <w14:solidFill>
                    <w14:schemeClr w14:val="tx1"/>
                  </w14:solidFill>
                </w14:textFill>
              </w:rPr>
            </w:pPr>
          </w:p>
        </w:tc>
        <w:tc>
          <w:tcPr>
            <w:tcW w:w="690" w:type="dxa"/>
            <w:tcBorders>
              <w:top w:val="single" w:color="auto" w:sz="6" w:space="0"/>
              <w:left w:val="single" w:color="auto" w:sz="4" w:space="0"/>
              <w:bottom w:val="single" w:color="auto" w:sz="6" w:space="0"/>
              <w:right w:val="single" w:color="auto" w:sz="6" w:space="0"/>
            </w:tcBorders>
            <w:vAlign w:val="center"/>
          </w:tcPr>
          <w:p>
            <w:pPr>
              <w:spacing w:line="500" w:lineRule="exact"/>
              <w:ind w:firstLine="424" w:firstLineChars="180"/>
              <w:contextualSpacing/>
              <w:jc w:val="center"/>
              <w:rPr>
                <w:rFonts w:ascii="宋体" w:hAnsi="宋体" w:cs="宋体"/>
                <w:color w:val="000000" w:themeColor="text1"/>
                <w:spacing w:val="-2"/>
                <w:sz w:val="24"/>
                <w:szCs w:val="24"/>
                <w14:textFill>
                  <w14:solidFill>
                    <w14:schemeClr w14:val="tx1"/>
                  </w14:solidFill>
                </w14:textFill>
              </w:rPr>
            </w:pPr>
          </w:p>
        </w:tc>
        <w:tc>
          <w:tcPr>
            <w:tcW w:w="750" w:type="dxa"/>
            <w:tcBorders>
              <w:top w:val="single" w:color="auto" w:sz="6" w:space="0"/>
              <w:left w:val="single" w:color="auto" w:sz="6" w:space="0"/>
              <w:bottom w:val="single" w:color="auto" w:sz="6" w:space="0"/>
              <w:right w:val="single" w:color="auto" w:sz="4" w:space="0"/>
            </w:tcBorders>
          </w:tcPr>
          <w:p>
            <w:pPr>
              <w:spacing w:line="500" w:lineRule="exact"/>
              <w:ind w:firstLine="424" w:firstLineChars="180"/>
              <w:contextualSpacing/>
              <w:jc w:val="center"/>
              <w:rPr>
                <w:rFonts w:ascii="宋体" w:hAnsi="宋体" w:cs="宋体"/>
                <w:color w:val="000000" w:themeColor="text1"/>
                <w:spacing w:val="-2"/>
                <w:sz w:val="24"/>
                <w:szCs w:val="24"/>
                <w14:textFill>
                  <w14:solidFill>
                    <w14:schemeClr w14:val="tx1"/>
                  </w14:solidFill>
                </w14:textFill>
              </w:rPr>
            </w:pPr>
          </w:p>
        </w:tc>
        <w:tc>
          <w:tcPr>
            <w:tcW w:w="704" w:type="dxa"/>
            <w:tcBorders>
              <w:top w:val="single" w:color="auto" w:sz="6" w:space="0"/>
              <w:left w:val="single" w:color="auto" w:sz="4" w:space="0"/>
              <w:bottom w:val="single" w:color="auto" w:sz="6" w:space="0"/>
              <w:right w:val="single" w:color="auto" w:sz="12" w:space="0"/>
            </w:tcBorders>
          </w:tcPr>
          <w:p>
            <w:pPr>
              <w:spacing w:line="500" w:lineRule="exact"/>
              <w:contextualSpacing/>
              <w:jc w:val="center"/>
              <w:rPr>
                <w:rFonts w:ascii="宋体" w:hAnsi="宋体" w:cs="宋体"/>
                <w:color w:val="000000" w:themeColor="text1"/>
                <w:sz w:val="24"/>
                <w:szCs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677" w:type="dxa"/>
            <w:tcBorders>
              <w:top w:val="single" w:color="auto" w:sz="6" w:space="0"/>
              <w:left w:val="single" w:color="auto" w:sz="12" w:space="0"/>
              <w:bottom w:val="single" w:color="auto" w:sz="6" w:space="0"/>
              <w:right w:val="single" w:color="auto" w:sz="6" w:space="0"/>
            </w:tcBorders>
            <w:vAlign w:val="center"/>
          </w:tcPr>
          <w:p>
            <w:pPr>
              <w:spacing w:line="500" w:lineRule="exact"/>
              <w:contextualSpacing/>
              <w:jc w:val="center"/>
              <w:rPr>
                <w:rFonts w:ascii="宋体" w:hAnsi="宋体" w:cs="宋体"/>
                <w:sz w:val="24"/>
                <w:szCs w:val="24"/>
              </w:rPr>
            </w:pPr>
            <w:r>
              <w:rPr>
                <w:rFonts w:hint="eastAsia" w:ascii="宋体" w:hAnsi="宋体" w:cs="宋体"/>
                <w:sz w:val="24"/>
                <w:szCs w:val="24"/>
              </w:rPr>
              <w:t>2</w:t>
            </w:r>
          </w:p>
        </w:tc>
        <w:tc>
          <w:tcPr>
            <w:tcW w:w="6163" w:type="dxa"/>
            <w:tcBorders>
              <w:top w:val="single" w:color="auto" w:sz="6" w:space="0"/>
              <w:left w:val="single" w:color="auto" w:sz="6" w:space="0"/>
              <w:bottom w:val="single" w:color="auto" w:sz="6" w:space="0"/>
              <w:right w:val="single" w:color="auto" w:sz="4" w:space="0"/>
            </w:tcBorders>
            <w:vAlign w:val="center"/>
          </w:tcPr>
          <w:p>
            <w:pPr>
              <w:spacing w:line="500" w:lineRule="exact"/>
              <w:contextualSpacing/>
              <w:rPr>
                <w:rFonts w:ascii="宋体" w:hAnsi="宋体" w:cs="宋体"/>
                <w:spacing w:val="-2"/>
                <w:sz w:val="24"/>
                <w:szCs w:val="24"/>
              </w:rPr>
            </w:pPr>
            <w:r>
              <w:rPr>
                <w:rFonts w:hint="eastAsia" w:ascii="宋体" w:hAnsi="宋体" w:cs="宋体"/>
                <w:spacing w:val="-2"/>
                <w:sz w:val="24"/>
                <w:szCs w:val="24"/>
              </w:rPr>
              <w:t>是否提供授权委委托书；</w:t>
            </w:r>
          </w:p>
        </w:tc>
        <w:tc>
          <w:tcPr>
            <w:tcW w:w="870" w:type="dxa"/>
            <w:tcBorders>
              <w:top w:val="single" w:color="auto" w:sz="6" w:space="0"/>
              <w:left w:val="single" w:color="auto" w:sz="4" w:space="0"/>
              <w:bottom w:val="single" w:color="auto" w:sz="6" w:space="0"/>
              <w:right w:val="single" w:color="auto" w:sz="4" w:space="0"/>
            </w:tcBorders>
            <w:vAlign w:val="center"/>
          </w:tcPr>
          <w:p>
            <w:pPr>
              <w:spacing w:line="500" w:lineRule="exact"/>
              <w:ind w:firstLine="424" w:firstLineChars="180"/>
              <w:contextualSpacing/>
              <w:jc w:val="center"/>
              <w:rPr>
                <w:rFonts w:ascii="宋体" w:hAnsi="宋体" w:cs="宋体"/>
                <w:color w:val="000000" w:themeColor="text1"/>
                <w:spacing w:val="-2"/>
                <w:sz w:val="24"/>
                <w:szCs w:val="24"/>
                <w14:textFill>
                  <w14:solidFill>
                    <w14:schemeClr w14:val="tx1"/>
                  </w14:solidFill>
                </w14:textFill>
              </w:rPr>
            </w:pPr>
          </w:p>
        </w:tc>
        <w:tc>
          <w:tcPr>
            <w:tcW w:w="690" w:type="dxa"/>
            <w:tcBorders>
              <w:top w:val="single" w:color="auto" w:sz="6" w:space="0"/>
              <w:left w:val="single" w:color="auto" w:sz="4" w:space="0"/>
              <w:bottom w:val="single" w:color="auto" w:sz="6" w:space="0"/>
              <w:right w:val="single" w:color="auto" w:sz="6" w:space="0"/>
            </w:tcBorders>
            <w:vAlign w:val="center"/>
          </w:tcPr>
          <w:p>
            <w:pPr>
              <w:spacing w:line="500" w:lineRule="exact"/>
              <w:ind w:firstLine="424" w:firstLineChars="180"/>
              <w:contextualSpacing/>
              <w:jc w:val="center"/>
              <w:rPr>
                <w:rFonts w:ascii="宋体" w:hAnsi="宋体" w:cs="宋体"/>
                <w:color w:val="000000" w:themeColor="text1"/>
                <w:spacing w:val="-2"/>
                <w:sz w:val="24"/>
                <w:szCs w:val="24"/>
                <w14:textFill>
                  <w14:solidFill>
                    <w14:schemeClr w14:val="tx1"/>
                  </w14:solidFill>
                </w14:textFill>
              </w:rPr>
            </w:pPr>
          </w:p>
        </w:tc>
        <w:tc>
          <w:tcPr>
            <w:tcW w:w="750" w:type="dxa"/>
            <w:tcBorders>
              <w:top w:val="single" w:color="auto" w:sz="6" w:space="0"/>
              <w:left w:val="single" w:color="auto" w:sz="6" w:space="0"/>
              <w:bottom w:val="single" w:color="auto" w:sz="6" w:space="0"/>
              <w:right w:val="single" w:color="auto" w:sz="4" w:space="0"/>
            </w:tcBorders>
          </w:tcPr>
          <w:p>
            <w:pPr>
              <w:spacing w:line="500" w:lineRule="exact"/>
              <w:ind w:firstLine="424" w:firstLineChars="180"/>
              <w:contextualSpacing/>
              <w:jc w:val="center"/>
              <w:rPr>
                <w:rFonts w:ascii="宋体" w:hAnsi="宋体" w:cs="宋体"/>
                <w:color w:val="000000" w:themeColor="text1"/>
                <w:spacing w:val="-2"/>
                <w:sz w:val="24"/>
                <w:szCs w:val="24"/>
                <w14:textFill>
                  <w14:solidFill>
                    <w14:schemeClr w14:val="tx1"/>
                  </w14:solidFill>
                </w14:textFill>
              </w:rPr>
            </w:pPr>
          </w:p>
        </w:tc>
        <w:tc>
          <w:tcPr>
            <w:tcW w:w="704" w:type="dxa"/>
            <w:tcBorders>
              <w:top w:val="single" w:color="auto" w:sz="6" w:space="0"/>
              <w:left w:val="single" w:color="auto" w:sz="4" w:space="0"/>
              <w:bottom w:val="single" w:color="auto" w:sz="6" w:space="0"/>
              <w:right w:val="single" w:color="auto" w:sz="12" w:space="0"/>
            </w:tcBorders>
          </w:tcPr>
          <w:p>
            <w:pPr>
              <w:spacing w:line="500" w:lineRule="exact"/>
              <w:contextualSpacing/>
              <w:jc w:val="center"/>
              <w:rPr>
                <w:rFonts w:ascii="宋体" w:hAnsi="宋体" w:cs="宋体"/>
                <w:color w:val="000000" w:themeColor="text1"/>
                <w:sz w:val="24"/>
                <w:szCs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677" w:type="dxa"/>
            <w:tcBorders>
              <w:top w:val="single" w:color="auto" w:sz="6" w:space="0"/>
              <w:left w:val="single" w:color="auto" w:sz="12" w:space="0"/>
              <w:bottom w:val="single" w:color="auto" w:sz="6" w:space="0"/>
              <w:right w:val="single" w:color="auto" w:sz="6" w:space="0"/>
            </w:tcBorders>
            <w:vAlign w:val="center"/>
          </w:tcPr>
          <w:p>
            <w:pPr>
              <w:spacing w:line="500" w:lineRule="exact"/>
              <w:contextualSpacing/>
              <w:jc w:val="center"/>
              <w:rPr>
                <w:rFonts w:ascii="宋体" w:hAnsi="宋体" w:cs="宋体"/>
                <w:sz w:val="24"/>
                <w:szCs w:val="24"/>
              </w:rPr>
            </w:pPr>
            <w:r>
              <w:rPr>
                <w:rFonts w:hint="eastAsia" w:ascii="宋体" w:hAnsi="宋体" w:cs="宋体"/>
                <w:sz w:val="24"/>
                <w:szCs w:val="24"/>
              </w:rPr>
              <w:t>3</w:t>
            </w:r>
          </w:p>
        </w:tc>
        <w:tc>
          <w:tcPr>
            <w:tcW w:w="6163" w:type="dxa"/>
            <w:tcBorders>
              <w:top w:val="single" w:color="auto" w:sz="6" w:space="0"/>
              <w:left w:val="single" w:color="auto" w:sz="6" w:space="0"/>
              <w:bottom w:val="single" w:color="auto" w:sz="6" w:space="0"/>
              <w:right w:val="single" w:color="auto" w:sz="4" w:space="0"/>
            </w:tcBorders>
            <w:vAlign w:val="center"/>
          </w:tcPr>
          <w:p>
            <w:pPr>
              <w:spacing w:line="500" w:lineRule="exact"/>
              <w:contextualSpacing/>
              <w:rPr>
                <w:rFonts w:ascii="宋体" w:hAnsi="宋体" w:cs="宋体"/>
                <w:spacing w:val="-2"/>
                <w:sz w:val="24"/>
                <w:szCs w:val="24"/>
              </w:rPr>
            </w:pPr>
            <w:r>
              <w:rPr>
                <w:rFonts w:hint="eastAsia" w:ascii="宋体" w:hAnsi="宋体" w:cs="宋体"/>
                <w:spacing w:val="-2"/>
                <w:sz w:val="24"/>
                <w:szCs w:val="24"/>
              </w:rPr>
              <w:t>“信用中国”网站（www.creditchina.gov.cn）、中国政府采购网（www.ccgp.gov.cn）、国家企业信用信息公示系统（http://www.gsxt.gov.cn）、重大税收违法案件当事人名单、政府采购严重违法失信行为记录名单的（尚在处罚期内的）、经营异常名录的，将拒绝其参本次政府采购活动截图并加盖公章</w:t>
            </w:r>
          </w:p>
        </w:tc>
        <w:tc>
          <w:tcPr>
            <w:tcW w:w="870" w:type="dxa"/>
            <w:tcBorders>
              <w:top w:val="single" w:color="auto" w:sz="6" w:space="0"/>
              <w:left w:val="single" w:color="auto" w:sz="4" w:space="0"/>
              <w:bottom w:val="single" w:color="auto" w:sz="6" w:space="0"/>
              <w:right w:val="single" w:color="auto" w:sz="4" w:space="0"/>
            </w:tcBorders>
            <w:vAlign w:val="center"/>
          </w:tcPr>
          <w:p>
            <w:pPr>
              <w:spacing w:line="500" w:lineRule="exact"/>
              <w:ind w:firstLine="424" w:firstLineChars="180"/>
              <w:contextualSpacing/>
              <w:jc w:val="center"/>
              <w:rPr>
                <w:rFonts w:ascii="宋体" w:hAnsi="宋体" w:cs="宋体"/>
                <w:color w:val="000000" w:themeColor="text1"/>
                <w:spacing w:val="-2"/>
                <w:sz w:val="24"/>
                <w:szCs w:val="24"/>
                <w14:textFill>
                  <w14:solidFill>
                    <w14:schemeClr w14:val="tx1"/>
                  </w14:solidFill>
                </w14:textFill>
              </w:rPr>
            </w:pPr>
          </w:p>
        </w:tc>
        <w:tc>
          <w:tcPr>
            <w:tcW w:w="690" w:type="dxa"/>
            <w:tcBorders>
              <w:top w:val="single" w:color="auto" w:sz="6" w:space="0"/>
              <w:left w:val="single" w:color="auto" w:sz="4" w:space="0"/>
              <w:bottom w:val="single" w:color="auto" w:sz="6" w:space="0"/>
              <w:right w:val="single" w:color="auto" w:sz="6" w:space="0"/>
            </w:tcBorders>
            <w:vAlign w:val="center"/>
          </w:tcPr>
          <w:p>
            <w:pPr>
              <w:spacing w:line="500" w:lineRule="exact"/>
              <w:ind w:firstLine="424" w:firstLineChars="180"/>
              <w:contextualSpacing/>
              <w:jc w:val="center"/>
              <w:rPr>
                <w:rFonts w:ascii="宋体" w:hAnsi="宋体" w:cs="宋体"/>
                <w:color w:val="000000" w:themeColor="text1"/>
                <w:spacing w:val="-2"/>
                <w:sz w:val="24"/>
                <w:szCs w:val="24"/>
                <w14:textFill>
                  <w14:solidFill>
                    <w14:schemeClr w14:val="tx1"/>
                  </w14:solidFill>
                </w14:textFill>
              </w:rPr>
            </w:pPr>
          </w:p>
        </w:tc>
        <w:tc>
          <w:tcPr>
            <w:tcW w:w="750" w:type="dxa"/>
            <w:tcBorders>
              <w:top w:val="single" w:color="auto" w:sz="6" w:space="0"/>
              <w:left w:val="single" w:color="auto" w:sz="6" w:space="0"/>
              <w:bottom w:val="single" w:color="auto" w:sz="6" w:space="0"/>
              <w:right w:val="single" w:color="auto" w:sz="4" w:space="0"/>
            </w:tcBorders>
          </w:tcPr>
          <w:p>
            <w:pPr>
              <w:spacing w:line="500" w:lineRule="exact"/>
              <w:ind w:firstLine="424" w:firstLineChars="180"/>
              <w:contextualSpacing/>
              <w:jc w:val="center"/>
              <w:rPr>
                <w:rFonts w:ascii="宋体" w:hAnsi="宋体" w:cs="宋体"/>
                <w:color w:val="000000" w:themeColor="text1"/>
                <w:spacing w:val="-2"/>
                <w:sz w:val="24"/>
                <w:szCs w:val="24"/>
                <w14:textFill>
                  <w14:solidFill>
                    <w14:schemeClr w14:val="tx1"/>
                  </w14:solidFill>
                </w14:textFill>
              </w:rPr>
            </w:pPr>
          </w:p>
        </w:tc>
        <w:tc>
          <w:tcPr>
            <w:tcW w:w="704" w:type="dxa"/>
            <w:tcBorders>
              <w:top w:val="single" w:color="auto" w:sz="6" w:space="0"/>
              <w:left w:val="single" w:color="auto" w:sz="4" w:space="0"/>
              <w:bottom w:val="single" w:color="auto" w:sz="6" w:space="0"/>
              <w:right w:val="single" w:color="auto" w:sz="12" w:space="0"/>
            </w:tcBorders>
          </w:tcPr>
          <w:p>
            <w:pPr>
              <w:spacing w:line="500" w:lineRule="exact"/>
              <w:contextualSpacing/>
              <w:jc w:val="center"/>
              <w:rPr>
                <w:rFonts w:ascii="宋体" w:hAnsi="宋体" w:cs="宋体"/>
                <w:color w:val="000000" w:themeColor="text1"/>
                <w:sz w:val="24"/>
                <w:szCs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677" w:type="dxa"/>
            <w:tcBorders>
              <w:top w:val="single" w:color="auto" w:sz="6" w:space="0"/>
              <w:left w:val="single" w:color="auto" w:sz="12" w:space="0"/>
              <w:bottom w:val="single" w:color="auto" w:sz="6" w:space="0"/>
              <w:right w:val="single" w:color="auto" w:sz="6" w:space="0"/>
            </w:tcBorders>
            <w:vAlign w:val="center"/>
          </w:tcPr>
          <w:p>
            <w:pPr>
              <w:spacing w:line="500" w:lineRule="exact"/>
              <w:contextualSpacing/>
              <w:jc w:val="center"/>
              <w:rPr>
                <w:rFonts w:ascii="宋体" w:hAnsi="宋体" w:cs="宋体"/>
                <w:sz w:val="24"/>
                <w:szCs w:val="24"/>
              </w:rPr>
            </w:pPr>
            <w:r>
              <w:rPr>
                <w:rFonts w:hint="eastAsia" w:ascii="宋体" w:hAnsi="宋体" w:cs="宋体"/>
                <w:sz w:val="24"/>
                <w:szCs w:val="24"/>
              </w:rPr>
              <w:t>4</w:t>
            </w:r>
          </w:p>
        </w:tc>
        <w:tc>
          <w:tcPr>
            <w:tcW w:w="6163" w:type="dxa"/>
            <w:tcBorders>
              <w:top w:val="single" w:color="auto" w:sz="6" w:space="0"/>
              <w:left w:val="single" w:color="auto" w:sz="6" w:space="0"/>
              <w:bottom w:val="single" w:color="auto" w:sz="4" w:space="0"/>
              <w:right w:val="single" w:color="auto" w:sz="4" w:space="0"/>
            </w:tcBorders>
            <w:vAlign w:val="center"/>
          </w:tcPr>
          <w:p>
            <w:pPr>
              <w:spacing w:line="500" w:lineRule="exact"/>
              <w:contextualSpacing/>
              <w:rPr>
                <w:rFonts w:hint="eastAsia" w:ascii="宋体" w:hAnsi="宋体" w:eastAsia="宋体" w:cs="宋体"/>
                <w:spacing w:val="-2"/>
                <w:sz w:val="24"/>
                <w:szCs w:val="24"/>
                <w:lang w:eastAsia="zh-CN"/>
              </w:rPr>
            </w:pPr>
            <w:r>
              <w:rPr>
                <w:rFonts w:hint="eastAsia" w:ascii="宋体" w:hAnsi="宋体" w:cs="宋体"/>
                <w:spacing w:val="-2"/>
                <w:sz w:val="24"/>
                <w:szCs w:val="24"/>
              </w:rPr>
              <w:t>投标保证金</w:t>
            </w:r>
            <w:r>
              <w:rPr>
                <w:rFonts w:hint="eastAsia" w:ascii="宋体" w:hAnsi="宋体" w:cs="宋体"/>
                <w:spacing w:val="-2"/>
                <w:sz w:val="24"/>
                <w:szCs w:val="24"/>
                <w:lang w:eastAsia="zh-CN"/>
              </w:rPr>
              <w:t>交纳赁证</w:t>
            </w:r>
          </w:p>
        </w:tc>
        <w:tc>
          <w:tcPr>
            <w:tcW w:w="870" w:type="dxa"/>
            <w:tcBorders>
              <w:top w:val="single" w:color="auto" w:sz="6" w:space="0"/>
              <w:left w:val="single" w:color="auto" w:sz="4" w:space="0"/>
              <w:bottom w:val="single" w:color="auto" w:sz="6" w:space="0"/>
              <w:right w:val="single" w:color="auto" w:sz="4" w:space="0"/>
            </w:tcBorders>
            <w:vAlign w:val="center"/>
          </w:tcPr>
          <w:p>
            <w:pPr>
              <w:spacing w:line="500" w:lineRule="exact"/>
              <w:ind w:firstLine="424" w:firstLineChars="180"/>
              <w:contextualSpacing/>
              <w:jc w:val="center"/>
              <w:rPr>
                <w:rFonts w:ascii="宋体" w:hAnsi="宋体" w:cs="宋体"/>
                <w:color w:val="000000" w:themeColor="text1"/>
                <w:spacing w:val="-2"/>
                <w:sz w:val="24"/>
                <w:szCs w:val="24"/>
                <w14:textFill>
                  <w14:solidFill>
                    <w14:schemeClr w14:val="tx1"/>
                  </w14:solidFill>
                </w14:textFill>
              </w:rPr>
            </w:pPr>
          </w:p>
        </w:tc>
        <w:tc>
          <w:tcPr>
            <w:tcW w:w="690" w:type="dxa"/>
            <w:tcBorders>
              <w:top w:val="single" w:color="auto" w:sz="6" w:space="0"/>
              <w:left w:val="single" w:color="auto" w:sz="4" w:space="0"/>
              <w:bottom w:val="single" w:color="auto" w:sz="6" w:space="0"/>
              <w:right w:val="single" w:color="auto" w:sz="6" w:space="0"/>
            </w:tcBorders>
            <w:vAlign w:val="center"/>
          </w:tcPr>
          <w:p>
            <w:pPr>
              <w:spacing w:line="500" w:lineRule="exact"/>
              <w:ind w:firstLine="424" w:firstLineChars="180"/>
              <w:contextualSpacing/>
              <w:jc w:val="center"/>
              <w:rPr>
                <w:rFonts w:ascii="宋体" w:hAnsi="宋体" w:cs="宋体"/>
                <w:color w:val="000000" w:themeColor="text1"/>
                <w:spacing w:val="-2"/>
                <w:sz w:val="24"/>
                <w:szCs w:val="24"/>
                <w14:textFill>
                  <w14:solidFill>
                    <w14:schemeClr w14:val="tx1"/>
                  </w14:solidFill>
                </w14:textFill>
              </w:rPr>
            </w:pPr>
          </w:p>
        </w:tc>
        <w:tc>
          <w:tcPr>
            <w:tcW w:w="750" w:type="dxa"/>
            <w:tcBorders>
              <w:top w:val="single" w:color="auto" w:sz="6" w:space="0"/>
              <w:left w:val="single" w:color="auto" w:sz="6" w:space="0"/>
              <w:bottom w:val="single" w:color="auto" w:sz="6" w:space="0"/>
              <w:right w:val="single" w:color="auto" w:sz="4" w:space="0"/>
            </w:tcBorders>
          </w:tcPr>
          <w:p>
            <w:pPr>
              <w:spacing w:line="500" w:lineRule="exact"/>
              <w:ind w:firstLine="424" w:firstLineChars="180"/>
              <w:contextualSpacing/>
              <w:jc w:val="center"/>
              <w:rPr>
                <w:rFonts w:ascii="宋体" w:hAnsi="宋体" w:cs="宋体"/>
                <w:color w:val="000000" w:themeColor="text1"/>
                <w:spacing w:val="-2"/>
                <w:sz w:val="24"/>
                <w:szCs w:val="24"/>
                <w14:textFill>
                  <w14:solidFill>
                    <w14:schemeClr w14:val="tx1"/>
                  </w14:solidFill>
                </w14:textFill>
              </w:rPr>
            </w:pPr>
          </w:p>
        </w:tc>
        <w:tc>
          <w:tcPr>
            <w:tcW w:w="704" w:type="dxa"/>
            <w:tcBorders>
              <w:top w:val="single" w:color="auto" w:sz="6" w:space="0"/>
              <w:left w:val="single" w:color="auto" w:sz="4" w:space="0"/>
              <w:bottom w:val="single" w:color="auto" w:sz="6" w:space="0"/>
              <w:right w:val="single" w:color="auto" w:sz="12" w:space="0"/>
            </w:tcBorders>
          </w:tcPr>
          <w:p>
            <w:pPr>
              <w:spacing w:line="500" w:lineRule="exact"/>
              <w:contextualSpacing/>
              <w:jc w:val="center"/>
              <w:rPr>
                <w:rFonts w:ascii="宋体" w:hAnsi="宋体" w:cs="宋体"/>
                <w:color w:val="000000" w:themeColor="text1"/>
                <w:sz w:val="24"/>
                <w:szCs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6840" w:type="dxa"/>
            <w:gridSpan w:val="2"/>
            <w:tcBorders>
              <w:top w:val="single" w:color="auto" w:sz="6" w:space="0"/>
              <w:left w:val="single" w:color="auto" w:sz="12" w:space="0"/>
              <w:bottom w:val="single" w:color="auto" w:sz="12" w:space="0"/>
              <w:right w:val="single" w:color="auto" w:sz="4" w:space="0"/>
            </w:tcBorders>
          </w:tcPr>
          <w:p>
            <w:pPr>
              <w:spacing w:line="500" w:lineRule="exact"/>
              <w:ind w:firstLine="424" w:firstLineChars="180"/>
              <w:contextualSpacing/>
              <w:rPr>
                <w:rFonts w:ascii="宋体" w:hAnsi="宋体" w:cs="宋体"/>
                <w:spacing w:val="-2"/>
                <w:sz w:val="24"/>
                <w:szCs w:val="24"/>
              </w:rPr>
            </w:pPr>
            <w:r>
              <w:rPr>
                <w:rFonts w:hint="eastAsia" w:ascii="宋体" w:hAnsi="宋体" w:cs="宋体"/>
                <w:spacing w:val="-2"/>
                <w:sz w:val="24"/>
                <w:szCs w:val="24"/>
              </w:rPr>
              <w:t>结论：通过评审打√     未通过评审打×</w:t>
            </w:r>
          </w:p>
        </w:tc>
        <w:tc>
          <w:tcPr>
            <w:tcW w:w="870" w:type="dxa"/>
            <w:tcBorders>
              <w:top w:val="single" w:color="auto" w:sz="6" w:space="0"/>
              <w:left w:val="single" w:color="auto" w:sz="4" w:space="0"/>
              <w:bottom w:val="single" w:color="auto" w:sz="12" w:space="0"/>
              <w:right w:val="single" w:color="auto" w:sz="4" w:space="0"/>
            </w:tcBorders>
          </w:tcPr>
          <w:p>
            <w:pPr>
              <w:spacing w:line="500" w:lineRule="exact"/>
              <w:ind w:firstLine="424" w:firstLineChars="180"/>
              <w:contextualSpacing/>
              <w:jc w:val="center"/>
              <w:rPr>
                <w:rFonts w:ascii="宋体" w:hAnsi="宋体" w:cs="宋体"/>
                <w:color w:val="000000" w:themeColor="text1"/>
                <w:spacing w:val="-2"/>
                <w:sz w:val="24"/>
                <w:szCs w:val="24"/>
                <w14:textFill>
                  <w14:solidFill>
                    <w14:schemeClr w14:val="tx1"/>
                  </w14:solidFill>
                </w14:textFill>
              </w:rPr>
            </w:pPr>
          </w:p>
        </w:tc>
        <w:tc>
          <w:tcPr>
            <w:tcW w:w="690" w:type="dxa"/>
            <w:tcBorders>
              <w:top w:val="single" w:color="auto" w:sz="6" w:space="0"/>
              <w:left w:val="single" w:color="auto" w:sz="4" w:space="0"/>
              <w:bottom w:val="single" w:color="auto" w:sz="12" w:space="0"/>
              <w:right w:val="single" w:color="auto" w:sz="6" w:space="0"/>
            </w:tcBorders>
          </w:tcPr>
          <w:p>
            <w:pPr>
              <w:spacing w:line="500" w:lineRule="exact"/>
              <w:ind w:firstLine="424" w:firstLineChars="180"/>
              <w:contextualSpacing/>
              <w:jc w:val="center"/>
              <w:rPr>
                <w:rFonts w:ascii="宋体" w:hAnsi="宋体" w:cs="宋体"/>
                <w:color w:val="000000" w:themeColor="text1"/>
                <w:spacing w:val="-2"/>
                <w:sz w:val="24"/>
                <w:szCs w:val="24"/>
                <w14:textFill>
                  <w14:solidFill>
                    <w14:schemeClr w14:val="tx1"/>
                  </w14:solidFill>
                </w14:textFill>
              </w:rPr>
            </w:pPr>
          </w:p>
        </w:tc>
        <w:tc>
          <w:tcPr>
            <w:tcW w:w="750" w:type="dxa"/>
            <w:tcBorders>
              <w:top w:val="single" w:color="auto" w:sz="6" w:space="0"/>
              <w:left w:val="single" w:color="auto" w:sz="6" w:space="0"/>
              <w:bottom w:val="single" w:color="auto" w:sz="12" w:space="0"/>
              <w:right w:val="single" w:color="auto" w:sz="6" w:space="0"/>
            </w:tcBorders>
          </w:tcPr>
          <w:p>
            <w:pPr>
              <w:spacing w:line="500" w:lineRule="exact"/>
              <w:ind w:firstLine="424" w:firstLineChars="180"/>
              <w:contextualSpacing/>
              <w:jc w:val="center"/>
              <w:rPr>
                <w:rFonts w:ascii="宋体" w:hAnsi="宋体" w:cs="宋体"/>
                <w:color w:val="000000" w:themeColor="text1"/>
                <w:spacing w:val="-2"/>
                <w:sz w:val="24"/>
                <w:szCs w:val="24"/>
                <w14:textFill>
                  <w14:solidFill>
                    <w14:schemeClr w14:val="tx1"/>
                  </w14:solidFill>
                </w14:textFill>
              </w:rPr>
            </w:pPr>
          </w:p>
        </w:tc>
        <w:tc>
          <w:tcPr>
            <w:tcW w:w="704" w:type="dxa"/>
            <w:tcBorders>
              <w:top w:val="single" w:color="auto" w:sz="6" w:space="0"/>
              <w:left w:val="single" w:color="auto" w:sz="6" w:space="0"/>
              <w:bottom w:val="single" w:color="auto" w:sz="12" w:space="0"/>
              <w:right w:val="single" w:color="auto" w:sz="12" w:space="0"/>
            </w:tcBorders>
          </w:tcPr>
          <w:p>
            <w:pPr>
              <w:spacing w:line="500" w:lineRule="exact"/>
              <w:contextualSpacing/>
              <w:jc w:val="center"/>
              <w:rPr>
                <w:rFonts w:ascii="宋体" w:hAnsi="宋体" w:cs="宋体"/>
                <w:color w:val="000000" w:themeColor="text1"/>
                <w:sz w:val="24"/>
                <w:szCs w:val="24"/>
                <w14:textFill>
                  <w14:solidFill>
                    <w14:schemeClr w14:val="tx1"/>
                  </w14:solidFill>
                </w14:textFill>
              </w:rPr>
            </w:pPr>
          </w:p>
        </w:tc>
      </w:tr>
    </w:tbl>
    <w:p>
      <w:pPr>
        <w:spacing w:line="500" w:lineRule="exact"/>
        <w:contextualSpacing/>
        <w:rPr>
          <w:rFonts w:ascii="宋体" w:hAnsi="宋体" w:cs="宋体"/>
          <w:b/>
          <w:color w:val="000000" w:themeColor="text1"/>
          <w:spacing w:val="-2"/>
          <w:sz w:val="24"/>
          <w:szCs w:val="24"/>
          <w14:textFill>
            <w14:solidFill>
              <w14:schemeClr w14:val="tx1"/>
            </w14:solidFill>
          </w14:textFill>
        </w:rPr>
      </w:pPr>
      <w:r>
        <w:rPr>
          <w:rFonts w:hint="eastAsia" w:ascii="宋体" w:hAnsi="宋体" w:cs="宋体"/>
          <w:b/>
          <w:color w:val="000000" w:themeColor="text1"/>
          <w:spacing w:val="-2"/>
          <w:sz w:val="24"/>
          <w:szCs w:val="24"/>
          <w14:textFill>
            <w14:solidFill>
              <w14:schemeClr w14:val="tx1"/>
            </w14:solidFill>
          </w14:textFill>
        </w:rPr>
        <w:t>2.符合性审查</w:t>
      </w:r>
    </w:p>
    <w:tbl>
      <w:tblPr>
        <w:tblStyle w:val="36"/>
        <w:tblW w:w="988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68"/>
        <w:gridCol w:w="6479"/>
        <w:gridCol w:w="616"/>
        <w:gridCol w:w="709"/>
        <w:gridCol w:w="708"/>
        <w:gridCol w:w="70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147" w:type="dxa"/>
            <w:gridSpan w:val="2"/>
            <w:vMerge w:val="restart"/>
            <w:tcBorders>
              <w:top w:val="single" w:color="auto" w:sz="12" w:space="0"/>
              <w:left w:val="single" w:color="auto" w:sz="12" w:space="0"/>
              <w:bottom w:val="single" w:color="auto" w:sz="6" w:space="0"/>
              <w:right w:val="single" w:color="auto" w:sz="4" w:space="0"/>
            </w:tcBorders>
            <w:vAlign w:val="center"/>
          </w:tcPr>
          <w:p>
            <w:pPr>
              <w:spacing w:line="500" w:lineRule="exact"/>
              <w:ind w:firstLine="2666" w:firstLineChars="1130"/>
              <w:contextualSpacing/>
              <w:rPr>
                <w:rFonts w:ascii="宋体" w:hAnsi="宋体" w:cs="宋体"/>
                <w:spacing w:val="-2"/>
                <w:sz w:val="24"/>
                <w:szCs w:val="24"/>
              </w:rPr>
            </w:pPr>
            <w:r>
              <w:rPr>
                <w:rFonts w:hint="eastAsia" w:ascii="宋体" w:hAnsi="宋体" w:cs="宋体"/>
                <w:spacing w:val="-2"/>
                <w:sz w:val="24"/>
                <w:szCs w:val="24"/>
              </w:rPr>
              <w:t>评审内容</w:t>
            </w:r>
          </w:p>
        </w:tc>
        <w:tc>
          <w:tcPr>
            <w:tcW w:w="2742" w:type="dxa"/>
            <w:gridSpan w:val="4"/>
            <w:tcBorders>
              <w:top w:val="single" w:color="auto" w:sz="12" w:space="0"/>
              <w:left w:val="single" w:color="auto" w:sz="4" w:space="0"/>
              <w:bottom w:val="single" w:color="auto" w:sz="4" w:space="0"/>
              <w:right w:val="single" w:color="auto" w:sz="12" w:space="0"/>
            </w:tcBorders>
            <w:vAlign w:val="center"/>
          </w:tcPr>
          <w:p>
            <w:pPr>
              <w:spacing w:line="500" w:lineRule="exact"/>
              <w:ind w:firstLine="424" w:firstLineChars="180"/>
              <w:contextualSpacing/>
              <w:rPr>
                <w:rFonts w:ascii="宋体" w:hAnsi="宋体" w:cs="宋体"/>
                <w:spacing w:val="-2"/>
                <w:sz w:val="24"/>
                <w:szCs w:val="24"/>
              </w:rPr>
            </w:pPr>
            <w:r>
              <w:rPr>
                <w:rFonts w:hint="eastAsia" w:ascii="宋体" w:hAnsi="宋体" w:cs="宋体"/>
                <w:spacing w:val="-2"/>
                <w:sz w:val="24"/>
                <w:szCs w:val="24"/>
              </w:rPr>
              <w:t>投标企业名称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9" w:hRule="atLeast"/>
        </w:trPr>
        <w:tc>
          <w:tcPr>
            <w:tcW w:w="7147" w:type="dxa"/>
            <w:gridSpan w:val="2"/>
            <w:vMerge w:val="continue"/>
            <w:tcBorders>
              <w:top w:val="single" w:color="auto" w:sz="12" w:space="0"/>
              <w:left w:val="single" w:color="auto" w:sz="12" w:space="0"/>
              <w:bottom w:val="single" w:color="auto" w:sz="6" w:space="0"/>
              <w:right w:val="single" w:color="auto" w:sz="4" w:space="0"/>
            </w:tcBorders>
            <w:vAlign w:val="center"/>
          </w:tcPr>
          <w:p>
            <w:pPr>
              <w:widowControl/>
              <w:spacing w:line="500" w:lineRule="exact"/>
              <w:contextualSpacing/>
              <w:jc w:val="left"/>
              <w:rPr>
                <w:rFonts w:ascii="宋体" w:hAnsi="宋体" w:cs="宋体"/>
                <w:spacing w:val="-2"/>
                <w:sz w:val="24"/>
                <w:szCs w:val="24"/>
              </w:rPr>
            </w:pPr>
          </w:p>
        </w:tc>
        <w:tc>
          <w:tcPr>
            <w:tcW w:w="616" w:type="dxa"/>
            <w:tcBorders>
              <w:top w:val="single" w:color="auto" w:sz="4" w:space="0"/>
              <w:left w:val="single" w:color="auto" w:sz="4" w:space="0"/>
              <w:bottom w:val="single" w:color="auto" w:sz="6" w:space="0"/>
              <w:right w:val="single" w:color="auto" w:sz="4" w:space="0"/>
            </w:tcBorders>
          </w:tcPr>
          <w:p>
            <w:pPr>
              <w:spacing w:line="500" w:lineRule="exact"/>
              <w:ind w:firstLine="37" w:firstLineChars="16"/>
              <w:contextualSpacing/>
              <w:jc w:val="center"/>
              <w:rPr>
                <w:rFonts w:ascii="宋体" w:hAnsi="宋体" w:cs="宋体"/>
                <w:spacing w:val="-2"/>
                <w:sz w:val="24"/>
                <w:szCs w:val="24"/>
              </w:rPr>
            </w:pPr>
            <w:r>
              <w:rPr>
                <w:rFonts w:hint="eastAsia" w:ascii="宋体" w:hAnsi="宋体" w:cs="宋体"/>
                <w:spacing w:val="-2"/>
                <w:sz w:val="24"/>
                <w:szCs w:val="24"/>
              </w:rPr>
              <w:t>1</w:t>
            </w:r>
          </w:p>
        </w:tc>
        <w:tc>
          <w:tcPr>
            <w:tcW w:w="709" w:type="dxa"/>
            <w:tcBorders>
              <w:top w:val="single" w:color="auto" w:sz="4" w:space="0"/>
              <w:left w:val="single" w:color="auto" w:sz="4" w:space="0"/>
              <w:bottom w:val="single" w:color="auto" w:sz="6" w:space="0"/>
              <w:right w:val="single" w:color="auto" w:sz="6" w:space="0"/>
            </w:tcBorders>
          </w:tcPr>
          <w:p>
            <w:pPr>
              <w:spacing w:line="500" w:lineRule="exact"/>
              <w:ind w:firstLine="37" w:firstLineChars="16"/>
              <w:contextualSpacing/>
              <w:jc w:val="center"/>
              <w:rPr>
                <w:rFonts w:ascii="宋体" w:hAnsi="宋体" w:cs="宋体"/>
                <w:spacing w:val="-2"/>
                <w:sz w:val="24"/>
                <w:szCs w:val="24"/>
              </w:rPr>
            </w:pPr>
            <w:r>
              <w:rPr>
                <w:rFonts w:hint="eastAsia" w:ascii="宋体" w:hAnsi="宋体" w:cs="宋体"/>
                <w:spacing w:val="-2"/>
                <w:sz w:val="24"/>
                <w:szCs w:val="24"/>
              </w:rPr>
              <w:t>2</w:t>
            </w:r>
          </w:p>
        </w:tc>
        <w:tc>
          <w:tcPr>
            <w:tcW w:w="708" w:type="dxa"/>
            <w:tcBorders>
              <w:top w:val="single" w:color="auto" w:sz="6" w:space="0"/>
              <w:left w:val="single" w:color="auto" w:sz="6" w:space="0"/>
              <w:bottom w:val="single" w:color="auto" w:sz="6" w:space="0"/>
              <w:right w:val="single" w:color="auto" w:sz="6" w:space="0"/>
            </w:tcBorders>
            <w:vAlign w:val="center"/>
          </w:tcPr>
          <w:p>
            <w:pPr>
              <w:spacing w:line="500" w:lineRule="exact"/>
              <w:ind w:firstLine="37" w:firstLineChars="16"/>
              <w:contextualSpacing/>
              <w:jc w:val="center"/>
              <w:rPr>
                <w:rFonts w:ascii="宋体" w:hAnsi="宋体" w:cs="宋体"/>
                <w:spacing w:val="-2"/>
                <w:sz w:val="24"/>
                <w:szCs w:val="24"/>
              </w:rPr>
            </w:pPr>
            <w:r>
              <w:rPr>
                <w:rFonts w:hint="eastAsia" w:ascii="宋体" w:hAnsi="宋体" w:cs="宋体"/>
                <w:spacing w:val="-2"/>
                <w:sz w:val="24"/>
                <w:szCs w:val="24"/>
              </w:rPr>
              <w:t>3</w:t>
            </w:r>
          </w:p>
        </w:tc>
        <w:tc>
          <w:tcPr>
            <w:tcW w:w="709" w:type="dxa"/>
            <w:tcBorders>
              <w:top w:val="single" w:color="auto" w:sz="6" w:space="0"/>
              <w:left w:val="single" w:color="auto" w:sz="6" w:space="0"/>
              <w:bottom w:val="single" w:color="auto" w:sz="6" w:space="0"/>
              <w:right w:val="single" w:color="auto" w:sz="12" w:space="0"/>
            </w:tcBorders>
            <w:vAlign w:val="center"/>
          </w:tcPr>
          <w:p>
            <w:pPr>
              <w:spacing w:line="500" w:lineRule="exact"/>
              <w:ind w:firstLine="39" w:firstLineChars="16"/>
              <w:contextualSpacing/>
              <w:jc w:val="center"/>
              <w:rPr>
                <w:rFonts w:ascii="宋体" w:hAnsi="宋体" w:cs="宋体"/>
                <w:b/>
                <w:sz w:val="24"/>
                <w:szCs w:val="24"/>
              </w:rPr>
            </w:pPr>
            <w:r>
              <w:rPr>
                <w:rFonts w:hint="eastAsia" w:ascii="宋体" w:hAnsi="宋体" w:cs="宋体"/>
                <w:b/>
                <w:sz w:val="24"/>
                <w:szCs w:val="24"/>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9" w:hRule="atLeast"/>
        </w:trPr>
        <w:tc>
          <w:tcPr>
            <w:tcW w:w="668" w:type="dxa"/>
            <w:tcBorders>
              <w:top w:val="single" w:color="auto" w:sz="6" w:space="0"/>
              <w:left w:val="single" w:color="auto" w:sz="12" w:space="0"/>
              <w:bottom w:val="single" w:color="auto" w:sz="6" w:space="0"/>
              <w:right w:val="single" w:color="auto" w:sz="6" w:space="0"/>
            </w:tcBorders>
            <w:vAlign w:val="center"/>
          </w:tcPr>
          <w:p>
            <w:pPr>
              <w:spacing w:line="500" w:lineRule="exact"/>
              <w:contextualSpacing/>
              <w:jc w:val="center"/>
              <w:rPr>
                <w:rFonts w:ascii="宋体" w:hAnsi="宋体" w:cs="宋体"/>
                <w:sz w:val="24"/>
                <w:szCs w:val="24"/>
              </w:rPr>
            </w:pPr>
            <w:r>
              <w:rPr>
                <w:rFonts w:hint="eastAsia" w:ascii="宋体" w:hAnsi="宋体" w:cs="宋体"/>
                <w:sz w:val="24"/>
                <w:szCs w:val="24"/>
              </w:rPr>
              <w:t>1</w:t>
            </w:r>
          </w:p>
        </w:tc>
        <w:tc>
          <w:tcPr>
            <w:tcW w:w="6479" w:type="dxa"/>
            <w:tcBorders>
              <w:top w:val="single" w:color="auto" w:sz="6" w:space="0"/>
              <w:left w:val="single" w:color="auto" w:sz="6" w:space="0"/>
              <w:bottom w:val="single" w:color="auto" w:sz="6" w:space="0"/>
              <w:right w:val="single" w:color="auto" w:sz="4" w:space="0"/>
            </w:tcBorders>
            <w:vAlign w:val="center"/>
          </w:tcPr>
          <w:p>
            <w:pPr>
              <w:spacing w:line="500" w:lineRule="exact"/>
              <w:contextualSpacing/>
              <w:rPr>
                <w:rFonts w:ascii="宋体" w:hAnsi="宋体" w:cs="宋体"/>
                <w:spacing w:val="-2"/>
                <w:sz w:val="24"/>
                <w:szCs w:val="24"/>
              </w:rPr>
            </w:pPr>
            <w:r>
              <w:rPr>
                <w:rFonts w:hint="eastAsia" w:ascii="宋体" w:hAnsi="宋体" w:cs="宋体"/>
                <w:spacing w:val="-2"/>
                <w:sz w:val="24"/>
                <w:szCs w:val="24"/>
              </w:rPr>
              <w:t>是否提供资格声明函；</w:t>
            </w:r>
          </w:p>
        </w:tc>
        <w:tc>
          <w:tcPr>
            <w:tcW w:w="616" w:type="dxa"/>
            <w:tcBorders>
              <w:top w:val="single" w:color="auto" w:sz="6" w:space="0"/>
              <w:left w:val="single" w:color="auto" w:sz="4" w:space="0"/>
              <w:bottom w:val="single" w:color="auto" w:sz="6" w:space="0"/>
              <w:right w:val="single" w:color="auto" w:sz="4" w:space="0"/>
            </w:tcBorders>
            <w:vAlign w:val="center"/>
          </w:tcPr>
          <w:p>
            <w:pPr>
              <w:spacing w:line="500" w:lineRule="exact"/>
              <w:ind w:firstLine="424" w:firstLineChars="180"/>
              <w:contextualSpacing/>
              <w:rPr>
                <w:rFonts w:ascii="宋体" w:hAnsi="宋体" w:cs="宋体"/>
                <w:spacing w:val="-2"/>
                <w:sz w:val="24"/>
                <w:szCs w:val="24"/>
              </w:rPr>
            </w:pPr>
          </w:p>
        </w:tc>
        <w:tc>
          <w:tcPr>
            <w:tcW w:w="709" w:type="dxa"/>
            <w:tcBorders>
              <w:top w:val="single" w:color="auto" w:sz="6" w:space="0"/>
              <w:left w:val="single" w:color="auto" w:sz="4" w:space="0"/>
              <w:bottom w:val="single" w:color="auto" w:sz="6" w:space="0"/>
              <w:right w:val="single" w:color="auto" w:sz="6" w:space="0"/>
            </w:tcBorders>
            <w:vAlign w:val="center"/>
          </w:tcPr>
          <w:p>
            <w:pPr>
              <w:spacing w:line="500" w:lineRule="exact"/>
              <w:ind w:firstLine="424" w:firstLineChars="180"/>
              <w:contextualSpacing/>
              <w:rPr>
                <w:rFonts w:ascii="宋体" w:hAnsi="宋体" w:cs="宋体"/>
                <w:spacing w:val="-2"/>
                <w:sz w:val="24"/>
                <w:szCs w:val="24"/>
              </w:rPr>
            </w:pPr>
          </w:p>
        </w:tc>
        <w:tc>
          <w:tcPr>
            <w:tcW w:w="708" w:type="dxa"/>
            <w:tcBorders>
              <w:top w:val="single" w:color="auto" w:sz="6" w:space="0"/>
              <w:left w:val="single" w:color="auto" w:sz="6" w:space="0"/>
              <w:bottom w:val="single" w:color="auto" w:sz="6" w:space="0"/>
              <w:right w:val="single" w:color="auto" w:sz="4" w:space="0"/>
            </w:tcBorders>
          </w:tcPr>
          <w:p>
            <w:pPr>
              <w:spacing w:line="500" w:lineRule="exact"/>
              <w:ind w:firstLine="424" w:firstLineChars="180"/>
              <w:contextualSpacing/>
              <w:rPr>
                <w:rFonts w:ascii="宋体" w:hAnsi="宋体" w:cs="宋体"/>
                <w:spacing w:val="-2"/>
                <w:sz w:val="24"/>
                <w:szCs w:val="24"/>
              </w:rPr>
            </w:pPr>
          </w:p>
        </w:tc>
        <w:tc>
          <w:tcPr>
            <w:tcW w:w="709" w:type="dxa"/>
            <w:tcBorders>
              <w:top w:val="single" w:color="auto" w:sz="6" w:space="0"/>
              <w:left w:val="single" w:color="auto" w:sz="4" w:space="0"/>
              <w:bottom w:val="single" w:color="auto" w:sz="6" w:space="0"/>
              <w:right w:val="single" w:color="auto" w:sz="12" w:space="0"/>
            </w:tcBorders>
          </w:tcPr>
          <w:p>
            <w:pPr>
              <w:spacing w:line="500" w:lineRule="exact"/>
              <w:contextualSpacing/>
              <w:rPr>
                <w:rFonts w:ascii="宋体" w:hAnsi="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63" w:hRule="atLeast"/>
        </w:trPr>
        <w:tc>
          <w:tcPr>
            <w:tcW w:w="668" w:type="dxa"/>
            <w:tcBorders>
              <w:top w:val="single" w:color="auto" w:sz="6" w:space="0"/>
              <w:left w:val="single" w:color="auto" w:sz="12" w:space="0"/>
              <w:bottom w:val="single" w:color="auto" w:sz="6" w:space="0"/>
              <w:right w:val="single" w:color="auto" w:sz="6" w:space="0"/>
            </w:tcBorders>
            <w:vAlign w:val="center"/>
          </w:tcPr>
          <w:p>
            <w:pPr>
              <w:spacing w:line="500" w:lineRule="exact"/>
              <w:contextualSpacing/>
              <w:jc w:val="center"/>
              <w:rPr>
                <w:rFonts w:ascii="宋体" w:hAnsi="宋体" w:cs="宋体"/>
                <w:sz w:val="24"/>
                <w:szCs w:val="24"/>
              </w:rPr>
            </w:pPr>
            <w:r>
              <w:rPr>
                <w:rFonts w:hint="eastAsia" w:ascii="宋体" w:hAnsi="宋体" w:cs="宋体"/>
                <w:sz w:val="24"/>
                <w:szCs w:val="24"/>
              </w:rPr>
              <w:t>2</w:t>
            </w:r>
          </w:p>
        </w:tc>
        <w:tc>
          <w:tcPr>
            <w:tcW w:w="6479" w:type="dxa"/>
            <w:tcBorders>
              <w:top w:val="single" w:color="auto" w:sz="6" w:space="0"/>
              <w:left w:val="single" w:color="auto" w:sz="6" w:space="0"/>
              <w:bottom w:val="single" w:color="auto" w:sz="6" w:space="0"/>
              <w:right w:val="single" w:color="auto" w:sz="4" w:space="0"/>
            </w:tcBorders>
            <w:vAlign w:val="center"/>
          </w:tcPr>
          <w:p>
            <w:pPr>
              <w:spacing w:line="500" w:lineRule="exact"/>
              <w:contextualSpacing/>
              <w:rPr>
                <w:rFonts w:ascii="宋体" w:hAnsi="宋体" w:cs="宋体"/>
                <w:spacing w:val="-2"/>
                <w:sz w:val="24"/>
                <w:szCs w:val="24"/>
              </w:rPr>
            </w:pPr>
            <w:r>
              <w:rPr>
                <w:rFonts w:hint="eastAsia" w:ascii="宋体" w:hAnsi="宋体" w:cs="宋体"/>
                <w:spacing w:val="-2"/>
                <w:sz w:val="24"/>
                <w:szCs w:val="24"/>
              </w:rPr>
              <w:t>投标函是否有单位盖章及法定代表人或法定代表人授权的代理人签字或盖章的；</w:t>
            </w:r>
          </w:p>
        </w:tc>
        <w:tc>
          <w:tcPr>
            <w:tcW w:w="616" w:type="dxa"/>
            <w:tcBorders>
              <w:top w:val="single" w:color="auto" w:sz="6" w:space="0"/>
              <w:left w:val="single" w:color="auto" w:sz="4" w:space="0"/>
              <w:bottom w:val="single" w:color="auto" w:sz="6" w:space="0"/>
              <w:right w:val="single" w:color="auto" w:sz="4" w:space="0"/>
            </w:tcBorders>
            <w:vAlign w:val="center"/>
          </w:tcPr>
          <w:p>
            <w:pPr>
              <w:spacing w:line="500" w:lineRule="exact"/>
              <w:ind w:firstLine="424" w:firstLineChars="180"/>
              <w:contextualSpacing/>
              <w:rPr>
                <w:rFonts w:ascii="宋体" w:hAnsi="宋体" w:cs="宋体"/>
                <w:spacing w:val="-2"/>
                <w:sz w:val="24"/>
                <w:szCs w:val="24"/>
              </w:rPr>
            </w:pPr>
          </w:p>
        </w:tc>
        <w:tc>
          <w:tcPr>
            <w:tcW w:w="709" w:type="dxa"/>
            <w:tcBorders>
              <w:top w:val="single" w:color="auto" w:sz="6" w:space="0"/>
              <w:left w:val="single" w:color="auto" w:sz="4" w:space="0"/>
              <w:bottom w:val="single" w:color="auto" w:sz="6" w:space="0"/>
              <w:right w:val="single" w:color="auto" w:sz="6" w:space="0"/>
            </w:tcBorders>
            <w:vAlign w:val="center"/>
          </w:tcPr>
          <w:p>
            <w:pPr>
              <w:spacing w:line="500" w:lineRule="exact"/>
              <w:ind w:firstLine="424" w:firstLineChars="180"/>
              <w:contextualSpacing/>
              <w:rPr>
                <w:rFonts w:ascii="宋体" w:hAnsi="宋体" w:cs="宋体"/>
                <w:spacing w:val="-2"/>
                <w:sz w:val="24"/>
                <w:szCs w:val="24"/>
              </w:rPr>
            </w:pPr>
          </w:p>
        </w:tc>
        <w:tc>
          <w:tcPr>
            <w:tcW w:w="708" w:type="dxa"/>
            <w:tcBorders>
              <w:top w:val="single" w:color="auto" w:sz="6" w:space="0"/>
              <w:left w:val="single" w:color="auto" w:sz="6" w:space="0"/>
              <w:bottom w:val="single" w:color="auto" w:sz="6" w:space="0"/>
              <w:right w:val="single" w:color="auto" w:sz="4" w:space="0"/>
            </w:tcBorders>
          </w:tcPr>
          <w:p>
            <w:pPr>
              <w:spacing w:line="500" w:lineRule="exact"/>
              <w:ind w:firstLine="424" w:firstLineChars="180"/>
              <w:contextualSpacing/>
              <w:rPr>
                <w:rFonts w:ascii="宋体" w:hAnsi="宋体" w:cs="宋体"/>
                <w:spacing w:val="-2"/>
                <w:sz w:val="24"/>
                <w:szCs w:val="24"/>
              </w:rPr>
            </w:pPr>
          </w:p>
        </w:tc>
        <w:tc>
          <w:tcPr>
            <w:tcW w:w="709" w:type="dxa"/>
            <w:tcBorders>
              <w:top w:val="single" w:color="auto" w:sz="6" w:space="0"/>
              <w:left w:val="single" w:color="auto" w:sz="4" w:space="0"/>
              <w:bottom w:val="single" w:color="auto" w:sz="6" w:space="0"/>
              <w:right w:val="single" w:color="auto" w:sz="12" w:space="0"/>
            </w:tcBorders>
          </w:tcPr>
          <w:p>
            <w:pPr>
              <w:spacing w:line="500" w:lineRule="exact"/>
              <w:contextualSpacing/>
              <w:rPr>
                <w:rFonts w:ascii="宋体" w:hAnsi="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9" w:hRule="atLeast"/>
        </w:trPr>
        <w:tc>
          <w:tcPr>
            <w:tcW w:w="668" w:type="dxa"/>
            <w:tcBorders>
              <w:top w:val="single" w:color="auto" w:sz="6" w:space="0"/>
              <w:left w:val="single" w:color="auto" w:sz="12" w:space="0"/>
              <w:bottom w:val="single" w:color="auto" w:sz="6" w:space="0"/>
              <w:right w:val="single" w:color="auto" w:sz="6" w:space="0"/>
            </w:tcBorders>
            <w:vAlign w:val="center"/>
          </w:tcPr>
          <w:p>
            <w:pPr>
              <w:spacing w:line="500" w:lineRule="exact"/>
              <w:contextualSpacing/>
              <w:jc w:val="center"/>
              <w:rPr>
                <w:rFonts w:ascii="宋体" w:hAnsi="宋体" w:cs="宋体"/>
                <w:sz w:val="24"/>
                <w:szCs w:val="24"/>
              </w:rPr>
            </w:pPr>
            <w:r>
              <w:rPr>
                <w:rFonts w:hint="eastAsia" w:ascii="宋体" w:hAnsi="宋体" w:cs="宋体"/>
                <w:sz w:val="24"/>
                <w:szCs w:val="24"/>
              </w:rPr>
              <w:t>3</w:t>
            </w:r>
          </w:p>
        </w:tc>
        <w:tc>
          <w:tcPr>
            <w:tcW w:w="6479" w:type="dxa"/>
            <w:tcBorders>
              <w:top w:val="single" w:color="auto" w:sz="6" w:space="0"/>
              <w:left w:val="single" w:color="auto" w:sz="6" w:space="0"/>
              <w:bottom w:val="single" w:color="auto" w:sz="6" w:space="0"/>
              <w:right w:val="single" w:color="auto" w:sz="4" w:space="0"/>
            </w:tcBorders>
            <w:vAlign w:val="center"/>
          </w:tcPr>
          <w:p>
            <w:pPr>
              <w:spacing w:line="500" w:lineRule="exact"/>
              <w:contextualSpacing/>
              <w:rPr>
                <w:rFonts w:ascii="宋体" w:hAnsi="宋体" w:cs="宋体"/>
                <w:spacing w:val="-2"/>
                <w:sz w:val="24"/>
                <w:szCs w:val="24"/>
              </w:rPr>
            </w:pPr>
            <w:r>
              <w:rPr>
                <w:rFonts w:hint="eastAsia" w:ascii="宋体" w:hAnsi="宋体" w:cs="宋体"/>
                <w:spacing w:val="-2"/>
                <w:sz w:val="24"/>
                <w:szCs w:val="24"/>
              </w:rPr>
              <w:t>是否按规定的格式填写，内容不全或关键字迹模糊、无法辨认的</w:t>
            </w:r>
          </w:p>
        </w:tc>
        <w:tc>
          <w:tcPr>
            <w:tcW w:w="616" w:type="dxa"/>
            <w:tcBorders>
              <w:top w:val="single" w:color="auto" w:sz="6" w:space="0"/>
              <w:left w:val="single" w:color="auto" w:sz="4" w:space="0"/>
              <w:bottom w:val="single" w:color="auto" w:sz="6" w:space="0"/>
              <w:right w:val="single" w:color="auto" w:sz="4" w:space="0"/>
            </w:tcBorders>
            <w:vAlign w:val="center"/>
          </w:tcPr>
          <w:p>
            <w:pPr>
              <w:spacing w:line="500" w:lineRule="exact"/>
              <w:ind w:firstLine="424" w:firstLineChars="180"/>
              <w:contextualSpacing/>
              <w:rPr>
                <w:rFonts w:ascii="宋体" w:hAnsi="宋体" w:cs="宋体"/>
                <w:spacing w:val="-2"/>
                <w:sz w:val="24"/>
                <w:szCs w:val="24"/>
              </w:rPr>
            </w:pPr>
          </w:p>
        </w:tc>
        <w:tc>
          <w:tcPr>
            <w:tcW w:w="709" w:type="dxa"/>
            <w:tcBorders>
              <w:top w:val="single" w:color="auto" w:sz="6" w:space="0"/>
              <w:left w:val="single" w:color="auto" w:sz="4" w:space="0"/>
              <w:bottom w:val="single" w:color="auto" w:sz="6" w:space="0"/>
              <w:right w:val="single" w:color="auto" w:sz="6" w:space="0"/>
            </w:tcBorders>
            <w:vAlign w:val="center"/>
          </w:tcPr>
          <w:p>
            <w:pPr>
              <w:spacing w:line="500" w:lineRule="exact"/>
              <w:ind w:firstLine="424" w:firstLineChars="180"/>
              <w:contextualSpacing/>
              <w:rPr>
                <w:rFonts w:ascii="宋体" w:hAnsi="宋体" w:cs="宋体"/>
                <w:spacing w:val="-2"/>
                <w:sz w:val="24"/>
                <w:szCs w:val="24"/>
              </w:rPr>
            </w:pPr>
          </w:p>
        </w:tc>
        <w:tc>
          <w:tcPr>
            <w:tcW w:w="708" w:type="dxa"/>
            <w:tcBorders>
              <w:top w:val="single" w:color="auto" w:sz="6" w:space="0"/>
              <w:left w:val="single" w:color="auto" w:sz="6" w:space="0"/>
              <w:bottom w:val="single" w:color="auto" w:sz="6" w:space="0"/>
              <w:right w:val="single" w:color="auto" w:sz="4" w:space="0"/>
            </w:tcBorders>
          </w:tcPr>
          <w:p>
            <w:pPr>
              <w:spacing w:line="500" w:lineRule="exact"/>
              <w:ind w:firstLine="424" w:firstLineChars="180"/>
              <w:contextualSpacing/>
              <w:rPr>
                <w:rFonts w:ascii="宋体" w:hAnsi="宋体" w:cs="宋体"/>
                <w:spacing w:val="-2"/>
                <w:sz w:val="24"/>
                <w:szCs w:val="24"/>
              </w:rPr>
            </w:pPr>
          </w:p>
        </w:tc>
        <w:tc>
          <w:tcPr>
            <w:tcW w:w="709" w:type="dxa"/>
            <w:tcBorders>
              <w:top w:val="single" w:color="auto" w:sz="6" w:space="0"/>
              <w:left w:val="single" w:color="auto" w:sz="4" w:space="0"/>
              <w:bottom w:val="single" w:color="auto" w:sz="6" w:space="0"/>
              <w:right w:val="single" w:color="auto" w:sz="12" w:space="0"/>
            </w:tcBorders>
          </w:tcPr>
          <w:p>
            <w:pPr>
              <w:spacing w:line="500" w:lineRule="exact"/>
              <w:contextualSpacing/>
              <w:rPr>
                <w:rFonts w:ascii="宋体" w:hAnsi="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7" w:hRule="atLeast"/>
        </w:trPr>
        <w:tc>
          <w:tcPr>
            <w:tcW w:w="668" w:type="dxa"/>
            <w:tcBorders>
              <w:top w:val="single" w:color="auto" w:sz="6" w:space="0"/>
              <w:left w:val="single" w:color="auto" w:sz="12" w:space="0"/>
              <w:bottom w:val="single" w:color="auto" w:sz="6" w:space="0"/>
              <w:right w:val="single" w:color="auto" w:sz="6" w:space="0"/>
            </w:tcBorders>
            <w:vAlign w:val="center"/>
          </w:tcPr>
          <w:p>
            <w:pPr>
              <w:spacing w:line="500" w:lineRule="exact"/>
              <w:contextualSpacing/>
              <w:jc w:val="center"/>
              <w:rPr>
                <w:rFonts w:ascii="宋体" w:hAnsi="宋体" w:cs="宋体"/>
                <w:sz w:val="24"/>
                <w:szCs w:val="24"/>
              </w:rPr>
            </w:pPr>
            <w:r>
              <w:rPr>
                <w:rFonts w:hint="eastAsia" w:ascii="宋体" w:hAnsi="宋体" w:cs="宋体"/>
                <w:sz w:val="24"/>
                <w:szCs w:val="24"/>
              </w:rPr>
              <w:t>4</w:t>
            </w:r>
          </w:p>
        </w:tc>
        <w:tc>
          <w:tcPr>
            <w:tcW w:w="6479" w:type="dxa"/>
            <w:tcBorders>
              <w:top w:val="single" w:color="auto" w:sz="6" w:space="0"/>
              <w:left w:val="single" w:color="auto" w:sz="6" w:space="0"/>
              <w:bottom w:val="single" w:color="auto" w:sz="6" w:space="0"/>
              <w:right w:val="single" w:color="auto" w:sz="4" w:space="0"/>
            </w:tcBorders>
            <w:vAlign w:val="center"/>
          </w:tcPr>
          <w:p>
            <w:pPr>
              <w:spacing w:line="500" w:lineRule="exact"/>
              <w:contextualSpacing/>
              <w:rPr>
                <w:rFonts w:ascii="宋体" w:hAnsi="宋体" w:cs="宋体"/>
                <w:spacing w:val="-2"/>
                <w:sz w:val="24"/>
                <w:szCs w:val="24"/>
              </w:rPr>
            </w:pPr>
            <w:r>
              <w:rPr>
                <w:rFonts w:hint="eastAsia" w:ascii="宋体" w:hAnsi="宋体" w:cs="宋体"/>
                <w:spacing w:val="-2"/>
                <w:sz w:val="24"/>
                <w:szCs w:val="24"/>
              </w:rPr>
              <w:t>投标人所报工期是否超过招标文件规定期限的；</w:t>
            </w:r>
          </w:p>
        </w:tc>
        <w:tc>
          <w:tcPr>
            <w:tcW w:w="616" w:type="dxa"/>
            <w:tcBorders>
              <w:top w:val="single" w:color="auto" w:sz="6" w:space="0"/>
              <w:left w:val="single" w:color="auto" w:sz="4" w:space="0"/>
              <w:bottom w:val="single" w:color="auto" w:sz="6" w:space="0"/>
              <w:right w:val="single" w:color="auto" w:sz="4" w:space="0"/>
            </w:tcBorders>
            <w:vAlign w:val="center"/>
          </w:tcPr>
          <w:p>
            <w:pPr>
              <w:spacing w:line="500" w:lineRule="exact"/>
              <w:ind w:firstLine="424" w:firstLineChars="180"/>
              <w:contextualSpacing/>
              <w:rPr>
                <w:rFonts w:ascii="宋体" w:hAnsi="宋体" w:cs="宋体"/>
                <w:spacing w:val="-2"/>
                <w:sz w:val="24"/>
                <w:szCs w:val="24"/>
              </w:rPr>
            </w:pPr>
          </w:p>
        </w:tc>
        <w:tc>
          <w:tcPr>
            <w:tcW w:w="709" w:type="dxa"/>
            <w:tcBorders>
              <w:top w:val="single" w:color="auto" w:sz="6" w:space="0"/>
              <w:left w:val="single" w:color="auto" w:sz="4" w:space="0"/>
              <w:bottom w:val="single" w:color="auto" w:sz="6" w:space="0"/>
              <w:right w:val="single" w:color="auto" w:sz="6" w:space="0"/>
            </w:tcBorders>
            <w:vAlign w:val="center"/>
          </w:tcPr>
          <w:p>
            <w:pPr>
              <w:spacing w:line="500" w:lineRule="exact"/>
              <w:ind w:firstLine="424" w:firstLineChars="180"/>
              <w:contextualSpacing/>
              <w:rPr>
                <w:rFonts w:ascii="宋体" w:hAnsi="宋体" w:cs="宋体"/>
                <w:spacing w:val="-2"/>
                <w:sz w:val="24"/>
                <w:szCs w:val="24"/>
              </w:rPr>
            </w:pPr>
          </w:p>
        </w:tc>
        <w:tc>
          <w:tcPr>
            <w:tcW w:w="708" w:type="dxa"/>
            <w:tcBorders>
              <w:top w:val="single" w:color="auto" w:sz="6" w:space="0"/>
              <w:left w:val="single" w:color="auto" w:sz="6" w:space="0"/>
              <w:bottom w:val="single" w:color="auto" w:sz="6" w:space="0"/>
              <w:right w:val="single" w:color="auto" w:sz="4" w:space="0"/>
            </w:tcBorders>
          </w:tcPr>
          <w:p>
            <w:pPr>
              <w:spacing w:line="500" w:lineRule="exact"/>
              <w:ind w:firstLine="424" w:firstLineChars="180"/>
              <w:contextualSpacing/>
              <w:rPr>
                <w:rFonts w:ascii="宋体" w:hAnsi="宋体" w:cs="宋体"/>
                <w:spacing w:val="-2"/>
                <w:sz w:val="24"/>
                <w:szCs w:val="24"/>
              </w:rPr>
            </w:pPr>
          </w:p>
        </w:tc>
        <w:tc>
          <w:tcPr>
            <w:tcW w:w="709" w:type="dxa"/>
            <w:tcBorders>
              <w:top w:val="single" w:color="auto" w:sz="6" w:space="0"/>
              <w:left w:val="single" w:color="auto" w:sz="4" w:space="0"/>
              <w:bottom w:val="single" w:color="auto" w:sz="6" w:space="0"/>
              <w:right w:val="single" w:color="auto" w:sz="12" w:space="0"/>
            </w:tcBorders>
          </w:tcPr>
          <w:p>
            <w:pPr>
              <w:spacing w:line="500" w:lineRule="exact"/>
              <w:contextualSpacing/>
              <w:rPr>
                <w:rFonts w:ascii="宋体" w:hAnsi="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9" w:hRule="atLeast"/>
        </w:trPr>
        <w:tc>
          <w:tcPr>
            <w:tcW w:w="668" w:type="dxa"/>
            <w:tcBorders>
              <w:top w:val="single" w:color="auto" w:sz="6" w:space="0"/>
              <w:left w:val="single" w:color="auto" w:sz="12" w:space="0"/>
              <w:bottom w:val="single" w:color="auto" w:sz="6" w:space="0"/>
              <w:right w:val="single" w:color="auto" w:sz="6" w:space="0"/>
            </w:tcBorders>
            <w:vAlign w:val="center"/>
          </w:tcPr>
          <w:p>
            <w:pPr>
              <w:spacing w:line="500" w:lineRule="exact"/>
              <w:contextualSpacing/>
              <w:jc w:val="center"/>
              <w:rPr>
                <w:rFonts w:ascii="宋体" w:hAnsi="宋体" w:cs="宋体"/>
                <w:sz w:val="24"/>
                <w:szCs w:val="24"/>
              </w:rPr>
            </w:pPr>
            <w:r>
              <w:rPr>
                <w:rFonts w:hint="eastAsia" w:ascii="宋体" w:hAnsi="宋体" w:cs="宋体"/>
                <w:sz w:val="24"/>
                <w:szCs w:val="24"/>
              </w:rPr>
              <w:t>5</w:t>
            </w:r>
          </w:p>
        </w:tc>
        <w:tc>
          <w:tcPr>
            <w:tcW w:w="6479" w:type="dxa"/>
            <w:tcBorders>
              <w:top w:val="single" w:color="auto" w:sz="6" w:space="0"/>
              <w:left w:val="single" w:color="auto" w:sz="6" w:space="0"/>
              <w:bottom w:val="single" w:color="auto" w:sz="6" w:space="0"/>
              <w:right w:val="single" w:color="auto" w:sz="4" w:space="0"/>
            </w:tcBorders>
            <w:vAlign w:val="center"/>
          </w:tcPr>
          <w:p>
            <w:pPr>
              <w:spacing w:line="500" w:lineRule="exact"/>
              <w:contextualSpacing/>
              <w:rPr>
                <w:rFonts w:ascii="宋体" w:hAnsi="宋体" w:eastAsia="宋体" w:cs="宋体"/>
                <w:spacing w:val="-2"/>
                <w:kern w:val="2"/>
                <w:sz w:val="24"/>
                <w:szCs w:val="24"/>
                <w:lang w:val="en-US" w:eastAsia="zh-CN" w:bidi="ar-SA"/>
              </w:rPr>
            </w:pPr>
            <w:r>
              <w:rPr>
                <w:rFonts w:hint="eastAsia" w:ascii="宋体" w:hAnsi="宋体" w:cs="宋体"/>
                <w:sz w:val="24"/>
                <w:szCs w:val="24"/>
              </w:rPr>
              <w:t>投标报价是否超过最高限价（预算金额）；</w:t>
            </w:r>
          </w:p>
        </w:tc>
        <w:tc>
          <w:tcPr>
            <w:tcW w:w="616" w:type="dxa"/>
            <w:tcBorders>
              <w:top w:val="single" w:color="auto" w:sz="6" w:space="0"/>
              <w:left w:val="single" w:color="auto" w:sz="4" w:space="0"/>
              <w:bottom w:val="single" w:color="auto" w:sz="6" w:space="0"/>
              <w:right w:val="single" w:color="auto" w:sz="4" w:space="0"/>
            </w:tcBorders>
            <w:vAlign w:val="center"/>
          </w:tcPr>
          <w:p>
            <w:pPr>
              <w:spacing w:line="500" w:lineRule="exact"/>
              <w:ind w:firstLine="424" w:firstLineChars="180"/>
              <w:contextualSpacing/>
              <w:rPr>
                <w:rFonts w:ascii="宋体" w:hAnsi="宋体" w:cs="宋体"/>
                <w:spacing w:val="-2"/>
                <w:sz w:val="24"/>
                <w:szCs w:val="24"/>
              </w:rPr>
            </w:pPr>
          </w:p>
        </w:tc>
        <w:tc>
          <w:tcPr>
            <w:tcW w:w="709" w:type="dxa"/>
            <w:tcBorders>
              <w:top w:val="single" w:color="auto" w:sz="6" w:space="0"/>
              <w:left w:val="single" w:color="auto" w:sz="4" w:space="0"/>
              <w:bottom w:val="single" w:color="auto" w:sz="6" w:space="0"/>
              <w:right w:val="single" w:color="auto" w:sz="6" w:space="0"/>
            </w:tcBorders>
            <w:vAlign w:val="center"/>
          </w:tcPr>
          <w:p>
            <w:pPr>
              <w:spacing w:line="500" w:lineRule="exact"/>
              <w:ind w:firstLine="424" w:firstLineChars="180"/>
              <w:contextualSpacing/>
              <w:rPr>
                <w:rFonts w:ascii="宋体" w:hAnsi="宋体" w:cs="宋体"/>
                <w:spacing w:val="-2"/>
                <w:sz w:val="24"/>
                <w:szCs w:val="24"/>
              </w:rPr>
            </w:pPr>
          </w:p>
        </w:tc>
        <w:tc>
          <w:tcPr>
            <w:tcW w:w="708" w:type="dxa"/>
            <w:tcBorders>
              <w:top w:val="single" w:color="auto" w:sz="6" w:space="0"/>
              <w:left w:val="single" w:color="auto" w:sz="6" w:space="0"/>
              <w:bottom w:val="single" w:color="auto" w:sz="6" w:space="0"/>
              <w:right w:val="single" w:color="auto" w:sz="4" w:space="0"/>
            </w:tcBorders>
          </w:tcPr>
          <w:p>
            <w:pPr>
              <w:spacing w:line="500" w:lineRule="exact"/>
              <w:ind w:firstLine="424" w:firstLineChars="180"/>
              <w:contextualSpacing/>
              <w:rPr>
                <w:rFonts w:ascii="宋体" w:hAnsi="宋体" w:cs="宋体"/>
                <w:spacing w:val="-2"/>
                <w:sz w:val="24"/>
                <w:szCs w:val="24"/>
              </w:rPr>
            </w:pPr>
          </w:p>
        </w:tc>
        <w:tc>
          <w:tcPr>
            <w:tcW w:w="709" w:type="dxa"/>
            <w:tcBorders>
              <w:top w:val="single" w:color="auto" w:sz="6" w:space="0"/>
              <w:left w:val="single" w:color="auto" w:sz="4" w:space="0"/>
              <w:bottom w:val="single" w:color="auto" w:sz="6" w:space="0"/>
              <w:right w:val="single" w:color="auto" w:sz="12" w:space="0"/>
            </w:tcBorders>
          </w:tcPr>
          <w:p>
            <w:pPr>
              <w:spacing w:line="500" w:lineRule="exact"/>
              <w:contextualSpacing/>
              <w:rPr>
                <w:rFonts w:ascii="宋体" w:hAnsi="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9" w:hRule="atLeast"/>
        </w:trPr>
        <w:tc>
          <w:tcPr>
            <w:tcW w:w="668" w:type="dxa"/>
            <w:tcBorders>
              <w:top w:val="single" w:color="auto" w:sz="6" w:space="0"/>
              <w:left w:val="single" w:color="auto" w:sz="12" w:space="0"/>
              <w:bottom w:val="single" w:color="auto" w:sz="6" w:space="0"/>
              <w:right w:val="single" w:color="auto" w:sz="6" w:space="0"/>
            </w:tcBorders>
            <w:vAlign w:val="center"/>
          </w:tcPr>
          <w:p>
            <w:pPr>
              <w:spacing w:line="500" w:lineRule="exact"/>
              <w:contextualSpacing/>
              <w:jc w:val="center"/>
              <w:rPr>
                <w:rFonts w:ascii="宋体" w:hAnsi="宋体" w:cs="宋体"/>
                <w:sz w:val="24"/>
                <w:szCs w:val="24"/>
              </w:rPr>
            </w:pPr>
            <w:r>
              <w:rPr>
                <w:rFonts w:hint="eastAsia" w:ascii="宋体" w:hAnsi="宋体" w:cs="宋体"/>
                <w:sz w:val="24"/>
                <w:szCs w:val="24"/>
              </w:rPr>
              <w:t>6</w:t>
            </w:r>
          </w:p>
        </w:tc>
        <w:tc>
          <w:tcPr>
            <w:tcW w:w="6479" w:type="dxa"/>
            <w:tcBorders>
              <w:top w:val="single" w:color="auto" w:sz="6" w:space="0"/>
              <w:left w:val="single" w:color="auto" w:sz="6" w:space="0"/>
              <w:bottom w:val="single" w:color="auto" w:sz="6" w:space="0"/>
              <w:right w:val="single" w:color="auto" w:sz="4" w:space="0"/>
            </w:tcBorders>
            <w:vAlign w:val="center"/>
          </w:tcPr>
          <w:p>
            <w:pPr>
              <w:spacing w:line="500" w:lineRule="exact"/>
              <w:contextualSpacing/>
              <w:rPr>
                <w:rFonts w:ascii="宋体" w:hAnsi="宋体" w:eastAsia="宋体" w:cs="宋体"/>
                <w:kern w:val="2"/>
                <w:sz w:val="24"/>
                <w:szCs w:val="24"/>
                <w:lang w:val="en-US" w:eastAsia="zh-CN" w:bidi="ar-SA"/>
              </w:rPr>
            </w:pPr>
            <w:r>
              <w:rPr>
                <w:rFonts w:hint="eastAsia" w:ascii="宋体" w:hAnsi="宋体" w:cs="宋体"/>
                <w:sz w:val="24"/>
                <w:szCs w:val="24"/>
              </w:rPr>
              <w:t>是否只有一个有效报价，未提交选择性报价。</w:t>
            </w:r>
          </w:p>
        </w:tc>
        <w:tc>
          <w:tcPr>
            <w:tcW w:w="616" w:type="dxa"/>
            <w:tcBorders>
              <w:top w:val="single" w:color="auto" w:sz="6" w:space="0"/>
              <w:left w:val="single" w:color="auto" w:sz="4" w:space="0"/>
              <w:bottom w:val="single" w:color="auto" w:sz="6" w:space="0"/>
              <w:right w:val="single" w:color="auto" w:sz="4" w:space="0"/>
            </w:tcBorders>
            <w:vAlign w:val="center"/>
          </w:tcPr>
          <w:p>
            <w:pPr>
              <w:spacing w:line="500" w:lineRule="exact"/>
              <w:ind w:firstLine="424" w:firstLineChars="180"/>
              <w:contextualSpacing/>
              <w:rPr>
                <w:rFonts w:ascii="宋体" w:hAnsi="宋体" w:cs="宋体"/>
                <w:spacing w:val="-2"/>
                <w:sz w:val="24"/>
                <w:szCs w:val="24"/>
              </w:rPr>
            </w:pPr>
          </w:p>
        </w:tc>
        <w:tc>
          <w:tcPr>
            <w:tcW w:w="709" w:type="dxa"/>
            <w:tcBorders>
              <w:top w:val="single" w:color="auto" w:sz="6" w:space="0"/>
              <w:left w:val="single" w:color="auto" w:sz="4" w:space="0"/>
              <w:bottom w:val="single" w:color="auto" w:sz="6" w:space="0"/>
              <w:right w:val="single" w:color="auto" w:sz="6" w:space="0"/>
            </w:tcBorders>
            <w:vAlign w:val="center"/>
          </w:tcPr>
          <w:p>
            <w:pPr>
              <w:spacing w:line="500" w:lineRule="exact"/>
              <w:ind w:firstLine="424" w:firstLineChars="180"/>
              <w:contextualSpacing/>
              <w:rPr>
                <w:rFonts w:ascii="宋体" w:hAnsi="宋体" w:cs="宋体"/>
                <w:spacing w:val="-2"/>
                <w:sz w:val="24"/>
                <w:szCs w:val="24"/>
              </w:rPr>
            </w:pPr>
          </w:p>
        </w:tc>
        <w:tc>
          <w:tcPr>
            <w:tcW w:w="708" w:type="dxa"/>
            <w:tcBorders>
              <w:top w:val="single" w:color="auto" w:sz="6" w:space="0"/>
              <w:left w:val="single" w:color="auto" w:sz="6" w:space="0"/>
              <w:bottom w:val="single" w:color="auto" w:sz="6" w:space="0"/>
              <w:right w:val="single" w:color="auto" w:sz="4" w:space="0"/>
            </w:tcBorders>
          </w:tcPr>
          <w:p>
            <w:pPr>
              <w:spacing w:line="500" w:lineRule="exact"/>
              <w:ind w:firstLine="424" w:firstLineChars="180"/>
              <w:contextualSpacing/>
              <w:rPr>
                <w:rFonts w:ascii="宋体" w:hAnsi="宋体" w:cs="宋体"/>
                <w:spacing w:val="-2"/>
                <w:sz w:val="24"/>
                <w:szCs w:val="24"/>
              </w:rPr>
            </w:pPr>
          </w:p>
        </w:tc>
        <w:tc>
          <w:tcPr>
            <w:tcW w:w="709" w:type="dxa"/>
            <w:tcBorders>
              <w:top w:val="single" w:color="auto" w:sz="6" w:space="0"/>
              <w:left w:val="single" w:color="auto" w:sz="4" w:space="0"/>
              <w:bottom w:val="single" w:color="auto" w:sz="6" w:space="0"/>
              <w:right w:val="single" w:color="auto" w:sz="12" w:space="0"/>
            </w:tcBorders>
          </w:tcPr>
          <w:p>
            <w:pPr>
              <w:spacing w:line="500" w:lineRule="exact"/>
              <w:contextualSpacing/>
              <w:rPr>
                <w:rFonts w:ascii="宋体" w:hAnsi="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9" w:hRule="atLeast"/>
        </w:trPr>
        <w:tc>
          <w:tcPr>
            <w:tcW w:w="668" w:type="dxa"/>
            <w:tcBorders>
              <w:top w:val="single" w:color="auto" w:sz="6" w:space="0"/>
              <w:left w:val="single" w:color="auto" w:sz="12" w:space="0"/>
              <w:bottom w:val="single" w:color="auto" w:sz="6" w:space="0"/>
              <w:right w:val="single" w:color="auto" w:sz="6" w:space="0"/>
            </w:tcBorders>
            <w:vAlign w:val="center"/>
          </w:tcPr>
          <w:p>
            <w:pPr>
              <w:spacing w:line="500" w:lineRule="exact"/>
              <w:contextualSpacing/>
              <w:jc w:val="center"/>
              <w:rPr>
                <w:rFonts w:ascii="宋体" w:hAnsi="宋体" w:cs="宋体"/>
                <w:sz w:val="24"/>
                <w:szCs w:val="24"/>
              </w:rPr>
            </w:pPr>
            <w:r>
              <w:rPr>
                <w:rFonts w:hint="eastAsia" w:ascii="宋体" w:hAnsi="宋体" w:cs="宋体"/>
                <w:sz w:val="24"/>
                <w:szCs w:val="24"/>
              </w:rPr>
              <w:t>7</w:t>
            </w:r>
          </w:p>
        </w:tc>
        <w:tc>
          <w:tcPr>
            <w:tcW w:w="6479" w:type="dxa"/>
            <w:tcBorders>
              <w:top w:val="single" w:color="auto" w:sz="6" w:space="0"/>
              <w:left w:val="single" w:color="auto" w:sz="6" w:space="0"/>
              <w:bottom w:val="single" w:color="auto" w:sz="6" w:space="0"/>
              <w:right w:val="single" w:color="auto" w:sz="4" w:space="0"/>
            </w:tcBorders>
            <w:vAlign w:val="center"/>
          </w:tcPr>
          <w:p>
            <w:pPr>
              <w:spacing w:line="500" w:lineRule="exact"/>
              <w:contextualSpacing/>
              <w:rPr>
                <w:rFonts w:ascii="宋体" w:hAnsi="宋体" w:eastAsia="宋体" w:cs="宋体"/>
                <w:spacing w:val="-2"/>
                <w:kern w:val="2"/>
                <w:sz w:val="24"/>
                <w:szCs w:val="24"/>
                <w:lang w:val="en-US" w:eastAsia="zh-CN" w:bidi="ar-SA"/>
              </w:rPr>
            </w:pPr>
            <w:r>
              <w:rPr>
                <w:rFonts w:hint="eastAsia" w:ascii="宋体" w:hAnsi="宋体" w:cs="宋体"/>
                <w:spacing w:val="-2"/>
                <w:sz w:val="24"/>
                <w:szCs w:val="24"/>
              </w:rPr>
              <w:t>投标文件载明的技术规格、检验标准和方法等是否符合招标文件要求；</w:t>
            </w:r>
          </w:p>
        </w:tc>
        <w:tc>
          <w:tcPr>
            <w:tcW w:w="616" w:type="dxa"/>
            <w:tcBorders>
              <w:top w:val="single" w:color="auto" w:sz="6" w:space="0"/>
              <w:left w:val="single" w:color="auto" w:sz="4" w:space="0"/>
              <w:bottom w:val="single" w:color="auto" w:sz="6" w:space="0"/>
              <w:right w:val="single" w:color="auto" w:sz="4" w:space="0"/>
            </w:tcBorders>
            <w:vAlign w:val="center"/>
          </w:tcPr>
          <w:p>
            <w:pPr>
              <w:spacing w:line="500" w:lineRule="exact"/>
              <w:ind w:firstLine="424" w:firstLineChars="180"/>
              <w:contextualSpacing/>
              <w:rPr>
                <w:rFonts w:ascii="宋体" w:hAnsi="宋体" w:cs="宋体"/>
                <w:spacing w:val="-2"/>
                <w:sz w:val="24"/>
                <w:szCs w:val="24"/>
              </w:rPr>
            </w:pPr>
          </w:p>
        </w:tc>
        <w:tc>
          <w:tcPr>
            <w:tcW w:w="709" w:type="dxa"/>
            <w:tcBorders>
              <w:top w:val="single" w:color="auto" w:sz="6" w:space="0"/>
              <w:left w:val="single" w:color="auto" w:sz="4" w:space="0"/>
              <w:bottom w:val="single" w:color="auto" w:sz="6" w:space="0"/>
              <w:right w:val="single" w:color="auto" w:sz="6" w:space="0"/>
            </w:tcBorders>
            <w:vAlign w:val="center"/>
          </w:tcPr>
          <w:p>
            <w:pPr>
              <w:spacing w:line="500" w:lineRule="exact"/>
              <w:ind w:firstLine="424" w:firstLineChars="180"/>
              <w:contextualSpacing/>
              <w:rPr>
                <w:rFonts w:ascii="宋体" w:hAnsi="宋体" w:cs="宋体"/>
                <w:spacing w:val="-2"/>
                <w:sz w:val="24"/>
                <w:szCs w:val="24"/>
              </w:rPr>
            </w:pPr>
          </w:p>
        </w:tc>
        <w:tc>
          <w:tcPr>
            <w:tcW w:w="708" w:type="dxa"/>
            <w:tcBorders>
              <w:top w:val="single" w:color="auto" w:sz="6" w:space="0"/>
              <w:left w:val="single" w:color="auto" w:sz="6" w:space="0"/>
              <w:bottom w:val="single" w:color="auto" w:sz="6" w:space="0"/>
              <w:right w:val="single" w:color="auto" w:sz="4" w:space="0"/>
            </w:tcBorders>
          </w:tcPr>
          <w:p>
            <w:pPr>
              <w:spacing w:line="500" w:lineRule="exact"/>
              <w:ind w:firstLine="424" w:firstLineChars="180"/>
              <w:contextualSpacing/>
              <w:rPr>
                <w:rFonts w:ascii="宋体" w:hAnsi="宋体" w:cs="宋体"/>
                <w:spacing w:val="-2"/>
                <w:sz w:val="24"/>
                <w:szCs w:val="24"/>
              </w:rPr>
            </w:pPr>
          </w:p>
        </w:tc>
        <w:tc>
          <w:tcPr>
            <w:tcW w:w="709" w:type="dxa"/>
            <w:tcBorders>
              <w:top w:val="single" w:color="auto" w:sz="6" w:space="0"/>
              <w:left w:val="single" w:color="auto" w:sz="4" w:space="0"/>
              <w:bottom w:val="single" w:color="auto" w:sz="6" w:space="0"/>
              <w:right w:val="single" w:color="auto" w:sz="12" w:space="0"/>
            </w:tcBorders>
          </w:tcPr>
          <w:p>
            <w:pPr>
              <w:spacing w:line="500" w:lineRule="exact"/>
              <w:contextualSpacing/>
              <w:rPr>
                <w:rFonts w:ascii="宋体" w:hAnsi="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4" w:hRule="atLeast"/>
        </w:trPr>
        <w:tc>
          <w:tcPr>
            <w:tcW w:w="668" w:type="dxa"/>
            <w:tcBorders>
              <w:top w:val="single" w:color="auto" w:sz="6" w:space="0"/>
              <w:left w:val="single" w:color="auto" w:sz="12" w:space="0"/>
              <w:bottom w:val="single" w:color="auto" w:sz="6" w:space="0"/>
              <w:right w:val="single" w:color="auto" w:sz="6" w:space="0"/>
            </w:tcBorders>
            <w:vAlign w:val="center"/>
          </w:tcPr>
          <w:p>
            <w:pPr>
              <w:spacing w:line="500" w:lineRule="exact"/>
              <w:contextualSpacing/>
              <w:jc w:val="center"/>
              <w:rPr>
                <w:rFonts w:hint="eastAsia" w:ascii="宋体" w:hAnsi="宋体" w:eastAsia="宋体" w:cs="宋体"/>
                <w:sz w:val="24"/>
                <w:szCs w:val="24"/>
                <w:lang w:eastAsia="zh-CN"/>
              </w:rPr>
            </w:pPr>
            <w:r>
              <w:rPr>
                <w:rFonts w:hint="eastAsia" w:ascii="宋体" w:hAnsi="宋体" w:cs="宋体"/>
                <w:sz w:val="24"/>
                <w:szCs w:val="24"/>
                <w:lang w:val="en-US" w:eastAsia="zh-CN"/>
              </w:rPr>
              <w:t>8</w:t>
            </w:r>
          </w:p>
        </w:tc>
        <w:tc>
          <w:tcPr>
            <w:tcW w:w="6479" w:type="dxa"/>
            <w:tcBorders>
              <w:top w:val="single" w:color="auto" w:sz="6" w:space="0"/>
              <w:left w:val="single" w:color="auto" w:sz="6" w:space="0"/>
              <w:bottom w:val="single" w:color="auto" w:sz="6" w:space="0"/>
              <w:right w:val="single" w:color="auto" w:sz="4" w:space="0"/>
            </w:tcBorders>
            <w:vAlign w:val="center"/>
          </w:tcPr>
          <w:p>
            <w:pPr>
              <w:spacing w:line="500" w:lineRule="exact"/>
              <w:contextualSpacing/>
              <w:rPr>
                <w:rFonts w:ascii="宋体" w:hAnsi="宋体" w:cs="宋体"/>
                <w:spacing w:val="-2"/>
                <w:sz w:val="24"/>
                <w:szCs w:val="24"/>
              </w:rPr>
            </w:pPr>
            <w:r>
              <w:rPr>
                <w:rFonts w:hint="eastAsia" w:ascii="宋体" w:hAnsi="宋体" w:cs="宋体"/>
                <w:spacing w:val="-2"/>
                <w:sz w:val="24"/>
                <w:szCs w:val="24"/>
              </w:rPr>
              <w:t>是否提供近</w:t>
            </w:r>
            <w:r>
              <w:rPr>
                <w:rFonts w:hint="eastAsia" w:ascii="宋体" w:hAnsi="宋体" w:cs="宋体"/>
                <w:spacing w:val="-2"/>
                <w:sz w:val="24"/>
                <w:szCs w:val="24"/>
                <w:lang w:val="en-US" w:eastAsia="zh-CN"/>
              </w:rPr>
              <w:t>1</w:t>
            </w:r>
            <w:r>
              <w:rPr>
                <w:rFonts w:hint="eastAsia" w:ascii="宋体" w:hAnsi="宋体" w:cs="宋体"/>
                <w:spacing w:val="-2"/>
                <w:sz w:val="24"/>
                <w:szCs w:val="24"/>
              </w:rPr>
              <w:t>年财务审计报告；</w:t>
            </w:r>
          </w:p>
        </w:tc>
        <w:tc>
          <w:tcPr>
            <w:tcW w:w="616" w:type="dxa"/>
            <w:tcBorders>
              <w:top w:val="single" w:color="auto" w:sz="6" w:space="0"/>
              <w:left w:val="single" w:color="auto" w:sz="4" w:space="0"/>
              <w:bottom w:val="single" w:color="auto" w:sz="6" w:space="0"/>
              <w:right w:val="single" w:color="auto" w:sz="4" w:space="0"/>
            </w:tcBorders>
            <w:vAlign w:val="center"/>
          </w:tcPr>
          <w:p>
            <w:pPr>
              <w:widowControl/>
              <w:shd w:val="clear" w:color="auto" w:fill="FAFAFA"/>
              <w:spacing w:line="500" w:lineRule="exact"/>
              <w:ind w:firstLine="424" w:firstLineChars="180"/>
              <w:contextualSpacing/>
              <w:rPr>
                <w:rFonts w:ascii="宋体" w:hAnsi="宋体" w:cs="宋体"/>
                <w:spacing w:val="-2"/>
                <w:sz w:val="24"/>
                <w:szCs w:val="24"/>
              </w:rPr>
            </w:pPr>
          </w:p>
        </w:tc>
        <w:tc>
          <w:tcPr>
            <w:tcW w:w="709" w:type="dxa"/>
            <w:tcBorders>
              <w:top w:val="single" w:color="auto" w:sz="6" w:space="0"/>
              <w:left w:val="single" w:color="auto" w:sz="4" w:space="0"/>
              <w:bottom w:val="single" w:color="auto" w:sz="6" w:space="0"/>
              <w:right w:val="single" w:color="auto" w:sz="6" w:space="0"/>
            </w:tcBorders>
            <w:vAlign w:val="center"/>
          </w:tcPr>
          <w:p>
            <w:pPr>
              <w:spacing w:line="500" w:lineRule="exact"/>
              <w:ind w:firstLine="424" w:firstLineChars="180"/>
              <w:contextualSpacing/>
              <w:rPr>
                <w:rFonts w:ascii="宋体" w:hAnsi="宋体" w:cs="宋体"/>
                <w:spacing w:val="-2"/>
                <w:sz w:val="24"/>
                <w:szCs w:val="24"/>
              </w:rPr>
            </w:pPr>
          </w:p>
        </w:tc>
        <w:tc>
          <w:tcPr>
            <w:tcW w:w="708" w:type="dxa"/>
            <w:tcBorders>
              <w:top w:val="single" w:color="auto" w:sz="6" w:space="0"/>
              <w:left w:val="single" w:color="auto" w:sz="6" w:space="0"/>
              <w:bottom w:val="single" w:color="auto" w:sz="6" w:space="0"/>
              <w:right w:val="single" w:color="auto" w:sz="4" w:space="0"/>
            </w:tcBorders>
          </w:tcPr>
          <w:p>
            <w:pPr>
              <w:spacing w:line="500" w:lineRule="exact"/>
              <w:ind w:firstLine="424" w:firstLineChars="180"/>
              <w:contextualSpacing/>
              <w:rPr>
                <w:rFonts w:ascii="宋体" w:hAnsi="宋体" w:cs="宋体"/>
                <w:spacing w:val="-2"/>
                <w:sz w:val="24"/>
                <w:szCs w:val="24"/>
              </w:rPr>
            </w:pPr>
          </w:p>
        </w:tc>
        <w:tc>
          <w:tcPr>
            <w:tcW w:w="709" w:type="dxa"/>
            <w:tcBorders>
              <w:top w:val="single" w:color="auto" w:sz="6" w:space="0"/>
              <w:left w:val="single" w:color="auto" w:sz="4" w:space="0"/>
              <w:bottom w:val="single" w:color="auto" w:sz="6" w:space="0"/>
              <w:right w:val="single" w:color="auto" w:sz="12" w:space="0"/>
            </w:tcBorders>
          </w:tcPr>
          <w:p>
            <w:pPr>
              <w:spacing w:line="500" w:lineRule="exact"/>
              <w:contextualSpacing/>
              <w:rPr>
                <w:rFonts w:ascii="宋体" w:hAnsi="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9" w:hRule="atLeast"/>
        </w:trPr>
        <w:tc>
          <w:tcPr>
            <w:tcW w:w="668" w:type="dxa"/>
            <w:tcBorders>
              <w:top w:val="single" w:color="auto" w:sz="6" w:space="0"/>
              <w:left w:val="single" w:color="auto" w:sz="12" w:space="0"/>
              <w:bottom w:val="single" w:color="auto" w:sz="6" w:space="0"/>
              <w:right w:val="single" w:color="auto" w:sz="6" w:space="0"/>
            </w:tcBorders>
            <w:vAlign w:val="center"/>
          </w:tcPr>
          <w:p>
            <w:pPr>
              <w:spacing w:line="500" w:lineRule="exact"/>
              <w:contextualSpacing/>
              <w:jc w:val="center"/>
              <w:rPr>
                <w:rFonts w:hint="eastAsia" w:ascii="宋体" w:hAnsi="宋体" w:eastAsia="宋体" w:cs="宋体"/>
                <w:sz w:val="24"/>
                <w:szCs w:val="24"/>
                <w:lang w:eastAsia="zh-CN"/>
              </w:rPr>
            </w:pPr>
            <w:r>
              <w:rPr>
                <w:rFonts w:hint="eastAsia" w:ascii="宋体" w:hAnsi="宋体" w:cs="宋体"/>
                <w:sz w:val="24"/>
                <w:szCs w:val="24"/>
                <w:lang w:val="en-US" w:eastAsia="zh-CN"/>
              </w:rPr>
              <w:t>9</w:t>
            </w:r>
          </w:p>
        </w:tc>
        <w:tc>
          <w:tcPr>
            <w:tcW w:w="6479" w:type="dxa"/>
            <w:tcBorders>
              <w:top w:val="single" w:color="auto" w:sz="6" w:space="0"/>
              <w:left w:val="single" w:color="auto" w:sz="6" w:space="0"/>
              <w:bottom w:val="single" w:color="auto" w:sz="6" w:space="0"/>
              <w:right w:val="single" w:color="auto" w:sz="4" w:space="0"/>
            </w:tcBorders>
            <w:vAlign w:val="center"/>
          </w:tcPr>
          <w:p>
            <w:pPr>
              <w:spacing w:line="500" w:lineRule="exact"/>
              <w:contextualSpacing/>
              <w:rPr>
                <w:rFonts w:ascii="宋体" w:hAnsi="宋体" w:cs="宋体"/>
                <w:spacing w:val="-2"/>
                <w:sz w:val="24"/>
                <w:szCs w:val="24"/>
              </w:rPr>
            </w:pPr>
            <w:r>
              <w:rPr>
                <w:rFonts w:hint="eastAsia" w:ascii="宋体" w:hAnsi="宋体" w:cs="宋体"/>
                <w:spacing w:val="-2"/>
                <w:sz w:val="24"/>
                <w:szCs w:val="24"/>
              </w:rPr>
              <w:t>投标文件是否附有招标人不能接受的条件；</w:t>
            </w:r>
          </w:p>
        </w:tc>
        <w:tc>
          <w:tcPr>
            <w:tcW w:w="616" w:type="dxa"/>
            <w:tcBorders>
              <w:top w:val="single" w:color="auto" w:sz="6" w:space="0"/>
              <w:left w:val="single" w:color="auto" w:sz="4" w:space="0"/>
              <w:bottom w:val="single" w:color="auto" w:sz="6" w:space="0"/>
              <w:right w:val="single" w:color="auto" w:sz="4" w:space="0"/>
            </w:tcBorders>
            <w:vAlign w:val="center"/>
          </w:tcPr>
          <w:p>
            <w:pPr>
              <w:spacing w:line="500" w:lineRule="exact"/>
              <w:ind w:firstLine="424" w:firstLineChars="180"/>
              <w:contextualSpacing/>
              <w:rPr>
                <w:rFonts w:ascii="宋体" w:hAnsi="宋体" w:cs="宋体"/>
                <w:spacing w:val="-2"/>
                <w:sz w:val="24"/>
                <w:szCs w:val="24"/>
              </w:rPr>
            </w:pPr>
          </w:p>
        </w:tc>
        <w:tc>
          <w:tcPr>
            <w:tcW w:w="709" w:type="dxa"/>
            <w:tcBorders>
              <w:top w:val="single" w:color="auto" w:sz="6" w:space="0"/>
              <w:left w:val="single" w:color="auto" w:sz="4" w:space="0"/>
              <w:bottom w:val="single" w:color="auto" w:sz="6" w:space="0"/>
              <w:right w:val="single" w:color="auto" w:sz="6" w:space="0"/>
            </w:tcBorders>
            <w:vAlign w:val="center"/>
          </w:tcPr>
          <w:p>
            <w:pPr>
              <w:widowControl/>
              <w:shd w:val="clear" w:color="auto" w:fill="FAFAFA"/>
              <w:spacing w:line="500" w:lineRule="exact"/>
              <w:ind w:firstLine="424" w:firstLineChars="180"/>
              <w:contextualSpacing/>
              <w:rPr>
                <w:rFonts w:ascii="宋体" w:hAnsi="宋体" w:cs="宋体"/>
                <w:spacing w:val="-2"/>
                <w:sz w:val="24"/>
                <w:szCs w:val="24"/>
              </w:rPr>
            </w:pPr>
          </w:p>
        </w:tc>
        <w:tc>
          <w:tcPr>
            <w:tcW w:w="708" w:type="dxa"/>
            <w:tcBorders>
              <w:top w:val="single" w:color="auto" w:sz="6" w:space="0"/>
              <w:left w:val="single" w:color="auto" w:sz="6" w:space="0"/>
              <w:bottom w:val="single" w:color="auto" w:sz="6" w:space="0"/>
              <w:right w:val="single" w:color="auto" w:sz="4" w:space="0"/>
            </w:tcBorders>
          </w:tcPr>
          <w:p>
            <w:pPr>
              <w:spacing w:line="500" w:lineRule="exact"/>
              <w:ind w:firstLine="424" w:firstLineChars="180"/>
              <w:contextualSpacing/>
              <w:rPr>
                <w:rFonts w:ascii="宋体" w:hAnsi="宋体" w:cs="宋体"/>
                <w:spacing w:val="-2"/>
                <w:sz w:val="24"/>
                <w:szCs w:val="24"/>
              </w:rPr>
            </w:pPr>
          </w:p>
        </w:tc>
        <w:tc>
          <w:tcPr>
            <w:tcW w:w="709" w:type="dxa"/>
            <w:tcBorders>
              <w:top w:val="single" w:color="auto" w:sz="6" w:space="0"/>
              <w:left w:val="single" w:color="auto" w:sz="4" w:space="0"/>
              <w:bottom w:val="single" w:color="auto" w:sz="6" w:space="0"/>
              <w:right w:val="single" w:color="auto" w:sz="12" w:space="0"/>
            </w:tcBorders>
          </w:tcPr>
          <w:p>
            <w:pPr>
              <w:spacing w:line="500" w:lineRule="exact"/>
              <w:contextualSpacing/>
              <w:rPr>
                <w:rFonts w:ascii="宋体" w:hAnsi="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9" w:hRule="atLeast"/>
        </w:trPr>
        <w:tc>
          <w:tcPr>
            <w:tcW w:w="668" w:type="dxa"/>
            <w:tcBorders>
              <w:top w:val="single" w:color="auto" w:sz="6" w:space="0"/>
              <w:left w:val="single" w:color="auto" w:sz="12" w:space="0"/>
              <w:bottom w:val="single" w:color="auto" w:sz="6" w:space="0"/>
              <w:right w:val="single" w:color="auto" w:sz="6" w:space="0"/>
            </w:tcBorders>
            <w:vAlign w:val="center"/>
          </w:tcPr>
          <w:p>
            <w:pPr>
              <w:spacing w:line="500" w:lineRule="exact"/>
              <w:contextualSpacing/>
              <w:jc w:val="center"/>
              <w:rPr>
                <w:rFonts w:hint="eastAsia" w:ascii="宋体" w:hAnsi="宋体" w:eastAsia="宋体" w:cs="宋体"/>
                <w:sz w:val="24"/>
                <w:szCs w:val="24"/>
                <w:lang w:eastAsia="zh-CN"/>
              </w:rPr>
            </w:pPr>
            <w:r>
              <w:rPr>
                <w:rFonts w:hint="eastAsia" w:ascii="宋体" w:hAnsi="宋体" w:cs="宋体"/>
                <w:sz w:val="24"/>
                <w:szCs w:val="24"/>
              </w:rPr>
              <w:t>1</w:t>
            </w:r>
            <w:r>
              <w:rPr>
                <w:rFonts w:hint="eastAsia" w:ascii="宋体" w:hAnsi="宋体" w:cs="宋体"/>
                <w:sz w:val="24"/>
                <w:szCs w:val="24"/>
                <w:lang w:val="en-US" w:eastAsia="zh-CN"/>
              </w:rPr>
              <w:t>0</w:t>
            </w:r>
          </w:p>
        </w:tc>
        <w:tc>
          <w:tcPr>
            <w:tcW w:w="6479" w:type="dxa"/>
            <w:tcBorders>
              <w:top w:val="single" w:color="auto" w:sz="6" w:space="0"/>
              <w:left w:val="single" w:color="auto" w:sz="6" w:space="0"/>
              <w:bottom w:val="single" w:color="auto" w:sz="6" w:space="0"/>
              <w:right w:val="single" w:color="auto" w:sz="4" w:space="0"/>
            </w:tcBorders>
            <w:vAlign w:val="center"/>
          </w:tcPr>
          <w:p>
            <w:pPr>
              <w:spacing w:line="500" w:lineRule="exact"/>
              <w:contextualSpacing/>
              <w:rPr>
                <w:rFonts w:ascii="宋体" w:hAnsi="宋体" w:cs="宋体"/>
                <w:spacing w:val="-2"/>
                <w:sz w:val="24"/>
                <w:szCs w:val="24"/>
              </w:rPr>
            </w:pPr>
            <w:r>
              <w:rPr>
                <w:rFonts w:hint="eastAsia" w:ascii="宋体" w:hAnsi="宋体" w:cs="宋体"/>
                <w:spacing w:val="-2"/>
                <w:sz w:val="24"/>
                <w:szCs w:val="24"/>
              </w:rPr>
              <w:t>是否有不符合招标文件中规定的其他实质性要求；</w:t>
            </w:r>
          </w:p>
        </w:tc>
        <w:tc>
          <w:tcPr>
            <w:tcW w:w="616" w:type="dxa"/>
            <w:tcBorders>
              <w:top w:val="single" w:color="auto" w:sz="6" w:space="0"/>
              <w:left w:val="single" w:color="auto" w:sz="4" w:space="0"/>
              <w:bottom w:val="single" w:color="auto" w:sz="6" w:space="0"/>
              <w:right w:val="single" w:color="auto" w:sz="4" w:space="0"/>
            </w:tcBorders>
            <w:vAlign w:val="center"/>
          </w:tcPr>
          <w:p>
            <w:pPr>
              <w:spacing w:line="500" w:lineRule="exact"/>
              <w:ind w:firstLine="424" w:firstLineChars="180"/>
              <w:contextualSpacing/>
              <w:rPr>
                <w:rFonts w:ascii="宋体" w:hAnsi="宋体" w:cs="宋体"/>
                <w:spacing w:val="-2"/>
                <w:sz w:val="24"/>
                <w:szCs w:val="24"/>
              </w:rPr>
            </w:pPr>
          </w:p>
        </w:tc>
        <w:tc>
          <w:tcPr>
            <w:tcW w:w="709" w:type="dxa"/>
            <w:tcBorders>
              <w:top w:val="single" w:color="auto" w:sz="6" w:space="0"/>
              <w:left w:val="single" w:color="auto" w:sz="4" w:space="0"/>
              <w:bottom w:val="single" w:color="auto" w:sz="6" w:space="0"/>
              <w:right w:val="single" w:color="auto" w:sz="6" w:space="0"/>
            </w:tcBorders>
            <w:vAlign w:val="center"/>
          </w:tcPr>
          <w:p>
            <w:pPr>
              <w:spacing w:line="500" w:lineRule="exact"/>
              <w:ind w:firstLine="424" w:firstLineChars="180"/>
              <w:contextualSpacing/>
              <w:rPr>
                <w:rFonts w:ascii="宋体" w:hAnsi="宋体" w:cs="宋体"/>
                <w:spacing w:val="-2"/>
                <w:sz w:val="24"/>
                <w:szCs w:val="24"/>
              </w:rPr>
            </w:pPr>
          </w:p>
        </w:tc>
        <w:tc>
          <w:tcPr>
            <w:tcW w:w="708" w:type="dxa"/>
            <w:tcBorders>
              <w:top w:val="single" w:color="auto" w:sz="6" w:space="0"/>
              <w:left w:val="single" w:color="auto" w:sz="6" w:space="0"/>
              <w:bottom w:val="single" w:color="auto" w:sz="6" w:space="0"/>
              <w:right w:val="single" w:color="auto" w:sz="4" w:space="0"/>
            </w:tcBorders>
          </w:tcPr>
          <w:p>
            <w:pPr>
              <w:spacing w:line="500" w:lineRule="exact"/>
              <w:ind w:firstLine="424" w:firstLineChars="180"/>
              <w:contextualSpacing/>
              <w:rPr>
                <w:rFonts w:ascii="宋体" w:hAnsi="宋体" w:cs="宋体"/>
                <w:spacing w:val="-2"/>
                <w:sz w:val="24"/>
                <w:szCs w:val="24"/>
              </w:rPr>
            </w:pPr>
          </w:p>
        </w:tc>
        <w:tc>
          <w:tcPr>
            <w:tcW w:w="709" w:type="dxa"/>
            <w:tcBorders>
              <w:top w:val="single" w:color="auto" w:sz="6" w:space="0"/>
              <w:left w:val="single" w:color="auto" w:sz="4" w:space="0"/>
              <w:bottom w:val="single" w:color="auto" w:sz="6" w:space="0"/>
              <w:right w:val="single" w:color="auto" w:sz="12" w:space="0"/>
            </w:tcBorders>
          </w:tcPr>
          <w:p>
            <w:pPr>
              <w:spacing w:line="500" w:lineRule="exact"/>
              <w:contextualSpacing/>
              <w:rPr>
                <w:rFonts w:ascii="宋体" w:hAnsi="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9" w:hRule="atLeast"/>
        </w:trPr>
        <w:tc>
          <w:tcPr>
            <w:tcW w:w="668" w:type="dxa"/>
            <w:tcBorders>
              <w:top w:val="single" w:color="auto" w:sz="6" w:space="0"/>
              <w:left w:val="single" w:color="auto" w:sz="12" w:space="0"/>
              <w:bottom w:val="single" w:color="auto" w:sz="6" w:space="0"/>
              <w:right w:val="single" w:color="auto" w:sz="6" w:space="0"/>
            </w:tcBorders>
            <w:vAlign w:val="center"/>
          </w:tcPr>
          <w:p>
            <w:pPr>
              <w:spacing w:line="500" w:lineRule="exact"/>
              <w:contextualSpacing/>
              <w:jc w:val="center"/>
              <w:rPr>
                <w:rFonts w:hint="eastAsia" w:ascii="宋体" w:hAnsi="宋体" w:eastAsia="宋体" w:cs="宋体"/>
                <w:sz w:val="24"/>
                <w:szCs w:val="24"/>
                <w:lang w:eastAsia="zh-CN"/>
              </w:rPr>
            </w:pPr>
            <w:r>
              <w:rPr>
                <w:rFonts w:hint="eastAsia" w:ascii="宋体" w:hAnsi="宋体" w:cs="宋体"/>
                <w:sz w:val="24"/>
                <w:szCs w:val="24"/>
              </w:rPr>
              <w:t>1</w:t>
            </w:r>
            <w:r>
              <w:rPr>
                <w:rFonts w:hint="eastAsia" w:ascii="宋体" w:hAnsi="宋体" w:cs="宋体"/>
                <w:sz w:val="24"/>
                <w:szCs w:val="24"/>
                <w:lang w:val="en-US" w:eastAsia="zh-CN"/>
              </w:rPr>
              <w:t>1</w:t>
            </w:r>
          </w:p>
        </w:tc>
        <w:tc>
          <w:tcPr>
            <w:tcW w:w="6479" w:type="dxa"/>
            <w:tcBorders>
              <w:top w:val="single" w:color="auto" w:sz="6" w:space="0"/>
              <w:left w:val="single" w:color="auto" w:sz="6" w:space="0"/>
              <w:bottom w:val="single" w:color="auto" w:sz="6" w:space="0"/>
              <w:right w:val="single" w:color="auto" w:sz="4" w:space="0"/>
            </w:tcBorders>
            <w:vAlign w:val="center"/>
          </w:tcPr>
          <w:p>
            <w:pPr>
              <w:spacing w:line="500" w:lineRule="exact"/>
              <w:contextualSpacing/>
              <w:rPr>
                <w:rFonts w:ascii="宋体" w:hAnsi="宋体" w:cs="宋体"/>
                <w:spacing w:val="-2"/>
                <w:sz w:val="24"/>
                <w:szCs w:val="24"/>
              </w:rPr>
            </w:pPr>
            <w:r>
              <w:rPr>
                <w:rFonts w:hint="eastAsia" w:ascii="宋体" w:hAnsi="宋体" w:cs="宋体"/>
                <w:spacing w:val="-2"/>
                <w:sz w:val="24"/>
                <w:szCs w:val="24"/>
              </w:rPr>
              <w:t>投标人是否有违法招标投标纪律的。</w:t>
            </w:r>
          </w:p>
        </w:tc>
        <w:tc>
          <w:tcPr>
            <w:tcW w:w="616" w:type="dxa"/>
            <w:tcBorders>
              <w:top w:val="single" w:color="auto" w:sz="6" w:space="0"/>
              <w:left w:val="single" w:color="auto" w:sz="4" w:space="0"/>
              <w:bottom w:val="single" w:color="auto" w:sz="6" w:space="0"/>
              <w:right w:val="single" w:color="auto" w:sz="4" w:space="0"/>
            </w:tcBorders>
            <w:vAlign w:val="center"/>
          </w:tcPr>
          <w:p>
            <w:pPr>
              <w:spacing w:line="500" w:lineRule="exact"/>
              <w:ind w:firstLine="424" w:firstLineChars="180"/>
              <w:contextualSpacing/>
              <w:rPr>
                <w:rFonts w:ascii="宋体" w:hAnsi="宋体" w:cs="宋体"/>
                <w:spacing w:val="-2"/>
                <w:sz w:val="24"/>
                <w:szCs w:val="24"/>
              </w:rPr>
            </w:pPr>
          </w:p>
        </w:tc>
        <w:tc>
          <w:tcPr>
            <w:tcW w:w="709" w:type="dxa"/>
            <w:tcBorders>
              <w:top w:val="single" w:color="auto" w:sz="6" w:space="0"/>
              <w:left w:val="single" w:color="auto" w:sz="4" w:space="0"/>
              <w:bottom w:val="single" w:color="auto" w:sz="6" w:space="0"/>
              <w:right w:val="single" w:color="auto" w:sz="6" w:space="0"/>
            </w:tcBorders>
            <w:vAlign w:val="center"/>
          </w:tcPr>
          <w:p>
            <w:pPr>
              <w:spacing w:line="500" w:lineRule="exact"/>
              <w:ind w:firstLine="424" w:firstLineChars="180"/>
              <w:contextualSpacing/>
              <w:rPr>
                <w:rFonts w:ascii="宋体" w:hAnsi="宋体" w:cs="宋体"/>
                <w:spacing w:val="-2"/>
                <w:sz w:val="24"/>
                <w:szCs w:val="24"/>
              </w:rPr>
            </w:pPr>
          </w:p>
        </w:tc>
        <w:tc>
          <w:tcPr>
            <w:tcW w:w="708" w:type="dxa"/>
            <w:tcBorders>
              <w:top w:val="single" w:color="auto" w:sz="6" w:space="0"/>
              <w:left w:val="single" w:color="auto" w:sz="6" w:space="0"/>
              <w:bottom w:val="single" w:color="auto" w:sz="6" w:space="0"/>
              <w:right w:val="single" w:color="auto" w:sz="4" w:space="0"/>
            </w:tcBorders>
          </w:tcPr>
          <w:p>
            <w:pPr>
              <w:spacing w:line="500" w:lineRule="exact"/>
              <w:ind w:firstLine="424" w:firstLineChars="180"/>
              <w:contextualSpacing/>
              <w:rPr>
                <w:rFonts w:ascii="宋体" w:hAnsi="宋体" w:cs="宋体"/>
                <w:spacing w:val="-2"/>
                <w:sz w:val="24"/>
                <w:szCs w:val="24"/>
              </w:rPr>
            </w:pPr>
          </w:p>
        </w:tc>
        <w:tc>
          <w:tcPr>
            <w:tcW w:w="709" w:type="dxa"/>
            <w:tcBorders>
              <w:top w:val="single" w:color="auto" w:sz="6" w:space="0"/>
              <w:left w:val="single" w:color="auto" w:sz="4" w:space="0"/>
              <w:bottom w:val="single" w:color="auto" w:sz="6" w:space="0"/>
              <w:right w:val="single" w:color="auto" w:sz="12" w:space="0"/>
            </w:tcBorders>
          </w:tcPr>
          <w:p>
            <w:pPr>
              <w:spacing w:line="500" w:lineRule="exact"/>
              <w:contextualSpacing/>
              <w:rPr>
                <w:rFonts w:ascii="宋体" w:hAnsi="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trPr>
        <w:tc>
          <w:tcPr>
            <w:tcW w:w="7147" w:type="dxa"/>
            <w:gridSpan w:val="2"/>
            <w:tcBorders>
              <w:top w:val="single" w:color="auto" w:sz="6" w:space="0"/>
              <w:left w:val="single" w:color="auto" w:sz="12" w:space="0"/>
              <w:bottom w:val="single" w:color="auto" w:sz="12" w:space="0"/>
              <w:right w:val="single" w:color="auto" w:sz="4" w:space="0"/>
            </w:tcBorders>
          </w:tcPr>
          <w:p>
            <w:pPr>
              <w:spacing w:line="500" w:lineRule="exact"/>
              <w:ind w:firstLine="424" w:firstLineChars="180"/>
              <w:contextualSpacing/>
              <w:rPr>
                <w:rFonts w:ascii="宋体" w:hAnsi="宋体" w:cs="宋体"/>
                <w:spacing w:val="-2"/>
                <w:sz w:val="24"/>
                <w:szCs w:val="24"/>
              </w:rPr>
            </w:pPr>
            <w:r>
              <w:rPr>
                <w:rFonts w:hint="eastAsia" w:ascii="宋体" w:hAnsi="宋体" w:cs="宋体"/>
                <w:spacing w:val="-2"/>
                <w:sz w:val="24"/>
                <w:szCs w:val="24"/>
              </w:rPr>
              <w:t>结论：通过评审打√     未通过评审打×</w:t>
            </w:r>
          </w:p>
        </w:tc>
        <w:tc>
          <w:tcPr>
            <w:tcW w:w="616" w:type="dxa"/>
            <w:tcBorders>
              <w:top w:val="single" w:color="auto" w:sz="6" w:space="0"/>
              <w:left w:val="single" w:color="auto" w:sz="4" w:space="0"/>
              <w:bottom w:val="single" w:color="auto" w:sz="12" w:space="0"/>
              <w:right w:val="single" w:color="auto" w:sz="4" w:space="0"/>
            </w:tcBorders>
          </w:tcPr>
          <w:p>
            <w:pPr>
              <w:spacing w:line="500" w:lineRule="exact"/>
              <w:ind w:firstLine="424" w:firstLineChars="180"/>
              <w:contextualSpacing/>
              <w:rPr>
                <w:rFonts w:ascii="宋体" w:hAnsi="宋体" w:cs="宋体"/>
                <w:spacing w:val="-2"/>
                <w:sz w:val="24"/>
                <w:szCs w:val="24"/>
              </w:rPr>
            </w:pPr>
          </w:p>
        </w:tc>
        <w:tc>
          <w:tcPr>
            <w:tcW w:w="709" w:type="dxa"/>
            <w:tcBorders>
              <w:top w:val="single" w:color="auto" w:sz="6" w:space="0"/>
              <w:left w:val="single" w:color="auto" w:sz="4" w:space="0"/>
              <w:bottom w:val="single" w:color="auto" w:sz="12" w:space="0"/>
              <w:right w:val="single" w:color="auto" w:sz="6" w:space="0"/>
            </w:tcBorders>
          </w:tcPr>
          <w:p>
            <w:pPr>
              <w:spacing w:line="500" w:lineRule="exact"/>
              <w:ind w:firstLine="424" w:firstLineChars="180"/>
              <w:contextualSpacing/>
              <w:rPr>
                <w:rFonts w:ascii="宋体" w:hAnsi="宋体" w:cs="宋体"/>
                <w:spacing w:val="-2"/>
                <w:sz w:val="24"/>
                <w:szCs w:val="24"/>
              </w:rPr>
            </w:pPr>
          </w:p>
        </w:tc>
        <w:tc>
          <w:tcPr>
            <w:tcW w:w="708" w:type="dxa"/>
            <w:tcBorders>
              <w:top w:val="single" w:color="auto" w:sz="6" w:space="0"/>
              <w:left w:val="single" w:color="auto" w:sz="6" w:space="0"/>
              <w:bottom w:val="single" w:color="auto" w:sz="12" w:space="0"/>
              <w:right w:val="single" w:color="auto" w:sz="6" w:space="0"/>
            </w:tcBorders>
          </w:tcPr>
          <w:p>
            <w:pPr>
              <w:spacing w:line="500" w:lineRule="exact"/>
              <w:ind w:firstLine="424" w:firstLineChars="180"/>
              <w:contextualSpacing/>
              <w:rPr>
                <w:rFonts w:ascii="宋体" w:hAnsi="宋体" w:cs="宋体"/>
                <w:spacing w:val="-2"/>
                <w:sz w:val="24"/>
                <w:szCs w:val="24"/>
              </w:rPr>
            </w:pPr>
          </w:p>
        </w:tc>
        <w:tc>
          <w:tcPr>
            <w:tcW w:w="709" w:type="dxa"/>
            <w:tcBorders>
              <w:top w:val="single" w:color="auto" w:sz="6" w:space="0"/>
              <w:left w:val="single" w:color="auto" w:sz="6" w:space="0"/>
              <w:bottom w:val="single" w:color="auto" w:sz="12" w:space="0"/>
              <w:right w:val="single" w:color="auto" w:sz="12" w:space="0"/>
            </w:tcBorders>
          </w:tcPr>
          <w:p>
            <w:pPr>
              <w:spacing w:line="500" w:lineRule="exact"/>
              <w:contextualSpacing/>
              <w:rPr>
                <w:rFonts w:ascii="宋体" w:hAnsi="宋体" w:cs="宋体"/>
                <w:sz w:val="24"/>
                <w:szCs w:val="24"/>
              </w:rPr>
            </w:pPr>
          </w:p>
        </w:tc>
      </w:tr>
    </w:tbl>
    <w:p>
      <w:pPr>
        <w:spacing w:line="500" w:lineRule="exact"/>
        <w:ind w:firstLine="480" w:firstLineChars="200"/>
        <w:contextualSpacing/>
        <w:rPr>
          <w:rFonts w:ascii="宋体" w:hAnsi="宋体" w:cs="宋体"/>
          <w:color w:val="FF0000"/>
          <w:sz w:val="24"/>
          <w:szCs w:val="24"/>
        </w:rPr>
      </w:pPr>
      <w:r>
        <w:rPr>
          <w:rFonts w:hint="eastAsia" w:ascii="宋体" w:hAnsi="宋体" w:cs="宋体"/>
          <w:sz w:val="24"/>
          <w:szCs w:val="24"/>
        </w:rPr>
        <w:t>2.1响应性文件响应程度初步审查通过的投标企业，进入下一步详细评审阶段，未通过响应性文件响应程度初步审查的企业，其投标作为无效标，不进入后期评审阶段。</w:t>
      </w:r>
    </w:p>
    <w:p>
      <w:pPr>
        <w:spacing w:line="500" w:lineRule="exact"/>
        <w:contextualSpacing/>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6. 详细评审</w:t>
      </w:r>
    </w:p>
    <w:p>
      <w:pPr>
        <w:spacing w:line="500" w:lineRule="exact"/>
        <w:ind w:firstLine="472" w:firstLineChars="200"/>
        <w:contextualSpacing/>
        <w:rPr>
          <w:rFonts w:ascii="宋体" w:hAnsi="宋体" w:cs="宋体"/>
          <w:color w:val="000000" w:themeColor="text1"/>
          <w:spacing w:val="-2"/>
          <w:sz w:val="24"/>
          <w:szCs w:val="24"/>
          <w14:textFill>
            <w14:solidFill>
              <w14:schemeClr w14:val="tx1"/>
            </w14:solidFill>
          </w14:textFill>
        </w:rPr>
      </w:pPr>
      <w:r>
        <w:rPr>
          <w:rFonts w:hint="eastAsia" w:ascii="宋体" w:hAnsi="宋体" w:cs="宋体"/>
          <w:color w:val="000000" w:themeColor="text1"/>
          <w:spacing w:val="-2"/>
          <w:sz w:val="24"/>
          <w:szCs w:val="24"/>
          <w14:textFill>
            <w14:solidFill>
              <w14:schemeClr w14:val="tx1"/>
            </w14:solidFill>
          </w14:textFill>
        </w:rPr>
        <w:t>6.1  经初步评审合格的投标文件，评标委员会应当根据招标文件确定的评标标准和方法，对其技术和商务部分作进一步的评审和比较。</w:t>
      </w:r>
    </w:p>
    <w:p>
      <w:pPr>
        <w:spacing w:line="500" w:lineRule="exact"/>
        <w:ind w:firstLine="472" w:firstLineChars="200"/>
        <w:contextualSpacing/>
        <w:rPr>
          <w:rFonts w:ascii="宋体" w:hAnsi="宋体" w:cs="宋体"/>
          <w:color w:val="000000" w:themeColor="text1"/>
          <w:spacing w:val="-2"/>
          <w:sz w:val="24"/>
          <w:szCs w:val="24"/>
          <w14:textFill>
            <w14:solidFill>
              <w14:schemeClr w14:val="tx1"/>
            </w14:solidFill>
          </w14:textFill>
        </w:rPr>
      </w:pPr>
      <w:r>
        <w:rPr>
          <w:rFonts w:hint="eastAsia" w:ascii="宋体" w:hAnsi="宋体" w:cs="宋体"/>
          <w:color w:val="000000" w:themeColor="text1"/>
          <w:spacing w:val="-2"/>
          <w:sz w:val="24"/>
          <w:szCs w:val="24"/>
          <w14:textFill>
            <w14:solidFill>
              <w14:schemeClr w14:val="tx1"/>
            </w14:solidFill>
          </w14:textFill>
        </w:rPr>
        <w:t>6.2  在评审过程中，为了有助于对投标文件进行审查、评估和比较，招标方有权向投标人质疑，请投标人澄清投标内容。投标人有责任按照招标方通知的时间、地点指派专人进行答疑和澄清。评标委员会可能要求投标人就投标文件中的内容进行答辩，招标方将以书面形式通知投标人，投标人应按要求进行答辩。</w:t>
      </w:r>
    </w:p>
    <w:p>
      <w:pPr>
        <w:spacing w:line="500" w:lineRule="exact"/>
        <w:ind w:firstLine="472" w:firstLineChars="200"/>
        <w:contextualSpacing/>
        <w:rPr>
          <w:rFonts w:ascii="宋体" w:hAnsi="宋体" w:cs="宋体"/>
          <w:color w:val="000000" w:themeColor="text1"/>
          <w:spacing w:val="-2"/>
          <w:sz w:val="24"/>
          <w:szCs w:val="24"/>
          <w14:textFill>
            <w14:solidFill>
              <w14:schemeClr w14:val="tx1"/>
            </w14:solidFill>
          </w14:textFill>
        </w:rPr>
      </w:pPr>
      <w:r>
        <w:rPr>
          <w:rFonts w:hint="eastAsia" w:ascii="宋体" w:hAnsi="宋体" w:cs="宋体"/>
          <w:color w:val="000000" w:themeColor="text1"/>
          <w:spacing w:val="-2"/>
          <w:sz w:val="24"/>
          <w:szCs w:val="24"/>
          <w14:textFill>
            <w14:solidFill>
              <w14:schemeClr w14:val="tx1"/>
            </w14:solidFill>
          </w14:textFill>
        </w:rPr>
        <w:t>6.3  采用</w:t>
      </w:r>
      <w:r>
        <w:rPr>
          <w:rFonts w:hint="eastAsia" w:ascii="宋体" w:hAnsi="宋体" w:cs="宋体"/>
          <w:b/>
          <w:color w:val="000000" w:themeColor="text1"/>
          <w:spacing w:val="-2"/>
          <w:sz w:val="24"/>
          <w:szCs w:val="24"/>
          <w:u w:val="single"/>
          <w14:textFill>
            <w14:solidFill>
              <w14:schemeClr w14:val="tx1"/>
            </w14:solidFill>
          </w14:textFill>
        </w:rPr>
        <w:t>　综合评分法　</w:t>
      </w:r>
      <w:r>
        <w:rPr>
          <w:rFonts w:hint="eastAsia" w:ascii="宋体" w:hAnsi="宋体" w:cs="宋体"/>
          <w:color w:val="000000" w:themeColor="text1"/>
          <w:spacing w:val="-2"/>
          <w:sz w:val="24"/>
          <w:szCs w:val="24"/>
          <w14:textFill>
            <w14:solidFill>
              <w14:schemeClr w14:val="tx1"/>
            </w14:solidFill>
          </w14:textFill>
        </w:rPr>
        <w:t>衡量投标文件是否最大限度地满足招标文件中规定的各项综合评分标准。</w:t>
      </w:r>
    </w:p>
    <w:p>
      <w:pPr>
        <w:spacing w:line="500" w:lineRule="exact"/>
        <w:ind w:firstLine="480" w:firstLineChars="200"/>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6.3.1评分标准与分值构成</w:t>
      </w:r>
    </w:p>
    <w:p>
      <w:pPr>
        <w:spacing w:line="500" w:lineRule="exact"/>
        <w:ind w:firstLine="482" w:firstLineChars="200"/>
        <w:contextualSpacing/>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综合评分法将综合部分和投标价格两个部分分别进行评分</w:t>
      </w:r>
      <w:r>
        <w:rPr>
          <w:rFonts w:hint="eastAsia" w:ascii="宋体" w:hAnsi="宋体" w:cs="宋体"/>
          <w:color w:val="000000" w:themeColor="text1"/>
          <w:sz w:val="24"/>
          <w:szCs w:val="24"/>
          <w14:textFill>
            <w14:solidFill>
              <w14:schemeClr w14:val="tx1"/>
            </w14:solidFill>
          </w14:textFill>
        </w:rPr>
        <w:t>，</w:t>
      </w:r>
      <w:r>
        <w:rPr>
          <w:rFonts w:hint="eastAsia" w:ascii="宋体" w:hAnsi="宋体" w:cs="宋体"/>
          <w:b/>
          <w:color w:val="000000" w:themeColor="text1"/>
          <w:sz w:val="24"/>
          <w:szCs w:val="24"/>
          <w14:textFill>
            <w14:solidFill>
              <w14:schemeClr w14:val="tx1"/>
            </w14:solidFill>
          </w14:textFill>
        </w:rPr>
        <w:t>综合部分满分为100分权重70%、价格部分满分为100分权重30%，合计总分100分。</w:t>
      </w:r>
    </w:p>
    <w:bookmarkEnd w:id="221"/>
    <w:p>
      <w:pPr>
        <w:spacing w:line="500" w:lineRule="exact"/>
        <w:ind w:firstLine="472" w:firstLineChars="200"/>
        <w:contextualSpacing/>
        <w:rPr>
          <w:rFonts w:ascii="宋体" w:hAnsi="宋体" w:cs="宋体"/>
          <w:color w:val="000000"/>
          <w:spacing w:val="-2"/>
          <w:sz w:val="24"/>
          <w:szCs w:val="24"/>
        </w:rPr>
      </w:pPr>
      <w:bookmarkStart w:id="222" w:name="_Toc183682422"/>
      <w:bookmarkStart w:id="223" w:name="_Toc183582287"/>
      <w:bookmarkStart w:id="224" w:name="_Toc217446104"/>
      <w:r>
        <w:rPr>
          <w:rFonts w:hint="eastAsia" w:ascii="宋体" w:hAnsi="宋体" w:cs="宋体"/>
          <w:color w:val="000000"/>
          <w:spacing w:val="-2"/>
          <w:sz w:val="24"/>
          <w:szCs w:val="24"/>
        </w:rPr>
        <w:t>6.4价格扣除</w:t>
      </w:r>
    </w:p>
    <w:p>
      <w:pPr>
        <w:spacing w:line="500" w:lineRule="exact"/>
        <w:ind w:firstLine="472" w:firstLineChars="200"/>
        <w:contextualSpacing/>
        <w:rPr>
          <w:rFonts w:ascii="宋体" w:hAnsi="宋体" w:cs="宋体"/>
          <w:color w:val="000000"/>
          <w:spacing w:val="-2"/>
          <w:sz w:val="24"/>
          <w:szCs w:val="24"/>
        </w:rPr>
      </w:pPr>
      <w:r>
        <w:rPr>
          <w:rFonts w:hint="eastAsia" w:ascii="宋体" w:hAnsi="宋体" w:cs="宋体"/>
          <w:color w:val="000000"/>
          <w:spacing w:val="-2"/>
          <w:sz w:val="24"/>
          <w:szCs w:val="24"/>
        </w:rPr>
        <w:t>（1）小型和微型企业产品价格扣除</w:t>
      </w:r>
    </w:p>
    <w:p>
      <w:pPr>
        <w:spacing w:line="500" w:lineRule="exact"/>
        <w:ind w:firstLine="472" w:firstLineChars="200"/>
        <w:contextualSpacing/>
        <w:rPr>
          <w:rFonts w:ascii="宋体" w:hAnsi="宋体" w:cs="宋体"/>
          <w:color w:val="000000"/>
          <w:spacing w:val="-2"/>
          <w:sz w:val="24"/>
          <w:szCs w:val="24"/>
        </w:rPr>
      </w:pPr>
      <w:r>
        <w:rPr>
          <w:rFonts w:hint="eastAsia" w:ascii="宋体" w:hAnsi="宋体" w:cs="宋体"/>
          <w:color w:val="000000"/>
          <w:spacing w:val="-2"/>
          <w:sz w:val="24"/>
          <w:szCs w:val="24"/>
        </w:rPr>
        <w:t>根据根据《政府采购促进中小企业发展管理办法》（财库〔2020〕46号）的规定，对小型和微型企业产品的价格给予6%的扣除，用扣除后的价格参与评审；投标产品中仅有部分小型和微型企业产品的，则此部分按所投小型和微型企业产品的价格予以扣除。</w:t>
      </w:r>
    </w:p>
    <w:p>
      <w:pPr>
        <w:spacing w:line="500" w:lineRule="exact"/>
        <w:ind w:firstLine="472" w:firstLineChars="200"/>
        <w:contextualSpacing/>
        <w:rPr>
          <w:rFonts w:ascii="宋体" w:hAnsi="宋体" w:cs="宋体"/>
          <w:color w:val="000000"/>
          <w:spacing w:val="-2"/>
          <w:sz w:val="24"/>
          <w:szCs w:val="24"/>
        </w:rPr>
      </w:pPr>
      <w:r>
        <w:rPr>
          <w:rFonts w:hint="eastAsia" w:ascii="宋体" w:hAnsi="宋体" w:cs="宋体"/>
          <w:color w:val="000000"/>
          <w:spacing w:val="-2"/>
          <w:sz w:val="24"/>
          <w:szCs w:val="24"/>
        </w:rPr>
        <w:t>《政府采购促进中小企业发展暂行办法》所称中小企业（含中型、小型、微型企业，下同）应当同时符合以下条件：</w:t>
      </w:r>
    </w:p>
    <w:p>
      <w:pPr>
        <w:spacing w:line="500" w:lineRule="exact"/>
        <w:ind w:firstLine="472" w:firstLineChars="200"/>
        <w:contextualSpacing/>
        <w:rPr>
          <w:rFonts w:ascii="宋体" w:hAnsi="宋体" w:cs="宋体"/>
          <w:color w:val="000000"/>
          <w:spacing w:val="-2"/>
          <w:sz w:val="24"/>
          <w:szCs w:val="24"/>
        </w:rPr>
      </w:pPr>
      <w:r>
        <w:rPr>
          <w:rFonts w:hint="eastAsia" w:ascii="宋体" w:hAnsi="宋体" w:cs="宋体"/>
          <w:color w:val="000000"/>
          <w:spacing w:val="-2"/>
          <w:sz w:val="24"/>
          <w:szCs w:val="24"/>
        </w:rPr>
        <w:t>符合中小企业划分标准；</w:t>
      </w:r>
    </w:p>
    <w:p>
      <w:pPr>
        <w:spacing w:line="500" w:lineRule="exact"/>
        <w:ind w:firstLine="472" w:firstLineChars="200"/>
        <w:contextualSpacing/>
        <w:rPr>
          <w:rFonts w:ascii="宋体" w:hAnsi="宋体" w:cs="宋体"/>
          <w:color w:val="000000"/>
          <w:spacing w:val="-2"/>
          <w:sz w:val="24"/>
          <w:szCs w:val="24"/>
        </w:rPr>
      </w:pPr>
      <w:r>
        <w:rPr>
          <w:rFonts w:hint="eastAsia" w:ascii="宋体" w:hAnsi="宋体" w:cs="宋体"/>
          <w:color w:val="000000"/>
          <w:spacing w:val="-2"/>
          <w:sz w:val="24"/>
          <w:szCs w:val="24"/>
        </w:rPr>
        <w:t>提供本企业制造的货物、承担的工程或者服务，或者提供其他中小企业制造的货物。本项所称货物不包括使用大型企业注册商标的货物。</w:t>
      </w:r>
    </w:p>
    <w:p>
      <w:pPr>
        <w:spacing w:line="500" w:lineRule="exact"/>
        <w:ind w:firstLine="472" w:firstLineChars="200"/>
        <w:contextualSpacing/>
        <w:rPr>
          <w:rFonts w:ascii="宋体" w:hAnsi="宋体" w:cs="宋体"/>
          <w:color w:val="000000"/>
          <w:spacing w:val="-2"/>
          <w:sz w:val="24"/>
          <w:szCs w:val="24"/>
        </w:rPr>
      </w:pPr>
      <w:r>
        <w:rPr>
          <w:rFonts w:hint="eastAsia" w:ascii="宋体" w:hAnsi="宋体" w:cs="宋体"/>
          <w:color w:val="000000"/>
          <w:spacing w:val="-2"/>
          <w:sz w:val="24"/>
          <w:szCs w:val="24"/>
        </w:rPr>
        <w:t>（2）监狱企业产品价格扣除</w:t>
      </w:r>
    </w:p>
    <w:p>
      <w:pPr>
        <w:spacing w:line="500" w:lineRule="exact"/>
        <w:ind w:firstLine="472" w:firstLineChars="200"/>
        <w:contextualSpacing/>
        <w:rPr>
          <w:rFonts w:ascii="宋体" w:hAnsi="宋体" w:cs="宋体"/>
          <w:color w:val="000000"/>
          <w:spacing w:val="-2"/>
          <w:sz w:val="24"/>
          <w:szCs w:val="24"/>
        </w:rPr>
      </w:pPr>
      <w:r>
        <w:rPr>
          <w:rFonts w:hint="eastAsia" w:ascii="宋体" w:hAnsi="宋体" w:cs="宋体"/>
          <w:color w:val="000000"/>
          <w:spacing w:val="-2"/>
          <w:sz w:val="24"/>
          <w:szCs w:val="24"/>
        </w:rPr>
        <w:t>监狱企业视同小型、微型企业，按上述1.1、1.2条款享受评审中价格扣除。</w:t>
      </w:r>
    </w:p>
    <w:p>
      <w:pPr>
        <w:spacing w:line="500" w:lineRule="exact"/>
        <w:ind w:firstLine="472" w:firstLineChars="200"/>
        <w:contextualSpacing/>
        <w:rPr>
          <w:rFonts w:ascii="宋体" w:hAnsi="宋体" w:cs="宋体"/>
          <w:color w:val="000000"/>
          <w:spacing w:val="-2"/>
          <w:sz w:val="24"/>
          <w:szCs w:val="24"/>
        </w:rPr>
      </w:pPr>
      <w:r>
        <w:rPr>
          <w:rFonts w:hint="eastAsia" w:ascii="宋体" w:hAnsi="宋体" w:cs="宋体"/>
          <w:color w:val="000000"/>
          <w:spacing w:val="-2"/>
          <w:sz w:val="24"/>
          <w:szCs w:val="24"/>
        </w:rPr>
        <w:t>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spacing w:line="500" w:lineRule="exact"/>
        <w:ind w:firstLine="472" w:firstLineChars="200"/>
        <w:contextualSpacing/>
        <w:rPr>
          <w:rFonts w:ascii="宋体" w:hAnsi="宋体" w:cs="宋体"/>
          <w:color w:val="000000"/>
          <w:spacing w:val="-2"/>
          <w:sz w:val="24"/>
          <w:szCs w:val="24"/>
        </w:rPr>
      </w:pPr>
      <w:r>
        <w:rPr>
          <w:rFonts w:hint="eastAsia" w:ascii="宋体" w:hAnsi="宋体" w:cs="宋体"/>
          <w:color w:val="000000"/>
          <w:spacing w:val="-2"/>
          <w:sz w:val="24"/>
          <w:szCs w:val="24"/>
        </w:rPr>
        <w:t>监狱企业参加政府采购活动时，应当提供由省级以上监狱管理局、戒毒管理局（含新疆生产建设兵团）出具的属于监狱企业的证明文件，否则不予认可。</w:t>
      </w:r>
    </w:p>
    <w:p>
      <w:pPr>
        <w:spacing w:line="500" w:lineRule="exact"/>
        <w:ind w:firstLine="472" w:firstLineChars="200"/>
        <w:contextualSpacing/>
        <w:rPr>
          <w:rFonts w:ascii="宋体" w:hAnsi="宋体" w:cs="宋体"/>
          <w:color w:val="000000"/>
          <w:spacing w:val="-2"/>
          <w:sz w:val="24"/>
          <w:szCs w:val="24"/>
        </w:rPr>
      </w:pPr>
      <w:r>
        <w:rPr>
          <w:rFonts w:hint="eastAsia" w:ascii="宋体" w:hAnsi="宋体" w:cs="宋体"/>
          <w:color w:val="000000"/>
          <w:spacing w:val="-2"/>
          <w:sz w:val="24"/>
          <w:szCs w:val="24"/>
        </w:rPr>
        <w:t>（3）残疾人福利性单位产品价格扣除</w:t>
      </w:r>
    </w:p>
    <w:p>
      <w:pPr>
        <w:spacing w:line="500" w:lineRule="exact"/>
        <w:ind w:firstLine="472" w:firstLineChars="200"/>
        <w:contextualSpacing/>
        <w:rPr>
          <w:rFonts w:ascii="宋体" w:hAnsi="宋体" w:cs="宋体"/>
          <w:color w:val="000000"/>
          <w:spacing w:val="-2"/>
          <w:sz w:val="24"/>
          <w:szCs w:val="24"/>
        </w:rPr>
      </w:pPr>
      <w:r>
        <w:rPr>
          <w:rFonts w:hint="eastAsia" w:ascii="宋体" w:hAnsi="宋体" w:cs="宋体"/>
          <w:color w:val="000000"/>
          <w:spacing w:val="-2"/>
          <w:sz w:val="24"/>
          <w:szCs w:val="24"/>
        </w:rPr>
        <w:t>残疾人福利性单位视同小型、微型企业，按上述1.1条款享受评审中价格扣除。</w:t>
      </w:r>
    </w:p>
    <w:p>
      <w:pPr>
        <w:spacing w:line="500" w:lineRule="exact"/>
        <w:ind w:firstLine="472" w:firstLineChars="200"/>
        <w:contextualSpacing/>
        <w:rPr>
          <w:rFonts w:ascii="宋体" w:hAnsi="宋体" w:cs="宋体"/>
          <w:color w:val="000000"/>
          <w:spacing w:val="-2"/>
          <w:sz w:val="24"/>
          <w:szCs w:val="24"/>
        </w:rPr>
      </w:pPr>
      <w:r>
        <w:rPr>
          <w:rFonts w:hint="eastAsia" w:ascii="宋体" w:hAnsi="宋体" w:cs="宋体"/>
          <w:color w:val="000000"/>
          <w:spacing w:val="-2"/>
          <w:sz w:val="24"/>
          <w:szCs w:val="24"/>
        </w:rPr>
        <w:t>根据财政部、民政部、中国残疾人联合会印发的《关于促进残疾人就业政府采购政策的通知》（财库〔2017〕141号）的规定，符合条件的残疾人福利性单位在参加政府采购活动时，应当提供该通知规定的《残疾人福利性单位声明函》，并对声明的真实性负责。一旦中标将在中标公告中公告其声明函，接受社会监督。投标人提供的《残疾人福利性单位声明函》与事实不符的，依照《中华人民共和国政府采购法》第七十七条第一款的规定追究法律责任。</w:t>
      </w:r>
    </w:p>
    <w:p>
      <w:pPr>
        <w:spacing w:line="500" w:lineRule="exact"/>
        <w:ind w:firstLine="472" w:firstLineChars="200"/>
        <w:contextualSpacing/>
        <w:rPr>
          <w:rFonts w:ascii="宋体" w:hAnsi="宋体" w:cs="宋体"/>
          <w:color w:val="000000"/>
          <w:spacing w:val="-2"/>
          <w:sz w:val="24"/>
          <w:szCs w:val="24"/>
        </w:rPr>
      </w:pPr>
      <w:r>
        <w:rPr>
          <w:rFonts w:hint="eastAsia" w:ascii="宋体" w:hAnsi="宋体" w:cs="宋体"/>
          <w:color w:val="000000"/>
          <w:spacing w:val="-2"/>
          <w:sz w:val="24"/>
          <w:szCs w:val="24"/>
        </w:rPr>
        <w:t>投标人同时为小型、微型企业、监狱企业、残疾人福利性单位任两种或以上情况的，评审中只享受一次价格扣除，不重复进行价格扣除。</w:t>
      </w:r>
    </w:p>
    <w:p>
      <w:pPr>
        <w:spacing w:line="500" w:lineRule="exact"/>
        <w:ind w:firstLine="472" w:firstLineChars="200"/>
        <w:contextualSpacing/>
        <w:rPr>
          <w:rFonts w:ascii="宋体" w:hAnsi="宋体" w:cs="宋体"/>
          <w:color w:val="000000"/>
          <w:spacing w:val="-2"/>
          <w:sz w:val="24"/>
          <w:szCs w:val="24"/>
        </w:rPr>
      </w:pPr>
      <w:r>
        <w:rPr>
          <w:rFonts w:hint="eastAsia" w:ascii="宋体" w:hAnsi="宋体" w:cs="宋体"/>
          <w:color w:val="000000"/>
          <w:spacing w:val="-2"/>
          <w:sz w:val="24"/>
          <w:szCs w:val="24"/>
        </w:rPr>
        <w:t>（4）节能产品、环境标志产品价格扣除：</w:t>
      </w:r>
    </w:p>
    <w:p>
      <w:pPr>
        <w:spacing w:line="500" w:lineRule="exact"/>
        <w:ind w:firstLine="472" w:firstLineChars="200"/>
        <w:contextualSpacing/>
        <w:rPr>
          <w:rFonts w:ascii="宋体" w:hAnsi="宋体" w:cs="宋体"/>
          <w:color w:val="000000"/>
          <w:spacing w:val="-2"/>
          <w:sz w:val="24"/>
          <w:szCs w:val="24"/>
        </w:rPr>
      </w:pPr>
      <w:r>
        <w:rPr>
          <w:rFonts w:hint="eastAsia" w:ascii="宋体" w:hAnsi="宋体" w:cs="宋体"/>
          <w:color w:val="000000"/>
          <w:spacing w:val="-2"/>
          <w:sz w:val="24"/>
          <w:szCs w:val="24"/>
        </w:rPr>
        <w:t>投标产品(针对非政府强制采购产品)纳入国家行业主管部门颁布的最新一期节能产品清单的，节能产品投标报价占总投标报价比例在30%或以上的，对节能产品的价格给予2%的扣除，在30%以下的，对节能产品的价格给予1%的扣除，用扣除后的价格参与评审。（提供投标产品所在清单页加盖投标人公章）。</w:t>
      </w:r>
    </w:p>
    <w:p>
      <w:pPr>
        <w:spacing w:line="500" w:lineRule="exact"/>
        <w:ind w:firstLine="472" w:firstLineChars="200"/>
        <w:contextualSpacing/>
        <w:rPr>
          <w:rFonts w:ascii="宋体" w:hAnsi="宋体" w:cs="宋体"/>
          <w:color w:val="000000"/>
          <w:spacing w:val="-2"/>
          <w:sz w:val="24"/>
          <w:szCs w:val="24"/>
        </w:rPr>
      </w:pPr>
      <w:r>
        <w:rPr>
          <w:rFonts w:hint="eastAsia" w:ascii="宋体" w:hAnsi="宋体" w:cs="宋体"/>
          <w:color w:val="000000"/>
          <w:spacing w:val="-2"/>
          <w:sz w:val="24"/>
          <w:szCs w:val="24"/>
        </w:rPr>
        <w:t>投标产品纳入国家行业主管部门颁布的最新一期环境标志产品清单的，环境标志产品投标报价占总投标报价比例在30%或以上的，对环境标志产品的价格给予2%的扣除，在30%以下的，对节能产品的价格给予1%的扣除，用扣除后的价格参与评审。（提供投标产品所在清单页加盖投标人公章）。</w:t>
      </w:r>
    </w:p>
    <w:p>
      <w:pPr>
        <w:spacing w:line="500" w:lineRule="exact"/>
        <w:ind w:firstLine="472" w:firstLineChars="200"/>
        <w:contextualSpacing/>
        <w:rPr>
          <w:rFonts w:ascii="宋体" w:hAnsi="宋体" w:cs="宋体"/>
          <w:color w:val="000000"/>
          <w:spacing w:val="-2"/>
          <w:sz w:val="24"/>
          <w:szCs w:val="24"/>
        </w:rPr>
      </w:pPr>
      <w:r>
        <w:rPr>
          <w:rFonts w:hint="eastAsia" w:ascii="宋体" w:hAnsi="宋体" w:cs="宋体"/>
          <w:color w:val="000000"/>
          <w:spacing w:val="-2"/>
          <w:sz w:val="24"/>
          <w:szCs w:val="24"/>
        </w:rPr>
        <w:t>6.5  根据综合评分法完成评标后，评标委员会应当拟定一份书面评标报告提交招标方。评标报告应当载明投标人的投标项目、所作的任何修正、对商务偏差的调整、对技术偏差的调整、对各评审因素的评估以及对每一投标的最终评审结果。</w:t>
      </w:r>
    </w:p>
    <w:p>
      <w:pPr>
        <w:spacing w:line="500" w:lineRule="exact"/>
        <w:ind w:firstLine="472" w:firstLineChars="200"/>
        <w:contextualSpacing/>
        <w:rPr>
          <w:rFonts w:ascii="宋体" w:hAnsi="宋体" w:cs="宋体"/>
          <w:color w:val="000000"/>
          <w:spacing w:val="-2"/>
          <w:sz w:val="24"/>
          <w:szCs w:val="24"/>
        </w:rPr>
      </w:pPr>
      <w:r>
        <w:rPr>
          <w:rFonts w:hint="eastAsia" w:ascii="宋体" w:hAnsi="宋体" w:cs="宋体"/>
          <w:color w:val="000000"/>
          <w:spacing w:val="-2"/>
          <w:sz w:val="24"/>
          <w:szCs w:val="24"/>
        </w:rPr>
        <w:t>6.6  采用综合评分法衡量投标文件在是否最大限度地满足招标文件实质性要求前提下，按照招标文件中规定的各项因素进行综合评审后，依据得分高低，依次确定为中标候选人。得分相同的按投标报价由低到高顺序排序，得分且报价相同的并列。投标文件满足招标文件全部实质性要求，且按照评审因素的量化指标评审得分最高的投标人为排名第一的中标候选人。</w:t>
      </w:r>
      <w:r>
        <w:rPr>
          <w:rFonts w:hint="eastAsia" w:ascii="宋体" w:hAnsi="宋体" w:cs="宋体"/>
          <w:b/>
          <w:color w:val="000000"/>
          <w:spacing w:val="-2"/>
          <w:sz w:val="24"/>
          <w:szCs w:val="24"/>
        </w:rPr>
        <w:t>（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r>
        <w:rPr>
          <w:rFonts w:hint="eastAsia" w:ascii="宋体" w:hAnsi="宋体" w:cs="宋体"/>
          <w:color w:val="000000"/>
          <w:spacing w:val="-2"/>
          <w:sz w:val="24"/>
          <w:szCs w:val="24"/>
        </w:rPr>
        <w:t>）。</w:t>
      </w:r>
    </w:p>
    <w:p>
      <w:pPr>
        <w:spacing w:line="500" w:lineRule="exact"/>
        <w:ind w:firstLine="472" w:firstLineChars="200"/>
        <w:contextualSpacing/>
        <w:rPr>
          <w:rFonts w:ascii="宋体" w:hAnsi="宋体" w:cs="宋体"/>
          <w:color w:val="000000"/>
          <w:spacing w:val="-2"/>
          <w:sz w:val="24"/>
          <w:szCs w:val="24"/>
        </w:rPr>
      </w:pPr>
      <w:r>
        <w:rPr>
          <w:rFonts w:hint="eastAsia" w:ascii="宋体" w:hAnsi="宋体" w:cs="宋体"/>
          <w:color w:val="000000"/>
          <w:spacing w:val="-2"/>
          <w:sz w:val="24"/>
          <w:szCs w:val="24"/>
        </w:rPr>
        <w:t>6.7  评标和定标一般应当在开标后7个工作日内完成，项目金额较大、技术较为复杂等特殊项目的评标工作应当在30个工作日内完成。不能在开标后30个工作日内完成评标和定标的，招标人应当提前3天通知所有投标人延长投标有效期。同意延长投标有效期的投标人应当相应延长投标保证金的有效期，但不得修改投标文件的实质性内容。</w:t>
      </w:r>
    </w:p>
    <w:p>
      <w:pPr>
        <w:spacing w:line="500" w:lineRule="exact"/>
        <w:ind w:firstLine="472" w:firstLineChars="200"/>
        <w:contextualSpacing/>
        <w:rPr>
          <w:rFonts w:ascii="宋体" w:hAnsi="宋体" w:cs="宋体"/>
          <w:color w:val="000000"/>
          <w:spacing w:val="-2"/>
          <w:sz w:val="24"/>
          <w:szCs w:val="24"/>
        </w:rPr>
      </w:pPr>
      <w:r>
        <w:rPr>
          <w:rFonts w:hint="eastAsia" w:ascii="宋体" w:hAnsi="宋体" w:cs="宋体"/>
          <w:color w:val="000000"/>
          <w:spacing w:val="-2"/>
          <w:sz w:val="24"/>
          <w:szCs w:val="24"/>
        </w:rPr>
        <w:t>6.8  如果出现有效投标投标人不足三家时，由于项目紧急，经财政部门（政府采购监督管理部门）批准，改为竞争性谈判采购方式，采用最低评标价法评审，即在符合采购需求、质量和服务相等的前提下，以提出最低报价的投标人作为成交投标人。</w:t>
      </w:r>
    </w:p>
    <w:p>
      <w:pPr>
        <w:spacing w:line="500" w:lineRule="exact"/>
        <w:contextualSpacing/>
        <w:jc w:val="left"/>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7．计算错误的修改</w:t>
      </w:r>
      <w:bookmarkEnd w:id="222"/>
      <w:bookmarkEnd w:id="223"/>
      <w:bookmarkEnd w:id="224"/>
    </w:p>
    <w:p>
      <w:pPr>
        <w:widowControl/>
        <w:autoSpaceDE w:val="0"/>
        <w:autoSpaceDN w:val="0"/>
        <w:spacing w:line="500" w:lineRule="exact"/>
        <w:ind w:right="53" w:firstLine="480" w:firstLineChars="200"/>
        <w:contextualSpacing/>
        <w:jc w:val="left"/>
        <w:textAlignment w:val="bottom"/>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7.1 投标文件中如果出现计算上或累加上的算术错误，可按以下原则进行修改：</w:t>
      </w:r>
    </w:p>
    <w:p>
      <w:pPr>
        <w:widowControl/>
        <w:autoSpaceDE w:val="0"/>
        <w:autoSpaceDN w:val="0"/>
        <w:spacing w:line="500" w:lineRule="exact"/>
        <w:ind w:right="53" w:firstLine="480" w:firstLineChars="200"/>
        <w:contextualSpacing/>
        <w:jc w:val="left"/>
        <w:textAlignment w:val="bottom"/>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（1）用数字表示的金额和用文字表示的金额不一致，应以文字表示的金额为准。</w:t>
      </w:r>
    </w:p>
    <w:p>
      <w:pPr>
        <w:widowControl/>
        <w:autoSpaceDE w:val="0"/>
        <w:autoSpaceDN w:val="0"/>
        <w:spacing w:line="500" w:lineRule="exact"/>
        <w:ind w:right="53" w:firstLine="480" w:firstLineChars="200"/>
        <w:contextualSpacing/>
        <w:jc w:val="left"/>
        <w:textAlignment w:val="bottom"/>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（2）单价和数量的乘积与总价不一致时，以单价为准，并修正总价。</w:t>
      </w:r>
    </w:p>
    <w:p>
      <w:pPr>
        <w:widowControl/>
        <w:autoSpaceDE w:val="0"/>
        <w:autoSpaceDN w:val="0"/>
        <w:spacing w:line="500" w:lineRule="exact"/>
        <w:ind w:right="53" w:firstLine="480" w:firstLineChars="200"/>
        <w:contextualSpacing/>
        <w:jc w:val="left"/>
        <w:textAlignment w:val="bottom"/>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（3）单价金额小数点有明显错误的，以总价为准，修正单价。</w:t>
      </w:r>
    </w:p>
    <w:p>
      <w:pPr>
        <w:widowControl/>
        <w:autoSpaceDE w:val="0"/>
        <w:autoSpaceDN w:val="0"/>
        <w:spacing w:line="500" w:lineRule="exact"/>
        <w:ind w:right="53" w:firstLine="480" w:firstLineChars="200"/>
        <w:contextualSpacing/>
        <w:jc w:val="left"/>
        <w:textAlignment w:val="bottom"/>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7.2  按上述修正错误的方法调整的投标报价应对投标人具有约束力。如果投标人不接受修正后的价格，其投标将被拒绝。</w:t>
      </w:r>
    </w:p>
    <w:p>
      <w:pPr>
        <w:spacing w:line="500" w:lineRule="exact"/>
        <w:contextualSpacing/>
        <w:jc w:val="left"/>
        <w:rPr>
          <w:rFonts w:ascii="宋体" w:hAnsi="宋体" w:cs="宋体"/>
          <w:b/>
          <w:color w:val="000000" w:themeColor="text1"/>
          <w:sz w:val="24"/>
          <w:szCs w:val="24"/>
          <w14:textFill>
            <w14:solidFill>
              <w14:schemeClr w14:val="tx1"/>
            </w14:solidFill>
          </w14:textFill>
        </w:rPr>
      </w:pPr>
      <w:bookmarkStart w:id="225" w:name="_Toc183582297"/>
      <w:bookmarkStart w:id="226" w:name="_Toc217446105"/>
      <w:bookmarkStart w:id="227" w:name="_Toc183682432"/>
      <w:bookmarkStart w:id="228" w:name="_Toc208849022"/>
      <w:r>
        <w:rPr>
          <w:rFonts w:hint="eastAsia" w:ascii="宋体" w:hAnsi="宋体" w:cs="宋体"/>
          <w:b/>
          <w:color w:val="000000" w:themeColor="text1"/>
          <w:sz w:val="24"/>
          <w:szCs w:val="24"/>
          <w14:textFill>
            <w14:solidFill>
              <w14:schemeClr w14:val="tx1"/>
            </w14:solidFill>
          </w14:textFill>
        </w:rPr>
        <w:t xml:space="preserve">8. </w:t>
      </w:r>
      <w:bookmarkEnd w:id="225"/>
      <w:bookmarkEnd w:id="226"/>
      <w:bookmarkEnd w:id="227"/>
      <w:bookmarkEnd w:id="228"/>
      <w:r>
        <w:rPr>
          <w:rFonts w:hint="eastAsia" w:ascii="宋体" w:hAnsi="宋体" w:cs="宋体"/>
          <w:b/>
          <w:color w:val="000000" w:themeColor="text1"/>
          <w:sz w:val="24"/>
          <w:szCs w:val="24"/>
          <w14:textFill>
            <w14:solidFill>
              <w14:schemeClr w14:val="tx1"/>
            </w14:solidFill>
          </w14:textFill>
        </w:rPr>
        <w:t>评标专家在政府采购活动中承担以下义务：</w:t>
      </w:r>
    </w:p>
    <w:p>
      <w:pPr>
        <w:widowControl/>
        <w:autoSpaceDE w:val="0"/>
        <w:autoSpaceDN w:val="0"/>
        <w:spacing w:line="500" w:lineRule="exact"/>
        <w:ind w:right="53" w:firstLine="480" w:firstLineChars="200"/>
        <w:contextualSpacing/>
        <w:jc w:val="left"/>
        <w:textAlignment w:val="bottom"/>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8.1 遵纪守法，客观、公正、廉洁地履行职责。</w:t>
      </w:r>
    </w:p>
    <w:p>
      <w:pPr>
        <w:widowControl/>
        <w:autoSpaceDE w:val="0"/>
        <w:autoSpaceDN w:val="0"/>
        <w:spacing w:line="500" w:lineRule="exact"/>
        <w:ind w:right="53" w:firstLine="480" w:firstLineChars="200"/>
        <w:contextualSpacing/>
        <w:jc w:val="left"/>
        <w:textAlignment w:val="bottom"/>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8.2 按照政府采购法律法规和采购文件的规定要求对供应商的资格条件和供应商提供的产品价格、技术、服务等方面严格进行评判，提供科学合理、公平公正的评审意见，参与起草评审报告，并予签字确认。</w:t>
      </w:r>
    </w:p>
    <w:p>
      <w:pPr>
        <w:widowControl/>
        <w:autoSpaceDE w:val="0"/>
        <w:autoSpaceDN w:val="0"/>
        <w:spacing w:line="500" w:lineRule="exact"/>
        <w:ind w:right="53" w:firstLine="480" w:firstLineChars="200"/>
        <w:contextualSpacing/>
        <w:jc w:val="left"/>
        <w:textAlignment w:val="bottom"/>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8.3 保守秘密。不得透露采购文件咨询情况，不得泄漏供应商的投标文件及知悉的商业秘密，不得向供应商透露评审情况。</w:t>
      </w:r>
    </w:p>
    <w:p>
      <w:pPr>
        <w:widowControl/>
        <w:autoSpaceDE w:val="0"/>
        <w:autoSpaceDN w:val="0"/>
        <w:spacing w:line="500" w:lineRule="exact"/>
        <w:ind w:right="53" w:firstLine="480" w:firstLineChars="200"/>
        <w:contextualSpacing/>
        <w:jc w:val="left"/>
        <w:textAlignment w:val="bottom"/>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8.4 发现供应商在政府采购活动中有不正当竞争或恶意串通等违规行为，及时向政府采购评审工作的组织者或财政部门报告并加以制止。发现采购人、政府采购代理机构及其工作人员在政府采购活动中有干预评审、发表倾向性和歧视性言论、受贿或者接受供应商的其他好处及其他违法违规行为，及时向财政部门报告。</w:t>
      </w:r>
    </w:p>
    <w:p>
      <w:pPr>
        <w:widowControl/>
        <w:autoSpaceDE w:val="0"/>
        <w:autoSpaceDN w:val="0"/>
        <w:spacing w:line="500" w:lineRule="exact"/>
        <w:ind w:right="53" w:firstLine="480" w:firstLineChars="200"/>
        <w:contextualSpacing/>
        <w:jc w:val="left"/>
        <w:textAlignment w:val="bottom"/>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8.5 解答有关方面对政府采购评审工作中有关问题的询问，配合采购人或者政府采购代理机构答复供应商质疑，配合财政部门的投诉处理工作等事宜。</w:t>
      </w:r>
    </w:p>
    <w:p>
      <w:pPr>
        <w:spacing w:line="500" w:lineRule="exact"/>
        <w:ind w:firstLine="480" w:firstLineChars="200"/>
        <w:contextualSpacing/>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8.6 法律、法规和规章规定的其他义务。</w:t>
      </w:r>
    </w:p>
    <w:p>
      <w:pPr>
        <w:spacing w:line="500" w:lineRule="exact"/>
        <w:contextualSpacing/>
        <w:jc w:val="left"/>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9.评审专家在政府采购活动中应当遵守以下工作纪律：</w:t>
      </w:r>
    </w:p>
    <w:p>
      <w:pPr>
        <w:widowControl/>
        <w:autoSpaceDE w:val="0"/>
        <w:autoSpaceDN w:val="0"/>
        <w:spacing w:line="500" w:lineRule="exact"/>
        <w:ind w:right="53" w:firstLine="480" w:firstLineChars="200"/>
        <w:contextualSpacing/>
        <w:jc w:val="left"/>
        <w:textAlignment w:val="bottom"/>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9.1 应邀按时参加评审和咨询活动。遇特殊情况不能出席或途中遇阻不能按时参加评审或咨询的，应及时告知财政部门或者采购人或者政府采购代理机构，不得私自转托他人。</w:t>
      </w:r>
    </w:p>
    <w:p>
      <w:pPr>
        <w:widowControl/>
        <w:autoSpaceDE w:val="0"/>
        <w:autoSpaceDN w:val="0"/>
        <w:spacing w:line="500" w:lineRule="exact"/>
        <w:ind w:right="53" w:firstLine="480" w:firstLineChars="200"/>
        <w:contextualSpacing/>
        <w:jc w:val="left"/>
        <w:textAlignment w:val="bottom"/>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9.2 不得参加与自己有利害关系的政府采购项目的评审活动。对与自己有利害关系的评审项目，如受到邀请，应主动提出回避。财政部门、采购人或政府采购代理机构也可要求该评审专家回避。</w:t>
      </w:r>
    </w:p>
    <w:p>
      <w:pPr>
        <w:widowControl/>
        <w:autoSpaceDE w:val="0"/>
        <w:autoSpaceDN w:val="0"/>
        <w:spacing w:line="500" w:lineRule="exact"/>
        <w:ind w:right="53" w:firstLine="480" w:firstLineChars="200"/>
        <w:contextualSpacing/>
        <w:jc w:val="left"/>
        <w:textAlignment w:val="bottom"/>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有利害关系主要是指三年内曾在参加该采购项目供应商中任职(包括一般工作)或担任顾问，配偶或直系亲属在参加该采购项目的供应商中任职或担任顾问，与参加该采购项目供应商发生过法律纠纷，以及其他可能影响公正评审的情况。</w:t>
      </w:r>
    </w:p>
    <w:p>
      <w:pPr>
        <w:widowControl/>
        <w:autoSpaceDE w:val="0"/>
        <w:autoSpaceDN w:val="0"/>
        <w:spacing w:line="500" w:lineRule="exact"/>
        <w:ind w:right="53" w:firstLine="480" w:firstLineChars="200"/>
        <w:contextualSpacing/>
        <w:jc w:val="left"/>
        <w:textAlignment w:val="bottom"/>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9.3 评审或咨询过程中关闭通讯设备，不得与外界联系。因发生不可预见情况，确实需要与外界联系的，应当有在场工作人员陪同。</w:t>
      </w:r>
    </w:p>
    <w:p>
      <w:pPr>
        <w:widowControl/>
        <w:autoSpaceDE w:val="0"/>
        <w:autoSpaceDN w:val="0"/>
        <w:spacing w:line="500" w:lineRule="exact"/>
        <w:ind w:right="53" w:firstLine="480" w:firstLineChars="200"/>
        <w:contextualSpacing/>
        <w:jc w:val="left"/>
        <w:textAlignment w:val="bottom"/>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9.4 评审过程中，不得发表影响评审公正的倾向性、歧视性言论；不得征询或者接受采购人的倾向性意见；不得以任何明示或暗示的方式要求参加该采购项目的供应商以澄清、说明或补正为借口，表达与其原投标文件原意不同的新意见；不得以采购文件没有规定的方法和标准作为评审的依据；不得违反规定的评审格式评分和撰写评审意见；不得拒绝对自己的评审意见签字确认。</w:t>
      </w:r>
    </w:p>
    <w:p>
      <w:pPr>
        <w:widowControl/>
        <w:autoSpaceDE w:val="0"/>
        <w:autoSpaceDN w:val="0"/>
        <w:spacing w:line="500" w:lineRule="exact"/>
        <w:ind w:right="53" w:firstLine="480" w:firstLineChars="200"/>
        <w:contextualSpacing/>
        <w:jc w:val="left"/>
        <w:textAlignment w:val="bottom"/>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9.5 在咨询工作中，严格执行国家产业政策和产品标准，认真听取咨询方的合理要求，提出科学合理的、无倾向性和歧视性的咨询方案，并对所提出的意见和建议承担个人责任。</w:t>
      </w:r>
    </w:p>
    <w:p>
      <w:pPr>
        <w:widowControl/>
        <w:autoSpaceDE w:val="0"/>
        <w:autoSpaceDN w:val="0"/>
        <w:spacing w:line="500" w:lineRule="exact"/>
        <w:ind w:right="53" w:firstLine="480" w:firstLineChars="200"/>
        <w:contextualSpacing/>
        <w:jc w:val="left"/>
        <w:textAlignment w:val="bottom"/>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9.6 有关部门（机构）制定的其他评审工作纪律。</w:t>
      </w:r>
    </w:p>
    <w:p>
      <w:pPr>
        <w:tabs>
          <w:tab w:val="left" w:pos="5969"/>
        </w:tabs>
        <w:spacing w:line="500" w:lineRule="exact"/>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ab/>
      </w:r>
    </w:p>
    <w:p>
      <w:pPr>
        <w:spacing w:line="500" w:lineRule="exact"/>
        <w:contextualSpacing/>
        <w:rPr>
          <w:rFonts w:ascii="宋体" w:hAnsi="宋体" w:cs="宋体"/>
          <w:color w:val="000000" w:themeColor="text1"/>
          <w:sz w:val="24"/>
          <w:szCs w:val="24"/>
          <w14:textFill>
            <w14:solidFill>
              <w14:schemeClr w14:val="tx1"/>
            </w14:solidFill>
          </w14:textFill>
        </w:rPr>
      </w:pPr>
    </w:p>
    <w:p>
      <w:pPr>
        <w:spacing w:line="500" w:lineRule="exact"/>
        <w:contextualSpacing/>
        <w:rPr>
          <w:rFonts w:ascii="宋体" w:hAnsi="宋体" w:cs="宋体"/>
          <w:color w:val="000000" w:themeColor="text1"/>
          <w:sz w:val="24"/>
          <w:szCs w:val="24"/>
          <w14:textFill>
            <w14:solidFill>
              <w14:schemeClr w14:val="tx1"/>
            </w14:solidFill>
          </w14:textFill>
        </w:rPr>
        <w:sectPr>
          <w:footerReference r:id="rId8" w:type="first"/>
          <w:footerReference r:id="rId7" w:type="default"/>
          <w:pgSz w:w="11907" w:h="16840"/>
          <w:pgMar w:top="1134" w:right="1134" w:bottom="1134" w:left="1134" w:header="851" w:footer="851" w:gutter="0"/>
          <w:pgNumType w:chapStyle="1"/>
          <w:cols w:space="720" w:num="1"/>
          <w:titlePg/>
        </w:sectPr>
      </w:pPr>
    </w:p>
    <w:p>
      <w:pPr>
        <w:widowControl/>
        <w:autoSpaceDE w:val="0"/>
        <w:autoSpaceDN w:val="0"/>
        <w:spacing w:line="500" w:lineRule="exact"/>
        <w:ind w:right="53" w:firstLine="120" w:firstLineChars="50"/>
        <w:contextualSpacing/>
        <w:jc w:val="left"/>
        <w:textAlignment w:val="bottom"/>
        <w:rPr>
          <w:rFonts w:hint="eastAsia"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综合评分明细表：</w:t>
      </w:r>
    </w:p>
    <w:tbl>
      <w:tblPr>
        <w:tblStyle w:val="36"/>
        <w:tblpPr w:leftFromText="180" w:rightFromText="180" w:vertAnchor="text" w:horzAnchor="page" w:tblpX="1249" w:tblpY="498"/>
        <w:tblOverlap w:val="never"/>
        <w:tblW w:w="9586"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46"/>
        <w:gridCol w:w="1327"/>
        <w:gridCol w:w="1036"/>
        <w:gridCol w:w="647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32" w:hRule="atLeast"/>
        </w:trPr>
        <w:tc>
          <w:tcPr>
            <w:tcW w:w="746" w:type="dxa"/>
            <w:noWrap/>
            <w:vAlign w:val="center"/>
          </w:tcPr>
          <w:p>
            <w:pPr>
              <w:pStyle w:val="149"/>
              <w:spacing w:before="0" w:after="0" w:line="500" w:lineRule="exact"/>
              <w:ind w:firstLine="0"/>
              <w:rPr>
                <w:rFonts w:ascii="宋体" w:hAnsi="宋体" w:cs="宋体"/>
                <w:color w:val="auto"/>
                <w:szCs w:val="24"/>
              </w:rPr>
            </w:pPr>
            <w:r>
              <w:rPr>
                <w:rFonts w:hint="eastAsia" w:ascii="宋体" w:hAnsi="宋体" w:cs="宋体"/>
                <w:color w:val="auto"/>
                <w:szCs w:val="24"/>
              </w:rPr>
              <w:t>序号</w:t>
            </w:r>
          </w:p>
        </w:tc>
        <w:tc>
          <w:tcPr>
            <w:tcW w:w="1327" w:type="dxa"/>
            <w:noWrap/>
            <w:vAlign w:val="center"/>
          </w:tcPr>
          <w:p>
            <w:pPr>
              <w:pStyle w:val="149"/>
              <w:spacing w:before="0" w:after="0" w:line="500" w:lineRule="exact"/>
              <w:ind w:firstLine="0"/>
              <w:rPr>
                <w:rFonts w:ascii="宋体" w:hAnsi="宋体" w:cs="宋体"/>
                <w:color w:val="auto"/>
                <w:szCs w:val="24"/>
              </w:rPr>
            </w:pPr>
            <w:r>
              <w:rPr>
                <w:rFonts w:hint="eastAsia" w:ascii="宋体" w:hAnsi="宋体" w:cs="宋体"/>
                <w:color w:val="auto"/>
                <w:szCs w:val="24"/>
              </w:rPr>
              <w:t>考核项目</w:t>
            </w:r>
          </w:p>
        </w:tc>
        <w:tc>
          <w:tcPr>
            <w:tcW w:w="1036" w:type="dxa"/>
            <w:noWrap/>
            <w:vAlign w:val="center"/>
          </w:tcPr>
          <w:p>
            <w:pPr>
              <w:pStyle w:val="149"/>
              <w:spacing w:before="0" w:after="0" w:line="500" w:lineRule="exact"/>
              <w:ind w:firstLine="0"/>
              <w:rPr>
                <w:rFonts w:ascii="宋体" w:hAnsi="宋体" w:cs="宋体"/>
                <w:color w:val="auto"/>
                <w:szCs w:val="24"/>
              </w:rPr>
            </w:pPr>
            <w:r>
              <w:rPr>
                <w:rFonts w:hint="eastAsia" w:ascii="宋体" w:hAnsi="宋体" w:cs="宋体"/>
                <w:color w:val="auto"/>
                <w:szCs w:val="24"/>
              </w:rPr>
              <w:t>分数</w:t>
            </w:r>
          </w:p>
        </w:tc>
        <w:tc>
          <w:tcPr>
            <w:tcW w:w="6477" w:type="dxa"/>
            <w:noWrap/>
            <w:vAlign w:val="center"/>
          </w:tcPr>
          <w:p>
            <w:pPr>
              <w:pStyle w:val="149"/>
              <w:spacing w:before="0" w:after="0" w:line="500" w:lineRule="exact"/>
              <w:ind w:firstLine="2476" w:firstLineChars="1032"/>
              <w:rPr>
                <w:rFonts w:ascii="宋体" w:hAnsi="宋体" w:cs="宋体"/>
                <w:color w:val="auto"/>
                <w:szCs w:val="24"/>
              </w:rPr>
            </w:pPr>
            <w:r>
              <w:rPr>
                <w:rFonts w:hint="eastAsia" w:ascii="宋体" w:hAnsi="宋体" w:cs="宋体"/>
                <w:color w:val="auto"/>
                <w:szCs w:val="24"/>
              </w:rPr>
              <w:t>评分标准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96" w:hRule="atLeast"/>
        </w:trPr>
        <w:tc>
          <w:tcPr>
            <w:tcW w:w="9586" w:type="dxa"/>
            <w:gridSpan w:val="4"/>
            <w:tcBorders>
              <w:bottom w:val="single" w:color="auto" w:sz="4" w:space="0"/>
            </w:tcBorders>
            <w:noWrap/>
            <w:vAlign w:val="center"/>
          </w:tcPr>
          <w:p>
            <w:pPr>
              <w:pStyle w:val="21"/>
              <w:spacing w:line="440" w:lineRule="exact"/>
              <w:jc w:val="center"/>
              <w:rPr>
                <w:rFonts w:hint="eastAsia" w:hAnsi="宋体" w:cs="Times New Roman"/>
                <w:color w:val="auto"/>
              </w:rPr>
            </w:pPr>
            <w:r>
              <w:rPr>
                <w:rFonts w:hint="eastAsia" w:hAnsi="宋体" w:cs="Times New Roman"/>
                <w:color w:val="auto"/>
              </w:rPr>
              <w:t>报价部分30分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172" w:hRule="atLeast"/>
        </w:trPr>
        <w:tc>
          <w:tcPr>
            <w:tcW w:w="746" w:type="dxa"/>
            <w:tcBorders>
              <w:top w:val="single" w:color="auto" w:sz="4" w:space="0"/>
              <w:bottom w:val="single" w:color="auto" w:sz="4" w:space="0"/>
            </w:tcBorders>
            <w:noWrap/>
            <w:vAlign w:val="center"/>
          </w:tcPr>
          <w:p>
            <w:pPr>
              <w:pStyle w:val="21"/>
              <w:spacing w:line="440" w:lineRule="exact"/>
              <w:jc w:val="center"/>
              <w:rPr>
                <w:rFonts w:hint="eastAsia" w:hAnsi="宋体" w:eastAsia="宋体" w:cs="Times New Roman"/>
                <w:color w:val="auto"/>
                <w:lang w:eastAsia="zh-CN"/>
              </w:rPr>
            </w:pPr>
            <w:r>
              <w:rPr>
                <w:rFonts w:hint="eastAsia" w:hAnsi="宋体" w:cs="Times New Roman"/>
                <w:color w:val="auto"/>
                <w:lang w:val="en-US" w:eastAsia="zh-CN"/>
              </w:rPr>
              <w:t>1</w:t>
            </w:r>
          </w:p>
        </w:tc>
        <w:tc>
          <w:tcPr>
            <w:tcW w:w="1327" w:type="dxa"/>
            <w:tcBorders>
              <w:top w:val="single" w:color="auto" w:sz="4" w:space="0"/>
              <w:bottom w:val="single" w:color="auto" w:sz="4" w:space="0"/>
            </w:tcBorders>
            <w:noWrap/>
            <w:vAlign w:val="center"/>
          </w:tcPr>
          <w:p>
            <w:pPr>
              <w:pStyle w:val="21"/>
              <w:spacing w:line="440" w:lineRule="exact"/>
              <w:jc w:val="left"/>
              <w:rPr>
                <w:rFonts w:hint="eastAsia" w:hAnsi="宋体" w:cs="Times New Roman"/>
                <w:color w:val="auto"/>
              </w:rPr>
            </w:pPr>
            <w:r>
              <w:rPr>
                <w:rFonts w:hint="eastAsia" w:hAnsi="宋体" w:cs="Times New Roman"/>
                <w:color w:val="auto"/>
              </w:rPr>
              <w:t>报价</w:t>
            </w:r>
          </w:p>
        </w:tc>
        <w:tc>
          <w:tcPr>
            <w:tcW w:w="1036" w:type="dxa"/>
            <w:tcBorders>
              <w:top w:val="single" w:color="auto" w:sz="4" w:space="0"/>
              <w:bottom w:val="single" w:color="auto" w:sz="4" w:space="0"/>
            </w:tcBorders>
            <w:noWrap/>
            <w:vAlign w:val="center"/>
          </w:tcPr>
          <w:p>
            <w:pPr>
              <w:pStyle w:val="21"/>
              <w:spacing w:line="440" w:lineRule="exact"/>
              <w:jc w:val="center"/>
              <w:rPr>
                <w:rFonts w:hint="eastAsia" w:hAnsi="宋体" w:cs="Times New Roman"/>
                <w:color w:val="auto"/>
              </w:rPr>
            </w:pPr>
            <w:r>
              <w:rPr>
                <w:rFonts w:hint="eastAsia" w:hAnsi="宋体" w:cs="Times New Roman"/>
                <w:color w:val="auto"/>
              </w:rPr>
              <w:t>30分</w:t>
            </w:r>
          </w:p>
        </w:tc>
        <w:tc>
          <w:tcPr>
            <w:tcW w:w="6477" w:type="dxa"/>
            <w:tcBorders>
              <w:top w:val="single" w:color="auto" w:sz="4" w:space="0"/>
              <w:bottom w:val="single" w:color="auto" w:sz="4" w:space="0"/>
            </w:tcBorders>
            <w:noWrap/>
            <w:vAlign w:val="center"/>
          </w:tcPr>
          <w:p>
            <w:pPr>
              <w:pStyle w:val="21"/>
              <w:spacing w:line="440" w:lineRule="exact"/>
              <w:jc w:val="left"/>
              <w:rPr>
                <w:rFonts w:hint="eastAsia" w:hAnsi="宋体" w:cs="Times New Roman"/>
                <w:color w:val="auto"/>
              </w:rPr>
            </w:pPr>
            <w:r>
              <w:rPr>
                <w:rFonts w:hint="eastAsia" w:hAnsi="宋体" w:cs="Times New Roman"/>
                <w:color w:val="auto"/>
              </w:rPr>
              <w:t>综合评分法中的价格分统一采用低价优先法计算，即满足招标要求且投标价格最低的投标报价为评标基准价，其价格分为满分。其他投标人的价格分统一按照下列公式计算：投标报价得分=(评标基准价／投标报价)×价格权值×100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9586" w:type="dxa"/>
            <w:gridSpan w:val="4"/>
            <w:tcBorders>
              <w:top w:val="single" w:color="auto" w:sz="4" w:space="0"/>
              <w:bottom w:val="single" w:color="auto" w:sz="4" w:space="0"/>
            </w:tcBorders>
            <w:noWrap/>
            <w:vAlign w:val="bottom"/>
          </w:tcPr>
          <w:p>
            <w:pPr>
              <w:pStyle w:val="149"/>
              <w:spacing w:line="500" w:lineRule="exact"/>
              <w:ind w:firstLineChars="200"/>
              <w:jc w:val="center"/>
              <w:rPr>
                <w:rFonts w:ascii="宋体" w:hAnsi="宋体" w:cs="宋体"/>
                <w:color w:val="auto"/>
                <w:szCs w:val="24"/>
              </w:rPr>
            </w:pPr>
            <w:r>
              <w:rPr>
                <w:rFonts w:hint="eastAsia" w:ascii="宋体" w:hAnsi="宋体" w:eastAsia="宋体" w:cs="Times New Roman"/>
                <w:color w:val="auto"/>
                <w:kern w:val="0"/>
                <w:sz w:val="21"/>
                <w:szCs w:val="21"/>
                <w:lang w:val="en-US" w:eastAsia="zh-CN" w:bidi="ar-SA"/>
              </w:rPr>
              <w:t>技术部分70分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230" w:hRule="atLeast"/>
        </w:trPr>
        <w:tc>
          <w:tcPr>
            <w:tcW w:w="746" w:type="dxa"/>
            <w:vMerge w:val="restart"/>
            <w:tcBorders>
              <w:top w:val="single" w:color="auto" w:sz="4" w:space="0"/>
            </w:tcBorders>
            <w:noWrap/>
            <w:vAlign w:val="center"/>
          </w:tcPr>
          <w:p>
            <w:pPr>
              <w:pStyle w:val="149"/>
              <w:spacing w:line="500" w:lineRule="exact"/>
              <w:ind w:firstLine="240" w:firstLineChars="100"/>
              <w:jc w:val="center"/>
              <w:rPr>
                <w:rFonts w:hint="eastAsia" w:ascii="宋体" w:hAnsi="宋体" w:eastAsia="宋体" w:cs="宋体"/>
                <w:color w:val="auto"/>
                <w:szCs w:val="24"/>
                <w:lang w:val="en-US" w:eastAsia="zh-CN"/>
              </w:rPr>
            </w:pPr>
            <w:r>
              <w:rPr>
                <w:rFonts w:hint="eastAsia" w:ascii="宋体" w:hAnsi="宋体" w:cs="宋体"/>
                <w:color w:val="auto"/>
                <w:szCs w:val="24"/>
                <w:lang w:val="en-US" w:eastAsia="zh-CN"/>
              </w:rPr>
              <w:t>1</w:t>
            </w:r>
          </w:p>
        </w:tc>
        <w:tc>
          <w:tcPr>
            <w:tcW w:w="1327" w:type="dxa"/>
            <w:vMerge w:val="restart"/>
            <w:tcBorders>
              <w:top w:val="single" w:color="auto" w:sz="4" w:space="0"/>
            </w:tcBorders>
            <w:noWrap/>
            <w:vAlign w:val="center"/>
          </w:tcPr>
          <w:p>
            <w:pPr>
              <w:spacing w:line="500" w:lineRule="exact"/>
              <w:rPr>
                <w:rFonts w:hint="eastAsia" w:ascii="宋体" w:hAnsi="宋体" w:eastAsia="宋体" w:cs="宋体"/>
                <w:color w:val="auto"/>
                <w:sz w:val="24"/>
                <w:szCs w:val="24"/>
                <w:lang w:eastAsia="zh-CN"/>
              </w:rPr>
            </w:pPr>
            <w:r>
              <w:rPr>
                <w:rFonts w:hint="eastAsia" w:ascii="宋体" w:hAnsi="宋体" w:cs="宋体"/>
                <w:color w:val="auto"/>
                <w:sz w:val="24"/>
                <w:szCs w:val="24"/>
                <w:lang w:eastAsia="zh-CN"/>
              </w:rPr>
              <w:t>设计方案（</w:t>
            </w:r>
            <w:r>
              <w:rPr>
                <w:rFonts w:hint="eastAsia" w:ascii="宋体" w:hAnsi="宋体" w:cs="宋体"/>
                <w:color w:val="auto"/>
                <w:sz w:val="24"/>
                <w:szCs w:val="24"/>
                <w:lang w:val="en-US" w:eastAsia="zh-CN"/>
              </w:rPr>
              <w:t>16分</w:t>
            </w:r>
            <w:r>
              <w:rPr>
                <w:rFonts w:hint="eastAsia" w:ascii="宋体" w:hAnsi="宋体" w:cs="宋体"/>
                <w:color w:val="auto"/>
                <w:sz w:val="24"/>
                <w:szCs w:val="24"/>
                <w:lang w:eastAsia="zh-CN"/>
              </w:rPr>
              <w:t>）</w:t>
            </w:r>
          </w:p>
        </w:tc>
        <w:tc>
          <w:tcPr>
            <w:tcW w:w="1036" w:type="dxa"/>
            <w:vMerge w:val="restart"/>
            <w:tcBorders>
              <w:top w:val="single" w:color="auto" w:sz="4" w:space="0"/>
            </w:tcBorders>
            <w:noWrap/>
            <w:vAlign w:val="center"/>
          </w:tcPr>
          <w:p>
            <w:pPr>
              <w:pStyle w:val="21"/>
              <w:spacing w:line="440" w:lineRule="exact"/>
              <w:jc w:val="both"/>
              <w:rPr>
                <w:rFonts w:hAnsi="宋体"/>
                <w:color w:val="auto"/>
              </w:rPr>
            </w:pPr>
            <w:r>
              <w:rPr>
                <w:rFonts w:hint="eastAsia" w:hAnsi="宋体"/>
                <w:color w:val="auto"/>
              </w:rPr>
              <w:t>布展方案</w:t>
            </w:r>
          </w:p>
          <w:p>
            <w:pPr>
              <w:pStyle w:val="21"/>
              <w:spacing w:line="440" w:lineRule="exact"/>
              <w:jc w:val="center"/>
              <w:rPr>
                <w:rFonts w:ascii="宋体" w:hAnsi="宋体" w:cs="宋体"/>
                <w:color w:val="auto"/>
                <w:sz w:val="24"/>
                <w:szCs w:val="24"/>
              </w:rPr>
            </w:pPr>
            <w:r>
              <w:rPr>
                <w:rFonts w:hint="eastAsia" w:hAnsi="宋体"/>
                <w:color w:val="auto"/>
                <w:lang w:val="en-US" w:eastAsia="zh-CN"/>
              </w:rPr>
              <w:t>10</w:t>
            </w:r>
            <w:r>
              <w:rPr>
                <w:rFonts w:hint="eastAsia" w:hAnsi="宋体"/>
                <w:color w:val="auto"/>
              </w:rPr>
              <w:t>分</w:t>
            </w:r>
          </w:p>
        </w:tc>
        <w:tc>
          <w:tcPr>
            <w:tcW w:w="6477" w:type="dxa"/>
            <w:tcBorders>
              <w:top w:val="single" w:color="auto" w:sz="4" w:space="0"/>
              <w:bottom w:val="single" w:color="auto" w:sz="4" w:space="0"/>
            </w:tcBorders>
            <w:noWrap/>
            <w:vAlign w:val="center"/>
          </w:tcPr>
          <w:p>
            <w:pPr>
              <w:pStyle w:val="187"/>
              <w:numPr>
                <w:ilvl w:val="0"/>
                <w:numId w:val="0"/>
              </w:numPr>
              <w:spacing w:line="276" w:lineRule="auto"/>
              <w:ind w:left="0" w:leftChars="0" w:firstLine="0" w:firstLineChars="0"/>
              <w:rPr>
                <w:rFonts w:hint="eastAsia" w:ascii="宋体" w:hAnsi="宋体" w:eastAsia="宋体" w:cs="宋体"/>
                <w:color w:val="auto"/>
                <w:kern w:val="0"/>
                <w:sz w:val="21"/>
                <w:szCs w:val="21"/>
                <w:u w:val="none"/>
                <w:lang w:val="en-US" w:eastAsia="zh-CN" w:bidi="ar"/>
              </w:rPr>
            </w:pPr>
            <w:r>
              <w:rPr>
                <w:rFonts w:hint="eastAsia" w:ascii="宋体" w:hAnsi="宋体" w:eastAsia="宋体" w:cs="宋体"/>
                <w:color w:val="auto"/>
                <w:kern w:val="0"/>
                <w:sz w:val="21"/>
                <w:szCs w:val="21"/>
                <w:u w:val="none"/>
                <w:lang w:val="en-US" w:eastAsia="zh-CN" w:bidi="ar"/>
              </w:rPr>
              <w:t>提供设计方案效果展示图（含整体布局图、参观动线图、展项分布图、彩立面图纸、展项介绍图、施工图等），以上六项内容完整、针对性强、艺术性强、色彩搭配美观大方、建议科学合理，完全符合功能要求，得</w:t>
            </w:r>
            <w:r>
              <w:rPr>
                <w:rFonts w:hint="eastAsia" w:hAnsi="宋体" w:cs="宋体"/>
                <w:color w:val="auto"/>
                <w:kern w:val="0"/>
                <w:sz w:val="21"/>
                <w:szCs w:val="21"/>
                <w:u w:val="none"/>
                <w:lang w:val="en-US" w:eastAsia="zh-CN" w:bidi="ar"/>
              </w:rPr>
              <w:t>7</w:t>
            </w:r>
            <w:r>
              <w:rPr>
                <w:rFonts w:hint="eastAsia" w:ascii="宋体" w:hAnsi="宋体" w:eastAsia="宋体" w:cs="宋体"/>
                <w:color w:val="auto"/>
                <w:kern w:val="0"/>
                <w:sz w:val="21"/>
                <w:szCs w:val="21"/>
                <w:u w:val="none"/>
                <w:lang w:val="en-US" w:eastAsia="zh-CN" w:bidi="ar"/>
              </w:rPr>
              <w:t>分；内容比较完整、针对性强，色彩搭配较为美观、建议科学、</w:t>
            </w:r>
            <w:r>
              <w:rPr>
                <w:rFonts w:hint="eastAsia" w:hAnsi="宋体" w:cs="宋体"/>
                <w:color w:val="auto"/>
                <w:kern w:val="0"/>
                <w:sz w:val="21"/>
                <w:szCs w:val="21"/>
                <w:u w:val="none"/>
                <w:lang w:val="en-US" w:eastAsia="zh-CN" w:bidi="ar"/>
              </w:rPr>
              <w:t>基本</w:t>
            </w:r>
            <w:r>
              <w:rPr>
                <w:rFonts w:hint="eastAsia" w:ascii="宋体" w:hAnsi="宋体" w:eastAsia="宋体" w:cs="宋体"/>
                <w:color w:val="auto"/>
                <w:kern w:val="0"/>
                <w:sz w:val="21"/>
                <w:szCs w:val="21"/>
                <w:u w:val="none"/>
                <w:lang w:val="en-US" w:eastAsia="zh-CN" w:bidi="ar"/>
              </w:rPr>
              <w:t>符合功能要求得</w:t>
            </w:r>
            <w:r>
              <w:rPr>
                <w:rFonts w:hint="eastAsia" w:hAnsi="宋体" w:cs="宋体"/>
                <w:color w:val="auto"/>
                <w:kern w:val="0"/>
                <w:sz w:val="21"/>
                <w:szCs w:val="21"/>
                <w:u w:val="none"/>
                <w:lang w:val="en-US" w:eastAsia="zh-CN" w:bidi="ar"/>
              </w:rPr>
              <w:t>5</w:t>
            </w:r>
            <w:r>
              <w:rPr>
                <w:rFonts w:hint="eastAsia" w:ascii="宋体" w:hAnsi="宋体" w:eastAsia="宋体" w:cs="宋体"/>
                <w:color w:val="auto"/>
                <w:kern w:val="0"/>
                <w:sz w:val="21"/>
                <w:szCs w:val="21"/>
                <w:u w:val="none"/>
                <w:lang w:val="en-US" w:eastAsia="zh-CN" w:bidi="ar"/>
              </w:rPr>
              <w:t>分；内容不完整，针对性不强，色彩搭配效果一般，建议缺乏科学合理性得</w:t>
            </w:r>
            <w:r>
              <w:rPr>
                <w:rFonts w:hint="eastAsia" w:hAnsi="宋体" w:cs="宋体"/>
                <w:color w:val="auto"/>
                <w:kern w:val="0"/>
                <w:sz w:val="21"/>
                <w:szCs w:val="21"/>
                <w:u w:val="none"/>
                <w:lang w:val="en-US" w:eastAsia="zh-CN" w:bidi="ar"/>
              </w:rPr>
              <w:t>3</w:t>
            </w:r>
            <w:r>
              <w:rPr>
                <w:rFonts w:hint="eastAsia" w:ascii="宋体" w:hAnsi="宋体" w:eastAsia="宋体" w:cs="宋体"/>
                <w:color w:val="auto"/>
                <w:kern w:val="0"/>
                <w:sz w:val="21"/>
                <w:szCs w:val="21"/>
                <w:u w:val="none"/>
                <w:lang w:val="en-US" w:eastAsia="zh-CN" w:bidi="ar"/>
              </w:rPr>
              <w:t>分；以上六项内容未提供者不得分。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249" w:hRule="atLeast"/>
        </w:trPr>
        <w:tc>
          <w:tcPr>
            <w:tcW w:w="746" w:type="dxa"/>
            <w:vMerge w:val="continue"/>
            <w:noWrap/>
            <w:vAlign w:val="center"/>
          </w:tcPr>
          <w:p>
            <w:pPr>
              <w:pStyle w:val="149"/>
              <w:spacing w:line="500" w:lineRule="exact"/>
              <w:ind w:firstLine="240" w:firstLineChars="100"/>
              <w:jc w:val="center"/>
              <w:rPr>
                <w:rFonts w:hint="eastAsia" w:ascii="宋体" w:hAnsi="宋体" w:cs="宋体"/>
                <w:color w:val="auto"/>
                <w:szCs w:val="24"/>
                <w:lang w:val="en-US" w:eastAsia="zh-CN"/>
              </w:rPr>
            </w:pPr>
          </w:p>
        </w:tc>
        <w:tc>
          <w:tcPr>
            <w:tcW w:w="1327" w:type="dxa"/>
            <w:vMerge w:val="continue"/>
            <w:noWrap/>
            <w:vAlign w:val="center"/>
          </w:tcPr>
          <w:p>
            <w:pPr>
              <w:spacing w:line="500" w:lineRule="exact"/>
              <w:rPr>
                <w:rFonts w:hint="eastAsia" w:ascii="宋体" w:hAnsi="宋体" w:cs="宋体"/>
                <w:color w:val="auto"/>
                <w:sz w:val="24"/>
                <w:szCs w:val="24"/>
                <w:lang w:eastAsia="zh-CN"/>
              </w:rPr>
            </w:pPr>
          </w:p>
        </w:tc>
        <w:tc>
          <w:tcPr>
            <w:tcW w:w="1036" w:type="dxa"/>
            <w:vMerge w:val="continue"/>
            <w:tcBorders>
              <w:bottom w:val="single" w:color="auto" w:sz="4" w:space="0"/>
            </w:tcBorders>
            <w:noWrap/>
            <w:vAlign w:val="center"/>
          </w:tcPr>
          <w:p>
            <w:pPr>
              <w:pStyle w:val="21"/>
              <w:spacing w:line="440" w:lineRule="exact"/>
              <w:jc w:val="center"/>
              <w:rPr>
                <w:rFonts w:ascii="宋体" w:hAnsi="宋体" w:cs="宋体"/>
                <w:color w:val="auto"/>
                <w:sz w:val="24"/>
                <w:szCs w:val="24"/>
              </w:rPr>
            </w:pPr>
          </w:p>
        </w:tc>
        <w:tc>
          <w:tcPr>
            <w:tcW w:w="6477" w:type="dxa"/>
            <w:tcBorders>
              <w:top w:val="single" w:color="auto" w:sz="4" w:space="0"/>
              <w:bottom w:val="single" w:color="auto" w:sz="4" w:space="0"/>
            </w:tcBorders>
            <w:noWrap/>
            <w:vAlign w:val="center"/>
          </w:tcPr>
          <w:p>
            <w:pPr>
              <w:pStyle w:val="187"/>
              <w:numPr>
                <w:ilvl w:val="0"/>
                <w:numId w:val="0"/>
              </w:numPr>
              <w:spacing w:line="276" w:lineRule="auto"/>
              <w:ind w:left="0" w:leftChars="0" w:firstLine="0" w:firstLineChars="0"/>
              <w:rPr>
                <w:rFonts w:hint="eastAsia" w:ascii="宋体" w:hAnsi="宋体" w:eastAsia="宋体" w:cs="宋体"/>
                <w:color w:val="auto"/>
                <w:kern w:val="0"/>
                <w:sz w:val="21"/>
                <w:szCs w:val="21"/>
                <w:u w:val="none"/>
                <w:lang w:val="en-US" w:eastAsia="zh-CN" w:bidi="ar"/>
              </w:rPr>
            </w:pPr>
            <w:r>
              <w:rPr>
                <w:rFonts w:hint="eastAsia" w:ascii="宋体" w:hAnsi="宋体" w:eastAsia="宋体" w:cs="宋体"/>
                <w:color w:val="auto"/>
                <w:kern w:val="0"/>
                <w:sz w:val="21"/>
                <w:szCs w:val="21"/>
                <w:u w:val="none"/>
                <w:lang w:val="en-US" w:eastAsia="zh-CN" w:bidi="ar"/>
              </w:rPr>
              <w:t>提供的展项介绍、布展内容、大纲等内容十分完整、详细、清晰、合理、全面得得</w:t>
            </w:r>
            <w:r>
              <w:rPr>
                <w:rFonts w:hint="eastAsia" w:hAnsi="宋体" w:cs="宋体"/>
                <w:color w:val="auto"/>
                <w:kern w:val="0"/>
                <w:sz w:val="21"/>
                <w:szCs w:val="21"/>
                <w:u w:val="none"/>
                <w:lang w:val="en-US" w:eastAsia="zh-CN" w:bidi="ar"/>
              </w:rPr>
              <w:t>3</w:t>
            </w:r>
            <w:r>
              <w:rPr>
                <w:rFonts w:hint="eastAsia" w:ascii="宋体" w:hAnsi="宋体" w:eastAsia="宋体" w:cs="宋体"/>
                <w:color w:val="auto"/>
                <w:kern w:val="0"/>
                <w:sz w:val="21"/>
                <w:szCs w:val="21"/>
                <w:u w:val="none"/>
                <w:lang w:val="en-US" w:eastAsia="zh-CN" w:bidi="ar"/>
              </w:rPr>
              <w:t>分；提供的展项介绍、布展内容、大纲等内容比较完整、比较详细、比较清晰、比较合理、全面得得</w:t>
            </w:r>
            <w:r>
              <w:rPr>
                <w:rFonts w:hint="eastAsia" w:hAnsi="宋体" w:cs="宋体"/>
                <w:color w:val="auto"/>
                <w:kern w:val="0"/>
                <w:sz w:val="21"/>
                <w:szCs w:val="21"/>
                <w:u w:val="none"/>
                <w:lang w:val="en-US" w:eastAsia="zh-CN" w:bidi="ar"/>
              </w:rPr>
              <w:t>2</w:t>
            </w:r>
            <w:r>
              <w:rPr>
                <w:rFonts w:hint="eastAsia" w:ascii="宋体" w:hAnsi="宋体" w:eastAsia="宋体" w:cs="宋体"/>
                <w:color w:val="auto"/>
                <w:kern w:val="0"/>
                <w:sz w:val="21"/>
                <w:szCs w:val="21"/>
                <w:u w:val="none"/>
                <w:lang w:val="en-US" w:eastAsia="zh-CN" w:bidi="ar"/>
              </w:rPr>
              <w:t>分；提供的展项介绍、布展内容、大纲等内容较为完整、需要进一步细化、表述不够清晰、不够合理、不够全面得得1分；未提供展项介绍、布展内容、大纲等内容不得分。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230" w:hRule="atLeast"/>
        </w:trPr>
        <w:tc>
          <w:tcPr>
            <w:tcW w:w="746" w:type="dxa"/>
            <w:vMerge w:val="continue"/>
            <w:noWrap/>
            <w:vAlign w:val="center"/>
          </w:tcPr>
          <w:p>
            <w:pPr>
              <w:pStyle w:val="149"/>
              <w:spacing w:line="500" w:lineRule="exact"/>
              <w:ind w:firstLine="240" w:firstLineChars="100"/>
              <w:jc w:val="center"/>
              <w:rPr>
                <w:rFonts w:hint="eastAsia" w:ascii="宋体" w:hAnsi="宋体" w:cs="宋体"/>
                <w:color w:val="auto"/>
                <w:szCs w:val="24"/>
                <w:lang w:val="en-US" w:eastAsia="zh-CN"/>
              </w:rPr>
            </w:pPr>
          </w:p>
        </w:tc>
        <w:tc>
          <w:tcPr>
            <w:tcW w:w="1327" w:type="dxa"/>
            <w:vMerge w:val="continue"/>
            <w:noWrap/>
            <w:vAlign w:val="center"/>
          </w:tcPr>
          <w:p>
            <w:pPr>
              <w:spacing w:line="500" w:lineRule="exact"/>
              <w:rPr>
                <w:rFonts w:hint="eastAsia" w:ascii="宋体" w:hAnsi="宋体" w:cs="宋体"/>
                <w:color w:val="auto"/>
                <w:sz w:val="24"/>
                <w:szCs w:val="24"/>
                <w:lang w:eastAsia="zh-CN"/>
              </w:rPr>
            </w:pPr>
          </w:p>
        </w:tc>
        <w:tc>
          <w:tcPr>
            <w:tcW w:w="1036" w:type="dxa"/>
            <w:tcBorders>
              <w:top w:val="single" w:color="auto" w:sz="4" w:space="0"/>
              <w:bottom w:val="single" w:color="auto" w:sz="4" w:space="0"/>
            </w:tcBorders>
            <w:noWrap/>
            <w:vAlign w:val="center"/>
          </w:tcPr>
          <w:p>
            <w:pPr>
              <w:pStyle w:val="21"/>
              <w:spacing w:line="440" w:lineRule="exact"/>
              <w:jc w:val="center"/>
              <w:rPr>
                <w:rFonts w:hint="eastAsia" w:hAnsi="宋体" w:eastAsia="宋体"/>
                <w:color w:val="auto"/>
                <w:lang w:eastAsia="zh-CN"/>
              </w:rPr>
            </w:pPr>
            <w:r>
              <w:rPr>
                <w:rFonts w:hint="eastAsia" w:hAnsi="宋体"/>
                <w:color w:val="auto"/>
              </w:rPr>
              <w:t>整体方案</w:t>
            </w:r>
          </w:p>
          <w:p>
            <w:pPr>
              <w:pStyle w:val="21"/>
              <w:spacing w:line="440" w:lineRule="exact"/>
              <w:jc w:val="center"/>
              <w:rPr>
                <w:rFonts w:hint="eastAsia" w:ascii="宋体" w:hAnsi="宋体" w:eastAsia="宋体" w:cs="宋体"/>
                <w:color w:val="auto"/>
                <w:kern w:val="0"/>
                <w:sz w:val="24"/>
                <w:szCs w:val="24"/>
                <w:lang w:val="en-US" w:eastAsia="zh-CN" w:bidi="ar-SA"/>
              </w:rPr>
            </w:pPr>
            <w:r>
              <w:rPr>
                <w:rFonts w:hint="eastAsia" w:hAnsi="宋体"/>
                <w:color w:val="auto"/>
                <w:lang w:val="en-US" w:eastAsia="zh-CN"/>
              </w:rPr>
              <w:t>6</w:t>
            </w:r>
            <w:r>
              <w:rPr>
                <w:rFonts w:hint="eastAsia" w:hAnsi="宋体"/>
                <w:color w:val="auto"/>
              </w:rPr>
              <w:t>分</w:t>
            </w:r>
          </w:p>
        </w:tc>
        <w:tc>
          <w:tcPr>
            <w:tcW w:w="6477" w:type="dxa"/>
            <w:tcBorders>
              <w:top w:val="single" w:color="auto" w:sz="4" w:space="0"/>
              <w:bottom w:val="single" w:color="auto" w:sz="4" w:space="0"/>
            </w:tcBorders>
            <w:noWrap/>
            <w:vAlign w:val="center"/>
          </w:tcPr>
          <w:p>
            <w:pPr>
              <w:pStyle w:val="21"/>
              <w:spacing w:line="440" w:lineRule="exact"/>
              <w:jc w:val="left"/>
              <w:rPr>
                <w:rFonts w:hint="eastAsia" w:ascii="宋体" w:hAnsi="宋体" w:eastAsia="宋体" w:cs="宋体"/>
                <w:color w:val="auto"/>
                <w:kern w:val="0"/>
                <w:sz w:val="21"/>
                <w:szCs w:val="21"/>
                <w:u w:val="none"/>
                <w:lang w:val="en-US" w:eastAsia="zh-CN" w:bidi="ar"/>
              </w:rPr>
            </w:pPr>
            <w:r>
              <w:rPr>
                <w:rFonts w:hint="eastAsia" w:hAnsi="宋体"/>
                <w:color w:val="auto"/>
              </w:rPr>
              <w:t>根据</w:t>
            </w:r>
            <w:r>
              <w:rPr>
                <w:rFonts w:hint="eastAsia" w:hAnsi="宋体"/>
                <w:color w:val="auto"/>
                <w:lang w:eastAsia="zh-CN"/>
              </w:rPr>
              <w:t>投标人</w:t>
            </w:r>
            <w:r>
              <w:rPr>
                <w:rFonts w:hint="eastAsia" w:hAnsi="宋体"/>
                <w:color w:val="auto"/>
              </w:rPr>
              <w:t>提供的设计、拆除、改造、硬装、版面制作、设备配置等整体实施方案</w:t>
            </w:r>
            <w:r>
              <w:rPr>
                <w:rFonts w:ascii="宋体" w:hAnsi="宋体" w:eastAsia="宋体" w:cs="宋体"/>
                <w:color w:val="auto"/>
                <w:kern w:val="0"/>
                <w:sz w:val="21"/>
                <w:szCs w:val="21"/>
                <w:u w:val="none"/>
                <w:lang w:val="en-US" w:eastAsia="zh-CN" w:bidi="ar"/>
              </w:rPr>
              <w:t>完整</w:t>
            </w:r>
            <w:r>
              <w:rPr>
                <w:rFonts w:hint="eastAsia" w:hAnsi="宋体" w:cs="宋体"/>
                <w:color w:val="auto"/>
                <w:kern w:val="0"/>
                <w:sz w:val="21"/>
                <w:szCs w:val="21"/>
                <w:u w:val="none"/>
                <w:lang w:val="en-US" w:eastAsia="zh-CN" w:bidi="ar"/>
              </w:rPr>
              <w:t>具体，</w:t>
            </w:r>
            <w:r>
              <w:rPr>
                <w:rFonts w:ascii="宋体" w:hAnsi="宋体" w:eastAsia="宋体" w:cs="宋体"/>
                <w:color w:val="auto"/>
                <w:kern w:val="0"/>
                <w:sz w:val="21"/>
                <w:szCs w:val="21"/>
                <w:u w:val="none"/>
                <w:lang w:val="en-US" w:eastAsia="zh-CN" w:bidi="ar"/>
              </w:rPr>
              <w:t>措施</w:t>
            </w:r>
            <w:r>
              <w:rPr>
                <w:rFonts w:hint="eastAsia" w:hAnsi="宋体" w:cs="宋体"/>
                <w:color w:val="auto"/>
                <w:kern w:val="0"/>
                <w:sz w:val="21"/>
                <w:szCs w:val="21"/>
                <w:u w:val="none"/>
                <w:lang w:val="en-US" w:eastAsia="zh-CN" w:bidi="ar"/>
              </w:rPr>
              <w:t>科学可行，</w:t>
            </w:r>
            <w:r>
              <w:rPr>
                <w:rFonts w:ascii="宋体" w:hAnsi="宋体" w:eastAsia="宋体" w:cs="宋体"/>
                <w:color w:val="auto"/>
                <w:kern w:val="0"/>
                <w:sz w:val="21"/>
                <w:szCs w:val="21"/>
                <w:u w:val="none"/>
                <w:lang w:val="en-US" w:eastAsia="zh-CN" w:bidi="ar"/>
              </w:rPr>
              <w:t>完全符合要求得</w:t>
            </w:r>
            <w:r>
              <w:rPr>
                <w:rFonts w:hint="eastAsia" w:hAnsi="宋体" w:cs="宋体"/>
                <w:color w:val="auto"/>
                <w:kern w:val="0"/>
                <w:sz w:val="21"/>
                <w:szCs w:val="21"/>
                <w:u w:val="none"/>
                <w:lang w:val="en-US" w:eastAsia="zh-CN" w:bidi="ar"/>
              </w:rPr>
              <w:t>6分；</w:t>
            </w:r>
            <w:r>
              <w:rPr>
                <w:rFonts w:hint="eastAsia" w:hAnsi="宋体"/>
                <w:color w:val="auto"/>
              </w:rPr>
              <w:t>整体实施方案</w:t>
            </w:r>
            <w:r>
              <w:rPr>
                <w:rFonts w:hint="eastAsia" w:hAnsi="宋体" w:cs="宋体"/>
                <w:color w:val="auto"/>
                <w:kern w:val="0"/>
                <w:sz w:val="21"/>
                <w:szCs w:val="21"/>
                <w:u w:val="none"/>
                <w:lang w:val="en-US" w:eastAsia="zh-CN" w:bidi="ar"/>
              </w:rPr>
              <w:t>基本</w:t>
            </w:r>
            <w:r>
              <w:rPr>
                <w:rFonts w:ascii="宋体" w:hAnsi="宋体" w:eastAsia="宋体" w:cs="宋体"/>
                <w:color w:val="auto"/>
                <w:kern w:val="0"/>
                <w:sz w:val="21"/>
                <w:szCs w:val="21"/>
                <w:u w:val="none"/>
                <w:lang w:val="en-US" w:eastAsia="zh-CN" w:bidi="ar"/>
              </w:rPr>
              <w:t>符合要求得</w:t>
            </w:r>
            <w:r>
              <w:rPr>
                <w:rFonts w:hint="eastAsia" w:hAnsi="宋体" w:cs="宋体"/>
                <w:color w:val="auto"/>
                <w:kern w:val="0"/>
                <w:sz w:val="21"/>
                <w:szCs w:val="21"/>
                <w:u w:val="none"/>
                <w:lang w:val="en-US" w:eastAsia="zh-CN" w:bidi="ar"/>
              </w:rPr>
              <w:t>3分；</w:t>
            </w:r>
            <w:r>
              <w:rPr>
                <w:rFonts w:hint="eastAsia" w:hAnsi="宋体"/>
                <w:color w:val="auto"/>
              </w:rPr>
              <w:t>整体实施方案</w:t>
            </w:r>
            <w:r>
              <w:rPr>
                <w:rFonts w:hint="eastAsia" w:hAnsi="宋体" w:cs="宋体"/>
                <w:color w:val="auto"/>
                <w:kern w:val="0"/>
                <w:sz w:val="21"/>
                <w:szCs w:val="21"/>
                <w:u w:val="none"/>
                <w:lang w:val="en-US" w:eastAsia="zh-CN" w:bidi="ar"/>
              </w:rPr>
              <w:t>有缺陷，不</w:t>
            </w:r>
            <w:r>
              <w:rPr>
                <w:rFonts w:ascii="宋体" w:hAnsi="宋体" w:eastAsia="宋体" w:cs="宋体"/>
                <w:color w:val="auto"/>
                <w:kern w:val="0"/>
                <w:sz w:val="21"/>
                <w:szCs w:val="21"/>
                <w:u w:val="none"/>
                <w:lang w:val="en-US" w:eastAsia="zh-CN" w:bidi="ar"/>
              </w:rPr>
              <w:t>符合要求得</w:t>
            </w:r>
            <w:r>
              <w:rPr>
                <w:rFonts w:hint="eastAsia" w:hAnsi="宋体" w:cs="宋体"/>
                <w:color w:val="auto"/>
                <w:kern w:val="0"/>
                <w:sz w:val="21"/>
                <w:szCs w:val="21"/>
                <w:u w:val="none"/>
                <w:lang w:val="en-US" w:eastAsia="zh-CN" w:bidi="ar"/>
              </w:rPr>
              <w:t>0分；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525" w:hRule="atLeast"/>
        </w:trPr>
        <w:tc>
          <w:tcPr>
            <w:tcW w:w="746" w:type="dxa"/>
            <w:vMerge w:val="restart"/>
            <w:tcBorders>
              <w:top w:val="single" w:color="auto" w:sz="4" w:space="0"/>
            </w:tcBorders>
            <w:noWrap/>
            <w:vAlign w:val="center"/>
          </w:tcPr>
          <w:p>
            <w:pPr>
              <w:pStyle w:val="149"/>
              <w:spacing w:line="500" w:lineRule="exact"/>
              <w:ind w:firstLine="240" w:firstLineChars="100"/>
              <w:rPr>
                <w:rFonts w:hint="eastAsia" w:ascii="宋体" w:hAnsi="宋体" w:eastAsia="宋体" w:cs="宋体"/>
                <w:color w:val="auto"/>
                <w:szCs w:val="24"/>
                <w:lang w:eastAsia="zh-CN"/>
              </w:rPr>
            </w:pPr>
            <w:r>
              <w:rPr>
                <w:rFonts w:hint="eastAsia" w:ascii="宋体" w:hAnsi="宋体" w:cs="宋体"/>
                <w:color w:val="auto"/>
                <w:szCs w:val="24"/>
                <w:lang w:val="en-US" w:eastAsia="zh-CN"/>
              </w:rPr>
              <w:t>2</w:t>
            </w:r>
          </w:p>
        </w:tc>
        <w:tc>
          <w:tcPr>
            <w:tcW w:w="1327" w:type="dxa"/>
            <w:vMerge w:val="restart"/>
            <w:tcBorders>
              <w:top w:val="single" w:color="auto" w:sz="4" w:space="0"/>
            </w:tcBorders>
            <w:noWrap/>
            <w:vAlign w:val="center"/>
          </w:tcPr>
          <w:p>
            <w:pPr>
              <w:spacing w:line="500" w:lineRule="exact"/>
              <w:jc w:val="center"/>
              <w:rPr>
                <w:rFonts w:hint="eastAsia" w:ascii="宋体" w:hAnsi="宋体" w:eastAsia="宋体" w:cs="宋体"/>
                <w:color w:val="auto"/>
                <w:sz w:val="24"/>
                <w:szCs w:val="24"/>
                <w:lang w:eastAsia="zh-CN"/>
              </w:rPr>
            </w:pPr>
            <w:r>
              <w:rPr>
                <w:rFonts w:hint="eastAsia" w:ascii="宋体" w:hAnsi="宋体" w:cs="宋体"/>
                <w:color w:val="auto"/>
                <w:sz w:val="24"/>
                <w:szCs w:val="24"/>
                <w:lang w:eastAsia="zh-CN"/>
              </w:rPr>
              <w:t>装修</w:t>
            </w:r>
            <w:r>
              <w:rPr>
                <w:rFonts w:hint="eastAsia" w:ascii="宋体" w:hAnsi="宋体" w:cs="宋体"/>
                <w:color w:val="auto"/>
                <w:sz w:val="24"/>
                <w:szCs w:val="24"/>
                <w:lang w:val="en-US" w:eastAsia="zh-CN"/>
              </w:rPr>
              <w:t>部分</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12分</w:t>
            </w:r>
            <w:r>
              <w:rPr>
                <w:rFonts w:hint="eastAsia" w:ascii="宋体" w:hAnsi="宋体" w:cs="宋体"/>
                <w:color w:val="auto"/>
                <w:sz w:val="24"/>
                <w:szCs w:val="24"/>
                <w:lang w:eastAsia="zh-CN"/>
              </w:rPr>
              <w:t>）</w:t>
            </w:r>
          </w:p>
        </w:tc>
        <w:tc>
          <w:tcPr>
            <w:tcW w:w="1036" w:type="dxa"/>
            <w:tcBorders>
              <w:top w:val="single" w:color="auto" w:sz="4" w:space="0"/>
            </w:tcBorders>
            <w:noWrap/>
            <w:vAlign w:val="center"/>
          </w:tcPr>
          <w:p>
            <w:pPr>
              <w:pStyle w:val="21"/>
              <w:spacing w:line="440" w:lineRule="exact"/>
              <w:jc w:val="center"/>
              <w:rPr>
                <w:rFonts w:hint="default" w:hAnsi="宋体" w:eastAsia="宋体"/>
                <w:color w:val="auto"/>
                <w:lang w:val="en-US" w:eastAsia="zh-CN"/>
              </w:rPr>
            </w:pPr>
            <w:r>
              <w:rPr>
                <w:rFonts w:hint="eastAsia" w:ascii="宋体" w:hAnsi="宋体" w:cs="宋体"/>
                <w:color w:val="auto"/>
                <w:kern w:val="0"/>
                <w:sz w:val="21"/>
                <w:szCs w:val="21"/>
                <w:lang w:val="en-US" w:eastAsia="zh-CN" w:bidi="ar-SA"/>
              </w:rPr>
              <w:t>施工方法、</w:t>
            </w:r>
            <w:r>
              <w:rPr>
                <w:rFonts w:hint="eastAsia" w:ascii="宋体" w:hAnsi="宋体" w:eastAsia="宋体" w:cs="宋体"/>
                <w:color w:val="auto"/>
                <w:kern w:val="0"/>
                <w:sz w:val="21"/>
                <w:szCs w:val="21"/>
                <w:lang w:val="en-US" w:eastAsia="zh-CN" w:bidi="ar-SA"/>
              </w:rPr>
              <w:t>进度计划</w:t>
            </w:r>
            <w:r>
              <w:rPr>
                <w:rFonts w:hint="eastAsia" w:hAnsi="宋体" w:cs="宋体"/>
                <w:color w:val="auto"/>
                <w:kern w:val="0"/>
                <w:sz w:val="21"/>
                <w:szCs w:val="21"/>
                <w:lang w:val="en-US" w:eastAsia="zh-CN" w:bidi="ar-SA"/>
              </w:rPr>
              <w:t>5</w:t>
            </w:r>
            <w:r>
              <w:rPr>
                <w:rFonts w:hint="eastAsia" w:hAnsi="宋体"/>
                <w:color w:val="auto"/>
                <w:lang w:val="en-US" w:eastAsia="zh-CN"/>
              </w:rPr>
              <w:t>分</w:t>
            </w:r>
          </w:p>
        </w:tc>
        <w:tc>
          <w:tcPr>
            <w:tcW w:w="6477" w:type="dxa"/>
            <w:tcBorders>
              <w:top w:val="single" w:color="auto" w:sz="4" w:space="0"/>
              <w:bottom w:val="single" w:color="auto" w:sz="4" w:space="0"/>
            </w:tcBorders>
            <w:noWrap/>
            <w:vAlign w:val="center"/>
          </w:tcPr>
          <w:p>
            <w:pPr>
              <w:pStyle w:val="187"/>
              <w:spacing w:line="276" w:lineRule="auto"/>
              <w:rPr>
                <w:rFonts w:hint="default" w:ascii="宋体" w:hAnsi="宋体" w:eastAsia="宋体"/>
                <w:color w:val="auto"/>
                <w:sz w:val="21"/>
                <w:szCs w:val="21"/>
                <w:lang w:val="en-US" w:eastAsia="zh-CN"/>
              </w:rPr>
            </w:pPr>
            <w:r>
              <w:rPr>
                <w:rFonts w:hint="eastAsia" w:hAnsi="宋体"/>
                <w:color w:val="auto"/>
                <w:sz w:val="21"/>
                <w:szCs w:val="21"/>
                <w:lang w:val="en-US" w:eastAsia="zh-CN"/>
              </w:rPr>
              <w:t>施工方法先进、设备、劳动力、施工进度计划合理，可有效缩短工期</w:t>
            </w:r>
            <w:r>
              <w:rPr>
                <w:rFonts w:hint="eastAsia" w:ascii="宋体" w:hAnsi="宋体"/>
                <w:color w:val="auto"/>
                <w:sz w:val="21"/>
                <w:szCs w:val="21"/>
              </w:rPr>
              <w:t>得</w:t>
            </w:r>
            <w:r>
              <w:rPr>
                <w:rFonts w:hint="eastAsia" w:hAnsi="宋体"/>
                <w:color w:val="auto"/>
                <w:sz w:val="21"/>
                <w:szCs w:val="21"/>
                <w:lang w:val="en-US" w:eastAsia="zh-CN"/>
              </w:rPr>
              <w:t>5</w:t>
            </w:r>
            <w:r>
              <w:rPr>
                <w:rFonts w:hint="eastAsia" w:ascii="宋体" w:hAnsi="宋体"/>
                <w:color w:val="auto"/>
                <w:sz w:val="21"/>
                <w:szCs w:val="21"/>
              </w:rPr>
              <w:t>分</w:t>
            </w:r>
            <w:r>
              <w:rPr>
                <w:rFonts w:hint="eastAsia" w:hAnsi="宋体"/>
                <w:color w:val="auto"/>
                <w:sz w:val="21"/>
                <w:szCs w:val="21"/>
                <w:lang w:eastAsia="zh-CN"/>
              </w:rPr>
              <w:t>；</w:t>
            </w:r>
            <w:r>
              <w:rPr>
                <w:rFonts w:hint="eastAsia" w:hAnsi="宋体"/>
                <w:color w:val="auto"/>
                <w:sz w:val="21"/>
                <w:szCs w:val="21"/>
                <w:lang w:val="en-US" w:eastAsia="zh-CN"/>
              </w:rPr>
              <w:t>施工方法比较先进、设备、劳动力、施工进度计划基本合理</w:t>
            </w:r>
            <w:r>
              <w:rPr>
                <w:rFonts w:hint="eastAsia" w:ascii="宋体" w:hAnsi="宋体"/>
                <w:color w:val="auto"/>
                <w:sz w:val="21"/>
                <w:szCs w:val="21"/>
              </w:rPr>
              <w:t>得</w:t>
            </w:r>
            <w:r>
              <w:rPr>
                <w:rFonts w:hint="eastAsia" w:hAnsi="宋体"/>
                <w:color w:val="auto"/>
                <w:sz w:val="21"/>
                <w:szCs w:val="21"/>
                <w:lang w:val="en-US" w:eastAsia="zh-CN"/>
              </w:rPr>
              <w:t>3</w:t>
            </w:r>
            <w:r>
              <w:rPr>
                <w:rFonts w:hint="eastAsia" w:ascii="宋体" w:hAnsi="宋体"/>
                <w:color w:val="auto"/>
                <w:sz w:val="21"/>
                <w:szCs w:val="21"/>
              </w:rPr>
              <w:t>分</w:t>
            </w:r>
            <w:r>
              <w:rPr>
                <w:rFonts w:hint="eastAsia" w:hAnsi="宋体"/>
                <w:color w:val="auto"/>
                <w:sz w:val="21"/>
                <w:szCs w:val="21"/>
                <w:lang w:eastAsia="zh-CN"/>
              </w:rPr>
              <w:t>；</w:t>
            </w:r>
            <w:r>
              <w:rPr>
                <w:rFonts w:hint="eastAsia" w:hAnsi="宋体"/>
                <w:color w:val="auto"/>
                <w:sz w:val="21"/>
                <w:szCs w:val="21"/>
                <w:lang w:val="en-US" w:eastAsia="zh-CN"/>
              </w:rPr>
              <w:t>施工方法较为传统，无新方法、设备、劳动力、施工进度计划安排不够合理</w:t>
            </w:r>
            <w:r>
              <w:rPr>
                <w:rFonts w:hint="eastAsia" w:ascii="宋体" w:hAnsi="宋体"/>
                <w:color w:val="auto"/>
                <w:sz w:val="21"/>
                <w:szCs w:val="21"/>
              </w:rPr>
              <w:t>得</w:t>
            </w:r>
            <w:r>
              <w:rPr>
                <w:rFonts w:hint="eastAsia" w:hAnsi="宋体"/>
                <w:color w:val="auto"/>
                <w:sz w:val="21"/>
                <w:szCs w:val="21"/>
                <w:lang w:val="en-US" w:eastAsia="zh-CN"/>
              </w:rPr>
              <w:t>2</w:t>
            </w:r>
            <w:r>
              <w:rPr>
                <w:rFonts w:hint="eastAsia" w:ascii="宋体" w:hAnsi="宋体"/>
                <w:color w:val="auto"/>
                <w:sz w:val="21"/>
                <w:szCs w:val="21"/>
              </w:rPr>
              <w:t>分，</w:t>
            </w:r>
            <w:r>
              <w:rPr>
                <w:rFonts w:hint="eastAsia" w:hAnsi="宋体"/>
                <w:color w:val="auto"/>
                <w:sz w:val="21"/>
                <w:szCs w:val="21"/>
                <w:lang w:val="en-US" w:eastAsia="zh-CN"/>
              </w:rPr>
              <w:t>未提供</w:t>
            </w:r>
            <w:r>
              <w:rPr>
                <w:rFonts w:hint="eastAsia" w:hAnsi="宋体" w:cs="宋体"/>
                <w:color w:val="auto"/>
                <w:kern w:val="0"/>
                <w:sz w:val="21"/>
                <w:szCs w:val="21"/>
                <w:lang w:val="en-US" w:eastAsia="zh-CN" w:bidi="ar-SA"/>
              </w:rPr>
              <w:t>的不得分。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279" w:hRule="atLeast"/>
        </w:trPr>
        <w:tc>
          <w:tcPr>
            <w:tcW w:w="746" w:type="dxa"/>
            <w:vMerge w:val="continue"/>
            <w:noWrap/>
            <w:vAlign w:val="center"/>
          </w:tcPr>
          <w:p>
            <w:pPr>
              <w:pStyle w:val="149"/>
              <w:spacing w:line="500" w:lineRule="exact"/>
              <w:ind w:firstLine="240" w:firstLineChars="100"/>
              <w:rPr>
                <w:rFonts w:hint="eastAsia" w:ascii="宋体" w:hAnsi="宋体" w:eastAsia="宋体" w:cs="宋体"/>
                <w:color w:val="auto"/>
                <w:szCs w:val="24"/>
                <w:lang w:eastAsia="zh-CN"/>
              </w:rPr>
            </w:pPr>
          </w:p>
        </w:tc>
        <w:tc>
          <w:tcPr>
            <w:tcW w:w="1327" w:type="dxa"/>
            <w:vMerge w:val="continue"/>
            <w:noWrap/>
            <w:vAlign w:val="center"/>
          </w:tcPr>
          <w:p>
            <w:pPr>
              <w:pStyle w:val="187"/>
              <w:spacing w:line="276" w:lineRule="auto"/>
              <w:rPr>
                <w:rFonts w:ascii="宋体" w:hAnsi="宋体" w:cs="宋体"/>
                <w:color w:val="auto"/>
                <w:sz w:val="24"/>
                <w:szCs w:val="24"/>
              </w:rPr>
            </w:pPr>
          </w:p>
        </w:tc>
        <w:tc>
          <w:tcPr>
            <w:tcW w:w="1036" w:type="dxa"/>
            <w:tcBorders>
              <w:top w:val="single" w:color="auto" w:sz="4" w:space="0"/>
              <w:bottom w:val="single" w:color="auto" w:sz="4" w:space="0"/>
            </w:tcBorders>
            <w:noWrap/>
            <w:vAlign w:val="center"/>
          </w:tcPr>
          <w:p>
            <w:pPr>
              <w:pStyle w:val="187"/>
              <w:spacing w:line="276" w:lineRule="auto"/>
              <w:jc w:val="center"/>
              <w:rPr>
                <w:rFonts w:ascii="宋体" w:hAnsi="宋体" w:cs="宋体"/>
                <w:color w:val="auto"/>
                <w:sz w:val="24"/>
                <w:szCs w:val="24"/>
              </w:rPr>
            </w:pPr>
            <w:r>
              <w:rPr>
                <w:rFonts w:hint="eastAsia" w:hAnsi="宋体"/>
                <w:color w:val="auto"/>
                <w:kern w:val="2"/>
                <w:sz w:val="21"/>
                <w:szCs w:val="21"/>
              </w:rPr>
              <w:t>材料质量</w:t>
            </w:r>
            <w:r>
              <w:rPr>
                <w:rFonts w:hint="eastAsia" w:hAnsi="宋体"/>
                <w:color w:val="auto"/>
                <w:kern w:val="2"/>
                <w:sz w:val="21"/>
                <w:szCs w:val="21"/>
                <w:lang w:val="en-US" w:eastAsia="zh-CN"/>
              </w:rPr>
              <w:t>5</w:t>
            </w:r>
            <w:r>
              <w:rPr>
                <w:rFonts w:hint="eastAsia" w:hAnsi="宋体"/>
                <w:color w:val="auto"/>
                <w:kern w:val="2"/>
                <w:sz w:val="21"/>
                <w:szCs w:val="21"/>
              </w:rPr>
              <w:t>分</w:t>
            </w:r>
          </w:p>
        </w:tc>
        <w:tc>
          <w:tcPr>
            <w:tcW w:w="6477" w:type="dxa"/>
            <w:tcBorders>
              <w:top w:val="single" w:color="auto" w:sz="4" w:space="0"/>
              <w:bottom w:val="single" w:color="auto" w:sz="4" w:space="0"/>
            </w:tcBorders>
            <w:noWrap/>
            <w:vAlign w:val="center"/>
          </w:tcPr>
          <w:p>
            <w:pPr>
              <w:pStyle w:val="187"/>
              <w:spacing w:line="276" w:lineRule="auto"/>
              <w:rPr>
                <w:rFonts w:hint="eastAsia" w:ascii="宋体" w:hAnsi="宋体" w:eastAsia="宋体" w:cs="宋体"/>
                <w:color w:val="auto"/>
                <w:kern w:val="2"/>
                <w:sz w:val="24"/>
                <w:szCs w:val="24"/>
                <w:lang w:eastAsia="zh-CN"/>
              </w:rPr>
            </w:pPr>
            <w:r>
              <w:rPr>
                <w:rFonts w:hint="eastAsia" w:ascii="宋体" w:hAnsi="宋体" w:eastAsia="宋体" w:cs="宋体"/>
                <w:color w:val="auto"/>
                <w:kern w:val="0"/>
                <w:sz w:val="21"/>
                <w:szCs w:val="21"/>
                <w:u w:val="none"/>
                <w:lang w:val="en-US" w:eastAsia="zh-CN" w:bidi="ar"/>
              </w:rPr>
              <w:t>针对本项目</w:t>
            </w:r>
            <w:r>
              <w:rPr>
                <w:rFonts w:ascii="宋体" w:hAnsi="宋体" w:eastAsia="宋体" w:cs="宋体"/>
                <w:color w:val="auto"/>
                <w:kern w:val="0"/>
                <w:sz w:val="21"/>
                <w:szCs w:val="21"/>
                <w:u w:val="none"/>
                <w:lang w:val="en-US" w:eastAsia="zh-CN" w:bidi="ar"/>
              </w:rPr>
              <w:t>拟采用材料的性能（节能环保情况）、档次及质量可靠性</w:t>
            </w:r>
            <w:r>
              <w:rPr>
                <w:rFonts w:hint="eastAsia" w:ascii="宋体" w:hAnsi="宋体" w:eastAsia="宋体" w:cs="宋体"/>
                <w:color w:val="auto"/>
                <w:kern w:val="0"/>
                <w:sz w:val="21"/>
                <w:szCs w:val="21"/>
                <w:u w:val="none"/>
                <w:lang w:val="en-US" w:eastAsia="zh-CN" w:bidi="ar"/>
              </w:rPr>
              <w:t>，</w:t>
            </w:r>
            <w:r>
              <w:rPr>
                <w:rFonts w:ascii="宋体" w:hAnsi="宋体" w:eastAsia="宋体" w:cs="宋体"/>
                <w:color w:val="auto"/>
                <w:kern w:val="0"/>
                <w:sz w:val="21"/>
                <w:szCs w:val="21"/>
                <w:u w:val="none"/>
                <w:lang w:val="en-US" w:eastAsia="zh-CN" w:bidi="ar"/>
              </w:rPr>
              <w:t>投标</w:t>
            </w:r>
            <w:r>
              <w:rPr>
                <w:rFonts w:hint="eastAsia" w:ascii="宋体" w:hAnsi="宋体" w:cs="宋体"/>
                <w:color w:val="auto"/>
                <w:kern w:val="0"/>
                <w:sz w:val="21"/>
                <w:szCs w:val="21"/>
                <w:u w:val="none"/>
                <w:lang w:val="en-US" w:eastAsia="zh-CN" w:bidi="ar"/>
              </w:rPr>
              <w:t>供应商</w:t>
            </w:r>
            <w:r>
              <w:rPr>
                <w:rFonts w:ascii="宋体" w:hAnsi="宋体" w:eastAsia="宋体" w:cs="宋体"/>
                <w:color w:val="auto"/>
                <w:kern w:val="0"/>
                <w:sz w:val="21"/>
                <w:szCs w:val="21"/>
                <w:u w:val="none"/>
                <w:lang w:val="en-US" w:eastAsia="zh-CN" w:bidi="ar"/>
              </w:rPr>
              <w:t>在投标文件中应详细说明响应情况。拟采用材料的性能（节能环保情况）、档次及质量可靠性说明很详细的得</w:t>
            </w:r>
            <w:r>
              <w:rPr>
                <w:rFonts w:hint="eastAsia" w:hAnsi="宋体" w:cs="宋体"/>
                <w:color w:val="auto"/>
                <w:kern w:val="0"/>
                <w:sz w:val="21"/>
                <w:szCs w:val="21"/>
                <w:u w:val="none"/>
                <w:lang w:val="en-US" w:eastAsia="zh-CN" w:bidi="ar"/>
              </w:rPr>
              <w:t>4-5</w:t>
            </w:r>
            <w:r>
              <w:rPr>
                <w:rFonts w:ascii="宋体" w:hAnsi="宋体" w:eastAsia="宋体" w:cs="宋体"/>
                <w:color w:val="auto"/>
                <w:kern w:val="0"/>
                <w:sz w:val="21"/>
                <w:szCs w:val="21"/>
                <w:u w:val="none"/>
                <w:lang w:val="en-US" w:eastAsia="zh-CN" w:bidi="ar"/>
              </w:rPr>
              <w:t>分；拟采用材料的性能（节能环保情况）、档次及质量可靠性说明不详细的得</w:t>
            </w:r>
            <w:r>
              <w:rPr>
                <w:rFonts w:hint="eastAsia" w:ascii="宋体" w:hAnsi="宋体" w:cs="宋体"/>
                <w:color w:val="auto"/>
                <w:kern w:val="0"/>
                <w:sz w:val="21"/>
                <w:szCs w:val="21"/>
                <w:u w:val="none"/>
                <w:lang w:val="en-US" w:eastAsia="zh-CN" w:bidi="ar"/>
              </w:rPr>
              <w:t>1-</w:t>
            </w:r>
            <w:r>
              <w:rPr>
                <w:rFonts w:hint="eastAsia" w:hAnsi="宋体" w:cs="宋体"/>
                <w:color w:val="auto"/>
                <w:kern w:val="0"/>
                <w:sz w:val="21"/>
                <w:szCs w:val="21"/>
                <w:u w:val="none"/>
                <w:lang w:val="en-US" w:eastAsia="zh-CN" w:bidi="ar"/>
              </w:rPr>
              <w:t>3</w:t>
            </w:r>
            <w:r>
              <w:rPr>
                <w:rFonts w:ascii="宋体" w:hAnsi="宋体" w:eastAsia="宋体" w:cs="宋体"/>
                <w:color w:val="auto"/>
                <w:kern w:val="0"/>
                <w:sz w:val="21"/>
                <w:szCs w:val="21"/>
                <w:u w:val="none"/>
                <w:lang w:val="en-US" w:eastAsia="zh-CN" w:bidi="ar"/>
              </w:rPr>
              <w:t>分；拟采用材料的性能（节能环保情况）、档次及质量可靠性说明明显缺失的不得分。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452" w:hRule="atLeast"/>
        </w:trPr>
        <w:tc>
          <w:tcPr>
            <w:tcW w:w="746" w:type="dxa"/>
            <w:vMerge w:val="continue"/>
            <w:tcBorders>
              <w:bottom w:val="single" w:color="auto" w:sz="4" w:space="0"/>
            </w:tcBorders>
            <w:noWrap/>
            <w:vAlign w:val="center"/>
          </w:tcPr>
          <w:p>
            <w:pPr>
              <w:pStyle w:val="149"/>
              <w:spacing w:line="500" w:lineRule="exact"/>
              <w:ind w:firstLine="240" w:firstLineChars="100"/>
              <w:rPr>
                <w:rFonts w:hint="eastAsia" w:ascii="宋体" w:hAnsi="宋体" w:cs="宋体"/>
                <w:color w:val="auto"/>
                <w:szCs w:val="24"/>
                <w:lang w:val="en-US" w:eastAsia="zh-CN"/>
              </w:rPr>
            </w:pPr>
          </w:p>
        </w:tc>
        <w:tc>
          <w:tcPr>
            <w:tcW w:w="1327" w:type="dxa"/>
            <w:vMerge w:val="continue"/>
            <w:tcBorders>
              <w:bottom w:val="single" w:color="auto" w:sz="4" w:space="0"/>
            </w:tcBorders>
            <w:noWrap/>
            <w:vAlign w:val="center"/>
          </w:tcPr>
          <w:p>
            <w:pPr>
              <w:pStyle w:val="187"/>
              <w:spacing w:line="276" w:lineRule="auto"/>
              <w:rPr>
                <w:rFonts w:hint="eastAsia" w:hAnsi="宋体" w:eastAsia="宋体"/>
                <w:color w:val="auto"/>
                <w:kern w:val="2"/>
                <w:sz w:val="21"/>
                <w:szCs w:val="21"/>
                <w:lang w:val="en-US" w:eastAsia="zh-CN"/>
              </w:rPr>
            </w:pPr>
          </w:p>
        </w:tc>
        <w:tc>
          <w:tcPr>
            <w:tcW w:w="1036" w:type="dxa"/>
            <w:tcBorders>
              <w:top w:val="single" w:color="auto" w:sz="4" w:space="0"/>
              <w:bottom w:val="single" w:color="auto" w:sz="4" w:space="0"/>
            </w:tcBorders>
            <w:noWrap/>
            <w:vAlign w:val="center"/>
          </w:tcPr>
          <w:p>
            <w:pPr>
              <w:pStyle w:val="187"/>
              <w:spacing w:line="276" w:lineRule="auto"/>
              <w:jc w:val="center"/>
              <w:rPr>
                <w:rFonts w:hint="default" w:hAnsi="宋体"/>
                <w:color w:val="auto"/>
                <w:kern w:val="2"/>
                <w:sz w:val="21"/>
                <w:szCs w:val="21"/>
                <w:lang w:val="en-US" w:eastAsia="zh-CN"/>
              </w:rPr>
            </w:pPr>
            <w:r>
              <w:rPr>
                <w:rFonts w:hint="eastAsia" w:hAnsi="宋体"/>
                <w:color w:val="auto"/>
                <w:kern w:val="2"/>
                <w:sz w:val="21"/>
                <w:szCs w:val="21"/>
                <w:lang w:val="en-US" w:eastAsia="zh-CN"/>
              </w:rPr>
              <w:t>施工力量2分</w:t>
            </w:r>
          </w:p>
        </w:tc>
        <w:tc>
          <w:tcPr>
            <w:tcW w:w="6477" w:type="dxa"/>
            <w:tcBorders>
              <w:top w:val="single" w:color="auto" w:sz="4" w:space="0"/>
              <w:bottom w:val="single" w:color="auto" w:sz="4" w:space="0"/>
            </w:tcBorders>
            <w:noWrap/>
            <w:vAlign w:val="center"/>
          </w:tcPr>
          <w:p>
            <w:pPr>
              <w:pStyle w:val="187"/>
              <w:spacing w:line="276" w:lineRule="auto"/>
              <w:rPr>
                <w:rFonts w:hint="eastAsia" w:ascii="宋体" w:hAnsi="宋体" w:eastAsia="宋体" w:cs="宋体"/>
                <w:color w:val="auto"/>
                <w:kern w:val="0"/>
                <w:sz w:val="21"/>
                <w:szCs w:val="21"/>
                <w:u w:val="none"/>
                <w:lang w:val="en-US" w:eastAsia="zh-CN" w:bidi="ar"/>
              </w:rPr>
            </w:pPr>
            <w:r>
              <w:rPr>
                <w:rFonts w:hint="eastAsia" w:ascii="宋体" w:hAnsi="宋体" w:eastAsia="宋体" w:cs="宋体"/>
                <w:color w:val="auto"/>
                <w:kern w:val="0"/>
                <w:sz w:val="21"/>
                <w:szCs w:val="21"/>
                <w:u w:val="none"/>
                <w:lang w:val="en-US" w:eastAsia="zh-CN" w:bidi="ar"/>
              </w:rPr>
              <w:t>根据</w:t>
            </w:r>
            <w:r>
              <w:rPr>
                <w:rFonts w:hint="eastAsia" w:hAnsi="宋体" w:cs="宋体"/>
                <w:color w:val="auto"/>
                <w:kern w:val="0"/>
                <w:sz w:val="21"/>
                <w:szCs w:val="21"/>
                <w:u w:val="none"/>
                <w:lang w:val="en-US" w:eastAsia="zh-CN" w:bidi="ar"/>
              </w:rPr>
              <w:t>投标人</w:t>
            </w:r>
            <w:r>
              <w:rPr>
                <w:rFonts w:hint="eastAsia" w:ascii="宋体" w:hAnsi="宋体" w:eastAsia="宋体" w:cs="宋体"/>
                <w:color w:val="auto"/>
                <w:kern w:val="0"/>
                <w:sz w:val="21"/>
                <w:szCs w:val="21"/>
                <w:u w:val="none"/>
                <w:lang w:val="en-US" w:eastAsia="zh-CN" w:bidi="ar"/>
              </w:rPr>
              <w:t>提供的人员、设备情况进行打分，人员和设备充足得</w:t>
            </w:r>
            <w:r>
              <w:rPr>
                <w:rFonts w:hint="eastAsia" w:hAnsi="宋体" w:cs="宋体"/>
                <w:color w:val="auto"/>
                <w:kern w:val="0"/>
                <w:sz w:val="21"/>
                <w:szCs w:val="21"/>
                <w:u w:val="none"/>
                <w:lang w:val="en-US" w:eastAsia="zh-CN" w:bidi="ar"/>
              </w:rPr>
              <w:t>2</w:t>
            </w:r>
            <w:r>
              <w:rPr>
                <w:rFonts w:hint="eastAsia" w:ascii="宋体" w:hAnsi="宋体" w:eastAsia="宋体" w:cs="宋体"/>
                <w:color w:val="auto"/>
                <w:kern w:val="0"/>
                <w:sz w:val="21"/>
                <w:szCs w:val="21"/>
                <w:u w:val="none"/>
                <w:lang w:val="en-US" w:eastAsia="zh-CN" w:bidi="ar"/>
              </w:rPr>
              <w:t>分，一般得</w:t>
            </w:r>
            <w:r>
              <w:rPr>
                <w:rFonts w:hint="eastAsia" w:hAnsi="宋体" w:cs="宋体"/>
                <w:color w:val="auto"/>
                <w:kern w:val="0"/>
                <w:sz w:val="21"/>
                <w:szCs w:val="21"/>
                <w:u w:val="none"/>
                <w:lang w:val="en-US" w:eastAsia="zh-CN" w:bidi="ar"/>
              </w:rPr>
              <w:t>1</w:t>
            </w:r>
            <w:r>
              <w:rPr>
                <w:rFonts w:hint="eastAsia" w:ascii="宋体" w:hAnsi="宋体" w:eastAsia="宋体" w:cs="宋体"/>
                <w:color w:val="auto"/>
                <w:kern w:val="0"/>
                <w:sz w:val="21"/>
                <w:szCs w:val="21"/>
                <w:u w:val="none"/>
                <w:lang w:val="en-US" w:eastAsia="zh-CN" w:bidi="ar"/>
              </w:rPr>
              <w:t>分。（团队经验、人员力量须提供证明文件复印件，加盖公章）。</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800" w:hRule="atLeast"/>
        </w:trPr>
        <w:tc>
          <w:tcPr>
            <w:tcW w:w="746" w:type="dxa"/>
            <w:vMerge w:val="restart"/>
            <w:noWrap/>
            <w:vAlign w:val="center"/>
          </w:tcPr>
          <w:p>
            <w:pPr>
              <w:pStyle w:val="149"/>
              <w:spacing w:line="500" w:lineRule="exact"/>
              <w:ind w:firstLine="240" w:firstLineChars="100"/>
              <w:rPr>
                <w:rFonts w:hint="default" w:ascii="宋体" w:hAnsi="宋体" w:cs="宋体"/>
                <w:color w:val="auto"/>
                <w:szCs w:val="24"/>
                <w:lang w:val="en-US" w:eastAsia="zh-CN"/>
              </w:rPr>
            </w:pPr>
            <w:r>
              <w:rPr>
                <w:rFonts w:hint="eastAsia" w:ascii="宋体" w:hAnsi="宋体" w:cs="宋体"/>
                <w:color w:val="auto"/>
                <w:szCs w:val="24"/>
                <w:lang w:val="en-US" w:eastAsia="zh-CN"/>
              </w:rPr>
              <w:t>3</w:t>
            </w:r>
          </w:p>
        </w:tc>
        <w:tc>
          <w:tcPr>
            <w:tcW w:w="1327" w:type="dxa"/>
            <w:vMerge w:val="restart"/>
            <w:noWrap/>
            <w:vAlign w:val="center"/>
          </w:tcPr>
          <w:p>
            <w:pPr>
              <w:pStyle w:val="187"/>
              <w:spacing w:line="276" w:lineRule="auto"/>
              <w:jc w:val="center"/>
              <w:rPr>
                <w:rFonts w:hint="eastAsia" w:hAnsi="宋体" w:eastAsia="宋体"/>
                <w:color w:val="auto"/>
                <w:kern w:val="2"/>
                <w:sz w:val="21"/>
                <w:szCs w:val="21"/>
                <w:lang w:val="en-US" w:eastAsia="zh-CN"/>
              </w:rPr>
            </w:pPr>
            <w:r>
              <w:rPr>
                <w:rFonts w:hint="eastAsia" w:hAnsi="宋体"/>
                <w:color w:val="auto"/>
                <w:kern w:val="2"/>
                <w:sz w:val="21"/>
                <w:szCs w:val="21"/>
                <w:lang w:val="en-US" w:eastAsia="zh-CN"/>
              </w:rPr>
              <w:t>货物（30分）</w:t>
            </w:r>
          </w:p>
        </w:tc>
        <w:tc>
          <w:tcPr>
            <w:tcW w:w="1036" w:type="dxa"/>
            <w:tcBorders>
              <w:top w:val="single" w:color="auto" w:sz="4" w:space="0"/>
            </w:tcBorders>
            <w:noWrap/>
            <w:vAlign w:val="center"/>
          </w:tcPr>
          <w:p>
            <w:pPr>
              <w:pStyle w:val="187"/>
              <w:spacing w:line="276" w:lineRule="auto"/>
              <w:jc w:val="center"/>
              <w:rPr>
                <w:rFonts w:hint="default" w:ascii="宋体" w:hAnsi="宋体" w:eastAsia="宋体" w:cs="宋体"/>
                <w:color w:val="auto"/>
                <w:kern w:val="2"/>
                <w:sz w:val="21"/>
                <w:szCs w:val="21"/>
                <w:lang w:val="en-US" w:eastAsia="zh-CN" w:bidi="ar-SA"/>
              </w:rPr>
            </w:pPr>
            <w:r>
              <w:rPr>
                <w:rFonts w:hint="default" w:hAnsi="宋体"/>
                <w:color w:val="auto"/>
                <w:kern w:val="2"/>
                <w:sz w:val="21"/>
                <w:szCs w:val="21"/>
                <w:lang w:val="en-US" w:eastAsia="zh-CN"/>
              </w:rPr>
              <w:t>产品技术参数响应度</w:t>
            </w:r>
            <w:r>
              <w:rPr>
                <w:rFonts w:hint="eastAsia" w:hAnsi="宋体"/>
                <w:color w:val="auto"/>
                <w:kern w:val="2"/>
                <w:sz w:val="21"/>
                <w:szCs w:val="21"/>
                <w:lang w:val="en-US" w:eastAsia="zh-CN"/>
              </w:rPr>
              <w:t>14分</w:t>
            </w:r>
          </w:p>
        </w:tc>
        <w:tc>
          <w:tcPr>
            <w:tcW w:w="6477" w:type="dxa"/>
            <w:tcBorders>
              <w:top w:val="single" w:color="auto" w:sz="4" w:space="0"/>
              <w:bottom w:val="single" w:color="auto" w:sz="4" w:space="0"/>
            </w:tcBorders>
            <w:noWrap/>
            <w:vAlign w:val="center"/>
          </w:tcPr>
          <w:p>
            <w:pPr>
              <w:pStyle w:val="187"/>
              <w:spacing w:line="276" w:lineRule="auto"/>
              <w:rPr>
                <w:rFonts w:hint="eastAsia" w:ascii="宋体" w:hAnsi="宋体" w:eastAsia="宋体" w:cs="宋体"/>
                <w:color w:val="auto"/>
                <w:kern w:val="0"/>
                <w:sz w:val="21"/>
                <w:szCs w:val="21"/>
                <w:u w:val="none"/>
                <w:lang w:val="en-US" w:eastAsia="zh-CN" w:bidi="ar"/>
              </w:rPr>
            </w:pPr>
            <w:r>
              <w:rPr>
                <w:rFonts w:hint="eastAsia" w:hAnsi="宋体" w:cs="Times New Roman"/>
                <w:color w:val="auto"/>
                <w:kern w:val="0"/>
                <w:sz w:val="21"/>
                <w:szCs w:val="21"/>
                <w:lang w:val="en-US" w:eastAsia="zh-CN" w:bidi="ar-SA"/>
              </w:rPr>
              <w:t>根据采购清单中带</w:t>
            </w:r>
            <w:r>
              <w:rPr>
                <w:rFonts w:hint="eastAsia" w:ascii="宋体" w:hAnsi="宋体" w:eastAsia="宋体" w:cs="宋体"/>
                <w:color w:val="auto"/>
                <w:kern w:val="0"/>
                <w:sz w:val="21"/>
                <w:szCs w:val="21"/>
                <w:lang w:val="en-US" w:eastAsia="zh-CN" w:bidi="ar-SA"/>
              </w:rPr>
              <w:t>★产品，</w:t>
            </w:r>
            <w:r>
              <w:rPr>
                <w:rFonts w:hint="default" w:ascii="宋体" w:hAnsi="宋体" w:eastAsia="宋体" w:cs="Times New Roman"/>
                <w:color w:val="auto"/>
                <w:kern w:val="0"/>
                <w:sz w:val="21"/>
                <w:szCs w:val="21"/>
                <w:lang w:val="en-US" w:eastAsia="zh-CN" w:bidi="ar-SA"/>
              </w:rPr>
              <w:t>投标人提供的物品性能质量、技术指标和系统功能要求进行评定，所投产品全部响应指标得基本分</w:t>
            </w:r>
            <w:r>
              <w:rPr>
                <w:rFonts w:hint="eastAsia" w:hAnsi="宋体" w:cs="Times New Roman"/>
                <w:color w:val="auto"/>
                <w:kern w:val="0"/>
                <w:sz w:val="21"/>
                <w:szCs w:val="21"/>
                <w:lang w:val="en-US" w:eastAsia="zh-CN" w:bidi="ar-SA"/>
              </w:rPr>
              <w:t>14</w:t>
            </w:r>
            <w:r>
              <w:rPr>
                <w:rFonts w:hint="default" w:ascii="宋体" w:hAnsi="宋体" w:eastAsia="宋体" w:cs="Times New Roman"/>
                <w:color w:val="auto"/>
                <w:kern w:val="0"/>
                <w:sz w:val="21"/>
                <w:szCs w:val="21"/>
                <w:lang w:val="en-US" w:eastAsia="zh-CN" w:bidi="ar-SA"/>
              </w:rPr>
              <w:t>分；指标项有负偏离的，有一项扣</w:t>
            </w:r>
            <w:r>
              <w:rPr>
                <w:rFonts w:hint="eastAsia" w:hAnsi="宋体" w:cs="Times New Roman"/>
                <w:color w:val="auto"/>
                <w:kern w:val="0"/>
                <w:sz w:val="21"/>
                <w:szCs w:val="21"/>
                <w:lang w:val="en-US" w:eastAsia="zh-CN" w:bidi="ar-SA"/>
              </w:rPr>
              <w:t>2</w:t>
            </w:r>
            <w:r>
              <w:rPr>
                <w:rFonts w:hint="default" w:ascii="宋体" w:hAnsi="宋体" w:eastAsia="宋体" w:cs="Times New Roman"/>
                <w:color w:val="auto"/>
                <w:kern w:val="0"/>
                <w:sz w:val="21"/>
                <w:szCs w:val="21"/>
                <w:lang w:val="en-US" w:eastAsia="zh-CN" w:bidi="ar-SA"/>
              </w:rPr>
              <w:t>分，直至本项分数扣完为止</w:t>
            </w:r>
            <w:r>
              <w:rPr>
                <w:rFonts w:hint="eastAsia" w:hAnsi="宋体" w:cs="Times New Roman"/>
                <w:color w:val="auto"/>
                <w:kern w:val="0"/>
                <w:sz w:val="21"/>
                <w:szCs w:val="21"/>
                <w:lang w:val="en-US" w:eastAsia="zh-CN" w:bidi="ar-SA"/>
              </w:rPr>
              <w:t>（需要提供产品说明）</w:t>
            </w:r>
            <w:r>
              <w:rPr>
                <w:rFonts w:hint="default" w:ascii="宋体" w:hAnsi="宋体" w:eastAsia="宋体" w:cs="Times New Roman"/>
                <w:color w:val="auto"/>
                <w:kern w:val="0"/>
                <w:sz w:val="21"/>
                <w:szCs w:val="21"/>
                <w:lang w:val="en-US" w:eastAsia="zh-CN" w:bidi="ar-SA"/>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975" w:hRule="atLeast"/>
        </w:trPr>
        <w:tc>
          <w:tcPr>
            <w:tcW w:w="746" w:type="dxa"/>
            <w:vMerge w:val="continue"/>
            <w:noWrap/>
            <w:vAlign w:val="center"/>
          </w:tcPr>
          <w:p>
            <w:pPr>
              <w:pStyle w:val="149"/>
              <w:spacing w:line="500" w:lineRule="exact"/>
              <w:ind w:firstLine="240" w:firstLineChars="100"/>
              <w:rPr>
                <w:rFonts w:hint="eastAsia" w:ascii="宋体" w:hAnsi="宋体" w:cs="宋体"/>
                <w:color w:val="auto"/>
                <w:szCs w:val="24"/>
                <w:lang w:val="en-US" w:eastAsia="zh-CN"/>
              </w:rPr>
            </w:pPr>
          </w:p>
        </w:tc>
        <w:tc>
          <w:tcPr>
            <w:tcW w:w="1327" w:type="dxa"/>
            <w:vMerge w:val="continue"/>
            <w:noWrap/>
            <w:vAlign w:val="center"/>
          </w:tcPr>
          <w:p>
            <w:pPr>
              <w:pStyle w:val="187"/>
              <w:spacing w:line="276" w:lineRule="auto"/>
              <w:jc w:val="center"/>
              <w:rPr>
                <w:rFonts w:hint="eastAsia" w:hAnsi="宋体"/>
                <w:color w:val="auto"/>
                <w:kern w:val="2"/>
                <w:sz w:val="21"/>
                <w:szCs w:val="21"/>
                <w:lang w:val="en-US" w:eastAsia="zh-CN"/>
              </w:rPr>
            </w:pPr>
          </w:p>
        </w:tc>
        <w:tc>
          <w:tcPr>
            <w:tcW w:w="1036" w:type="dxa"/>
            <w:tcBorders>
              <w:top w:val="single" w:color="auto" w:sz="4" w:space="0"/>
            </w:tcBorders>
            <w:noWrap/>
            <w:vAlign w:val="center"/>
          </w:tcPr>
          <w:p>
            <w:pPr>
              <w:pStyle w:val="187"/>
              <w:spacing w:line="276" w:lineRule="auto"/>
              <w:jc w:val="center"/>
              <w:rPr>
                <w:rFonts w:hint="eastAsia" w:hAnsi="宋体"/>
                <w:color w:val="auto"/>
                <w:kern w:val="2"/>
                <w:sz w:val="21"/>
                <w:szCs w:val="21"/>
                <w:lang w:val="en-US" w:eastAsia="zh-CN"/>
              </w:rPr>
            </w:pPr>
            <w:r>
              <w:rPr>
                <w:rFonts w:hint="eastAsia" w:hAnsi="宋体"/>
                <w:color w:val="auto"/>
                <w:kern w:val="2"/>
                <w:sz w:val="21"/>
                <w:szCs w:val="21"/>
                <w:lang w:val="en-US" w:eastAsia="zh-CN"/>
              </w:rPr>
              <w:t>供货、安装、调试方案16分</w:t>
            </w:r>
          </w:p>
        </w:tc>
        <w:tc>
          <w:tcPr>
            <w:tcW w:w="6477" w:type="dxa"/>
            <w:tcBorders>
              <w:top w:val="single" w:color="auto" w:sz="4" w:space="0"/>
              <w:bottom w:val="single" w:color="auto" w:sz="4" w:space="0"/>
            </w:tcBorders>
            <w:noWrap/>
            <w:vAlign w:val="center"/>
          </w:tcPr>
          <w:p>
            <w:pPr>
              <w:pStyle w:val="149"/>
              <w:numPr>
                <w:ilvl w:val="0"/>
                <w:numId w:val="0"/>
              </w:numPr>
              <w:spacing w:line="460" w:lineRule="exact"/>
              <w:jc w:val="left"/>
              <w:rPr>
                <w:rFonts w:hint="eastAsia" w:ascii="宋体" w:hAnsi="宋体" w:eastAsia="宋体" w:cs="Times New Roman"/>
                <w:color w:val="auto"/>
                <w:kern w:val="0"/>
                <w:sz w:val="21"/>
                <w:szCs w:val="21"/>
                <w:lang w:val="en-US" w:eastAsia="zh-CN" w:bidi="ar-SA"/>
              </w:rPr>
            </w:pPr>
            <w:r>
              <w:rPr>
                <w:rFonts w:hint="eastAsia" w:ascii="宋体" w:hAnsi="宋体" w:eastAsia="宋体" w:cs="Times New Roman"/>
                <w:color w:val="auto"/>
                <w:kern w:val="0"/>
                <w:sz w:val="21"/>
                <w:szCs w:val="21"/>
                <w:lang w:val="en-US" w:eastAsia="zh-CN" w:bidi="ar-SA"/>
              </w:rPr>
              <w:t>1、安装调试方案明确具体，方案完善的完全满足安装调试要求的得5分。安装调试方案一般，满足安装调试要求的得3分。安装调试方案有明显缺陷，基本满足安装调试要求的得2分。没有不得分。</w:t>
            </w:r>
          </w:p>
          <w:p>
            <w:pPr>
              <w:pStyle w:val="149"/>
              <w:numPr>
                <w:ilvl w:val="0"/>
                <w:numId w:val="0"/>
              </w:numPr>
              <w:spacing w:line="460" w:lineRule="exact"/>
              <w:ind w:leftChars="0"/>
              <w:jc w:val="left"/>
              <w:rPr>
                <w:rFonts w:hint="eastAsia" w:ascii="宋体" w:hAnsi="宋体" w:eastAsia="宋体" w:cs="Times New Roman"/>
                <w:color w:val="auto"/>
                <w:kern w:val="0"/>
                <w:sz w:val="21"/>
                <w:szCs w:val="21"/>
                <w:lang w:val="en-US" w:eastAsia="zh-CN" w:bidi="ar-SA"/>
              </w:rPr>
            </w:pPr>
            <w:r>
              <w:rPr>
                <w:rFonts w:hint="eastAsia" w:ascii="宋体" w:hAnsi="宋体" w:eastAsia="宋体" w:cs="Times New Roman"/>
                <w:color w:val="auto"/>
                <w:kern w:val="0"/>
                <w:sz w:val="21"/>
                <w:szCs w:val="21"/>
                <w:lang w:val="en-US" w:eastAsia="zh-CN" w:bidi="ar-SA"/>
              </w:rPr>
              <w:t>2、有优质的零配件供应方案，库存充足的得3分；有零配件供应方案，库存一般的得2分；没有完整的零配件供应方案，无库存配件的0分。</w:t>
            </w:r>
            <w:r>
              <w:rPr>
                <w:rFonts w:hint="eastAsia" w:ascii="宋体" w:hAnsi="宋体" w:cs="Times New Roman"/>
                <w:color w:val="auto"/>
                <w:kern w:val="0"/>
                <w:sz w:val="21"/>
                <w:szCs w:val="21"/>
                <w:lang w:val="en-US" w:eastAsia="zh-CN" w:bidi="ar-SA"/>
              </w:rPr>
              <w:t>（提供清单文件）</w:t>
            </w:r>
          </w:p>
          <w:p>
            <w:pPr>
              <w:pStyle w:val="187"/>
              <w:spacing w:line="276" w:lineRule="auto"/>
              <w:rPr>
                <w:rFonts w:hint="eastAsia" w:ascii="宋体" w:hAnsi="宋体" w:eastAsia="宋体" w:cs="宋体"/>
                <w:color w:val="auto"/>
                <w:kern w:val="0"/>
                <w:sz w:val="21"/>
                <w:szCs w:val="21"/>
                <w:u w:val="none"/>
                <w:lang w:val="en-US" w:eastAsia="zh-CN" w:bidi="ar"/>
              </w:rPr>
            </w:pPr>
            <w:r>
              <w:rPr>
                <w:rFonts w:hint="eastAsia" w:ascii="宋体" w:hAnsi="宋体" w:eastAsia="宋体" w:cs="Times New Roman"/>
                <w:color w:val="auto"/>
                <w:kern w:val="0"/>
                <w:sz w:val="21"/>
                <w:szCs w:val="21"/>
                <w:lang w:val="en-US" w:eastAsia="zh-CN" w:bidi="ar-SA"/>
              </w:rPr>
              <w:t>3、</w:t>
            </w:r>
            <w:r>
              <w:rPr>
                <w:rFonts w:hint="eastAsia" w:ascii="宋体" w:hAnsi="宋体" w:eastAsia="宋体" w:cs="Times New Roman"/>
                <w:color w:val="auto"/>
                <w:kern w:val="0"/>
                <w:sz w:val="21"/>
                <w:szCs w:val="21"/>
                <w:lang w:val="zh-CN" w:eastAsia="zh-CN" w:bidi="ar-SA"/>
              </w:rPr>
              <w:t>投标人的供货安装方案应包括进度计划和供货保证措施、质量保证措施、安全文明安装、人力物力投入计划、系统架构、功能模块设计、项目实施计划、质量保证措施、系统调试方案、验收组织及资料整理等。方案、内容、进度及相关承诺的完整性、可行性、按照实施内容的完善得</w:t>
            </w:r>
            <w:r>
              <w:rPr>
                <w:rFonts w:hint="eastAsia" w:ascii="宋体" w:hAnsi="宋体" w:eastAsia="宋体" w:cs="Times New Roman"/>
                <w:color w:val="auto"/>
                <w:kern w:val="0"/>
                <w:sz w:val="21"/>
                <w:szCs w:val="21"/>
                <w:lang w:val="en-US" w:eastAsia="zh-CN" w:bidi="ar-SA"/>
              </w:rPr>
              <w:t>8；</w:t>
            </w:r>
            <w:r>
              <w:rPr>
                <w:rFonts w:hint="eastAsia" w:ascii="宋体" w:hAnsi="宋体" w:eastAsia="宋体" w:cs="Times New Roman"/>
                <w:color w:val="auto"/>
                <w:kern w:val="0"/>
                <w:sz w:val="21"/>
                <w:szCs w:val="21"/>
                <w:lang w:val="zh-CN" w:eastAsia="zh-CN" w:bidi="ar-SA"/>
              </w:rPr>
              <w:t>较完善、详细可行的得</w:t>
            </w:r>
            <w:r>
              <w:rPr>
                <w:rFonts w:hint="eastAsia" w:ascii="宋体" w:hAnsi="宋体" w:eastAsia="宋体" w:cs="Times New Roman"/>
                <w:color w:val="auto"/>
                <w:kern w:val="0"/>
                <w:sz w:val="21"/>
                <w:szCs w:val="21"/>
                <w:lang w:val="en-US" w:eastAsia="zh-CN" w:bidi="ar-SA"/>
              </w:rPr>
              <w:t>5</w:t>
            </w:r>
            <w:r>
              <w:rPr>
                <w:rFonts w:hint="eastAsia" w:ascii="宋体" w:hAnsi="宋体" w:eastAsia="宋体" w:cs="Times New Roman"/>
                <w:color w:val="auto"/>
                <w:kern w:val="0"/>
                <w:sz w:val="21"/>
                <w:szCs w:val="21"/>
                <w:lang w:val="zh-CN" w:eastAsia="zh-CN" w:bidi="ar-SA"/>
              </w:rPr>
              <w:t>分，部分有缺陷的得</w:t>
            </w:r>
            <w:r>
              <w:rPr>
                <w:rFonts w:hint="eastAsia" w:ascii="宋体" w:hAnsi="宋体" w:eastAsia="宋体" w:cs="Times New Roman"/>
                <w:color w:val="auto"/>
                <w:kern w:val="0"/>
                <w:sz w:val="21"/>
                <w:szCs w:val="21"/>
                <w:lang w:val="en-US" w:eastAsia="zh-CN" w:bidi="ar-SA"/>
              </w:rPr>
              <w:t>3</w:t>
            </w:r>
            <w:r>
              <w:rPr>
                <w:rFonts w:hint="eastAsia" w:ascii="宋体" w:hAnsi="宋体" w:eastAsia="宋体" w:cs="Times New Roman"/>
                <w:color w:val="auto"/>
                <w:kern w:val="0"/>
                <w:sz w:val="21"/>
                <w:szCs w:val="21"/>
                <w:lang w:val="zh-CN" w:eastAsia="zh-CN" w:bidi="ar-SA"/>
              </w:rPr>
              <w:t>分，明显不完善不可行的得</w:t>
            </w:r>
            <w:r>
              <w:rPr>
                <w:rFonts w:hint="eastAsia" w:ascii="宋体" w:hAnsi="宋体" w:eastAsia="宋体" w:cs="Times New Roman"/>
                <w:color w:val="auto"/>
                <w:kern w:val="0"/>
                <w:sz w:val="21"/>
                <w:szCs w:val="21"/>
                <w:lang w:val="en-US" w:eastAsia="zh-CN" w:bidi="ar-SA"/>
              </w:rPr>
              <w:t>0-分。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311" w:hRule="atLeast"/>
        </w:trPr>
        <w:tc>
          <w:tcPr>
            <w:tcW w:w="746" w:type="dxa"/>
            <w:noWrap/>
            <w:vAlign w:val="center"/>
          </w:tcPr>
          <w:p>
            <w:pPr>
              <w:pStyle w:val="149"/>
              <w:spacing w:line="500" w:lineRule="exact"/>
              <w:ind w:firstLine="240" w:firstLineChars="100"/>
              <w:rPr>
                <w:rFonts w:hint="default" w:ascii="宋体" w:hAnsi="宋体" w:cs="宋体"/>
                <w:color w:val="auto"/>
                <w:szCs w:val="24"/>
                <w:lang w:val="en-US" w:eastAsia="zh-CN"/>
              </w:rPr>
            </w:pPr>
            <w:r>
              <w:rPr>
                <w:rFonts w:hint="eastAsia" w:ascii="宋体" w:hAnsi="宋体" w:cs="宋体"/>
                <w:color w:val="auto"/>
                <w:szCs w:val="24"/>
                <w:lang w:val="en-US" w:eastAsia="zh-CN"/>
              </w:rPr>
              <w:t>4</w:t>
            </w:r>
          </w:p>
        </w:tc>
        <w:tc>
          <w:tcPr>
            <w:tcW w:w="1327" w:type="dxa"/>
            <w:noWrap/>
            <w:vAlign w:val="center"/>
          </w:tcPr>
          <w:p>
            <w:pPr>
              <w:pStyle w:val="187"/>
              <w:spacing w:line="276" w:lineRule="auto"/>
              <w:rPr>
                <w:rFonts w:hint="eastAsia" w:hAnsi="宋体"/>
                <w:color w:val="auto"/>
                <w:kern w:val="2"/>
                <w:sz w:val="21"/>
                <w:szCs w:val="21"/>
                <w:lang w:val="en-US" w:eastAsia="zh-CN"/>
              </w:rPr>
            </w:pPr>
            <w:r>
              <w:rPr>
                <w:rFonts w:hint="eastAsia" w:hAnsi="宋体"/>
                <w:color w:val="auto"/>
                <w:kern w:val="2"/>
                <w:sz w:val="21"/>
                <w:szCs w:val="21"/>
                <w:lang w:val="en-US" w:eastAsia="zh-CN"/>
              </w:rPr>
              <w:t>相关业绩</w:t>
            </w:r>
          </w:p>
          <w:p>
            <w:pPr>
              <w:pStyle w:val="187"/>
              <w:spacing w:line="276" w:lineRule="auto"/>
              <w:rPr>
                <w:rFonts w:hint="eastAsia" w:hAnsi="宋体" w:eastAsia="宋体"/>
                <w:color w:val="auto"/>
                <w:kern w:val="2"/>
                <w:sz w:val="21"/>
                <w:szCs w:val="21"/>
                <w:lang w:val="en-US" w:eastAsia="zh-CN"/>
              </w:rPr>
            </w:pPr>
            <w:r>
              <w:rPr>
                <w:rFonts w:hint="eastAsia" w:hAnsi="宋体"/>
                <w:color w:val="auto"/>
                <w:kern w:val="2"/>
                <w:sz w:val="21"/>
                <w:szCs w:val="21"/>
                <w:lang w:val="en-US" w:eastAsia="zh-CN"/>
              </w:rPr>
              <w:t>（2分）</w:t>
            </w:r>
          </w:p>
        </w:tc>
        <w:tc>
          <w:tcPr>
            <w:tcW w:w="1036" w:type="dxa"/>
            <w:tcBorders>
              <w:top w:val="single" w:color="auto" w:sz="4" w:space="0"/>
              <w:bottom w:val="single" w:color="auto" w:sz="4" w:space="0"/>
            </w:tcBorders>
            <w:noWrap/>
            <w:vAlign w:val="center"/>
          </w:tcPr>
          <w:p>
            <w:pPr>
              <w:pStyle w:val="187"/>
              <w:spacing w:line="276" w:lineRule="auto"/>
              <w:jc w:val="center"/>
              <w:rPr>
                <w:rFonts w:hint="default" w:hAnsi="宋体"/>
                <w:color w:val="auto"/>
                <w:kern w:val="2"/>
                <w:sz w:val="21"/>
                <w:szCs w:val="21"/>
                <w:lang w:val="en-US" w:eastAsia="zh-CN"/>
              </w:rPr>
            </w:pPr>
            <w:r>
              <w:rPr>
                <w:rFonts w:hint="eastAsia" w:hAnsi="宋体"/>
                <w:color w:val="auto"/>
                <w:kern w:val="2"/>
                <w:sz w:val="21"/>
                <w:szCs w:val="21"/>
                <w:lang w:val="en-US" w:eastAsia="zh-CN"/>
              </w:rPr>
              <w:t>业绩证明2分</w:t>
            </w:r>
          </w:p>
        </w:tc>
        <w:tc>
          <w:tcPr>
            <w:tcW w:w="6477" w:type="dxa"/>
            <w:tcBorders>
              <w:top w:val="single" w:color="auto" w:sz="4" w:space="0"/>
              <w:bottom w:val="single" w:color="auto" w:sz="4" w:space="0"/>
            </w:tcBorders>
            <w:noWrap/>
            <w:vAlign w:val="center"/>
          </w:tcPr>
          <w:p>
            <w:pPr>
              <w:pStyle w:val="187"/>
              <w:spacing w:line="276" w:lineRule="auto"/>
              <w:rPr>
                <w:rFonts w:hint="eastAsia" w:ascii="宋体" w:hAnsi="宋体" w:cs="Arial"/>
                <w:color w:val="FF0000"/>
                <w:kern w:val="0"/>
                <w:sz w:val="24"/>
                <w:szCs w:val="24"/>
              </w:rPr>
            </w:pPr>
            <w:r>
              <w:rPr>
                <w:rFonts w:hint="eastAsia" w:ascii="宋体" w:hAnsi="宋体" w:eastAsia="宋体" w:cs="Times New Roman"/>
                <w:color w:val="auto"/>
                <w:kern w:val="0"/>
                <w:sz w:val="21"/>
                <w:szCs w:val="21"/>
                <w:lang w:val="en-US" w:eastAsia="zh-CN" w:bidi="ar-SA"/>
              </w:rPr>
              <w:t>提供近2年设计和制作</w:t>
            </w:r>
            <w:r>
              <w:rPr>
                <w:rFonts w:hint="eastAsia" w:hAnsi="宋体" w:cs="Times New Roman"/>
                <w:color w:val="auto"/>
                <w:kern w:val="0"/>
                <w:sz w:val="21"/>
                <w:szCs w:val="21"/>
                <w:lang w:val="en-US" w:eastAsia="zh-CN" w:bidi="ar-SA"/>
              </w:rPr>
              <w:t>文化</w:t>
            </w:r>
            <w:r>
              <w:rPr>
                <w:rFonts w:hint="eastAsia" w:ascii="宋体" w:hAnsi="宋体" w:eastAsia="宋体" w:cs="Times New Roman"/>
                <w:color w:val="auto"/>
                <w:kern w:val="0"/>
                <w:sz w:val="21"/>
                <w:szCs w:val="21"/>
                <w:lang w:val="en-US" w:eastAsia="zh-CN" w:bidi="ar-SA"/>
              </w:rPr>
              <w:t>场馆建设的类似业绩，每提供一个得1分，最多得2分。（须提供合同原件或复印件）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975" w:hRule="atLeast"/>
        </w:trPr>
        <w:tc>
          <w:tcPr>
            <w:tcW w:w="746" w:type="dxa"/>
            <w:vMerge w:val="restart"/>
            <w:tcBorders>
              <w:top w:val="single" w:color="auto" w:sz="4" w:space="0"/>
            </w:tcBorders>
            <w:noWrap/>
            <w:vAlign w:val="center"/>
          </w:tcPr>
          <w:p>
            <w:pPr>
              <w:pStyle w:val="149"/>
              <w:spacing w:line="500" w:lineRule="exact"/>
              <w:ind w:firstLine="0"/>
              <w:jc w:val="center"/>
              <w:rPr>
                <w:rFonts w:hint="default" w:ascii="宋体" w:hAnsi="宋体" w:eastAsia="宋体" w:cs="宋体"/>
                <w:color w:val="auto"/>
                <w:szCs w:val="24"/>
                <w:lang w:val="en-US" w:eastAsia="zh-CN"/>
              </w:rPr>
            </w:pPr>
            <w:r>
              <w:rPr>
                <w:rFonts w:hint="eastAsia" w:ascii="宋体" w:hAnsi="宋体" w:cs="宋体"/>
                <w:color w:val="auto"/>
                <w:szCs w:val="24"/>
                <w:lang w:val="en-US" w:eastAsia="zh-CN"/>
              </w:rPr>
              <w:t>5</w:t>
            </w:r>
          </w:p>
        </w:tc>
        <w:tc>
          <w:tcPr>
            <w:tcW w:w="1327" w:type="dxa"/>
            <w:vMerge w:val="restart"/>
            <w:tcBorders>
              <w:top w:val="single" w:color="auto" w:sz="4" w:space="0"/>
            </w:tcBorders>
            <w:noWrap/>
            <w:vAlign w:val="center"/>
          </w:tcPr>
          <w:p>
            <w:pPr>
              <w:pStyle w:val="187"/>
              <w:spacing w:line="276" w:lineRule="auto"/>
              <w:rPr>
                <w:rFonts w:hint="eastAsia" w:ascii="宋体" w:hAnsi="宋体" w:eastAsia="宋体" w:cs="宋体"/>
                <w:color w:val="auto"/>
                <w:kern w:val="2"/>
                <w:sz w:val="21"/>
                <w:szCs w:val="21"/>
                <w:lang w:eastAsia="zh-CN"/>
              </w:rPr>
            </w:pPr>
            <w:r>
              <w:rPr>
                <w:rFonts w:hint="eastAsia" w:hAnsi="宋体" w:cs="宋体"/>
                <w:color w:val="auto"/>
                <w:kern w:val="2"/>
                <w:sz w:val="21"/>
                <w:szCs w:val="21"/>
                <w:lang w:eastAsia="zh-CN"/>
              </w:rPr>
              <w:t>售后服务及优惠承诺（</w:t>
            </w:r>
            <w:r>
              <w:rPr>
                <w:rFonts w:hint="eastAsia" w:ascii="宋体" w:hAnsi="宋体"/>
                <w:color w:val="auto"/>
                <w:sz w:val="21"/>
                <w:szCs w:val="21"/>
                <w:lang w:val="en-US" w:eastAsia="zh-CN"/>
              </w:rPr>
              <w:t>10分</w:t>
            </w:r>
            <w:r>
              <w:rPr>
                <w:rFonts w:hint="eastAsia" w:hAnsi="宋体" w:cs="宋体"/>
                <w:color w:val="auto"/>
                <w:kern w:val="2"/>
                <w:sz w:val="21"/>
                <w:szCs w:val="21"/>
                <w:lang w:eastAsia="zh-CN"/>
              </w:rPr>
              <w:t>）</w:t>
            </w:r>
          </w:p>
        </w:tc>
        <w:tc>
          <w:tcPr>
            <w:tcW w:w="1036" w:type="dxa"/>
            <w:vMerge w:val="restart"/>
            <w:tcBorders>
              <w:top w:val="single" w:color="auto" w:sz="4" w:space="0"/>
            </w:tcBorders>
            <w:noWrap/>
            <w:vAlign w:val="center"/>
          </w:tcPr>
          <w:p>
            <w:pPr>
              <w:pStyle w:val="26"/>
              <w:widowControl/>
              <w:snapToGrid/>
              <w:spacing w:line="340" w:lineRule="exact"/>
              <w:rPr>
                <w:rFonts w:hint="eastAsia" w:ascii="宋体" w:hAnsi="宋体"/>
                <w:color w:val="auto"/>
                <w:sz w:val="21"/>
                <w:szCs w:val="21"/>
                <w:lang w:val="en-US" w:eastAsia="zh-CN"/>
              </w:rPr>
            </w:pPr>
            <w:r>
              <w:rPr>
                <w:rFonts w:hint="eastAsia" w:ascii="宋体" w:hAnsi="宋体"/>
                <w:color w:val="auto"/>
                <w:sz w:val="21"/>
                <w:szCs w:val="21"/>
                <w:lang w:val="en-US" w:eastAsia="zh-CN"/>
              </w:rPr>
              <w:t>10分</w:t>
            </w:r>
          </w:p>
        </w:tc>
        <w:tc>
          <w:tcPr>
            <w:tcW w:w="6477" w:type="dxa"/>
            <w:tcBorders>
              <w:top w:val="single" w:color="auto" w:sz="4" w:space="0"/>
              <w:bottom w:val="single" w:color="auto" w:sz="4" w:space="0"/>
            </w:tcBorders>
            <w:noWrap/>
            <w:vAlign w:val="center"/>
          </w:tcPr>
          <w:p>
            <w:pPr>
              <w:pStyle w:val="26"/>
              <w:widowControl/>
              <w:snapToGrid/>
              <w:spacing w:line="340" w:lineRule="exact"/>
              <w:rPr>
                <w:rFonts w:hint="eastAsia" w:ascii="宋体" w:hAnsi="宋体" w:cs="宋体"/>
                <w:color w:val="auto"/>
                <w:kern w:val="0"/>
                <w:sz w:val="21"/>
                <w:szCs w:val="21"/>
                <w:u w:val="none"/>
                <w:lang w:val="en-US" w:eastAsia="zh-CN" w:bidi="ar"/>
              </w:rPr>
            </w:pPr>
            <w:r>
              <w:rPr>
                <w:rFonts w:hint="eastAsia" w:ascii="宋体" w:hAnsi="宋体"/>
                <w:color w:val="auto"/>
                <w:sz w:val="21"/>
                <w:szCs w:val="21"/>
                <w:lang w:val="en-US" w:eastAsia="zh-CN"/>
              </w:rPr>
              <w:t>根据各投标人对本项目所提出的售后服务方案（包括但不限于：维保计划、售后人员、售后体系、设备售后保障、日常维护、维修响应时间、维修响应方式等一切与售后有关内容）</w:t>
            </w:r>
            <w:r>
              <w:rPr>
                <w:rFonts w:hint="eastAsia" w:ascii="宋体" w:hAnsi="宋体" w:eastAsia="宋体" w:cs="宋体"/>
                <w:color w:val="auto"/>
                <w:kern w:val="0"/>
                <w:sz w:val="21"/>
                <w:szCs w:val="21"/>
                <w:u w:val="none"/>
                <w:lang w:val="en-US" w:eastAsia="zh-CN" w:bidi="ar"/>
              </w:rPr>
              <w:t>售后服务方案内容完整、合理、可行得5分，售后服务方案内容</w:t>
            </w:r>
            <w:r>
              <w:rPr>
                <w:rFonts w:hint="eastAsia" w:ascii="宋体" w:hAnsi="宋体" w:cs="宋体"/>
                <w:color w:val="auto"/>
                <w:kern w:val="0"/>
                <w:sz w:val="21"/>
                <w:szCs w:val="21"/>
                <w:u w:val="none"/>
                <w:lang w:val="en-US" w:eastAsia="zh-CN" w:bidi="ar"/>
              </w:rPr>
              <w:t>不够全面</w:t>
            </w:r>
            <w:r>
              <w:rPr>
                <w:rFonts w:hint="eastAsia" w:ascii="宋体" w:hAnsi="宋体" w:eastAsia="宋体" w:cs="宋体"/>
                <w:color w:val="auto"/>
                <w:kern w:val="0"/>
                <w:sz w:val="21"/>
                <w:szCs w:val="21"/>
                <w:u w:val="none"/>
                <w:lang w:val="en-US" w:eastAsia="zh-CN" w:bidi="ar"/>
              </w:rPr>
              <w:t>完整、</w:t>
            </w:r>
            <w:r>
              <w:rPr>
                <w:rFonts w:hint="eastAsia" w:ascii="宋体" w:hAnsi="宋体" w:cs="宋体"/>
                <w:color w:val="auto"/>
                <w:kern w:val="0"/>
                <w:sz w:val="21"/>
                <w:szCs w:val="21"/>
                <w:u w:val="none"/>
                <w:lang w:val="en-US" w:eastAsia="zh-CN" w:bidi="ar"/>
              </w:rPr>
              <w:t>较</w:t>
            </w:r>
            <w:r>
              <w:rPr>
                <w:rFonts w:hint="eastAsia" w:ascii="宋体" w:hAnsi="宋体" w:eastAsia="宋体" w:cs="宋体"/>
                <w:color w:val="auto"/>
                <w:kern w:val="0"/>
                <w:sz w:val="21"/>
                <w:szCs w:val="21"/>
                <w:u w:val="none"/>
                <w:lang w:val="en-US" w:eastAsia="zh-CN" w:bidi="ar"/>
              </w:rPr>
              <w:t>合理、</w:t>
            </w:r>
            <w:r>
              <w:rPr>
                <w:rFonts w:hint="eastAsia" w:ascii="宋体" w:hAnsi="宋体" w:cs="宋体"/>
                <w:color w:val="auto"/>
                <w:kern w:val="0"/>
                <w:sz w:val="21"/>
                <w:szCs w:val="21"/>
                <w:u w:val="none"/>
                <w:lang w:val="en-US" w:eastAsia="zh-CN" w:bidi="ar"/>
              </w:rPr>
              <w:t>尚</w:t>
            </w:r>
            <w:r>
              <w:rPr>
                <w:rFonts w:hint="eastAsia" w:ascii="宋体" w:hAnsi="宋体" w:eastAsia="宋体" w:cs="宋体"/>
                <w:color w:val="auto"/>
                <w:kern w:val="0"/>
                <w:sz w:val="21"/>
                <w:szCs w:val="21"/>
                <w:u w:val="none"/>
                <w:lang w:val="en-US" w:eastAsia="zh-CN" w:bidi="ar"/>
              </w:rPr>
              <w:t>可行得</w:t>
            </w:r>
            <w:r>
              <w:rPr>
                <w:rFonts w:hint="eastAsia" w:ascii="宋体" w:hAnsi="宋体" w:cs="宋体"/>
                <w:color w:val="auto"/>
                <w:kern w:val="0"/>
                <w:sz w:val="21"/>
                <w:szCs w:val="21"/>
                <w:u w:val="none"/>
                <w:lang w:val="en-US" w:eastAsia="zh-CN" w:bidi="ar"/>
              </w:rPr>
              <w:t>3</w:t>
            </w:r>
            <w:r>
              <w:rPr>
                <w:rFonts w:hint="eastAsia" w:ascii="宋体" w:hAnsi="宋体" w:eastAsia="宋体" w:cs="宋体"/>
                <w:color w:val="auto"/>
                <w:kern w:val="0"/>
                <w:sz w:val="21"/>
                <w:szCs w:val="21"/>
                <w:u w:val="none"/>
                <w:lang w:val="en-US" w:eastAsia="zh-CN" w:bidi="ar"/>
              </w:rPr>
              <w:t>分</w:t>
            </w:r>
            <w:r>
              <w:rPr>
                <w:rFonts w:hint="eastAsia" w:ascii="宋体" w:hAnsi="宋体" w:cs="宋体"/>
                <w:color w:val="auto"/>
                <w:kern w:val="0"/>
                <w:sz w:val="21"/>
                <w:szCs w:val="21"/>
                <w:u w:val="none"/>
                <w:lang w:val="en-US" w:eastAsia="zh-CN" w:bidi="ar"/>
              </w:rPr>
              <w:t>；未提供</w:t>
            </w:r>
            <w:r>
              <w:rPr>
                <w:rFonts w:hint="eastAsia" w:ascii="宋体" w:hAnsi="宋体"/>
                <w:color w:val="auto"/>
                <w:sz w:val="21"/>
                <w:szCs w:val="21"/>
                <w:lang w:val="en-US" w:eastAsia="zh-CN"/>
              </w:rPr>
              <w:t>售后服务方案的不得分。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822" w:hRule="atLeast"/>
        </w:trPr>
        <w:tc>
          <w:tcPr>
            <w:tcW w:w="746" w:type="dxa"/>
            <w:vMerge w:val="continue"/>
            <w:noWrap/>
            <w:vAlign w:val="center"/>
          </w:tcPr>
          <w:p>
            <w:pPr>
              <w:pStyle w:val="149"/>
              <w:spacing w:line="500" w:lineRule="exact"/>
              <w:ind w:firstLine="0"/>
              <w:rPr>
                <w:rFonts w:hint="eastAsia" w:ascii="宋体" w:hAnsi="宋体" w:eastAsia="宋体" w:cs="宋体"/>
                <w:color w:val="auto"/>
                <w:szCs w:val="24"/>
                <w:lang w:val="en-US" w:eastAsia="zh-CN"/>
              </w:rPr>
            </w:pPr>
          </w:p>
        </w:tc>
        <w:tc>
          <w:tcPr>
            <w:tcW w:w="1327" w:type="dxa"/>
            <w:vMerge w:val="continue"/>
            <w:noWrap/>
            <w:vAlign w:val="center"/>
          </w:tcPr>
          <w:p>
            <w:pPr>
              <w:pStyle w:val="187"/>
              <w:spacing w:line="276" w:lineRule="auto"/>
              <w:rPr>
                <w:rFonts w:hint="eastAsia" w:ascii="宋体" w:hAnsi="宋体" w:eastAsia="宋体" w:cs="宋体"/>
                <w:color w:val="auto"/>
                <w:kern w:val="2"/>
                <w:sz w:val="21"/>
                <w:szCs w:val="21"/>
                <w:lang w:eastAsia="zh-CN"/>
              </w:rPr>
            </w:pPr>
          </w:p>
        </w:tc>
        <w:tc>
          <w:tcPr>
            <w:tcW w:w="1036" w:type="dxa"/>
            <w:vMerge w:val="continue"/>
            <w:noWrap/>
            <w:vAlign w:val="center"/>
          </w:tcPr>
          <w:p>
            <w:pPr>
              <w:pStyle w:val="26"/>
              <w:widowControl/>
              <w:snapToGrid/>
              <w:spacing w:line="340" w:lineRule="exact"/>
              <w:rPr>
                <w:rFonts w:hint="eastAsia" w:ascii="宋体" w:hAnsi="宋体"/>
                <w:color w:val="auto"/>
                <w:sz w:val="21"/>
                <w:szCs w:val="21"/>
                <w:lang w:val="en-US" w:eastAsia="zh-CN"/>
              </w:rPr>
            </w:pPr>
          </w:p>
        </w:tc>
        <w:tc>
          <w:tcPr>
            <w:tcW w:w="6477" w:type="dxa"/>
            <w:tcBorders>
              <w:top w:val="single" w:color="auto" w:sz="4" w:space="0"/>
              <w:bottom w:val="single" w:color="auto" w:sz="4" w:space="0"/>
            </w:tcBorders>
            <w:noWrap/>
            <w:vAlign w:val="center"/>
          </w:tcPr>
          <w:p>
            <w:pPr>
              <w:pStyle w:val="26"/>
              <w:widowControl/>
              <w:snapToGrid/>
              <w:spacing w:line="340" w:lineRule="exact"/>
              <w:rPr>
                <w:rFonts w:hint="eastAsia" w:ascii="宋体" w:hAnsi="宋体"/>
                <w:color w:val="auto"/>
                <w:sz w:val="21"/>
                <w:szCs w:val="21"/>
              </w:rPr>
            </w:pPr>
            <w:r>
              <w:rPr>
                <w:rFonts w:hint="eastAsia" w:ascii="宋体" w:hAnsi="宋体"/>
                <w:color w:val="auto"/>
                <w:sz w:val="21"/>
                <w:szCs w:val="21"/>
                <w:lang w:val="en-US" w:eastAsia="zh-CN"/>
              </w:rPr>
              <w:t>其他实质性优惠服务：提出被评审委员会认定，对采购人管理、储存、使用或其他不可预见风险防控措施有益的建议、方案、优惠措施，得3分。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90" w:hRule="atLeast"/>
        </w:trPr>
        <w:tc>
          <w:tcPr>
            <w:tcW w:w="746" w:type="dxa"/>
            <w:vMerge w:val="continue"/>
            <w:noWrap/>
            <w:vAlign w:val="center"/>
          </w:tcPr>
          <w:p>
            <w:pPr>
              <w:pStyle w:val="149"/>
              <w:spacing w:line="500" w:lineRule="exact"/>
              <w:ind w:firstLine="0"/>
              <w:rPr>
                <w:rFonts w:hint="eastAsia" w:ascii="宋体" w:hAnsi="宋体" w:eastAsia="宋体" w:cs="宋体"/>
                <w:color w:val="auto"/>
                <w:szCs w:val="24"/>
                <w:lang w:val="en-US" w:eastAsia="zh-CN"/>
              </w:rPr>
            </w:pPr>
          </w:p>
        </w:tc>
        <w:tc>
          <w:tcPr>
            <w:tcW w:w="1327" w:type="dxa"/>
            <w:vMerge w:val="continue"/>
            <w:noWrap/>
            <w:vAlign w:val="center"/>
          </w:tcPr>
          <w:p>
            <w:pPr>
              <w:pStyle w:val="187"/>
              <w:spacing w:line="276" w:lineRule="auto"/>
              <w:rPr>
                <w:rFonts w:hint="eastAsia" w:ascii="宋体" w:hAnsi="宋体" w:eastAsia="宋体" w:cs="宋体"/>
                <w:color w:val="auto"/>
                <w:kern w:val="2"/>
                <w:sz w:val="21"/>
                <w:szCs w:val="21"/>
                <w:lang w:eastAsia="zh-CN"/>
              </w:rPr>
            </w:pPr>
          </w:p>
        </w:tc>
        <w:tc>
          <w:tcPr>
            <w:tcW w:w="1036" w:type="dxa"/>
            <w:vMerge w:val="continue"/>
            <w:noWrap/>
            <w:vAlign w:val="center"/>
          </w:tcPr>
          <w:p>
            <w:pPr>
              <w:pStyle w:val="26"/>
              <w:widowControl/>
              <w:snapToGrid/>
              <w:spacing w:line="340" w:lineRule="exact"/>
              <w:rPr>
                <w:rFonts w:hint="eastAsia" w:ascii="宋体" w:hAnsi="宋体"/>
                <w:color w:val="auto"/>
                <w:sz w:val="21"/>
                <w:szCs w:val="21"/>
                <w:lang w:val="en-US" w:eastAsia="zh-CN"/>
              </w:rPr>
            </w:pPr>
          </w:p>
        </w:tc>
        <w:tc>
          <w:tcPr>
            <w:tcW w:w="6477" w:type="dxa"/>
            <w:tcBorders>
              <w:top w:val="single" w:color="auto" w:sz="4" w:space="0"/>
            </w:tcBorders>
            <w:noWrap/>
            <w:vAlign w:val="center"/>
          </w:tcPr>
          <w:p>
            <w:pPr>
              <w:pStyle w:val="26"/>
              <w:widowControl/>
              <w:snapToGrid/>
              <w:spacing w:line="340" w:lineRule="exact"/>
              <w:rPr>
                <w:rFonts w:hint="eastAsia" w:ascii="宋体" w:hAnsi="宋体"/>
                <w:color w:val="auto"/>
                <w:sz w:val="21"/>
                <w:szCs w:val="21"/>
                <w:lang w:val="en-US" w:eastAsia="zh-CN"/>
              </w:rPr>
            </w:pPr>
            <w:r>
              <w:rPr>
                <w:rFonts w:hint="eastAsia" w:ascii="宋体" w:hAnsi="宋体" w:eastAsia="宋体" w:cs="宋体"/>
                <w:kern w:val="0"/>
                <w:sz w:val="21"/>
                <w:szCs w:val="21"/>
                <w:u w:val="none"/>
                <w:lang w:val="en-US" w:eastAsia="zh-CN" w:bidi="ar"/>
              </w:rPr>
              <w:t>项目竣工验收后</w:t>
            </w:r>
            <w:r>
              <w:rPr>
                <w:rFonts w:hint="eastAsia" w:ascii="宋体" w:hAnsi="宋体"/>
                <w:color w:val="auto"/>
                <w:sz w:val="21"/>
                <w:szCs w:val="21"/>
                <w:lang w:val="en-US" w:eastAsia="zh-CN"/>
              </w:rPr>
              <w:t>售后质保年限满足采购人需求，每延长1年得1分、最多得2分。</w:t>
            </w:r>
          </w:p>
        </w:tc>
      </w:tr>
    </w:tbl>
    <w:p>
      <w:pPr>
        <w:sectPr>
          <w:pgSz w:w="11907" w:h="16840"/>
          <w:pgMar w:top="1134" w:right="1134" w:bottom="1134" w:left="1134" w:header="851" w:footer="851" w:gutter="0"/>
          <w:pgNumType w:chapStyle="1"/>
          <w:cols w:space="720" w:num="1"/>
          <w:titlePg/>
        </w:sectPr>
      </w:pPr>
    </w:p>
    <w:p>
      <w:pPr>
        <w:pStyle w:val="4"/>
        <w:spacing w:line="500" w:lineRule="exact"/>
        <w:contextualSpacing/>
        <w:rPr>
          <w:rFonts w:ascii="宋体" w:hAnsi="宋体" w:cs="宋体"/>
          <w:color w:val="000000" w:themeColor="text1"/>
          <w:sz w:val="24"/>
          <w:szCs w:val="24"/>
          <w14:textFill>
            <w14:solidFill>
              <w14:schemeClr w14:val="tx1"/>
            </w14:solidFill>
          </w14:textFill>
        </w:rPr>
      </w:pPr>
      <w:bookmarkStart w:id="229" w:name="_Toc487728216"/>
      <w:bookmarkStart w:id="230" w:name="_Toc23031"/>
      <w:bookmarkStart w:id="231" w:name="_Toc25038"/>
      <w:r>
        <w:rPr>
          <w:rFonts w:hint="eastAsia" w:ascii="宋体" w:hAnsi="宋体" w:cs="宋体"/>
          <w:color w:val="000000" w:themeColor="text1"/>
          <w:sz w:val="24"/>
          <w:szCs w:val="24"/>
          <w14:textFill>
            <w14:solidFill>
              <w14:schemeClr w14:val="tx1"/>
            </w14:solidFill>
          </w14:textFill>
        </w:rPr>
        <w:t>第六章投标文件格式</w:t>
      </w:r>
      <w:bookmarkEnd w:id="229"/>
      <w:bookmarkEnd w:id="230"/>
      <w:bookmarkEnd w:id="231"/>
    </w:p>
    <w:p>
      <w:pPr>
        <w:pStyle w:val="4"/>
        <w:spacing w:line="500" w:lineRule="exact"/>
        <w:ind w:firstLine="2715" w:firstLineChars="1127"/>
        <w:contextualSpacing/>
        <w:rPr>
          <w:rFonts w:ascii="宋体" w:hAnsi="宋体" w:cs="宋体"/>
          <w:color w:val="000000" w:themeColor="text1"/>
          <w:sz w:val="24"/>
          <w:szCs w:val="24"/>
          <w14:textFill>
            <w14:solidFill>
              <w14:schemeClr w14:val="tx1"/>
            </w14:solidFill>
          </w14:textFill>
        </w:rPr>
      </w:pPr>
    </w:p>
    <w:tbl>
      <w:tblPr>
        <w:tblStyle w:val="36"/>
        <w:tblpPr w:leftFromText="180" w:rightFromText="180" w:vertAnchor="text" w:horzAnchor="page" w:tblpX="9165" w:tblpY="-969"/>
        <w:tblW w:w="7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720" w:type="dxa"/>
            <w:tcBorders>
              <w:top w:val="single" w:color="auto" w:sz="4" w:space="0"/>
              <w:left w:val="single" w:color="auto" w:sz="4" w:space="0"/>
              <w:bottom w:val="single" w:color="auto" w:sz="4" w:space="0"/>
              <w:right w:val="single" w:color="auto" w:sz="4" w:space="0"/>
            </w:tcBorders>
            <w:vAlign w:val="center"/>
          </w:tcPr>
          <w:p>
            <w:pPr>
              <w:spacing w:line="500" w:lineRule="exact"/>
              <w:contextualSpacing/>
              <w:jc w:val="center"/>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正本</w:t>
            </w:r>
          </w:p>
        </w:tc>
      </w:tr>
    </w:tbl>
    <w:p>
      <w:pPr>
        <w:spacing w:line="500" w:lineRule="exact"/>
        <w:contextualSpacing/>
        <w:rPr>
          <w:rFonts w:ascii="宋体" w:hAnsi="宋体" w:cs="宋体"/>
          <w:color w:val="000000" w:themeColor="text1"/>
          <w:sz w:val="24"/>
          <w:szCs w:val="24"/>
          <w14:textFill>
            <w14:solidFill>
              <w14:schemeClr w14:val="tx1"/>
            </w14:solidFill>
          </w14:textFill>
        </w:rPr>
      </w:pPr>
    </w:p>
    <w:p>
      <w:pPr>
        <w:spacing w:line="500" w:lineRule="exact"/>
        <w:contextualSpacing/>
        <w:rPr>
          <w:rFonts w:ascii="宋体" w:hAnsi="宋体" w:cs="宋体"/>
          <w:color w:val="000000" w:themeColor="text1"/>
          <w:sz w:val="24"/>
          <w:szCs w:val="24"/>
          <w14:textFill>
            <w14:solidFill>
              <w14:schemeClr w14:val="tx1"/>
            </w14:solidFill>
          </w14:textFill>
        </w:rPr>
      </w:pPr>
    </w:p>
    <w:p>
      <w:pPr>
        <w:spacing w:line="500" w:lineRule="exact"/>
        <w:contextualSpacing/>
        <w:jc w:val="center"/>
        <w:rPr>
          <w:rFonts w:ascii="宋体" w:hAnsi="宋体" w:cs="宋体"/>
          <w:color w:val="000000" w:themeColor="text1"/>
          <w:sz w:val="24"/>
          <w:szCs w:val="24"/>
          <w14:textFill>
            <w14:solidFill>
              <w14:schemeClr w14:val="tx1"/>
            </w14:solidFill>
          </w14:textFill>
        </w:rPr>
      </w:pPr>
    </w:p>
    <w:p>
      <w:pPr>
        <w:spacing w:line="500" w:lineRule="exact"/>
        <w:contextualSpacing/>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（项目名称）</w:t>
      </w:r>
    </w:p>
    <w:p>
      <w:pPr>
        <w:spacing w:line="500" w:lineRule="exact"/>
        <w:contextualSpacing/>
        <w:jc w:val="center"/>
        <w:rPr>
          <w:rFonts w:ascii="宋体" w:hAnsi="宋体" w:cs="宋体"/>
          <w:color w:val="000000" w:themeColor="text1"/>
          <w:sz w:val="24"/>
          <w:szCs w:val="24"/>
          <w14:textFill>
            <w14:solidFill>
              <w14:schemeClr w14:val="tx1"/>
            </w14:solidFill>
          </w14:textFill>
        </w:rPr>
      </w:pPr>
    </w:p>
    <w:p>
      <w:pPr>
        <w:spacing w:line="500" w:lineRule="exact"/>
        <w:contextualSpacing/>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val="zh-CN"/>
          <w14:textFill>
            <w14:solidFill>
              <w14:schemeClr w14:val="tx1"/>
            </w14:solidFill>
          </w14:textFill>
        </w:rPr>
        <w:t>项目编号</w:t>
      </w:r>
      <w:r>
        <w:rPr>
          <w:rFonts w:hint="eastAsia" w:ascii="宋体" w:hAnsi="宋体" w:cs="宋体"/>
          <w:color w:val="000000" w:themeColor="text1"/>
          <w:sz w:val="24"/>
          <w:szCs w:val="24"/>
          <w14:textFill>
            <w14:solidFill>
              <w14:schemeClr w14:val="tx1"/>
            </w14:solidFill>
          </w14:textFill>
        </w:rPr>
        <w:t>：_______________________________</w:t>
      </w:r>
    </w:p>
    <w:p>
      <w:pPr>
        <w:spacing w:line="500" w:lineRule="exact"/>
        <w:contextualSpacing/>
        <w:rPr>
          <w:rFonts w:ascii="宋体" w:hAnsi="宋体" w:cs="宋体"/>
          <w:color w:val="000000" w:themeColor="text1"/>
          <w:sz w:val="24"/>
          <w:szCs w:val="24"/>
          <w14:textFill>
            <w14:solidFill>
              <w14:schemeClr w14:val="tx1"/>
            </w14:solidFill>
          </w14:textFill>
        </w:rPr>
      </w:pPr>
    </w:p>
    <w:p>
      <w:pPr>
        <w:spacing w:line="500" w:lineRule="exact"/>
        <w:contextualSpacing/>
        <w:rPr>
          <w:rFonts w:ascii="宋体" w:hAnsi="宋体" w:cs="宋体"/>
          <w:color w:val="000000" w:themeColor="text1"/>
          <w:sz w:val="24"/>
          <w:szCs w:val="24"/>
          <w14:textFill>
            <w14:solidFill>
              <w14:schemeClr w14:val="tx1"/>
            </w14:solidFill>
          </w14:textFill>
        </w:rPr>
      </w:pPr>
    </w:p>
    <w:p>
      <w:pPr>
        <w:spacing w:line="500" w:lineRule="exact"/>
        <w:contextualSpacing/>
        <w:jc w:val="center"/>
        <w:rPr>
          <w:rFonts w:ascii="宋体" w:hAnsi="宋体" w:cs="宋体"/>
          <w:b/>
          <w:color w:val="000000" w:themeColor="text1"/>
          <w:sz w:val="24"/>
          <w:szCs w:val="24"/>
          <w14:textFill>
            <w14:solidFill>
              <w14:schemeClr w14:val="tx1"/>
            </w14:solidFill>
          </w14:textFill>
        </w:rPr>
      </w:pPr>
    </w:p>
    <w:p>
      <w:pPr>
        <w:spacing w:line="500" w:lineRule="exact"/>
        <w:contextualSpacing/>
        <w:jc w:val="center"/>
        <w:rPr>
          <w:rFonts w:ascii="宋体" w:hAnsi="宋体" w:cs="宋体"/>
          <w:b/>
          <w:sz w:val="24"/>
          <w:szCs w:val="24"/>
        </w:rPr>
      </w:pPr>
      <w:r>
        <w:rPr>
          <w:rFonts w:hint="eastAsia" w:ascii="宋体" w:hAnsi="宋体" w:cs="宋体"/>
          <w:b/>
          <w:sz w:val="24"/>
          <w:szCs w:val="24"/>
        </w:rPr>
        <w:t>投  标  文  件</w:t>
      </w:r>
    </w:p>
    <w:p>
      <w:pPr>
        <w:spacing w:line="500" w:lineRule="exact"/>
        <w:contextualSpacing/>
        <w:rPr>
          <w:rFonts w:ascii="宋体" w:hAnsi="宋体" w:cs="宋体"/>
          <w:b/>
          <w:sz w:val="24"/>
          <w:szCs w:val="24"/>
        </w:rPr>
      </w:pPr>
    </w:p>
    <w:p>
      <w:pPr>
        <w:spacing w:line="500" w:lineRule="exact"/>
        <w:contextualSpacing/>
        <w:rPr>
          <w:rFonts w:ascii="宋体" w:hAnsi="宋体" w:cs="宋体"/>
          <w:b/>
          <w:sz w:val="24"/>
          <w:szCs w:val="24"/>
        </w:rPr>
      </w:pPr>
    </w:p>
    <w:p>
      <w:pPr>
        <w:spacing w:line="500" w:lineRule="exact"/>
        <w:contextualSpacing/>
        <w:rPr>
          <w:rFonts w:ascii="宋体" w:hAnsi="宋体" w:cs="宋体"/>
          <w:b/>
          <w:sz w:val="24"/>
          <w:szCs w:val="24"/>
        </w:rPr>
      </w:pPr>
    </w:p>
    <w:p>
      <w:pPr>
        <w:spacing w:line="500" w:lineRule="exact"/>
        <w:contextualSpacing/>
        <w:rPr>
          <w:rFonts w:ascii="宋体" w:hAnsi="宋体" w:cs="宋体"/>
          <w:b/>
          <w:sz w:val="24"/>
          <w:szCs w:val="24"/>
        </w:rPr>
      </w:pPr>
    </w:p>
    <w:p>
      <w:pPr>
        <w:spacing w:line="500" w:lineRule="exact"/>
        <w:contextualSpacing/>
        <w:rPr>
          <w:rFonts w:ascii="宋体" w:hAnsi="宋体" w:cs="宋体"/>
          <w:b/>
          <w:sz w:val="24"/>
          <w:szCs w:val="24"/>
        </w:rPr>
      </w:pPr>
    </w:p>
    <w:p>
      <w:pPr>
        <w:spacing w:line="500" w:lineRule="exact"/>
        <w:contextualSpacing/>
        <w:rPr>
          <w:rFonts w:ascii="宋体" w:hAnsi="宋体" w:cs="宋体"/>
          <w:b/>
          <w:sz w:val="24"/>
          <w:szCs w:val="24"/>
        </w:rPr>
      </w:pPr>
    </w:p>
    <w:p>
      <w:pPr>
        <w:spacing w:line="500" w:lineRule="exact"/>
        <w:ind w:firstLine="840" w:firstLineChars="350"/>
        <w:contextualSpacing/>
        <w:rPr>
          <w:rFonts w:ascii="宋体" w:hAnsi="宋体" w:cs="宋体"/>
          <w:sz w:val="24"/>
          <w:szCs w:val="24"/>
        </w:rPr>
      </w:pPr>
      <w:r>
        <w:rPr>
          <w:rFonts w:hint="eastAsia" w:ascii="宋体" w:hAnsi="宋体" w:cs="宋体"/>
          <w:sz w:val="24"/>
          <w:szCs w:val="24"/>
        </w:rPr>
        <w:t>投标人：（单位公章）</w:t>
      </w:r>
    </w:p>
    <w:p>
      <w:pPr>
        <w:spacing w:line="500" w:lineRule="exact"/>
        <w:contextualSpacing/>
        <w:rPr>
          <w:rFonts w:ascii="宋体" w:hAnsi="宋体" w:cs="宋体"/>
          <w:sz w:val="24"/>
          <w:szCs w:val="24"/>
        </w:rPr>
      </w:pPr>
    </w:p>
    <w:p>
      <w:pPr>
        <w:spacing w:line="500" w:lineRule="exact"/>
        <w:contextualSpacing/>
        <w:rPr>
          <w:rFonts w:ascii="宋体" w:hAnsi="宋体" w:cs="宋体"/>
          <w:sz w:val="24"/>
          <w:szCs w:val="24"/>
        </w:rPr>
      </w:pPr>
      <w:r>
        <w:rPr>
          <w:rFonts w:hint="eastAsia" w:ascii="宋体" w:hAnsi="宋体" w:cs="宋体"/>
          <w:sz w:val="24"/>
          <w:szCs w:val="24"/>
        </w:rPr>
        <w:t xml:space="preserve">       法定代表人：（签字或盖章）</w:t>
      </w:r>
    </w:p>
    <w:p>
      <w:pPr>
        <w:spacing w:line="500" w:lineRule="exact"/>
        <w:contextualSpacing/>
        <w:rPr>
          <w:rFonts w:ascii="宋体" w:hAnsi="宋体" w:cs="宋体"/>
          <w:sz w:val="24"/>
          <w:szCs w:val="24"/>
        </w:rPr>
      </w:pPr>
    </w:p>
    <w:p>
      <w:pPr>
        <w:spacing w:line="500" w:lineRule="exact"/>
        <w:contextualSpacing/>
        <w:rPr>
          <w:rFonts w:ascii="宋体" w:hAnsi="宋体" w:cs="宋体"/>
          <w:color w:val="FF0000"/>
          <w:sz w:val="24"/>
          <w:szCs w:val="24"/>
        </w:rPr>
      </w:pPr>
    </w:p>
    <w:p>
      <w:pPr>
        <w:spacing w:line="500" w:lineRule="exact"/>
        <w:contextualSpacing/>
        <w:rPr>
          <w:rFonts w:ascii="宋体" w:hAnsi="宋体" w:cs="宋体"/>
          <w:color w:val="000000" w:themeColor="text1"/>
          <w:sz w:val="24"/>
          <w:szCs w:val="24"/>
          <w14:textFill>
            <w14:solidFill>
              <w14:schemeClr w14:val="tx1"/>
            </w14:solidFill>
          </w14:textFill>
        </w:rPr>
      </w:pPr>
    </w:p>
    <w:p>
      <w:pPr>
        <w:spacing w:line="500" w:lineRule="exact"/>
        <w:contextualSpacing/>
        <w:rPr>
          <w:rFonts w:ascii="宋体" w:hAnsi="宋体" w:cs="宋体"/>
          <w:color w:val="000000" w:themeColor="text1"/>
          <w:sz w:val="24"/>
          <w:szCs w:val="24"/>
          <w14:textFill>
            <w14:solidFill>
              <w14:schemeClr w14:val="tx1"/>
            </w14:solidFill>
          </w14:textFill>
        </w:rPr>
      </w:pPr>
    </w:p>
    <w:p>
      <w:pPr>
        <w:spacing w:line="500" w:lineRule="exact"/>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年      月      日</w:t>
      </w:r>
    </w:p>
    <w:p>
      <w:pPr>
        <w:spacing w:line="500" w:lineRule="exact"/>
        <w:contextualSpacing/>
        <w:rPr>
          <w:rFonts w:ascii="宋体" w:hAnsi="宋体" w:cs="宋体"/>
          <w:color w:val="000000" w:themeColor="text1"/>
          <w:sz w:val="24"/>
          <w:szCs w:val="24"/>
          <w14:textFill>
            <w14:solidFill>
              <w14:schemeClr w14:val="tx1"/>
            </w14:solidFill>
          </w14:textFill>
        </w:rPr>
      </w:pPr>
    </w:p>
    <w:p>
      <w:pPr>
        <w:pStyle w:val="5"/>
        <w:spacing w:line="500" w:lineRule="exact"/>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br w:type="page"/>
      </w:r>
      <w:bookmarkStart w:id="232" w:name="_Toc417"/>
      <w:bookmarkStart w:id="233" w:name="_Toc487728217"/>
      <w:bookmarkStart w:id="234" w:name="_Toc11791"/>
      <w:r>
        <w:rPr>
          <w:rFonts w:hint="eastAsia" w:ascii="宋体" w:hAnsi="宋体" w:cs="宋体"/>
          <w:color w:val="000000" w:themeColor="text1"/>
          <w:sz w:val="24"/>
          <w:szCs w:val="24"/>
          <w14:textFill>
            <w14:solidFill>
              <w14:schemeClr w14:val="tx1"/>
            </w14:solidFill>
          </w14:textFill>
        </w:rPr>
        <w:t>一、投标函</w:t>
      </w:r>
      <w:bookmarkEnd w:id="232"/>
      <w:bookmarkEnd w:id="233"/>
      <w:bookmarkEnd w:id="234"/>
    </w:p>
    <w:p>
      <w:pPr>
        <w:pStyle w:val="24"/>
        <w:spacing w:line="500" w:lineRule="exact"/>
        <w:ind w:firstLine="0"/>
        <w:contextualSpacing/>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（采购人名称）：</w:t>
      </w:r>
    </w:p>
    <w:p>
      <w:pPr>
        <w:spacing w:line="500" w:lineRule="exact"/>
        <w:ind w:firstLine="555"/>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根据贵方为项目招标的投标邀请</w:t>
      </w:r>
      <w:r>
        <w:rPr>
          <w:rFonts w:hint="eastAsia" w:ascii="宋体" w:hAnsi="宋体" w:cs="宋体"/>
          <w:color w:val="000000" w:themeColor="text1"/>
          <w:sz w:val="24"/>
          <w:szCs w:val="24"/>
          <w:u w:val="single"/>
          <w14:textFill>
            <w14:solidFill>
              <w14:schemeClr w14:val="tx1"/>
            </w14:solidFill>
          </w14:textFill>
        </w:rPr>
        <w:t xml:space="preserve">   项目编号   </w:t>
      </w:r>
      <w:r>
        <w:rPr>
          <w:rFonts w:hint="eastAsia" w:ascii="宋体" w:hAnsi="宋体" w:cs="宋体"/>
          <w:color w:val="000000" w:themeColor="text1"/>
          <w:sz w:val="24"/>
          <w:szCs w:val="24"/>
          <w14:textFill>
            <w14:solidFill>
              <w14:schemeClr w14:val="tx1"/>
            </w14:solidFill>
          </w14:textFill>
        </w:rPr>
        <w:t>，签字代表</w:t>
      </w:r>
      <w:r>
        <w:rPr>
          <w:rFonts w:hint="eastAsia" w:ascii="宋体" w:hAnsi="宋体" w:cs="宋体"/>
          <w:color w:val="000000" w:themeColor="text1"/>
          <w:sz w:val="24"/>
          <w:szCs w:val="24"/>
          <w:u w:val="single"/>
          <w14:textFill>
            <w14:solidFill>
              <w14:schemeClr w14:val="tx1"/>
            </w14:solidFill>
          </w14:textFill>
        </w:rPr>
        <w:t xml:space="preserve">  （姓名、职务）  </w:t>
      </w:r>
      <w:r>
        <w:rPr>
          <w:rFonts w:hint="eastAsia" w:ascii="宋体" w:hAnsi="宋体" w:cs="宋体"/>
          <w:color w:val="000000" w:themeColor="text1"/>
          <w:sz w:val="24"/>
          <w:szCs w:val="24"/>
          <w14:textFill>
            <w14:solidFill>
              <w14:schemeClr w14:val="tx1"/>
            </w14:solidFill>
          </w14:textFill>
        </w:rPr>
        <w:t>经正式授权并代表投标人</w:t>
      </w:r>
      <w:r>
        <w:rPr>
          <w:rFonts w:hint="eastAsia" w:ascii="宋体" w:hAnsi="宋体" w:cs="宋体"/>
          <w:color w:val="000000" w:themeColor="text1"/>
          <w:sz w:val="24"/>
          <w:szCs w:val="24"/>
          <w:u w:val="single"/>
          <w14:textFill>
            <w14:solidFill>
              <w14:schemeClr w14:val="tx1"/>
            </w14:solidFill>
          </w14:textFill>
        </w:rPr>
        <w:t xml:space="preserve">  （投标人名称、地址）  </w:t>
      </w:r>
      <w:r>
        <w:rPr>
          <w:rFonts w:hint="eastAsia" w:ascii="宋体" w:hAnsi="宋体" w:cs="宋体"/>
          <w:color w:val="000000" w:themeColor="text1"/>
          <w:sz w:val="24"/>
          <w:szCs w:val="24"/>
          <w14:textFill>
            <w14:solidFill>
              <w14:schemeClr w14:val="tx1"/>
            </w14:solidFill>
          </w14:textFill>
        </w:rPr>
        <w:t>对此项目进行投标。据此函，签字代表宣布并同意如下：</w:t>
      </w:r>
    </w:p>
    <w:p>
      <w:pPr>
        <w:spacing w:line="500" w:lineRule="exact"/>
        <w:ind w:firstLine="480" w:firstLineChars="200"/>
        <w:contextualSpacing/>
        <w:rPr>
          <w:rFonts w:ascii="宋体" w:hAnsi="宋体" w:cs="宋体"/>
          <w:color w:val="000000" w:themeColor="text1"/>
          <w:sz w:val="24"/>
          <w:szCs w:val="24"/>
          <w:u w:val="single"/>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1、所附明细报价表中规定的应提交和交付的工程和货物投标总价为</w:t>
      </w:r>
      <w:r>
        <w:rPr>
          <w:rFonts w:hint="eastAsia" w:ascii="宋体" w:hAnsi="宋体" w:cs="宋体"/>
          <w:color w:val="000000" w:themeColor="text1"/>
          <w:sz w:val="24"/>
          <w:szCs w:val="24"/>
          <w:u w:val="single"/>
          <w14:textFill>
            <w14:solidFill>
              <w14:schemeClr w14:val="tx1"/>
            </w14:solidFill>
          </w14:textFill>
        </w:rPr>
        <w:t xml:space="preserve">  （注明币种，  并用文字和数字表示的投标总价）。</w:t>
      </w:r>
    </w:p>
    <w:p>
      <w:pPr>
        <w:adjustRightInd w:val="0"/>
        <w:spacing w:line="500" w:lineRule="exact"/>
        <w:ind w:firstLine="480" w:firstLineChars="200"/>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2、我方同意在本项目招标文件中规定的开标日起</w:t>
      </w:r>
      <w:r>
        <w:rPr>
          <w:rFonts w:hint="eastAsia" w:ascii="宋体" w:hAnsi="宋体" w:cs="宋体"/>
          <w:color w:val="000000" w:themeColor="text1"/>
          <w:sz w:val="24"/>
          <w:szCs w:val="24"/>
          <w:u w:val="single"/>
          <w14:textFill>
            <w14:solidFill>
              <w14:schemeClr w14:val="tx1"/>
            </w14:solidFill>
          </w14:textFill>
        </w:rPr>
        <w:t xml:space="preserve">30日内 </w:t>
      </w:r>
      <w:r>
        <w:rPr>
          <w:rFonts w:hint="eastAsia" w:ascii="宋体" w:hAnsi="宋体" w:cs="宋体"/>
          <w:color w:val="000000" w:themeColor="text1"/>
          <w:sz w:val="24"/>
          <w:szCs w:val="24"/>
          <w14:textFill>
            <w14:solidFill>
              <w14:schemeClr w14:val="tx1"/>
            </w14:solidFill>
          </w14:textFill>
        </w:rPr>
        <w:t>遵守本投标文件中的承诺且在此期限期满之前均具有约束力。</w:t>
      </w:r>
    </w:p>
    <w:p>
      <w:pPr>
        <w:pStyle w:val="139"/>
        <w:spacing w:line="500" w:lineRule="exact"/>
        <w:ind w:firstLine="480" w:firstLineChars="200"/>
        <w:contextualSpacing/>
        <w:rPr>
          <w:rFonts w:cs="宋体"/>
          <w:color w:val="000000" w:themeColor="text1"/>
          <w:kern w:val="2"/>
          <w:sz w:val="24"/>
          <w:szCs w:val="24"/>
          <w14:textFill>
            <w14:solidFill>
              <w14:schemeClr w14:val="tx1"/>
            </w14:solidFill>
          </w14:textFill>
        </w:rPr>
      </w:pPr>
      <w:r>
        <w:rPr>
          <w:rFonts w:hint="eastAsia" w:cs="宋体"/>
          <w:color w:val="000000" w:themeColor="text1"/>
          <w:kern w:val="2"/>
          <w:sz w:val="24"/>
          <w:szCs w:val="24"/>
          <w14:textFill>
            <w14:solidFill>
              <w14:schemeClr w14:val="tx1"/>
            </w14:solidFill>
          </w14:textFill>
        </w:rPr>
        <w:t>3、我方承诺已经具备《中华人民共和国政府采购法》中规定的参加政府采购活动的投标人应当具备的条件：</w:t>
      </w:r>
    </w:p>
    <w:p>
      <w:pPr>
        <w:numPr>
          <w:ilvl w:val="0"/>
          <w:numId w:val="5"/>
        </w:numPr>
        <w:adjustRightInd w:val="0"/>
        <w:spacing w:line="500" w:lineRule="exact"/>
        <w:ind w:left="0" w:firstLine="480" w:firstLineChars="200"/>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具有独立承担民事责任的能力；</w:t>
      </w:r>
    </w:p>
    <w:p>
      <w:pPr>
        <w:numPr>
          <w:ilvl w:val="0"/>
          <w:numId w:val="5"/>
        </w:numPr>
        <w:adjustRightInd w:val="0"/>
        <w:spacing w:line="500" w:lineRule="exact"/>
        <w:ind w:left="0" w:firstLine="480" w:firstLineChars="200"/>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具有良好的商业信誉和健全的财务会计制度；</w:t>
      </w:r>
    </w:p>
    <w:p>
      <w:pPr>
        <w:numPr>
          <w:ilvl w:val="0"/>
          <w:numId w:val="5"/>
        </w:numPr>
        <w:adjustRightInd w:val="0"/>
        <w:spacing w:line="500" w:lineRule="exact"/>
        <w:ind w:left="0" w:firstLine="480" w:firstLineChars="200"/>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具有履行合同所必需的设备和专业技术能力；</w:t>
      </w:r>
    </w:p>
    <w:p>
      <w:pPr>
        <w:numPr>
          <w:ilvl w:val="0"/>
          <w:numId w:val="5"/>
        </w:numPr>
        <w:adjustRightInd w:val="0"/>
        <w:spacing w:line="500" w:lineRule="exact"/>
        <w:ind w:left="0" w:firstLine="480" w:firstLineChars="200"/>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有依法缴纳税收和社会保障资金的良好记录；</w:t>
      </w:r>
    </w:p>
    <w:p>
      <w:pPr>
        <w:numPr>
          <w:ilvl w:val="0"/>
          <w:numId w:val="5"/>
        </w:numPr>
        <w:adjustRightInd w:val="0"/>
        <w:spacing w:line="500" w:lineRule="exact"/>
        <w:ind w:left="0" w:firstLine="480" w:firstLineChars="200"/>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参加此项采购活动前三年内，在经营活动中没有重大违法记录。</w:t>
      </w:r>
    </w:p>
    <w:p>
      <w:pPr>
        <w:adjustRightInd w:val="0"/>
        <w:spacing w:line="500" w:lineRule="exact"/>
        <w:ind w:firstLine="480" w:firstLineChars="200"/>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4、提供投标须知规定的全部投标文件，包括投标文件正本一份，副本肆份。</w:t>
      </w:r>
    </w:p>
    <w:p>
      <w:pPr>
        <w:adjustRightInd w:val="0"/>
        <w:spacing w:line="500" w:lineRule="exact"/>
        <w:ind w:firstLine="480" w:firstLineChars="200"/>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5、按招标文件要求提供和交付的工程和货物的投标报价详见投标报价表。</w:t>
      </w:r>
    </w:p>
    <w:p>
      <w:pPr>
        <w:adjustRightInd w:val="0"/>
        <w:spacing w:line="500" w:lineRule="exact"/>
        <w:ind w:firstLine="480" w:firstLineChars="200"/>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6、保证忠实地执行双方所签订的合同，并承担合同规定的责任和义务。</w:t>
      </w:r>
    </w:p>
    <w:p>
      <w:pPr>
        <w:adjustRightInd w:val="0"/>
        <w:spacing w:line="500" w:lineRule="exact"/>
        <w:ind w:firstLine="480" w:firstLineChars="200"/>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7、保证遵守招标文件的规定。</w:t>
      </w:r>
    </w:p>
    <w:p>
      <w:pPr>
        <w:adjustRightInd w:val="0"/>
        <w:spacing w:line="500" w:lineRule="exact"/>
        <w:ind w:firstLine="480" w:firstLineChars="200"/>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8、如果在开标后规定的投标有效期内撤回投标，我方的投标保证金可被贵方没收。</w:t>
      </w:r>
    </w:p>
    <w:p>
      <w:pPr>
        <w:adjustRightInd w:val="0"/>
        <w:spacing w:line="500" w:lineRule="exact"/>
        <w:ind w:firstLine="480" w:firstLineChars="200"/>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9、我方完全理解贵方不一定接受最低价的投标或收到的任何投标。</w:t>
      </w:r>
    </w:p>
    <w:p>
      <w:pPr>
        <w:adjustRightInd w:val="0"/>
        <w:spacing w:line="500" w:lineRule="exact"/>
        <w:ind w:firstLine="480" w:firstLineChars="200"/>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10、我方愿意向贵方提供任何与本项投标有关的数据、情况和技术资料。若贵方需要，我方愿意提供我方作出的一切承诺的证明材料。</w:t>
      </w:r>
    </w:p>
    <w:p>
      <w:pPr>
        <w:adjustRightInd w:val="0"/>
        <w:spacing w:line="500" w:lineRule="exact"/>
        <w:ind w:firstLine="480" w:firstLineChars="200"/>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11、我方已详细审核全部投标文件，包括“修改投标文件”（如有的话）、参考资料及有关附件，确认无误。</w:t>
      </w:r>
    </w:p>
    <w:p>
      <w:pPr>
        <w:adjustRightInd w:val="0"/>
        <w:spacing w:line="500" w:lineRule="exact"/>
        <w:ind w:firstLine="480" w:firstLineChars="200"/>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12、我方承诺接受招标文件中第四部分—合同部分的全部条款且无任何异议。</w:t>
      </w:r>
    </w:p>
    <w:p>
      <w:pPr>
        <w:adjustRightInd w:val="0"/>
        <w:spacing w:line="500" w:lineRule="exact"/>
        <w:ind w:firstLine="480" w:firstLineChars="200"/>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13、我方将严格遵守《中华人民共和国政府采购法》的有关规定，若有下列情形之一的，将被处以采购金额5‰以上10‰以下的罚款，列入不良行为记录名单，在一至三年内禁止参加政府采购活动；有违法所得的，并处没收违法所得；情节严重的，由工商行政管理机关吊销营业执照；构成犯罪的，依法追究刑事责任：</w:t>
      </w:r>
    </w:p>
    <w:p>
      <w:pPr>
        <w:numPr>
          <w:ilvl w:val="0"/>
          <w:numId w:val="6"/>
        </w:numPr>
        <w:adjustRightInd w:val="0"/>
        <w:spacing w:line="500" w:lineRule="exact"/>
        <w:ind w:left="0" w:firstLine="480" w:firstLineChars="200"/>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提供虚假材料谋取中标、成交的；</w:t>
      </w:r>
    </w:p>
    <w:p>
      <w:pPr>
        <w:numPr>
          <w:ilvl w:val="0"/>
          <w:numId w:val="6"/>
        </w:numPr>
        <w:adjustRightInd w:val="0"/>
        <w:spacing w:line="500" w:lineRule="exact"/>
        <w:ind w:left="0" w:firstLine="480" w:firstLineChars="200"/>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采取不正当手段诋毁、排挤其他投标人的；</w:t>
      </w:r>
    </w:p>
    <w:p>
      <w:pPr>
        <w:numPr>
          <w:ilvl w:val="0"/>
          <w:numId w:val="6"/>
        </w:numPr>
        <w:adjustRightInd w:val="0"/>
        <w:spacing w:line="500" w:lineRule="exact"/>
        <w:ind w:left="0" w:firstLine="480" w:firstLineChars="200"/>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与采购人、其它投标人或者采购代理机构恶意串通的；</w:t>
      </w:r>
    </w:p>
    <w:p>
      <w:pPr>
        <w:numPr>
          <w:ilvl w:val="0"/>
          <w:numId w:val="6"/>
        </w:numPr>
        <w:adjustRightInd w:val="0"/>
        <w:spacing w:line="500" w:lineRule="exact"/>
        <w:ind w:left="0" w:firstLine="480" w:firstLineChars="200"/>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向采购人、采购代理机构行贿或者提供其他不正当利益的；</w:t>
      </w:r>
    </w:p>
    <w:p>
      <w:pPr>
        <w:numPr>
          <w:ilvl w:val="0"/>
          <w:numId w:val="6"/>
        </w:numPr>
        <w:adjustRightInd w:val="0"/>
        <w:spacing w:line="500" w:lineRule="exact"/>
        <w:ind w:left="0" w:firstLine="480" w:firstLineChars="200"/>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未经采购代理机构同意，在采购过程中与采购人进行协商谈判的；</w:t>
      </w:r>
    </w:p>
    <w:p>
      <w:pPr>
        <w:numPr>
          <w:ilvl w:val="0"/>
          <w:numId w:val="6"/>
        </w:numPr>
        <w:adjustRightInd w:val="0"/>
        <w:spacing w:line="500" w:lineRule="exact"/>
        <w:ind w:left="0" w:firstLine="480" w:firstLineChars="200"/>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拒绝有关部门监督检查或提供虚假情况的。</w:t>
      </w:r>
    </w:p>
    <w:p>
      <w:pPr>
        <w:adjustRightInd w:val="0"/>
        <w:spacing w:line="500" w:lineRule="exact"/>
        <w:contextualSpacing/>
        <w:rPr>
          <w:rFonts w:ascii="宋体" w:hAnsi="宋体" w:cs="宋体"/>
          <w:color w:val="000000" w:themeColor="text1"/>
          <w:sz w:val="24"/>
          <w:szCs w:val="24"/>
          <w14:textFill>
            <w14:solidFill>
              <w14:schemeClr w14:val="tx1"/>
            </w14:solidFill>
          </w14:textFill>
        </w:rPr>
      </w:pPr>
    </w:p>
    <w:p>
      <w:pPr>
        <w:spacing w:line="500" w:lineRule="exact"/>
        <w:ind w:firstLine="240" w:firstLineChars="100"/>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与本投标有关的一切正式往来信函请寄：</w:t>
      </w:r>
    </w:p>
    <w:p>
      <w:pPr>
        <w:spacing w:line="500" w:lineRule="exact"/>
        <w:ind w:firstLine="240" w:firstLineChars="100"/>
        <w:contextualSpacing/>
        <w:rPr>
          <w:rFonts w:ascii="宋体" w:hAnsi="宋体" w:cs="宋体"/>
          <w:color w:val="000000" w:themeColor="text1"/>
          <w:sz w:val="24"/>
          <w:szCs w:val="24"/>
          <w14:textFill>
            <w14:solidFill>
              <w14:schemeClr w14:val="tx1"/>
            </w14:solidFill>
          </w14:textFill>
        </w:rPr>
      </w:pPr>
    </w:p>
    <w:p>
      <w:pPr>
        <w:spacing w:line="500" w:lineRule="exact"/>
        <w:ind w:firstLine="240" w:firstLineChars="100"/>
        <w:contextualSpacing/>
        <w:rPr>
          <w:rFonts w:ascii="宋体" w:hAnsi="宋体" w:cs="宋体"/>
          <w:color w:val="000000" w:themeColor="text1"/>
          <w:sz w:val="24"/>
          <w:szCs w:val="24"/>
          <w:u w:val="single"/>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地　　　　　 址：</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 xml:space="preserve"> 邮编：_</w:t>
      </w:r>
      <w:r>
        <w:rPr>
          <w:rFonts w:hint="eastAsia" w:ascii="宋体" w:hAnsi="宋体" w:cs="宋体"/>
          <w:color w:val="000000" w:themeColor="text1"/>
          <w:sz w:val="24"/>
          <w:szCs w:val="24"/>
          <w14:textFill>
            <w14:solidFill>
              <w14:schemeClr w14:val="tx1"/>
            </w14:solidFill>
          </w14:textFill>
        </w:rPr>
        <w:softHyphen/>
      </w:r>
      <w:r>
        <w:rPr>
          <w:rFonts w:hint="eastAsia" w:ascii="宋体" w:hAnsi="宋体" w:cs="宋体"/>
          <w:color w:val="000000" w:themeColor="text1"/>
          <w:sz w:val="24"/>
          <w:szCs w:val="24"/>
          <w14:textFill>
            <w14:solidFill>
              <w14:schemeClr w14:val="tx1"/>
            </w14:solidFill>
          </w14:textFill>
        </w:rPr>
        <w:softHyphen/>
      </w:r>
      <w:r>
        <w:rPr>
          <w:rFonts w:hint="eastAsia" w:ascii="宋体" w:hAnsi="宋体" w:cs="宋体"/>
          <w:color w:val="000000" w:themeColor="text1"/>
          <w:sz w:val="24"/>
          <w:szCs w:val="24"/>
          <w14:textFill>
            <w14:solidFill>
              <w14:schemeClr w14:val="tx1"/>
            </w14:solidFill>
          </w14:textFill>
        </w:rPr>
        <w:softHyphen/>
      </w:r>
      <w:r>
        <w:rPr>
          <w:rFonts w:hint="eastAsia" w:ascii="宋体" w:hAnsi="宋体" w:cs="宋体"/>
          <w:color w:val="000000" w:themeColor="text1"/>
          <w:sz w:val="24"/>
          <w:szCs w:val="24"/>
          <w14:textFill>
            <w14:solidFill>
              <w14:schemeClr w14:val="tx1"/>
            </w14:solidFill>
          </w14:textFill>
        </w:rPr>
        <w:t>__</w:t>
      </w:r>
      <w:r>
        <w:rPr>
          <w:rFonts w:hint="eastAsia" w:ascii="宋体" w:hAnsi="宋体" w:cs="宋体"/>
          <w:color w:val="000000" w:themeColor="text1"/>
          <w:sz w:val="24"/>
          <w:szCs w:val="24"/>
          <w14:textFill>
            <w14:solidFill>
              <w14:schemeClr w14:val="tx1"/>
            </w14:solidFill>
          </w14:textFill>
        </w:rPr>
        <w:softHyphen/>
      </w:r>
      <w:r>
        <w:rPr>
          <w:rFonts w:hint="eastAsia" w:ascii="宋体" w:hAnsi="宋体" w:cs="宋体"/>
          <w:color w:val="000000" w:themeColor="text1"/>
          <w:sz w:val="24"/>
          <w:szCs w:val="24"/>
          <w14:textFill>
            <w14:solidFill>
              <w14:schemeClr w14:val="tx1"/>
            </w14:solidFill>
          </w14:textFill>
        </w:rPr>
        <w:softHyphen/>
      </w:r>
      <w:r>
        <w:rPr>
          <w:rFonts w:hint="eastAsia" w:ascii="宋体" w:hAnsi="宋体" w:cs="宋体"/>
          <w:color w:val="000000" w:themeColor="text1"/>
          <w:sz w:val="24"/>
          <w:szCs w:val="24"/>
          <w14:textFill>
            <w14:solidFill>
              <w14:schemeClr w14:val="tx1"/>
            </w14:solidFill>
          </w14:textFill>
        </w:rPr>
        <w:softHyphen/>
      </w:r>
      <w:r>
        <w:rPr>
          <w:rFonts w:hint="eastAsia" w:ascii="宋体" w:hAnsi="宋体" w:cs="宋体"/>
          <w:color w:val="000000" w:themeColor="text1"/>
          <w:sz w:val="24"/>
          <w:szCs w:val="24"/>
          <w14:textFill>
            <w14:solidFill>
              <w14:schemeClr w14:val="tx1"/>
            </w14:solidFill>
          </w14:textFill>
        </w:rPr>
        <w:softHyphen/>
      </w:r>
      <w:r>
        <w:rPr>
          <w:rFonts w:hint="eastAsia" w:ascii="宋体" w:hAnsi="宋体" w:cs="宋体"/>
          <w:color w:val="000000" w:themeColor="text1"/>
          <w:sz w:val="24"/>
          <w:szCs w:val="24"/>
          <w14:textFill>
            <w14:solidFill>
              <w14:schemeClr w14:val="tx1"/>
            </w14:solidFill>
          </w14:textFill>
        </w:rPr>
        <w:softHyphen/>
      </w:r>
      <w:r>
        <w:rPr>
          <w:rFonts w:hint="eastAsia" w:ascii="宋体" w:hAnsi="宋体" w:cs="宋体"/>
          <w:color w:val="000000" w:themeColor="text1"/>
          <w:sz w:val="24"/>
          <w:szCs w:val="24"/>
          <w14:textFill>
            <w14:solidFill>
              <w14:schemeClr w14:val="tx1"/>
            </w14:solidFill>
          </w14:textFill>
        </w:rPr>
        <w:softHyphen/>
      </w:r>
      <w:r>
        <w:rPr>
          <w:rFonts w:hint="eastAsia" w:ascii="宋体" w:hAnsi="宋体" w:cs="宋体"/>
          <w:color w:val="000000" w:themeColor="text1"/>
          <w:sz w:val="24"/>
          <w:szCs w:val="24"/>
          <w14:textFill>
            <w14:solidFill>
              <w14:schemeClr w14:val="tx1"/>
            </w14:solidFill>
          </w14:textFill>
        </w:rPr>
        <w:t>__________________</w:t>
      </w:r>
      <w:r>
        <w:rPr>
          <w:rFonts w:hint="eastAsia" w:ascii="宋体" w:hAnsi="宋体" w:cs="宋体"/>
          <w:color w:val="000000" w:themeColor="text1"/>
          <w:sz w:val="24"/>
          <w:szCs w:val="24"/>
          <w:u w:val="single"/>
          <w14:textFill>
            <w14:solidFill>
              <w14:schemeClr w14:val="tx1"/>
            </w14:solidFill>
          </w14:textFill>
        </w:rPr>
        <w:t>　　　　   　　　　　</w:t>
      </w:r>
    </w:p>
    <w:p>
      <w:pPr>
        <w:spacing w:line="500" w:lineRule="exact"/>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电　　　　　 话：</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 xml:space="preserve"> 传真：_</w:t>
      </w:r>
      <w:r>
        <w:rPr>
          <w:rFonts w:hint="eastAsia" w:ascii="宋体" w:hAnsi="宋体" w:cs="宋体"/>
          <w:color w:val="000000" w:themeColor="text1"/>
          <w:sz w:val="24"/>
          <w:szCs w:val="24"/>
          <w14:textFill>
            <w14:solidFill>
              <w14:schemeClr w14:val="tx1"/>
            </w14:solidFill>
          </w14:textFill>
        </w:rPr>
        <w:softHyphen/>
      </w:r>
      <w:r>
        <w:rPr>
          <w:rFonts w:hint="eastAsia" w:ascii="宋体" w:hAnsi="宋体" w:cs="宋体"/>
          <w:color w:val="000000" w:themeColor="text1"/>
          <w:sz w:val="24"/>
          <w:szCs w:val="24"/>
          <w14:textFill>
            <w14:solidFill>
              <w14:schemeClr w14:val="tx1"/>
            </w14:solidFill>
          </w14:textFill>
        </w:rPr>
        <w:softHyphen/>
      </w:r>
      <w:r>
        <w:rPr>
          <w:rFonts w:hint="eastAsia" w:ascii="宋体" w:hAnsi="宋体" w:cs="宋体"/>
          <w:color w:val="000000" w:themeColor="text1"/>
          <w:sz w:val="24"/>
          <w:szCs w:val="24"/>
          <w14:textFill>
            <w14:solidFill>
              <w14:schemeClr w14:val="tx1"/>
            </w14:solidFill>
          </w14:textFill>
        </w:rPr>
        <w:softHyphen/>
      </w:r>
      <w:r>
        <w:rPr>
          <w:rFonts w:hint="eastAsia" w:ascii="宋体" w:hAnsi="宋体" w:cs="宋体"/>
          <w:color w:val="000000" w:themeColor="text1"/>
          <w:sz w:val="24"/>
          <w:szCs w:val="24"/>
          <w14:textFill>
            <w14:solidFill>
              <w14:schemeClr w14:val="tx1"/>
            </w14:solidFill>
          </w14:textFill>
        </w:rPr>
        <w:t>__</w:t>
      </w:r>
      <w:r>
        <w:rPr>
          <w:rFonts w:hint="eastAsia" w:ascii="宋体" w:hAnsi="宋体" w:cs="宋体"/>
          <w:color w:val="000000" w:themeColor="text1"/>
          <w:sz w:val="24"/>
          <w:szCs w:val="24"/>
          <w14:textFill>
            <w14:solidFill>
              <w14:schemeClr w14:val="tx1"/>
            </w14:solidFill>
          </w14:textFill>
        </w:rPr>
        <w:softHyphen/>
      </w:r>
      <w:r>
        <w:rPr>
          <w:rFonts w:hint="eastAsia" w:ascii="宋体" w:hAnsi="宋体" w:cs="宋体"/>
          <w:color w:val="000000" w:themeColor="text1"/>
          <w:sz w:val="24"/>
          <w:szCs w:val="24"/>
          <w14:textFill>
            <w14:solidFill>
              <w14:schemeClr w14:val="tx1"/>
            </w14:solidFill>
          </w14:textFill>
        </w:rPr>
        <w:softHyphen/>
      </w:r>
      <w:r>
        <w:rPr>
          <w:rFonts w:hint="eastAsia" w:ascii="宋体" w:hAnsi="宋体" w:cs="宋体"/>
          <w:color w:val="000000" w:themeColor="text1"/>
          <w:sz w:val="24"/>
          <w:szCs w:val="24"/>
          <w14:textFill>
            <w14:solidFill>
              <w14:schemeClr w14:val="tx1"/>
            </w14:solidFill>
          </w14:textFill>
        </w:rPr>
        <w:softHyphen/>
      </w:r>
      <w:r>
        <w:rPr>
          <w:rFonts w:hint="eastAsia" w:ascii="宋体" w:hAnsi="宋体" w:cs="宋体"/>
          <w:color w:val="000000" w:themeColor="text1"/>
          <w:sz w:val="24"/>
          <w:szCs w:val="24"/>
          <w14:textFill>
            <w14:solidFill>
              <w14:schemeClr w14:val="tx1"/>
            </w14:solidFill>
          </w14:textFill>
        </w:rPr>
        <w:softHyphen/>
      </w:r>
      <w:r>
        <w:rPr>
          <w:rFonts w:hint="eastAsia" w:ascii="宋体" w:hAnsi="宋体" w:cs="宋体"/>
          <w:color w:val="000000" w:themeColor="text1"/>
          <w:sz w:val="24"/>
          <w:szCs w:val="24"/>
          <w14:textFill>
            <w14:solidFill>
              <w14:schemeClr w14:val="tx1"/>
            </w14:solidFill>
          </w14:textFill>
        </w:rPr>
        <w:softHyphen/>
      </w:r>
      <w:r>
        <w:rPr>
          <w:rFonts w:hint="eastAsia" w:ascii="宋体" w:hAnsi="宋体" w:cs="宋体"/>
          <w:color w:val="000000" w:themeColor="text1"/>
          <w:sz w:val="24"/>
          <w:szCs w:val="24"/>
          <w14:textFill>
            <w14:solidFill>
              <w14:schemeClr w14:val="tx1"/>
            </w14:solidFill>
          </w14:textFill>
        </w:rPr>
        <w:softHyphen/>
      </w:r>
      <w:r>
        <w:rPr>
          <w:rFonts w:hint="eastAsia" w:ascii="宋体" w:hAnsi="宋体" w:cs="宋体"/>
          <w:color w:val="000000" w:themeColor="text1"/>
          <w:sz w:val="24"/>
          <w:szCs w:val="24"/>
          <w14:textFill>
            <w14:solidFill>
              <w14:schemeClr w14:val="tx1"/>
            </w14:solidFill>
          </w14:textFill>
        </w:rPr>
        <w:t>__________________</w:t>
      </w:r>
      <w:r>
        <w:rPr>
          <w:rFonts w:hint="eastAsia" w:ascii="宋体" w:hAnsi="宋体" w:cs="宋体"/>
          <w:color w:val="000000" w:themeColor="text1"/>
          <w:sz w:val="24"/>
          <w:szCs w:val="24"/>
          <w:u w:val="single"/>
          <w14:textFill>
            <w14:solidFill>
              <w14:schemeClr w14:val="tx1"/>
            </w14:solidFill>
          </w14:textFill>
        </w:rPr>
        <w:t>　   　　　　　　　　</w:t>
      </w:r>
    </w:p>
    <w:p>
      <w:pPr>
        <w:spacing w:line="500" w:lineRule="exact"/>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投标人代表签字： _____________________</w:t>
      </w:r>
      <w:r>
        <w:rPr>
          <w:rFonts w:hint="eastAsia" w:ascii="宋体" w:hAnsi="宋体" w:cs="宋体"/>
          <w:color w:val="000000" w:themeColor="text1"/>
          <w:sz w:val="24"/>
          <w:szCs w:val="24"/>
          <w:u w:val="single"/>
          <w14:textFill>
            <w14:solidFill>
              <w14:schemeClr w14:val="tx1"/>
            </w14:solidFill>
          </w14:textFill>
        </w:rPr>
        <w:t>　　　　　　　　　　　</w:t>
      </w:r>
    </w:p>
    <w:p>
      <w:pPr>
        <w:spacing w:line="500" w:lineRule="exact"/>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投 标 人 名 称： _</w:t>
      </w:r>
      <w:r>
        <w:rPr>
          <w:rFonts w:hint="eastAsia" w:ascii="宋体" w:hAnsi="宋体" w:cs="宋体"/>
          <w:color w:val="000000" w:themeColor="text1"/>
          <w:sz w:val="24"/>
          <w:szCs w:val="24"/>
          <w14:textFill>
            <w14:solidFill>
              <w14:schemeClr w14:val="tx1"/>
            </w14:solidFill>
          </w14:textFill>
        </w:rPr>
        <w:softHyphen/>
      </w:r>
      <w:r>
        <w:rPr>
          <w:rFonts w:hint="eastAsia" w:ascii="宋体" w:hAnsi="宋体" w:cs="宋体"/>
          <w:color w:val="000000" w:themeColor="text1"/>
          <w:sz w:val="24"/>
          <w:szCs w:val="24"/>
          <w14:textFill>
            <w14:solidFill>
              <w14:schemeClr w14:val="tx1"/>
            </w14:solidFill>
          </w14:textFill>
        </w:rPr>
        <w:softHyphen/>
      </w:r>
      <w:r>
        <w:rPr>
          <w:rFonts w:hint="eastAsia" w:ascii="宋体" w:hAnsi="宋体" w:cs="宋体"/>
          <w:color w:val="000000" w:themeColor="text1"/>
          <w:sz w:val="24"/>
          <w:szCs w:val="24"/>
          <w14:textFill>
            <w14:solidFill>
              <w14:schemeClr w14:val="tx1"/>
            </w14:solidFill>
          </w14:textFill>
        </w:rPr>
        <w:softHyphen/>
      </w:r>
      <w:r>
        <w:rPr>
          <w:rFonts w:hint="eastAsia" w:ascii="宋体" w:hAnsi="宋体" w:cs="宋体"/>
          <w:color w:val="000000" w:themeColor="text1"/>
          <w:sz w:val="24"/>
          <w:szCs w:val="24"/>
          <w14:textFill>
            <w14:solidFill>
              <w14:schemeClr w14:val="tx1"/>
            </w14:solidFill>
          </w14:textFill>
        </w:rPr>
        <w:t>__</w:t>
      </w:r>
      <w:r>
        <w:rPr>
          <w:rFonts w:hint="eastAsia" w:ascii="宋体" w:hAnsi="宋体" w:cs="宋体"/>
          <w:color w:val="000000" w:themeColor="text1"/>
          <w:sz w:val="24"/>
          <w:szCs w:val="24"/>
          <w14:textFill>
            <w14:solidFill>
              <w14:schemeClr w14:val="tx1"/>
            </w14:solidFill>
          </w14:textFill>
        </w:rPr>
        <w:softHyphen/>
      </w:r>
      <w:r>
        <w:rPr>
          <w:rFonts w:hint="eastAsia" w:ascii="宋体" w:hAnsi="宋体" w:cs="宋体"/>
          <w:color w:val="000000" w:themeColor="text1"/>
          <w:sz w:val="24"/>
          <w:szCs w:val="24"/>
          <w14:textFill>
            <w14:solidFill>
              <w14:schemeClr w14:val="tx1"/>
            </w14:solidFill>
          </w14:textFill>
        </w:rPr>
        <w:softHyphen/>
      </w:r>
      <w:r>
        <w:rPr>
          <w:rFonts w:hint="eastAsia" w:ascii="宋体" w:hAnsi="宋体" w:cs="宋体"/>
          <w:color w:val="000000" w:themeColor="text1"/>
          <w:sz w:val="24"/>
          <w:szCs w:val="24"/>
          <w14:textFill>
            <w14:solidFill>
              <w14:schemeClr w14:val="tx1"/>
            </w14:solidFill>
          </w14:textFill>
        </w:rPr>
        <w:softHyphen/>
      </w:r>
      <w:r>
        <w:rPr>
          <w:rFonts w:hint="eastAsia" w:ascii="宋体" w:hAnsi="宋体" w:cs="宋体"/>
          <w:color w:val="000000" w:themeColor="text1"/>
          <w:sz w:val="24"/>
          <w:szCs w:val="24"/>
          <w14:textFill>
            <w14:solidFill>
              <w14:schemeClr w14:val="tx1"/>
            </w14:solidFill>
          </w14:textFill>
        </w:rPr>
        <w:softHyphen/>
      </w:r>
      <w:r>
        <w:rPr>
          <w:rFonts w:hint="eastAsia" w:ascii="宋体" w:hAnsi="宋体" w:cs="宋体"/>
          <w:color w:val="000000" w:themeColor="text1"/>
          <w:sz w:val="24"/>
          <w:szCs w:val="24"/>
          <w14:textFill>
            <w14:solidFill>
              <w14:schemeClr w14:val="tx1"/>
            </w14:solidFill>
          </w14:textFill>
        </w:rPr>
        <w:softHyphen/>
      </w:r>
      <w:r>
        <w:rPr>
          <w:rFonts w:hint="eastAsia" w:ascii="宋体" w:hAnsi="宋体" w:cs="宋体"/>
          <w:color w:val="000000" w:themeColor="text1"/>
          <w:sz w:val="24"/>
          <w:szCs w:val="24"/>
          <w14:textFill>
            <w14:solidFill>
              <w14:schemeClr w14:val="tx1"/>
            </w14:solidFill>
          </w14:textFill>
        </w:rPr>
        <w:softHyphen/>
      </w:r>
      <w:r>
        <w:rPr>
          <w:rFonts w:hint="eastAsia" w:ascii="宋体" w:hAnsi="宋体" w:cs="宋体"/>
          <w:color w:val="000000" w:themeColor="text1"/>
          <w:sz w:val="24"/>
          <w:szCs w:val="24"/>
          <w14:textFill>
            <w14:solidFill>
              <w14:schemeClr w14:val="tx1"/>
            </w14:solidFill>
          </w14:textFill>
        </w:rPr>
        <w:t>__________________</w:t>
      </w:r>
      <w:r>
        <w:rPr>
          <w:rFonts w:hint="eastAsia" w:ascii="宋体" w:hAnsi="宋体" w:cs="宋体"/>
          <w:color w:val="000000" w:themeColor="text1"/>
          <w:sz w:val="24"/>
          <w:szCs w:val="24"/>
          <w:u w:val="single"/>
          <w14:textFill>
            <w14:solidFill>
              <w14:schemeClr w14:val="tx1"/>
            </w14:solidFill>
          </w14:textFill>
        </w:rPr>
        <w:t xml:space="preserve">      　　　　　　　　　</w:t>
      </w:r>
    </w:p>
    <w:p>
      <w:pPr>
        <w:spacing w:line="500" w:lineRule="exact"/>
        <w:ind w:firstLine="6240" w:firstLineChars="2600"/>
        <w:contextualSpacing/>
        <w:rPr>
          <w:rFonts w:ascii="宋体" w:hAnsi="宋体" w:cs="宋体"/>
          <w:color w:val="000000" w:themeColor="text1"/>
          <w:sz w:val="24"/>
          <w:szCs w:val="24"/>
          <w14:textFill>
            <w14:solidFill>
              <w14:schemeClr w14:val="tx1"/>
            </w14:solidFill>
          </w14:textFill>
        </w:rPr>
      </w:pPr>
    </w:p>
    <w:p>
      <w:pPr>
        <w:spacing w:line="500" w:lineRule="exact"/>
        <w:ind w:firstLine="8160" w:firstLineChars="3400"/>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（单位公章）</w:t>
      </w:r>
    </w:p>
    <w:p>
      <w:pPr>
        <w:spacing w:line="500" w:lineRule="exact"/>
        <w:ind w:firstLine="240" w:firstLineChars="100"/>
        <w:contextualSpacing/>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年月日</w:t>
      </w:r>
    </w:p>
    <w:p>
      <w:pPr>
        <w:pStyle w:val="5"/>
        <w:spacing w:line="500" w:lineRule="exact"/>
        <w:contextualSpacing/>
        <w:rPr>
          <w:rFonts w:ascii="宋体" w:hAnsi="宋体" w:cs="宋体"/>
          <w:color w:val="000000" w:themeColor="text1"/>
          <w:sz w:val="24"/>
          <w:szCs w:val="24"/>
          <w14:textFill>
            <w14:solidFill>
              <w14:schemeClr w14:val="tx1"/>
            </w14:solidFill>
          </w14:textFill>
        </w:rPr>
      </w:pPr>
    </w:p>
    <w:p>
      <w:pPr>
        <w:pStyle w:val="9"/>
        <w:spacing w:line="500" w:lineRule="exact"/>
        <w:contextualSpacing/>
        <w:rPr>
          <w:rFonts w:ascii="宋体" w:hAnsi="宋体" w:cs="宋体"/>
          <w:color w:val="000000" w:themeColor="text1"/>
          <w:sz w:val="24"/>
          <w:szCs w:val="24"/>
          <w14:textFill>
            <w14:solidFill>
              <w14:schemeClr w14:val="tx1"/>
            </w14:solidFill>
          </w14:textFill>
        </w:rPr>
      </w:pPr>
    </w:p>
    <w:p>
      <w:pPr>
        <w:pStyle w:val="9"/>
        <w:spacing w:line="500" w:lineRule="exact"/>
        <w:contextualSpacing/>
        <w:rPr>
          <w:rFonts w:ascii="宋体" w:hAnsi="宋体" w:cs="宋体"/>
          <w:color w:val="000000" w:themeColor="text1"/>
          <w:sz w:val="24"/>
          <w:szCs w:val="24"/>
          <w14:textFill>
            <w14:solidFill>
              <w14:schemeClr w14:val="tx1"/>
            </w14:solidFill>
          </w14:textFill>
        </w:rPr>
      </w:pPr>
    </w:p>
    <w:p>
      <w:pPr>
        <w:pStyle w:val="5"/>
        <w:spacing w:line="500" w:lineRule="exact"/>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br w:type="page"/>
      </w:r>
      <w:bookmarkStart w:id="235" w:name="_Toc28326"/>
      <w:bookmarkStart w:id="236" w:name="_Toc5772"/>
      <w:bookmarkStart w:id="237" w:name="_Toc487728218"/>
      <w:r>
        <w:rPr>
          <w:rFonts w:hint="eastAsia" w:ascii="宋体" w:hAnsi="宋体" w:cs="宋体"/>
          <w:color w:val="000000" w:themeColor="text1"/>
          <w:sz w:val="24"/>
          <w:szCs w:val="24"/>
          <w14:textFill>
            <w14:solidFill>
              <w14:schemeClr w14:val="tx1"/>
            </w14:solidFill>
          </w14:textFill>
        </w:rPr>
        <w:t>二、法定代表人授权书</w:t>
      </w:r>
      <w:bookmarkEnd w:id="235"/>
      <w:bookmarkEnd w:id="236"/>
      <w:bookmarkEnd w:id="237"/>
    </w:p>
    <w:p>
      <w:pPr>
        <w:spacing w:line="500" w:lineRule="exact"/>
        <w:contextualSpacing/>
        <w:jc w:val="center"/>
        <w:rPr>
          <w:rFonts w:ascii="宋体" w:hAnsi="宋体" w:cs="宋体"/>
          <w:b/>
          <w:color w:val="000000" w:themeColor="text1"/>
          <w:sz w:val="24"/>
          <w:szCs w:val="24"/>
          <w14:textFill>
            <w14:solidFill>
              <w14:schemeClr w14:val="tx1"/>
            </w14:solidFill>
          </w14:textFill>
        </w:rPr>
      </w:pPr>
    </w:p>
    <w:p>
      <w:pPr>
        <w:autoSpaceDE w:val="0"/>
        <w:autoSpaceDN w:val="0"/>
        <w:adjustRightInd w:val="0"/>
        <w:spacing w:line="500" w:lineRule="exact"/>
        <w:ind w:firstLine="422"/>
        <w:contextualSpacing/>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本授权声明：注册于中华人民共和国的</w:t>
      </w:r>
      <w:r>
        <w:rPr>
          <w:rFonts w:hint="eastAsia" w:ascii="宋体" w:hAnsi="宋体" w:cs="宋体"/>
          <w:color w:val="000000" w:themeColor="text1"/>
          <w:sz w:val="24"/>
          <w:szCs w:val="24"/>
          <w:u w:val="single"/>
          <w14:textFill>
            <w14:solidFill>
              <w14:schemeClr w14:val="tx1"/>
            </w14:solidFill>
          </w14:textFill>
        </w:rPr>
        <w:t xml:space="preserve">  （投标人名称、住址）  </w:t>
      </w:r>
      <w:r>
        <w:rPr>
          <w:rFonts w:hint="eastAsia" w:ascii="宋体" w:hAnsi="宋体" w:cs="宋体"/>
          <w:color w:val="000000" w:themeColor="text1"/>
          <w:sz w:val="24"/>
          <w:szCs w:val="24"/>
          <w14:textFill>
            <w14:solidFill>
              <w14:schemeClr w14:val="tx1"/>
            </w14:solidFill>
          </w14:textFill>
        </w:rPr>
        <w:t>的法人代表</w:t>
      </w:r>
      <w:r>
        <w:rPr>
          <w:rFonts w:hint="eastAsia" w:ascii="宋体" w:hAnsi="宋体" w:cs="宋体"/>
          <w:color w:val="000000" w:themeColor="text1"/>
          <w:sz w:val="24"/>
          <w:szCs w:val="24"/>
          <w:u w:val="single"/>
          <w14:textFill>
            <w14:solidFill>
              <w14:schemeClr w14:val="tx1"/>
            </w14:solidFill>
          </w14:textFill>
        </w:rPr>
        <w:t xml:space="preserve">  （法定代表人姓名、职务）  </w:t>
      </w:r>
      <w:r>
        <w:rPr>
          <w:rFonts w:hint="eastAsia" w:ascii="宋体" w:hAnsi="宋体" w:cs="宋体"/>
          <w:color w:val="000000" w:themeColor="text1"/>
          <w:sz w:val="24"/>
          <w:szCs w:val="24"/>
          <w14:textFill>
            <w14:solidFill>
              <w14:schemeClr w14:val="tx1"/>
            </w14:solidFill>
          </w14:textFill>
        </w:rPr>
        <w:t>代表本公司授权在下面签字的</w:t>
      </w:r>
      <w:r>
        <w:rPr>
          <w:rFonts w:hint="eastAsia" w:ascii="宋体" w:hAnsi="宋体" w:cs="宋体"/>
          <w:color w:val="000000" w:themeColor="text1"/>
          <w:sz w:val="24"/>
          <w:szCs w:val="24"/>
          <w:u w:val="single"/>
          <w14:textFill>
            <w14:solidFill>
              <w14:schemeClr w14:val="tx1"/>
            </w14:solidFill>
          </w14:textFill>
        </w:rPr>
        <w:t xml:space="preserve">  （被授权人的姓名、职务）  </w:t>
      </w:r>
      <w:r>
        <w:rPr>
          <w:rFonts w:hint="eastAsia" w:ascii="宋体" w:hAnsi="宋体" w:cs="宋体"/>
          <w:color w:val="000000" w:themeColor="text1"/>
          <w:sz w:val="24"/>
          <w:szCs w:val="24"/>
          <w14:textFill>
            <w14:solidFill>
              <w14:schemeClr w14:val="tx1"/>
            </w14:solidFill>
          </w14:textFill>
        </w:rPr>
        <w:t>为本公司的合法代理人，就此次</w:t>
      </w:r>
      <w:r>
        <w:rPr>
          <w:rFonts w:hint="eastAsia" w:ascii="宋体" w:hAnsi="宋体" w:cs="宋体"/>
          <w:color w:val="000000" w:themeColor="text1"/>
          <w:kern w:val="0"/>
          <w:sz w:val="24"/>
          <w:szCs w:val="24"/>
          <w:u w:val="single"/>
          <w14:textFill>
            <w14:solidFill>
              <w14:schemeClr w14:val="tx1"/>
            </w14:solidFill>
          </w14:textFill>
        </w:rPr>
        <w:t xml:space="preserve">项目名称 </w:t>
      </w:r>
      <w:r>
        <w:rPr>
          <w:rFonts w:hint="eastAsia" w:ascii="宋体" w:hAnsi="宋体" w:cs="宋体"/>
          <w:color w:val="000000" w:themeColor="text1"/>
          <w:sz w:val="24"/>
          <w:szCs w:val="24"/>
          <w14:textFill>
            <w14:solidFill>
              <w14:schemeClr w14:val="tx1"/>
            </w14:solidFill>
          </w14:textFill>
        </w:rPr>
        <w:t>项目，招标编号为</w:t>
      </w:r>
      <w:r>
        <w:rPr>
          <w:rFonts w:hint="eastAsia" w:ascii="宋体" w:hAnsi="宋体" w:cs="宋体"/>
          <w:color w:val="000000" w:themeColor="text1"/>
          <w:sz w:val="24"/>
          <w:szCs w:val="24"/>
          <w:u w:val="single"/>
          <w14:textFill>
            <w14:solidFill>
              <w14:schemeClr w14:val="tx1"/>
            </w14:solidFill>
          </w14:textFill>
        </w:rPr>
        <w:t xml:space="preserve">  项目编号 </w:t>
      </w:r>
      <w:r>
        <w:rPr>
          <w:rFonts w:hint="eastAsia" w:ascii="宋体" w:hAnsi="宋体" w:cs="宋体"/>
          <w:color w:val="000000" w:themeColor="text1"/>
          <w:sz w:val="24"/>
          <w:szCs w:val="24"/>
          <w14:textFill>
            <w14:solidFill>
              <w14:schemeClr w14:val="tx1"/>
            </w14:solidFill>
          </w14:textFill>
        </w:rPr>
        <w:t>的投标及合同的执行、完成和保修，以本公司名义处理一切与之有关的事务。</w:t>
      </w:r>
    </w:p>
    <w:p>
      <w:pPr>
        <w:autoSpaceDE w:val="0"/>
        <w:autoSpaceDN w:val="0"/>
        <w:adjustRightInd w:val="0"/>
        <w:spacing w:line="500" w:lineRule="exact"/>
        <w:ind w:firstLine="420" w:firstLineChars="175"/>
        <w:contextualSpacing/>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本授权书于</w:t>
      </w:r>
      <w:r>
        <w:rPr>
          <w:rFonts w:hint="eastAsia" w:ascii="宋体" w:hAnsi="宋体" w:cs="宋体"/>
          <w:color w:val="000000" w:themeColor="text1"/>
          <w:sz w:val="24"/>
          <w:szCs w:val="24"/>
          <w:u w:val="single"/>
          <w14:textFill>
            <w14:solidFill>
              <w14:schemeClr w14:val="tx1"/>
            </w14:solidFill>
          </w14:textFill>
        </w:rPr>
        <w:t xml:space="preserve">  年  月  日</w:t>
      </w:r>
      <w:r>
        <w:rPr>
          <w:rFonts w:hint="eastAsia" w:ascii="宋体" w:hAnsi="宋体" w:cs="宋体"/>
          <w:color w:val="000000" w:themeColor="text1"/>
          <w:sz w:val="24"/>
          <w:szCs w:val="24"/>
          <w14:textFill>
            <w14:solidFill>
              <w14:schemeClr w14:val="tx1"/>
            </w14:solidFill>
          </w14:textFill>
        </w:rPr>
        <w:t>签字生效，特此声明。</w:t>
      </w:r>
    </w:p>
    <w:p>
      <w:pPr>
        <w:autoSpaceDE w:val="0"/>
        <w:autoSpaceDN w:val="0"/>
        <w:adjustRightInd w:val="0"/>
        <w:spacing w:line="500" w:lineRule="exact"/>
        <w:ind w:firstLine="480" w:firstLineChars="200"/>
        <w:contextualSpacing/>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法人签字或盖章：_</w:t>
      </w:r>
      <w:r>
        <w:rPr>
          <w:rFonts w:hint="eastAsia" w:ascii="宋体" w:hAnsi="宋体" w:cs="宋体"/>
          <w:color w:val="000000" w:themeColor="text1"/>
          <w:sz w:val="24"/>
          <w:szCs w:val="24"/>
          <w14:textFill>
            <w14:solidFill>
              <w14:schemeClr w14:val="tx1"/>
            </w14:solidFill>
          </w14:textFill>
        </w:rPr>
        <w:softHyphen/>
      </w:r>
      <w:r>
        <w:rPr>
          <w:rFonts w:hint="eastAsia" w:ascii="宋体" w:hAnsi="宋体" w:cs="宋体"/>
          <w:color w:val="000000" w:themeColor="text1"/>
          <w:sz w:val="24"/>
          <w:szCs w:val="24"/>
          <w14:textFill>
            <w14:solidFill>
              <w14:schemeClr w14:val="tx1"/>
            </w14:solidFill>
          </w14:textFill>
        </w:rPr>
        <w:softHyphen/>
      </w:r>
      <w:r>
        <w:rPr>
          <w:rFonts w:hint="eastAsia" w:ascii="宋体" w:hAnsi="宋体" w:cs="宋体"/>
          <w:color w:val="000000" w:themeColor="text1"/>
          <w:sz w:val="24"/>
          <w:szCs w:val="24"/>
          <w14:textFill>
            <w14:solidFill>
              <w14:schemeClr w14:val="tx1"/>
            </w14:solidFill>
          </w14:textFill>
        </w:rPr>
        <w:softHyphen/>
      </w:r>
      <w:r>
        <w:rPr>
          <w:rFonts w:hint="eastAsia" w:ascii="宋体" w:hAnsi="宋体" w:cs="宋体"/>
          <w:color w:val="000000" w:themeColor="text1"/>
          <w:sz w:val="24"/>
          <w:szCs w:val="24"/>
          <w14:textFill>
            <w14:solidFill>
              <w14:schemeClr w14:val="tx1"/>
            </w14:solidFill>
          </w14:textFill>
        </w:rPr>
        <w:t>__</w:t>
      </w:r>
      <w:r>
        <w:rPr>
          <w:rFonts w:hint="eastAsia" w:ascii="宋体" w:hAnsi="宋体" w:cs="宋体"/>
          <w:color w:val="000000" w:themeColor="text1"/>
          <w:sz w:val="24"/>
          <w:szCs w:val="24"/>
          <w14:textFill>
            <w14:solidFill>
              <w14:schemeClr w14:val="tx1"/>
            </w14:solidFill>
          </w14:textFill>
        </w:rPr>
        <w:softHyphen/>
      </w:r>
      <w:r>
        <w:rPr>
          <w:rFonts w:hint="eastAsia" w:ascii="宋体" w:hAnsi="宋体" w:cs="宋体"/>
          <w:color w:val="000000" w:themeColor="text1"/>
          <w:sz w:val="24"/>
          <w:szCs w:val="24"/>
          <w14:textFill>
            <w14:solidFill>
              <w14:schemeClr w14:val="tx1"/>
            </w14:solidFill>
          </w14:textFill>
        </w:rPr>
        <w:softHyphen/>
      </w:r>
      <w:r>
        <w:rPr>
          <w:rFonts w:hint="eastAsia" w:ascii="宋体" w:hAnsi="宋体" w:cs="宋体"/>
          <w:color w:val="000000" w:themeColor="text1"/>
          <w:sz w:val="24"/>
          <w:szCs w:val="24"/>
          <w14:textFill>
            <w14:solidFill>
              <w14:schemeClr w14:val="tx1"/>
            </w14:solidFill>
          </w14:textFill>
        </w:rPr>
        <w:softHyphen/>
      </w:r>
      <w:r>
        <w:rPr>
          <w:rFonts w:hint="eastAsia" w:ascii="宋体" w:hAnsi="宋体" w:cs="宋体"/>
          <w:color w:val="000000" w:themeColor="text1"/>
          <w:sz w:val="24"/>
          <w:szCs w:val="24"/>
          <w14:textFill>
            <w14:solidFill>
              <w14:schemeClr w14:val="tx1"/>
            </w14:solidFill>
          </w14:textFill>
        </w:rPr>
        <w:softHyphen/>
      </w:r>
      <w:r>
        <w:rPr>
          <w:rFonts w:hint="eastAsia" w:ascii="宋体" w:hAnsi="宋体" w:cs="宋体"/>
          <w:color w:val="000000" w:themeColor="text1"/>
          <w:sz w:val="24"/>
          <w:szCs w:val="24"/>
          <w14:textFill>
            <w14:solidFill>
              <w14:schemeClr w14:val="tx1"/>
            </w14:solidFill>
          </w14:textFill>
        </w:rPr>
        <w:softHyphen/>
      </w:r>
      <w:r>
        <w:rPr>
          <w:rFonts w:hint="eastAsia" w:ascii="宋体" w:hAnsi="宋体" w:cs="宋体"/>
          <w:color w:val="000000" w:themeColor="text1"/>
          <w:sz w:val="24"/>
          <w:szCs w:val="24"/>
          <w14:textFill>
            <w14:solidFill>
              <w14:schemeClr w14:val="tx1"/>
            </w14:solidFill>
          </w14:textFill>
        </w:rPr>
        <w:softHyphen/>
      </w:r>
      <w:r>
        <w:rPr>
          <w:rFonts w:hint="eastAsia" w:ascii="宋体" w:hAnsi="宋体" w:cs="宋体"/>
          <w:color w:val="000000" w:themeColor="text1"/>
          <w:sz w:val="24"/>
          <w:szCs w:val="24"/>
          <w14:textFill>
            <w14:solidFill>
              <w14:schemeClr w14:val="tx1"/>
            </w14:solidFill>
          </w14:textFill>
        </w:rPr>
        <w:t>__________________</w:t>
      </w:r>
    </w:p>
    <w:p>
      <w:pPr>
        <w:autoSpaceDE w:val="0"/>
        <w:autoSpaceDN w:val="0"/>
        <w:adjustRightInd w:val="0"/>
        <w:spacing w:line="500" w:lineRule="exact"/>
        <w:ind w:firstLine="480" w:firstLineChars="200"/>
        <w:contextualSpacing/>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代理（被授权人）签字或盖章：_</w:t>
      </w:r>
      <w:r>
        <w:rPr>
          <w:rFonts w:hint="eastAsia" w:ascii="宋体" w:hAnsi="宋体" w:cs="宋体"/>
          <w:color w:val="000000" w:themeColor="text1"/>
          <w:sz w:val="24"/>
          <w:szCs w:val="24"/>
          <w14:textFill>
            <w14:solidFill>
              <w14:schemeClr w14:val="tx1"/>
            </w14:solidFill>
          </w14:textFill>
        </w:rPr>
        <w:softHyphen/>
      </w:r>
      <w:r>
        <w:rPr>
          <w:rFonts w:hint="eastAsia" w:ascii="宋体" w:hAnsi="宋体" w:cs="宋体"/>
          <w:color w:val="000000" w:themeColor="text1"/>
          <w:sz w:val="24"/>
          <w:szCs w:val="24"/>
          <w14:textFill>
            <w14:solidFill>
              <w14:schemeClr w14:val="tx1"/>
            </w14:solidFill>
          </w14:textFill>
        </w:rPr>
        <w:softHyphen/>
      </w:r>
      <w:r>
        <w:rPr>
          <w:rFonts w:hint="eastAsia" w:ascii="宋体" w:hAnsi="宋体" w:cs="宋体"/>
          <w:color w:val="000000" w:themeColor="text1"/>
          <w:sz w:val="24"/>
          <w:szCs w:val="24"/>
          <w14:textFill>
            <w14:solidFill>
              <w14:schemeClr w14:val="tx1"/>
            </w14:solidFill>
          </w14:textFill>
        </w:rPr>
        <w:softHyphen/>
      </w:r>
      <w:r>
        <w:rPr>
          <w:rFonts w:hint="eastAsia" w:ascii="宋体" w:hAnsi="宋体" w:cs="宋体"/>
          <w:color w:val="000000" w:themeColor="text1"/>
          <w:sz w:val="24"/>
          <w:szCs w:val="24"/>
          <w14:textFill>
            <w14:solidFill>
              <w14:schemeClr w14:val="tx1"/>
            </w14:solidFill>
          </w14:textFill>
        </w:rPr>
        <w:t>__</w:t>
      </w:r>
      <w:r>
        <w:rPr>
          <w:rFonts w:hint="eastAsia" w:ascii="宋体" w:hAnsi="宋体" w:cs="宋体"/>
          <w:color w:val="000000" w:themeColor="text1"/>
          <w:sz w:val="24"/>
          <w:szCs w:val="24"/>
          <w14:textFill>
            <w14:solidFill>
              <w14:schemeClr w14:val="tx1"/>
            </w14:solidFill>
          </w14:textFill>
        </w:rPr>
        <w:softHyphen/>
      </w:r>
      <w:r>
        <w:rPr>
          <w:rFonts w:hint="eastAsia" w:ascii="宋体" w:hAnsi="宋体" w:cs="宋体"/>
          <w:color w:val="000000" w:themeColor="text1"/>
          <w:sz w:val="24"/>
          <w:szCs w:val="24"/>
          <w14:textFill>
            <w14:solidFill>
              <w14:schemeClr w14:val="tx1"/>
            </w14:solidFill>
          </w14:textFill>
        </w:rPr>
        <w:softHyphen/>
      </w:r>
      <w:r>
        <w:rPr>
          <w:rFonts w:hint="eastAsia" w:ascii="宋体" w:hAnsi="宋体" w:cs="宋体"/>
          <w:color w:val="000000" w:themeColor="text1"/>
          <w:sz w:val="24"/>
          <w:szCs w:val="24"/>
          <w14:textFill>
            <w14:solidFill>
              <w14:schemeClr w14:val="tx1"/>
            </w14:solidFill>
          </w14:textFill>
        </w:rPr>
        <w:softHyphen/>
      </w:r>
      <w:r>
        <w:rPr>
          <w:rFonts w:hint="eastAsia" w:ascii="宋体" w:hAnsi="宋体" w:cs="宋体"/>
          <w:color w:val="000000" w:themeColor="text1"/>
          <w:sz w:val="24"/>
          <w:szCs w:val="24"/>
          <w14:textFill>
            <w14:solidFill>
              <w14:schemeClr w14:val="tx1"/>
            </w14:solidFill>
          </w14:textFill>
        </w:rPr>
        <w:softHyphen/>
      </w:r>
      <w:r>
        <w:rPr>
          <w:rFonts w:hint="eastAsia" w:ascii="宋体" w:hAnsi="宋体" w:cs="宋体"/>
          <w:color w:val="000000" w:themeColor="text1"/>
          <w:sz w:val="24"/>
          <w:szCs w:val="24"/>
          <w14:textFill>
            <w14:solidFill>
              <w14:schemeClr w14:val="tx1"/>
            </w14:solidFill>
          </w14:textFill>
        </w:rPr>
        <w:softHyphen/>
      </w:r>
      <w:r>
        <w:rPr>
          <w:rFonts w:hint="eastAsia" w:ascii="宋体" w:hAnsi="宋体" w:cs="宋体"/>
          <w:color w:val="000000" w:themeColor="text1"/>
          <w:sz w:val="24"/>
          <w:szCs w:val="24"/>
          <w14:textFill>
            <w14:solidFill>
              <w14:schemeClr w14:val="tx1"/>
            </w14:solidFill>
          </w14:textFill>
        </w:rPr>
        <w:softHyphen/>
      </w:r>
      <w:r>
        <w:rPr>
          <w:rFonts w:hint="eastAsia" w:ascii="宋体" w:hAnsi="宋体" w:cs="宋体"/>
          <w:color w:val="000000" w:themeColor="text1"/>
          <w:sz w:val="24"/>
          <w:szCs w:val="24"/>
          <w14:textFill>
            <w14:solidFill>
              <w14:schemeClr w14:val="tx1"/>
            </w14:solidFill>
          </w14:textFill>
        </w:rPr>
        <w:t>__________________</w:t>
      </w:r>
    </w:p>
    <w:p>
      <w:pPr>
        <w:autoSpaceDE w:val="0"/>
        <w:autoSpaceDN w:val="0"/>
        <w:adjustRightInd w:val="0"/>
        <w:spacing w:line="500" w:lineRule="exact"/>
        <w:ind w:firstLine="480" w:firstLineChars="200"/>
        <w:contextualSpacing/>
        <w:jc w:val="left"/>
        <w:rPr>
          <w:rFonts w:ascii="宋体" w:hAnsi="宋体" w:cs="宋体"/>
          <w:color w:val="000000" w:themeColor="text1"/>
          <w:sz w:val="24"/>
          <w:szCs w:val="24"/>
          <w:u w:val="single"/>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见证人签字或盖章：_</w:t>
      </w:r>
      <w:r>
        <w:rPr>
          <w:rFonts w:hint="eastAsia" w:ascii="宋体" w:hAnsi="宋体" w:cs="宋体"/>
          <w:color w:val="000000" w:themeColor="text1"/>
          <w:sz w:val="24"/>
          <w:szCs w:val="24"/>
          <w14:textFill>
            <w14:solidFill>
              <w14:schemeClr w14:val="tx1"/>
            </w14:solidFill>
          </w14:textFill>
        </w:rPr>
        <w:softHyphen/>
      </w:r>
      <w:r>
        <w:rPr>
          <w:rFonts w:hint="eastAsia" w:ascii="宋体" w:hAnsi="宋体" w:cs="宋体"/>
          <w:color w:val="000000" w:themeColor="text1"/>
          <w:sz w:val="24"/>
          <w:szCs w:val="24"/>
          <w14:textFill>
            <w14:solidFill>
              <w14:schemeClr w14:val="tx1"/>
            </w14:solidFill>
          </w14:textFill>
        </w:rPr>
        <w:softHyphen/>
      </w:r>
      <w:r>
        <w:rPr>
          <w:rFonts w:hint="eastAsia" w:ascii="宋体" w:hAnsi="宋体" w:cs="宋体"/>
          <w:color w:val="000000" w:themeColor="text1"/>
          <w:sz w:val="24"/>
          <w:szCs w:val="24"/>
          <w14:textFill>
            <w14:solidFill>
              <w14:schemeClr w14:val="tx1"/>
            </w14:solidFill>
          </w14:textFill>
        </w:rPr>
        <w:softHyphen/>
      </w:r>
      <w:r>
        <w:rPr>
          <w:rFonts w:hint="eastAsia" w:ascii="宋体" w:hAnsi="宋体" w:cs="宋体"/>
          <w:color w:val="000000" w:themeColor="text1"/>
          <w:sz w:val="24"/>
          <w:szCs w:val="24"/>
          <w14:textFill>
            <w14:solidFill>
              <w14:schemeClr w14:val="tx1"/>
            </w14:solidFill>
          </w14:textFill>
        </w:rPr>
        <w:t>__</w:t>
      </w:r>
      <w:r>
        <w:rPr>
          <w:rFonts w:hint="eastAsia" w:ascii="宋体" w:hAnsi="宋体" w:cs="宋体"/>
          <w:color w:val="000000" w:themeColor="text1"/>
          <w:sz w:val="24"/>
          <w:szCs w:val="24"/>
          <w14:textFill>
            <w14:solidFill>
              <w14:schemeClr w14:val="tx1"/>
            </w14:solidFill>
          </w14:textFill>
        </w:rPr>
        <w:softHyphen/>
      </w:r>
      <w:r>
        <w:rPr>
          <w:rFonts w:hint="eastAsia" w:ascii="宋体" w:hAnsi="宋体" w:cs="宋体"/>
          <w:color w:val="000000" w:themeColor="text1"/>
          <w:sz w:val="24"/>
          <w:szCs w:val="24"/>
          <w14:textFill>
            <w14:solidFill>
              <w14:schemeClr w14:val="tx1"/>
            </w14:solidFill>
          </w14:textFill>
        </w:rPr>
        <w:softHyphen/>
      </w:r>
      <w:r>
        <w:rPr>
          <w:rFonts w:hint="eastAsia" w:ascii="宋体" w:hAnsi="宋体" w:cs="宋体"/>
          <w:color w:val="000000" w:themeColor="text1"/>
          <w:sz w:val="24"/>
          <w:szCs w:val="24"/>
          <w14:textFill>
            <w14:solidFill>
              <w14:schemeClr w14:val="tx1"/>
            </w14:solidFill>
          </w14:textFill>
        </w:rPr>
        <w:softHyphen/>
      </w:r>
      <w:r>
        <w:rPr>
          <w:rFonts w:hint="eastAsia" w:ascii="宋体" w:hAnsi="宋体" w:cs="宋体"/>
          <w:color w:val="000000" w:themeColor="text1"/>
          <w:sz w:val="24"/>
          <w:szCs w:val="24"/>
          <w14:textFill>
            <w14:solidFill>
              <w14:schemeClr w14:val="tx1"/>
            </w14:solidFill>
          </w14:textFill>
        </w:rPr>
        <w:softHyphen/>
      </w:r>
      <w:r>
        <w:rPr>
          <w:rFonts w:hint="eastAsia" w:ascii="宋体" w:hAnsi="宋体" w:cs="宋体"/>
          <w:color w:val="000000" w:themeColor="text1"/>
          <w:sz w:val="24"/>
          <w:szCs w:val="24"/>
          <w14:textFill>
            <w14:solidFill>
              <w14:schemeClr w14:val="tx1"/>
            </w14:solidFill>
          </w14:textFill>
        </w:rPr>
        <w:softHyphen/>
      </w:r>
      <w:r>
        <w:rPr>
          <w:rFonts w:hint="eastAsia" w:ascii="宋体" w:hAnsi="宋体" w:cs="宋体"/>
          <w:color w:val="000000" w:themeColor="text1"/>
          <w:sz w:val="24"/>
          <w:szCs w:val="24"/>
          <w14:textFill>
            <w14:solidFill>
              <w14:schemeClr w14:val="tx1"/>
            </w14:solidFill>
          </w14:textFill>
        </w:rPr>
        <w:softHyphen/>
      </w:r>
      <w:r>
        <w:rPr>
          <w:rFonts w:hint="eastAsia" w:ascii="宋体" w:hAnsi="宋体" w:cs="宋体"/>
          <w:color w:val="000000" w:themeColor="text1"/>
          <w:sz w:val="24"/>
          <w:szCs w:val="24"/>
          <w14:textFill>
            <w14:solidFill>
              <w14:schemeClr w14:val="tx1"/>
            </w14:solidFill>
          </w14:textFill>
        </w:rPr>
        <w:t>__________________</w:t>
      </w:r>
    </w:p>
    <w:p>
      <w:pPr>
        <w:autoSpaceDE w:val="0"/>
        <w:autoSpaceDN w:val="0"/>
        <w:adjustRightInd w:val="0"/>
        <w:spacing w:line="500" w:lineRule="exact"/>
        <w:ind w:firstLine="480" w:firstLineChars="200"/>
        <w:contextualSpacing/>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职务：_</w:t>
      </w:r>
      <w:r>
        <w:rPr>
          <w:rFonts w:hint="eastAsia" w:ascii="宋体" w:hAnsi="宋体" w:cs="宋体"/>
          <w:color w:val="000000" w:themeColor="text1"/>
          <w:sz w:val="24"/>
          <w:szCs w:val="24"/>
          <w14:textFill>
            <w14:solidFill>
              <w14:schemeClr w14:val="tx1"/>
            </w14:solidFill>
          </w14:textFill>
        </w:rPr>
        <w:softHyphen/>
      </w:r>
      <w:r>
        <w:rPr>
          <w:rFonts w:hint="eastAsia" w:ascii="宋体" w:hAnsi="宋体" w:cs="宋体"/>
          <w:color w:val="000000" w:themeColor="text1"/>
          <w:sz w:val="24"/>
          <w:szCs w:val="24"/>
          <w14:textFill>
            <w14:solidFill>
              <w14:schemeClr w14:val="tx1"/>
            </w14:solidFill>
          </w14:textFill>
        </w:rPr>
        <w:softHyphen/>
      </w:r>
      <w:r>
        <w:rPr>
          <w:rFonts w:hint="eastAsia" w:ascii="宋体" w:hAnsi="宋体" w:cs="宋体"/>
          <w:color w:val="000000" w:themeColor="text1"/>
          <w:sz w:val="24"/>
          <w:szCs w:val="24"/>
          <w14:textFill>
            <w14:solidFill>
              <w14:schemeClr w14:val="tx1"/>
            </w14:solidFill>
          </w14:textFill>
        </w:rPr>
        <w:softHyphen/>
      </w:r>
      <w:r>
        <w:rPr>
          <w:rFonts w:hint="eastAsia" w:ascii="宋体" w:hAnsi="宋体" w:cs="宋体"/>
          <w:color w:val="000000" w:themeColor="text1"/>
          <w:sz w:val="24"/>
          <w:szCs w:val="24"/>
          <w14:textFill>
            <w14:solidFill>
              <w14:schemeClr w14:val="tx1"/>
            </w14:solidFill>
          </w14:textFill>
        </w:rPr>
        <w:t>__</w:t>
      </w:r>
      <w:r>
        <w:rPr>
          <w:rFonts w:hint="eastAsia" w:ascii="宋体" w:hAnsi="宋体" w:cs="宋体"/>
          <w:color w:val="000000" w:themeColor="text1"/>
          <w:sz w:val="24"/>
          <w:szCs w:val="24"/>
          <w14:textFill>
            <w14:solidFill>
              <w14:schemeClr w14:val="tx1"/>
            </w14:solidFill>
          </w14:textFill>
        </w:rPr>
        <w:softHyphen/>
      </w:r>
      <w:r>
        <w:rPr>
          <w:rFonts w:hint="eastAsia" w:ascii="宋体" w:hAnsi="宋体" w:cs="宋体"/>
          <w:color w:val="000000" w:themeColor="text1"/>
          <w:sz w:val="24"/>
          <w:szCs w:val="24"/>
          <w14:textFill>
            <w14:solidFill>
              <w14:schemeClr w14:val="tx1"/>
            </w14:solidFill>
          </w14:textFill>
        </w:rPr>
        <w:softHyphen/>
      </w:r>
      <w:r>
        <w:rPr>
          <w:rFonts w:hint="eastAsia" w:ascii="宋体" w:hAnsi="宋体" w:cs="宋体"/>
          <w:color w:val="000000" w:themeColor="text1"/>
          <w:sz w:val="24"/>
          <w:szCs w:val="24"/>
          <w14:textFill>
            <w14:solidFill>
              <w14:schemeClr w14:val="tx1"/>
            </w14:solidFill>
          </w14:textFill>
        </w:rPr>
        <w:softHyphen/>
      </w:r>
      <w:r>
        <w:rPr>
          <w:rFonts w:hint="eastAsia" w:ascii="宋体" w:hAnsi="宋体" w:cs="宋体"/>
          <w:color w:val="000000" w:themeColor="text1"/>
          <w:sz w:val="24"/>
          <w:szCs w:val="24"/>
          <w14:textFill>
            <w14:solidFill>
              <w14:schemeClr w14:val="tx1"/>
            </w14:solidFill>
          </w14:textFill>
        </w:rPr>
        <w:softHyphen/>
      </w:r>
      <w:r>
        <w:rPr>
          <w:rFonts w:hint="eastAsia" w:ascii="宋体" w:hAnsi="宋体" w:cs="宋体"/>
          <w:color w:val="000000" w:themeColor="text1"/>
          <w:sz w:val="24"/>
          <w:szCs w:val="24"/>
          <w14:textFill>
            <w14:solidFill>
              <w14:schemeClr w14:val="tx1"/>
            </w14:solidFill>
          </w14:textFill>
        </w:rPr>
        <w:softHyphen/>
      </w:r>
      <w:r>
        <w:rPr>
          <w:rFonts w:hint="eastAsia" w:ascii="宋体" w:hAnsi="宋体" w:cs="宋体"/>
          <w:color w:val="000000" w:themeColor="text1"/>
          <w:sz w:val="24"/>
          <w:szCs w:val="24"/>
          <w14:textFill>
            <w14:solidFill>
              <w14:schemeClr w14:val="tx1"/>
            </w14:solidFill>
          </w14:textFill>
        </w:rPr>
        <w:softHyphen/>
      </w:r>
      <w:r>
        <w:rPr>
          <w:rFonts w:hint="eastAsia" w:ascii="宋体" w:hAnsi="宋体" w:cs="宋体"/>
          <w:color w:val="000000" w:themeColor="text1"/>
          <w:sz w:val="24"/>
          <w:szCs w:val="24"/>
          <w14:textFill>
            <w14:solidFill>
              <w14:schemeClr w14:val="tx1"/>
            </w14:solidFill>
          </w14:textFill>
        </w:rPr>
        <w:t>__________________</w:t>
      </w:r>
    </w:p>
    <w:p>
      <w:pPr>
        <w:autoSpaceDE w:val="0"/>
        <w:autoSpaceDN w:val="0"/>
        <w:adjustRightInd w:val="0"/>
        <w:spacing w:line="500" w:lineRule="exact"/>
        <w:ind w:firstLine="480" w:firstLineChars="200"/>
        <w:contextualSpacing/>
        <w:jc w:val="left"/>
        <w:rPr>
          <w:rFonts w:ascii="宋体" w:hAnsi="宋体" w:cs="宋体"/>
          <w:color w:val="000000" w:themeColor="text1"/>
          <w:sz w:val="24"/>
          <w:szCs w:val="24"/>
          <w:u w:val="single"/>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单位名称：_</w:t>
      </w:r>
      <w:r>
        <w:rPr>
          <w:rFonts w:hint="eastAsia" w:ascii="宋体" w:hAnsi="宋体" w:cs="宋体"/>
          <w:color w:val="000000" w:themeColor="text1"/>
          <w:sz w:val="24"/>
          <w:szCs w:val="24"/>
          <w14:textFill>
            <w14:solidFill>
              <w14:schemeClr w14:val="tx1"/>
            </w14:solidFill>
          </w14:textFill>
        </w:rPr>
        <w:softHyphen/>
      </w:r>
      <w:r>
        <w:rPr>
          <w:rFonts w:hint="eastAsia" w:ascii="宋体" w:hAnsi="宋体" w:cs="宋体"/>
          <w:color w:val="000000" w:themeColor="text1"/>
          <w:sz w:val="24"/>
          <w:szCs w:val="24"/>
          <w14:textFill>
            <w14:solidFill>
              <w14:schemeClr w14:val="tx1"/>
            </w14:solidFill>
          </w14:textFill>
        </w:rPr>
        <w:softHyphen/>
      </w:r>
      <w:r>
        <w:rPr>
          <w:rFonts w:hint="eastAsia" w:ascii="宋体" w:hAnsi="宋体" w:cs="宋体"/>
          <w:color w:val="000000" w:themeColor="text1"/>
          <w:sz w:val="24"/>
          <w:szCs w:val="24"/>
          <w14:textFill>
            <w14:solidFill>
              <w14:schemeClr w14:val="tx1"/>
            </w14:solidFill>
          </w14:textFill>
        </w:rPr>
        <w:softHyphen/>
      </w:r>
      <w:r>
        <w:rPr>
          <w:rFonts w:hint="eastAsia" w:ascii="宋体" w:hAnsi="宋体" w:cs="宋体"/>
          <w:color w:val="000000" w:themeColor="text1"/>
          <w:sz w:val="24"/>
          <w:szCs w:val="24"/>
          <w14:textFill>
            <w14:solidFill>
              <w14:schemeClr w14:val="tx1"/>
            </w14:solidFill>
          </w14:textFill>
        </w:rPr>
        <w:t>__</w:t>
      </w:r>
      <w:r>
        <w:rPr>
          <w:rFonts w:hint="eastAsia" w:ascii="宋体" w:hAnsi="宋体" w:cs="宋体"/>
          <w:color w:val="000000" w:themeColor="text1"/>
          <w:sz w:val="24"/>
          <w:szCs w:val="24"/>
          <w14:textFill>
            <w14:solidFill>
              <w14:schemeClr w14:val="tx1"/>
            </w14:solidFill>
          </w14:textFill>
        </w:rPr>
        <w:softHyphen/>
      </w:r>
      <w:r>
        <w:rPr>
          <w:rFonts w:hint="eastAsia" w:ascii="宋体" w:hAnsi="宋体" w:cs="宋体"/>
          <w:color w:val="000000" w:themeColor="text1"/>
          <w:sz w:val="24"/>
          <w:szCs w:val="24"/>
          <w14:textFill>
            <w14:solidFill>
              <w14:schemeClr w14:val="tx1"/>
            </w14:solidFill>
          </w14:textFill>
        </w:rPr>
        <w:softHyphen/>
      </w:r>
      <w:r>
        <w:rPr>
          <w:rFonts w:hint="eastAsia" w:ascii="宋体" w:hAnsi="宋体" w:cs="宋体"/>
          <w:color w:val="000000" w:themeColor="text1"/>
          <w:sz w:val="24"/>
          <w:szCs w:val="24"/>
          <w14:textFill>
            <w14:solidFill>
              <w14:schemeClr w14:val="tx1"/>
            </w14:solidFill>
          </w14:textFill>
        </w:rPr>
        <w:softHyphen/>
      </w:r>
      <w:r>
        <w:rPr>
          <w:rFonts w:hint="eastAsia" w:ascii="宋体" w:hAnsi="宋体" w:cs="宋体"/>
          <w:color w:val="000000" w:themeColor="text1"/>
          <w:sz w:val="24"/>
          <w:szCs w:val="24"/>
          <w14:textFill>
            <w14:solidFill>
              <w14:schemeClr w14:val="tx1"/>
            </w14:solidFill>
          </w14:textFill>
        </w:rPr>
        <w:softHyphen/>
      </w:r>
      <w:r>
        <w:rPr>
          <w:rFonts w:hint="eastAsia" w:ascii="宋体" w:hAnsi="宋体" w:cs="宋体"/>
          <w:color w:val="000000" w:themeColor="text1"/>
          <w:sz w:val="24"/>
          <w:szCs w:val="24"/>
          <w14:textFill>
            <w14:solidFill>
              <w14:schemeClr w14:val="tx1"/>
            </w14:solidFill>
          </w14:textFill>
        </w:rPr>
        <w:softHyphen/>
      </w:r>
      <w:r>
        <w:rPr>
          <w:rFonts w:hint="eastAsia" w:ascii="宋体" w:hAnsi="宋体" w:cs="宋体"/>
          <w:color w:val="000000" w:themeColor="text1"/>
          <w:sz w:val="24"/>
          <w:szCs w:val="24"/>
          <w14:textFill>
            <w14:solidFill>
              <w14:schemeClr w14:val="tx1"/>
            </w14:solidFill>
          </w14:textFill>
        </w:rPr>
        <w:softHyphen/>
      </w:r>
      <w:r>
        <w:rPr>
          <w:rFonts w:hint="eastAsia" w:ascii="宋体" w:hAnsi="宋体" w:cs="宋体"/>
          <w:color w:val="000000" w:themeColor="text1"/>
          <w:sz w:val="24"/>
          <w:szCs w:val="24"/>
          <w14:textFill>
            <w14:solidFill>
              <w14:schemeClr w14:val="tx1"/>
            </w14:solidFill>
          </w14:textFill>
        </w:rPr>
        <w:t>__________________</w:t>
      </w:r>
    </w:p>
    <w:p>
      <w:pPr>
        <w:spacing w:line="500" w:lineRule="exact"/>
        <w:ind w:firstLine="480"/>
        <w:contextualSpacing/>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授权日期：</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年</w:t>
      </w:r>
      <w:r>
        <w:rPr>
          <w:rFonts w:hint="eastAsia" w:ascii="宋体" w:hAnsi="宋体" w:cs="宋体"/>
          <w:color w:val="000000" w:themeColor="text1"/>
          <w:sz w:val="24"/>
          <w:szCs w:val="24"/>
          <w:u w:val="single"/>
          <w14:textFill>
            <w14:solidFill>
              <w14:schemeClr w14:val="tx1"/>
            </w14:solidFill>
          </w14:textFill>
        </w:rPr>
        <w:t>　　</w:t>
      </w:r>
      <w:r>
        <w:rPr>
          <w:rFonts w:hint="eastAsia" w:ascii="宋体" w:hAnsi="宋体" w:cs="宋体"/>
          <w:color w:val="000000" w:themeColor="text1"/>
          <w:sz w:val="24"/>
          <w:szCs w:val="24"/>
          <w14:textFill>
            <w14:solidFill>
              <w14:schemeClr w14:val="tx1"/>
            </w14:solidFill>
          </w14:textFill>
        </w:rPr>
        <w:t>月</w:t>
      </w:r>
      <w:r>
        <w:rPr>
          <w:rFonts w:hint="eastAsia" w:ascii="宋体" w:hAnsi="宋体" w:cs="宋体"/>
          <w:color w:val="000000" w:themeColor="text1"/>
          <w:sz w:val="24"/>
          <w:szCs w:val="24"/>
          <w:u w:val="single"/>
          <w14:textFill>
            <w14:solidFill>
              <w14:schemeClr w14:val="tx1"/>
            </w14:solidFill>
          </w14:textFill>
        </w:rPr>
        <w:t>　　</w:t>
      </w:r>
      <w:r>
        <w:rPr>
          <w:rFonts w:hint="eastAsia" w:ascii="宋体" w:hAnsi="宋体" w:cs="宋体"/>
          <w:color w:val="000000" w:themeColor="text1"/>
          <w:sz w:val="24"/>
          <w:szCs w:val="24"/>
          <w14:textFill>
            <w14:solidFill>
              <w14:schemeClr w14:val="tx1"/>
            </w14:solidFill>
          </w14:textFill>
        </w:rPr>
        <w:t>日</w:t>
      </w:r>
    </w:p>
    <w:p>
      <w:pPr>
        <w:spacing w:line="500" w:lineRule="exact"/>
        <w:ind w:firstLine="480"/>
        <w:contextualSpacing/>
        <w:jc w:val="left"/>
        <w:rPr>
          <w:rFonts w:ascii="宋体" w:hAnsi="宋体" w:cs="宋体"/>
          <w:color w:val="000000" w:themeColor="text1"/>
          <w:sz w:val="24"/>
          <w:szCs w:val="24"/>
          <w14:textFill>
            <w14:solidFill>
              <w14:schemeClr w14:val="tx1"/>
            </w14:solidFill>
          </w14:textFill>
        </w:rPr>
      </w:pPr>
    </w:p>
    <w:p>
      <w:pPr>
        <w:spacing w:line="500" w:lineRule="exact"/>
        <w:ind w:firstLine="7440" w:firstLineChars="3100"/>
        <w:contextualSpacing/>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（单位公章）</w:t>
      </w:r>
    </w:p>
    <w:p>
      <w:pPr>
        <w:spacing w:line="500" w:lineRule="exact"/>
        <w:ind w:firstLine="7440" w:firstLineChars="3100"/>
        <w:contextualSpacing/>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年月日</w:t>
      </w:r>
    </w:p>
    <w:p>
      <w:pPr>
        <w:spacing w:line="500" w:lineRule="exact"/>
        <w:contextualSpacing/>
        <w:rPr>
          <w:rFonts w:ascii="宋体" w:hAnsi="宋体" w:cs="宋体"/>
          <w:b/>
          <w:color w:val="000000" w:themeColor="text1"/>
          <w:sz w:val="24"/>
          <w:szCs w:val="24"/>
          <w:em w:val="dot"/>
          <w14:textFill>
            <w14:solidFill>
              <w14:schemeClr w14:val="tx1"/>
            </w14:solidFill>
          </w14:textFill>
        </w:rPr>
      </w:pPr>
      <w:r>
        <w:rPr>
          <w:rFonts w:ascii="宋体" w:hAnsi="宋体" w:cs="宋体"/>
          <w:color w:val="000000" w:themeColor="text1"/>
          <w:sz w:val="24"/>
          <w:szCs w:val="24"/>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121285</wp:posOffset>
                </wp:positionV>
                <wp:extent cx="2857500" cy="1584960"/>
                <wp:effectExtent l="4445" t="5080" r="14605" b="10160"/>
                <wp:wrapNone/>
                <wp:docPr id="1" name="Text Box 60"/>
                <wp:cNvGraphicFramePr/>
                <a:graphic xmlns:a="http://schemas.openxmlformats.org/drawingml/2006/main">
                  <a:graphicData uri="http://schemas.microsoft.com/office/word/2010/wordprocessingShape">
                    <wps:wsp>
                      <wps:cNvSpPr txBox="1"/>
                      <wps:spPr>
                        <a:xfrm>
                          <a:off x="0" y="0"/>
                          <a:ext cx="2857500" cy="1584960"/>
                        </a:xfrm>
                        <a:prstGeom prst="rect">
                          <a:avLst/>
                        </a:prstGeom>
                        <a:solidFill>
                          <a:srgbClr val="FFFFFF"/>
                        </a:solidFill>
                        <a:ln w="9525" cap="flat" cmpd="sng">
                          <a:solidFill>
                            <a:srgbClr val="000000"/>
                          </a:solidFill>
                          <a:prstDash val="dashDot"/>
                          <a:miter/>
                          <a:headEnd type="none" w="med" len="med"/>
                          <a:tailEnd type="none" w="med" len="med"/>
                        </a:ln>
                        <a:effectLst/>
                      </wps:spPr>
                      <wps:txbx>
                        <w:txbxContent>
                          <w:p>
                            <w:pPr>
                              <w:jc w:val="center"/>
                            </w:pPr>
                          </w:p>
                          <w:p>
                            <w:pPr>
                              <w:jc w:val="center"/>
                              <w:rPr>
                                <w:b/>
                              </w:rPr>
                            </w:pPr>
                          </w:p>
                          <w:p>
                            <w:pPr>
                              <w:jc w:val="center"/>
                              <w:rPr>
                                <w:rFonts w:ascii="仿宋_GB2312" w:hAnsi="仿宋"/>
                                <w:b/>
                                <w:sz w:val="24"/>
                              </w:rPr>
                            </w:pPr>
                          </w:p>
                          <w:p>
                            <w:pPr>
                              <w:jc w:val="center"/>
                              <w:rPr>
                                <w:rFonts w:ascii="仿宋_GB2312" w:hAnsi="仿宋"/>
                                <w:b/>
                                <w:sz w:val="24"/>
                              </w:rPr>
                            </w:pPr>
                          </w:p>
                          <w:p>
                            <w:pPr>
                              <w:jc w:val="center"/>
                              <w:rPr>
                                <w:rFonts w:ascii="仿宋_GB2312" w:hAnsi="仿宋"/>
                                <w:b/>
                                <w:sz w:val="24"/>
                              </w:rPr>
                            </w:pPr>
                            <w:r>
                              <w:rPr>
                                <w:rFonts w:ascii="仿宋_GB2312" w:hAnsi="仿宋"/>
                                <w:b/>
                                <w:sz w:val="24"/>
                              </w:rPr>
                              <w:t>此处附法定代表人身份证复印件正面</w:t>
                            </w:r>
                          </w:p>
                        </w:txbxContent>
                      </wps:txbx>
                      <wps:bodyPr upright="1"/>
                    </wps:wsp>
                  </a:graphicData>
                </a:graphic>
              </wp:anchor>
            </w:drawing>
          </mc:Choice>
          <mc:Fallback>
            <w:pict>
              <v:shape id="Text Box 60" o:spid="_x0000_s1026" o:spt="202" type="#_x0000_t202" style="position:absolute;left:0pt;margin-left:9pt;margin-top:9.55pt;height:124.8pt;width:225pt;z-index:251659264;mso-width-relative:page;mso-height-relative:page;" fillcolor="#FFFFFF" filled="t" stroked="t" coordsize="21600,21600" o:gfxdata="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EYihw7WAAAACQEAAA8AAAAAAAAAAQAgAAAAIgAAAGRycy9k&#10;b3ducmV2LnhtbFBLAQIUABQAAAAIAIdO4kDYVhoxBAIAAEcEAAAOAAAAAAAAAAEAIAAAACUBAABk&#10;cnMvZTJvRG9jLnhtbFBLBQYAAAAABgAGAFkBAACbBQAAAAA=&#10;">
                <v:fill on="t" focussize="0,0"/>
                <v:stroke color="#000000" joinstyle="miter" dashstyle="dashDot"/>
                <v:imagedata o:title=""/>
                <o:lock v:ext="edit" aspectratio="f"/>
                <v:textbox>
                  <w:txbxContent>
                    <w:p>
                      <w:pPr>
                        <w:jc w:val="center"/>
                      </w:pPr>
                    </w:p>
                    <w:p>
                      <w:pPr>
                        <w:jc w:val="center"/>
                        <w:rPr>
                          <w:b/>
                        </w:rPr>
                      </w:pPr>
                    </w:p>
                    <w:p>
                      <w:pPr>
                        <w:jc w:val="center"/>
                        <w:rPr>
                          <w:rFonts w:ascii="仿宋_GB2312" w:hAnsi="仿宋"/>
                          <w:b/>
                          <w:sz w:val="24"/>
                        </w:rPr>
                      </w:pPr>
                    </w:p>
                    <w:p>
                      <w:pPr>
                        <w:jc w:val="center"/>
                        <w:rPr>
                          <w:rFonts w:ascii="仿宋_GB2312" w:hAnsi="仿宋"/>
                          <w:b/>
                          <w:sz w:val="24"/>
                        </w:rPr>
                      </w:pPr>
                    </w:p>
                    <w:p>
                      <w:pPr>
                        <w:jc w:val="center"/>
                        <w:rPr>
                          <w:rFonts w:ascii="仿宋_GB2312" w:hAnsi="仿宋"/>
                          <w:b/>
                          <w:sz w:val="24"/>
                        </w:rPr>
                      </w:pPr>
                      <w:r>
                        <w:rPr>
                          <w:rFonts w:ascii="仿宋_GB2312" w:hAnsi="仿宋"/>
                          <w:b/>
                          <w:sz w:val="24"/>
                        </w:rPr>
                        <w:t>此处附法定代表人身份证复印件正面</w:t>
                      </w:r>
                    </w:p>
                  </w:txbxContent>
                </v:textbox>
              </v:shape>
            </w:pict>
          </mc:Fallback>
        </mc:AlternateContent>
      </w:r>
      <w:r>
        <w:rPr>
          <w:rFonts w:ascii="宋体" w:hAnsi="宋体" w:cs="宋体"/>
          <w:color w:val="000000" w:themeColor="text1"/>
          <w:sz w:val="24"/>
          <w:szCs w:val="24"/>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3200400</wp:posOffset>
                </wp:positionH>
                <wp:positionV relativeFrom="paragraph">
                  <wp:posOffset>121285</wp:posOffset>
                </wp:positionV>
                <wp:extent cx="2857500" cy="1584960"/>
                <wp:effectExtent l="4445" t="5080" r="14605" b="10160"/>
                <wp:wrapNone/>
                <wp:docPr id="2" name="Text Box 61"/>
                <wp:cNvGraphicFramePr/>
                <a:graphic xmlns:a="http://schemas.openxmlformats.org/drawingml/2006/main">
                  <a:graphicData uri="http://schemas.microsoft.com/office/word/2010/wordprocessingShape">
                    <wps:wsp>
                      <wps:cNvSpPr txBox="1"/>
                      <wps:spPr>
                        <a:xfrm>
                          <a:off x="0" y="0"/>
                          <a:ext cx="2857500" cy="1584960"/>
                        </a:xfrm>
                        <a:prstGeom prst="rect">
                          <a:avLst/>
                        </a:prstGeom>
                        <a:solidFill>
                          <a:srgbClr val="FFFFFF"/>
                        </a:solidFill>
                        <a:ln w="9525" cap="flat" cmpd="sng">
                          <a:solidFill>
                            <a:srgbClr val="000000"/>
                          </a:solidFill>
                          <a:prstDash val="dashDot"/>
                          <a:miter/>
                          <a:headEnd type="none" w="med" len="med"/>
                          <a:tailEnd type="none" w="med" len="med"/>
                        </a:ln>
                        <a:effectLst/>
                      </wps:spPr>
                      <wps:txbx>
                        <w:txbxContent>
                          <w:p/>
                          <w:p/>
                          <w:p/>
                          <w:p/>
                          <w:p>
                            <w:pPr>
                              <w:ind w:firstLine="120" w:firstLineChars="50"/>
                            </w:pPr>
                            <w:r>
                              <w:rPr>
                                <w:rFonts w:ascii="仿宋_GB2312" w:hAnsi="仿宋"/>
                                <w:b/>
                                <w:sz w:val="24"/>
                              </w:rPr>
                              <w:t>此处附法定代表人身份证复印件</w:t>
                            </w:r>
                            <w:r>
                              <w:rPr>
                                <w:rFonts w:hint="eastAsia" w:ascii="仿宋_GB2312" w:hAnsi="仿宋"/>
                                <w:b/>
                                <w:sz w:val="24"/>
                              </w:rPr>
                              <w:t>反</w:t>
                            </w:r>
                            <w:r>
                              <w:rPr>
                                <w:rFonts w:ascii="仿宋_GB2312" w:hAnsi="仿宋"/>
                                <w:b/>
                                <w:sz w:val="24"/>
                              </w:rPr>
                              <w:t>面</w:t>
                            </w:r>
                          </w:p>
                        </w:txbxContent>
                      </wps:txbx>
                      <wps:bodyPr upright="1"/>
                    </wps:wsp>
                  </a:graphicData>
                </a:graphic>
              </wp:anchor>
            </w:drawing>
          </mc:Choice>
          <mc:Fallback>
            <w:pict>
              <v:shape id="Text Box 61" o:spid="_x0000_s1026" o:spt="202" type="#_x0000_t202" style="position:absolute;left:0pt;margin-left:252pt;margin-top:9.55pt;height:124.8pt;width:225pt;z-index:251660288;mso-width-relative:page;mso-height-relative:page;" fillcolor="#FFFFFF" filled="t" stroked="t" coordsize="21600,21600" o:gfxdata="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aNH8+tgAAAAKAQAADwAAAAAAAAABACAAAAAiAAAA&#10;ZHJzL2Rvd25yZXYueG1sUEsBAhQAFAAAAAgAh07iQOg5NFoHAgAARwQAAA4AAAAAAAAAAQAgAAAA&#10;JwEAAGRycy9lMm9Eb2MueG1sUEsFBgAAAAAGAAYAWQEAAKAFAAAAAA==&#10;">
                <v:fill on="t" focussize="0,0"/>
                <v:stroke color="#000000" joinstyle="miter" dashstyle="dashDot"/>
                <v:imagedata o:title=""/>
                <o:lock v:ext="edit" aspectratio="f"/>
                <v:textbox>
                  <w:txbxContent>
                    <w:p/>
                    <w:p/>
                    <w:p/>
                    <w:p/>
                    <w:p>
                      <w:pPr>
                        <w:ind w:firstLine="120" w:firstLineChars="50"/>
                      </w:pPr>
                      <w:r>
                        <w:rPr>
                          <w:rFonts w:ascii="仿宋_GB2312" w:hAnsi="仿宋"/>
                          <w:b/>
                          <w:sz w:val="24"/>
                        </w:rPr>
                        <w:t>此处附法定代表人身份证复印件</w:t>
                      </w:r>
                      <w:r>
                        <w:rPr>
                          <w:rFonts w:hint="eastAsia" w:ascii="仿宋_GB2312" w:hAnsi="仿宋"/>
                          <w:b/>
                          <w:sz w:val="24"/>
                        </w:rPr>
                        <w:t>反</w:t>
                      </w:r>
                      <w:r>
                        <w:rPr>
                          <w:rFonts w:ascii="仿宋_GB2312" w:hAnsi="仿宋"/>
                          <w:b/>
                          <w:sz w:val="24"/>
                        </w:rPr>
                        <w:t>面</w:t>
                      </w:r>
                    </w:p>
                  </w:txbxContent>
                </v:textbox>
              </v:shape>
            </w:pict>
          </mc:Fallback>
        </mc:AlternateContent>
      </w:r>
    </w:p>
    <w:p>
      <w:pPr>
        <w:spacing w:line="500" w:lineRule="exact"/>
        <w:contextualSpacing/>
        <w:jc w:val="center"/>
        <w:rPr>
          <w:rFonts w:ascii="宋体" w:hAnsi="宋体" w:cs="宋体"/>
          <w:b/>
          <w:color w:val="000000" w:themeColor="text1"/>
          <w:sz w:val="24"/>
          <w:szCs w:val="24"/>
          <w14:textFill>
            <w14:solidFill>
              <w14:schemeClr w14:val="tx1"/>
            </w14:solidFill>
          </w14:textFill>
        </w:rPr>
      </w:pPr>
    </w:p>
    <w:p>
      <w:pPr>
        <w:spacing w:line="500" w:lineRule="exact"/>
        <w:contextualSpacing/>
        <w:jc w:val="center"/>
        <w:rPr>
          <w:rFonts w:ascii="宋体" w:hAnsi="宋体" w:cs="宋体"/>
          <w:b/>
          <w:color w:val="000000" w:themeColor="text1"/>
          <w:sz w:val="24"/>
          <w:szCs w:val="24"/>
          <w14:textFill>
            <w14:solidFill>
              <w14:schemeClr w14:val="tx1"/>
            </w14:solidFill>
          </w14:textFill>
        </w:rPr>
      </w:pPr>
    </w:p>
    <w:p>
      <w:pPr>
        <w:spacing w:line="500" w:lineRule="exact"/>
        <w:contextualSpacing/>
        <w:jc w:val="center"/>
        <w:rPr>
          <w:rFonts w:ascii="宋体" w:hAnsi="宋体" w:cs="宋体"/>
          <w:b/>
          <w:color w:val="000000" w:themeColor="text1"/>
          <w:sz w:val="24"/>
          <w:szCs w:val="24"/>
          <w14:textFill>
            <w14:solidFill>
              <w14:schemeClr w14:val="tx1"/>
            </w14:solidFill>
          </w14:textFill>
        </w:rPr>
      </w:pPr>
    </w:p>
    <w:p>
      <w:pPr>
        <w:spacing w:line="500" w:lineRule="exact"/>
        <w:contextualSpacing/>
        <w:jc w:val="center"/>
        <w:rPr>
          <w:rFonts w:ascii="宋体" w:hAnsi="宋体" w:cs="宋体"/>
          <w:b/>
          <w:color w:val="000000" w:themeColor="text1"/>
          <w:sz w:val="24"/>
          <w:szCs w:val="24"/>
          <w14:textFill>
            <w14:solidFill>
              <w14:schemeClr w14:val="tx1"/>
            </w14:solidFill>
          </w14:textFill>
        </w:rPr>
      </w:pPr>
    </w:p>
    <w:p>
      <w:pPr>
        <w:spacing w:line="500" w:lineRule="exact"/>
        <w:contextualSpacing/>
        <w:jc w:val="center"/>
        <w:rPr>
          <w:rFonts w:ascii="宋体" w:hAnsi="宋体" w:cs="宋体"/>
          <w:b/>
          <w:color w:val="000000" w:themeColor="text1"/>
          <w:sz w:val="24"/>
          <w:szCs w:val="24"/>
          <w14:textFill>
            <w14:solidFill>
              <w14:schemeClr w14:val="tx1"/>
            </w14:solidFill>
          </w14:textFill>
        </w:rPr>
      </w:pPr>
    </w:p>
    <w:p>
      <w:pPr>
        <w:spacing w:line="500" w:lineRule="exact"/>
        <w:contextualSpacing/>
        <w:jc w:val="center"/>
        <w:rPr>
          <w:rFonts w:ascii="宋体" w:hAnsi="宋体" w:cs="宋体"/>
          <w:b/>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mc:AlternateContent>
          <mc:Choice Requires="wps">
            <w:drawing>
              <wp:anchor distT="0" distB="0" distL="114300" distR="114300" simplePos="0" relativeHeight="251662336" behindDoc="0" locked="0" layoutInCell="1" allowOverlap="1">
                <wp:simplePos x="0" y="0"/>
                <wp:positionH relativeFrom="column">
                  <wp:posOffset>104775</wp:posOffset>
                </wp:positionH>
                <wp:positionV relativeFrom="paragraph">
                  <wp:posOffset>113665</wp:posOffset>
                </wp:positionV>
                <wp:extent cx="2857500" cy="1584960"/>
                <wp:effectExtent l="4445" t="5080" r="14605" b="10160"/>
                <wp:wrapNone/>
                <wp:docPr id="4" name="文本框 6"/>
                <wp:cNvGraphicFramePr/>
                <a:graphic xmlns:a="http://schemas.openxmlformats.org/drawingml/2006/main">
                  <a:graphicData uri="http://schemas.microsoft.com/office/word/2010/wordprocessingShape">
                    <wps:wsp>
                      <wps:cNvSpPr txBox="1"/>
                      <wps:spPr>
                        <a:xfrm>
                          <a:off x="0" y="0"/>
                          <a:ext cx="2857500" cy="1584960"/>
                        </a:xfrm>
                        <a:prstGeom prst="rect">
                          <a:avLst/>
                        </a:prstGeom>
                        <a:solidFill>
                          <a:srgbClr val="FFFFFF"/>
                        </a:solidFill>
                        <a:ln w="9525" cap="flat" cmpd="sng">
                          <a:solidFill>
                            <a:srgbClr val="000000"/>
                          </a:solidFill>
                          <a:prstDash val="dashDot"/>
                          <a:miter/>
                          <a:headEnd type="none" w="med" len="med"/>
                          <a:tailEnd type="none" w="med" len="med"/>
                        </a:ln>
                        <a:effectLst/>
                      </wps:spPr>
                      <wps:txbx>
                        <w:txbxContent>
                          <w:p>
                            <w:pPr>
                              <w:jc w:val="center"/>
                            </w:pPr>
                          </w:p>
                          <w:p>
                            <w:pPr>
                              <w:jc w:val="center"/>
                              <w:rPr>
                                <w:b/>
                              </w:rPr>
                            </w:pPr>
                          </w:p>
                          <w:p>
                            <w:pPr>
                              <w:jc w:val="center"/>
                              <w:rPr>
                                <w:rFonts w:ascii="仿宋_GB2312" w:hAnsi="仿宋"/>
                                <w:b/>
                                <w:sz w:val="24"/>
                              </w:rPr>
                            </w:pPr>
                          </w:p>
                          <w:p>
                            <w:pPr>
                              <w:jc w:val="center"/>
                              <w:rPr>
                                <w:rFonts w:ascii="仿宋_GB2312" w:hAnsi="仿宋"/>
                                <w:b/>
                                <w:sz w:val="24"/>
                              </w:rPr>
                            </w:pPr>
                            <w:r>
                              <w:rPr>
                                <w:rFonts w:ascii="仿宋_GB2312" w:hAnsi="仿宋"/>
                                <w:b/>
                                <w:sz w:val="24"/>
                              </w:rPr>
                              <w:t>此处附委托代理人身份证复印件正面</w:t>
                            </w:r>
                          </w:p>
                          <w:p>
                            <w:pPr>
                              <w:jc w:val="center"/>
                              <w:rPr>
                                <w:rFonts w:ascii="仿宋_GB2312" w:hAnsi="仿宋"/>
                                <w:b/>
                                <w:sz w:val="24"/>
                              </w:rPr>
                            </w:pPr>
                          </w:p>
                        </w:txbxContent>
                      </wps:txbx>
                      <wps:bodyPr upright="1"/>
                    </wps:wsp>
                  </a:graphicData>
                </a:graphic>
              </wp:anchor>
            </w:drawing>
          </mc:Choice>
          <mc:Fallback>
            <w:pict>
              <v:shape id="文本框 6" o:spid="_x0000_s1026" o:spt="202" type="#_x0000_t202" style="position:absolute;left:0pt;margin-left:8.25pt;margin-top:8.95pt;height:124.8pt;width:225pt;z-index:251662336;mso-width-relative:page;mso-height-relative:page;" fillcolor="#FFFFFF" filled="t" stroked="t" coordsize="21600,21600" o:gfxdata="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BsE1Md1wAAAAkBAAAPAAAA&#10;AAAAAAEAIAAAACIAAABkcnMvZG93bnJldi54bWxQSwECFAAUAAAACACHTuJAFuF66BYCAABHBAAA&#10;DgAAAAAAAAABACAAAAAmAQAAZHJzL2Uyb0RvYy54bWxQSwUGAAAAAAYABgBZAQAArgUAAAAA&#10;">
                <v:fill on="t" focussize="0,0"/>
                <v:stroke color="#000000" joinstyle="miter" dashstyle="dashDot"/>
                <v:imagedata o:title=""/>
                <o:lock v:ext="edit" aspectratio="f"/>
                <v:textbox>
                  <w:txbxContent>
                    <w:p>
                      <w:pPr>
                        <w:jc w:val="center"/>
                      </w:pPr>
                    </w:p>
                    <w:p>
                      <w:pPr>
                        <w:jc w:val="center"/>
                        <w:rPr>
                          <w:b/>
                        </w:rPr>
                      </w:pPr>
                    </w:p>
                    <w:p>
                      <w:pPr>
                        <w:jc w:val="center"/>
                        <w:rPr>
                          <w:rFonts w:ascii="仿宋_GB2312" w:hAnsi="仿宋"/>
                          <w:b/>
                          <w:sz w:val="24"/>
                        </w:rPr>
                      </w:pPr>
                    </w:p>
                    <w:p>
                      <w:pPr>
                        <w:jc w:val="center"/>
                        <w:rPr>
                          <w:rFonts w:ascii="仿宋_GB2312" w:hAnsi="仿宋"/>
                          <w:b/>
                          <w:sz w:val="24"/>
                        </w:rPr>
                      </w:pPr>
                      <w:r>
                        <w:rPr>
                          <w:rFonts w:ascii="仿宋_GB2312" w:hAnsi="仿宋"/>
                          <w:b/>
                          <w:sz w:val="24"/>
                        </w:rPr>
                        <w:t>此处附委托代理人身份证复印件正面</w:t>
                      </w:r>
                    </w:p>
                    <w:p>
                      <w:pPr>
                        <w:jc w:val="center"/>
                        <w:rPr>
                          <w:rFonts w:ascii="仿宋_GB2312" w:hAnsi="仿宋"/>
                          <w:b/>
                          <w:sz w:val="24"/>
                        </w:rPr>
                      </w:pPr>
                    </w:p>
                  </w:txbxContent>
                </v:textbox>
              </v:shape>
            </w:pict>
          </mc:Fallback>
        </mc:AlternateContent>
      </w:r>
      <w:r>
        <w:rPr>
          <w:rFonts w:ascii="宋体" w:hAnsi="宋体" w:cs="宋体"/>
          <w:b/>
          <w:color w:val="000000" w:themeColor="text1"/>
          <w:sz w:val="24"/>
          <w:szCs w:val="24"/>
          <w14:textFill>
            <w14:solidFill>
              <w14:schemeClr w14:val="tx1"/>
            </w14:solidFill>
          </w14:textFill>
        </w:rPr>
        <mc:AlternateContent>
          <mc:Choice Requires="wps">
            <w:drawing>
              <wp:anchor distT="0" distB="0" distL="114300" distR="114300" simplePos="0" relativeHeight="251661312" behindDoc="0" locked="0" layoutInCell="1" allowOverlap="1">
                <wp:simplePos x="0" y="0"/>
                <wp:positionH relativeFrom="column">
                  <wp:posOffset>3200400</wp:posOffset>
                </wp:positionH>
                <wp:positionV relativeFrom="paragraph">
                  <wp:posOffset>104140</wp:posOffset>
                </wp:positionV>
                <wp:extent cx="2857500" cy="1584960"/>
                <wp:effectExtent l="4445" t="5080" r="14605" b="10160"/>
                <wp:wrapNone/>
                <wp:docPr id="3" name="文本框 5"/>
                <wp:cNvGraphicFramePr/>
                <a:graphic xmlns:a="http://schemas.openxmlformats.org/drawingml/2006/main">
                  <a:graphicData uri="http://schemas.microsoft.com/office/word/2010/wordprocessingShape">
                    <wps:wsp>
                      <wps:cNvSpPr txBox="1"/>
                      <wps:spPr>
                        <a:xfrm>
                          <a:off x="0" y="0"/>
                          <a:ext cx="2857500" cy="1584960"/>
                        </a:xfrm>
                        <a:prstGeom prst="rect">
                          <a:avLst/>
                        </a:prstGeom>
                        <a:solidFill>
                          <a:srgbClr val="FFFFFF"/>
                        </a:solidFill>
                        <a:ln w="9525" cap="flat" cmpd="sng">
                          <a:solidFill>
                            <a:srgbClr val="000000"/>
                          </a:solidFill>
                          <a:prstDash val="dashDot"/>
                          <a:miter/>
                          <a:headEnd type="none" w="med" len="med"/>
                          <a:tailEnd type="none" w="med" len="med"/>
                        </a:ln>
                        <a:effectLst/>
                      </wps:spPr>
                      <wps:txbx>
                        <w:txbxContent>
                          <w:p>
                            <w:pPr>
                              <w:jc w:val="center"/>
                            </w:pPr>
                          </w:p>
                          <w:p>
                            <w:pPr>
                              <w:jc w:val="center"/>
                              <w:rPr>
                                <w:b/>
                              </w:rPr>
                            </w:pPr>
                          </w:p>
                          <w:p>
                            <w:pPr>
                              <w:jc w:val="center"/>
                              <w:rPr>
                                <w:rFonts w:ascii="仿宋_GB2312" w:hAnsi="仿宋"/>
                                <w:b/>
                                <w:sz w:val="24"/>
                              </w:rPr>
                            </w:pPr>
                          </w:p>
                          <w:p>
                            <w:pPr>
                              <w:jc w:val="center"/>
                              <w:rPr>
                                <w:rFonts w:ascii="仿宋_GB2312" w:hAnsi="仿宋"/>
                                <w:b/>
                                <w:sz w:val="24"/>
                              </w:rPr>
                            </w:pPr>
                            <w:r>
                              <w:rPr>
                                <w:rFonts w:ascii="仿宋_GB2312" w:hAnsi="仿宋"/>
                                <w:b/>
                                <w:sz w:val="24"/>
                              </w:rPr>
                              <w:t>此处附委托代理人身份证复印件</w:t>
                            </w:r>
                            <w:r>
                              <w:rPr>
                                <w:rFonts w:hint="eastAsia" w:ascii="仿宋_GB2312" w:hAnsi="仿宋"/>
                                <w:b/>
                                <w:sz w:val="24"/>
                              </w:rPr>
                              <w:t>反</w:t>
                            </w:r>
                            <w:r>
                              <w:rPr>
                                <w:rFonts w:ascii="仿宋_GB2312" w:hAnsi="仿宋"/>
                                <w:b/>
                                <w:sz w:val="24"/>
                              </w:rPr>
                              <w:t>面</w:t>
                            </w:r>
                          </w:p>
                          <w:p>
                            <w:pPr>
                              <w:jc w:val="center"/>
                              <w:rPr>
                                <w:rFonts w:ascii="仿宋_GB2312" w:hAnsi="仿宋"/>
                                <w:b/>
                                <w:sz w:val="24"/>
                              </w:rPr>
                            </w:pPr>
                          </w:p>
                        </w:txbxContent>
                      </wps:txbx>
                      <wps:bodyPr upright="1"/>
                    </wps:wsp>
                  </a:graphicData>
                </a:graphic>
              </wp:anchor>
            </w:drawing>
          </mc:Choice>
          <mc:Fallback>
            <w:pict>
              <v:shape id="文本框 5" o:spid="_x0000_s1026" o:spt="202" type="#_x0000_t202" style="position:absolute;left:0pt;margin-left:252pt;margin-top:8.2pt;height:124.8pt;width:225pt;z-index:251661312;mso-width-relative:page;mso-height-relative:page;" fillcolor="#FFFFFF" filled="t" stroked="t" coordsize="21600,21600" o:gfxdata="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BeV6Dm1wAAAAoBAAAPAAAA&#10;AAAAAAEAIAAAACIAAABkcnMvZG93bnJldi54bWxQSwECFAAUAAAACACHTuJAuw1twBYCAABHBAAA&#10;DgAAAAAAAAABACAAAAAmAQAAZHJzL2Uyb0RvYy54bWxQSwUGAAAAAAYABgBZAQAArgUAAAAA&#10;">
                <v:fill on="t" focussize="0,0"/>
                <v:stroke color="#000000" joinstyle="miter" dashstyle="dashDot"/>
                <v:imagedata o:title=""/>
                <o:lock v:ext="edit" aspectratio="f"/>
                <v:textbox>
                  <w:txbxContent>
                    <w:p>
                      <w:pPr>
                        <w:jc w:val="center"/>
                      </w:pPr>
                    </w:p>
                    <w:p>
                      <w:pPr>
                        <w:jc w:val="center"/>
                        <w:rPr>
                          <w:b/>
                        </w:rPr>
                      </w:pPr>
                    </w:p>
                    <w:p>
                      <w:pPr>
                        <w:jc w:val="center"/>
                        <w:rPr>
                          <w:rFonts w:ascii="仿宋_GB2312" w:hAnsi="仿宋"/>
                          <w:b/>
                          <w:sz w:val="24"/>
                        </w:rPr>
                      </w:pPr>
                    </w:p>
                    <w:p>
                      <w:pPr>
                        <w:jc w:val="center"/>
                        <w:rPr>
                          <w:rFonts w:ascii="仿宋_GB2312" w:hAnsi="仿宋"/>
                          <w:b/>
                          <w:sz w:val="24"/>
                        </w:rPr>
                      </w:pPr>
                      <w:r>
                        <w:rPr>
                          <w:rFonts w:ascii="仿宋_GB2312" w:hAnsi="仿宋"/>
                          <w:b/>
                          <w:sz w:val="24"/>
                        </w:rPr>
                        <w:t>此处附委托代理人身份证复印件</w:t>
                      </w:r>
                      <w:r>
                        <w:rPr>
                          <w:rFonts w:hint="eastAsia" w:ascii="仿宋_GB2312" w:hAnsi="仿宋"/>
                          <w:b/>
                          <w:sz w:val="24"/>
                        </w:rPr>
                        <w:t>反</w:t>
                      </w:r>
                      <w:r>
                        <w:rPr>
                          <w:rFonts w:ascii="仿宋_GB2312" w:hAnsi="仿宋"/>
                          <w:b/>
                          <w:sz w:val="24"/>
                        </w:rPr>
                        <w:t>面</w:t>
                      </w:r>
                    </w:p>
                    <w:p>
                      <w:pPr>
                        <w:jc w:val="center"/>
                        <w:rPr>
                          <w:rFonts w:ascii="仿宋_GB2312" w:hAnsi="仿宋"/>
                          <w:b/>
                          <w:sz w:val="24"/>
                        </w:rPr>
                      </w:pPr>
                    </w:p>
                  </w:txbxContent>
                </v:textbox>
              </v:shape>
            </w:pict>
          </mc:Fallback>
        </mc:AlternateContent>
      </w:r>
    </w:p>
    <w:p>
      <w:pPr>
        <w:spacing w:line="500" w:lineRule="exact"/>
        <w:contextualSpacing/>
        <w:jc w:val="center"/>
        <w:rPr>
          <w:rFonts w:ascii="宋体" w:hAnsi="宋体" w:cs="宋体"/>
          <w:b/>
          <w:color w:val="000000" w:themeColor="text1"/>
          <w:sz w:val="24"/>
          <w:szCs w:val="24"/>
          <w14:textFill>
            <w14:solidFill>
              <w14:schemeClr w14:val="tx1"/>
            </w14:solidFill>
          </w14:textFill>
        </w:rPr>
      </w:pPr>
    </w:p>
    <w:p>
      <w:pPr>
        <w:spacing w:line="500" w:lineRule="exact"/>
        <w:contextualSpacing/>
        <w:jc w:val="center"/>
        <w:rPr>
          <w:rFonts w:ascii="宋体" w:hAnsi="宋体" w:cs="宋体"/>
          <w:b/>
          <w:color w:val="000000" w:themeColor="text1"/>
          <w:sz w:val="24"/>
          <w:szCs w:val="24"/>
          <w14:textFill>
            <w14:solidFill>
              <w14:schemeClr w14:val="tx1"/>
            </w14:solidFill>
          </w14:textFill>
        </w:rPr>
      </w:pPr>
    </w:p>
    <w:p>
      <w:pPr>
        <w:pStyle w:val="5"/>
        <w:spacing w:line="500" w:lineRule="exact"/>
        <w:contextualSpacing/>
        <w:rPr>
          <w:rFonts w:ascii="宋体" w:hAnsi="宋体" w:cs="宋体"/>
          <w:color w:val="000000" w:themeColor="text1"/>
          <w:sz w:val="24"/>
          <w:szCs w:val="24"/>
          <w14:textFill>
            <w14:solidFill>
              <w14:schemeClr w14:val="tx1"/>
            </w14:solidFill>
          </w14:textFill>
        </w:rPr>
      </w:pPr>
      <w:bookmarkStart w:id="238" w:name="_Toc695"/>
      <w:bookmarkStart w:id="239" w:name="_Toc487728219"/>
      <w:bookmarkStart w:id="240" w:name="_Toc1487"/>
      <w:r>
        <w:rPr>
          <w:rFonts w:hint="eastAsia" w:ascii="宋体" w:hAnsi="宋体" w:cs="宋体"/>
          <w:color w:val="000000" w:themeColor="text1"/>
          <w:sz w:val="24"/>
          <w:szCs w:val="24"/>
          <w14:textFill>
            <w14:solidFill>
              <w14:schemeClr w14:val="tx1"/>
            </w14:solidFill>
          </w14:textFill>
        </w:rPr>
        <w:t>三．关于资格的声明函</w:t>
      </w:r>
      <w:bookmarkEnd w:id="238"/>
      <w:bookmarkEnd w:id="239"/>
      <w:bookmarkEnd w:id="240"/>
    </w:p>
    <w:p>
      <w:pPr>
        <w:spacing w:line="500" w:lineRule="exact"/>
        <w:contextualSpacing/>
        <w:jc w:val="center"/>
        <w:rPr>
          <w:rFonts w:ascii="宋体" w:hAnsi="宋体" w:cs="宋体"/>
          <w:b/>
          <w:color w:val="000000" w:themeColor="text1"/>
          <w:sz w:val="24"/>
          <w:szCs w:val="24"/>
          <w14:textFill>
            <w14:solidFill>
              <w14:schemeClr w14:val="tx1"/>
            </w14:solidFill>
          </w14:textFill>
        </w:rPr>
      </w:pPr>
    </w:p>
    <w:p>
      <w:pPr>
        <w:pStyle w:val="17"/>
        <w:spacing w:line="500" w:lineRule="exact"/>
        <w:ind w:firstLine="0"/>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致：_________________(采购人)</w:t>
      </w:r>
    </w:p>
    <w:p>
      <w:pPr>
        <w:pStyle w:val="17"/>
        <w:spacing w:line="500" w:lineRule="exact"/>
        <w:ind w:firstLine="480" w:firstLineChars="200"/>
        <w:contextualSpacing/>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关于贵方</w:t>
      </w:r>
      <w:r>
        <w:rPr>
          <w:rFonts w:hint="eastAsia" w:ascii="宋体" w:hAnsi="宋体" w:cs="宋体"/>
          <w:color w:val="000000" w:themeColor="text1"/>
          <w:sz w:val="24"/>
          <w:szCs w:val="24"/>
          <w:u w:val="single"/>
          <w14:textFill>
            <w14:solidFill>
              <w14:schemeClr w14:val="tx1"/>
            </w14:solidFill>
          </w14:textFill>
        </w:rPr>
        <w:t>　</w:t>
      </w:r>
      <w:r>
        <w:rPr>
          <w:rFonts w:hint="eastAsia" w:ascii="宋体" w:hAnsi="宋体" w:cs="宋体"/>
          <w:color w:val="000000" w:themeColor="text1"/>
          <w:sz w:val="24"/>
          <w:szCs w:val="24"/>
          <w14:textFill>
            <w14:solidFill>
              <w14:schemeClr w14:val="tx1"/>
            </w14:solidFill>
          </w14:textFill>
        </w:rPr>
        <w:t>年</w:t>
      </w:r>
      <w:r>
        <w:rPr>
          <w:rFonts w:hint="eastAsia" w:ascii="宋体" w:hAnsi="宋体" w:cs="宋体"/>
          <w:color w:val="000000" w:themeColor="text1"/>
          <w:sz w:val="24"/>
          <w:szCs w:val="24"/>
          <w:u w:val="single"/>
          <w14:textFill>
            <w14:solidFill>
              <w14:schemeClr w14:val="tx1"/>
            </w14:solidFill>
          </w14:textFill>
        </w:rPr>
        <w:t>　</w:t>
      </w:r>
      <w:r>
        <w:rPr>
          <w:rFonts w:hint="eastAsia" w:ascii="宋体" w:hAnsi="宋体" w:cs="宋体"/>
          <w:color w:val="000000" w:themeColor="text1"/>
          <w:sz w:val="24"/>
          <w:szCs w:val="24"/>
          <w14:textFill>
            <w14:solidFill>
              <w14:schemeClr w14:val="tx1"/>
            </w14:solidFill>
          </w14:textFill>
        </w:rPr>
        <w:t>月</w:t>
      </w:r>
      <w:r>
        <w:rPr>
          <w:rFonts w:hint="eastAsia" w:ascii="宋体" w:hAnsi="宋体" w:cs="宋体"/>
          <w:color w:val="000000" w:themeColor="text1"/>
          <w:sz w:val="24"/>
          <w:szCs w:val="24"/>
          <w:u w:val="single"/>
          <w14:textFill>
            <w14:solidFill>
              <w14:schemeClr w14:val="tx1"/>
            </w14:solidFill>
          </w14:textFill>
        </w:rPr>
        <w:t>　</w:t>
      </w:r>
      <w:r>
        <w:rPr>
          <w:rFonts w:hint="eastAsia" w:ascii="宋体" w:hAnsi="宋体" w:cs="宋体"/>
          <w:color w:val="000000" w:themeColor="text1"/>
          <w:sz w:val="24"/>
          <w:szCs w:val="24"/>
          <w14:textFill>
            <w14:solidFill>
              <w14:schemeClr w14:val="tx1"/>
            </w14:solidFill>
          </w14:textFill>
        </w:rPr>
        <w:t>日第</w:t>
      </w:r>
      <w:r>
        <w:rPr>
          <w:rFonts w:hint="eastAsia" w:ascii="宋体" w:hAnsi="宋体" w:cs="宋体"/>
          <w:color w:val="000000" w:themeColor="text1"/>
          <w:sz w:val="24"/>
          <w:szCs w:val="24"/>
          <w:u w:val="single"/>
          <w14:textFill>
            <w14:solidFill>
              <w14:schemeClr w14:val="tx1"/>
            </w14:solidFill>
          </w14:textFill>
        </w:rPr>
        <w:t xml:space="preserve">  项目编号 </w:t>
      </w:r>
      <w:r>
        <w:rPr>
          <w:rFonts w:hint="eastAsia" w:ascii="宋体" w:hAnsi="宋体" w:cs="宋体"/>
          <w:color w:val="000000" w:themeColor="text1"/>
          <w:sz w:val="24"/>
          <w:szCs w:val="24"/>
          <w14:textFill>
            <w14:solidFill>
              <w14:schemeClr w14:val="tx1"/>
            </w14:solidFill>
          </w14:textFill>
        </w:rPr>
        <w:t>招标公告关于</w:t>
      </w:r>
      <w:r>
        <w:rPr>
          <w:rFonts w:hint="eastAsia" w:ascii="宋体" w:hAnsi="宋体" w:cs="宋体"/>
          <w:color w:val="000000" w:themeColor="text1"/>
          <w:sz w:val="24"/>
          <w:szCs w:val="24"/>
          <w:u w:val="single"/>
          <w14:textFill>
            <w14:solidFill>
              <w14:schemeClr w14:val="tx1"/>
            </w14:solidFill>
          </w14:textFill>
        </w:rPr>
        <w:t>“项目名称”</w:t>
      </w:r>
      <w:r>
        <w:rPr>
          <w:rFonts w:hint="eastAsia" w:ascii="宋体" w:hAnsi="宋体" w:cs="宋体"/>
          <w:color w:val="000000" w:themeColor="text1"/>
          <w:sz w:val="24"/>
          <w:szCs w:val="24"/>
          <w14:textFill>
            <w14:solidFill>
              <w14:schemeClr w14:val="tx1"/>
            </w14:solidFill>
          </w14:textFill>
        </w:rPr>
        <w:t>的招标项目，本签字人愿意参加投标，并有能力提供</w:t>
      </w:r>
      <w:r>
        <w:rPr>
          <w:rFonts w:hint="eastAsia" w:ascii="宋体" w:hAnsi="宋体" w:cs="宋体"/>
          <w:color w:val="000000" w:themeColor="text1"/>
          <w:sz w:val="24"/>
          <w:szCs w:val="24"/>
          <w:u w:val="single"/>
          <w14:textFill>
            <w14:solidFill>
              <w14:schemeClr w14:val="tx1"/>
            </w14:solidFill>
          </w14:textFill>
        </w:rPr>
        <w:t xml:space="preserve">  项目名称 </w:t>
      </w:r>
      <w:r>
        <w:rPr>
          <w:rFonts w:hint="eastAsia" w:ascii="宋体" w:hAnsi="宋体" w:cs="宋体"/>
          <w:color w:val="000000" w:themeColor="text1"/>
          <w:sz w:val="24"/>
          <w:szCs w:val="24"/>
          <w14:textFill>
            <w14:solidFill>
              <w14:schemeClr w14:val="tx1"/>
            </w14:solidFill>
          </w14:textFill>
        </w:rPr>
        <w:t>项目中的招标货物及相关服务，并保证所提交的所有文件和说明是真实和准确的。</w:t>
      </w:r>
    </w:p>
    <w:p>
      <w:pPr>
        <w:pStyle w:val="17"/>
        <w:spacing w:line="500" w:lineRule="exact"/>
        <w:contextualSpacing/>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投标人：</w:t>
      </w:r>
      <w:r>
        <w:rPr>
          <w:rFonts w:hint="eastAsia" w:ascii="宋体" w:hAnsi="宋体" w:cs="宋体"/>
          <w:color w:val="000000" w:themeColor="text1"/>
          <w:sz w:val="24"/>
          <w:szCs w:val="24"/>
          <w:u w:val="single"/>
          <w14:textFill>
            <w14:solidFill>
              <w14:schemeClr w14:val="tx1"/>
            </w14:solidFill>
          </w14:textFill>
        </w:rPr>
        <w:t>　投标人名称        　</w:t>
      </w:r>
      <w:r>
        <w:rPr>
          <w:rFonts w:hint="eastAsia" w:ascii="宋体" w:hAnsi="宋体" w:cs="宋体"/>
          <w:color w:val="000000" w:themeColor="text1"/>
          <w:sz w:val="24"/>
          <w:szCs w:val="24"/>
          <w14:textFill>
            <w14:solidFill>
              <w14:schemeClr w14:val="tx1"/>
            </w14:solidFill>
          </w14:textFill>
        </w:rPr>
        <w:t>　签字人姓名、职务：_</w:t>
      </w:r>
      <w:r>
        <w:rPr>
          <w:rFonts w:hint="eastAsia" w:ascii="宋体" w:hAnsi="宋体" w:cs="宋体"/>
          <w:color w:val="000000" w:themeColor="text1"/>
          <w:sz w:val="24"/>
          <w:szCs w:val="24"/>
          <w14:textFill>
            <w14:solidFill>
              <w14:schemeClr w14:val="tx1"/>
            </w14:solidFill>
          </w14:textFill>
        </w:rPr>
        <w:softHyphen/>
      </w:r>
      <w:r>
        <w:rPr>
          <w:rFonts w:hint="eastAsia" w:ascii="宋体" w:hAnsi="宋体" w:cs="宋体"/>
          <w:color w:val="000000" w:themeColor="text1"/>
          <w:sz w:val="24"/>
          <w:szCs w:val="24"/>
          <w14:textFill>
            <w14:solidFill>
              <w14:schemeClr w14:val="tx1"/>
            </w14:solidFill>
          </w14:textFill>
        </w:rPr>
        <w:softHyphen/>
      </w:r>
      <w:r>
        <w:rPr>
          <w:rFonts w:hint="eastAsia" w:ascii="宋体" w:hAnsi="宋体" w:cs="宋体"/>
          <w:color w:val="000000" w:themeColor="text1"/>
          <w:sz w:val="24"/>
          <w:szCs w:val="24"/>
          <w14:textFill>
            <w14:solidFill>
              <w14:schemeClr w14:val="tx1"/>
            </w14:solidFill>
          </w14:textFill>
        </w:rPr>
        <w:softHyphen/>
      </w:r>
      <w:r>
        <w:rPr>
          <w:rFonts w:hint="eastAsia" w:ascii="宋体" w:hAnsi="宋体" w:cs="宋体"/>
          <w:color w:val="000000" w:themeColor="text1"/>
          <w:sz w:val="24"/>
          <w:szCs w:val="24"/>
          <w14:textFill>
            <w14:solidFill>
              <w14:schemeClr w14:val="tx1"/>
            </w14:solidFill>
          </w14:textFill>
        </w:rPr>
        <w:t>__</w:t>
      </w:r>
      <w:r>
        <w:rPr>
          <w:rFonts w:hint="eastAsia" w:ascii="宋体" w:hAnsi="宋体" w:cs="宋体"/>
          <w:color w:val="000000" w:themeColor="text1"/>
          <w:sz w:val="24"/>
          <w:szCs w:val="24"/>
          <w14:textFill>
            <w14:solidFill>
              <w14:schemeClr w14:val="tx1"/>
            </w14:solidFill>
          </w14:textFill>
        </w:rPr>
        <w:softHyphen/>
      </w:r>
      <w:r>
        <w:rPr>
          <w:rFonts w:hint="eastAsia" w:ascii="宋体" w:hAnsi="宋体" w:cs="宋体"/>
          <w:color w:val="000000" w:themeColor="text1"/>
          <w:sz w:val="24"/>
          <w:szCs w:val="24"/>
          <w14:textFill>
            <w14:solidFill>
              <w14:schemeClr w14:val="tx1"/>
            </w14:solidFill>
          </w14:textFill>
        </w:rPr>
        <w:softHyphen/>
      </w:r>
      <w:r>
        <w:rPr>
          <w:rFonts w:hint="eastAsia" w:ascii="宋体" w:hAnsi="宋体" w:cs="宋体"/>
          <w:color w:val="000000" w:themeColor="text1"/>
          <w:sz w:val="24"/>
          <w:szCs w:val="24"/>
          <w14:textFill>
            <w14:solidFill>
              <w14:schemeClr w14:val="tx1"/>
            </w14:solidFill>
          </w14:textFill>
        </w:rPr>
        <w:softHyphen/>
      </w:r>
      <w:r>
        <w:rPr>
          <w:rFonts w:hint="eastAsia" w:ascii="宋体" w:hAnsi="宋体" w:cs="宋体"/>
          <w:color w:val="000000" w:themeColor="text1"/>
          <w:sz w:val="24"/>
          <w:szCs w:val="24"/>
          <w14:textFill>
            <w14:solidFill>
              <w14:schemeClr w14:val="tx1"/>
            </w14:solidFill>
          </w14:textFill>
        </w:rPr>
        <w:softHyphen/>
      </w:r>
      <w:r>
        <w:rPr>
          <w:rFonts w:hint="eastAsia" w:ascii="宋体" w:hAnsi="宋体" w:cs="宋体"/>
          <w:color w:val="000000" w:themeColor="text1"/>
          <w:sz w:val="24"/>
          <w:szCs w:val="24"/>
          <w14:textFill>
            <w14:solidFill>
              <w14:schemeClr w14:val="tx1"/>
            </w14:solidFill>
          </w14:textFill>
        </w:rPr>
        <w:softHyphen/>
      </w:r>
      <w:r>
        <w:rPr>
          <w:rFonts w:hint="eastAsia" w:ascii="宋体" w:hAnsi="宋体" w:cs="宋体"/>
          <w:color w:val="000000" w:themeColor="text1"/>
          <w:sz w:val="24"/>
          <w:szCs w:val="24"/>
          <w14:textFill>
            <w14:solidFill>
              <w14:schemeClr w14:val="tx1"/>
            </w14:solidFill>
          </w14:textFill>
        </w:rPr>
        <w:softHyphen/>
      </w:r>
      <w:r>
        <w:rPr>
          <w:rFonts w:hint="eastAsia" w:ascii="宋体" w:hAnsi="宋体" w:cs="宋体"/>
          <w:color w:val="000000" w:themeColor="text1"/>
          <w:sz w:val="24"/>
          <w:szCs w:val="24"/>
          <w14:textFill>
            <w14:solidFill>
              <w14:schemeClr w14:val="tx1"/>
            </w14:solidFill>
          </w14:textFill>
        </w:rPr>
        <w:t>__________________</w:t>
      </w:r>
    </w:p>
    <w:p>
      <w:pPr>
        <w:pStyle w:val="17"/>
        <w:spacing w:line="500" w:lineRule="exact"/>
        <w:contextualSpacing/>
        <w:jc w:val="left"/>
        <w:rPr>
          <w:rFonts w:ascii="宋体" w:hAnsi="宋体" w:cs="宋体"/>
          <w:color w:val="000000" w:themeColor="text1"/>
          <w:sz w:val="24"/>
          <w:szCs w:val="24"/>
          <w:u w:val="single"/>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地址：</w:t>
      </w:r>
      <w:r>
        <w:rPr>
          <w:rFonts w:hint="eastAsia" w:ascii="宋体" w:hAnsi="宋体" w:cs="宋体"/>
          <w:color w:val="000000" w:themeColor="text1"/>
          <w:sz w:val="24"/>
          <w:szCs w:val="24"/>
          <w:u w:val="single"/>
          <w14:textFill>
            <w14:solidFill>
              <w14:schemeClr w14:val="tx1"/>
            </w14:solidFill>
          </w14:textFill>
        </w:rPr>
        <w:t>　　　　　　　　　　　　</w:t>
      </w:r>
      <w:r>
        <w:rPr>
          <w:rFonts w:hint="eastAsia" w:ascii="宋体" w:hAnsi="宋体" w:cs="宋体"/>
          <w:color w:val="000000" w:themeColor="text1"/>
          <w:sz w:val="24"/>
          <w:szCs w:val="24"/>
          <w14:textFill>
            <w14:solidFill>
              <w14:schemeClr w14:val="tx1"/>
            </w14:solidFill>
          </w14:textFill>
        </w:rPr>
        <w:t>　授权签署本资格文件人：</w:t>
      </w:r>
      <w:r>
        <w:rPr>
          <w:rFonts w:hint="eastAsia" w:ascii="宋体" w:hAnsi="宋体" w:cs="宋体"/>
          <w:color w:val="000000" w:themeColor="text1"/>
          <w:sz w:val="24"/>
          <w:szCs w:val="24"/>
          <w:u w:val="single"/>
          <w14:textFill>
            <w14:solidFill>
              <w14:schemeClr w14:val="tx1"/>
            </w14:solidFill>
          </w14:textFill>
        </w:rPr>
        <w:t>授权人姓名</w:t>
      </w:r>
      <w:r>
        <w:rPr>
          <w:rFonts w:hint="eastAsia" w:ascii="宋体" w:hAnsi="宋体" w:cs="宋体"/>
          <w:color w:val="000000" w:themeColor="text1"/>
          <w:sz w:val="24"/>
          <w:szCs w:val="24"/>
          <w14:textFill>
            <w14:solidFill>
              <w14:schemeClr w14:val="tx1"/>
            </w14:solidFill>
          </w14:textFill>
        </w:rPr>
        <w:t>_</w:t>
      </w:r>
      <w:r>
        <w:rPr>
          <w:rFonts w:hint="eastAsia" w:ascii="宋体" w:hAnsi="宋体" w:cs="宋体"/>
          <w:color w:val="000000" w:themeColor="text1"/>
          <w:sz w:val="24"/>
          <w:szCs w:val="24"/>
          <w14:textFill>
            <w14:solidFill>
              <w14:schemeClr w14:val="tx1"/>
            </w14:solidFill>
          </w14:textFill>
        </w:rPr>
        <w:softHyphen/>
      </w:r>
      <w:r>
        <w:rPr>
          <w:rFonts w:hint="eastAsia" w:ascii="宋体" w:hAnsi="宋体" w:cs="宋体"/>
          <w:color w:val="000000" w:themeColor="text1"/>
          <w:sz w:val="24"/>
          <w:szCs w:val="24"/>
          <w14:textFill>
            <w14:solidFill>
              <w14:schemeClr w14:val="tx1"/>
            </w14:solidFill>
          </w14:textFill>
        </w:rPr>
        <w:softHyphen/>
      </w:r>
      <w:r>
        <w:rPr>
          <w:rFonts w:hint="eastAsia" w:ascii="宋体" w:hAnsi="宋体" w:cs="宋体"/>
          <w:color w:val="000000" w:themeColor="text1"/>
          <w:sz w:val="24"/>
          <w:szCs w:val="24"/>
          <w14:textFill>
            <w14:solidFill>
              <w14:schemeClr w14:val="tx1"/>
            </w14:solidFill>
          </w14:textFill>
        </w:rPr>
        <w:softHyphen/>
      </w:r>
      <w:r>
        <w:rPr>
          <w:rFonts w:hint="eastAsia" w:ascii="宋体" w:hAnsi="宋体" w:cs="宋体"/>
          <w:color w:val="000000" w:themeColor="text1"/>
          <w:sz w:val="24"/>
          <w:szCs w:val="24"/>
          <w14:textFill>
            <w14:solidFill>
              <w14:schemeClr w14:val="tx1"/>
            </w14:solidFill>
          </w14:textFill>
        </w:rPr>
        <w:t>__</w:t>
      </w:r>
      <w:r>
        <w:rPr>
          <w:rFonts w:hint="eastAsia" w:ascii="宋体" w:hAnsi="宋体" w:cs="宋体"/>
          <w:color w:val="000000" w:themeColor="text1"/>
          <w:sz w:val="24"/>
          <w:szCs w:val="24"/>
          <w14:textFill>
            <w14:solidFill>
              <w14:schemeClr w14:val="tx1"/>
            </w14:solidFill>
          </w14:textFill>
        </w:rPr>
        <w:softHyphen/>
      </w:r>
      <w:r>
        <w:rPr>
          <w:rFonts w:hint="eastAsia" w:ascii="宋体" w:hAnsi="宋体" w:cs="宋体"/>
          <w:color w:val="000000" w:themeColor="text1"/>
          <w:sz w:val="24"/>
          <w:szCs w:val="24"/>
          <w14:textFill>
            <w14:solidFill>
              <w14:schemeClr w14:val="tx1"/>
            </w14:solidFill>
          </w14:textFill>
        </w:rPr>
        <w:softHyphen/>
      </w:r>
      <w:r>
        <w:rPr>
          <w:rFonts w:hint="eastAsia" w:ascii="宋体" w:hAnsi="宋体" w:cs="宋体"/>
          <w:color w:val="000000" w:themeColor="text1"/>
          <w:sz w:val="24"/>
          <w:szCs w:val="24"/>
          <w14:textFill>
            <w14:solidFill>
              <w14:schemeClr w14:val="tx1"/>
            </w14:solidFill>
          </w14:textFill>
        </w:rPr>
        <w:softHyphen/>
      </w:r>
      <w:r>
        <w:rPr>
          <w:rFonts w:hint="eastAsia" w:ascii="宋体" w:hAnsi="宋体" w:cs="宋体"/>
          <w:color w:val="000000" w:themeColor="text1"/>
          <w:sz w:val="24"/>
          <w:szCs w:val="24"/>
          <w14:textFill>
            <w14:solidFill>
              <w14:schemeClr w14:val="tx1"/>
            </w14:solidFill>
          </w14:textFill>
        </w:rPr>
        <w:softHyphen/>
      </w:r>
      <w:r>
        <w:rPr>
          <w:rFonts w:hint="eastAsia" w:ascii="宋体" w:hAnsi="宋体" w:cs="宋体"/>
          <w:color w:val="000000" w:themeColor="text1"/>
          <w:sz w:val="24"/>
          <w:szCs w:val="24"/>
          <w14:textFill>
            <w14:solidFill>
              <w14:schemeClr w14:val="tx1"/>
            </w14:solidFill>
          </w14:textFill>
        </w:rPr>
        <w:softHyphen/>
      </w:r>
      <w:r>
        <w:rPr>
          <w:rFonts w:hint="eastAsia" w:ascii="宋体" w:hAnsi="宋体" w:cs="宋体"/>
          <w:color w:val="000000" w:themeColor="text1"/>
          <w:sz w:val="24"/>
          <w:szCs w:val="24"/>
          <w14:textFill>
            <w14:solidFill>
              <w14:schemeClr w14:val="tx1"/>
            </w14:solidFill>
          </w14:textFill>
        </w:rPr>
        <w:softHyphen/>
      </w:r>
      <w:r>
        <w:rPr>
          <w:rFonts w:hint="eastAsia" w:ascii="宋体" w:hAnsi="宋体" w:cs="宋体"/>
          <w:color w:val="000000" w:themeColor="text1"/>
          <w:sz w:val="24"/>
          <w:szCs w:val="24"/>
          <w14:textFill>
            <w14:solidFill>
              <w14:schemeClr w14:val="tx1"/>
            </w14:solidFill>
          </w14:textFill>
        </w:rPr>
        <w:t>______</w:t>
      </w:r>
    </w:p>
    <w:p>
      <w:pPr>
        <w:pStyle w:val="17"/>
        <w:spacing w:line="500" w:lineRule="exact"/>
        <w:contextualSpacing/>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传真:</w:t>
      </w:r>
      <w:r>
        <w:rPr>
          <w:rFonts w:hint="eastAsia" w:ascii="宋体" w:hAnsi="宋体" w:cs="宋体"/>
          <w:color w:val="000000" w:themeColor="text1"/>
          <w:sz w:val="24"/>
          <w:szCs w:val="24"/>
          <w14:textFill>
            <w14:solidFill>
              <w14:schemeClr w14:val="tx1"/>
            </w14:solidFill>
          </w14:textFill>
        </w:rPr>
        <w:softHyphen/>
      </w:r>
      <w:r>
        <w:rPr>
          <w:rFonts w:hint="eastAsia" w:ascii="宋体" w:hAnsi="宋体" w:cs="宋体"/>
          <w:color w:val="000000" w:themeColor="text1"/>
          <w:sz w:val="24"/>
          <w:szCs w:val="24"/>
          <w14:textFill>
            <w14:solidFill>
              <w14:schemeClr w14:val="tx1"/>
            </w14:solidFill>
          </w14:textFill>
        </w:rPr>
        <w:softHyphen/>
      </w:r>
      <w:r>
        <w:rPr>
          <w:rFonts w:hint="eastAsia" w:ascii="宋体" w:hAnsi="宋体" w:cs="宋体"/>
          <w:color w:val="000000" w:themeColor="text1"/>
          <w:sz w:val="24"/>
          <w:szCs w:val="24"/>
          <w14:textFill>
            <w14:solidFill>
              <w14:schemeClr w14:val="tx1"/>
            </w14:solidFill>
          </w14:textFill>
        </w:rPr>
        <w:softHyphen/>
      </w:r>
      <w:r>
        <w:rPr>
          <w:rFonts w:hint="eastAsia" w:ascii="宋体" w:hAnsi="宋体" w:cs="宋体"/>
          <w:color w:val="000000" w:themeColor="text1"/>
          <w:sz w:val="24"/>
          <w:szCs w:val="24"/>
          <w14:textFill>
            <w14:solidFill>
              <w14:schemeClr w14:val="tx1"/>
            </w14:solidFill>
          </w14:textFill>
        </w:rPr>
        <w:t xml:space="preserve"> _</w:t>
      </w:r>
      <w:r>
        <w:rPr>
          <w:rFonts w:hint="eastAsia" w:ascii="宋体" w:hAnsi="宋体" w:cs="宋体"/>
          <w:color w:val="000000" w:themeColor="text1"/>
          <w:sz w:val="24"/>
          <w:szCs w:val="24"/>
          <w14:textFill>
            <w14:solidFill>
              <w14:schemeClr w14:val="tx1"/>
            </w14:solidFill>
          </w14:textFill>
        </w:rPr>
        <w:softHyphen/>
      </w:r>
      <w:r>
        <w:rPr>
          <w:rFonts w:hint="eastAsia" w:ascii="宋体" w:hAnsi="宋体" w:cs="宋体"/>
          <w:color w:val="000000" w:themeColor="text1"/>
          <w:sz w:val="24"/>
          <w:szCs w:val="24"/>
          <w14:textFill>
            <w14:solidFill>
              <w14:schemeClr w14:val="tx1"/>
            </w14:solidFill>
          </w14:textFill>
        </w:rPr>
        <w:softHyphen/>
      </w:r>
      <w:r>
        <w:rPr>
          <w:rFonts w:hint="eastAsia" w:ascii="宋体" w:hAnsi="宋体" w:cs="宋体"/>
          <w:color w:val="000000" w:themeColor="text1"/>
          <w:sz w:val="24"/>
          <w:szCs w:val="24"/>
          <w14:textFill>
            <w14:solidFill>
              <w14:schemeClr w14:val="tx1"/>
            </w14:solidFill>
          </w14:textFill>
        </w:rPr>
        <w:softHyphen/>
      </w:r>
      <w:r>
        <w:rPr>
          <w:rFonts w:hint="eastAsia" w:ascii="宋体" w:hAnsi="宋体" w:cs="宋体"/>
          <w:color w:val="000000" w:themeColor="text1"/>
          <w:sz w:val="24"/>
          <w:szCs w:val="24"/>
          <w14:textFill>
            <w14:solidFill>
              <w14:schemeClr w14:val="tx1"/>
            </w14:solidFill>
          </w14:textFill>
        </w:rPr>
        <w:t>__</w:t>
      </w:r>
      <w:r>
        <w:rPr>
          <w:rFonts w:hint="eastAsia" w:ascii="宋体" w:hAnsi="宋体" w:cs="宋体"/>
          <w:color w:val="000000" w:themeColor="text1"/>
          <w:sz w:val="24"/>
          <w:szCs w:val="24"/>
          <w14:textFill>
            <w14:solidFill>
              <w14:schemeClr w14:val="tx1"/>
            </w14:solidFill>
          </w14:textFill>
        </w:rPr>
        <w:softHyphen/>
      </w:r>
      <w:r>
        <w:rPr>
          <w:rFonts w:hint="eastAsia" w:ascii="宋体" w:hAnsi="宋体" w:cs="宋体"/>
          <w:color w:val="000000" w:themeColor="text1"/>
          <w:sz w:val="24"/>
          <w:szCs w:val="24"/>
          <w14:textFill>
            <w14:solidFill>
              <w14:schemeClr w14:val="tx1"/>
            </w14:solidFill>
          </w14:textFill>
        </w:rPr>
        <w:softHyphen/>
      </w:r>
      <w:r>
        <w:rPr>
          <w:rFonts w:hint="eastAsia" w:ascii="宋体" w:hAnsi="宋体" w:cs="宋体"/>
          <w:color w:val="000000" w:themeColor="text1"/>
          <w:sz w:val="24"/>
          <w:szCs w:val="24"/>
          <w14:textFill>
            <w14:solidFill>
              <w14:schemeClr w14:val="tx1"/>
            </w14:solidFill>
          </w14:textFill>
        </w:rPr>
        <w:softHyphen/>
      </w:r>
      <w:r>
        <w:rPr>
          <w:rFonts w:hint="eastAsia" w:ascii="宋体" w:hAnsi="宋体" w:cs="宋体"/>
          <w:color w:val="000000" w:themeColor="text1"/>
          <w:sz w:val="24"/>
          <w:szCs w:val="24"/>
          <w14:textFill>
            <w14:solidFill>
              <w14:schemeClr w14:val="tx1"/>
            </w14:solidFill>
          </w14:textFill>
        </w:rPr>
        <w:softHyphen/>
      </w:r>
      <w:r>
        <w:rPr>
          <w:rFonts w:hint="eastAsia" w:ascii="宋体" w:hAnsi="宋体" w:cs="宋体"/>
          <w:color w:val="000000" w:themeColor="text1"/>
          <w:sz w:val="24"/>
          <w:szCs w:val="24"/>
          <w14:textFill>
            <w14:solidFill>
              <w14:schemeClr w14:val="tx1"/>
            </w14:solidFill>
          </w14:textFill>
        </w:rPr>
        <w:softHyphen/>
      </w:r>
      <w:r>
        <w:rPr>
          <w:rFonts w:hint="eastAsia" w:ascii="宋体" w:hAnsi="宋体" w:cs="宋体"/>
          <w:color w:val="000000" w:themeColor="text1"/>
          <w:sz w:val="24"/>
          <w:szCs w:val="24"/>
          <w14:textFill>
            <w14:solidFill>
              <w14:schemeClr w14:val="tx1"/>
            </w14:solidFill>
          </w14:textFill>
        </w:rPr>
        <w:softHyphen/>
      </w:r>
      <w:r>
        <w:rPr>
          <w:rFonts w:hint="eastAsia" w:ascii="宋体" w:hAnsi="宋体" w:cs="宋体"/>
          <w:color w:val="000000" w:themeColor="text1"/>
          <w:sz w:val="24"/>
          <w:szCs w:val="24"/>
          <w14:textFill>
            <w14:solidFill>
              <w14:schemeClr w14:val="tx1"/>
            </w14:solidFill>
          </w14:textFill>
        </w:rPr>
        <w:t>__________________  邮编：_</w:t>
      </w:r>
      <w:r>
        <w:rPr>
          <w:rFonts w:hint="eastAsia" w:ascii="宋体" w:hAnsi="宋体" w:cs="宋体"/>
          <w:color w:val="000000" w:themeColor="text1"/>
          <w:sz w:val="24"/>
          <w:szCs w:val="24"/>
          <w14:textFill>
            <w14:solidFill>
              <w14:schemeClr w14:val="tx1"/>
            </w14:solidFill>
          </w14:textFill>
        </w:rPr>
        <w:softHyphen/>
      </w:r>
      <w:r>
        <w:rPr>
          <w:rFonts w:hint="eastAsia" w:ascii="宋体" w:hAnsi="宋体" w:cs="宋体"/>
          <w:color w:val="000000" w:themeColor="text1"/>
          <w:sz w:val="24"/>
          <w:szCs w:val="24"/>
          <w14:textFill>
            <w14:solidFill>
              <w14:schemeClr w14:val="tx1"/>
            </w14:solidFill>
          </w14:textFill>
        </w:rPr>
        <w:softHyphen/>
      </w:r>
      <w:r>
        <w:rPr>
          <w:rFonts w:hint="eastAsia" w:ascii="宋体" w:hAnsi="宋体" w:cs="宋体"/>
          <w:color w:val="000000" w:themeColor="text1"/>
          <w:sz w:val="24"/>
          <w:szCs w:val="24"/>
          <w14:textFill>
            <w14:solidFill>
              <w14:schemeClr w14:val="tx1"/>
            </w14:solidFill>
          </w14:textFill>
        </w:rPr>
        <w:softHyphen/>
      </w:r>
      <w:r>
        <w:rPr>
          <w:rFonts w:hint="eastAsia" w:ascii="宋体" w:hAnsi="宋体" w:cs="宋体"/>
          <w:color w:val="000000" w:themeColor="text1"/>
          <w:sz w:val="24"/>
          <w:szCs w:val="24"/>
          <w14:textFill>
            <w14:solidFill>
              <w14:schemeClr w14:val="tx1"/>
            </w14:solidFill>
          </w14:textFill>
        </w:rPr>
        <w:t>__</w:t>
      </w:r>
      <w:r>
        <w:rPr>
          <w:rFonts w:hint="eastAsia" w:ascii="宋体" w:hAnsi="宋体" w:cs="宋体"/>
          <w:color w:val="000000" w:themeColor="text1"/>
          <w:sz w:val="24"/>
          <w:szCs w:val="24"/>
          <w14:textFill>
            <w14:solidFill>
              <w14:schemeClr w14:val="tx1"/>
            </w14:solidFill>
          </w14:textFill>
        </w:rPr>
        <w:softHyphen/>
      </w:r>
      <w:r>
        <w:rPr>
          <w:rFonts w:hint="eastAsia" w:ascii="宋体" w:hAnsi="宋体" w:cs="宋体"/>
          <w:color w:val="000000" w:themeColor="text1"/>
          <w:sz w:val="24"/>
          <w:szCs w:val="24"/>
          <w14:textFill>
            <w14:solidFill>
              <w14:schemeClr w14:val="tx1"/>
            </w14:solidFill>
          </w14:textFill>
        </w:rPr>
        <w:softHyphen/>
      </w:r>
      <w:r>
        <w:rPr>
          <w:rFonts w:hint="eastAsia" w:ascii="宋体" w:hAnsi="宋体" w:cs="宋体"/>
          <w:color w:val="000000" w:themeColor="text1"/>
          <w:sz w:val="24"/>
          <w:szCs w:val="24"/>
          <w14:textFill>
            <w14:solidFill>
              <w14:schemeClr w14:val="tx1"/>
            </w14:solidFill>
          </w14:textFill>
        </w:rPr>
        <w:softHyphen/>
      </w:r>
      <w:r>
        <w:rPr>
          <w:rFonts w:hint="eastAsia" w:ascii="宋体" w:hAnsi="宋体" w:cs="宋体"/>
          <w:color w:val="000000" w:themeColor="text1"/>
          <w:sz w:val="24"/>
          <w:szCs w:val="24"/>
          <w14:textFill>
            <w14:solidFill>
              <w14:schemeClr w14:val="tx1"/>
            </w14:solidFill>
          </w14:textFill>
        </w:rPr>
        <w:softHyphen/>
      </w:r>
      <w:r>
        <w:rPr>
          <w:rFonts w:hint="eastAsia" w:ascii="宋体" w:hAnsi="宋体" w:cs="宋体"/>
          <w:color w:val="000000" w:themeColor="text1"/>
          <w:sz w:val="24"/>
          <w:szCs w:val="24"/>
          <w14:textFill>
            <w14:solidFill>
              <w14:schemeClr w14:val="tx1"/>
            </w14:solidFill>
          </w14:textFill>
        </w:rPr>
        <w:softHyphen/>
      </w:r>
      <w:r>
        <w:rPr>
          <w:rFonts w:hint="eastAsia" w:ascii="宋体" w:hAnsi="宋体" w:cs="宋体"/>
          <w:color w:val="000000" w:themeColor="text1"/>
          <w:sz w:val="24"/>
          <w:szCs w:val="24"/>
          <w14:textFill>
            <w14:solidFill>
              <w14:schemeClr w14:val="tx1"/>
            </w14:solidFill>
          </w14:textFill>
        </w:rPr>
        <w:softHyphen/>
      </w:r>
      <w:r>
        <w:rPr>
          <w:rFonts w:hint="eastAsia" w:ascii="宋体" w:hAnsi="宋体" w:cs="宋体"/>
          <w:color w:val="000000" w:themeColor="text1"/>
          <w:sz w:val="24"/>
          <w:szCs w:val="24"/>
          <w14:textFill>
            <w14:solidFill>
              <w14:schemeClr w14:val="tx1"/>
            </w14:solidFill>
          </w14:textFill>
        </w:rPr>
        <w:t>__________________</w:t>
      </w:r>
      <w:r>
        <w:rPr>
          <w:rFonts w:hint="eastAsia" w:ascii="宋体" w:hAnsi="宋体" w:cs="宋体"/>
          <w:color w:val="000000" w:themeColor="text1"/>
          <w:sz w:val="24"/>
          <w:szCs w:val="24"/>
          <w:u w:val="single"/>
          <w14:textFill>
            <w14:solidFill>
              <w14:schemeClr w14:val="tx1"/>
            </w14:solidFill>
          </w14:textFill>
        </w:rPr>
        <w:t>　　　　　　</w:t>
      </w:r>
    </w:p>
    <w:p>
      <w:pPr>
        <w:pStyle w:val="17"/>
        <w:spacing w:line="500" w:lineRule="exact"/>
        <w:contextualSpacing/>
        <w:jc w:val="left"/>
        <w:rPr>
          <w:rFonts w:ascii="宋体" w:hAnsi="宋体" w:cs="宋体"/>
          <w:color w:val="000000" w:themeColor="text1"/>
          <w:sz w:val="24"/>
          <w:szCs w:val="24"/>
          <w:u w:val="single"/>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电话：_</w:t>
      </w:r>
      <w:r>
        <w:rPr>
          <w:rFonts w:hint="eastAsia" w:ascii="宋体" w:hAnsi="宋体" w:cs="宋体"/>
          <w:color w:val="000000" w:themeColor="text1"/>
          <w:sz w:val="24"/>
          <w:szCs w:val="24"/>
          <w14:textFill>
            <w14:solidFill>
              <w14:schemeClr w14:val="tx1"/>
            </w14:solidFill>
          </w14:textFill>
        </w:rPr>
        <w:softHyphen/>
      </w:r>
      <w:r>
        <w:rPr>
          <w:rFonts w:hint="eastAsia" w:ascii="宋体" w:hAnsi="宋体" w:cs="宋体"/>
          <w:color w:val="000000" w:themeColor="text1"/>
          <w:sz w:val="24"/>
          <w:szCs w:val="24"/>
          <w14:textFill>
            <w14:solidFill>
              <w14:schemeClr w14:val="tx1"/>
            </w14:solidFill>
          </w14:textFill>
        </w:rPr>
        <w:softHyphen/>
      </w:r>
      <w:r>
        <w:rPr>
          <w:rFonts w:hint="eastAsia" w:ascii="宋体" w:hAnsi="宋体" w:cs="宋体"/>
          <w:color w:val="000000" w:themeColor="text1"/>
          <w:sz w:val="24"/>
          <w:szCs w:val="24"/>
          <w14:textFill>
            <w14:solidFill>
              <w14:schemeClr w14:val="tx1"/>
            </w14:solidFill>
          </w14:textFill>
        </w:rPr>
        <w:softHyphen/>
      </w:r>
      <w:r>
        <w:rPr>
          <w:rFonts w:hint="eastAsia" w:ascii="宋体" w:hAnsi="宋体" w:cs="宋体"/>
          <w:color w:val="000000" w:themeColor="text1"/>
          <w:sz w:val="24"/>
          <w:szCs w:val="24"/>
          <w14:textFill>
            <w14:solidFill>
              <w14:schemeClr w14:val="tx1"/>
            </w14:solidFill>
          </w14:textFill>
        </w:rPr>
        <w:t>__</w:t>
      </w:r>
      <w:r>
        <w:rPr>
          <w:rFonts w:hint="eastAsia" w:ascii="宋体" w:hAnsi="宋体" w:cs="宋体"/>
          <w:color w:val="000000" w:themeColor="text1"/>
          <w:sz w:val="24"/>
          <w:szCs w:val="24"/>
          <w14:textFill>
            <w14:solidFill>
              <w14:schemeClr w14:val="tx1"/>
            </w14:solidFill>
          </w14:textFill>
        </w:rPr>
        <w:softHyphen/>
      </w:r>
      <w:r>
        <w:rPr>
          <w:rFonts w:hint="eastAsia" w:ascii="宋体" w:hAnsi="宋体" w:cs="宋体"/>
          <w:color w:val="000000" w:themeColor="text1"/>
          <w:sz w:val="24"/>
          <w:szCs w:val="24"/>
          <w14:textFill>
            <w14:solidFill>
              <w14:schemeClr w14:val="tx1"/>
            </w14:solidFill>
          </w14:textFill>
        </w:rPr>
        <w:softHyphen/>
      </w:r>
      <w:r>
        <w:rPr>
          <w:rFonts w:hint="eastAsia" w:ascii="宋体" w:hAnsi="宋体" w:cs="宋体"/>
          <w:color w:val="000000" w:themeColor="text1"/>
          <w:sz w:val="24"/>
          <w:szCs w:val="24"/>
          <w14:textFill>
            <w14:solidFill>
              <w14:schemeClr w14:val="tx1"/>
            </w14:solidFill>
          </w14:textFill>
        </w:rPr>
        <w:softHyphen/>
      </w:r>
      <w:r>
        <w:rPr>
          <w:rFonts w:hint="eastAsia" w:ascii="宋体" w:hAnsi="宋体" w:cs="宋体"/>
          <w:color w:val="000000" w:themeColor="text1"/>
          <w:sz w:val="24"/>
          <w:szCs w:val="24"/>
          <w14:textFill>
            <w14:solidFill>
              <w14:schemeClr w14:val="tx1"/>
            </w14:solidFill>
          </w14:textFill>
        </w:rPr>
        <w:softHyphen/>
      </w:r>
      <w:r>
        <w:rPr>
          <w:rFonts w:hint="eastAsia" w:ascii="宋体" w:hAnsi="宋体" w:cs="宋体"/>
          <w:color w:val="000000" w:themeColor="text1"/>
          <w:sz w:val="24"/>
          <w:szCs w:val="24"/>
          <w14:textFill>
            <w14:solidFill>
              <w14:schemeClr w14:val="tx1"/>
            </w14:solidFill>
          </w14:textFill>
        </w:rPr>
        <w:softHyphen/>
      </w:r>
      <w:r>
        <w:rPr>
          <w:rFonts w:hint="eastAsia" w:ascii="宋体" w:hAnsi="宋体" w:cs="宋体"/>
          <w:color w:val="000000" w:themeColor="text1"/>
          <w:sz w:val="24"/>
          <w:szCs w:val="24"/>
          <w14:textFill>
            <w14:solidFill>
              <w14:schemeClr w14:val="tx1"/>
            </w14:solidFill>
          </w14:textFill>
        </w:rPr>
        <w:softHyphen/>
      </w:r>
      <w:r>
        <w:rPr>
          <w:rFonts w:hint="eastAsia" w:ascii="宋体" w:hAnsi="宋体" w:cs="宋体"/>
          <w:color w:val="000000" w:themeColor="text1"/>
          <w:sz w:val="24"/>
          <w:szCs w:val="24"/>
          <w14:textFill>
            <w14:solidFill>
              <w14:schemeClr w14:val="tx1"/>
            </w14:solidFill>
          </w14:textFill>
        </w:rPr>
        <w:t>__________________</w:t>
      </w:r>
    </w:p>
    <w:p>
      <w:pPr>
        <w:spacing w:line="500" w:lineRule="exact"/>
        <w:ind w:firstLine="6240" w:firstLineChars="2600"/>
        <w:contextualSpacing/>
        <w:jc w:val="left"/>
        <w:rPr>
          <w:rFonts w:ascii="宋体" w:hAnsi="宋体" w:cs="宋体"/>
          <w:color w:val="000000" w:themeColor="text1"/>
          <w:sz w:val="24"/>
          <w:szCs w:val="24"/>
          <w14:textFill>
            <w14:solidFill>
              <w14:schemeClr w14:val="tx1"/>
            </w14:solidFill>
          </w14:textFill>
        </w:rPr>
      </w:pPr>
    </w:p>
    <w:p>
      <w:pPr>
        <w:spacing w:line="500" w:lineRule="exact"/>
        <w:ind w:firstLine="6240" w:firstLineChars="2600"/>
        <w:contextualSpacing/>
        <w:jc w:val="left"/>
        <w:rPr>
          <w:rFonts w:ascii="宋体" w:hAnsi="宋体" w:cs="宋体"/>
          <w:color w:val="000000" w:themeColor="text1"/>
          <w:sz w:val="24"/>
          <w:szCs w:val="24"/>
          <w14:textFill>
            <w14:solidFill>
              <w14:schemeClr w14:val="tx1"/>
            </w14:solidFill>
          </w14:textFill>
        </w:rPr>
      </w:pPr>
    </w:p>
    <w:p>
      <w:pPr>
        <w:spacing w:line="500" w:lineRule="exact"/>
        <w:ind w:firstLine="6960" w:firstLineChars="2900"/>
        <w:contextualSpacing/>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（单位公章）</w:t>
      </w:r>
    </w:p>
    <w:p>
      <w:pPr>
        <w:spacing w:line="500" w:lineRule="exact"/>
        <w:ind w:firstLine="5880" w:firstLineChars="2450"/>
        <w:contextualSpacing/>
        <w:jc w:val="left"/>
        <w:rPr>
          <w:rFonts w:ascii="宋体" w:hAnsi="宋体" w:cs="宋体"/>
          <w:color w:val="000000" w:themeColor="text1"/>
          <w:sz w:val="24"/>
          <w:szCs w:val="24"/>
          <w14:textFill>
            <w14:solidFill>
              <w14:schemeClr w14:val="tx1"/>
            </w14:solidFill>
          </w14:textFill>
        </w:rPr>
      </w:pPr>
    </w:p>
    <w:p>
      <w:pPr>
        <w:spacing w:line="500" w:lineRule="exact"/>
        <w:ind w:firstLine="5880" w:firstLineChars="2450"/>
        <w:contextualSpacing/>
        <w:jc w:val="left"/>
        <w:rPr>
          <w:rFonts w:ascii="宋体" w:hAnsi="宋体" w:cs="宋体"/>
          <w:color w:val="000000" w:themeColor="text1"/>
          <w:sz w:val="24"/>
          <w:szCs w:val="24"/>
          <w14:textFill>
            <w14:solidFill>
              <w14:schemeClr w14:val="tx1"/>
            </w14:solidFill>
          </w14:textFill>
        </w:rPr>
      </w:pPr>
    </w:p>
    <w:p>
      <w:pPr>
        <w:spacing w:line="500" w:lineRule="exact"/>
        <w:ind w:firstLine="7080" w:firstLineChars="2950"/>
        <w:contextualSpacing/>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年   月   日</w:t>
      </w:r>
    </w:p>
    <w:p>
      <w:pPr>
        <w:spacing w:line="500" w:lineRule="exact"/>
        <w:contextualSpacing/>
        <w:rPr>
          <w:rFonts w:ascii="宋体" w:hAnsi="宋体" w:cs="宋体"/>
          <w:b/>
          <w:color w:val="000000" w:themeColor="text1"/>
          <w:sz w:val="24"/>
          <w:szCs w:val="24"/>
          <w14:textFill>
            <w14:solidFill>
              <w14:schemeClr w14:val="tx1"/>
            </w14:solidFill>
          </w14:textFill>
        </w:rPr>
      </w:pPr>
    </w:p>
    <w:p>
      <w:pPr>
        <w:spacing w:line="500" w:lineRule="exact"/>
        <w:contextualSpacing/>
        <w:jc w:val="center"/>
        <w:rPr>
          <w:rFonts w:ascii="宋体" w:hAnsi="宋体" w:cs="宋体"/>
          <w:b/>
          <w:color w:val="000000" w:themeColor="text1"/>
          <w:sz w:val="24"/>
          <w:szCs w:val="24"/>
          <w14:textFill>
            <w14:solidFill>
              <w14:schemeClr w14:val="tx1"/>
            </w14:solidFill>
          </w14:textFill>
        </w:rPr>
      </w:pPr>
    </w:p>
    <w:p>
      <w:pPr>
        <w:pStyle w:val="5"/>
        <w:spacing w:line="500" w:lineRule="exact"/>
        <w:contextualSpacing/>
        <w:rPr>
          <w:rFonts w:ascii="宋体" w:hAnsi="宋体" w:cs="宋体"/>
          <w:b w:val="0"/>
          <w:color w:val="000000" w:themeColor="text1"/>
          <w:sz w:val="24"/>
          <w:szCs w:val="24"/>
          <w14:textFill>
            <w14:solidFill>
              <w14:schemeClr w14:val="tx1"/>
            </w14:solidFill>
          </w14:textFill>
        </w:rPr>
      </w:pPr>
    </w:p>
    <w:p>
      <w:pPr>
        <w:spacing w:line="500" w:lineRule="exact"/>
        <w:contextualSpacing/>
        <w:rPr>
          <w:rFonts w:ascii="宋体" w:hAnsi="宋体" w:cs="宋体"/>
          <w:b/>
          <w:color w:val="000000" w:themeColor="text1"/>
          <w:sz w:val="24"/>
          <w:szCs w:val="24"/>
          <w14:textFill>
            <w14:solidFill>
              <w14:schemeClr w14:val="tx1"/>
            </w14:solidFill>
          </w14:textFill>
        </w:rPr>
      </w:pPr>
    </w:p>
    <w:p>
      <w:pPr>
        <w:pStyle w:val="5"/>
        <w:spacing w:line="500" w:lineRule="exact"/>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br w:type="page"/>
      </w:r>
      <w:bookmarkStart w:id="241" w:name="_Toc487728220"/>
      <w:bookmarkStart w:id="242" w:name="_Toc6808"/>
      <w:bookmarkStart w:id="243" w:name="_Toc4478"/>
      <w:r>
        <w:rPr>
          <w:rFonts w:hint="eastAsia" w:ascii="宋体" w:hAnsi="宋体" w:cs="宋体"/>
          <w:color w:val="000000" w:themeColor="text1"/>
          <w:sz w:val="24"/>
          <w:szCs w:val="24"/>
          <w14:textFill>
            <w14:solidFill>
              <w14:schemeClr w14:val="tx1"/>
            </w14:solidFill>
          </w14:textFill>
        </w:rPr>
        <w:t>四、投标保证金</w:t>
      </w:r>
      <w:bookmarkEnd w:id="241"/>
      <w:bookmarkEnd w:id="242"/>
      <w:bookmarkEnd w:id="243"/>
    </w:p>
    <w:p>
      <w:pPr>
        <w:spacing w:line="500" w:lineRule="exact"/>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致：</w:t>
      </w:r>
      <w:r>
        <w:rPr>
          <w:rFonts w:hint="eastAsia" w:ascii="宋体" w:hAnsi="宋体" w:cs="宋体"/>
          <w:color w:val="000000" w:themeColor="text1"/>
          <w:sz w:val="24"/>
          <w:szCs w:val="24"/>
          <w:u w:val="single"/>
          <w14:textFill>
            <w14:solidFill>
              <w14:schemeClr w14:val="tx1"/>
            </w14:solidFill>
          </w14:textFill>
        </w:rPr>
        <w:t>　　　    　　</w:t>
      </w:r>
      <w:r>
        <w:rPr>
          <w:rFonts w:hint="eastAsia" w:ascii="宋体" w:hAnsi="宋体" w:cs="宋体"/>
          <w:color w:val="000000" w:themeColor="text1"/>
          <w:sz w:val="24"/>
          <w:szCs w:val="24"/>
          <w14:textFill>
            <w14:solidFill>
              <w14:schemeClr w14:val="tx1"/>
            </w14:solidFill>
          </w14:textFill>
        </w:rPr>
        <w:t>(采购人名称)</w:t>
      </w:r>
    </w:p>
    <w:p>
      <w:pPr>
        <w:spacing w:line="500" w:lineRule="exact"/>
        <w:ind w:firstLine="540" w:firstLineChars="225"/>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鉴于</w:t>
      </w:r>
      <w:r>
        <w:rPr>
          <w:rFonts w:hint="eastAsia" w:ascii="宋体" w:hAnsi="宋体" w:cs="宋体"/>
          <w:color w:val="000000" w:themeColor="text1"/>
          <w:sz w:val="24"/>
          <w:szCs w:val="24"/>
          <w:u w:val="single"/>
          <w14:textFill>
            <w14:solidFill>
              <w14:schemeClr w14:val="tx1"/>
            </w14:solidFill>
          </w14:textFill>
        </w:rPr>
        <w:t>　　　　　　　(投标人名称，以下称“投标人”)</w:t>
      </w:r>
      <w:r>
        <w:rPr>
          <w:rFonts w:hint="eastAsia" w:ascii="宋体" w:hAnsi="宋体" w:cs="宋体"/>
          <w:color w:val="000000" w:themeColor="text1"/>
          <w:sz w:val="24"/>
          <w:szCs w:val="24"/>
          <w14:textFill>
            <w14:solidFill>
              <w14:schemeClr w14:val="tx1"/>
            </w14:solidFill>
          </w14:textFill>
        </w:rPr>
        <w:t>已于</w:t>
      </w:r>
      <w:r>
        <w:rPr>
          <w:rFonts w:hint="eastAsia" w:ascii="宋体" w:hAnsi="宋体" w:cs="宋体"/>
          <w:b/>
          <w:color w:val="000000" w:themeColor="text1"/>
          <w:sz w:val="24"/>
          <w:szCs w:val="24"/>
          <w:u w:val="single"/>
          <w14:textFill>
            <w14:solidFill>
              <w14:schemeClr w14:val="tx1"/>
            </w14:solidFill>
          </w14:textFill>
        </w:rPr>
        <w:t>　　　</w:t>
      </w:r>
      <w:r>
        <w:rPr>
          <w:rFonts w:hint="eastAsia" w:ascii="宋体" w:hAnsi="宋体" w:cs="宋体"/>
          <w:color w:val="000000" w:themeColor="text1"/>
          <w:sz w:val="24"/>
          <w:szCs w:val="24"/>
          <w14:textFill>
            <w14:solidFill>
              <w14:schemeClr w14:val="tx1"/>
            </w14:solidFill>
          </w14:textFill>
        </w:rPr>
        <w:t>年</w:t>
      </w:r>
      <w:r>
        <w:rPr>
          <w:rFonts w:hint="eastAsia" w:ascii="宋体" w:hAnsi="宋体" w:cs="宋体"/>
          <w:color w:val="000000" w:themeColor="text1"/>
          <w:sz w:val="24"/>
          <w:szCs w:val="24"/>
          <w:u w:val="single"/>
          <w14:textFill>
            <w14:solidFill>
              <w14:schemeClr w14:val="tx1"/>
            </w14:solidFill>
          </w14:textFill>
        </w:rPr>
        <w:t>　　</w:t>
      </w:r>
      <w:r>
        <w:rPr>
          <w:rFonts w:hint="eastAsia" w:ascii="宋体" w:hAnsi="宋体" w:cs="宋体"/>
          <w:color w:val="000000" w:themeColor="text1"/>
          <w:sz w:val="24"/>
          <w:szCs w:val="24"/>
          <w14:textFill>
            <w14:solidFill>
              <w14:schemeClr w14:val="tx1"/>
            </w14:solidFill>
          </w14:textFill>
        </w:rPr>
        <w:t>月</w:t>
      </w:r>
      <w:r>
        <w:rPr>
          <w:rFonts w:hint="eastAsia" w:ascii="宋体" w:hAnsi="宋体" w:cs="宋体"/>
          <w:color w:val="000000" w:themeColor="text1"/>
          <w:sz w:val="24"/>
          <w:szCs w:val="24"/>
          <w:u w:val="single"/>
          <w14:textFill>
            <w14:solidFill>
              <w14:schemeClr w14:val="tx1"/>
            </w14:solidFill>
          </w14:textFill>
        </w:rPr>
        <w:t>　　</w:t>
      </w:r>
      <w:r>
        <w:rPr>
          <w:rFonts w:hint="eastAsia" w:ascii="宋体" w:hAnsi="宋体" w:cs="宋体"/>
          <w:color w:val="000000" w:themeColor="text1"/>
          <w:sz w:val="24"/>
          <w:szCs w:val="24"/>
          <w14:textFill>
            <w14:solidFill>
              <w14:schemeClr w14:val="tx1"/>
            </w14:solidFill>
          </w14:textFill>
        </w:rPr>
        <w:t>日参加</w:t>
      </w:r>
      <w:r>
        <w:rPr>
          <w:rFonts w:hint="eastAsia" w:ascii="宋体" w:hAnsi="宋体" w:cs="宋体"/>
          <w:color w:val="000000" w:themeColor="text1"/>
          <w:sz w:val="24"/>
          <w:szCs w:val="24"/>
          <w:u w:val="single"/>
          <w14:textFill>
            <w14:solidFill>
              <w14:schemeClr w14:val="tx1"/>
            </w14:solidFill>
          </w14:textFill>
        </w:rPr>
        <w:t>　　　　　 (项目名称)　　　　(标段名称)</w:t>
      </w:r>
      <w:r>
        <w:rPr>
          <w:rFonts w:hint="eastAsia" w:ascii="宋体" w:hAnsi="宋体" w:cs="宋体"/>
          <w:color w:val="000000" w:themeColor="text1"/>
          <w:sz w:val="24"/>
          <w:szCs w:val="24"/>
          <w14:textFill>
            <w14:solidFill>
              <w14:schemeClr w14:val="tx1"/>
            </w14:solidFill>
          </w14:textFill>
        </w:rPr>
        <w:t>的投标，</w:t>
      </w:r>
      <w:r>
        <w:rPr>
          <w:rFonts w:hint="eastAsia" w:ascii="宋体" w:hAnsi="宋体" w:cs="宋体"/>
          <w:color w:val="000000" w:themeColor="text1"/>
          <w:sz w:val="24"/>
          <w:szCs w:val="24"/>
          <w:u w:val="single"/>
          <w14:textFill>
            <w14:solidFill>
              <w14:schemeClr w14:val="tx1"/>
            </w14:solidFill>
          </w14:textFill>
        </w:rPr>
        <w:t>　　　　(担保人名称)</w:t>
      </w:r>
      <w:r>
        <w:rPr>
          <w:rFonts w:hint="eastAsia" w:ascii="宋体" w:hAnsi="宋体" w:cs="宋体"/>
          <w:color w:val="000000" w:themeColor="text1"/>
          <w:sz w:val="24"/>
          <w:szCs w:val="24"/>
          <w14:textFill>
            <w14:solidFill>
              <w14:schemeClr w14:val="tx1"/>
            </w14:solidFill>
          </w14:textFill>
        </w:rPr>
        <w:t>，以下简称“我方”)无条件地、不可撤销地保证：投标人在规定的投标文件有效期内补充、修改、替代或撤回其投标文件的，或者投标人在收到中标通知书后无正当理由拒签合同或拒交规定履约担保的，我方承担保证责任。收到你方书面通知后，在7日内无条件向你方支付人民币(大写)元(￥元)。</w:t>
      </w:r>
    </w:p>
    <w:p>
      <w:pPr>
        <w:spacing w:line="500" w:lineRule="exact"/>
        <w:ind w:firstLine="540" w:firstLineChars="225"/>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本担保在投标有效期内保持有效。要求我方承担保证责任的书面通知应在投标有效期内送达我方。</w:t>
      </w:r>
    </w:p>
    <w:p>
      <w:pPr>
        <w:spacing w:line="500" w:lineRule="exact"/>
        <w:ind w:firstLine="540" w:firstLineChars="225"/>
        <w:contextualSpacing/>
        <w:rPr>
          <w:rFonts w:ascii="宋体" w:hAnsi="宋体" w:cs="宋体"/>
          <w:color w:val="000000" w:themeColor="text1"/>
          <w:sz w:val="24"/>
          <w:szCs w:val="24"/>
          <w14:textFill>
            <w14:solidFill>
              <w14:schemeClr w14:val="tx1"/>
            </w14:solidFill>
          </w14:textFill>
        </w:rPr>
      </w:pPr>
    </w:p>
    <w:p>
      <w:pPr>
        <w:spacing w:line="500" w:lineRule="exact"/>
        <w:ind w:firstLine="540" w:firstLineChars="225"/>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担保人：</w:t>
      </w:r>
      <w:r>
        <w:rPr>
          <w:rFonts w:hint="eastAsia" w:ascii="宋体" w:hAnsi="宋体" w:cs="宋体"/>
          <w:color w:val="000000" w:themeColor="text1"/>
          <w:sz w:val="24"/>
          <w:szCs w:val="24"/>
          <w:u w:val="single"/>
          <w14:textFill>
            <w14:solidFill>
              <w14:schemeClr w14:val="tx1"/>
            </w14:solidFill>
          </w14:textFill>
        </w:rPr>
        <w:t>　　　　　　　　　　　　</w:t>
      </w:r>
      <w:r>
        <w:rPr>
          <w:rFonts w:hint="eastAsia" w:ascii="宋体" w:hAnsi="宋体" w:cs="宋体"/>
          <w:color w:val="000000" w:themeColor="text1"/>
          <w:sz w:val="24"/>
          <w:szCs w:val="24"/>
          <w14:textFill>
            <w14:solidFill>
              <w14:schemeClr w14:val="tx1"/>
            </w14:solidFill>
          </w14:textFill>
        </w:rPr>
        <w:t>(盖单位章)</w:t>
      </w:r>
    </w:p>
    <w:p>
      <w:pPr>
        <w:spacing w:line="500" w:lineRule="exact"/>
        <w:ind w:firstLine="540" w:firstLineChars="225"/>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法定代表人或其委托代理人：</w:t>
      </w:r>
      <w:r>
        <w:rPr>
          <w:rFonts w:hint="eastAsia" w:ascii="宋体" w:hAnsi="宋体" w:cs="宋体"/>
          <w:color w:val="000000" w:themeColor="text1"/>
          <w:sz w:val="24"/>
          <w:szCs w:val="24"/>
          <w:u w:val="single"/>
          <w14:textFill>
            <w14:solidFill>
              <w14:schemeClr w14:val="tx1"/>
            </w14:solidFill>
          </w14:textFill>
        </w:rPr>
        <w:t>　　　　　</w:t>
      </w:r>
      <w:r>
        <w:rPr>
          <w:rFonts w:hint="eastAsia" w:ascii="宋体" w:hAnsi="宋体" w:cs="宋体"/>
          <w:color w:val="000000" w:themeColor="text1"/>
          <w:sz w:val="24"/>
          <w:szCs w:val="24"/>
          <w14:textFill>
            <w14:solidFill>
              <w14:schemeClr w14:val="tx1"/>
            </w14:solidFill>
          </w14:textFill>
        </w:rPr>
        <w:t>(签字)</w:t>
      </w:r>
    </w:p>
    <w:p>
      <w:pPr>
        <w:spacing w:line="500" w:lineRule="exact"/>
        <w:ind w:firstLine="540" w:firstLineChars="225"/>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地址：_</w:t>
      </w:r>
      <w:r>
        <w:rPr>
          <w:rFonts w:hint="eastAsia" w:ascii="宋体" w:hAnsi="宋体" w:cs="宋体"/>
          <w:color w:val="000000" w:themeColor="text1"/>
          <w:sz w:val="24"/>
          <w:szCs w:val="24"/>
          <w14:textFill>
            <w14:solidFill>
              <w14:schemeClr w14:val="tx1"/>
            </w14:solidFill>
          </w14:textFill>
        </w:rPr>
        <w:softHyphen/>
      </w:r>
      <w:r>
        <w:rPr>
          <w:rFonts w:hint="eastAsia" w:ascii="宋体" w:hAnsi="宋体" w:cs="宋体"/>
          <w:color w:val="000000" w:themeColor="text1"/>
          <w:sz w:val="24"/>
          <w:szCs w:val="24"/>
          <w14:textFill>
            <w14:solidFill>
              <w14:schemeClr w14:val="tx1"/>
            </w14:solidFill>
          </w14:textFill>
        </w:rPr>
        <w:softHyphen/>
      </w:r>
      <w:r>
        <w:rPr>
          <w:rFonts w:hint="eastAsia" w:ascii="宋体" w:hAnsi="宋体" w:cs="宋体"/>
          <w:color w:val="000000" w:themeColor="text1"/>
          <w:sz w:val="24"/>
          <w:szCs w:val="24"/>
          <w14:textFill>
            <w14:solidFill>
              <w14:schemeClr w14:val="tx1"/>
            </w14:solidFill>
          </w14:textFill>
        </w:rPr>
        <w:softHyphen/>
      </w:r>
      <w:r>
        <w:rPr>
          <w:rFonts w:hint="eastAsia" w:ascii="宋体" w:hAnsi="宋体" w:cs="宋体"/>
          <w:color w:val="000000" w:themeColor="text1"/>
          <w:sz w:val="24"/>
          <w:szCs w:val="24"/>
          <w14:textFill>
            <w14:solidFill>
              <w14:schemeClr w14:val="tx1"/>
            </w14:solidFill>
          </w14:textFill>
        </w:rPr>
        <w:t>__</w:t>
      </w:r>
      <w:r>
        <w:rPr>
          <w:rFonts w:hint="eastAsia" w:ascii="宋体" w:hAnsi="宋体" w:cs="宋体"/>
          <w:color w:val="000000" w:themeColor="text1"/>
          <w:sz w:val="24"/>
          <w:szCs w:val="24"/>
          <w14:textFill>
            <w14:solidFill>
              <w14:schemeClr w14:val="tx1"/>
            </w14:solidFill>
          </w14:textFill>
        </w:rPr>
        <w:softHyphen/>
      </w:r>
      <w:r>
        <w:rPr>
          <w:rFonts w:hint="eastAsia" w:ascii="宋体" w:hAnsi="宋体" w:cs="宋体"/>
          <w:color w:val="000000" w:themeColor="text1"/>
          <w:sz w:val="24"/>
          <w:szCs w:val="24"/>
          <w14:textFill>
            <w14:solidFill>
              <w14:schemeClr w14:val="tx1"/>
            </w14:solidFill>
          </w14:textFill>
        </w:rPr>
        <w:softHyphen/>
      </w:r>
      <w:r>
        <w:rPr>
          <w:rFonts w:hint="eastAsia" w:ascii="宋体" w:hAnsi="宋体" w:cs="宋体"/>
          <w:color w:val="000000" w:themeColor="text1"/>
          <w:sz w:val="24"/>
          <w:szCs w:val="24"/>
          <w14:textFill>
            <w14:solidFill>
              <w14:schemeClr w14:val="tx1"/>
            </w14:solidFill>
          </w14:textFill>
        </w:rPr>
        <w:softHyphen/>
      </w:r>
      <w:r>
        <w:rPr>
          <w:rFonts w:hint="eastAsia" w:ascii="宋体" w:hAnsi="宋体" w:cs="宋体"/>
          <w:color w:val="000000" w:themeColor="text1"/>
          <w:sz w:val="24"/>
          <w:szCs w:val="24"/>
          <w14:textFill>
            <w14:solidFill>
              <w14:schemeClr w14:val="tx1"/>
            </w14:solidFill>
          </w14:textFill>
        </w:rPr>
        <w:softHyphen/>
      </w:r>
      <w:r>
        <w:rPr>
          <w:rFonts w:hint="eastAsia" w:ascii="宋体" w:hAnsi="宋体" w:cs="宋体"/>
          <w:color w:val="000000" w:themeColor="text1"/>
          <w:sz w:val="24"/>
          <w:szCs w:val="24"/>
          <w14:textFill>
            <w14:solidFill>
              <w14:schemeClr w14:val="tx1"/>
            </w14:solidFill>
          </w14:textFill>
        </w:rPr>
        <w:softHyphen/>
      </w:r>
      <w:r>
        <w:rPr>
          <w:rFonts w:hint="eastAsia" w:ascii="宋体" w:hAnsi="宋体" w:cs="宋体"/>
          <w:color w:val="000000" w:themeColor="text1"/>
          <w:sz w:val="24"/>
          <w:szCs w:val="24"/>
          <w14:textFill>
            <w14:solidFill>
              <w14:schemeClr w14:val="tx1"/>
            </w14:solidFill>
          </w14:textFill>
        </w:rPr>
        <w:softHyphen/>
      </w:r>
      <w:r>
        <w:rPr>
          <w:rFonts w:hint="eastAsia" w:ascii="宋体" w:hAnsi="宋体" w:cs="宋体"/>
          <w:color w:val="000000" w:themeColor="text1"/>
          <w:sz w:val="24"/>
          <w:szCs w:val="24"/>
          <w14:textFill>
            <w14:solidFill>
              <w14:schemeClr w14:val="tx1"/>
            </w14:solidFill>
          </w14:textFill>
        </w:rPr>
        <w:t>__________________</w:t>
      </w:r>
    </w:p>
    <w:p>
      <w:pPr>
        <w:spacing w:line="500" w:lineRule="exact"/>
        <w:ind w:firstLine="540" w:firstLineChars="225"/>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邮政编码：_</w:t>
      </w:r>
      <w:r>
        <w:rPr>
          <w:rFonts w:hint="eastAsia" w:ascii="宋体" w:hAnsi="宋体" w:cs="宋体"/>
          <w:color w:val="000000" w:themeColor="text1"/>
          <w:sz w:val="24"/>
          <w:szCs w:val="24"/>
          <w14:textFill>
            <w14:solidFill>
              <w14:schemeClr w14:val="tx1"/>
            </w14:solidFill>
          </w14:textFill>
        </w:rPr>
        <w:softHyphen/>
      </w:r>
      <w:r>
        <w:rPr>
          <w:rFonts w:hint="eastAsia" w:ascii="宋体" w:hAnsi="宋体" w:cs="宋体"/>
          <w:color w:val="000000" w:themeColor="text1"/>
          <w:sz w:val="24"/>
          <w:szCs w:val="24"/>
          <w14:textFill>
            <w14:solidFill>
              <w14:schemeClr w14:val="tx1"/>
            </w14:solidFill>
          </w14:textFill>
        </w:rPr>
        <w:softHyphen/>
      </w:r>
      <w:r>
        <w:rPr>
          <w:rFonts w:hint="eastAsia" w:ascii="宋体" w:hAnsi="宋体" w:cs="宋体"/>
          <w:color w:val="000000" w:themeColor="text1"/>
          <w:sz w:val="24"/>
          <w:szCs w:val="24"/>
          <w14:textFill>
            <w14:solidFill>
              <w14:schemeClr w14:val="tx1"/>
            </w14:solidFill>
          </w14:textFill>
        </w:rPr>
        <w:softHyphen/>
      </w:r>
      <w:r>
        <w:rPr>
          <w:rFonts w:hint="eastAsia" w:ascii="宋体" w:hAnsi="宋体" w:cs="宋体"/>
          <w:color w:val="000000" w:themeColor="text1"/>
          <w:sz w:val="24"/>
          <w:szCs w:val="24"/>
          <w14:textFill>
            <w14:solidFill>
              <w14:schemeClr w14:val="tx1"/>
            </w14:solidFill>
          </w14:textFill>
        </w:rPr>
        <w:t>__</w:t>
      </w:r>
      <w:r>
        <w:rPr>
          <w:rFonts w:hint="eastAsia" w:ascii="宋体" w:hAnsi="宋体" w:cs="宋体"/>
          <w:color w:val="000000" w:themeColor="text1"/>
          <w:sz w:val="24"/>
          <w:szCs w:val="24"/>
          <w14:textFill>
            <w14:solidFill>
              <w14:schemeClr w14:val="tx1"/>
            </w14:solidFill>
          </w14:textFill>
        </w:rPr>
        <w:softHyphen/>
      </w:r>
      <w:r>
        <w:rPr>
          <w:rFonts w:hint="eastAsia" w:ascii="宋体" w:hAnsi="宋体" w:cs="宋体"/>
          <w:color w:val="000000" w:themeColor="text1"/>
          <w:sz w:val="24"/>
          <w:szCs w:val="24"/>
          <w14:textFill>
            <w14:solidFill>
              <w14:schemeClr w14:val="tx1"/>
            </w14:solidFill>
          </w14:textFill>
        </w:rPr>
        <w:softHyphen/>
      </w:r>
      <w:r>
        <w:rPr>
          <w:rFonts w:hint="eastAsia" w:ascii="宋体" w:hAnsi="宋体" w:cs="宋体"/>
          <w:color w:val="000000" w:themeColor="text1"/>
          <w:sz w:val="24"/>
          <w:szCs w:val="24"/>
          <w14:textFill>
            <w14:solidFill>
              <w14:schemeClr w14:val="tx1"/>
            </w14:solidFill>
          </w14:textFill>
        </w:rPr>
        <w:softHyphen/>
      </w:r>
      <w:r>
        <w:rPr>
          <w:rFonts w:hint="eastAsia" w:ascii="宋体" w:hAnsi="宋体" w:cs="宋体"/>
          <w:color w:val="000000" w:themeColor="text1"/>
          <w:sz w:val="24"/>
          <w:szCs w:val="24"/>
          <w14:textFill>
            <w14:solidFill>
              <w14:schemeClr w14:val="tx1"/>
            </w14:solidFill>
          </w14:textFill>
        </w:rPr>
        <w:softHyphen/>
      </w:r>
      <w:r>
        <w:rPr>
          <w:rFonts w:hint="eastAsia" w:ascii="宋体" w:hAnsi="宋体" w:cs="宋体"/>
          <w:color w:val="000000" w:themeColor="text1"/>
          <w:sz w:val="24"/>
          <w:szCs w:val="24"/>
          <w14:textFill>
            <w14:solidFill>
              <w14:schemeClr w14:val="tx1"/>
            </w14:solidFill>
          </w14:textFill>
        </w:rPr>
        <w:softHyphen/>
      </w:r>
      <w:r>
        <w:rPr>
          <w:rFonts w:hint="eastAsia" w:ascii="宋体" w:hAnsi="宋体" w:cs="宋体"/>
          <w:color w:val="000000" w:themeColor="text1"/>
          <w:sz w:val="24"/>
          <w:szCs w:val="24"/>
          <w14:textFill>
            <w14:solidFill>
              <w14:schemeClr w14:val="tx1"/>
            </w14:solidFill>
          </w14:textFill>
        </w:rPr>
        <w:softHyphen/>
      </w:r>
      <w:r>
        <w:rPr>
          <w:rFonts w:hint="eastAsia" w:ascii="宋体" w:hAnsi="宋体" w:cs="宋体"/>
          <w:color w:val="000000" w:themeColor="text1"/>
          <w:sz w:val="24"/>
          <w:szCs w:val="24"/>
          <w14:textFill>
            <w14:solidFill>
              <w14:schemeClr w14:val="tx1"/>
            </w14:solidFill>
          </w14:textFill>
        </w:rPr>
        <w:t>______________</w:t>
      </w:r>
    </w:p>
    <w:p>
      <w:pPr>
        <w:spacing w:line="500" w:lineRule="exact"/>
        <w:ind w:firstLine="540" w:firstLineChars="225"/>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电话：_</w:t>
      </w:r>
      <w:r>
        <w:rPr>
          <w:rFonts w:hint="eastAsia" w:ascii="宋体" w:hAnsi="宋体" w:cs="宋体"/>
          <w:color w:val="000000" w:themeColor="text1"/>
          <w:sz w:val="24"/>
          <w:szCs w:val="24"/>
          <w14:textFill>
            <w14:solidFill>
              <w14:schemeClr w14:val="tx1"/>
            </w14:solidFill>
          </w14:textFill>
        </w:rPr>
        <w:softHyphen/>
      </w:r>
      <w:r>
        <w:rPr>
          <w:rFonts w:hint="eastAsia" w:ascii="宋体" w:hAnsi="宋体" w:cs="宋体"/>
          <w:color w:val="000000" w:themeColor="text1"/>
          <w:sz w:val="24"/>
          <w:szCs w:val="24"/>
          <w14:textFill>
            <w14:solidFill>
              <w14:schemeClr w14:val="tx1"/>
            </w14:solidFill>
          </w14:textFill>
        </w:rPr>
        <w:softHyphen/>
      </w:r>
      <w:r>
        <w:rPr>
          <w:rFonts w:hint="eastAsia" w:ascii="宋体" w:hAnsi="宋体" w:cs="宋体"/>
          <w:color w:val="000000" w:themeColor="text1"/>
          <w:sz w:val="24"/>
          <w:szCs w:val="24"/>
          <w14:textFill>
            <w14:solidFill>
              <w14:schemeClr w14:val="tx1"/>
            </w14:solidFill>
          </w14:textFill>
        </w:rPr>
        <w:softHyphen/>
      </w:r>
      <w:r>
        <w:rPr>
          <w:rFonts w:hint="eastAsia" w:ascii="宋体" w:hAnsi="宋体" w:cs="宋体"/>
          <w:color w:val="000000" w:themeColor="text1"/>
          <w:sz w:val="24"/>
          <w:szCs w:val="24"/>
          <w14:textFill>
            <w14:solidFill>
              <w14:schemeClr w14:val="tx1"/>
            </w14:solidFill>
          </w14:textFill>
        </w:rPr>
        <w:t>__</w:t>
      </w:r>
      <w:r>
        <w:rPr>
          <w:rFonts w:hint="eastAsia" w:ascii="宋体" w:hAnsi="宋体" w:cs="宋体"/>
          <w:color w:val="000000" w:themeColor="text1"/>
          <w:sz w:val="24"/>
          <w:szCs w:val="24"/>
          <w14:textFill>
            <w14:solidFill>
              <w14:schemeClr w14:val="tx1"/>
            </w14:solidFill>
          </w14:textFill>
        </w:rPr>
        <w:softHyphen/>
      </w:r>
      <w:r>
        <w:rPr>
          <w:rFonts w:hint="eastAsia" w:ascii="宋体" w:hAnsi="宋体" w:cs="宋体"/>
          <w:color w:val="000000" w:themeColor="text1"/>
          <w:sz w:val="24"/>
          <w:szCs w:val="24"/>
          <w14:textFill>
            <w14:solidFill>
              <w14:schemeClr w14:val="tx1"/>
            </w14:solidFill>
          </w14:textFill>
        </w:rPr>
        <w:softHyphen/>
      </w:r>
      <w:r>
        <w:rPr>
          <w:rFonts w:hint="eastAsia" w:ascii="宋体" w:hAnsi="宋体" w:cs="宋体"/>
          <w:color w:val="000000" w:themeColor="text1"/>
          <w:sz w:val="24"/>
          <w:szCs w:val="24"/>
          <w14:textFill>
            <w14:solidFill>
              <w14:schemeClr w14:val="tx1"/>
            </w14:solidFill>
          </w14:textFill>
        </w:rPr>
        <w:softHyphen/>
      </w:r>
      <w:r>
        <w:rPr>
          <w:rFonts w:hint="eastAsia" w:ascii="宋体" w:hAnsi="宋体" w:cs="宋体"/>
          <w:color w:val="000000" w:themeColor="text1"/>
          <w:sz w:val="24"/>
          <w:szCs w:val="24"/>
          <w14:textFill>
            <w14:solidFill>
              <w14:schemeClr w14:val="tx1"/>
            </w14:solidFill>
          </w14:textFill>
        </w:rPr>
        <w:softHyphen/>
      </w:r>
      <w:r>
        <w:rPr>
          <w:rFonts w:hint="eastAsia" w:ascii="宋体" w:hAnsi="宋体" w:cs="宋体"/>
          <w:color w:val="000000" w:themeColor="text1"/>
          <w:sz w:val="24"/>
          <w:szCs w:val="24"/>
          <w14:textFill>
            <w14:solidFill>
              <w14:schemeClr w14:val="tx1"/>
            </w14:solidFill>
          </w14:textFill>
        </w:rPr>
        <w:softHyphen/>
      </w:r>
      <w:r>
        <w:rPr>
          <w:rFonts w:hint="eastAsia" w:ascii="宋体" w:hAnsi="宋体" w:cs="宋体"/>
          <w:color w:val="000000" w:themeColor="text1"/>
          <w:sz w:val="24"/>
          <w:szCs w:val="24"/>
          <w14:textFill>
            <w14:solidFill>
              <w14:schemeClr w14:val="tx1"/>
            </w14:solidFill>
          </w14:textFill>
        </w:rPr>
        <w:softHyphen/>
      </w:r>
      <w:r>
        <w:rPr>
          <w:rFonts w:hint="eastAsia" w:ascii="宋体" w:hAnsi="宋体" w:cs="宋体"/>
          <w:color w:val="000000" w:themeColor="text1"/>
          <w:sz w:val="24"/>
          <w:szCs w:val="24"/>
          <w14:textFill>
            <w14:solidFill>
              <w14:schemeClr w14:val="tx1"/>
            </w14:solidFill>
          </w14:textFill>
        </w:rPr>
        <w:t>__________________</w:t>
      </w:r>
    </w:p>
    <w:p>
      <w:pPr>
        <w:spacing w:line="500" w:lineRule="exact"/>
        <w:ind w:firstLine="540" w:firstLineChars="225"/>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年　　月　　日</w:t>
      </w:r>
    </w:p>
    <w:p>
      <w:pPr>
        <w:spacing w:line="500" w:lineRule="exact"/>
        <w:ind w:firstLine="477" w:firstLineChars="199"/>
        <w:contextualSpacing/>
        <w:rPr>
          <w:rFonts w:ascii="宋体" w:hAnsi="宋体" w:cs="宋体"/>
          <w:color w:val="000000" w:themeColor="text1"/>
          <w:sz w:val="24"/>
          <w:szCs w:val="24"/>
          <w14:textFill>
            <w14:solidFill>
              <w14:schemeClr w14:val="tx1"/>
            </w14:solidFill>
          </w14:textFill>
        </w:rPr>
      </w:pPr>
    </w:p>
    <w:p>
      <w:pPr>
        <w:spacing w:line="500" w:lineRule="exact"/>
        <w:ind w:firstLine="477" w:firstLineChars="199"/>
        <w:contextualSpacing/>
        <w:rPr>
          <w:rFonts w:ascii="宋体" w:hAnsi="宋体" w:cs="宋体"/>
          <w:color w:val="000000" w:themeColor="text1"/>
          <w:sz w:val="24"/>
          <w:szCs w:val="24"/>
          <w14:textFill>
            <w14:solidFill>
              <w14:schemeClr w14:val="tx1"/>
            </w14:solidFill>
          </w14:textFill>
        </w:rPr>
      </w:pPr>
    </w:p>
    <w:p>
      <w:pPr>
        <w:spacing w:line="500" w:lineRule="exact"/>
        <w:ind w:firstLine="477" w:firstLineChars="199"/>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注1：投标保证金采取汇票、电汇、支票的，附上述票据的复印件；采取担保的，应采用上述格式。</w:t>
      </w:r>
    </w:p>
    <w:p>
      <w:pPr>
        <w:spacing w:line="500" w:lineRule="exact"/>
        <w:ind w:firstLine="477" w:firstLineChars="199"/>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注2：委托代理人应附授权委托书。</w:t>
      </w:r>
    </w:p>
    <w:p>
      <w:pPr>
        <w:pStyle w:val="5"/>
        <w:spacing w:line="500" w:lineRule="exact"/>
        <w:contextualSpacing/>
        <w:rPr>
          <w:rFonts w:ascii="宋体" w:hAnsi="宋体" w:cs="宋体"/>
          <w:color w:val="000000" w:themeColor="text1"/>
          <w:sz w:val="24"/>
          <w:szCs w:val="24"/>
          <w14:textFill>
            <w14:solidFill>
              <w14:schemeClr w14:val="tx1"/>
            </w14:solidFill>
          </w14:textFill>
        </w:rPr>
      </w:pPr>
    </w:p>
    <w:p>
      <w:pPr>
        <w:pStyle w:val="48"/>
        <w:snapToGrid/>
        <w:spacing w:line="500" w:lineRule="exact"/>
        <w:ind w:firstLine="480"/>
        <w:contextualSpacing/>
        <w:rPr>
          <w:rFonts w:ascii="宋体" w:hAnsi="宋体" w:cs="宋体"/>
          <w:color w:val="000000" w:themeColor="text1"/>
          <w:szCs w:val="24"/>
          <w14:textFill>
            <w14:solidFill>
              <w14:schemeClr w14:val="tx1"/>
            </w14:solidFill>
          </w14:textFill>
        </w:rPr>
      </w:pPr>
    </w:p>
    <w:p>
      <w:pPr>
        <w:pStyle w:val="48"/>
        <w:snapToGrid/>
        <w:spacing w:line="500" w:lineRule="exact"/>
        <w:ind w:firstLine="480"/>
        <w:contextualSpacing/>
        <w:rPr>
          <w:rFonts w:ascii="宋体" w:hAnsi="宋体" w:cs="宋体"/>
          <w:color w:val="000000" w:themeColor="text1"/>
          <w:szCs w:val="24"/>
          <w14:textFill>
            <w14:solidFill>
              <w14:schemeClr w14:val="tx1"/>
            </w14:solidFill>
          </w14:textFill>
        </w:rPr>
      </w:pPr>
    </w:p>
    <w:p>
      <w:pPr>
        <w:pStyle w:val="48"/>
        <w:snapToGrid/>
        <w:spacing w:line="500" w:lineRule="exact"/>
        <w:ind w:firstLine="480"/>
        <w:contextualSpacing/>
        <w:rPr>
          <w:rFonts w:ascii="宋体" w:hAnsi="宋体" w:cs="宋体"/>
          <w:color w:val="000000" w:themeColor="text1"/>
          <w:szCs w:val="24"/>
          <w14:textFill>
            <w14:solidFill>
              <w14:schemeClr w14:val="tx1"/>
            </w14:solidFill>
          </w14:textFill>
        </w:rPr>
      </w:pPr>
    </w:p>
    <w:p>
      <w:pPr>
        <w:pStyle w:val="48"/>
        <w:snapToGrid/>
        <w:spacing w:line="500" w:lineRule="exact"/>
        <w:ind w:firstLine="0" w:firstLineChars="0"/>
        <w:contextualSpacing/>
        <w:rPr>
          <w:rFonts w:ascii="宋体" w:hAnsi="宋体" w:cs="宋体"/>
          <w:color w:val="000000" w:themeColor="text1"/>
          <w:szCs w:val="24"/>
          <w14:textFill>
            <w14:solidFill>
              <w14:schemeClr w14:val="tx1"/>
            </w14:solidFill>
          </w14:textFill>
        </w:rPr>
      </w:pPr>
    </w:p>
    <w:p>
      <w:pPr>
        <w:pStyle w:val="5"/>
        <w:spacing w:line="500" w:lineRule="exact"/>
        <w:ind w:firstLine="3373" w:firstLineChars="1400"/>
        <w:contextualSpacing/>
        <w:jc w:val="both"/>
        <w:rPr>
          <w:rFonts w:ascii="宋体" w:hAnsi="宋体" w:cs="宋体"/>
          <w:color w:val="000000" w:themeColor="text1"/>
          <w:sz w:val="24"/>
          <w:szCs w:val="24"/>
          <w14:textFill>
            <w14:solidFill>
              <w14:schemeClr w14:val="tx1"/>
            </w14:solidFill>
          </w14:textFill>
        </w:rPr>
      </w:pPr>
      <w:bookmarkStart w:id="244" w:name="_Toc487728221"/>
      <w:bookmarkStart w:id="245" w:name="_Toc24263"/>
      <w:bookmarkStart w:id="246" w:name="_Toc11930"/>
      <w:r>
        <w:rPr>
          <w:rFonts w:hint="eastAsia" w:ascii="宋体" w:hAnsi="宋体" w:cs="宋体"/>
          <w:color w:val="000000" w:themeColor="text1"/>
          <w:sz w:val="24"/>
          <w:szCs w:val="24"/>
          <w14:textFill>
            <w14:solidFill>
              <w14:schemeClr w14:val="tx1"/>
            </w14:solidFill>
          </w14:textFill>
        </w:rPr>
        <w:t>五、开标一览表</w:t>
      </w:r>
      <w:bookmarkEnd w:id="244"/>
      <w:bookmarkEnd w:id="245"/>
      <w:bookmarkEnd w:id="246"/>
    </w:p>
    <w:p>
      <w:pPr>
        <w:spacing w:line="500" w:lineRule="exact"/>
        <w:contextualSpacing/>
        <w:rPr>
          <w:rFonts w:ascii="宋体" w:hAnsi="宋体" w:cs="宋体"/>
          <w:color w:val="000000" w:themeColor="text1"/>
          <w:sz w:val="24"/>
          <w:szCs w:val="24"/>
          <w14:textFill>
            <w14:solidFill>
              <w14:schemeClr w14:val="tx1"/>
            </w14:solidFill>
          </w14:textFill>
        </w:rPr>
      </w:pPr>
    </w:p>
    <w:p>
      <w:pPr>
        <w:spacing w:line="500" w:lineRule="exact"/>
        <w:contextualSpacing/>
        <w:rPr>
          <w:rFonts w:ascii="宋体" w:hAnsi="宋体" w:cs="宋体"/>
          <w:color w:val="000000" w:themeColor="text1"/>
          <w:sz w:val="24"/>
          <w:szCs w:val="24"/>
          <w14:textFill>
            <w14:solidFill>
              <w14:schemeClr w14:val="tx1"/>
            </w14:solidFill>
          </w14:textFill>
        </w:rPr>
      </w:pPr>
    </w:p>
    <w:p>
      <w:pPr>
        <w:spacing w:line="500" w:lineRule="exact"/>
        <w:ind w:firstLine="720" w:firstLineChars="300"/>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项目名称：                                                       单位：元</w:t>
      </w:r>
    </w:p>
    <w:p>
      <w:pPr>
        <w:pStyle w:val="2"/>
        <w:spacing w:line="500" w:lineRule="exact"/>
        <w:rPr>
          <w:sz w:val="24"/>
          <w:szCs w:val="24"/>
        </w:rPr>
      </w:pPr>
    </w:p>
    <w:tbl>
      <w:tblPr>
        <w:tblStyle w:val="36"/>
        <w:tblW w:w="88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39"/>
        <w:gridCol w:w="992"/>
        <w:gridCol w:w="1718"/>
        <w:gridCol w:w="1826"/>
        <w:gridCol w:w="19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2339" w:type="dxa"/>
            <w:vAlign w:val="center"/>
          </w:tcPr>
          <w:p>
            <w:pPr>
              <w:spacing w:line="500" w:lineRule="exact"/>
              <w:contextualSpacing/>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投标人名称</w:t>
            </w:r>
          </w:p>
        </w:tc>
        <w:tc>
          <w:tcPr>
            <w:tcW w:w="992" w:type="dxa"/>
            <w:vAlign w:val="center"/>
          </w:tcPr>
          <w:p>
            <w:pPr>
              <w:spacing w:line="500" w:lineRule="exact"/>
              <w:contextualSpacing/>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工期</w:t>
            </w:r>
          </w:p>
        </w:tc>
        <w:tc>
          <w:tcPr>
            <w:tcW w:w="1718" w:type="dxa"/>
            <w:vAlign w:val="center"/>
          </w:tcPr>
          <w:p>
            <w:pPr>
              <w:spacing w:line="500" w:lineRule="exact"/>
              <w:contextualSpacing/>
              <w:jc w:val="center"/>
              <w:rPr>
                <w:sz w:val="24"/>
                <w:szCs w:val="24"/>
              </w:rPr>
            </w:pPr>
            <w:r>
              <w:rPr>
                <w:rFonts w:hint="eastAsia"/>
                <w:sz w:val="24"/>
                <w:szCs w:val="24"/>
              </w:rPr>
              <w:t>投标报价</w:t>
            </w:r>
          </w:p>
          <w:p>
            <w:pPr>
              <w:pStyle w:val="2"/>
              <w:spacing w:line="500" w:lineRule="exact"/>
              <w:jc w:val="center"/>
              <w:rPr>
                <w:sz w:val="24"/>
                <w:szCs w:val="24"/>
              </w:rPr>
            </w:pPr>
            <w:r>
              <w:rPr>
                <w:rFonts w:hint="eastAsia"/>
                <w:sz w:val="24"/>
                <w:szCs w:val="24"/>
              </w:rPr>
              <w:t>（大写）</w:t>
            </w:r>
          </w:p>
        </w:tc>
        <w:tc>
          <w:tcPr>
            <w:tcW w:w="1826" w:type="dxa"/>
            <w:vAlign w:val="center"/>
          </w:tcPr>
          <w:p>
            <w:pPr>
              <w:spacing w:line="500" w:lineRule="exact"/>
              <w:contextualSpacing/>
              <w:jc w:val="center"/>
              <w:rPr>
                <w:sz w:val="24"/>
                <w:szCs w:val="24"/>
              </w:rPr>
            </w:pPr>
            <w:r>
              <w:rPr>
                <w:rFonts w:hint="eastAsia"/>
                <w:sz w:val="24"/>
                <w:szCs w:val="24"/>
              </w:rPr>
              <w:t>投标总价</w:t>
            </w:r>
          </w:p>
          <w:p>
            <w:pPr>
              <w:pStyle w:val="2"/>
              <w:spacing w:line="500" w:lineRule="exact"/>
              <w:jc w:val="center"/>
              <w:rPr>
                <w:sz w:val="24"/>
                <w:szCs w:val="24"/>
              </w:rPr>
            </w:pPr>
            <w:r>
              <w:rPr>
                <w:rFonts w:hint="eastAsia" w:ascii="宋体" w:hAnsi="宋体" w:cs="宋体"/>
                <w:color w:val="000000" w:themeColor="text1"/>
                <w:sz w:val="24"/>
                <w:szCs w:val="24"/>
                <w14:textFill>
                  <w14:solidFill>
                    <w14:schemeClr w14:val="tx1"/>
                  </w14:solidFill>
                </w14:textFill>
              </w:rPr>
              <w:t>（小写）</w:t>
            </w:r>
          </w:p>
        </w:tc>
        <w:tc>
          <w:tcPr>
            <w:tcW w:w="1929" w:type="dxa"/>
            <w:vAlign w:val="center"/>
          </w:tcPr>
          <w:p>
            <w:pPr>
              <w:spacing w:line="500" w:lineRule="exact"/>
              <w:contextualSpacing/>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7" w:hRule="atLeast"/>
          <w:jc w:val="center"/>
        </w:trPr>
        <w:tc>
          <w:tcPr>
            <w:tcW w:w="2339" w:type="dxa"/>
            <w:vAlign w:val="center"/>
          </w:tcPr>
          <w:p>
            <w:pPr>
              <w:spacing w:line="500" w:lineRule="exact"/>
              <w:contextualSpacing/>
              <w:jc w:val="center"/>
              <w:rPr>
                <w:rFonts w:ascii="宋体" w:hAnsi="宋体" w:cs="宋体"/>
                <w:color w:val="000000" w:themeColor="text1"/>
                <w:sz w:val="24"/>
                <w:szCs w:val="24"/>
                <w14:textFill>
                  <w14:solidFill>
                    <w14:schemeClr w14:val="tx1"/>
                  </w14:solidFill>
                </w14:textFill>
              </w:rPr>
            </w:pPr>
          </w:p>
        </w:tc>
        <w:tc>
          <w:tcPr>
            <w:tcW w:w="992" w:type="dxa"/>
            <w:vAlign w:val="center"/>
          </w:tcPr>
          <w:p>
            <w:pPr>
              <w:spacing w:line="500" w:lineRule="exact"/>
              <w:contextualSpacing/>
              <w:jc w:val="center"/>
              <w:rPr>
                <w:rFonts w:ascii="宋体" w:hAnsi="宋体" w:cs="宋体"/>
                <w:color w:val="000000" w:themeColor="text1"/>
                <w:sz w:val="24"/>
                <w:szCs w:val="24"/>
                <w14:textFill>
                  <w14:solidFill>
                    <w14:schemeClr w14:val="tx1"/>
                  </w14:solidFill>
                </w14:textFill>
              </w:rPr>
            </w:pPr>
          </w:p>
        </w:tc>
        <w:tc>
          <w:tcPr>
            <w:tcW w:w="1718" w:type="dxa"/>
            <w:vAlign w:val="center"/>
          </w:tcPr>
          <w:p>
            <w:pPr>
              <w:spacing w:line="500" w:lineRule="exact"/>
              <w:contextualSpacing/>
              <w:jc w:val="center"/>
              <w:rPr>
                <w:rFonts w:ascii="宋体" w:hAnsi="宋体" w:cs="宋体"/>
                <w:color w:val="000000" w:themeColor="text1"/>
                <w:sz w:val="24"/>
                <w:szCs w:val="24"/>
                <w14:textFill>
                  <w14:solidFill>
                    <w14:schemeClr w14:val="tx1"/>
                  </w14:solidFill>
                </w14:textFill>
              </w:rPr>
            </w:pPr>
          </w:p>
        </w:tc>
        <w:tc>
          <w:tcPr>
            <w:tcW w:w="1826" w:type="dxa"/>
            <w:vAlign w:val="center"/>
          </w:tcPr>
          <w:p>
            <w:pPr>
              <w:spacing w:line="500" w:lineRule="exact"/>
              <w:contextualSpacing/>
              <w:jc w:val="center"/>
              <w:rPr>
                <w:rFonts w:ascii="宋体" w:hAnsi="宋体" w:cs="宋体"/>
                <w:color w:val="000000" w:themeColor="text1"/>
                <w:sz w:val="24"/>
                <w:szCs w:val="24"/>
                <w14:textFill>
                  <w14:solidFill>
                    <w14:schemeClr w14:val="tx1"/>
                  </w14:solidFill>
                </w14:textFill>
              </w:rPr>
            </w:pPr>
          </w:p>
        </w:tc>
        <w:tc>
          <w:tcPr>
            <w:tcW w:w="1929" w:type="dxa"/>
            <w:vAlign w:val="center"/>
          </w:tcPr>
          <w:p>
            <w:pPr>
              <w:spacing w:line="500" w:lineRule="exact"/>
              <w:contextualSpacing/>
              <w:jc w:val="center"/>
              <w:rPr>
                <w:rFonts w:ascii="宋体" w:hAnsi="宋体" w:cs="宋体"/>
                <w:color w:val="000000" w:themeColor="text1"/>
                <w:sz w:val="24"/>
                <w:szCs w:val="24"/>
                <w14:textFill>
                  <w14:solidFill>
                    <w14:schemeClr w14:val="tx1"/>
                  </w14:solidFill>
                </w14:textFill>
              </w:rPr>
            </w:pPr>
          </w:p>
        </w:tc>
      </w:tr>
    </w:tbl>
    <w:p>
      <w:pPr>
        <w:spacing w:line="500" w:lineRule="exact"/>
        <w:ind w:left="843" w:hanging="843" w:hangingChars="350"/>
        <w:contextualSpacing/>
        <w:jc w:val="left"/>
        <w:rPr>
          <w:rFonts w:ascii="宋体" w:hAnsi="宋体" w:cs="宋体"/>
          <w:b/>
          <w:color w:val="000000" w:themeColor="text1"/>
          <w:sz w:val="24"/>
          <w:szCs w:val="24"/>
          <w14:textFill>
            <w14:solidFill>
              <w14:schemeClr w14:val="tx1"/>
            </w14:solidFill>
          </w14:textFill>
        </w:rPr>
      </w:pPr>
    </w:p>
    <w:p>
      <w:pPr>
        <w:spacing w:line="500" w:lineRule="exact"/>
        <w:ind w:left="843" w:hanging="843" w:hangingChars="350"/>
        <w:contextualSpacing/>
        <w:jc w:val="left"/>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注：1. 报价应是最终用户验收合格后的总价，包括机械使用、人工、产品包装、设备运输、保险、代理、安装调试、培训、税费、系统集成费用和招标文件规定的其它费用。</w:t>
      </w:r>
    </w:p>
    <w:p>
      <w:pPr>
        <w:spacing w:line="500" w:lineRule="exact"/>
        <w:ind w:firstLine="480" w:firstLineChars="200"/>
        <w:contextualSpacing/>
        <w:jc w:val="left"/>
        <w:rPr>
          <w:rFonts w:ascii="宋体" w:hAnsi="宋体" w:cs="宋体"/>
          <w:color w:val="000000" w:themeColor="text1"/>
          <w:sz w:val="24"/>
          <w:szCs w:val="24"/>
          <w14:textFill>
            <w14:solidFill>
              <w14:schemeClr w14:val="tx1"/>
            </w14:solidFill>
          </w14:textFill>
        </w:rPr>
      </w:pPr>
    </w:p>
    <w:p>
      <w:pPr>
        <w:spacing w:line="500" w:lineRule="exact"/>
        <w:ind w:firstLine="480" w:firstLineChars="200"/>
        <w:contextualSpacing/>
        <w:jc w:val="left"/>
        <w:rPr>
          <w:rFonts w:ascii="宋体" w:hAnsi="宋体" w:cs="宋体"/>
          <w:color w:val="000000" w:themeColor="text1"/>
          <w:sz w:val="24"/>
          <w:szCs w:val="24"/>
          <w14:textFill>
            <w14:solidFill>
              <w14:schemeClr w14:val="tx1"/>
            </w14:solidFill>
          </w14:textFill>
        </w:rPr>
      </w:pPr>
    </w:p>
    <w:p>
      <w:pPr>
        <w:adjustRightInd w:val="0"/>
        <w:spacing w:line="500" w:lineRule="exact"/>
        <w:ind w:firstLine="480" w:firstLineChars="200"/>
        <w:contextualSpacing/>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投标人名称：（盖章）</w:t>
      </w:r>
    </w:p>
    <w:p>
      <w:pPr>
        <w:pStyle w:val="2"/>
        <w:spacing w:line="500" w:lineRule="exact"/>
        <w:rPr>
          <w:sz w:val="24"/>
          <w:szCs w:val="24"/>
        </w:rPr>
      </w:pPr>
    </w:p>
    <w:p>
      <w:pPr>
        <w:adjustRightInd w:val="0"/>
        <w:spacing w:line="500" w:lineRule="exact"/>
        <w:ind w:firstLine="480" w:firstLineChars="200"/>
        <w:contextualSpacing/>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法定代表人或授权代表（签字）：_</w:t>
      </w:r>
      <w:r>
        <w:rPr>
          <w:rFonts w:hint="eastAsia" w:ascii="宋体" w:hAnsi="宋体" w:cs="宋体"/>
          <w:color w:val="000000" w:themeColor="text1"/>
          <w:sz w:val="24"/>
          <w:szCs w:val="24"/>
          <w14:textFill>
            <w14:solidFill>
              <w14:schemeClr w14:val="tx1"/>
            </w14:solidFill>
          </w14:textFill>
        </w:rPr>
        <w:softHyphen/>
      </w:r>
      <w:r>
        <w:rPr>
          <w:rFonts w:hint="eastAsia" w:ascii="宋体" w:hAnsi="宋体" w:cs="宋体"/>
          <w:color w:val="000000" w:themeColor="text1"/>
          <w:sz w:val="24"/>
          <w:szCs w:val="24"/>
          <w14:textFill>
            <w14:solidFill>
              <w14:schemeClr w14:val="tx1"/>
            </w14:solidFill>
          </w14:textFill>
        </w:rPr>
        <w:softHyphen/>
      </w:r>
      <w:r>
        <w:rPr>
          <w:rFonts w:hint="eastAsia" w:ascii="宋体" w:hAnsi="宋体" w:cs="宋体"/>
          <w:color w:val="000000" w:themeColor="text1"/>
          <w:sz w:val="24"/>
          <w:szCs w:val="24"/>
          <w14:textFill>
            <w14:solidFill>
              <w14:schemeClr w14:val="tx1"/>
            </w14:solidFill>
          </w14:textFill>
        </w:rPr>
        <w:softHyphen/>
      </w:r>
      <w:r>
        <w:rPr>
          <w:rFonts w:hint="eastAsia" w:ascii="宋体" w:hAnsi="宋体" w:cs="宋体"/>
          <w:color w:val="000000" w:themeColor="text1"/>
          <w:sz w:val="24"/>
          <w:szCs w:val="24"/>
          <w14:textFill>
            <w14:solidFill>
              <w14:schemeClr w14:val="tx1"/>
            </w14:solidFill>
          </w14:textFill>
        </w:rPr>
        <w:t>__</w:t>
      </w:r>
      <w:r>
        <w:rPr>
          <w:rFonts w:hint="eastAsia" w:ascii="宋体" w:hAnsi="宋体" w:cs="宋体"/>
          <w:color w:val="000000" w:themeColor="text1"/>
          <w:sz w:val="24"/>
          <w:szCs w:val="24"/>
          <w14:textFill>
            <w14:solidFill>
              <w14:schemeClr w14:val="tx1"/>
            </w14:solidFill>
          </w14:textFill>
        </w:rPr>
        <w:softHyphen/>
      </w:r>
      <w:r>
        <w:rPr>
          <w:rFonts w:hint="eastAsia" w:ascii="宋体" w:hAnsi="宋体" w:cs="宋体"/>
          <w:color w:val="000000" w:themeColor="text1"/>
          <w:sz w:val="24"/>
          <w:szCs w:val="24"/>
          <w14:textFill>
            <w14:solidFill>
              <w14:schemeClr w14:val="tx1"/>
            </w14:solidFill>
          </w14:textFill>
        </w:rPr>
        <w:softHyphen/>
      </w:r>
      <w:r>
        <w:rPr>
          <w:rFonts w:hint="eastAsia" w:ascii="宋体" w:hAnsi="宋体" w:cs="宋体"/>
          <w:color w:val="000000" w:themeColor="text1"/>
          <w:sz w:val="24"/>
          <w:szCs w:val="24"/>
          <w14:textFill>
            <w14:solidFill>
              <w14:schemeClr w14:val="tx1"/>
            </w14:solidFill>
          </w14:textFill>
        </w:rPr>
        <w:softHyphen/>
      </w:r>
      <w:r>
        <w:rPr>
          <w:rFonts w:hint="eastAsia" w:ascii="宋体" w:hAnsi="宋体" w:cs="宋体"/>
          <w:color w:val="000000" w:themeColor="text1"/>
          <w:sz w:val="24"/>
          <w:szCs w:val="24"/>
          <w14:textFill>
            <w14:solidFill>
              <w14:schemeClr w14:val="tx1"/>
            </w14:solidFill>
          </w14:textFill>
        </w:rPr>
        <w:softHyphen/>
      </w:r>
      <w:r>
        <w:rPr>
          <w:rFonts w:hint="eastAsia" w:ascii="宋体" w:hAnsi="宋体" w:cs="宋体"/>
          <w:color w:val="000000" w:themeColor="text1"/>
          <w:sz w:val="24"/>
          <w:szCs w:val="24"/>
          <w14:textFill>
            <w14:solidFill>
              <w14:schemeClr w14:val="tx1"/>
            </w14:solidFill>
          </w14:textFill>
        </w:rPr>
        <w:softHyphen/>
      </w:r>
      <w:r>
        <w:rPr>
          <w:rFonts w:hint="eastAsia" w:ascii="宋体" w:hAnsi="宋体" w:cs="宋体"/>
          <w:color w:val="000000" w:themeColor="text1"/>
          <w:sz w:val="24"/>
          <w:szCs w:val="24"/>
          <w14:textFill>
            <w14:solidFill>
              <w14:schemeClr w14:val="tx1"/>
            </w14:solidFill>
          </w14:textFill>
        </w:rPr>
        <w:softHyphen/>
      </w:r>
      <w:r>
        <w:rPr>
          <w:rFonts w:hint="eastAsia" w:ascii="宋体" w:hAnsi="宋体" w:cs="宋体"/>
          <w:color w:val="000000" w:themeColor="text1"/>
          <w:sz w:val="24"/>
          <w:szCs w:val="24"/>
          <w14:textFill>
            <w14:solidFill>
              <w14:schemeClr w14:val="tx1"/>
            </w14:solidFill>
          </w14:textFill>
        </w:rPr>
        <w:t>__________________</w:t>
      </w:r>
    </w:p>
    <w:p>
      <w:pPr>
        <w:widowControl/>
        <w:spacing w:beforeAutospacing="1" w:afterAutospacing="1" w:line="500" w:lineRule="exact"/>
        <w:contextualSpacing/>
        <w:jc w:val="left"/>
        <w:rPr>
          <w:rFonts w:ascii="宋体" w:hAnsi="宋体" w:cs="宋体"/>
          <w:color w:val="000000" w:themeColor="text1"/>
          <w:sz w:val="24"/>
          <w:szCs w:val="24"/>
          <w14:textFill>
            <w14:solidFill>
              <w14:schemeClr w14:val="tx1"/>
            </w14:solidFill>
          </w14:textFill>
        </w:rPr>
      </w:pPr>
    </w:p>
    <w:p>
      <w:pPr>
        <w:spacing w:line="500" w:lineRule="exact"/>
        <w:ind w:firstLine="6960" w:firstLineChars="2900"/>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年　　月　　日</w:t>
      </w:r>
    </w:p>
    <w:p>
      <w:pPr>
        <w:widowControl/>
        <w:spacing w:beforeAutospacing="1" w:afterAutospacing="1" w:line="500" w:lineRule="exact"/>
        <w:contextualSpacing/>
        <w:jc w:val="left"/>
        <w:rPr>
          <w:rFonts w:ascii="宋体" w:hAnsi="宋体" w:cs="宋体"/>
          <w:color w:val="000000" w:themeColor="text1"/>
          <w:sz w:val="24"/>
          <w:szCs w:val="24"/>
          <w14:textFill>
            <w14:solidFill>
              <w14:schemeClr w14:val="tx1"/>
            </w14:solidFill>
          </w14:textFill>
        </w:rPr>
        <w:sectPr>
          <w:pgSz w:w="11907" w:h="16840"/>
          <w:pgMar w:top="1134" w:right="1134" w:bottom="1134" w:left="1134" w:header="851" w:footer="851" w:gutter="0"/>
          <w:pgNumType w:chapStyle="1"/>
          <w:cols w:space="720" w:num="1"/>
          <w:titlePg/>
        </w:sectPr>
      </w:pPr>
    </w:p>
    <w:p>
      <w:pPr>
        <w:pStyle w:val="5"/>
        <w:spacing w:line="500" w:lineRule="exact"/>
        <w:contextualSpacing/>
        <w:rPr>
          <w:rFonts w:ascii="宋体" w:hAnsi="宋体" w:cs="宋体"/>
          <w:color w:val="000000" w:themeColor="text1"/>
          <w:sz w:val="24"/>
          <w:szCs w:val="24"/>
          <w14:textFill>
            <w14:solidFill>
              <w14:schemeClr w14:val="tx1"/>
            </w14:solidFill>
          </w14:textFill>
        </w:rPr>
      </w:pPr>
      <w:bookmarkStart w:id="247" w:name="_Toc487728222"/>
      <w:bookmarkStart w:id="248" w:name="_Toc6127"/>
      <w:bookmarkStart w:id="249" w:name="_Toc28609"/>
      <w:r>
        <w:rPr>
          <w:rFonts w:hint="eastAsia" w:ascii="宋体" w:hAnsi="宋体" w:cs="宋体"/>
          <w:color w:val="000000" w:themeColor="text1"/>
          <w:sz w:val="24"/>
          <w:szCs w:val="24"/>
          <w14:textFill>
            <w14:solidFill>
              <w14:schemeClr w14:val="tx1"/>
            </w14:solidFill>
          </w14:textFill>
        </w:rPr>
        <w:t>六、投标分项报价明细表</w:t>
      </w:r>
      <w:bookmarkEnd w:id="247"/>
      <w:bookmarkEnd w:id="248"/>
      <w:bookmarkEnd w:id="249"/>
    </w:p>
    <w:p>
      <w:pPr>
        <w:spacing w:line="500" w:lineRule="exact"/>
        <w:ind w:left="840" w:hanging="840" w:hangingChars="350"/>
        <w:contextualSpacing/>
        <w:rPr>
          <w:rFonts w:ascii="宋体" w:hAnsi="宋体" w:cs="宋体"/>
          <w:bCs/>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注：1、投标人必须按“</w:t>
      </w:r>
      <w:r>
        <w:rPr>
          <w:rFonts w:hint="eastAsia" w:ascii="宋体" w:hAnsi="宋体" w:cs="宋体"/>
          <w:bCs/>
          <w:color w:val="000000" w:themeColor="text1"/>
          <w:sz w:val="24"/>
          <w:szCs w:val="24"/>
          <w14:textFill>
            <w14:solidFill>
              <w14:schemeClr w14:val="tx1"/>
            </w14:solidFill>
          </w14:textFill>
        </w:rPr>
        <w:t>工程量清单”的格式</w:t>
      </w:r>
      <w:r>
        <w:rPr>
          <w:rFonts w:hint="eastAsia" w:ascii="宋体" w:hAnsi="宋体" w:cs="宋体"/>
          <w:color w:val="000000" w:themeColor="text1"/>
          <w:sz w:val="24"/>
          <w:szCs w:val="24"/>
          <w14:textFill>
            <w14:solidFill>
              <w14:schemeClr w14:val="tx1"/>
            </w14:solidFill>
          </w14:textFill>
        </w:rPr>
        <w:t>详细报出投标总价的各个组成部分的报价，否则作无效投标处理。</w:t>
      </w:r>
    </w:p>
    <w:p>
      <w:pPr>
        <w:spacing w:line="500" w:lineRule="exact"/>
        <w:ind w:firstLine="405"/>
        <w:contextualSpacing/>
        <w:jc w:val="left"/>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2、</w:t>
      </w:r>
      <w:r>
        <w:rPr>
          <w:rFonts w:hint="eastAsia" w:ascii="宋体" w:hAnsi="宋体" w:cs="宋体"/>
          <w:color w:val="000000" w:themeColor="text1"/>
          <w:sz w:val="24"/>
          <w:szCs w:val="24"/>
          <w14:textFill>
            <w14:solidFill>
              <w14:schemeClr w14:val="tx1"/>
            </w14:solidFill>
          </w14:textFill>
        </w:rPr>
        <w:t>“</w:t>
      </w:r>
      <w:r>
        <w:rPr>
          <w:rFonts w:hint="eastAsia" w:ascii="宋体" w:hAnsi="宋体" w:cs="宋体"/>
          <w:bCs/>
          <w:color w:val="000000" w:themeColor="text1"/>
          <w:sz w:val="24"/>
          <w:szCs w:val="24"/>
          <w14:textFill>
            <w14:solidFill>
              <w14:schemeClr w14:val="tx1"/>
            </w14:solidFill>
          </w14:textFill>
        </w:rPr>
        <w:t>分项报价明细表”各分项报价合计应当与“开标一览表”报价合计相等。</w:t>
      </w:r>
    </w:p>
    <w:p>
      <w:pPr>
        <w:spacing w:line="500" w:lineRule="exact"/>
        <w:ind w:firstLine="405"/>
        <w:contextualSpacing/>
        <w:jc w:val="left"/>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3、分项报价不得高于参数中最高限价，否则报价无效按无效标处理。</w:t>
      </w:r>
    </w:p>
    <w:p>
      <w:pPr>
        <w:spacing w:line="500" w:lineRule="exact"/>
        <w:contextualSpacing/>
        <w:jc w:val="left"/>
        <w:rPr>
          <w:rFonts w:ascii="宋体" w:hAnsi="宋体" w:cs="宋体"/>
          <w:b/>
          <w:bCs/>
          <w:color w:val="000000" w:themeColor="text1"/>
          <w:sz w:val="24"/>
          <w:szCs w:val="24"/>
          <w14:textFill>
            <w14:solidFill>
              <w14:schemeClr w14:val="tx1"/>
            </w14:solidFill>
          </w14:textFill>
        </w:rPr>
      </w:pPr>
    </w:p>
    <w:p>
      <w:pPr>
        <w:adjustRightInd w:val="0"/>
        <w:spacing w:line="500" w:lineRule="exact"/>
        <w:ind w:firstLine="480" w:firstLineChars="200"/>
        <w:contextualSpacing/>
        <w:jc w:val="left"/>
        <w:rPr>
          <w:rFonts w:ascii="宋体" w:hAnsi="宋体" w:cs="宋体"/>
          <w:color w:val="000000" w:themeColor="text1"/>
          <w:sz w:val="24"/>
          <w:szCs w:val="24"/>
          <w14:textFill>
            <w14:solidFill>
              <w14:schemeClr w14:val="tx1"/>
            </w14:solidFill>
          </w14:textFill>
        </w:rPr>
      </w:pPr>
    </w:p>
    <w:p>
      <w:pPr>
        <w:adjustRightInd w:val="0"/>
        <w:spacing w:line="500" w:lineRule="exact"/>
        <w:ind w:firstLine="480" w:firstLineChars="200"/>
        <w:contextualSpacing/>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投标人名称：（盖章）</w:t>
      </w:r>
    </w:p>
    <w:p>
      <w:pPr>
        <w:adjustRightInd w:val="0"/>
        <w:spacing w:line="500" w:lineRule="exact"/>
        <w:ind w:firstLine="480" w:firstLineChars="200"/>
        <w:contextualSpacing/>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法定代表人或授权代表（签字）：_</w:t>
      </w:r>
      <w:r>
        <w:rPr>
          <w:rFonts w:hint="eastAsia" w:ascii="宋体" w:hAnsi="宋体" w:cs="宋体"/>
          <w:color w:val="000000" w:themeColor="text1"/>
          <w:sz w:val="24"/>
          <w:szCs w:val="24"/>
          <w14:textFill>
            <w14:solidFill>
              <w14:schemeClr w14:val="tx1"/>
            </w14:solidFill>
          </w14:textFill>
        </w:rPr>
        <w:softHyphen/>
      </w:r>
      <w:r>
        <w:rPr>
          <w:rFonts w:hint="eastAsia" w:ascii="宋体" w:hAnsi="宋体" w:cs="宋体"/>
          <w:color w:val="000000" w:themeColor="text1"/>
          <w:sz w:val="24"/>
          <w:szCs w:val="24"/>
          <w14:textFill>
            <w14:solidFill>
              <w14:schemeClr w14:val="tx1"/>
            </w14:solidFill>
          </w14:textFill>
        </w:rPr>
        <w:softHyphen/>
      </w:r>
      <w:r>
        <w:rPr>
          <w:rFonts w:hint="eastAsia" w:ascii="宋体" w:hAnsi="宋体" w:cs="宋体"/>
          <w:color w:val="000000" w:themeColor="text1"/>
          <w:sz w:val="24"/>
          <w:szCs w:val="24"/>
          <w14:textFill>
            <w14:solidFill>
              <w14:schemeClr w14:val="tx1"/>
            </w14:solidFill>
          </w14:textFill>
        </w:rPr>
        <w:softHyphen/>
      </w:r>
      <w:r>
        <w:rPr>
          <w:rFonts w:hint="eastAsia" w:ascii="宋体" w:hAnsi="宋体" w:cs="宋体"/>
          <w:color w:val="000000" w:themeColor="text1"/>
          <w:sz w:val="24"/>
          <w:szCs w:val="24"/>
          <w14:textFill>
            <w14:solidFill>
              <w14:schemeClr w14:val="tx1"/>
            </w14:solidFill>
          </w14:textFill>
        </w:rPr>
        <w:t>__</w:t>
      </w:r>
      <w:r>
        <w:rPr>
          <w:rFonts w:hint="eastAsia" w:ascii="宋体" w:hAnsi="宋体" w:cs="宋体"/>
          <w:color w:val="000000" w:themeColor="text1"/>
          <w:sz w:val="24"/>
          <w:szCs w:val="24"/>
          <w14:textFill>
            <w14:solidFill>
              <w14:schemeClr w14:val="tx1"/>
            </w14:solidFill>
          </w14:textFill>
        </w:rPr>
        <w:softHyphen/>
      </w:r>
      <w:r>
        <w:rPr>
          <w:rFonts w:hint="eastAsia" w:ascii="宋体" w:hAnsi="宋体" w:cs="宋体"/>
          <w:color w:val="000000" w:themeColor="text1"/>
          <w:sz w:val="24"/>
          <w:szCs w:val="24"/>
          <w14:textFill>
            <w14:solidFill>
              <w14:schemeClr w14:val="tx1"/>
            </w14:solidFill>
          </w14:textFill>
        </w:rPr>
        <w:softHyphen/>
      </w:r>
      <w:r>
        <w:rPr>
          <w:rFonts w:hint="eastAsia" w:ascii="宋体" w:hAnsi="宋体" w:cs="宋体"/>
          <w:color w:val="000000" w:themeColor="text1"/>
          <w:sz w:val="24"/>
          <w:szCs w:val="24"/>
          <w14:textFill>
            <w14:solidFill>
              <w14:schemeClr w14:val="tx1"/>
            </w14:solidFill>
          </w14:textFill>
        </w:rPr>
        <w:softHyphen/>
      </w:r>
      <w:r>
        <w:rPr>
          <w:rFonts w:hint="eastAsia" w:ascii="宋体" w:hAnsi="宋体" w:cs="宋体"/>
          <w:color w:val="000000" w:themeColor="text1"/>
          <w:sz w:val="24"/>
          <w:szCs w:val="24"/>
          <w14:textFill>
            <w14:solidFill>
              <w14:schemeClr w14:val="tx1"/>
            </w14:solidFill>
          </w14:textFill>
        </w:rPr>
        <w:softHyphen/>
      </w:r>
      <w:r>
        <w:rPr>
          <w:rFonts w:hint="eastAsia" w:ascii="宋体" w:hAnsi="宋体" w:cs="宋体"/>
          <w:color w:val="000000" w:themeColor="text1"/>
          <w:sz w:val="24"/>
          <w:szCs w:val="24"/>
          <w14:textFill>
            <w14:solidFill>
              <w14:schemeClr w14:val="tx1"/>
            </w14:solidFill>
          </w14:textFill>
        </w:rPr>
        <w:softHyphen/>
      </w:r>
      <w:r>
        <w:rPr>
          <w:rFonts w:hint="eastAsia" w:ascii="宋体" w:hAnsi="宋体" w:cs="宋体"/>
          <w:color w:val="000000" w:themeColor="text1"/>
          <w:sz w:val="24"/>
          <w:szCs w:val="24"/>
          <w14:textFill>
            <w14:solidFill>
              <w14:schemeClr w14:val="tx1"/>
            </w14:solidFill>
          </w14:textFill>
        </w:rPr>
        <w:softHyphen/>
      </w:r>
      <w:r>
        <w:rPr>
          <w:rFonts w:hint="eastAsia" w:ascii="宋体" w:hAnsi="宋体" w:cs="宋体"/>
          <w:color w:val="000000" w:themeColor="text1"/>
          <w:sz w:val="24"/>
          <w:szCs w:val="24"/>
          <w14:textFill>
            <w14:solidFill>
              <w14:schemeClr w14:val="tx1"/>
            </w14:solidFill>
          </w14:textFill>
        </w:rPr>
        <w:t>__________________</w:t>
      </w:r>
    </w:p>
    <w:p>
      <w:pPr>
        <w:widowControl/>
        <w:spacing w:beforeAutospacing="1" w:afterAutospacing="1" w:line="500" w:lineRule="exact"/>
        <w:contextualSpacing/>
        <w:jc w:val="left"/>
        <w:rPr>
          <w:rFonts w:ascii="宋体" w:hAnsi="宋体" w:cs="宋体"/>
          <w:b/>
          <w:bCs/>
          <w:color w:val="000000" w:themeColor="text1"/>
          <w:sz w:val="24"/>
          <w:szCs w:val="24"/>
          <w14:textFill>
            <w14:solidFill>
              <w14:schemeClr w14:val="tx1"/>
            </w14:solidFill>
          </w14:textFill>
        </w:rPr>
      </w:pPr>
    </w:p>
    <w:p>
      <w:pPr>
        <w:spacing w:line="500" w:lineRule="exact"/>
        <w:ind w:firstLine="6960" w:firstLineChars="2900"/>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年　　月　　日</w:t>
      </w:r>
    </w:p>
    <w:p>
      <w:pPr>
        <w:pStyle w:val="5"/>
        <w:spacing w:line="500" w:lineRule="exact"/>
        <w:contextualSpacing/>
        <w:rPr>
          <w:rFonts w:ascii="宋体" w:hAnsi="宋体" w:cs="宋体"/>
          <w:color w:val="000000" w:themeColor="text1"/>
          <w:sz w:val="24"/>
          <w:szCs w:val="24"/>
          <w14:textFill>
            <w14:solidFill>
              <w14:schemeClr w14:val="tx1"/>
            </w14:solidFill>
          </w14:textFill>
        </w:rPr>
      </w:pPr>
    </w:p>
    <w:p>
      <w:pPr>
        <w:pStyle w:val="5"/>
        <w:spacing w:line="500" w:lineRule="exact"/>
        <w:contextualSpacing/>
        <w:rPr>
          <w:rFonts w:ascii="宋体" w:hAnsi="宋体" w:cs="宋体"/>
          <w:color w:val="000000" w:themeColor="text1"/>
          <w:sz w:val="24"/>
          <w:szCs w:val="24"/>
          <w14:textFill>
            <w14:solidFill>
              <w14:schemeClr w14:val="tx1"/>
            </w14:solidFill>
          </w14:textFill>
        </w:rPr>
      </w:pPr>
    </w:p>
    <w:p>
      <w:pPr>
        <w:spacing w:line="500" w:lineRule="exact"/>
        <w:contextualSpacing/>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br w:type="page"/>
      </w:r>
    </w:p>
    <w:p>
      <w:pPr>
        <w:pStyle w:val="5"/>
        <w:spacing w:line="500" w:lineRule="exact"/>
        <w:contextualSpacing/>
        <w:rPr>
          <w:rFonts w:ascii="宋体" w:hAnsi="宋体" w:cs="宋体"/>
          <w:color w:val="000000" w:themeColor="text1"/>
          <w:sz w:val="24"/>
          <w:szCs w:val="24"/>
          <w14:textFill>
            <w14:solidFill>
              <w14:schemeClr w14:val="tx1"/>
            </w14:solidFill>
          </w14:textFill>
        </w:rPr>
      </w:pPr>
      <w:bookmarkStart w:id="250" w:name="_Toc26214"/>
      <w:bookmarkStart w:id="251" w:name="_Toc487728228"/>
      <w:bookmarkStart w:id="252" w:name="_Toc24896"/>
      <w:r>
        <w:rPr>
          <w:rFonts w:hint="eastAsia" w:ascii="宋体" w:hAnsi="宋体" w:cs="宋体"/>
          <w:color w:val="000000" w:themeColor="text1"/>
          <w:sz w:val="24"/>
          <w:szCs w:val="24"/>
          <w14:textFill>
            <w14:solidFill>
              <w14:schemeClr w14:val="tx1"/>
            </w14:solidFill>
          </w14:textFill>
        </w:rPr>
        <w:t>七、企业资格证明</w:t>
      </w:r>
      <w:bookmarkEnd w:id="250"/>
      <w:bookmarkEnd w:id="251"/>
      <w:r>
        <w:rPr>
          <w:rFonts w:hint="eastAsia" w:ascii="宋体" w:hAnsi="宋体" w:cs="宋体"/>
          <w:color w:val="000000" w:themeColor="text1"/>
          <w:sz w:val="24"/>
          <w:szCs w:val="24"/>
          <w14:textFill>
            <w14:solidFill>
              <w14:schemeClr w14:val="tx1"/>
            </w14:solidFill>
          </w14:textFill>
        </w:rPr>
        <w:t>文件</w:t>
      </w:r>
      <w:bookmarkEnd w:id="252"/>
    </w:p>
    <w:p>
      <w:pPr>
        <w:pStyle w:val="48"/>
        <w:spacing w:line="500" w:lineRule="exact"/>
        <w:ind w:firstLine="480"/>
        <w:jc w:val="center"/>
        <w:rPr>
          <w:rFonts w:ascii="宋体" w:hAnsi="宋体" w:cs="宋体"/>
          <w:szCs w:val="24"/>
        </w:rPr>
      </w:pPr>
      <w:r>
        <w:rPr>
          <w:rFonts w:hint="eastAsia" w:ascii="宋体" w:hAnsi="宋体" w:cs="宋体"/>
          <w:color w:val="000000" w:themeColor="text1"/>
          <w:szCs w:val="24"/>
          <w14:textFill>
            <w14:solidFill>
              <w14:schemeClr w14:val="tx1"/>
            </w14:solidFill>
          </w14:textFill>
        </w:rPr>
        <w:t>（投标文件按照招标文件要求提供企业资格证明文件及其他投标单位认为需要提供的证明文件）</w:t>
      </w:r>
    </w:p>
    <w:p>
      <w:pPr>
        <w:pStyle w:val="48"/>
        <w:spacing w:line="500" w:lineRule="exact"/>
        <w:ind w:firstLine="480"/>
        <w:rPr>
          <w:rFonts w:ascii="宋体" w:hAnsi="宋体" w:cs="宋体"/>
          <w:szCs w:val="24"/>
        </w:rPr>
      </w:pPr>
    </w:p>
    <w:p>
      <w:pPr>
        <w:pStyle w:val="48"/>
        <w:snapToGrid/>
        <w:spacing w:line="500" w:lineRule="exact"/>
        <w:ind w:firstLine="480"/>
        <w:contextualSpacing/>
        <w:rPr>
          <w:rFonts w:ascii="宋体" w:hAnsi="宋体" w:cs="宋体"/>
          <w:color w:val="000000" w:themeColor="text1"/>
          <w:kern w:val="0"/>
          <w:szCs w:val="24"/>
          <w14:textFill>
            <w14:solidFill>
              <w14:schemeClr w14:val="tx1"/>
            </w14:solidFill>
          </w14:textFill>
        </w:rPr>
      </w:pPr>
    </w:p>
    <w:p>
      <w:pPr>
        <w:pStyle w:val="48"/>
        <w:snapToGrid/>
        <w:spacing w:line="500" w:lineRule="exact"/>
        <w:ind w:firstLine="480"/>
        <w:contextualSpacing/>
        <w:rPr>
          <w:rFonts w:ascii="宋体" w:hAnsi="宋体" w:cs="宋体"/>
          <w:color w:val="000000" w:themeColor="text1"/>
          <w:kern w:val="0"/>
          <w:szCs w:val="24"/>
          <w14:textFill>
            <w14:solidFill>
              <w14:schemeClr w14:val="tx1"/>
            </w14:solidFill>
          </w14:textFill>
        </w:rPr>
      </w:pPr>
    </w:p>
    <w:p>
      <w:pPr>
        <w:pStyle w:val="48"/>
        <w:snapToGrid/>
        <w:spacing w:line="500" w:lineRule="exact"/>
        <w:ind w:firstLine="480"/>
        <w:contextualSpacing/>
        <w:rPr>
          <w:rFonts w:ascii="宋体" w:hAnsi="宋体" w:cs="宋体"/>
          <w:color w:val="000000" w:themeColor="text1"/>
          <w:kern w:val="0"/>
          <w:szCs w:val="24"/>
          <w14:textFill>
            <w14:solidFill>
              <w14:schemeClr w14:val="tx1"/>
            </w14:solidFill>
          </w14:textFill>
        </w:rPr>
      </w:pPr>
    </w:p>
    <w:p>
      <w:pPr>
        <w:pStyle w:val="48"/>
        <w:snapToGrid/>
        <w:spacing w:line="500" w:lineRule="exact"/>
        <w:ind w:firstLine="480"/>
        <w:contextualSpacing/>
        <w:rPr>
          <w:rFonts w:ascii="宋体" w:hAnsi="宋体" w:cs="宋体"/>
          <w:color w:val="000000" w:themeColor="text1"/>
          <w:kern w:val="0"/>
          <w:szCs w:val="24"/>
          <w14:textFill>
            <w14:solidFill>
              <w14:schemeClr w14:val="tx1"/>
            </w14:solidFill>
          </w14:textFill>
        </w:rPr>
      </w:pPr>
    </w:p>
    <w:p>
      <w:pPr>
        <w:pStyle w:val="48"/>
        <w:snapToGrid/>
        <w:spacing w:line="500" w:lineRule="exact"/>
        <w:ind w:firstLine="480"/>
        <w:contextualSpacing/>
        <w:rPr>
          <w:rFonts w:ascii="宋体" w:hAnsi="宋体" w:cs="宋体"/>
          <w:color w:val="000000" w:themeColor="text1"/>
          <w:kern w:val="0"/>
          <w:szCs w:val="24"/>
          <w14:textFill>
            <w14:solidFill>
              <w14:schemeClr w14:val="tx1"/>
            </w14:solidFill>
          </w14:textFill>
        </w:rPr>
      </w:pPr>
    </w:p>
    <w:p>
      <w:pPr>
        <w:pStyle w:val="48"/>
        <w:snapToGrid/>
        <w:spacing w:line="500" w:lineRule="exact"/>
        <w:ind w:firstLine="480"/>
        <w:contextualSpacing/>
        <w:rPr>
          <w:rFonts w:ascii="宋体" w:hAnsi="宋体" w:cs="宋体"/>
          <w:color w:val="000000" w:themeColor="text1"/>
          <w:kern w:val="0"/>
          <w:szCs w:val="24"/>
          <w14:textFill>
            <w14:solidFill>
              <w14:schemeClr w14:val="tx1"/>
            </w14:solidFill>
          </w14:textFill>
        </w:rPr>
      </w:pPr>
    </w:p>
    <w:p>
      <w:pPr>
        <w:pStyle w:val="48"/>
        <w:snapToGrid/>
        <w:spacing w:line="500" w:lineRule="exact"/>
        <w:ind w:firstLine="480"/>
        <w:contextualSpacing/>
        <w:rPr>
          <w:rFonts w:ascii="宋体" w:hAnsi="宋体" w:cs="宋体"/>
          <w:color w:val="000000" w:themeColor="text1"/>
          <w:kern w:val="0"/>
          <w:szCs w:val="24"/>
          <w14:textFill>
            <w14:solidFill>
              <w14:schemeClr w14:val="tx1"/>
            </w14:solidFill>
          </w14:textFill>
        </w:rPr>
      </w:pPr>
    </w:p>
    <w:p>
      <w:pPr>
        <w:pStyle w:val="48"/>
        <w:snapToGrid/>
        <w:spacing w:line="500" w:lineRule="exact"/>
        <w:ind w:firstLine="480"/>
        <w:contextualSpacing/>
        <w:rPr>
          <w:rFonts w:ascii="宋体" w:hAnsi="宋体" w:cs="宋体"/>
          <w:color w:val="000000" w:themeColor="text1"/>
          <w:kern w:val="0"/>
          <w:szCs w:val="24"/>
          <w14:textFill>
            <w14:solidFill>
              <w14:schemeClr w14:val="tx1"/>
            </w14:solidFill>
          </w14:textFill>
        </w:rPr>
      </w:pPr>
    </w:p>
    <w:p>
      <w:pPr>
        <w:pStyle w:val="48"/>
        <w:snapToGrid/>
        <w:spacing w:line="500" w:lineRule="exact"/>
        <w:ind w:firstLine="480"/>
        <w:contextualSpacing/>
        <w:rPr>
          <w:rFonts w:ascii="宋体" w:hAnsi="宋体" w:cs="宋体"/>
          <w:color w:val="000000" w:themeColor="text1"/>
          <w:kern w:val="0"/>
          <w:szCs w:val="24"/>
          <w14:textFill>
            <w14:solidFill>
              <w14:schemeClr w14:val="tx1"/>
            </w14:solidFill>
          </w14:textFill>
        </w:rPr>
      </w:pPr>
    </w:p>
    <w:p>
      <w:pPr>
        <w:pStyle w:val="48"/>
        <w:snapToGrid/>
        <w:spacing w:line="500" w:lineRule="exact"/>
        <w:ind w:firstLine="480"/>
        <w:contextualSpacing/>
        <w:rPr>
          <w:rFonts w:ascii="宋体" w:hAnsi="宋体" w:cs="宋体"/>
          <w:color w:val="000000" w:themeColor="text1"/>
          <w:kern w:val="0"/>
          <w:szCs w:val="24"/>
          <w14:textFill>
            <w14:solidFill>
              <w14:schemeClr w14:val="tx1"/>
            </w14:solidFill>
          </w14:textFill>
        </w:rPr>
      </w:pPr>
    </w:p>
    <w:p>
      <w:pPr>
        <w:pStyle w:val="48"/>
        <w:snapToGrid/>
        <w:spacing w:line="500" w:lineRule="exact"/>
        <w:ind w:firstLine="480"/>
        <w:contextualSpacing/>
        <w:rPr>
          <w:rFonts w:ascii="宋体" w:hAnsi="宋体" w:cs="宋体"/>
          <w:color w:val="000000" w:themeColor="text1"/>
          <w:kern w:val="0"/>
          <w:szCs w:val="24"/>
          <w14:textFill>
            <w14:solidFill>
              <w14:schemeClr w14:val="tx1"/>
            </w14:solidFill>
          </w14:textFill>
        </w:rPr>
      </w:pPr>
    </w:p>
    <w:p>
      <w:pPr>
        <w:pStyle w:val="48"/>
        <w:snapToGrid/>
        <w:spacing w:line="500" w:lineRule="exact"/>
        <w:ind w:firstLine="480"/>
        <w:contextualSpacing/>
        <w:rPr>
          <w:rFonts w:ascii="宋体" w:hAnsi="宋体" w:cs="宋体"/>
          <w:color w:val="000000" w:themeColor="text1"/>
          <w:kern w:val="0"/>
          <w:szCs w:val="24"/>
          <w14:textFill>
            <w14:solidFill>
              <w14:schemeClr w14:val="tx1"/>
            </w14:solidFill>
          </w14:textFill>
        </w:rPr>
      </w:pPr>
    </w:p>
    <w:p>
      <w:pPr>
        <w:pStyle w:val="48"/>
        <w:snapToGrid/>
        <w:spacing w:line="500" w:lineRule="exact"/>
        <w:ind w:firstLine="480"/>
        <w:contextualSpacing/>
        <w:rPr>
          <w:rFonts w:ascii="宋体" w:hAnsi="宋体" w:cs="宋体"/>
          <w:color w:val="000000" w:themeColor="text1"/>
          <w:kern w:val="0"/>
          <w:szCs w:val="24"/>
          <w14:textFill>
            <w14:solidFill>
              <w14:schemeClr w14:val="tx1"/>
            </w14:solidFill>
          </w14:textFill>
        </w:rPr>
      </w:pPr>
    </w:p>
    <w:p>
      <w:pPr>
        <w:pStyle w:val="48"/>
        <w:snapToGrid/>
        <w:spacing w:line="500" w:lineRule="exact"/>
        <w:ind w:firstLine="480"/>
        <w:contextualSpacing/>
        <w:rPr>
          <w:rFonts w:ascii="宋体" w:hAnsi="宋体" w:cs="宋体"/>
          <w:color w:val="000000" w:themeColor="text1"/>
          <w:kern w:val="0"/>
          <w:szCs w:val="24"/>
          <w14:textFill>
            <w14:solidFill>
              <w14:schemeClr w14:val="tx1"/>
            </w14:solidFill>
          </w14:textFill>
        </w:rPr>
      </w:pPr>
    </w:p>
    <w:p>
      <w:pPr>
        <w:pStyle w:val="48"/>
        <w:snapToGrid/>
        <w:spacing w:line="500" w:lineRule="exact"/>
        <w:ind w:firstLine="480"/>
        <w:contextualSpacing/>
        <w:rPr>
          <w:rFonts w:ascii="宋体" w:hAnsi="宋体" w:cs="宋体"/>
          <w:color w:val="000000" w:themeColor="text1"/>
          <w:kern w:val="0"/>
          <w:szCs w:val="24"/>
          <w14:textFill>
            <w14:solidFill>
              <w14:schemeClr w14:val="tx1"/>
            </w14:solidFill>
          </w14:textFill>
        </w:rPr>
      </w:pPr>
    </w:p>
    <w:p>
      <w:pPr>
        <w:pStyle w:val="48"/>
        <w:snapToGrid/>
        <w:spacing w:line="500" w:lineRule="exact"/>
        <w:ind w:firstLine="480"/>
        <w:contextualSpacing/>
        <w:rPr>
          <w:rFonts w:ascii="宋体" w:hAnsi="宋体" w:cs="宋体"/>
          <w:color w:val="000000" w:themeColor="text1"/>
          <w:kern w:val="0"/>
          <w:szCs w:val="24"/>
          <w14:textFill>
            <w14:solidFill>
              <w14:schemeClr w14:val="tx1"/>
            </w14:solidFill>
          </w14:textFill>
        </w:rPr>
      </w:pPr>
    </w:p>
    <w:p>
      <w:pPr>
        <w:pStyle w:val="48"/>
        <w:snapToGrid/>
        <w:spacing w:line="500" w:lineRule="exact"/>
        <w:ind w:firstLine="480"/>
        <w:contextualSpacing/>
        <w:rPr>
          <w:rFonts w:ascii="宋体" w:hAnsi="宋体" w:cs="宋体"/>
          <w:color w:val="000000" w:themeColor="text1"/>
          <w:kern w:val="0"/>
          <w:szCs w:val="24"/>
          <w14:textFill>
            <w14:solidFill>
              <w14:schemeClr w14:val="tx1"/>
            </w14:solidFill>
          </w14:textFill>
        </w:rPr>
      </w:pPr>
    </w:p>
    <w:p>
      <w:pPr>
        <w:pStyle w:val="48"/>
        <w:snapToGrid/>
        <w:spacing w:line="500" w:lineRule="exact"/>
        <w:ind w:firstLine="480"/>
        <w:contextualSpacing/>
        <w:rPr>
          <w:rFonts w:ascii="宋体" w:hAnsi="宋体" w:cs="宋体"/>
          <w:color w:val="000000" w:themeColor="text1"/>
          <w:kern w:val="0"/>
          <w:szCs w:val="24"/>
          <w14:textFill>
            <w14:solidFill>
              <w14:schemeClr w14:val="tx1"/>
            </w14:solidFill>
          </w14:textFill>
        </w:rPr>
      </w:pPr>
    </w:p>
    <w:p>
      <w:pPr>
        <w:pStyle w:val="48"/>
        <w:snapToGrid/>
        <w:spacing w:line="500" w:lineRule="exact"/>
        <w:ind w:firstLine="480"/>
        <w:contextualSpacing/>
        <w:rPr>
          <w:rFonts w:ascii="宋体" w:hAnsi="宋体" w:cs="宋体"/>
          <w:color w:val="000000" w:themeColor="text1"/>
          <w:kern w:val="0"/>
          <w:szCs w:val="24"/>
          <w14:textFill>
            <w14:solidFill>
              <w14:schemeClr w14:val="tx1"/>
            </w14:solidFill>
          </w14:textFill>
        </w:rPr>
      </w:pPr>
    </w:p>
    <w:p>
      <w:pPr>
        <w:pStyle w:val="48"/>
        <w:snapToGrid/>
        <w:spacing w:line="500" w:lineRule="exact"/>
        <w:ind w:firstLine="480"/>
        <w:contextualSpacing/>
        <w:rPr>
          <w:rFonts w:ascii="宋体" w:hAnsi="宋体" w:cs="宋体"/>
          <w:color w:val="000000" w:themeColor="text1"/>
          <w:kern w:val="0"/>
          <w:szCs w:val="24"/>
          <w14:textFill>
            <w14:solidFill>
              <w14:schemeClr w14:val="tx1"/>
            </w14:solidFill>
          </w14:textFill>
        </w:rPr>
      </w:pPr>
    </w:p>
    <w:p>
      <w:pPr>
        <w:pStyle w:val="48"/>
        <w:snapToGrid/>
        <w:spacing w:line="500" w:lineRule="exact"/>
        <w:ind w:firstLine="480"/>
        <w:contextualSpacing/>
        <w:rPr>
          <w:rFonts w:ascii="宋体" w:hAnsi="宋体" w:cs="宋体"/>
          <w:color w:val="000000" w:themeColor="text1"/>
          <w:kern w:val="0"/>
          <w:szCs w:val="24"/>
          <w14:textFill>
            <w14:solidFill>
              <w14:schemeClr w14:val="tx1"/>
            </w14:solidFill>
          </w14:textFill>
        </w:rPr>
      </w:pPr>
    </w:p>
    <w:p>
      <w:pPr>
        <w:pStyle w:val="48"/>
        <w:snapToGrid/>
        <w:spacing w:line="500" w:lineRule="exact"/>
        <w:ind w:firstLine="480"/>
        <w:contextualSpacing/>
        <w:rPr>
          <w:rFonts w:ascii="宋体" w:hAnsi="宋体" w:cs="宋体"/>
          <w:color w:val="000000" w:themeColor="text1"/>
          <w:kern w:val="0"/>
          <w:szCs w:val="24"/>
          <w14:textFill>
            <w14:solidFill>
              <w14:schemeClr w14:val="tx1"/>
            </w14:solidFill>
          </w14:textFill>
        </w:rPr>
      </w:pPr>
    </w:p>
    <w:p>
      <w:pPr>
        <w:pStyle w:val="48"/>
        <w:snapToGrid/>
        <w:spacing w:line="500" w:lineRule="exact"/>
        <w:ind w:firstLine="480"/>
        <w:contextualSpacing/>
        <w:rPr>
          <w:rFonts w:ascii="宋体" w:hAnsi="宋体" w:cs="宋体"/>
          <w:color w:val="000000" w:themeColor="text1"/>
          <w:kern w:val="0"/>
          <w:szCs w:val="24"/>
          <w14:textFill>
            <w14:solidFill>
              <w14:schemeClr w14:val="tx1"/>
            </w14:solidFill>
          </w14:textFill>
        </w:rPr>
      </w:pPr>
    </w:p>
    <w:p>
      <w:pPr>
        <w:pStyle w:val="48"/>
        <w:snapToGrid/>
        <w:spacing w:line="500" w:lineRule="exact"/>
        <w:ind w:firstLine="480"/>
        <w:contextualSpacing/>
        <w:rPr>
          <w:rFonts w:ascii="宋体" w:hAnsi="宋体" w:cs="宋体"/>
          <w:color w:val="000000" w:themeColor="text1"/>
          <w:kern w:val="0"/>
          <w:szCs w:val="24"/>
          <w14:textFill>
            <w14:solidFill>
              <w14:schemeClr w14:val="tx1"/>
            </w14:solidFill>
          </w14:textFill>
        </w:rPr>
      </w:pPr>
    </w:p>
    <w:p>
      <w:pPr>
        <w:pStyle w:val="5"/>
        <w:spacing w:line="500" w:lineRule="exact"/>
        <w:contextualSpacing/>
        <w:rPr>
          <w:rFonts w:ascii="宋体" w:hAnsi="宋体" w:cs="宋体"/>
          <w:color w:val="000000" w:themeColor="text1"/>
          <w:sz w:val="24"/>
          <w:szCs w:val="24"/>
          <w14:textFill>
            <w14:solidFill>
              <w14:schemeClr w14:val="tx1"/>
            </w14:solidFill>
          </w14:textFill>
        </w:rPr>
      </w:pPr>
      <w:bookmarkStart w:id="253" w:name="_Toc7923"/>
      <w:bookmarkStart w:id="254" w:name="_Toc487728230"/>
      <w:bookmarkStart w:id="255" w:name="_Toc12976"/>
      <w:r>
        <w:rPr>
          <w:rFonts w:hint="eastAsia" w:ascii="宋体" w:hAnsi="宋体" w:cs="宋体"/>
          <w:color w:val="000000" w:themeColor="text1"/>
          <w:sz w:val="24"/>
          <w:szCs w:val="24"/>
          <w14:textFill>
            <w14:solidFill>
              <w14:schemeClr w14:val="tx1"/>
            </w14:solidFill>
          </w14:textFill>
        </w:rPr>
        <w:t>八、投标人基本情况表</w:t>
      </w:r>
      <w:bookmarkEnd w:id="253"/>
      <w:bookmarkEnd w:id="254"/>
      <w:bookmarkEnd w:id="255"/>
    </w:p>
    <w:tbl>
      <w:tblPr>
        <w:tblStyle w:val="36"/>
        <w:tblW w:w="96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3"/>
        <w:gridCol w:w="1083"/>
        <w:gridCol w:w="1403"/>
        <w:gridCol w:w="1404"/>
        <w:gridCol w:w="8"/>
        <w:gridCol w:w="1487"/>
        <w:gridCol w:w="179"/>
        <w:gridCol w:w="1134"/>
        <w:gridCol w:w="12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jc w:val="center"/>
        </w:trPr>
        <w:tc>
          <w:tcPr>
            <w:tcW w:w="1723" w:type="dxa"/>
            <w:vAlign w:val="center"/>
          </w:tcPr>
          <w:p>
            <w:pPr>
              <w:autoSpaceDE w:val="0"/>
              <w:autoSpaceDN w:val="0"/>
              <w:adjustRightInd w:val="0"/>
              <w:spacing w:line="500" w:lineRule="exact"/>
              <w:contextualSpacing/>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投标人名称</w:t>
            </w:r>
          </w:p>
        </w:tc>
        <w:tc>
          <w:tcPr>
            <w:tcW w:w="7925" w:type="dxa"/>
            <w:gridSpan w:val="8"/>
            <w:vAlign w:val="center"/>
          </w:tcPr>
          <w:p>
            <w:pPr>
              <w:autoSpaceDE w:val="0"/>
              <w:autoSpaceDN w:val="0"/>
              <w:adjustRightInd w:val="0"/>
              <w:spacing w:line="500" w:lineRule="exact"/>
              <w:contextualSpacing/>
              <w:jc w:val="center"/>
              <w:rPr>
                <w:rFonts w:ascii="宋体" w:hAnsi="宋体" w:cs="宋体"/>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jc w:val="center"/>
        </w:trPr>
        <w:tc>
          <w:tcPr>
            <w:tcW w:w="1723" w:type="dxa"/>
            <w:vAlign w:val="center"/>
          </w:tcPr>
          <w:p>
            <w:pPr>
              <w:autoSpaceDE w:val="0"/>
              <w:autoSpaceDN w:val="0"/>
              <w:adjustRightInd w:val="0"/>
              <w:spacing w:line="500" w:lineRule="exact"/>
              <w:contextualSpacing/>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注册地址</w:t>
            </w:r>
          </w:p>
        </w:tc>
        <w:tc>
          <w:tcPr>
            <w:tcW w:w="3898" w:type="dxa"/>
            <w:gridSpan w:val="4"/>
            <w:vAlign w:val="center"/>
          </w:tcPr>
          <w:p>
            <w:pPr>
              <w:autoSpaceDE w:val="0"/>
              <w:autoSpaceDN w:val="0"/>
              <w:adjustRightInd w:val="0"/>
              <w:spacing w:line="500" w:lineRule="exact"/>
              <w:contextualSpacing/>
              <w:jc w:val="center"/>
              <w:rPr>
                <w:rFonts w:ascii="宋体" w:hAnsi="宋体" w:cs="宋体"/>
                <w:color w:val="000000" w:themeColor="text1"/>
                <w:kern w:val="0"/>
                <w:sz w:val="24"/>
                <w:szCs w:val="24"/>
                <w14:textFill>
                  <w14:solidFill>
                    <w14:schemeClr w14:val="tx1"/>
                  </w14:solidFill>
                </w14:textFill>
              </w:rPr>
            </w:pPr>
          </w:p>
        </w:tc>
        <w:tc>
          <w:tcPr>
            <w:tcW w:w="1487" w:type="dxa"/>
            <w:vAlign w:val="center"/>
          </w:tcPr>
          <w:p>
            <w:pPr>
              <w:autoSpaceDE w:val="0"/>
              <w:autoSpaceDN w:val="0"/>
              <w:adjustRightInd w:val="0"/>
              <w:spacing w:line="500" w:lineRule="exact"/>
              <w:contextualSpacing/>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邮政编码</w:t>
            </w:r>
          </w:p>
        </w:tc>
        <w:tc>
          <w:tcPr>
            <w:tcW w:w="2540" w:type="dxa"/>
            <w:gridSpan w:val="3"/>
            <w:vAlign w:val="center"/>
          </w:tcPr>
          <w:p>
            <w:pPr>
              <w:autoSpaceDE w:val="0"/>
              <w:autoSpaceDN w:val="0"/>
              <w:adjustRightInd w:val="0"/>
              <w:spacing w:line="500" w:lineRule="exact"/>
              <w:contextualSpacing/>
              <w:jc w:val="center"/>
              <w:rPr>
                <w:rFonts w:ascii="宋体" w:hAnsi="宋体" w:cs="宋体"/>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jc w:val="center"/>
        </w:trPr>
        <w:tc>
          <w:tcPr>
            <w:tcW w:w="1723" w:type="dxa"/>
            <w:vMerge w:val="restart"/>
            <w:vAlign w:val="center"/>
          </w:tcPr>
          <w:p>
            <w:pPr>
              <w:autoSpaceDE w:val="0"/>
              <w:autoSpaceDN w:val="0"/>
              <w:adjustRightInd w:val="0"/>
              <w:spacing w:line="500" w:lineRule="exact"/>
              <w:contextualSpacing/>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联系方式</w:t>
            </w:r>
          </w:p>
        </w:tc>
        <w:tc>
          <w:tcPr>
            <w:tcW w:w="1083" w:type="dxa"/>
            <w:vAlign w:val="center"/>
          </w:tcPr>
          <w:p>
            <w:pPr>
              <w:autoSpaceDE w:val="0"/>
              <w:autoSpaceDN w:val="0"/>
              <w:adjustRightInd w:val="0"/>
              <w:spacing w:line="500" w:lineRule="exact"/>
              <w:contextualSpacing/>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联系人</w:t>
            </w:r>
          </w:p>
        </w:tc>
        <w:tc>
          <w:tcPr>
            <w:tcW w:w="2807" w:type="dxa"/>
            <w:gridSpan w:val="2"/>
            <w:vAlign w:val="center"/>
          </w:tcPr>
          <w:p>
            <w:pPr>
              <w:autoSpaceDE w:val="0"/>
              <w:autoSpaceDN w:val="0"/>
              <w:adjustRightInd w:val="0"/>
              <w:spacing w:line="500" w:lineRule="exact"/>
              <w:contextualSpacing/>
              <w:jc w:val="center"/>
              <w:rPr>
                <w:rFonts w:ascii="宋体" w:hAnsi="宋体" w:cs="宋体"/>
                <w:color w:val="000000" w:themeColor="text1"/>
                <w:kern w:val="0"/>
                <w:sz w:val="24"/>
                <w:szCs w:val="24"/>
                <w14:textFill>
                  <w14:solidFill>
                    <w14:schemeClr w14:val="tx1"/>
                  </w14:solidFill>
                </w14:textFill>
              </w:rPr>
            </w:pPr>
          </w:p>
        </w:tc>
        <w:tc>
          <w:tcPr>
            <w:tcW w:w="1495" w:type="dxa"/>
            <w:gridSpan w:val="2"/>
            <w:vAlign w:val="center"/>
          </w:tcPr>
          <w:p>
            <w:pPr>
              <w:autoSpaceDE w:val="0"/>
              <w:autoSpaceDN w:val="0"/>
              <w:adjustRightInd w:val="0"/>
              <w:spacing w:line="500" w:lineRule="exact"/>
              <w:contextualSpacing/>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电话</w:t>
            </w:r>
          </w:p>
        </w:tc>
        <w:tc>
          <w:tcPr>
            <w:tcW w:w="2540" w:type="dxa"/>
            <w:gridSpan w:val="3"/>
            <w:vAlign w:val="center"/>
          </w:tcPr>
          <w:p>
            <w:pPr>
              <w:autoSpaceDE w:val="0"/>
              <w:autoSpaceDN w:val="0"/>
              <w:adjustRightInd w:val="0"/>
              <w:spacing w:line="500" w:lineRule="exact"/>
              <w:contextualSpacing/>
              <w:jc w:val="center"/>
              <w:rPr>
                <w:rFonts w:ascii="宋体" w:hAnsi="宋体" w:cs="宋体"/>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8" w:hRule="atLeast"/>
          <w:jc w:val="center"/>
        </w:trPr>
        <w:tc>
          <w:tcPr>
            <w:tcW w:w="1723" w:type="dxa"/>
            <w:vMerge w:val="continue"/>
            <w:vAlign w:val="center"/>
          </w:tcPr>
          <w:p>
            <w:pPr>
              <w:widowControl/>
              <w:spacing w:line="500" w:lineRule="exact"/>
              <w:contextualSpacing/>
              <w:jc w:val="left"/>
              <w:rPr>
                <w:rFonts w:ascii="宋体" w:hAnsi="宋体" w:cs="宋体"/>
                <w:color w:val="000000" w:themeColor="text1"/>
                <w:kern w:val="0"/>
                <w:sz w:val="24"/>
                <w:szCs w:val="24"/>
                <w14:textFill>
                  <w14:solidFill>
                    <w14:schemeClr w14:val="tx1"/>
                  </w14:solidFill>
                </w14:textFill>
              </w:rPr>
            </w:pPr>
          </w:p>
        </w:tc>
        <w:tc>
          <w:tcPr>
            <w:tcW w:w="1083" w:type="dxa"/>
            <w:vAlign w:val="center"/>
          </w:tcPr>
          <w:p>
            <w:pPr>
              <w:autoSpaceDE w:val="0"/>
              <w:autoSpaceDN w:val="0"/>
              <w:adjustRightInd w:val="0"/>
              <w:spacing w:line="500" w:lineRule="exact"/>
              <w:contextualSpacing/>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传真</w:t>
            </w:r>
          </w:p>
        </w:tc>
        <w:tc>
          <w:tcPr>
            <w:tcW w:w="2807" w:type="dxa"/>
            <w:gridSpan w:val="2"/>
            <w:vAlign w:val="center"/>
          </w:tcPr>
          <w:p>
            <w:pPr>
              <w:autoSpaceDE w:val="0"/>
              <w:autoSpaceDN w:val="0"/>
              <w:adjustRightInd w:val="0"/>
              <w:spacing w:line="500" w:lineRule="exact"/>
              <w:contextualSpacing/>
              <w:jc w:val="center"/>
              <w:rPr>
                <w:rFonts w:ascii="宋体" w:hAnsi="宋体" w:cs="宋体"/>
                <w:color w:val="000000" w:themeColor="text1"/>
                <w:kern w:val="0"/>
                <w:sz w:val="24"/>
                <w:szCs w:val="24"/>
                <w14:textFill>
                  <w14:solidFill>
                    <w14:schemeClr w14:val="tx1"/>
                  </w14:solidFill>
                </w14:textFill>
              </w:rPr>
            </w:pPr>
          </w:p>
        </w:tc>
        <w:tc>
          <w:tcPr>
            <w:tcW w:w="1495" w:type="dxa"/>
            <w:gridSpan w:val="2"/>
            <w:vAlign w:val="center"/>
          </w:tcPr>
          <w:p>
            <w:pPr>
              <w:autoSpaceDE w:val="0"/>
              <w:autoSpaceDN w:val="0"/>
              <w:adjustRightInd w:val="0"/>
              <w:spacing w:line="500" w:lineRule="exact"/>
              <w:contextualSpacing/>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网址</w:t>
            </w:r>
          </w:p>
        </w:tc>
        <w:tc>
          <w:tcPr>
            <w:tcW w:w="2540" w:type="dxa"/>
            <w:gridSpan w:val="3"/>
            <w:vAlign w:val="center"/>
          </w:tcPr>
          <w:p>
            <w:pPr>
              <w:autoSpaceDE w:val="0"/>
              <w:autoSpaceDN w:val="0"/>
              <w:adjustRightInd w:val="0"/>
              <w:spacing w:line="500" w:lineRule="exact"/>
              <w:contextualSpacing/>
              <w:jc w:val="center"/>
              <w:rPr>
                <w:rFonts w:ascii="宋体" w:hAnsi="宋体" w:cs="宋体"/>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jc w:val="center"/>
        </w:trPr>
        <w:tc>
          <w:tcPr>
            <w:tcW w:w="1723" w:type="dxa"/>
            <w:vAlign w:val="center"/>
          </w:tcPr>
          <w:p>
            <w:pPr>
              <w:autoSpaceDE w:val="0"/>
              <w:autoSpaceDN w:val="0"/>
              <w:adjustRightInd w:val="0"/>
              <w:spacing w:line="500" w:lineRule="exact"/>
              <w:contextualSpacing/>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组织结构</w:t>
            </w:r>
          </w:p>
        </w:tc>
        <w:tc>
          <w:tcPr>
            <w:tcW w:w="7925" w:type="dxa"/>
            <w:gridSpan w:val="8"/>
            <w:vAlign w:val="center"/>
          </w:tcPr>
          <w:p>
            <w:pPr>
              <w:autoSpaceDE w:val="0"/>
              <w:autoSpaceDN w:val="0"/>
              <w:adjustRightInd w:val="0"/>
              <w:spacing w:line="500" w:lineRule="exact"/>
              <w:contextualSpacing/>
              <w:jc w:val="center"/>
              <w:rPr>
                <w:rFonts w:ascii="宋体" w:hAnsi="宋体" w:cs="宋体"/>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723" w:type="dxa"/>
            <w:vAlign w:val="center"/>
          </w:tcPr>
          <w:p>
            <w:pPr>
              <w:autoSpaceDE w:val="0"/>
              <w:autoSpaceDN w:val="0"/>
              <w:adjustRightInd w:val="0"/>
              <w:spacing w:line="500" w:lineRule="exact"/>
              <w:contextualSpacing/>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法定代表人</w:t>
            </w:r>
          </w:p>
        </w:tc>
        <w:tc>
          <w:tcPr>
            <w:tcW w:w="1083" w:type="dxa"/>
            <w:vAlign w:val="center"/>
          </w:tcPr>
          <w:p>
            <w:pPr>
              <w:autoSpaceDE w:val="0"/>
              <w:autoSpaceDN w:val="0"/>
              <w:adjustRightInd w:val="0"/>
              <w:spacing w:line="500" w:lineRule="exact"/>
              <w:contextualSpacing/>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姓名</w:t>
            </w:r>
          </w:p>
        </w:tc>
        <w:tc>
          <w:tcPr>
            <w:tcW w:w="1403" w:type="dxa"/>
            <w:vAlign w:val="center"/>
          </w:tcPr>
          <w:p>
            <w:pPr>
              <w:autoSpaceDE w:val="0"/>
              <w:autoSpaceDN w:val="0"/>
              <w:adjustRightInd w:val="0"/>
              <w:spacing w:line="500" w:lineRule="exact"/>
              <w:contextualSpacing/>
              <w:jc w:val="center"/>
              <w:rPr>
                <w:rFonts w:ascii="宋体" w:hAnsi="宋体" w:cs="宋体"/>
                <w:color w:val="000000" w:themeColor="text1"/>
                <w:kern w:val="0"/>
                <w:sz w:val="24"/>
                <w:szCs w:val="24"/>
                <w14:textFill>
                  <w14:solidFill>
                    <w14:schemeClr w14:val="tx1"/>
                  </w14:solidFill>
                </w14:textFill>
              </w:rPr>
            </w:pPr>
          </w:p>
        </w:tc>
        <w:tc>
          <w:tcPr>
            <w:tcW w:w="1404" w:type="dxa"/>
            <w:vAlign w:val="center"/>
          </w:tcPr>
          <w:p>
            <w:pPr>
              <w:autoSpaceDE w:val="0"/>
              <w:autoSpaceDN w:val="0"/>
              <w:adjustRightInd w:val="0"/>
              <w:spacing w:line="500" w:lineRule="exact"/>
              <w:contextualSpacing/>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技术职称</w:t>
            </w:r>
          </w:p>
        </w:tc>
        <w:tc>
          <w:tcPr>
            <w:tcW w:w="1495" w:type="dxa"/>
            <w:gridSpan w:val="2"/>
            <w:vAlign w:val="center"/>
          </w:tcPr>
          <w:p>
            <w:pPr>
              <w:autoSpaceDE w:val="0"/>
              <w:autoSpaceDN w:val="0"/>
              <w:adjustRightInd w:val="0"/>
              <w:spacing w:line="500" w:lineRule="exact"/>
              <w:contextualSpacing/>
              <w:jc w:val="center"/>
              <w:rPr>
                <w:rFonts w:ascii="宋体" w:hAnsi="宋体" w:cs="宋体"/>
                <w:color w:val="000000" w:themeColor="text1"/>
                <w:kern w:val="0"/>
                <w:sz w:val="24"/>
                <w:szCs w:val="24"/>
                <w14:textFill>
                  <w14:solidFill>
                    <w14:schemeClr w14:val="tx1"/>
                  </w14:solidFill>
                </w14:textFill>
              </w:rPr>
            </w:pPr>
          </w:p>
        </w:tc>
        <w:tc>
          <w:tcPr>
            <w:tcW w:w="1313" w:type="dxa"/>
            <w:gridSpan w:val="2"/>
            <w:vAlign w:val="center"/>
          </w:tcPr>
          <w:p>
            <w:pPr>
              <w:autoSpaceDE w:val="0"/>
              <w:autoSpaceDN w:val="0"/>
              <w:adjustRightInd w:val="0"/>
              <w:spacing w:line="500" w:lineRule="exact"/>
              <w:contextualSpacing/>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电话</w:t>
            </w:r>
          </w:p>
        </w:tc>
        <w:tc>
          <w:tcPr>
            <w:tcW w:w="1227" w:type="dxa"/>
            <w:vAlign w:val="center"/>
          </w:tcPr>
          <w:p>
            <w:pPr>
              <w:autoSpaceDE w:val="0"/>
              <w:autoSpaceDN w:val="0"/>
              <w:adjustRightInd w:val="0"/>
              <w:spacing w:line="500" w:lineRule="exact"/>
              <w:contextualSpacing/>
              <w:jc w:val="center"/>
              <w:rPr>
                <w:rFonts w:ascii="宋体" w:hAnsi="宋体" w:cs="宋体"/>
                <w:b/>
                <w:bCs/>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723" w:type="dxa"/>
            <w:vAlign w:val="center"/>
          </w:tcPr>
          <w:p>
            <w:pPr>
              <w:autoSpaceDE w:val="0"/>
              <w:autoSpaceDN w:val="0"/>
              <w:adjustRightInd w:val="0"/>
              <w:spacing w:line="500" w:lineRule="exact"/>
              <w:contextualSpacing/>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技术负责人</w:t>
            </w:r>
          </w:p>
        </w:tc>
        <w:tc>
          <w:tcPr>
            <w:tcW w:w="1083" w:type="dxa"/>
            <w:vAlign w:val="center"/>
          </w:tcPr>
          <w:p>
            <w:pPr>
              <w:autoSpaceDE w:val="0"/>
              <w:autoSpaceDN w:val="0"/>
              <w:adjustRightInd w:val="0"/>
              <w:spacing w:line="500" w:lineRule="exact"/>
              <w:contextualSpacing/>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姓名</w:t>
            </w:r>
          </w:p>
        </w:tc>
        <w:tc>
          <w:tcPr>
            <w:tcW w:w="1403" w:type="dxa"/>
            <w:vAlign w:val="center"/>
          </w:tcPr>
          <w:p>
            <w:pPr>
              <w:autoSpaceDE w:val="0"/>
              <w:autoSpaceDN w:val="0"/>
              <w:adjustRightInd w:val="0"/>
              <w:spacing w:line="500" w:lineRule="exact"/>
              <w:contextualSpacing/>
              <w:jc w:val="center"/>
              <w:rPr>
                <w:rFonts w:ascii="宋体" w:hAnsi="宋体" w:cs="宋体"/>
                <w:color w:val="000000" w:themeColor="text1"/>
                <w:kern w:val="0"/>
                <w:sz w:val="24"/>
                <w:szCs w:val="24"/>
                <w14:textFill>
                  <w14:solidFill>
                    <w14:schemeClr w14:val="tx1"/>
                  </w14:solidFill>
                </w14:textFill>
              </w:rPr>
            </w:pPr>
          </w:p>
        </w:tc>
        <w:tc>
          <w:tcPr>
            <w:tcW w:w="1404" w:type="dxa"/>
            <w:vAlign w:val="center"/>
          </w:tcPr>
          <w:p>
            <w:pPr>
              <w:autoSpaceDE w:val="0"/>
              <w:autoSpaceDN w:val="0"/>
              <w:adjustRightInd w:val="0"/>
              <w:spacing w:line="500" w:lineRule="exact"/>
              <w:contextualSpacing/>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技术职称</w:t>
            </w:r>
          </w:p>
        </w:tc>
        <w:tc>
          <w:tcPr>
            <w:tcW w:w="1495" w:type="dxa"/>
            <w:gridSpan w:val="2"/>
            <w:vAlign w:val="center"/>
          </w:tcPr>
          <w:p>
            <w:pPr>
              <w:autoSpaceDE w:val="0"/>
              <w:autoSpaceDN w:val="0"/>
              <w:adjustRightInd w:val="0"/>
              <w:spacing w:line="500" w:lineRule="exact"/>
              <w:contextualSpacing/>
              <w:jc w:val="center"/>
              <w:rPr>
                <w:rFonts w:ascii="宋体" w:hAnsi="宋体" w:cs="宋体"/>
                <w:color w:val="000000" w:themeColor="text1"/>
                <w:kern w:val="0"/>
                <w:sz w:val="24"/>
                <w:szCs w:val="24"/>
                <w14:textFill>
                  <w14:solidFill>
                    <w14:schemeClr w14:val="tx1"/>
                  </w14:solidFill>
                </w14:textFill>
              </w:rPr>
            </w:pPr>
          </w:p>
        </w:tc>
        <w:tc>
          <w:tcPr>
            <w:tcW w:w="1313" w:type="dxa"/>
            <w:gridSpan w:val="2"/>
            <w:vAlign w:val="center"/>
          </w:tcPr>
          <w:p>
            <w:pPr>
              <w:autoSpaceDE w:val="0"/>
              <w:autoSpaceDN w:val="0"/>
              <w:adjustRightInd w:val="0"/>
              <w:spacing w:line="500" w:lineRule="exact"/>
              <w:contextualSpacing/>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电话</w:t>
            </w:r>
          </w:p>
        </w:tc>
        <w:tc>
          <w:tcPr>
            <w:tcW w:w="1227" w:type="dxa"/>
            <w:vAlign w:val="center"/>
          </w:tcPr>
          <w:p>
            <w:pPr>
              <w:autoSpaceDE w:val="0"/>
              <w:autoSpaceDN w:val="0"/>
              <w:adjustRightInd w:val="0"/>
              <w:spacing w:line="500" w:lineRule="exact"/>
              <w:contextualSpacing/>
              <w:jc w:val="center"/>
              <w:rPr>
                <w:rFonts w:ascii="宋体" w:hAnsi="宋体" w:cs="宋体"/>
                <w:b/>
                <w:bCs/>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jc w:val="center"/>
        </w:trPr>
        <w:tc>
          <w:tcPr>
            <w:tcW w:w="1723" w:type="dxa"/>
            <w:vAlign w:val="center"/>
          </w:tcPr>
          <w:p>
            <w:pPr>
              <w:autoSpaceDE w:val="0"/>
              <w:autoSpaceDN w:val="0"/>
              <w:adjustRightInd w:val="0"/>
              <w:spacing w:line="500" w:lineRule="exact"/>
              <w:contextualSpacing/>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成立时间</w:t>
            </w:r>
          </w:p>
        </w:tc>
        <w:tc>
          <w:tcPr>
            <w:tcW w:w="2486" w:type="dxa"/>
            <w:gridSpan w:val="2"/>
            <w:vAlign w:val="center"/>
          </w:tcPr>
          <w:p>
            <w:pPr>
              <w:autoSpaceDE w:val="0"/>
              <w:autoSpaceDN w:val="0"/>
              <w:adjustRightInd w:val="0"/>
              <w:spacing w:line="500" w:lineRule="exact"/>
              <w:contextualSpacing/>
              <w:jc w:val="center"/>
              <w:rPr>
                <w:rFonts w:ascii="宋体" w:hAnsi="宋体" w:cs="宋体"/>
                <w:color w:val="000000" w:themeColor="text1"/>
                <w:kern w:val="0"/>
                <w:sz w:val="24"/>
                <w:szCs w:val="24"/>
                <w14:textFill>
                  <w14:solidFill>
                    <w14:schemeClr w14:val="tx1"/>
                  </w14:solidFill>
                </w14:textFill>
              </w:rPr>
            </w:pPr>
          </w:p>
        </w:tc>
        <w:tc>
          <w:tcPr>
            <w:tcW w:w="5439" w:type="dxa"/>
            <w:gridSpan w:val="6"/>
            <w:vAlign w:val="center"/>
          </w:tcPr>
          <w:p>
            <w:pPr>
              <w:autoSpaceDE w:val="0"/>
              <w:autoSpaceDN w:val="0"/>
              <w:adjustRightInd w:val="0"/>
              <w:spacing w:line="500" w:lineRule="exact"/>
              <w:ind w:firstLine="1680" w:firstLineChars="700"/>
              <w:contextualSpacing/>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员工总人数：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jc w:val="center"/>
        </w:trPr>
        <w:tc>
          <w:tcPr>
            <w:tcW w:w="1723" w:type="dxa"/>
            <w:vAlign w:val="center"/>
          </w:tcPr>
          <w:p>
            <w:pPr>
              <w:autoSpaceDE w:val="0"/>
              <w:autoSpaceDN w:val="0"/>
              <w:adjustRightInd w:val="0"/>
              <w:spacing w:line="500" w:lineRule="exact"/>
              <w:contextualSpacing/>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企业资质等级</w:t>
            </w:r>
          </w:p>
        </w:tc>
        <w:tc>
          <w:tcPr>
            <w:tcW w:w="2486" w:type="dxa"/>
            <w:gridSpan w:val="2"/>
            <w:vAlign w:val="center"/>
          </w:tcPr>
          <w:p>
            <w:pPr>
              <w:autoSpaceDE w:val="0"/>
              <w:autoSpaceDN w:val="0"/>
              <w:adjustRightInd w:val="0"/>
              <w:spacing w:line="500" w:lineRule="exact"/>
              <w:contextualSpacing/>
              <w:jc w:val="center"/>
              <w:rPr>
                <w:rFonts w:ascii="宋体" w:hAnsi="宋体" w:cs="宋体"/>
                <w:color w:val="000000" w:themeColor="text1"/>
                <w:kern w:val="0"/>
                <w:sz w:val="24"/>
                <w:szCs w:val="24"/>
                <w14:textFill>
                  <w14:solidFill>
                    <w14:schemeClr w14:val="tx1"/>
                  </w14:solidFill>
                </w14:textFill>
              </w:rPr>
            </w:pPr>
          </w:p>
        </w:tc>
        <w:tc>
          <w:tcPr>
            <w:tcW w:w="1404" w:type="dxa"/>
            <w:vMerge w:val="restart"/>
            <w:vAlign w:val="center"/>
          </w:tcPr>
          <w:p>
            <w:pPr>
              <w:autoSpaceDE w:val="0"/>
              <w:autoSpaceDN w:val="0"/>
              <w:adjustRightInd w:val="0"/>
              <w:spacing w:line="500" w:lineRule="exact"/>
              <w:contextualSpacing/>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其中</w:t>
            </w:r>
          </w:p>
        </w:tc>
        <w:tc>
          <w:tcPr>
            <w:tcW w:w="1674" w:type="dxa"/>
            <w:gridSpan w:val="3"/>
            <w:vAlign w:val="center"/>
          </w:tcPr>
          <w:p>
            <w:pPr>
              <w:autoSpaceDE w:val="0"/>
              <w:autoSpaceDN w:val="0"/>
              <w:adjustRightInd w:val="0"/>
              <w:spacing w:line="500" w:lineRule="exact"/>
              <w:contextualSpacing/>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项目经理</w:t>
            </w:r>
          </w:p>
        </w:tc>
        <w:tc>
          <w:tcPr>
            <w:tcW w:w="2361" w:type="dxa"/>
            <w:gridSpan w:val="2"/>
            <w:vAlign w:val="center"/>
          </w:tcPr>
          <w:p>
            <w:pPr>
              <w:autoSpaceDE w:val="0"/>
              <w:autoSpaceDN w:val="0"/>
              <w:adjustRightInd w:val="0"/>
              <w:spacing w:line="500" w:lineRule="exact"/>
              <w:contextualSpacing/>
              <w:jc w:val="center"/>
              <w:rPr>
                <w:rFonts w:ascii="宋体" w:hAnsi="宋体" w:cs="宋体"/>
                <w:b/>
                <w:bCs/>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jc w:val="center"/>
        </w:trPr>
        <w:tc>
          <w:tcPr>
            <w:tcW w:w="1723" w:type="dxa"/>
            <w:vAlign w:val="center"/>
          </w:tcPr>
          <w:p>
            <w:pPr>
              <w:autoSpaceDE w:val="0"/>
              <w:autoSpaceDN w:val="0"/>
              <w:adjustRightInd w:val="0"/>
              <w:spacing w:line="500" w:lineRule="exact"/>
              <w:contextualSpacing/>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营业执照号</w:t>
            </w:r>
          </w:p>
        </w:tc>
        <w:tc>
          <w:tcPr>
            <w:tcW w:w="2486" w:type="dxa"/>
            <w:gridSpan w:val="2"/>
            <w:vAlign w:val="center"/>
          </w:tcPr>
          <w:p>
            <w:pPr>
              <w:autoSpaceDE w:val="0"/>
              <w:autoSpaceDN w:val="0"/>
              <w:adjustRightInd w:val="0"/>
              <w:spacing w:line="500" w:lineRule="exact"/>
              <w:contextualSpacing/>
              <w:jc w:val="center"/>
              <w:rPr>
                <w:rFonts w:ascii="宋体" w:hAnsi="宋体" w:cs="宋体"/>
                <w:color w:val="000000" w:themeColor="text1"/>
                <w:kern w:val="0"/>
                <w:sz w:val="24"/>
                <w:szCs w:val="24"/>
                <w14:textFill>
                  <w14:solidFill>
                    <w14:schemeClr w14:val="tx1"/>
                  </w14:solidFill>
                </w14:textFill>
              </w:rPr>
            </w:pPr>
          </w:p>
        </w:tc>
        <w:tc>
          <w:tcPr>
            <w:tcW w:w="1404" w:type="dxa"/>
            <w:vMerge w:val="continue"/>
            <w:vAlign w:val="center"/>
          </w:tcPr>
          <w:p>
            <w:pPr>
              <w:widowControl/>
              <w:spacing w:line="500" w:lineRule="exact"/>
              <w:contextualSpacing/>
              <w:jc w:val="left"/>
              <w:rPr>
                <w:rFonts w:ascii="宋体" w:hAnsi="宋体" w:cs="宋体"/>
                <w:color w:val="000000" w:themeColor="text1"/>
                <w:kern w:val="0"/>
                <w:sz w:val="24"/>
                <w:szCs w:val="24"/>
                <w14:textFill>
                  <w14:solidFill>
                    <w14:schemeClr w14:val="tx1"/>
                  </w14:solidFill>
                </w14:textFill>
              </w:rPr>
            </w:pPr>
          </w:p>
        </w:tc>
        <w:tc>
          <w:tcPr>
            <w:tcW w:w="1674" w:type="dxa"/>
            <w:gridSpan w:val="3"/>
            <w:vAlign w:val="center"/>
          </w:tcPr>
          <w:p>
            <w:pPr>
              <w:autoSpaceDE w:val="0"/>
              <w:autoSpaceDN w:val="0"/>
              <w:adjustRightInd w:val="0"/>
              <w:spacing w:line="500" w:lineRule="exact"/>
              <w:contextualSpacing/>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高级职称人员</w:t>
            </w:r>
          </w:p>
        </w:tc>
        <w:tc>
          <w:tcPr>
            <w:tcW w:w="2361" w:type="dxa"/>
            <w:gridSpan w:val="2"/>
            <w:vAlign w:val="center"/>
          </w:tcPr>
          <w:p>
            <w:pPr>
              <w:autoSpaceDE w:val="0"/>
              <w:autoSpaceDN w:val="0"/>
              <w:adjustRightInd w:val="0"/>
              <w:spacing w:line="500" w:lineRule="exact"/>
              <w:contextualSpacing/>
              <w:jc w:val="center"/>
              <w:rPr>
                <w:rFonts w:ascii="宋体" w:hAnsi="宋体" w:cs="宋体"/>
                <w:b/>
                <w:bCs/>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jc w:val="center"/>
        </w:trPr>
        <w:tc>
          <w:tcPr>
            <w:tcW w:w="1723" w:type="dxa"/>
            <w:vAlign w:val="center"/>
          </w:tcPr>
          <w:p>
            <w:pPr>
              <w:autoSpaceDE w:val="0"/>
              <w:autoSpaceDN w:val="0"/>
              <w:adjustRightInd w:val="0"/>
              <w:spacing w:line="500" w:lineRule="exact"/>
              <w:contextualSpacing/>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注册资金</w:t>
            </w:r>
          </w:p>
        </w:tc>
        <w:tc>
          <w:tcPr>
            <w:tcW w:w="2486" w:type="dxa"/>
            <w:gridSpan w:val="2"/>
            <w:vAlign w:val="center"/>
          </w:tcPr>
          <w:p>
            <w:pPr>
              <w:autoSpaceDE w:val="0"/>
              <w:autoSpaceDN w:val="0"/>
              <w:adjustRightInd w:val="0"/>
              <w:spacing w:line="500" w:lineRule="exact"/>
              <w:contextualSpacing/>
              <w:jc w:val="center"/>
              <w:rPr>
                <w:rFonts w:ascii="宋体" w:hAnsi="宋体" w:cs="宋体"/>
                <w:color w:val="000000" w:themeColor="text1"/>
                <w:kern w:val="0"/>
                <w:sz w:val="24"/>
                <w:szCs w:val="24"/>
                <w14:textFill>
                  <w14:solidFill>
                    <w14:schemeClr w14:val="tx1"/>
                  </w14:solidFill>
                </w14:textFill>
              </w:rPr>
            </w:pPr>
          </w:p>
        </w:tc>
        <w:tc>
          <w:tcPr>
            <w:tcW w:w="1404" w:type="dxa"/>
            <w:vMerge w:val="continue"/>
            <w:vAlign w:val="center"/>
          </w:tcPr>
          <w:p>
            <w:pPr>
              <w:widowControl/>
              <w:spacing w:line="500" w:lineRule="exact"/>
              <w:contextualSpacing/>
              <w:jc w:val="left"/>
              <w:rPr>
                <w:rFonts w:ascii="宋体" w:hAnsi="宋体" w:cs="宋体"/>
                <w:color w:val="000000" w:themeColor="text1"/>
                <w:kern w:val="0"/>
                <w:sz w:val="24"/>
                <w:szCs w:val="24"/>
                <w14:textFill>
                  <w14:solidFill>
                    <w14:schemeClr w14:val="tx1"/>
                  </w14:solidFill>
                </w14:textFill>
              </w:rPr>
            </w:pPr>
          </w:p>
        </w:tc>
        <w:tc>
          <w:tcPr>
            <w:tcW w:w="1674" w:type="dxa"/>
            <w:gridSpan w:val="3"/>
            <w:vAlign w:val="center"/>
          </w:tcPr>
          <w:p>
            <w:pPr>
              <w:autoSpaceDE w:val="0"/>
              <w:autoSpaceDN w:val="0"/>
              <w:adjustRightInd w:val="0"/>
              <w:spacing w:line="500" w:lineRule="exact"/>
              <w:contextualSpacing/>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中级职称人员</w:t>
            </w:r>
          </w:p>
        </w:tc>
        <w:tc>
          <w:tcPr>
            <w:tcW w:w="2361" w:type="dxa"/>
            <w:gridSpan w:val="2"/>
            <w:vAlign w:val="center"/>
          </w:tcPr>
          <w:p>
            <w:pPr>
              <w:autoSpaceDE w:val="0"/>
              <w:autoSpaceDN w:val="0"/>
              <w:adjustRightInd w:val="0"/>
              <w:spacing w:line="500" w:lineRule="exact"/>
              <w:contextualSpacing/>
              <w:jc w:val="center"/>
              <w:rPr>
                <w:rFonts w:ascii="宋体" w:hAnsi="宋体" w:cs="宋体"/>
                <w:b/>
                <w:bCs/>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jc w:val="center"/>
        </w:trPr>
        <w:tc>
          <w:tcPr>
            <w:tcW w:w="1723" w:type="dxa"/>
            <w:vAlign w:val="center"/>
          </w:tcPr>
          <w:p>
            <w:pPr>
              <w:autoSpaceDE w:val="0"/>
              <w:autoSpaceDN w:val="0"/>
              <w:adjustRightInd w:val="0"/>
              <w:spacing w:line="500" w:lineRule="exact"/>
              <w:contextualSpacing/>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开户银行</w:t>
            </w:r>
          </w:p>
        </w:tc>
        <w:tc>
          <w:tcPr>
            <w:tcW w:w="2486" w:type="dxa"/>
            <w:gridSpan w:val="2"/>
            <w:vAlign w:val="center"/>
          </w:tcPr>
          <w:p>
            <w:pPr>
              <w:autoSpaceDE w:val="0"/>
              <w:autoSpaceDN w:val="0"/>
              <w:adjustRightInd w:val="0"/>
              <w:spacing w:line="500" w:lineRule="exact"/>
              <w:contextualSpacing/>
              <w:jc w:val="center"/>
              <w:rPr>
                <w:rFonts w:ascii="宋体" w:hAnsi="宋体" w:cs="宋体"/>
                <w:color w:val="000000" w:themeColor="text1"/>
                <w:kern w:val="0"/>
                <w:sz w:val="24"/>
                <w:szCs w:val="24"/>
                <w14:textFill>
                  <w14:solidFill>
                    <w14:schemeClr w14:val="tx1"/>
                  </w14:solidFill>
                </w14:textFill>
              </w:rPr>
            </w:pPr>
          </w:p>
        </w:tc>
        <w:tc>
          <w:tcPr>
            <w:tcW w:w="1404" w:type="dxa"/>
            <w:vMerge w:val="continue"/>
            <w:vAlign w:val="center"/>
          </w:tcPr>
          <w:p>
            <w:pPr>
              <w:widowControl/>
              <w:spacing w:line="500" w:lineRule="exact"/>
              <w:contextualSpacing/>
              <w:jc w:val="left"/>
              <w:rPr>
                <w:rFonts w:ascii="宋体" w:hAnsi="宋体" w:cs="宋体"/>
                <w:color w:val="000000" w:themeColor="text1"/>
                <w:kern w:val="0"/>
                <w:sz w:val="24"/>
                <w:szCs w:val="24"/>
                <w14:textFill>
                  <w14:solidFill>
                    <w14:schemeClr w14:val="tx1"/>
                  </w14:solidFill>
                </w14:textFill>
              </w:rPr>
            </w:pPr>
          </w:p>
        </w:tc>
        <w:tc>
          <w:tcPr>
            <w:tcW w:w="1674" w:type="dxa"/>
            <w:gridSpan w:val="3"/>
            <w:vAlign w:val="center"/>
          </w:tcPr>
          <w:p>
            <w:pPr>
              <w:autoSpaceDE w:val="0"/>
              <w:autoSpaceDN w:val="0"/>
              <w:adjustRightInd w:val="0"/>
              <w:spacing w:line="500" w:lineRule="exact"/>
              <w:contextualSpacing/>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初级职称人员</w:t>
            </w:r>
          </w:p>
        </w:tc>
        <w:tc>
          <w:tcPr>
            <w:tcW w:w="2361" w:type="dxa"/>
            <w:gridSpan w:val="2"/>
            <w:vAlign w:val="center"/>
          </w:tcPr>
          <w:p>
            <w:pPr>
              <w:autoSpaceDE w:val="0"/>
              <w:autoSpaceDN w:val="0"/>
              <w:adjustRightInd w:val="0"/>
              <w:spacing w:line="500" w:lineRule="exact"/>
              <w:contextualSpacing/>
              <w:jc w:val="center"/>
              <w:rPr>
                <w:rFonts w:ascii="宋体" w:hAnsi="宋体" w:cs="宋体"/>
                <w:b/>
                <w:bCs/>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jc w:val="center"/>
        </w:trPr>
        <w:tc>
          <w:tcPr>
            <w:tcW w:w="1723" w:type="dxa"/>
            <w:vAlign w:val="center"/>
          </w:tcPr>
          <w:p>
            <w:pPr>
              <w:autoSpaceDE w:val="0"/>
              <w:autoSpaceDN w:val="0"/>
              <w:adjustRightInd w:val="0"/>
              <w:spacing w:line="500" w:lineRule="exact"/>
              <w:contextualSpacing/>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账号</w:t>
            </w:r>
          </w:p>
        </w:tc>
        <w:tc>
          <w:tcPr>
            <w:tcW w:w="2486" w:type="dxa"/>
            <w:gridSpan w:val="2"/>
            <w:vAlign w:val="center"/>
          </w:tcPr>
          <w:p>
            <w:pPr>
              <w:autoSpaceDE w:val="0"/>
              <w:autoSpaceDN w:val="0"/>
              <w:adjustRightInd w:val="0"/>
              <w:spacing w:line="500" w:lineRule="exact"/>
              <w:contextualSpacing/>
              <w:jc w:val="center"/>
              <w:rPr>
                <w:rFonts w:ascii="宋体" w:hAnsi="宋体" w:cs="宋体"/>
                <w:color w:val="000000" w:themeColor="text1"/>
                <w:kern w:val="0"/>
                <w:sz w:val="24"/>
                <w:szCs w:val="24"/>
                <w14:textFill>
                  <w14:solidFill>
                    <w14:schemeClr w14:val="tx1"/>
                  </w14:solidFill>
                </w14:textFill>
              </w:rPr>
            </w:pPr>
          </w:p>
        </w:tc>
        <w:tc>
          <w:tcPr>
            <w:tcW w:w="1404" w:type="dxa"/>
            <w:vMerge w:val="continue"/>
            <w:vAlign w:val="center"/>
          </w:tcPr>
          <w:p>
            <w:pPr>
              <w:widowControl/>
              <w:spacing w:line="500" w:lineRule="exact"/>
              <w:contextualSpacing/>
              <w:jc w:val="left"/>
              <w:rPr>
                <w:rFonts w:ascii="宋体" w:hAnsi="宋体" w:cs="宋体"/>
                <w:color w:val="000000" w:themeColor="text1"/>
                <w:kern w:val="0"/>
                <w:sz w:val="24"/>
                <w:szCs w:val="24"/>
                <w14:textFill>
                  <w14:solidFill>
                    <w14:schemeClr w14:val="tx1"/>
                  </w14:solidFill>
                </w14:textFill>
              </w:rPr>
            </w:pPr>
          </w:p>
        </w:tc>
        <w:tc>
          <w:tcPr>
            <w:tcW w:w="1674" w:type="dxa"/>
            <w:gridSpan w:val="3"/>
            <w:vAlign w:val="center"/>
          </w:tcPr>
          <w:p>
            <w:pPr>
              <w:autoSpaceDE w:val="0"/>
              <w:autoSpaceDN w:val="0"/>
              <w:adjustRightInd w:val="0"/>
              <w:spacing w:line="500" w:lineRule="exact"/>
              <w:contextualSpacing/>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技工</w:t>
            </w:r>
          </w:p>
        </w:tc>
        <w:tc>
          <w:tcPr>
            <w:tcW w:w="2361" w:type="dxa"/>
            <w:gridSpan w:val="2"/>
            <w:vAlign w:val="center"/>
          </w:tcPr>
          <w:p>
            <w:pPr>
              <w:autoSpaceDE w:val="0"/>
              <w:autoSpaceDN w:val="0"/>
              <w:adjustRightInd w:val="0"/>
              <w:spacing w:line="500" w:lineRule="exact"/>
              <w:contextualSpacing/>
              <w:jc w:val="center"/>
              <w:rPr>
                <w:rFonts w:ascii="宋体" w:hAnsi="宋体" w:cs="宋体"/>
                <w:b/>
                <w:bCs/>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42" w:hRule="atLeast"/>
          <w:jc w:val="center"/>
        </w:trPr>
        <w:tc>
          <w:tcPr>
            <w:tcW w:w="1723" w:type="dxa"/>
            <w:vAlign w:val="center"/>
          </w:tcPr>
          <w:p>
            <w:pPr>
              <w:autoSpaceDE w:val="0"/>
              <w:autoSpaceDN w:val="0"/>
              <w:adjustRightInd w:val="0"/>
              <w:spacing w:line="500" w:lineRule="exact"/>
              <w:contextualSpacing/>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经营范围</w:t>
            </w:r>
          </w:p>
        </w:tc>
        <w:tc>
          <w:tcPr>
            <w:tcW w:w="7925" w:type="dxa"/>
            <w:gridSpan w:val="8"/>
            <w:vAlign w:val="center"/>
          </w:tcPr>
          <w:p>
            <w:pPr>
              <w:autoSpaceDE w:val="0"/>
              <w:autoSpaceDN w:val="0"/>
              <w:adjustRightInd w:val="0"/>
              <w:spacing w:line="500" w:lineRule="exact"/>
              <w:contextualSpacing/>
              <w:rPr>
                <w:rFonts w:ascii="宋体" w:hAnsi="宋体" w:cs="宋体"/>
                <w:b/>
                <w:bCs/>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2" w:hRule="atLeast"/>
          <w:jc w:val="center"/>
        </w:trPr>
        <w:tc>
          <w:tcPr>
            <w:tcW w:w="1723" w:type="dxa"/>
          </w:tcPr>
          <w:p>
            <w:pPr>
              <w:autoSpaceDE w:val="0"/>
              <w:autoSpaceDN w:val="0"/>
              <w:adjustRightInd w:val="0"/>
              <w:spacing w:line="500" w:lineRule="exact"/>
              <w:contextualSpacing/>
              <w:jc w:val="cente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备注</w:t>
            </w:r>
          </w:p>
        </w:tc>
        <w:tc>
          <w:tcPr>
            <w:tcW w:w="7925" w:type="dxa"/>
            <w:gridSpan w:val="8"/>
          </w:tcPr>
          <w:p>
            <w:pPr>
              <w:autoSpaceDE w:val="0"/>
              <w:autoSpaceDN w:val="0"/>
              <w:adjustRightInd w:val="0"/>
              <w:spacing w:line="500" w:lineRule="exact"/>
              <w:contextualSpacing/>
              <w:jc w:val="left"/>
              <w:rPr>
                <w:rFonts w:ascii="宋体" w:hAnsi="宋体" w:cs="宋体"/>
                <w:color w:val="000000" w:themeColor="text1"/>
                <w:kern w:val="0"/>
                <w:sz w:val="24"/>
                <w:szCs w:val="24"/>
                <w14:textFill>
                  <w14:solidFill>
                    <w14:schemeClr w14:val="tx1"/>
                  </w14:solidFill>
                </w14:textFill>
              </w:rPr>
            </w:pPr>
          </w:p>
        </w:tc>
      </w:tr>
    </w:tbl>
    <w:p>
      <w:pPr>
        <w:spacing w:line="500" w:lineRule="exact"/>
        <w:contextualSpacing/>
        <w:outlineLvl w:val="1"/>
        <w:rPr>
          <w:rFonts w:ascii="宋体" w:hAnsi="宋体" w:cs="宋体"/>
          <w:b/>
          <w:color w:val="000000" w:themeColor="text1"/>
          <w:sz w:val="24"/>
          <w:szCs w:val="24"/>
          <w14:textFill>
            <w14:solidFill>
              <w14:schemeClr w14:val="tx1"/>
            </w14:solidFill>
          </w14:textFill>
        </w:rPr>
      </w:pPr>
    </w:p>
    <w:p>
      <w:pPr>
        <w:adjustRightInd w:val="0"/>
        <w:spacing w:line="500" w:lineRule="exact"/>
        <w:ind w:firstLine="480" w:firstLineChars="200"/>
        <w:contextualSpacing/>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投标人名称：（盖章）</w:t>
      </w:r>
    </w:p>
    <w:p>
      <w:pPr>
        <w:adjustRightInd w:val="0"/>
        <w:spacing w:line="500" w:lineRule="exact"/>
        <w:ind w:firstLine="480" w:firstLineChars="200"/>
        <w:contextualSpacing/>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法定代表人或授权代表（签字）：_</w:t>
      </w:r>
      <w:r>
        <w:rPr>
          <w:rFonts w:hint="eastAsia" w:ascii="宋体" w:hAnsi="宋体" w:cs="宋体"/>
          <w:color w:val="000000" w:themeColor="text1"/>
          <w:sz w:val="24"/>
          <w:szCs w:val="24"/>
          <w14:textFill>
            <w14:solidFill>
              <w14:schemeClr w14:val="tx1"/>
            </w14:solidFill>
          </w14:textFill>
        </w:rPr>
        <w:softHyphen/>
      </w:r>
      <w:r>
        <w:rPr>
          <w:rFonts w:hint="eastAsia" w:ascii="宋体" w:hAnsi="宋体" w:cs="宋体"/>
          <w:color w:val="000000" w:themeColor="text1"/>
          <w:sz w:val="24"/>
          <w:szCs w:val="24"/>
          <w14:textFill>
            <w14:solidFill>
              <w14:schemeClr w14:val="tx1"/>
            </w14:solidFill>
          </w14:textFill>
        </w:rPr>
        <w:softHyphen/>
      </w:r>
      <w:r>
        <w:rPr>
          <w:rFonts w:hint="eastAsia" w:ascii="宋体" w:hAnsi="宋体" w:cs="宋体"/>
          <w:color w:val="000000" w:themeColor="text1"/>
          <w:sz w:val="24"/>
          <w:szCs w:val="24"/>
          <w14:textFill>
            <w14:solidFill>
              <w14:schemeClr w14:val="tx1"/>
            </w14:solidFill>
          </w14:textFill>
        </w:rPr>
        <w:softHyphen/>
      </w:r>
      <w:r>
        <w:rPr>
          <w:rFonts w:hint="eastAsia" w:ascii="宋体" w:hAnsi="宋体" w:cs="宋体"/>
          <w:color w:val="000000" w:themeColor="text1"/>
          <w:sz w:val="24"/>
          <w:szCs w:val="24"/>
          <w14:textFill>
            <w14:solidFill>
              <w14:schemeClr w14:val="tx1"/>
            </w14:solidFill>
          </w14:textFill>
        </w:rPr>
        <w:t>__</w:t>
      </w:r>
      <w:r>
        <w:rPr>
          <w:rFonts w:hint="eastAsia" w:ascii="宋体" w:hAnsi="宋体" w:cs="宋体"/>
          <w:color w:val="000000" w:themeColor="text1"/>
          <w:sz w:val="24"/>
          <w:szCs w:val="24"/>
          <w14:textFill>
            <w14:solidFill>
              <w14:schemeClr w14:val="tx1"/>
            </w14:solidFill>
          </w14:textFill>
        </w:rPr>
        <w:softHyphen/>
      </w:r>
      <w:r>
        <w:rPr>
          <w:rFonts w:hint="eastAsia" w:ascii="宋体" w:hAnsi="宋体" w:cs="宋体"/>
          <w:color w:val="000000" w:themeColor="text1"/>
          <w:sz w:val="24"/>
          <w:szCs w:val="24"/>
          <w14:textFill>
            <w14:solidFill>
              <w14:schemeClr w14:val="tx1"/>
            </w14:solidFill>
          </w14:textFill>
        </w:rPr>
        <w:softHyphen/>
      </w:r>
      <w:r>
        <w:rPr>
          <w:rFonts w:hint="eastAsia" w:ascii="宋体" w:hAnsi="宋体" w:cs="宋体"/>
          <w:color w:val="000000" w:themeColor="text1"/>
          <w:sz w:val="24"/>
          <w:szCs w:val="24"/>
          <w14:textFill>
            <w14:solidFill>
              <w14:schemeClr w14:val="tx1"/>
            </w14:solidFill>
          </w14:textFill>
        </w:rPr>
        <w:softHyphen/>
      </w:r>
      <w:r>
        <w:rPr>
          <w:rFonts w:hint="eastAsia" w:ascii="宋体" w:hAnsi="宋体" w:cs="宋体"/>
          <w:color w:val="000000" w:themeColor="text1"/>
          <w:sz w:val="24"/>
          <w:szCs w:val="24"/>
          <w14:textFill>
            <w14:solidFill>
              <w14:schemeClr w14:val="tx1"/>
            </w14:solidFill>
          </w14:textFill>
        </w:rPr>
        <w:softHyphen/>
      </w:r>
      <w:r>
        <w:rPr>
          <w:rFonts w:hint="eastAsia" w:ascii="宋体" w:hAnsi="宋体" w:cs="宋体"/>
          <w:color w:val="000000" w:themeColor="text1"/>
          <w:sz w:val="24"/>
          <w:szCs w:val="24"/>
          <w14:textFill>
            <w14:solidFill>
              <w14:schemeClr w14:val="tx1"/>
            </w14:solidFill>
          </w14:textFill>
        </w:rPr>
        <w:softHyphen/>
      </w:r>
      <w:r>
        <w:rPr>
          <w:rFonts w:hint="eastAsia" w:ascii="宋体" w:hAnsi="宋体" w:cs="宋体"/>
          <w:color w:val="000000" w:themeColor="text1"/>
          <w:sz w:val="24"/>
          <w:szCs w:val="24"/>
          <w14:textFill>
            <w14:solidFill>
              <w14:schemeClr w14:val="tx1"/>
            </w14:solidFill>
          </w14:textFill>
        </w:rPr>
        <w:softHyphen/>
      </w:r>
      <w:r>
        <w:rPr>
          <w:rFonts w:hint="eastAsia" w:ascii="宋体" w:hAnsi="宋体" w:cs="宋体"/>
          <w:color w:val="000000" w:themeColor="text1"/>
          <w:sz w:val="24"/>
          <w:szCs w:val="24"/>
          <w14:textFill>
            <w14:solidFill>
              <w14:schemeClr w14:val="tx1"/>
            </w14:solidFill>
          </w14:textFill>
        </w:rPr>
        <w:t>__________________</w:t>
      </w:r>
    </w:p>
    <w:p>
      <w:pPr>
        <w:widowControl/>
        <w:spacing w:beforeAutospacing="1" w:afterAutospacing="1" w:line="500" w:lineRule="exact"/>
        <w:contextualSpacing/>
        <w:jc w:val="left"/>
        <w:rPr>
          <w:rFonts w:ascii="宋体" w:hAnsi="宋体" w:cs="宋体"/>
          <w:b/>
          <w:bCs/>
          <w:color w:val="000000" w:themeColor="text1"/>
          <w:sz w:val="24"/>
          <w:szCs w:val="24"/>
          <w14:textFill>
            <w14:solidFill>
              <w14:schemeClr w14:val="tx1"/>
            </w14:solidFill>
          </w14:textFill>
        </w:rPr>
      </w:pPr>
    </w:p>
    <w:p>
      <w:pPr>
        <w:spacing w:line="500" w:lineRule="exact"/>
        <w:ind w:firstLine="6960" w:firstLineChars="2900"/>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年　　月　　日</w:t>
      </w:r>
    </w:p>
    <w:p>
      <w:pPr>
        <w:spacing w:line="500" w:lineRule="exact"/>
        <w:contextualSpacing/>
        <w:rPr>
          <w:rFonts w:ascii="宋体" w:hAnsi="宋体" w:cs="宋体"/>
          <w:color w:val="000000" w:themeColor="text1"/>
          <w:sz w:val="24"/>
          <w:szCs w:val="24"/>
          <w14:textFill>
            <w14:solidFill>
              <w14:schemeClr w14:val="tx1"/>
            </w14:solidFill>
          </w14:textFill>
        </w:rPr>
      </w:pPr>
    </w:p>
    <w:p>
      <w:pPr>
        <w:pStyle w:val="5"/>
        <w:spacing w:line="500" w:lineRule="exact"/>
        <w:contextualSpacing/>
        <w:rPr>
          <w:rFonts w:ascii="宋体" w:hAnsi="宋体" w:cs="宋体"/>
          <w:color w:val="000000" w:themeColor="text1"/>
          <w:sz w:val="24"/>
          <w:szCs w:val="24"/>
          <w14:textFill>
            <w14:solidFill>
              <w14:schemeClr w14:val="tx1"/>
            </w14:solidFill>
          </w14:textFill>
        </w:rPr>
      </w:pPr>
      <w:bookmarkStart w:id="256" w:name="_Toc487728232"/>
      <w:bookmarkStart w:id="257" w:name="_Toc21251"/>
      <w:bookmarkStart w:id="258" w:name="_Toc18239"/>
      <w:r>
        <w:rPr>
          <w:rFonts w:hint="eastAsia" w:ascii="宋体" w:hAnsi="宋体" w:cs="宋体"/>
          <w:color w:val="000000" w:themeColor="text1"/>
          <w:sz w:val="24"/>
          <w:szCs w:val="24"/>
          <w14:textFill>
            <w14:solidFill>
              <w14:schemeClr w14:val="tx1"/>
            </w14:solidFill>
          </w14:textFill>
        </w:rPr>
        <w:t>九、投标人本项目管理、技术、服务人员情况表</w:t>
      </w:r>
      <w:bookmarkEnd w:id="256"/>
      <w:bookmarkEnd w:id="257"/>
      <w:bookmarkEnd w:id="258"/>
    </w:p>
    <w:p>
      <w:pPr>
        <w:spacing w:line="500" w:lineRule="exact"/>
        <w:contextualSpacing/>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招标编号：</w:t>
      </w:r>
    </w:p>
    <w:tbl>
      <w:tblPr>
        <w:tblStyle w:val="36"/>
        <w:tblW w:w="91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7"/>
        <w:gridCol w:w="1649"/>
        <w:gridCol w:w="901"/>
        <w:gridCol w:w="901"/>
        <w:gridCol w:w="901"/>
        <w:gridCol w:w="1291"/>
        <w:gridCol w:w="992"/>
        <w:gridCol w:w="850"/>
        <w:gridCol w:w="8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767" w:type="dxa"/>
            <w:vMerge w:val="restart"/>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cs="宋体"/>
                <w:color w:val="000000"/>
                <w:sz w:val="24"/>
                <w:szCs w:val="24"/>
              </w:rPr>
            </w:pPr>
            <w:r>
              <w:rPr>
                <w:rFonts w:hint="eastAsia" w:ascii="宋体" w:hAnsi="宋体" w:cs="宋体"/>
                <w:color w:val="000000"/>
                <w:sz w:val="24"/>
                <w:szCs w:val="24"/>
              </w:rPr>
              <w:t>类别</w:t>
            </w:r>
          </w:p>
        </w:tc>
        <w:tc>
          <w:tcPr>
            <w:tcW w:w="1649" w:type="dxa"/>
            <w:vMerge w:val="restart"/>
            <w:tcBorders>
              <w:top w:val="single" w:color="auto" w:sz="4" w:space="0"/>
              <w:left w:val="nil"/>
              <w:bottom w:val="single" w:color="auto" w:sz="4" w:space="0"/>
              <w:right w:val="single" w:color="auto" w:sz="4" w:space="0"/>
            </w:tcBorders>
            <w:vAlign w:val="center"/>
          </w:tcPr>
          <w:p>
            <w:pPr>
              <w:spacing w:line="500" w:lineRule="exact"/>
              <w:jc w:val="center"/>
              <w:rPr>
                <w:rFonts w:ascii="宋体" w:hAnsi="宋体" w:cs="宋体"/>
                <w:color w:val="000000"/>
                <w:sz w:val="24"/>
                <w:szCs w:val="24"/>
              </w:rPr>
            </w:pPr>
            <w:r>
              <w:rPr>
                <w:rFonts w:hint="eastAsia" w:ascii="宋体" w:hAnsi="宋体" w:cs="宋体"/>
                <w:color w:val="000000"/>
                <w:sz w:val="24"/>
                <w:szCs w:val="24"/>
              </w:rPr>
              <w:t>职务</w:t>
            </w:r>
          </w:p>
        </w:tc>
        <w:tc>
          <w:tcPr>
            <w:tcW w:w="901" w:type="dxa"/>
            <w:vMerge w:val="restart"/>
            <w:tcBorders>
              <w:top w:val="single" w:color="auto" w:sz="4" w:space="0"/>
              <w:left w:val="nil"/>
              <w:bottom w:val="single" w:color="auto" w:sz="4" w:space="0"/>
              <w:right w:val="single" w:color="auto" w:sz="4" w:space="0"/>
            </w:tcBorders>
            <w:vAlign w:val="center"/>
          </w:tcPr>
          <w:p>
            <w:pPr>
              <w:spacing w:line="500" w:lineRule="exact"/>
              <w:jc w:val="center"/>
              <w:rPr>
                <w:rFonts w:ascii="宋体" w:hAnsi="宋体" w:cs="宋体"/>
                <w:color w:val="000000"/>
                <w:sz w:val="24"/>
                <w:szCs w:val="24"/>
              </w:rPr>
            </w:pPr>
            <w:r>
              <w:rPr>
                <w:rFonts w:hint="eastAsia" w:ascii="宋体" w:hAnsi="宋体" w:cs="宋体"/>
                <w:color w:val="000000"/>
                <w:sz w:val="24"/>
                <w:szCs w:val="24"/>
              </w:rPr>
              <w:t>姓名</w:t>
            </w:r>
          </w:p>
        </w:tc>
        <w:tc>
          <w:tcPr>
            <w:tcW w:w="901" w:type="dxa"/>
            <w:vMerge w:val="restart"/>
            <w:tcBorders>
              <w:top w:val="single" w:color="auto" w:sz="4" w:space="0"/>
              <w:left w:val="nil"/>
              <w:bottom w:val="single" w:color="auto" w:sz="4" w:space="0"/>
              <w:right w:val="single" w:color="auto" w:sz="4" w:space="0"/>
            </w:tcBorders>
            <w:vAlign w:val="center"/>
          </w:tcPr>
          <w:p>
            <w:pPr>
              <w:spacing w:line="500" w:lineRule="exact"/>
              <w:jc w:val="center"/>
              <w:rPr>
                <w:rFonts w:ascii="宋体" w:hAnsi="宋体" w:cs="宋体"/>
                <w:color w:val="000000"/>
                <w:sz w:val="24"/>
                <w:szCs w:val="24"/>
              </w:rPr>
            </w:pPr>
            <w:r>
              <w:rPr>
                <w:rFonts w:hint="eastAsia" w:ascii="宋体" w:hAnsi="宋体" w:cs="宋体"/>
                <w:color w:val="000000"/>
                <w:sz w:val="24"/>
                <w:szCs w:val="24"/>
              </w:rPr>
              <w:t>职称</w:t>
            </w:r>
          </w:p>
        </w:tc>
        <w:tc>
          <w:tcPr>
            <w:tcW w:w="901" w:type="dxa"/>
            <w:vMerge w:val="restart"/>
            <w:tcBorders>
              <w:top w:val="single" w:color="auto" w:sz="4" w:space="0"/>
              <w:left w:val="nil"/>
              <w:bottom w:val="single" w:color="auto" w:sz="4" w:space="0"/>
              <w:right w:val="single" w:color="auto" w:sz="4" w:space="0"/>
            </w:tcBorders>
            <w:vAlign w:val="center"/>
          </w:tcPr>
          <w:p>
            <w:pPr>
              <w:spacing w:line="500" w:lineRule="exact"/>
              <w:jc w:val="center"/>
              <w:rPr>
                <w:rFonts w:ascii="宋体" w:hAnsi="宋体" w:cs="宋体"/>
                <w:color w:val="000000"/>
                <w:sz w:val="24"/>
                <w:szCs w:val="24"/>
              </w:rPr>
            </w:pPr>
            <w:r>
              <w:rPr>
                <w:rFonts w:hint="eastAsia" w:ascii="宋体" w:hAnsi="宋体" w:cs="宋体"/>
                <w:color w:val="000000"/>
                <w:sz w:val="24"/>
                <w:szCs w:val="24"/>
              </w:rPr>
              <w:t>常住地</w:t>
            </w:r>
          </w:p>
        </w:tc>
        <w:tc>
          <w:tcPr>
            <w:tcW w:w="4012" w:type="dxa"/>
            <w:gridSpan w:val="4"/>
            <w:tcBorders>
              <w:top w:val="single" w:color="auto" w:sz="4" w:space="0"/>
              <w:left w:val="nil"/>
              <w:bottom w:val="single" w:color="auto" w:sz="4" w:space="0"/>
              <w:right w:val="single" w:color="auto" w:sz="4" w:space="0"/>
            </w:tcBorders>
            <w:vAlign w:val="center"/>
          </w:tcPr>
          <w:p>
            <w:pPr>
              <w:spacing w:line="500" w:lineRule="exact"/>
              <w:jc w:val="center"/>
              <w:rPr>
                <w:rFonts w:ascii="宋体" w:hAnsi="宋体" w:cs="宋体"/>
                <w:color w:val="000000"/>
                <w:sz w:val="24"/>
                <w:szCs w:val="24"/>
              </w:rPr>
            </w:pPr>
            <w:r>
              <w:rPr>
                <w:rFonts w:hint="eastAsia" w:ascii="宋体" w:hAnsi="宋体" w:cs="宋体"/>
                <w:color w:val="000000"/>
                <w:sz w:val="24"/>
                <w:szCs w:val="24"/>
              </w:rPr>
              <w:t>资格证明（附复印件）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76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500" w:lineRule="exact"/>
              <w:jc w:val="left"/>
              <w:rPr>
                <w:rFonts w:ascii="宋体" w:hAnsi="宋体" w:cs="宋体"/>
                <w:color w:val="000000"/>
                <w:sz w:val="24"/>
                <w:szCs w:val="24"/>
              </w:rPr>
            </w:pPr>
          </w:p>
        </w:tc>
        <w:tc>
          <w:tcPr>
            <w:tcW w:w="1649" w:type="dxa"/>
            <w:vMerge w:val="continue"/>
            <w:tcBorders>
              <w:top w:val="single" w:color="auto" w:sz="4" w:space="0"/>
              <w:left w:val="nil"/>
              <w:bottom w:val="single" w:color="auto" w:sz="4" w:space="0"/>
              <w:right w:val="single" w:color="auto" w:sz="4" w:space="0"/>
            </w:tcBorders>
            <w:vAlign w:val="center"/>
          </w:tcPr>
          <w:p>
            <w:pPr>
              <w:widowControl/>
              <w:spacing w:line="500" w:lineRule="exact"/>
              <w:jc w:val="left"/>
              <w:rPr>
                <w:rFonts w:ascii="宋体" w:hAnsi="宋体" w:cs="宋体"/>
                <w:color w:val="000000"/>
                <w:sz w:val="24"/>
                <w:szCs w:val="24"/>
              </w:rPr>
            </w:pPr>
          </w:p>
        </w:tc>
        <w:tc>
          <w:tcPr>
            <w:tcW w:w="901" w:type="dxa"/>
            <w:vMerge w:val="continue"/>
            <w:tcBorders>
              <w:top w:val="single" w:color="auto" w:sz="4" w:space="0"/>
              <w:left w:val="nil"/>
              <w:bottom w:val="single" w:color="auto" w:sz="4" w:space="0"/>
              <w:right w:val="single" w:color="auto" w:sz="4" w:space="0"/>
            </w:tcBorders>
            <w:vAlign w:val="center"/>
          </w:tcPr>
          <w:p>
            <w:pPr>
              <w:widowControl/>
              <w:spacing w:line="500" w:lineRule="exact"/>
              <w:jc w:val="left"/>
              <w:rPr>
                <w:rFonts w:ascii="宋体" w:hAnsi="宋体" w:cs="宋体"/>
                <w:color w:val="000000"/>
                <w:sz w:val="24"/>
                <w:szCs w:val="24"/>
              </w:rPr>
            </w:pPr>
          </w:p>
        </w:tc>
        <w:tc>
          <w:tcPr>
            <w:tcW w:w="901" w:type="dxa"/>
            <w:vMerge w:val="continue"/>
            <w:tcBorders>
              <w:top w:val="single" w:color="auto" w:sz="4" w:space="0"/>
              <w:left w:val="nil"/>
              <w:bottom w:val="single" w:color="auto" w:sz="4" w:space="0"/>
              <w:right w:val="single" w:color="auto" w:sz="4" w:space="0"/>
            </w:tcBorders>
            <w:vAlign w:val="center"/>
          </w:tcPr>
          <w:p>
            <w:pPr>
              <w:widowControl/>
              <w:spacing w:line="500" w:lineRule="exact"/>
              <w:jc w:val="left"/>
              <w:rPr>
                <w:rFonts w:ascii="宋体" w:hAnsi="宋体" w:cs="宋体"/>
                <w:color w:val="000000"/>
                <w:sz w:val="24"/>
                <w:szCs w:val="24"/>
              </w:rPr>
            </w:pPr>
          </w:p>
        </w:tc>
        <w:tc>
          <w:tcPr>
            <w:tcW w:w="901" w:type="dxa"/>
            <w:vMerge w:val="continue"/>
            <w:tcBorders>
              <w:top w:val="single" w:color="auto" w:sz="4" w:space="0"/>
              <w:left w:val="nil"/>
              <w:bottom w:val="single" w:color="auto" w:sz="4" w:space="0"/>
              <w:right w:val="single" w:color="auto" w:sz="4" w:space="0"/>
            </w:tcBorders>
            <w:vAlign w:val="center"/>
          </w:tcPr>
          <w:p>
            <w:pPr>
              <w:widowControl/>
              <w:spacing w:line="500" w:lineRule="exact"/>
              <w:jc w:val="left"/>
              <w:rPr>
                <w:rFonts w:ascii="宋体" w:hAnsi="宋体" w:cs="宋体"/>
                <w:color w:val="000000"/>
                <w:sz w:val="24"/>
                <w:szCs w:val="24"/>
              </w:rPr>
            </w:pPr>
          </w:p>
        </w:tc>
        <w:tc>
          <w:tcPr>
            <w:tcW w:w="1291" w:type="dxa"/>
            <w:tcBorders>
              <w:top w:val="single" w:color="auto" w:sz="4" w:space="0"/>
              <w:left w:val="nil"/>
              <w:bottom w:val="single" w:color="auto" w:sz="4" w:space="0"/>
              <w:right w:val="single" w:color="auto" w:sz="4" w:space="0"/>
            </w:tcBorders>
            <w:vAlign w:val="center"/>
          </w:tcPr>
          <w:p>
            <w:pPr>
              <w:spacing w:line="500" w:lineRule="exact"/>
              <w:jc w:val="center"/>
              <w:rPr>
                <w:rFonts w:ascii="宋体" w:hAnsi="宋体" w:cs="宋体"/>
                <w:color w:val="000000"/>
                <w:sz w:val="24"/>
                <w:szCs w:val="24"/>
              </w:rPr>
            </w:pPr>
            <w:r>
              <w:rPr>
                <w:rFonts w:hint="eastAsia" w:ascii="宋体" w:hAnsi="宋体" w:cs="宋体"/>
                <w:color w:val="000000"/>
                <w:sz w:val="24"/>
                <w:szCs w:val="24"/>
              </w:rPr>
              <w:t>证书名称</w:t>
            </w:r>
          </w:p>
        </w:tc>
        <w:tc>
          <w:tcPr>
            <w:tcW w:w="992" w:type="dxa"/>
            <w:tcBorders>
              <w:top w:val="single" w:color="auto" w:sz="4" w:space="0"/>
              <w:left w:val="nil"/>
              <w:bottom w:val="single" w:color="auto" w:sz="4" w:space="0"/>
              <w:right w:val="single" w:color="auto" w:sz="4" w:space="0"/>
            </w:tcBorders>
            <w:vAlign w:val="center"/>
          </w:tcPr>
          <w:p>
            <w:pPr>
              <w:spacing w:line="500" w:lineRule="exact"/>
              <w:jc w:val="center"/>
              <w:rPr>
                <w:rFonts w:ascii="宋体" w:hAnsi="宋体" w:cs="宋体"/>
                <w:color w:val="000000"/>
                <w:sz w:val="24"/>
                <w:szCs w:val="24"/>
              </w:rPr>
            </w:pPr>
            <w:r>
              <w:rPr>
                <w:rFonts w:hint="eastAsia" w:ascii="宋体" w:hAnsi="宋体" w:cs="宋体"/>
                <w:color w:val="000000"/>
                <w:sz w:val="24"/>
                <w:szCs w:val="24"/>
              </w:rPr>
              <w:t>级别</w:t>
            </w:r>
          </w:p>
        </w:tc>
        <w:tc>
          <w:tcPr>
            <w:tcW w:w="850" w:type="dxa"/>
            <w:tcBorders>
              <w:top w:val="single" w:color="auto" w:sz="4" w:space="0"/>
              <w:left w:val="nil"/>
              <w:bottom w:val="single" w:color="auto" w:sz="4" w:space="0"/>
              <w:right w:val="single" w:color="auto" w:sz="4" w:space="0"/>
            </w:tcBorders>
            <w:vAlign w:val="center"/>
          </w:tcPr>
          <w:p>
            <w:pPr>
              <w:spacing w:line="500" w:lineRule="exact"/>
              <w:jc w:val="center"/>
              <w:rPr>
                <w:rFonts w:ascii="宋体" w:hAnsi="宋体" w:cs="宋体"/>
                <w:color w:val="000000"/>
                <w:sz w:val="24"/>
                <w:szCs w:val="24"/>
              </w:rPr>
            </w:pPr>
            <w:r>
              <w:rPr>
                <w:rFonts w:hint="eastAsia" w:ascii="宋体" w:hAnsi="宋体" w:cs="宋体"/>
                <w:color w:val="000000"/>
                <w:sz w:val="24"/>
                <w:szCs w:val="24"/>
              </w:rPr>
              <w:t>证号</w:t>
            </w:r>
          </w:p>
        </w:tc>
        <w:tc>
          <w:tcPr>
            <w:tcW w:w="879" w:type="dxa"/>
            <w:tcBorders>
              <w:top w:val="single" w:color="auto" w:sz="4" w:space="0"/>
              <w:left w:val="nil"/>
              <w:bottom w:val="single" w:color="auto" w:sz="4" w:space="0"/>
              <w:right w:val="single" w:color="auto" w:sz="4" w:space="0"/>
            </w:tcBorders>
            <w:vAlign w:val="center"/>
          </w:tcPr>
          <w:p>
            <w:pPr>
              <w:spacing w:line="500" w:lineRule="exact"/>
              <w:jc w:val="center"/>
              <w:rPr>
                <w:rFonts w:ascii="宋体" w:hAnsi="宋体" w:cs="宋体"/>
                <w:color w:val="000000"/>
                <w:sz w:val="24"/>
                <w:szCs w:val="24"/>
              </w:rPr>
            </w:pPr>
            <w:r>
              <w:rPr>
                <w:rFonts w:hint="eastAsia" w:ascii="宋体" w:hAnsi="宋体" w:cs="宋体"/>
                <w:color w:val="000000"/>
                <w:sz w:val="24"/>
                <w:szCs w:val="24"/>
              </w:rPr>
              <w:t>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jc w:val="center"/>
        </w:trPr>
        <w:tc>
          <w:tcPr>
            <w:tcW w:w="767" w:type="dxa"/>
            <w:vMerge w:val="restart"/>
            <w:tcBorders>
              <w:top w:val="nil"/>
              <w:left w:val="single" w:color="auto" w:sz="4" w:space="0"/>
              <w:bottom w:val="single" w:color="auto" w:sz="4" w:space="0"/>
              <w:right w:val="single" w:color="auto" w:sz="4" w:space="0"/>
            </w:tcBorders>
          </w:tcPr>
          <w:p>
            <w:pPr>
              <w:spacing w:line="500" w:lineRule="exact"/>
              <w:jc w:val="center"/>
              <w:rPr>
                <w:rFonts w:ascii="宋体" w:hAnsi="宋体" w:cs="宋体"/>
                <w:color w:val="000000"/>
                <w:sz w:val="24"/>
                <w:szCs w:val="24"/>
              </w:rPr>
            </w:pPr>
            <w:r>
              <w:rPr>
                <w:rFonts w:hint="eastAsia" w:ascii="宋体" w:hAnsi="宋体" w:cs="宋体"/>
                <w:color w:val="000000"/>
                <w:sz w:val="24"/>
                <w:szCs w:val="24"/>
              </w:rPr>
              <w:t>管</w:t>
            </w:r>
          </w:p>
          <w:p>
            <w:pPr>
              <w:spacing w:line="500" w:lineRule="exact"/>
              <w:jc w:val="center"/>
              <w:rPr>
                <w:rFonts w:ascii="宋体" w:hAnsi="宋体" w:cs="宋体"/>
                <w:color w:val="000000"/>
                <w:sz w:val="24"/>
                <w:szCs w:val="24"/>
              </w:rPr>
            </w:pPr>
            <w:r>
              <w:rPr>
                <w:rFonts w:hint="eastAsia" w:ascii="宋体" w:hAnsi="宋体" w:cs="宋体"/>
                <w:color w:val="000000"/>
                <w:sz w:val="24"/>
                <w:szCs w:val="24"/>
              </w:rPr>
              <w:t>理</w:t>
            </w:r>
          </w:p>
          <w:p>
            <w:pPr>
              <w:spacing w:line="500" w:lineRule="exact"/>
              <w:jc w:val="center"/>
              <w:rPr>
                <w:rFonts w:ascii="宋体" w:hAnsi="宋体" w:cs="宋体"/>
                <w:color w:val="000000"/>
                <w:sz w:val="24"/>
                <w:szCs w:val="24"/>
              </w:rPr>
            </w:pPr>
            <w:r>
              <w:rPr>
                <w:rFonts w:hint="eastAsia" w:ascii="宋体" w:hAnsi="宋体" w:cs="宋体"/>
                <w:color w:val="000000"/>
                <w:sz w:val="24"/>
                <w:szCs w:val="24"/>
              </w:rPr>
              <w:t>人</w:t>
            </w:r>
          </w:p>
          <w:p>
            <w:pPr>
              <w:spacing w:line="500" w:lineRule="exact"/>
              <w:jc w:val="center"/>
              <w:rPr>
                <w:rFonts w:ascii="宋体" w:hAnsi="宋体" w:cs="宋体"/>
                <w:color w:val="000000"/>
                <w:sz w:val="24"/>
                <w:szCs w:val="24"/>
              </w:rPr>
            </w:pPr>
            <w:r>
              <w:rPr>
                <w:rFonts w:hint="eastAsia" w:ascii="宋体" w:hAnsi="宋体" w:cs="宋体"/>
                <w:color w:val="000000"/>
                <w:sz w:val="24"/>
                <w:szCs w:val="24"/>
              </w:rPr>
              <w:t>员</w:t>
            </w:r>
          </w:p>
        </w:tc>
        <w:tc>
          <w:tcPr>
            <w:tcW w:w="1649" w:type="dxa"/>
            <w:tcBorders>
              <w:top w:val="single" w:color="auto" w:sz="4" w:space="0"/>
              <w:left w:val="nil"/>
              <w:bottom w:val="single" w:color="auto" w:sz="4" w:space="0"/>
              <w:right w:val="single" w:color="auto" w:sz="4" w:space="0"/>
            </w:tcBorders>
          </w:tcPr>
          <w:p>
            <w:pPr>
              <w:spacing w:line="500" w:lineRule="exact"/>
              <w:jc w:val="center"/>
              <w:rPr>
                <w:rFonts w:ascii="宋体" w:hAnsi="宋体" w:cs="宋体"/>
                <w:color w:val="000000"/>
                <w:sz w:val="24"/>
                <w:szCs w:val="24"/>
              </w:rPr>
            </w:pPr>
          </w:p>
        </w:tc>
        <w:tc>
          <w:tcPr>
            <w:tcW w:w="901" w:type="dxa"/>
            <w:tcBorders>
              <w:top w:val="single" w:color="auto" w:sz="4" w:space="0"/>
              <w:left w:val="nil"/>
              <w:bottom w:val="single" w:color="auto" w:sz="4" w:space="0"/>
              <w:right w:val="single" w:color="auto" w:sz="4" w:space="0"/>
            </w:tcBorders>
          </w:tcPr>
          <w:p>
            <w:pPr>
              <w:spacing w:line="500" w:lineRule="exact"/>
              <w:jc w:val="center"/>
              <w:rPr>
                <w:rFonts w:ascii="宋体" w:hAnsi="宋体" w:cs="宋体"/>
                <w:color w:val="000000"/>
                <w:sz w:val="24"/>
                <w:szCs w:val="24"/>
              </w:rPr>
            </w:pPr>
          </w:p>
        </w:tc>
        <w:tc>
          <w:tcPr>
            <w:tcW w:w="901" w:type="dxa"/>
            <w:tcBorders>
              <w:top w:val="single" w:color="auto" w:sz="4" w:space="0"/>
              <w:left w:val="nil"/>
              <w:bottom w:val="single" w:color="auto" w:sz="4" w:space="0"/>
              <w:right w:val="single" w:color="auto" w:sz="4" w:space="0"/>
            </w:tcBorders>
          </w:tcPr>
          <w:p>
            <w:pPr>
              <w:spacing w:line="500" w:lineRule="exact"/>
              <w:jc w:val="center"/>
              <w:rPr>
                <w:rFonts w:ascii="宋体" w:hAnsi="宋体" w:cs="宋体"/>
                <w:color w:val="000000"/>
                <w:sz w:val="24"/>
                <w:szCs w:val="24"/>
              </w:rPr>
            </w:pPr>
          </w:p>
        </w:tc>
        <w:tc>
          <w:tcPr>
            <w:tcW w:w="901" w:type="dxa"/>
            <w:tcBorders>
              <w:top w:val="single" w:color="auto" w:sz="4" w:space="0"/>
              <w:left w:val="nil"/>
              <w:bottom w:val="single" w:color="auto" w:sz="4" w:space="0"/>
              <w:right w:val="single" w:color="auto" w:sz="4" w:space="0"/>
            </w:tcBorders>
          </w:tcPr>
          <w:p>
            <w:pPr>
              <w:spacing w:line="500" w:lineRule="exact"/>
              <w:jc w:val="center"/>
              <w:rPr>
                <w:rFonts w:ascii="宋体" w:hAnsi="宋体" w:cs="宋体"/>
                <w:color w:val="000000"/>
                <w:sz w:val="24"/>
                <w:szCs w:val="24"/>
              </w:rPr>
            </w:pPr>
          </w:p>
        </w:tc>
        <w:tc>
          <w:tcPr>
            <w:tcW w:w="1291" w:type="dxa"/>
            <w:tcBorders>
              <w:top w:val="single" w:color="auto" w:sz="4" w:space="0"/>
              <w:left w:val="nil"/>
              <w:bottom w:val="single" w:color="auto" w:sz="4" w:space="0"/>
              <w:right w:val="single" w:color="auto" w:sz="4" w:space="0"/>
            </w:tcBorders>
          </w:tcPr>
          <w:p>
            <w:pPr>
              <w:spacing w:line="500" w:lineRule="exact"/>
              <w:jc w:val="center"/>
              <w:rPr>
                <w:rFonts w:ascii="宋体" w:hAnsi="宋体" w:cs="宋体"/>
                <w:color w:val="000000"/>
                <w:sz w:val="24"/>
                <w:szCs w:val="24"/>
              </w:rPr>
            </w:pPr>
          </w:p>
        </w:tc>
        <w:tc>
          <w:tcPr>
            <w:tcW w:w="992" w:type="dxa"/>
            <w:tcBorders>
              <w:top w:val="single" w:color="auto" w:sz="4" w:space="0"/>
              <w:left w:val="nil"/>
              <w:bottom w:val="single" w:color="auto" w:sz="4" w:space="0"/>
              <w:right w:val="single" w:color="auto" w:sz="4" w:space="0"/>
            </w:tcBorders>
          </w:tcPr>
          <w:p>
            <w:pPr>
              <w:spacing w:line="500" w:lineRule="exact"/>
              <w:jc w:val="center"/>
              <w:rPr>
                <w:rFonts w:ascii="宋体" w:hAnsi="宋体" w:cs="宋体"/>
                <w:color w:val="000000"/>
                <w:sz w:val="24"/>
                <w:szCs w:val="24"/>
              </w:rPr>
            </w:pPr>
          </w:p>
        </w:tc>
        <w:tc>
          <w:tcPr>
            <w:tcW w:w="850" w:type="dxa"/>
            <w:tcBorders>
              <w:top w:val="single" w:color="auto" w:sz="4" w:space="0"/>
              <w:left w:val="nil"/>
              <w:bottom w:val="single" w:color="auto" w:sz="4" w:space="0"/>
              <w:right w:val="single" w:color="auto" w:sz="4" w:space="0"/>
            </w:tcBorders>
          </w:tcPr>
          <w:p>
            <w:pPr>
              <w:spacing w:line="500" w:lineRule="exact"/>
              <w:jc w:val="center"/>
              <w:rPr>
                <w:rFonts w:ascii="宋体" w:hAnsi="宋体" w:cs="宋体"/>
                <w:color w:val="000000"/>
                <w:sz w:val="24"/>
                <w:szCs w:val="24"/>
              </w:rPr>
            </w:pPr>
          </w:p>
        </w:tc>
        <w:tc>
          <w:tcPr>
            <w:tcW w:w="879" w:type="dxa"/>
            <w:tcBorders>
              <w:top w:val="single" w:color="auto" w:sz="4" w:space="0"/>
              <w:left w:val="nil"/>
              <w:bottom w:val="single" w:color="auto" w:sz="4" w:space="0"/>
              <w:right w:val="single" w:color="auto" w:sz="4" w:space="0"/>
            </w:tcBorders>
          </w:tcPr>
          <w:p>
            <w:pPr>
              <w:spacing w:line="500" w:lineRule="exact"/>
              <w:jc w:val="center"/>
              <w:rPr>
                <w:rFonts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767" w:type="dxa"/>
            <w:vMerge w:val="continue"/>
            <w:tcBorders>
              <w:top w:val="nil"/>
              <w:left w:val="single" w:color="auto" w:sz="4" w:space="0"/>
              <w:bottom w:val="single" w:color="auto" w:sz="4" w:space="0"/>
              <w:right w:val="single" w:color="auto" w:sz="4" w:space="0"/>
            </w:tcBorders>
            <w:vAlign w:val="center"/>
          </w:tcPr>
          <w:p>
            <w:pPr>
              <w:widowControl/>
              <w:spacing w:line="500" w:lineRule="exact"/>
              <w:jc w:val="left"/>
              <w:rPr>
                <w:rFonts w:ascii="宋体" w:hAnsi="宋体" w:cs="宋体"/>
                <w:color w:val="000000"/>
                <w:sz w:val="24"/>
                <w:szCs w:val="24"/>
              </w:rPr>
            </w:pPr>
          </w:p>
        </w:tc>
        <w:tc>
          <w:tcPr>
            <w:tcW w:w="1649" w:type="dxa"/>
            <w:tcBorders>
              <w:top w:val="single" w:color="auto" w:sz="4" w:space="0"/>
              <w:left w:val="nil"/>
              <w:bottom w:val="single" w:color="auto" w:sz="4" w:space="0"/>
              <w:right w:val="single" w:color="auto" w:sz="4" w:space="0"/>
            </w:tcBorders>
          </w:tcPr>
          <w:p>
            <w:pPr>
              <w:spacing w:line="500" w:lineRule="exact"/>
              <w:jc w:val="center"/>
              <w:rPr>
                <w:rFonts w:ascii="宋体" w:hAnsi="宋体" w:cs="宋体"/>
                <w:color w:val="000000"/>
                <w:sz w:val="24"/>
                <w:szCs w:val="24"/>
              </w:rPr>
            </w:pPr>
          </w:p>
        </w:tc>
        <w:tc>
          <w:tcPr>
            <w:tcW w:w="901" w:type="dxa"/>
            <w:tcBorders>
              <w:top w:val="single" w:color="auto" w:sz="4" w:space="0"/>
              <w:left w:val="nil"/>
              <w:bottom w:val="single" w:color="auto" w:sz="4" w:space="0"/>
              <w:right w:val="single" w:color="auto" w:sz="4" w:space="0"/>
            </w:tcBorders>
          </w:tcPr>
          <w:p>
            <w:pPr>
              <w:spacing w:line="500" w:lineRule="exact"/>
              <w:jc w:val="center"/>
              <w:rPr>
                <w:rFonts w:ascii="宋体" w:hAnsi="宋体" w:cs="宋体"/>
                <w:color w:val="000000"/>
                <w:sz w:val="24"/>
                <w:szCs w:val="24"/>
              </w:rPr>
            </w:pPr>
          </w:p>
        </w:tc>
        <w:tc>
          <w:tcPr>
            <w:tcW w:w="901" w:type="dxa"/>
            <w:tcBorders>
              <w:top w:val="single" w:color="auto" w:sz="4" w:space="0"/>
              <w:left w:val="nil"/>
              <w:bottom w:val="single" w:color="auto" w:sz="4" w:space="0"/>
              <w:right w:val="single" w:color="auto" w:sz="4" w:space="0"/>
            </w:tcBorders>
          </w:tcPr>
          <w:p>
            <w:pPr>
              <w:spacing w:line="500" w:lineRule="exact"/>
              <w:jc w:val="center"/>
              <w:rPr>
                <w:rFonts w:ascii="宋体" w:hAnsi="宋体" w:cs="宋体"/>
                <w:color w:val="000000"/>
                <w:sz w:val="24"/>
                <w:szCs w:val="24"/>
              </w:rPr>
            </w:pPr>
          </w:p>
        </w:tc>
        <w:tc>
          <w:tcPr>
            <w:tcW w:w="901" w:type="dxa"/>
            <w:tcBorders>
              <w:top w:val="single" w:color="auto" w:sz="4" w:space="0"/>
              <w:left w:val="nil"/>
              <w:bottom w:val="single" w:color="auto" w:sz="4" w:space="0"/>
              <w:right w:val="single" w:color="auto" w:sz="4" w:space="0"/>
            </w:tcBorders>
          </w:tcPr>
          <w:p>
            <w:pPr>
              <w:spacing w:line="500" w:lineRule="exact"/>
              <w:jc w:val="center"/>
              <w:rPr>
                <w:rFonts w:ascii="宋体" w:hAnsi="宋体" w:cs="宋体"/>
                <w:color w:val="000000"/>
                <w:sz w:val="24"/>
                <w:szCs w:val="24"/>
              </w:rPr>
            </w:pPr>
          </w:p>
        </w:tc>
        <w:tc>
          <w:tcPr>
            <w:tcW w:w="1291" w:type="dxa"/>
            <w:tcBorders>
              <w:top w:val="single" w:color="auto" w:sz="4" w:space="0"/>
              <w:left w:val="nil"/>
              <w:bottom w:val="single" w:color="auto" w:sz="4" w:space="0"/>
              <w:right w:val="single" w:color="auto" w:sz="4" w:space="0"/>
            </w:tcBorders>
          </w:tcPr>
          <w:p>
            <w:pPr>
              <w:spacing w:line="500" w:lineRule="exact"/>
              <w:jc w:val="center"/>
              <w:rPr>
                <w:rFonts w:ascii="宋体" w:hAnsi="宋体" w:cs="宋体"/>
                <w:color w:val="000000"/>
                <w:sz w:val="24"/>
                <w:szCs w:val="24"/>
              </w:rPr>
            </w:pPr>
          </w:p>
        </w:tc>
        <w:tc>
          <w:tcPr>
            <w:tcW w:w="992" w:type="dxa"/>
            <w:tcBorders>
              <w:top w:val="single" w:color="auto" w:sz="4" w:space="0"/>
              <w:left w:val="nil"/>
              <w:bottom w:val="single" w:color="auto" w:sz="4" w:space="0"/>
              <w:right w:val="single" w:color="auto" w:sz="4" w:space="0"/>
            </w:tcBorders>
          </w:tcPr>
          <w:p>
            <w:pPr>
              <w:spacing w:line="500" w:lineRule="exact"/>
              <w:jc w:val="center"/>
              <w:rPr>
                <w:rFonts w:ascii="宋体" w:hAnsi="宋体" w:cs="宋体"/>
                <w:color w:val="000000"/>
                <w:sz w:val="24"/>
                <w:szCs w:val="24"/>
              </w:rPr>
            </w:pPr>
          </w:p>
        </w:tc>
        <w:tc>
          <w:tcPr>
            <w:tcW w:w="850" w:type="dxa"/>
            <w:tcBorders>
              <w:top w:val="single" w:color="auto" w:sz="4" w:space="0"/>
              <w:left w:val="nil"/>
              <w:bottom w:val="single" w:color="auto" w:sz="4" w:space="0"/>
              <w:right w:val="single" w:color="auto" w:sz="4" w:space="0"/>
            </w:tcBorders>
          </w:tcPr>
          <w:p>
            <w:pPr>
              <w:spacing w:line="500" w:lineRule="exact"/>
              <w:jc w:val="center"/>
              <w:rPr>
                <w:rFonts w:ascii="宋体" w:hAnsi="宋体" w:cs="宋体"/>
                <w:color w:val="000000"/>
                <w:sz w:val="24"/>
                <w:szCs w:val="24"/>
              </w:rPr>
            </w:pPr>
          </w:p>
        </w:tc>
        <w:tc>
          <w:tcPr>
            <w:tcW w:w="879" w:type="dxa"/>
            <w:tcBorders>
              <w:top w:val="single" w:color="auto" w:sz="4" w:space="0"/>
              <w:left w:val="nil"/>
              <w:bottom w:val="single" w:color="auto" w:sz="4" w:space="0"/>
              <w:right w:val="single" w:color="auto" w:sz="4" w:space="0"/>
            </w:tcBorders>
          </w:tcPr>
          <w:p>
            <w:pPr>
              <w:spacing w:line="500" w:lineRule="exact"/>
              <w:jc w:val="center"/>
              <w:rPr>
                <w:rFonts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jc w:val="center"/>
        </w:trPr>
        <w:tc>
          <w:tcPr>
            <w:tcW w:w="767" w:type="dxa"/>
            <w:vMerge w:val="continue"/>
            <w:tcBorders>
              <w:top w:val="nil"/>
              <w:left w:val="single" w:color="auto" w:sz="4" w:space="0"/>
              <w:bottom w:val="single" w:color="auto" w:sz="4" w:space="0"/>
              <w:right w:val="single" w:color="auto" w:sz="4" w:space="0"/>
            </w:tcBorders>
            <w:vAlign w:val="center"/>
          </w:tcPr>
          <w:p>
            <w:pPr>
              <w:widowControl/>
              <w:spacing w:line="500" w:lineRule="exact"/>
              <w:jc w:val="left"/>
              <w:rPr>
                <w:rFonts w:ascii="宋体" w:hAnsi="宋体" w:cs="宋体"/>
                <w:color w:val="000000"/>
                <w:sz w:val="24"/>
                <w:szCs w:val="24"/>
              </w:rPr>
            </w:pPr>
          </w:p>
        </w:tc>
        <w:tc>
          <w:tcPr>
            <w:tcW w:w="1649" w:type="dxa"/>
            <w:tcBorders>
              <w:top w:val="single" w:color="auto" w:sz="4" w:space="0"/>
              <w:left w:val="nil"/>
              <w:bottom w:val="single" w:color="auto" w:sz="4" w:space="0"/>
              <w:right w:val="single" w:color="auto" w:sz="4" w:space="0"/>
            </w:tcBorders>
          </w:tcPr>
          <w:p>
            <w:pPr>
              <w:spacing w:line="500" w:lineRule="exact"/>
              <w:jc w:val="center"/>
              <w:rPr>
                <w:rFonts w:ascii="宋体" w:hAnsi="宋体" w:cs="宋体"/>
                <w:color w:val="000000"/>
                <w:sz w:val="24"/>
                <w:szCs w:val="24"/>
              </w:rPr>
            </w:pPr>
          </w:p>
        </w:tc>
        <w:tc>
          <w:tcPr>
            <w:tcW w:w="901" w:type="dxa"/>
            <w:tcBorders>
              <w:top w:val="single" w:color="auto" w:sz="4" w:space="0"/>
              <w:left w:val="nil"/>
              <w:bottom w:val="single" w:color="auto" w:sz="4" w:space="0"/>
              <w:right w:val="single" w:color="auto" w:sz="4" w:space="0"/>
            </w:tcBorders>
          </w:tcPr>
          <w:p>
            <w:pPr>
              <w:spacing w:line="500" w:lineRule="exact"/>
              <w:jc w:val="center"/>
              <w:rPr>
                <w:rFonts w:ascii="宋体" w:hAnsi="宋体" w:cs="宋体"/>
                <w:color w:val="000000"/>
                <w:sz w:val="24"/>
                <w:szCs w:val="24"/>
              </w:rPr>
            </w:pPr>
          </w:p>
        </w:tc>
        <w:tc>
          <w:tcPr>
            <w:tcW w:w="901" w:type="dxa"/>
            <w:tcBorders>
              <w:top w:val="single" w:color="auto" w:sz="4" w:space="0"/>
              <w:left w:val="nil"/>
              <w:bottom w:val="single" w:color="auto" w:sz="4" w:space="0"/>
              <w:right w:val="single" w:color="auto" w:sz="4" w:space="0"/>
            </w:tcBorders>
          </w:tcPr>
          <w:p>
            <w:pPr>
              <w:spacing w:line="500" w:lineRule="exact"/>
              <w:jc w:val="center"/>
              <w:rPr>
                <w:rFonts w:ascii="宋体" w:hAnsi="宋体" w:cs="宋体"/>
                <w:color w:val="000000"/>
                <w:sz w:val="24"/>
                <w:szCs w:val="24"/>
              </w:rPr>
            </w:pPr>
          </w:p>
        </w:tc>
        <w:tc>
          <w:tcPr>
            <w:tcW w:w="901" w:type="dxa"/>
            <w:tcBorders>
              <w:top w:val="single" w:color="auto" w:sz="4" w:space="0"/>
              <w:left w:val="nil"/>
              <w:bottom w:val="single" w:color="auto" w:sz="4" w:space="0"/>
              <w:right w:val="single" w:color="auto" w:sz="4" w:space="0"/>
            </w:tcBorders>
          </w:tcPr>
          <w:p>
            <w:pPr>
              <w:spacing w:line="500" w:lineRule="exact"/>
              <w:jc w:val="center"/>
              <w:rPr>
                <w:rFonts w:ascii="宋体" w:hAnsi="宋体" w:cs="宋体"/>
                <w:color w:val="000000"/>
                <w:sz w:val="24"/>
                <w:szCs w:val="24"/>
              </w:rPr>
            </w:pPr>
          </w:p>
        </w:tc>
        <w:tc>
          <w:tcPr>
            <w:tcW w:w="1291" w:type="dxa"/>
            <w:tcBorders>
              <w:top w:val="single" w:color="auto" w:sz="4" w:space="0"/>
              <w:left w:val="nil"/>
              <w:bottom w:val="single" w:color="auto" w:sz="4" w:space="0"/>
              <w:right w:val="single" w:color="auto" w:sz="4" w:space="0"/>
            </w:tcBorders>
          </w:tcPr>
          <w:p>
            <w:pPr>
              <w:spacing w:line="500" w:lineRule="exact"/>
              <w:jc w:val="center"/>
              <w:rPr>
                <w:rFonts w:ascii="宋体" w:hAnsi="宋体" w:cs="宋体"/>
                <w:color w:val="000000"/>
                <w:sz w:val="24"/>
                <w:szCs w:val="24"/>
              </w:rPr>
            </w:pPr>
          </w:p>
        </w:tc>
        <w:tc>
          <w:tcPr>
            <w:tcW w:w="992" w:type="dxa"/>
            <w:tcBorders>
              <w:top w:val="single" w:color="auto" w:sz="4" w:space="0"/>
              <w:left w:val="nil"/>
              <w:bottom w:val="single" w:color="auto" w:sz="4" w:space="0"/>
              <w:right w:val="single" w:color="auto" w:sz="4" w:space="0"/>
            </w:tcBorders>
          </w:tcPr>
          <w:p>
            <w:pPr>
              <w:spacing w:line="500" w:lineRule="exact"/>
              <w:jc w:val="center"/>
              <w:rPr>
                <w:rFonts w:ascii="宋体" w:hAnsi="宋体" w:cs="宋体"/>
                <w:color w:val="000000"/>
                <w:sz w:val="24"/>
                <w:szCs w:val="24"/>
              </w:rPr>
            </w:pPr>
          </w:p>
        </w:tc>
        <w:tc>
          <w:tcPr>
            <w:tcW w:w="850" w:type="dxa"/>
            <w:tcBorders>
              <w:top w:val="single" w:color="auto" w:sz="4" w:space="0"/>
              <w:left w:val="nil"/>
              <w:bottom w:val="single" w:color="auto" w:sz="4" w:space="0"/>
              <w:right w:val="single" w:color="auto" w:sz="4" w:space="0"/>
            </w:tcBorders>
          </w:tcPr>
          <w:p>
            <w:pPr>
              <w:spacing w:line="500" w:lineRule="exact"/>
              <w:jc w:val="center"/>
              <w:rPr>
                <w:rFonts w:ascii="宋体" w:hAnsi="宋体" w:cs="宋体"/>
                <w:color w:val="000000"/>
                <w:sz w:val="24"/>
                <w:szCs w:val="24"/>
              </w:rPr>
            </w:pPr>
          </w:p>
        </w:tc>
        <w:tc>
          <w:tcPr>
            <w:tcW w:w="879" w:type="dxa"/>
            <w:tcBorders>
              <w:top w:val="single" w:color="auto" w:sz="4" w:space="0"/>
              <w:left w:val="nil"/>
              <w:bottom w:val="single" w:color="auto" w:sz="4" w:space="0"/>
              <w:right w:val="single" w:color="auto" w:sz="4" w:space="0"/>
            </w:tcBorders>
          </w:tcPr>
          <w:p>
            <w:pPr>
              <w:spacing w:line="500" w:lineRule="exact"/>
              <w:jc w:val="center"/>
              <w:rPr>
                <w:rFonts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767" w:type="dxa"/>
            <w:vMerge w:val="restart"/>
            <w:tcBorders>
              <w:top w:val="nil"/>
              <w:left w:val="single" w:color="auto" w:sz="4" w:space="0"/>
              <w:bottom w:val="single" w:color="auto" w:sz="4" w:space="0"/>
              <w:right w:val="single" w:color="auto" w:sz="4" w:space="0"/>
            </w:tcBorders>
          </w:tcPr>
          <w:p>
            <w:pPr>
              <w:spacing w:line="500" w:lineRule="exact"/>
              <w:jc w:val="center"/>
              <w:rPr>
                <w:rFonts w:ascii="宋体" w:hAnsi="宋体" w:cs="宋体"/>
                <w:color w:val="000000"/>
                <w:sz w:val="24"/>
                <w:szCs w:val="24"/>
              </w:rPr>
            </w:pPr>
            <w:r>
              <w:rPr>
                <w:rFonts w:hint="eastAsia" w:ascii="宋体" w:hAnsi="宋体" w:cs="宋体"/>
                <w:color w:val="000000"/>
                <w:sz w:val="24"/>
                <w:szCs w:val="24"/>
              </w:rPr>
              <w:t>技</w:t>
            </w:r>
          </w:p>
          <w:p>
            <w:pPr>
              <w:spacing w:line="500" w:lineRule="exact"/>
              <w:jc w:val="center"/>
              <w:rPr>
                <w:rFonts w:ascii="宋体" w:hAnsi="宋体" w:cs="宋体"/>
                <w:color w:val="000000"/>
                <w:sz w:val="24"/>
                <w:szCs w:val="24"/>
              </w:rPr>
            </w:pPr>
            <w:r>
              <w:rPr>
                <w:rFonts w:hint="eastAsia" w:ascii="宋体" w:hAnsi="宋体" w:cs="宋体"/>
                <w:color w:val="000000"/>
                <w:sz w:val="24"/>
                <w:szCs w:val="24"/>
              </w:rPr>
              <w:t>术</w:t>
            </w:r>
          </w:p>
          <w:p>
            <w:pPr>
              <w:spacing w:line="500" w:lineRule="exact"/>
              <w:jc w:val="center"/>
              <w:rPr>
                <w:rFonts w:ascii="宋体" w:hAnsi="宋体" w:cs="宋体"/>
                <w:color w:val="000000"/>
                <w:sz w:val="24"/>
                <w:szCs w:val="24"/>
              </w:rPr>
            </w:pPr>
            <w:r>
              <w:rPr>
                <w:rFonts w:hint="eastAsia" w:ascii="宋体" w:hAnsi="宋体" w:cs="宋体"/>
                <w:color w:val="000000"/>
                <w:sz w:val="24"/>
                <w:szCs w:val="24"/>
              </w:rPr>
              <w:t>人</w:t>
            </w:r>
          </w:p>
          <w:p>
            <w:pPr>
              <w:spacing w:line="500" w:lineRule="exact"/>
              <w:jc w:val="center"/>
              <w:rPr>
                <w:rFonts w:ascii="宋体" w:hAnsi="宋体" w:cs="宋体"/>
                <w:color w:val="000000"/>
                <w:sz w:val="24"/>
                <w:szCs w:val="24"/>
              </w:rPr>
            </w:pPr>
            <w:r>
              <w:rPr>
                <w:rFonts w:hint="eastAsia" w:ascii="宋体" w:hAnsi="宋体" w:cs="宋体"/>
                <w:color w:val="000000"/>
                <w:sz w:val="24"/>
                <w:szCs w:val="24"/>
              </w:rPr>
              <w:t>员</w:t>
            </w:r>
          </w:p>
        </w:tc>
        <w:tc>
          <w:tcPr>
            <w:tcW w:w="1649" w:type="dxa"/>
            <w:tcBorders>
              <w:top w:val="single" w:color="auto" w:sz="4" w:space="0"/>
              <w:left w:val="nil"/>
              <w:bottom w:val="single" w:color="auto" w:sz="4" w:space="0"/>
              <w:right w:val="single" w:color="auto" w:sz="4" w:space="0"/>
            </w:tcBorders>
          </w:tcPr>
          <w:p>
            <w:pPr>
              <w:spacing w:line="500" w:lineRule="exact"/>
              <w:jc w:val="center"/>
              <w:rPr>
                <w:rFonts w:ascii="宋体" w:hAnsi="宋体" w:cs="宋体"/>
                <w:color w:val="000000"/>
                <w:sz w:val="24"/>
                <w:szCs w:val="24"/>
              </w:rPr>
            </w:pPr>
          </w:p>
        </w:tc>
        <w:tc>
          <w:tcPr>
            <w:tcW w:w="901" w:type="dxa"/>
            <w:tcBorders>
              <w:top w:val="single" w:color="auto" w:sz="4" w:space="0"/>
              <w:left w:val="nil"/>
              <w:bottom w:val="single" w:color="auto" w:sz="4" w:space="0"/>
              <w:right w:val="single" w:color="auto" w:sz="4" w:space="0"/>
            </w:tcBorders>
          </w:tcPr>
          <w:p>
            <w:pPr>
              <w:spacing w:line="500" w:lineRule="exact"/>
              <w:jc w:val="center"/>
              <w:rPr>
                <w:rFonts w:ascii="宋体" w:hAnsi="宋体" w:cs="宋体"/>
                <w:color w:val="000000"/>
                <w:sz w:val="24"/>
                <w:szCs w:val="24"/>
              </w:rPr>
            </w:pPr>
          </w:p>
        </w:tc>
        <w:tc>
          <w:tcPr>
            <w:tcW w:w="901" w:type="dxa"/>
            <w:tcBorders>
              <w:top w:val="single" w:color="auto" w:sz="4" w:space="0"/>
              <w:left w:val="nil"/>
              <w:bottom w:val="single" w:color="auto" w:sz="4" w:space="0"/>
              <w:right w:val="single" w:color="auto" w:sz="4" w:space="0"/>
            </w:tcBorders>
          </w:tcPr>
          <w:p>
            <w:pPr>
              <w:spacing w:line="500" w:lineRule="exact"/>
              <w:jc w:val="center"/>
              <w:rPr>
                <w:rFonts w:ascii="宋体" w:hAnsi="宋体" w:cs="宋体"/>
                <w:color w:val="000000"/>
                <w:sz w:val="24"/>
                <w:szCs w:val="24"/>
              </w:rPr>
            </w:pPr>
          </w:p>
        </w:tc>
        <w:tc>
          <w:tcPr>
            <w:tcW w:w="901" w:type="dxa"/>
            <w:tcBorders>
              <w:top w:val="single" w:color="auto" w:sz="4" w:space="0"/>
              <w:left w:val="nil"/>
              <w:bottom w:val="single" w:color="auto" w:sz="4" w:space="0"/>
              <w:right w:val="single" w:color="auto" w:sz="4" w:space="0"/>
            </w:tcBorders>
          </w:tcPr>
          <w:p>
            <w:pPr>
              <w:spacing w:line="500" w:lineRule="exact"/>
              <w:jc w:val="center"/>
              <w:rPr>
                <w:rFonts w:ascii="宋体" w:hAnsi="宋体" w:cs="宋体"/>
                <w:color w:val="000000"/>
                <w:sz w:val="24"/>
                <w:szCs w:val="24"/>
              </w:rPr>
            </w:pPr>
          </w:p>
        </w:tc>
        <w:tc>
          <w:tcPr>
            <w:tcW w:w="1291" w:type="dxa"/>
            <w:tcBorders>
              <w:top w:val="single" w:color="auto" w:sz="4" w:space="0"/>
              <w:left w:val="nil"/>
              <w:bottom w:val="single" w:color="auto" w:sz="4" w:space="0"/>
              <w:right w:val="single" w:color="auto" w:sz="4" w:space="0"/>
            </w:tcBorders>
          </w:tcPr>
          <w:p>
            <w:pPr>
              <w:spacing w:line="500" w:lineRule="exact"/>
              <w:jc w:val="center"/>
              <w:rPr>
                <w:rFonts w:ascii="宋体" w:hAnsi="宋体" w:cs="宋体"/>
                <w:color w:val="000000"/>
                <w:sz w:val="24"/>
                <w:szCs w:val="24"/>
              </w:rPr>
            </w:pPr>
          </w:p>
        </w:tc>
        <w:tc>
          <w:tcPr>
            <w:tcW w:w="992" w:type="dxa"/>
            <w:tcBorders>
              <w:top w:val="single" w:color="auto" w:sz="4" w:space="0"/>
              <w:left w:val="nil"/>
              <w:bottom w:val="single" w:color="auto" w:sz="4" w:space="0"/>
              <w:right w:val="single" w:color="auto" w:sz="4" w:space="0"/>
            </w:tcBorders>
          </w:tcPr>
          <w:p>
            <w:pPr>
              <w:spacing w:line="500" w:lineRule="exact"/>
              <w:jc w:val="center"/>
              <w:rPr>
                <w:rFonts w:ascii="宋体" w:hAnsi="宋体" w:cs="宋体"/>
                <w:color w:val="000000"/>
                <w:sz w:val="24"/>
                <w:szCs w:val="24"/>
              </w:rPr>
            </w:pPr>
          </w:p>
        </w:tc>
        <w:tc>
          <w:tcPr>
            <w:tcW w:w="850" w:type="dxa"/>
            <w:tcBorders>
              <w:top w:val="single" w:color="auto" w:sz="4" w:space="0"/>
              <w:left w:val="nil"/>
              <w:bottom w:val="single" w:color="auto" w:sz="4" w:space="0"/>
              <w:right w:val="single" w:color="auto" w:sz="4" w:space="0"/>
            </w:tcBorders>
          </w:tcPr>
          <w:p>
            <w:pPr>
              <w:spacing w:line="500" w:lineRule="exact"/>
              <w:jc w:val="center"/>
              <w:rPr>
                <w:rFonts w:ascii="宋体" w:hAnsi="宋体" w:cs="宋体"/>
                <w:color w:val="000000"/>
                <w:sz w:val="24"/>
                <w:szCs w:val="24"/>
              </w:rPr>
            </w:pPr>
          </w:p>
        </w:tc>
        <w:tc>
          <w:tcPr>
            <w:tcW w:w="879" w:type="dxa"/>
            <w:tcBorders>
              <w:top w:val="single" w:color="auto" w:sz="4" w:space="0"/>
              <w:left w:val="nil"/>
              <w:bottom w:val="single" w:color="auto" w:sz="4" w:space="0"/>
              <w:right w:val="single" w:color="auto" w:sz="4" w:space="0"/>
            </w:tcBorders>
          </w:tcPr>
          <w:p>
            <w:pPr>
              <w:spacing w:line="500" w:lineRule="exact"/>
              <w:jc w:val="center"/>
              <w:rPr>
                <w:rFonts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jc w:val="center"/>
        </w:trPr>
        <w:tc>
          <w:tcPr>
            <w:tcW w:w="767" w:type="dxa"/>
            <w:vMerge w:val="continue"/>
            <w:tcBorders>
              <w:top w:val="nil"/>
              <w:left w:val="single" w:color="auto" w:sz="4" w:space="0"/>
              <w:bottom w:val="single" w:color="auto" w:sz="4" w:space="0"/>
              <w:right w:val="single" w:color="auto" w:sz="4" w:space="0"/>
            </w:tcBorders>
            <w:vAlign w:val="center"/>
          </w:tcPr>
          <w:p>
            <w:pPr>
              <w:widowControl/>
              <w:spacing w:line="500" w:lineRule="exact"/>
              <w:jc w:val="left"/>
              <w:rPr>
                <w:rFonts w:ascii="宋体" w:hAnsi="宋体" w:cs="宋体"/>
                <w:color w:val="000000"/>
                <w:sz w:val="24"/>
                <w:szCs w:val="24"/>
              </w:rPr>
            </w:pPr>
          </w:p>
        </w:tc>
        <w:tc>
          <w:tcPr>
            <w:tcW w:w="1649" w:type="dxa"/>
            <w:tcBorders>
              <w:top w:val="single" w:color="auto" w:sz="4" w:space="0"/>
              <w:left w:val="nil"/>
              <w:bottom w:val="single" w:color="auto" w:sz="4" w:space="0"/>
              <w:right w:val="single" w:color="auto" w:sz="4" w:space="0"/>
            </w:tcBorders>
          </w:tcPr>
          <w:p>
            <w:pPr>
              <w:spacing w:line="500" w:lineRule="exact"/>
              <w:jc w:val="center"/>
              <w:rPr>
                <w:rFonts w:ascii="宋体" w:hAnsi="宋体" w:cs="宋体"/>
                <w:color w:val="000000"/>
                <w:sz w:val="24"/>
                <w:szCs w:val="24"/>
              </w:rPr>
            </w:pPr>
          </w:p>
        </w:tc>
        <w:tc>
          <w:tcPr>
            <w:tcW w:w="901" w:type="dxa"/>
            <w:tcBorders>
              <w:top w:val="single" w:color="auto" w:sz="4" w:space="0"/>
              <w:left w:val="nil"/>
              <w:bottom w:val="single" w:color="auto" w:sz="4" w:space="0"/>
              <w:right w:val="single" w:color="auto" w:sz="4" w:space="0"/>
            </w:tcBorders>
          </w:tcPr>
          <w:p>
            <w:pPr>
              <w:spacing w:line="500" w:lineRule="exact"/>
              <w:jc w:val="center"/>
              <w:rPr>
                <w:rFonts w:ascii="宋体" w:hAnsi="宋体" w:cs="宋体"/>
                <w:color w:val="000000"/>
                <w:sz w:val="24"/>
                <w:szCs w:val="24"/>
              </w:rPr>
            </w:pPr>
          </w:p>
        </w:tc>
        <w:tc>
          <w:tcPr>
            <w:tcW w:w="901" w:type="dxa"/>
            <w:tcBorders>
              <w:top w:val="single" w:color="auto" w:sz="4" w:space="0"/>
              <w:left w:val="nil"/>
              <w:bottom w:val="single" w:color="auto" w:sz="4" w:space="0"/>
              <w:right w:val="single" w:color="auto" w:sz="4" w:space="0"/>
            </w:tcBorders>
          </w:tcPr>
          <w:p>
            <w:pPr>
              <w:spacing w:line="500" w:lineRule="exact"/>
              <w:jc w:val="center"/>
              <w:rPr>
                <w:rFonts w:ascii="宋体" w:hAnsi="宋体" w:cs="宋体"/>
                <w:color w:val="000000"/>
                <w:sz w:val="24"/>
                <w:szCs w:val="24"/>
              </w:rPr>
            </w:pPr>
          </w:p>
        </w:tc>
        <w:tc>
          <w:tcPr>
            <w:tcW w:w="901" w:type="dxa"/>
            <w:tcBorders>
              <w:top w:val="single" w:color="auto" w:sz="4" w:space="0"/>
              <w:left w:val="nil"/>
              <w:bottom w:val="single" w:color="auto" w:sz="4" w:space="0"/>
              <w:right w:val="single" w:color="auto" w:sz="4" w:space="0"/>
            </w:tcBorders>
          </w:tcPr>
          <w:p>
            <w:pPr>
              <w:spacing w:line="500" w:lineRule="exact"/>
              <w:jc w:val="center"/>
              <w:rPr>
                <w:rFonts w:ascii="宋体" w:hAnsi="宋体" w:cs="宋体"/>
                <w:color w:val="000000"/>
                <w:sz w:val="24"/>
                <w:szCs w:val="24"/>
              </w:rPr>
            </w:pPr>
          </w:p>
        </w:tc>
        <w:tc>
          <w:tcPr>
            <w:tcW w:w="1291" w:type="dxa"/>
            <w:tcBorders>
              <w:top w:val="single" w:color="auto" w:sz="4" w:space="0"/>
              <w:left w:val="nil"/>
              <w:bottom w:val="single" w:color="auto" w:sz="4" w:space="0"/>
              <w:right w:val="single" w:color="auto" w:sz="4" w:space="0"/>
            </w:tcBorders>
          </w:tcPr>
          <w:p>
            <w:pPr>
              <w:spacing w:line="500" w:lineRule="exact"/>
              <w:jc w:val="center"/>
              <w:rPr>
                <w:rFonts w:ascii="宋体" w:hAnsi="宋体" w:cs="宋体"/>
                <w:color w:val="000000"/>
                <w:sz w:val="24"/>
                <w:szCs w:val="24"/>
              </w:rPr>
            </w:pPr>
          </w:p>
        </w:tc>
        <w:tc>
          <w:tcPr>
            <w:tcW w:w="992" w:type="dxa"/>
            <w:tcBorders>
              <w:top w:val="single" w:color="auto" w:sz="4" w:space="0"/>
              <w:left w:val="nil"/>
              <w:bottom w:val="single" w:color="auto" w:sz="4" w:space="0"/>
              <w:right w:val="single" w:color="auto" w:sz="4" w:space="0"/>
            </w:tcBorders>
          </w:tcPr>
          <w:p>
            <w:pPr>
              <w:spacing w:line="500" w:lineRule="exact"/>
              <w:jc w:val="center"/>
              <w:rPr>
                <w:rFonts w:ascii="宋体" w:hAnsi="宋体" w:cs="宋体"/>
                <w:color w:val="000000"/>
                <w:sz w:val="24"/>
                <w:szCs w:val="24"/>
              </w:rPr>
            </w:pPr>
          </w:p>
        </w:tc>
        <w:tc>
          <w:tcPr>
            <w:tcW w:w="850" w:type="dxa"/>
            <w:tcBorders>
              <w:top w:val="single" w:color="auto" w:sz="4" w:space="0"/>
              <w:left w:val="nil"/>
              <w:bottom w:val="single" w:color="auto" w:sz="4" w:space="0"/>
              <w:right w:val="single" w:color="auto" w:sz="4" w:space="0"/>
            </w:tcBorders>
          </w:tcPr>
          <w:p>
            <w:pPr>
              <w:spacing w:line="500" w:lineRule="exact"/>
              <w:jc w:val="center"/>
              <w:rPr>
                <w:rFonts w:ascii="宋体" w:hAnsi="宋体" w:cs="宋体"/>
                <w:color w:val="000000"/>
                <w:sz w:val="24"/>
                <w:szCs w:val="24"/>
              </w:rPr>
            </w:pPr>
          </w:p>
        </w:tc>
        <w:tc>
          <w:tcPr>
            <w:tcW w:w="879" w:type="dxa"/>
            <w:tcBorders>
              <w:top w:val="single" w:color="auto" w:sz="4" w:space="0"/>
              <w:left w:val="nil"/>
              <w:bottom w:val="single" w:color="auto" w:sz="4" w:space="0"/>
              <w:right w:val="single" w:color="auto" w:sz="4" w:space="0"/>
            </w:tcBorders>
          </w:tcPr>
          <w:p>
            <w:pPr>
              <w:spacing w:line="500" w:lineRule="exact"/>
              <w:jc w:val="center"/>
              <w:rPr>
                <w:rFonts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767" w:type="dxa"/>
            <w:vMerge w:val="continue"/>
            <w:tcBorders>
              <w:top w:val="nil"/>
              <w:left w:val="single" w:color="auto" w:sz="4" w:space="0"/>
              <w:bottom w:val="single" w:color="auto" w:sz="4" w:space="0"/>
              <w:right w:val="single" w:color="auto" w:sz="4" w:space="0"/>
            </w:tcBorders>
            <w:vAlign w:val="center"/>
          </w:tcPr>
          <w:p>
            <w:pPr>
              <w:widowControl/>
              <w:spacing w:line="500" w:lineRule="exact"/>
              <w:jc w:val="left"/>
              <w:rPr>
                <w:rFonts w:ascii="宋体" w:hAnsi="宋体" w:cs="宋体"/>
                <w:color w:val="000000"/>
                <w:sz w:val="24"/>
                <w:szCs w:val="24"/>
              </w:rPr>
            </w:pPr>
          </w:p>
        </w:tc>
        <w:tc>
          <w:tcPr>
            <w:tcW w:w="1649" w:type="dxa"/>
            <w:tcBorders>
              <w:top w:val="single" w:color="auto" w:sz="4" w:space="0"/>
              <w:left w:val="nil"/>
              <w:bottom w:val="single" w:color="auto" w:sz="4" w:space="0"/>
              <w:right w:val="single" w:color="auto" w:sz="4" w:space="0"/>
            </w:tcBorders>
          </w:tcPr>
          <w:p>
            <w:pPr>
              <w:spacing w:line="500" w:lineRule="exact"/>
              <w:jc w:val="center"/>
              <w:rPr>
                <w:rFonts w:ascii="宋体" w:hAnsi="宋体" w:cs="宋体"/>
                <w:color w:val="000000"/>
                <w:sz w:val="24"/>
                <w:szCs w:val="24"/>
              </w:rPr>
            </w:pPr>
          </w:p>
        </w:tc>
        <w:tc>
          <w:tcPr>
            <w:tcW w:w="901" w:type="dxa"/>
            <w:tcBorders>
              <w:top w:val="single" w:color="auto" w:sz="4" w:space="0"/>
              <w:left w:val="nil"/>
              <w:bottom w:val="single" w:color="auto" w:sz="4" w:space="0"/>
              <w:right w:val="single" w:color="auto" w:sz="4" w:space="0"/>
            </w:tcBorders>
          </w:tcPr>
          <w:p>
            <w:pPr>
              <w:spacing w:line="500" w:lineRule="exact"/>
              <w:jc w:val="center"/>
              <w:rPr>
                <w:rFonts w:ascii="宋体" w:hAnsi="宋体" w:cs="宋体"/>
                <w:color w:val="000000"/>
                <w:sz w:val="24"/>
                <w:szCs w:val="24"/>
              </w:rPr>
            </w:pPr>
          </w:p>
        </w:tc>
        <w:tc>
          <w:tcPr>
            <w:tcW w:w="901" w:type="dxa"/>
            <w:tcBorders>
              <w:top w:val="single" w:color="auto" w:sz="4" w:space="0"/>
              <w:left w:val="nil"/>
              <w:bottom w:val="single" w:color="auto" w:sz="4" w:space="0"/>
              <w:right w:val="single" w:color="auto" w:sz="4" w:space="0"/>
            </w:tcBorders>
          </w:tcPr>
          <w:p>
            <w:pPr>
              <w:spacing w:line="500" w:lineRule="exact"/>
              <w:jc w:val="center"/>
              <w:rPr>
                <w:rFonts w:ascii="宋体" w:hAnsi="宋体" w:cs="宋体"/>
                <w:color w:val="000000"/>
                <w:sz w:val="24"/>
                <w:szCs w:val="24"/>
              </w:rPr>
            </w:pPr>
          </w:p>
        </w:tc>
        <w:tc>
          <w:tcPr>
            <w:tcW w:w="901" w:type="dxa"/>
            <w:tcBorders>
              <w:top w:val="single" w:color="auto" w:sz="4" w:space="0"/>
              <w:left w:val="nil"/>
              <w:bottom w:val="single" w:color="auto" w:sz="4" w:space="0"/>
              <w:right w:val="single" w:color="auto" w:sz="4" w:space="0"/>
            </w:tcBorders>
          </w:tcPr>
          <w:p>
            <w:pPr>
              <w:spacing w:line="500" w:lineRule="exact"/>
              <w:jc w:val="center"/>
              <w:rPr>
                <w:rFonts w:ascii="宋体" w:hAnsi="宋体" w:cs="宋体"/>
                <w:color w:val="000000"/>
                <w:sz w:val="24"/>
                <w:szCs w:val="24"/>
              </w:rPr>
            </w:pPr>
          </w:p>
        </w:tc>
        <w:tc>
          <w:tcPr>
            <w:tcW w:w="1291" w:type="dxa"/>
            <w:tcBorders>
              <w:top w:val="single" w:color="auto" w:sz="4" w:space="0"/>
              <w:left w:val="nil"/>
              <w:bottom w:val="single" w:color="auto" w:sz="4" w:space="0"/>
              <w:right w:val="single" w:color="auto" w:sz="4" w:space="0"/>
            </w:tcBorders>
          </w:tcPr>
          <w:p>
            <w:pPr>
              <w:spacing w:line="500" w:lineRule="exact"/>
              <w:jc w:val="center"/>
              <w:rPr>
                <w:rFonts w:ascii="宋体" w:hAnsi="宋体" w:cs="宋体"/>
                <w:color w:val="000000"/>
                <w:sz w:val="24"/>
                <w:szCs w:val="24"/>
              </w:rPr>
            </w:pPr>
          </w:p>
        </w:tc>
        <w:tc>
          <w:tcPr>
            <w:tcW w:w="992" w:type="dxa"/>
            <w:tcBorders>
              <w:top w:val="single" w:color="auto" w:sz="4" w:space="0"/>
              <w:left w:val="nil"/>
              <w:bottom w:val="single" w:color="auto" w:sz="4" w:space="0"/>
              <w:right w:val="single" w:color="auto" w:sz="4" w:space="0"/>
            </w:tcBorders>
          </w:tcPr>
          <w:p>
            <w:pPr>
              <w:spacing w:line="500" w:lineRule="exact"/>
              <w:jc w:val="center"/>
              <w:rPr>
                <w:rFonts w:ascii="宋体" w:hAnsi="宋体" w:cs="宋体"/>
                <w:color w:val="000000"/>
                <w:sz w:val="24"/>
                <w:szCs w:val="24"/>
              </w:rPr>
            </w:pPr>
          </w:p>
        </w:tc>
        <w:tc>
          <w:tcPr>
            <w:tcW w:w="850" w:type="dxa"/>
            <w:tcBorders>
              <w:top w:val="single" w:color="auto" w:sz="4" w:space="0"/>
              <w:left w:val="nil"/>
              <w:bottom w:val="single" w:color="auto" w:sz="4" w:space="0"/>
              <w:right w:val="single" w:color="auto" w:sz="4" w:space="0"/>
            </w:tcBorders>
          </w:tcPr>
          <w:p>
            <w:pPr>
              <w:spacing w:line="500" w:lineRule="exact"/>
              <w:jc w:val="center"/>
              <w:rPr>
                <w:rFonts w:ascii="宋体" w:hAnsi="宋体" w:cs="宋体"/>
                <w:color w:val="000000"/>
                <w:sz w:val="24"/>
                <w:szCs w:val="24"/>
              </w:rPr>
            </w:pPr>
          </w:p>
        </w:tc>
        <w:tc>
          <w:tcPr>
            <w:tcW w:w="879" w:type="dxa"/>
            <w:tcBorders>
              <w:top w:val="single" w:color="auto" w:sz="4" w:space="0"/>
              <w:left w:val="nil"/>
              <w:bottom w:val="single" w:color="auto" w:sz="4" w:space="0"/>
              <w:right w:val="single" w:color="auto" w:sz="4" w:space="0"/>
            </w:tcBorders>
          </w:tcPr>
          <w:p>
            <w:pPr>
              <w:spacing w:line="500" w:lineRule="exact"/>
              <w:jc w:val="center"/>
              <w:rPr>
                <w:rFonts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jc w:val="center"/>
        </w:trPr>
        <w:tc>
          <w:tcPr>
            <w:tcW w:w="767" w:type="dxa"/>
            <w:vMerge w:val="restart"/>
            <w:tcBorders>
              <w:top w:val="nil"/>
              <w:left w:val="single" w:color="auto" w:sz="4" w:space="0"/>
              <w:bottom w:val="single" w:color="auto" w:sz="4" w:space="0"/>
              <w:right w:val="single" w:color="auto" w:sz="4" w:space="0"/>
            </w:tcBorders>
          </w:tcPr>
          <w:p>
            <w:pPr>
              <w:spacing w:line="500" w:lineRule="exact"/>
              <w:jc w:val="center"/>
              <w:rPr>
                <w:rFonts w:ascii="宋体" w:hAnsi="宋体" w:cs="宋体"/>
                <w:color w:val="000000"/>
                <w:sz w:val="24"/>
                <w:szCs w:val="24"/>
              </w:rPr>
            </w:pPr>
            <w:r>
              <w:rPr>
                <w:rFonts w:hint="eastAsia" w:ascii="宋体" w:hAnsi="宋体" w:cs="宋体"/>
                <w:color w:val="000000"/>
                <w:sz w:val="24"/>
                <w:szCs w:val="24"/>
              </w:rPr>
              <w:t>售后</w:t>
            </w:r>
          </w:p>
          <w:p>
            <w:pPr>
              <w:spacing w:line="500" w:lineRule="exact"/>
              <w:jc w:val="center"/>
              <w:rPr>
                <w:rFonts w:ascii="宋体" w:hAnsi="宋体" w:cs="宋体"/>
                <w:color w:val="000000"/>
                <w:sz w:val="24"/>
                <w:szCs w:val="24"/>
              </w:rPr>
            </w:pPr>
            <w:r>
              <w:rPr>
                <w:rFonts w:hint="eastAsia" w:ascii="宋体" w:hAnsi="宋体" w:cs="宋体"/>
                <w:color w:val="000000"/>
                <w:sz w:val="24"/>
                <w:szCs w:val="24"/>
              </w:rPr>
              <w:t>服务</w:t>
            </w:r>
          </w:p>
          <w:p>
            <w:pPr>
              <w:spacing w:line="500" w:lineRule="exact"/>
              <w:jc w:val="center"/>
              <w:rPr>
                <w:rFonts w:ascii="宋体" w:hAnsi="宋体" w:cs="宋体"/>
                <w:color w:val="000000"/>
                <w:sz w:val="24"/>
                <w:szCs w:val="24"/>
              </w:rPr>
            </w:pPr>
            <w:r>
              <w:rPr>
                <w:rFonts w:hint="eastAsia" w:ascii="宋体" w:hAnsi="宋体" w:cs="宋体"/>
                <w:color w:val="000000"/>
                <w:sz w:val="24"/>
                <w:szCs w:val="24"/>
              </w:rPr>
              <w:t>人员</w:t>
            </w:r>
          </w:p>
        </w:tc>
        <w:tc>
          <w:tcPr>
            <w:tcW w:w="1649" w:type="dxa"/>
            <w:tcBorders>
              <w:top w:val="single" w:color="auto" w:sz="4" w:space="0"/>
              <w:left w:val="nil"/>
              <w:bottom w:val="single" w:color="auto" w:sz="4" w:space="0"/>
              <w:right w:val="single" w:color="auto" w:sz="4" w:space="0"/>
            </w:tcBorders>
          </w:tcPr>
          <w:p>
            <w:pPr>
              <w:spacing w:line="500" w:lineRule="exact"/>
              <w:jc w:val="center"/>
              <w:rPr>
                <w:rFonts w:ascii="宋体" w:hAnsi="宋体" w:cs="宋体"/>
                <w:color w:val="000000"/>
                <w:sz w:val="24"/>
                <w:szCs w:val="24"/>
              </w:rPr>
            </w:pPr>
          </w:p>
        </w:tc>
        <w:tc>
          <w:tcPr>
            <w:tcW w:w="901" w:type="dxa"/>
            <w:tcBorders>
              <w:top w:val="single" w:color="auto" w:sz="4" w:space="0"/>
              <w:left w:val="nil"/>
              <w:bottom w:val="single" w:color="auto" w:sz="4" w:space="0"/>
              <w:right w:val="single" w:color="auto" w:sz="4" w:space="0"/>
            </w:tcBorders>
          </w:tcPr>
          <w:p>
            <w:pPr>
              <w:spacing w:line="500" w:lineRule="exact"/>
              <w:jc w:val="center"/>
              <w:rPr>
                <w:rFonts w:ascii="宋体" w:hAnsi="宋体" w:cs="宋体"/>
                <w:color w:val="000000"/>
                <w:sz w:val="24"/>
                <w:szCs w:val="24"/>
              </w:rPr>
            </w:pPr>
          </w:p>
        </w:tc>
        <w:tc>
          <w:tcPr>
            <w:tcW w:w="901" w:type="dxa"/>
            <w:tcBorders>
              <w:top w:val="single" w:color="auto" w:sz="4" w:space="0"/>
              <w:left w:val="nil"/>
              <w:bottom w:val="single" w:color="auto" w:sz="4" w:space="0"/>
              <w:right w:val="single" w:color="auto" w:sz="4" w:space="0"/>
            </w:tcBorders>
          </w:tcPr>
          <w:p>
            <w:pPr>
              <w:spacing w:line="500" w:lineRule="exact"/>
              <w:jc w:val="center"/>
              <w:rPr>
                <w:rFonts w:ascii="宋体" w:hAnsi="宋体" w:cs="宋体"/>
                <w:color w:val="000000"/>
                <w:sz w:val="24"/>
                <w:szCs w:val="24"/>
              </w:rPr>
            </w:pPr>
          </w:p>
        </w:tc>
        <w:tc>
          <w:tcPr>
            <w:tcW w:w="901" w:type="dxa"/>
            <w:tcBorders>
              <w:top w:val="single" w:color="auto" w:sz="4" w:space="0"/>
              <w:left w:val="nil"/>
              <w:bottom w:val="single" w:color="auto" w:sz="4" w:space="0"/>
              <w:right w:val="single" w:color="auto" w:sz="4" w:space="0"/>
            </w:tcBorders>
          </w:tcPr>
          <w:p>
            <w:pPr>
              <w:spacing w:line="500" w:lineRule="exact"/>
              <w:jc w:val="center"/>
              <w:rPr>
                <w:rFonts w:ascii="宋体" w:hAnsi="宋体" w:cs="宋体"/>
                <w:color w:val="000000"/>
                <w:sz w:val="24"/>
                <w:szCs w:val="24"/>
              </w:rPr>
            </w:pPr>
          </w:p>
        </w:tc>
        <w:tc>
          <w:tcPr>
            <w:tcW w:w="1291" w:type="dxa"/>
            <w:tcBorders>
              <w:top w:val="single" w:color="auto" w:sz="4" w:space="0"/>
              <w:left w:val="nil"/>
              <w:bottom w:val="single" w:color="auto" w:sz="4" w:space="0"/>
              <w:right w:val="single" w:color="auto" w:sz="4" w:space="0"/>
            </w:tcBorders>
          </w:tcPr>
          <w:p>
            <w:pPr>
              <w:spacing w:line="500" w:lineRule="exact"/>
              <w:jc w:val="center"/>
              <w:rPr>
                <w:rFonts w:ascii="宋体" w:hAnsi="宋体" w:cs="宋体"/>
                <w:color w:val="000000"/>
                <w:sz w:val="24"/>
                <w:szCs w:val="24"/>
              </w:rPr>
            </w:pPr>
          </w:p>
        </w:tc>
        <w:tc>
          <w:tcPr>
            <w:tcW w:w="992" w:type="dxa"/>
            <w:tcBorders>
              <w:top w:val="single" w:color="auto" w:sz="4" w:space="0"/>
              <w:left w:val="nil"/>
              <w:bottom w:val="single" w:color="auto" w:sz="4" w:space="0"/>
              <w:right w:val="single" w:color="auto" w:sz="4" w:space="0"/>
            </w:tcBorders>
          </w:tcPr>
          <w:p>
            <w:pPr>
              <w:spacing w:line="500" w:lineRule="exact"/>
              <w:jc w:val="center"/>
              <w:rPr>
                <w:rFonts w:ascii="宋体" w:hAnsi="宋体" w:cs="宋体"/>
                <w:color w:val="000000"/>
                <w:sz w:val="24"/>
                <w:szCs w:val="24"/>
              </w:rPr>
            </w:pPr>
          </w:p>
        </w:tc>
        <w:tc>
          <w:tcPr>
            <w:tcW w:w="850" w:type="dxa"/>
            <w:tcBorders>
              <w:top w:val="single" w:color="auto" w:sz="4" w:space="0"/>
              <w:left w:val="nil"/>
              <w:bottom w:val="single" w:color="auto" w:sz="4" w:space="0"/>
              <w:right w:val="single" w:color="auto" w:sz="4" w:space="0"/>
            </w:tcBorders>
          </w:tcPr>
          <w:p>
            <w:pPr>
              <w:spacing w:line="500" w:lineRule="exact"/>
              <w:jc w:val="center"/>
              <w:rPr>
                <w:rFonts w:ascii="宋体" w:hAnsi="宋体" w:cs="宋体"/>
                <w:color w:val="000000"/>
                <w:sz w:val="24"/>
                <w:szCs w:val="24"/>
              </w:rPr>
            </w:pPr>
          </w:p>
        </w:tc>
        <w:tc>
          <w:tcPr>
            <w:tcW w:w="879" w:type="dxa"/>
            <w:tcBorders>
              <w:top w:val="single" w:color="auto" w:sz="4" w:space="0"/>
              <w:left w:val="nil"/>
              <w:bottom w:val="single" w:color="auto" w:sz="4" w:space="0"/>
              <w:right w:val="single" w:color="auto" w:sz="4" w:space="0"/>
            </w:tcBorders>
          </w:tcPr>
          <w:p>
            <w:pPr>
              <w:spacing w:line="500" w:lineRule="exact"/>
              <w:jc w:val="center"/>
              <w:rPr>
                <w:rFonts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767" w:type="dxa"/>
            <w:vMerge w:val="continue"/>
            <w:tcBorders>
              <w:top w:val="nil"/>
              <w:left w:val="single" w:color="auto" w:sz="4" w:space="0"/>
              <w:bottom w:val="single" w:color="auto" w:sz="4" w:space="0"/>
              <w:right w:val="single" w:color="auto" w:sz="4" w:space="0"/>
            </w:tcBorders>
            <w:vAlign w:val="center"/>
          </w:tcPr>
          <w:p>
            <w:pPr>
              <w:widowControl/>
              <w:spacing w:line="500" w:lineRule="exact"/>
              <w:jc w:val="left"/>
              <w:rPr>
                <w:rFonts w:ascii="宋体" w:hAnsi="宋体" w:cs="宋体"/>
                <w:color w:val="000000"/>
                <w:sz w:val="24"/>
                <w:szCs w:val="24"/>
              </w:rPr>
            </w:pPr>
          </w:p>
        </w:tc>
        <w:tc>
          <w:tcPr>
            <w:tcW w:w="1649" w:type="dxa"/>
            <w:tcBorders>
              <w:top w:val="single" w:color="auto" w:sz="4" w:space="0"/>
              <w:left w:val="nil"/>
              <w:bottom w:val="single" w:color="auto" w:sz="4" w:space="0"/>
              <w:right w:val="single" w:color="auto" w:sz="4" w:space="0"/>
            </w:tcBorders>
          </w:tcPr>
          <w:p>
            <w:pPr>
              <w:spacing w:line="500" w:lineRule="exact"/>
              <w:jc w:val="center"/>
              <w:rPr>
                <w:rFonts w:ascii="宋体" w:hAnsi="宋体" w:cs="宋体"/>
                <w:color w:val="000000"/>
                <w:sz w:val="24"/>
                <w:szCs w:val="24"/>
              </w:rPr>
            </w:pPr>
          </w:p>
        </w:tc>
        <w:tc>
          <w:tcPr>
            <w:tcW w:w="901" w:type="dxa"/>
            <w:tcBorders>
              <w:top w:val="single" w:color="auto" w:sz="4" w:space="0"/>
              <w:left w:val="nil"/>
              <w:bottom w:val="single" w:color="auto" w:sz="4" w:space="0"/>
              <w:right w:val="single" w:color="auto" w:sz="4" w:space="0"/>
            </w:tcBorders>
          </w:tcPr>
          <w:p>
            <w:pPr>
              <w:spacing w:line="500" w:lineRule="exact"/>
              <w:jc w:val="center"/>
              <w:rPr>
                <w:rFonts w:ascii="宋体" w:hAnsi="宋体" w:cs="宋体"/>
                <w:b/>
                <w:bCs/>
                <w:color w:val="000000"/>
                <w:sz w:val="24"/>
                <w:szCs w:val="24"/>
              </w:rPr>
            </w:pPr>
          </w:p>
        </w:tc>
        <w:tc>
          <w:tcPr>
            <w:tcW w:w="901" w:type="dxa"/>
            <w:tcBorders>
              <w:top w:val="single" w:color="auto" w:sz="4" w:space="0"/>
              <w:left w:val="nil"/>
              <w:bottom w:val="single" w:color="auto" w:sz="4" w:space="0"/>
              <w:right w:val="single" w:color="auto" w:sz="4" w:space="0"/>
            </w:tcBorders>
          </w:tcPr>
          <w:p>
            <w:pPr>
              <w:spacing w:line="500" w:lineRule="exact"/>
              <w:jc w:val="center"/>
              <w:rPr>
                <w:rFonts w:ascii="宋体" w:hAnsi="宋体" w:cs="宋体"/>
                <w:b/>
                <w:bCs/>
                <w:color w:val="000000"/>
                <w:sz w:val="24"/>
                <w:szCs w:val="24"/>
              </w:rPr>
            </w:pPr>
          </w:p>
        </w:tc>
        <w:tc>
          <w:tcPr>
            <w:tcW w:w="901" w:type="dxa"/>
            <w:tcBorders>
              <w:top w:val="single" w:color="auto" w:sz="4" w:space="0"/>
              <w:left w:val="nil"/>
              <w:bottom w:val="single" w:color="auto" w:sz="4" w:space="0"/>
              <w:right w:val="single" w:color="auto" w:sz="4" w:space="0"/>
            </w:tcBorders>
          </w:tcPr>
          <w:p>
            <w:pPr>
              <w:spacing w:line="500" w:lineRule="exact"/>
              <w:jc w:val="center"/>
              <w:rPr>
                <w:rFonts w:ascii="宋体" w:hAnsi="宋体" w:cs="宋体"/>
                <w:b/>
                <w:bCs/>
                <w:color w:val="000000"/>
                <w:sz w:val="24"/>
                <w:szCs w:val="24"/>
              </w:rPr>
            </w:pPr>
          </w:p>
        </w:tc>
        <w:tc>
          <w:tcPr>
            <w:tcW w:w="1291" w:type="dxa"/>
            <w:tcBorders>
              <w:top w:val="single" w:color="auto" w:sz="4" w:space="0"/>
              <w:left w:val="nil"/>
              <w:bottom w:val="single" w:color="auto" w:sz="4" w:space="0"/>
              <w:right w:val="single" w:color="auto" w:sz="4" w:space="0"/>
            </w:tcBorders>
          </w:tcPr>
          <w:p>
            <w:pPr>
              <w:spacing w:line="500" w:lineRule="exact"/>
              <w:jc w:val="center"/>
              <w:rPr>
                <w:rFonts w:ascii="宋体" w:hAnsi="宋体" w:cs="宋体"/>
                <w:b/>
                <w:bCs/>
                <w:color w:val="000000"/>
                <w:sz w:val="24"/>
                <w:szCs w:val="24"/>
              </w:rPr>
            </w:pPr>
          </w:p>
        </w:tc>
        <w:tc>
          <w:tcPr>
            <w:tcW w:w="992" w:type="dxa"/>
            <w:tcBorders>
              <w:top w:val="single" w:color="auto" w:sz="4" w:space="0"/>
              <w:left w:val="nil"/>
              <w:bottom w:val="single" w:color="auto" w:sz="4" w:space="0"/>
              <w:right w:val="single" w:color="auto" w:sz="4" w:space="0"/>
            </w:tcBorders>
          </w:tcPr>
          <w:p>
            <w:pPr>
              <w:spacing w:line="500" w:lineRule="exact"/>
              <w:jc w:val="center"/>
              <w:rPr>
                <w:rFonts w:ascii="宋体" w:hAnsi="宋体" w:cs="宋体"/>
                <w:b/>
                <w:bCs/>
                <w:color w:val="000000"/>
                <w:sz w:val="24"/>
                <w:szCs w:val="24"/>
              </w:rPr>
            </w:pPr>
          </w:p>
        </w:tc>
        <w:tc>
          <w:tcPr>
            <w:tcW w:w="850" w:type="dxa"/>
            <w:tcBorders>
              <w:top w:val="single" w:color="auto" w:sz="4" w:space="0"/>
              <w:left w:val="nil"/>
              <w:bottom w:val="single" w:color="auto" w:sz="4" w:space="0"/>
              <w:right w:val="single" w:color="auto" w:sz="4" w:space="0"/>
            </w:tcBorders>
          </w:tcPr>
          <w:p>
            <w:pPr>
              <w:spacing w:line="500" w:lineRule="exact"/>
              <w:jc w:val="center"/>
              <w:rPr>
                <w:rFonts w:ascii="宋体" w:hAnsi="宋体" w:cs="宋体"/>
                <w:b/>
                <w:bCs/>
                <w:color w:val="000000"/>
                <w:sz w:val="24"/>
                <w:szCs w:val="24"/>
              </w:rPr>
            </w:pPr>
          </w:p>
        </w:tc>
        <w:tc>
          <w:tcPr>
            <w:tcW w:w="879" w:type="dxa"/>
            <w:tcBorders>
              <w:top w:val="single" w:color="auto" w:sz="4" w:space="0"/>
              <w:left w:val="nil"/>
              <w:bottom w:val="single" w:color="auto" w:sz="4" w:space="0"/>
              <w:right w:val="single" w:color="auto" w:sz="4" w:space="0"/>
            </w:tcBorders>
          </w:tcPr>
          <w:p>
            <w:pPr>
              <w:spacing w:line="500" w:lineRule="exact"/>
              <w:jc w:val="center"/>
              <w:rPr>
                <w:rFonts w:ascii="宋体" w:hAnsi="宋体" w:cs="宋体"/>
                <w:b/>
                <w:bCs/>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jc w:val="center"/>
        </w:trPr>
        <w:tc>
          <w:tcPr>
            <w:tcW w:w="767" w:type="dxa"/>
            <w:vMerge w:val="continue"/>
            <w:tcBorders>
              <w:top w:val="nil"/>
              <w:left w:val="single" w:color="auto" w:sz="4" w:space="0"/>
              <w:bottom w:val="single" w:color="auto" w:sz="4" w:space="0"/>
              <w:right w:val="single" w:color="auto" w:sz="4" w:space="0"/>
            </w:tcBorders>
            <w:vAlign w:val="center"/>
          </w:tcPr>
          <w:p>
            <w:pPr>
              <w:widowControl/>
              <w:spacing w:line="500" w:lineRule="exact"/>
              <w:jc w:val="left"/>
              <w:rPr>
                <w:rFonts w:ascii="宋体" w:hAnsi="宋体" w:cs="宋体"/>
                <w:color w:val="000000"/>
                <w:sz w:val="24"/>
                <w:szCs w:val="24"/>
              </w:rPr>
            </w:pPr>
          </w:p>
        </w:tc>
        <w:tc>
          <w:tcPr>
            <w:tcW w:w="1649" w:type="dxa"/>
            <w:tcBorders>
              <w:top w:val="single" w:color="auto" w:sz="4" w:space="0"/>
              <w:left w:val="nil"/>
              <w:bottom w:val="single" w:color="auto" w:sz="4" w:space="0"/>
              <w:right w:val="single" w:color="auto" w:sz="4" w:space="0"/>
            </w:tcBorders>
          </w:tcPr>
          <w:p>
            <w:pPr>
              <w:spacing w:line="500" w:lineRule="exact"/>
              <w:jc w:val="center"/>
              <w:rPr>
                <w:rFonts w:ascii="宋体" w:hAnsi="宋体" w:cs="宋体"/>
                <w:color w:val="000000"/>
                <w:sz w:val="24"/>
                <w:szCs w:val="24"/>
              </w:rPr>
            </w:pPr>
          </w:p>
        </w:tc>
        <w:tc>
          <w:tcPr>
            <w:tcW w:w="901" w:type="dxa"/>
            <w:tcBorders>
              <w:top w:val="single" w:color="auto" w:sz="4" w:space="0"/>
              <w:left w:val="nil"/>
              <w:bottom w:val="single" w:color="auto" w:sz="4" w:space="0"/>
              <w:right w:val="single" w:color="auto" w:sz="4" w:space="0"/>
            </w:tcBorders>
          </w:tcPr>
          <w:p>
            <w:pPr>
              <w:spacing w:line="500" w:lineRule="exact"/>
              <w:jc w:val="center"/>
              <w:rPr>
                <w:rFonts w:ascii="宋体" w:hAnsi="宋体" w:cs="宋体"/>
                <w:b/>
                <w:bCs/>
                <w:color w:val="000000"/>
                <w:sz w:val="24"/>
                <w:szCs w:val="24"/>
              </w:rPr>
            </w:pPr>
          </w:p>
        </w:tc>
        <w:tc>
          <w:tcPr>
            <w:tcW w:w="901" w:type="dxa"/>
            <w:tcBorders>
              <w:top w:val="single" w:color="auto" w:sz="4" w:space="0"/>
              <w:left w:val="nil"/>
              <w:bottom w:val="single" w:color="auto" w:sz="4" w:space="0"/>
              <w:right w:val="single" w:color="auto" w:sz="4" w:space="0"/>
            </w:tcBorders>
          </w:tcPr>
          <w:p>
            <w:pPr>
              <w:spacing w:line="500" w:lineRule="exact"/>
              <w:jc w:val="center"/>
              <w:rPr>
                <w:rFonts w:ascii="宋体" w:hAnsi="宋体" w:cs="宋体"/>
                <w:b/>
                <w:bCs/>
                <w:color w:val="000000"/>
                <w:sz w:val="24"/>
                <w:szCs w:val="24"/>
              </w:rPr>
            </w:pPr>
          </w:p>
        </w:tc>
        <w:tc>
          <w:tcPr>
            <w:tcW w:w="901" w:type="dxa"/>
            <w:tcBorders>
              <w:top w:val="single" w:color="auto" w:sz="4" w:space="0"/>
              <w:left w:val="nil"/>
              <w:bottom w:val="single" w:color="auto" w:sz="4" w:space="0"/>
              <w:right w:val="single" w:color="auto" w:sz="4" w:space="0"/>
            </w:tcBorders>
          </w:tcPr>
          <w:p>
            <w:pPr>
              <w:spacing w:line="500" w:lineRule="exact"/>
              <w:jc w:val="center"/>
              <w:rPr>
                <w:rFonts w:ascii="宋体" w:hAnsi="宋体" w:cs="宋体"/>
                <w:b/>
                <w:bCs/>
                <w:color w:val="000000"/>
                <w:sz w:val="24"/>
                <w:szCs w:val="24"/>
              </w:rPr>
            </w:pPr>
          </w:p>
        </w:tc>
        <w:tc>
          <w:tcPr>
            <w:tcW w:w="1291" w:type="dxa"/>
            <w:tcBorders>
              <w:top w:val="single" w:color="auto" w:sz="4" w:space="0"/>
              <w:left w:val="nil"/>
              <w:bottom w:val="single" w:color="auto" w:sz="4" w:space="0"/>
              <w:right w:val="single" w:color="auto" w:sz="4" w:space="0"/>
            </w:tcBorders>
          </w:tcPr>
          <w:p>
            <w:pPr>
              <w:spacing w:line="500" w:lineRule="exact"/>
              <w:jc w:val="center"/>
              <w:rPr>
                <w:rFonts w:ascii="宋体" w:hAnsi="宋体" w:cs="宋体"/>
                <w:b/>
                <w:bCs/>
                <w:color w:val="000000"/>
                <w:sz w:val="24"/>
                <w:szCs w:val="24"/>
              </w:rPr>
            </w:pPr>
          </w:p>
        </w:tc>
        <w:tc>
          <w:tcPr>
            <w:tcW w:w="992" w:type="dxa"/>
            <w:tcBorders>
              <w:top w:val="single" w:color="auto" w:sz="4" w:space="0"/>
              <w:left w:val="nil"/>
              <w:bottom w:val="single" w:color="auto" w:sz="4" w:space="0"/>
              <w:right w:val="single" w:color="auto" w:sz="4" w:space="0"/>
            </w:tcBorders>
          </w:tcPr>
          <w:p>
            <w:pPr>
              <w:spacing w:line="500" w:lineRule="exact"/>
              <w:jc w:val="center"/>
              <w:rPr>
                <w:rFonts w:ascii="宋体" w:hAnsi="宋体" w:cs="宋体"/>
                <w:b/>
                <w:bCs/>
                <w:color w:val="000000"/>
                <w:sz w:val="24"/>
                <w:szCs w:val="24"/>
              </w:rPr>
            </w:pPr>
          </w:p>
        </w:tc>
        <w:tc>
          <w:tcPr>
            <w:tcW w:w="850" w:type="dxa"/>
            <w:tcBorders>
              <w:top w:val="single" w:color="auto" w:sz="4" w:space="0"/>
              <w:left w:val="nil"/>
              <w:bottom w:val="single" w:color="auto" w:sz="4" w:space="0"/>
              <w:right w:val="single" w:color="auto" w:sz="4" w:space="0"/>
            </w:tcBorders>
          </w:tcPr>
          <w:p>
            <w:pPr>
              <w:spacing w:line="500" w:lineRule="exact"/>
              <w:jc w:val="center"/>
              <w:rPr>
                <w:rFonts w:ascii="宋体" w:hAnsi="宋体" w:cs="宋体"/>
                <w:b/>
                <w:bCs/>
                <w:color w:val="000000"/>
                <w:sz w:val="24"/>
                <w:szCs w:val="24"/>
              </w:rPr>
            </w:pPr>
          </w:p>
        </w:tc>
        <w:tc>
          <w:tcPr>
            <w:tcW w:w="879" w:type="dxa"/>
            <w:tcBorders>
              <w:top w:val="single" w:color="auto" w:sz="4" w:space="0"/>
              <w:left w:val="nil"/>
              <w:bottom w:val="single" w:color="auto" w:sz="4" w:space="0"/>
              <w:right w:val="single" w:color="auto" w:sz="4" w:space="0"/>
            </w:tcBorders>
          </w:tcPr>
          <w:p>
            <w:pPr>
              <w:spacing w:line="500" w:lineRule="exact"/>
              <w:jc w:val="center"/>
              <w:rPr>
                <w:rFonts w:ascii="宋体" w:hAnsi="宋体" w:cs="宋体"/>
                <w:b/>
                <w:bCs/>
                <w:color w:val="000000"/>
                <w:sz w:val="24"/>
                <w:szCs w:val="24"/>
              </w:rPr>
            </w:pPr>
          </w:p>
        </w:tc>
      </w:tr>
    </w:tbl>
    <w:p>
      <w:pPr>
        <w:spacing w:line="500" w:lineRule="exact"/>
        <w:contextualSpacing/>
        <w:jc w:val="center"/>
        <w:rPr>
          <w:rFonts w:ascii="宋体" w:hAnsi="宋体" w:cs="宋体"/>
          <w:b/>
          <w:bCs/>
          <w:color w:val="000000" w:themeColor="text1"/>
          <w:sz w:val="24"/>
          <w:szCs w:val="24"/>
          <w14:textFill>
            <w14:solidFill>
              <w14:schemeClr w14:val="tx1"/>
            </w14:solidFill>
          </w14:textFill>
        </w:rPr>
      </w:pPr>
    </w:p>
    <w:p>
      <w:pPr>
        <w:spacing w:line="500" w:lineRule="exact"/>
        <w:contextualSpacing/>
        <w:jc w:val="center"/>
        <w:rPr>
          <w:rFonts w:ascii="宋体" w:hAnsi="宋体" w:cs="宋体"/>
          <w:b/>
          <w:bCs/>
          <w:color w:val="000000" w:themeColor="text1"/>
          <w:sz w:val="24"/>
          <w:szCs w:val="24"/>
          <w14:textFill>
            <w14:solidFill>
              <w14:schemeClr w14:val="tx1"/>
            </w14:solidFill>
          </w14:textFill>
        </w:rPr>
      </w:pPr>
    </w:p>
    <w:p>
      <w:pPr>
        <w:spacing w:line="500" w:lineRule="exact"/>
        <w:contextualSpacing/>
        <w:jc w:val="center"/>
        <w:rPr>
          <w:rFonts w:ascii="宋体" w:hAnsi="宋体" w:cs="宋体"/>
          <w:b/>
          <w:bCs/>
          <w:color w:val="000000" w:themeColor="text1"/>
          <w:sz w:val="24"/>
          <w:szCs w:val="24"/>
          <w14:textFill>
            <w14:solidFill>
              <w14:schemeClr w14:val="tx1"/>
            </w14:solidFill>
          </w14:textFill>
        </w:rPr>
      </w:pPr>
    </w:p>
    <w:p>
      <w:pPr>
        <w:spacing w:line="500" w:lineRule="exact"/>
        <w:contextualSpacing/>
        <w:jc w:val="center"/>
        <w:rPr>
          <w:rFonts w:ascii="宋体" w:hAnsi="宋体" w:cs="宋体"/>
          <w:b/>
          <w:bCs/>
          <w:color w:val="000000" w:themeColor="text1"/>
          <w:sz w:val="24"/>
          <w:szCs w:val="24"/>
          <w14:textFill>
            <w14:solidFill>
              <w14:schemeClr w14:val="tx1"/>
            </w14:solidFill>
          </w14:textFill>
        </w:rPr>
      </w:pPr>
    </w:p>
    <w:p>
      <w:pPr>
        <w:spacing w:line="500" w:lineRule="exact"/>
        <w:contextualSpacing/>
        <w:jc w:val="center"/>
        <w:rPr>
          <w:rFonts w:ascii="宋体" w:hAnsi="宋体" w:cs="宋体"/>
          <w:b/>
          <w:bCs/>
          <w:color w:val="000000" w:themeColor="text1"/>
          <w:sz w:val="24"/>
          <w:szCs w:val="24"/>
          <w14:textFill>
            <w14:solidFill>
              <w14:schemeClr w14:val="tx1"/>
            </w14:solidFill>
          </w14:textFill>
        </w:rPr>
      </w:pPr>
    </w:p>
    <w:p>
      <w:pPr>
        <w:adjustRightInd w:val="0"/>
        <w:spacing w:line="500" w:lineRule="exact"/>
        <w:ind w:firstLine="480" w:firstLineChars="200"/>
        <w:contextualSpacing/>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投标人名称：（盖章）</w:t>
      </w:r>
    </w:p>
    <w:p>
      <w:pPr>
        <w:adjustRightInd w:val="0"/>
        <w:spacing w:line="500" w:lineRule="exact"/>
        <w:ind w:firstLine="480" w:firstLineChars="200"/>
        <w:contextualSpacing/>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法定代表人或授权代表（签字）：_</w:t>
      </w:r>
      <w:r>
        <w:rPr>
          <w:rFonts w:hint="eastAsia" w:ascii="宋体" w:hAnsi="宋体" w:cs="宋体"/>
          <w:color w:val="000000" w:themeColor="text1"/>
          <w:sz w:val="24"/>
          <w:szCs w:val="24"/>
          <w14:textFill>
            <w14:solidFill>
              <w14:schemeClr w14:val="tx1"/>
            </w14:solidFill>
          </w14:textFill>
        </w:rPr>
        <w:softHyphen/>
      </w:r>
      <w:r>
        <w:rPr>
          <w:rFonts w:hint="eastAsia" w:ascii="宋体" w:hAnsi="宋体" w:cs="宋体"/>
          <w:color w:val="000000" w:themeColor="text1"/>
          <w:sz w:val="24"/>
          <w:szCs w:val="24"/>
          <w14:textFill>
            <w14:solidFill>
              <w14:schemeClr w14:val="tx1"/>
            </w14:solidFill>
          </w14:textFill>
        </w:rPr>
        <w:softHyphen/>
      </w:r>
      <w:r>
        <w:rPr>
          <w:rFonts w:hint="eastAsia" w:ascii="宋体" w:hAnsi="宋体" w:cs="宋体"/>
          <w:color w:val="000000" w:themeColor="text1"/>
          <w:sz w:val="24"/>
          <w:szCs w:val="24"/>
          <w14:textFill>
            <w14:solidFill>
              <w14:schemeClr w14:val="tx1"/>
            </w14:solidFill>
          </w14:textFill>
        </w:rPr>
        <w:softHyphen/>
      </w:r>
      <w:r>
        <w:rPr>
          <w:rFonts w:hint="eastAsia" w:ascii="宋体" w:hAnsi="宋体" w:cs="宋体"/>
          <w:color w:val="000000" w:themeColor="text1"/>
          <w:sz w:val="24"/>
          <w:szCs w:val="24"/>
          <w14:textFill>
            <w14:solidFill>
              <w14:schemeClr w14:val="tx1"/>
            </w14:solidFill>
          </w14:textFill>
        </w:rPr>
        <w:t>__</w:t>
      </w:r>
      <w:r>
        <w:rPr>
          <w:rFonts w:hint="eastAsia" w:ascii="宋体" w:hAnsi="宋体" w:cs="宋体"/>
          <w:color w:val="000000" w:themeColor="text1"/>
          <w:sz w:val="24"/>
          <w:szCs w:val="24"/>
          <w14:textFill>
            <w14:solidFill>
              <w14:schemeClr w14:val="tx1"/>
            </w14:solidFill>
          </w14:textFill>
        </w:rPr>
        <w:softHyphen/>
      </w:r>
      <w:r>
        <w:rPr>
          <w:rFonts w:hint="eastAsia" w:ascii="宋体" w:hAnsi="宋体" w:cs="宋体"/>
          <w:color w:val="000000" w:themeColor="text1"/>
          <w:sz w:val="24"/>
          <w:szCs w:val="24"/>
          <w14:textFill>
            <w14:solidFill>
              <w14:schemeClr w14:val="tx1"/>
            </w14:solidFill>
          </w14:textFill>
        </w:rPr>
        <w:softHyphen/>
      </w:r>
      <w:r>
        <w:rPr>
          <w:rFonts w:hint="eastAsia" w:ascii="宋体" w:hAnsi="宋体" w:cs="宋体"/>
          <w:color w:val="000000" w:themeColor="text1"/>
          <w:sz w:val="24"/>
          <w:szCs w:val="24"/>
          <w14:textFill>
            <w14:solidFill>
              <w14:schemeClr w14:val="tx1"/>
            </w14:solidFill>
          </w14:textFill>
        </w:rPr>
        <w:softHyphen/>
      </w:r>
      <w:r>
        <w:rPr>
          <w:rFonts w:hint="eastAsia" w:ascii="宋体" w:hAnsi="宋体" w:cs="宋体"/>
          <w:color w:val="000000" w:themeColor="text1"/>
          <w:sz w:val="24"/>
          <w:szCs w:val="24"/>
          <w14:textFill>
            <w14:solidFill>
              <w14:schemeClr w14:val="tx1"/>
            </w14:solidFill>
          </w14:textFill>
        </w:rPr>
        <w:softHyphen/>
      </w:r>
      <w:r>
        <w:rPr>
          <w:rFonts w:hint="eastAsia" w:ascii="宋体" w:hAnsi="宋体" w:cs="宋体"/>
          <w:color w:val="000000" w:themeColor="text1"/>
          <w:sz w:val="24"/>
          <w:szCs w:val="24"/>
          <w14:textFill>
            <w14:solidFill>
              <w14:schemeClr w14:val="tx1"/>
            </w14:solidFill>
          </w14:textFill>
        </w:rPr>
        <w:softHyphen/>
      </w:r>
      <w:r>
        <w:rPr>
          <w:rFonts w:hint="eastAsia" w:ascii="宋体" w:hAnsi="宋体" w:cs="宋体"/>
          <w:color w:val="000000" w:themeColor="text1"/>
          <w:sz w:val="24"/>
          <w:szCs w:val="24"/>
          <w14:textFill>
            <w14:solidFill>
              <w14:schemeClr w14:val="tx1"/>
            </w14:solidFill>
          </w14:textFill>
        </w:rPr>
        <w:softHyphen/>
      </w:r>
      <w:r>
        <w:rPr>
          <w:rFonts w:hint="eastAsia" w:ascii="宋体" w:hAnsi="宋体" w:cs="宋体"/>
          <w:color w:val="000000" w:themeColor="text1"/>
          <w:sz w:val="24"/>
          <w:szCs w:val="24"/>
          <w14:textFill>
            <w14:solidFill>
              <w14:schemeClr w14:val="tx1"/>
            </w14:solidFill>
          </w14:textFill>
        </w:rPr>
        <w:t>__________________</w:t>
      </w:r>
    </w:p>
    <w:p>
      <w:pPr>
        <w:widowControl/>
        <w:spacing w:beforeAutospacing="1" w:afterAutospacing="1" w:line="500" w:lineRule="exact"/>
        <w:contextualSpacing/>
        <w:jc w:val="left"/>
        <w:rPr>
          <w:rFonts w:ascii="宋体" w:hAnsi="宋体" w:cs="宋体"/>
          <w:b/>
          <w:bCs/>
          <w:color w:val="000000" w:themeColor="text1"/>
          <w:sz w:val="24"/>
          <w:szCs w:val="24"/>
          <w14:textFill>
            <w14:solidFill>
              <w14:schemeClr w14:val="tx1"/>
            </w14:solidFill>
          </w14:textFill>
        </w:rPr>
      </w:pPr>
    </w:p>
    <w:p>
      <w:pPr>
        <w:spacing w:line="500" w:lineRule="exact"/>
        <w:ind w:firstLine="6960" w:firstLineChars="2900"/>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年　　月　　日</w:t>
      </w:r>
    </w:p>
    <w:p>
      <w:pPr>
        <w:spacing w:line="500" w:lineRule="exact"/>
        <w:ind w:firstLine="480" w:firstLineChars="200"/>
        <w:contextualSpacing/>
        <w:rPr>
          <w:rFonts w:ascii="宋体" w:hAnsi="宋体" w:cs="宋体"/>
          <w:color w:val="000000" w:themeColor="text1"/>
          <w:sz w:val="24"/>
          <w:szCs w:val="24"/>
          <w14:textFill>
            <w14:solidFill>
              <w14:schemeClr w14:val="tx1"/>
            </w14:solidFill>
          </w14:textFill>
        </w:rPr>
      </w:pPr>
    </w:p>
    <w:p>
      <w:pPr>
        <w:spacing w:line="500" w:lineRule="exact"/>
        <w:ind w:firstLine="480" w:firstLineChars="200"/>
        <w:contextualSpacing/>
        <w:rPr>
          <w:rFonts w:ascii="宋体" w:hAnsi="宋体" w:cs="宋体"/>
          <w:color w:val="000000" w:themeColor="text1"/>
          <w:sz w:val="24"/>
          <w:szCs w:val="24"/>
          <w14:textFill>
            <w14:solidFill>
              <w14:schemeClr w14:val="tx1"/>
            </w14:solidFill>
          </w14:textFill>
        </w:rPr>
      </w:pPr>
    </w:p>
    <w:p>
      <w:pPr>
        <w:spacing w:line="500" w:lineRule="exact"/>
        <w:ind w:firstLine="480" w:firstLineChars="200"/>
        <w:contextualSpacing/>
        <w:rPr>
          <w:rFonts w:ascii="宋体" w:hAnsi="宋体" w:cs="宋体"/>
          <w:color w:val="000000" w:themeColor="text1"/>
          <w:sz w:val="24"/>
          <w:szCs w:val="24"/>
          <w14:textFill>
            <w14:solidFill>
              <w14:schemeClr w14:val="tx1"/>
            </w14:solidFill>
          </w14:textFill>
        </w:rPr>
      </w:pPr>
    </w:p>
    <w:p>
      <w:pPr>
        <w:pStyle w:val="5"/>
        <w:spacing w:line="500" w:lineRule="exact"/>
        <w:contextualSpacing/>
        <w:rPr>
          <w:rFonts w:ascii="宋体" w:hAnsi="宋体" w:cs="宋体"/>
          <w:color w:val="000000" w:themeColor="text1"/>
          <w:sz w:val="24"/>
          <w:szCs w:val="24"/>
          <w14:textFill>
            <w14:solidFill>
              <w14:schemeClr w14:val="tx1"/>
            </w14:solidFill>
          </w14:textFill>
        </w:rPr>
      </w:pPr>
      <w:bookmarkStart w:id="259" w:name="_Toc487728233"/>
      <w:bookmarkStart w:id="260" w:name="_Toc24784"/>
      <w:bookmarkStart w:id="261" w:name="_Toc20247"/>
      <w:r>
        <w:rPr>
          <w:rFonts w:hint="eastAsia" w:ascii="宋体" w:hAnsi="宋体" w:cs="宋体"/>
          <w:color w:val="000000" w:themeColor="text1"/>
          <w:sz w:val="24"/>
          <w:szCs w:val="24"/>
          <w14:textFill>
            <w14:solidFill>
              <w14:schemeClr w14:val="tx1"/>
            </w14:solidFill>
          </w14:textFill>
        </w:rPr>
        <w:t>十、近</w:t>
      </w:r>
      <w:r>
        <w:rPr>
          <w:rFonts w:hint="eastAsia" w:ascii="宋体" w:hAnsi="宋体" w:cs="宋体"/>
          <w:color w:val="000000" w:themeColor="text1"/>
          <w:sz w:val="24"/>
          <w:szCs w:val="24"/>
          <w:lang w:val="en-US" w:eastAsia="zh-CN"/>
          <w14:textFill>
            <w14:solidFill>
              <w14:schemeClr w14:val="tx1"/>
            </w14:solidFill>
          </w14:textFill>
        </w:rPr>
        <w:t>1</w:t>
      </w:r>
      <w:r>
        <w:rPr>
          <w:rFonts w:hint="eastAsia" w:ascii="宋体" w:hAnsi="宋体" w:cs="宋体"/>
          <w:color w:val="000000" w:themeColor="text1"/>
          <w:sz w:val="24"/>
          <w:szCs w:val="24"/>
          <w14:textFill>
            <w14:solidFill>
              <w14:schemeClr w14:val="tx1"/>
            </w14:solidFill>
          </w14:textFill>
        </w:rPr>
        <w:t>年财务状况表</w:t>
      </w:r>
      <w:bookmarkEnd w:id="259"/>
      <w:bookmarkEnd w:id="260"/>
      <w:bookmarkEnd w:id="261"/>
    </w:p>
    <w:p>
      <w:pPr>
        <w:spacing w:line="500" w:lineRule="exact"/>
        <w:ind w:firstLine="477" w:firstLineChars="199"/>
        <w:contextualSpacing/>
        <w:jc w:val="center"/>
        <w:rPr>
          <w:rFonts w:ascii="宋体" w:hAnsi="宋体" w:cs="宋体"/>
          <w:sz w:val="24"/>
          <w:szCs w:val="24"/>
        </w:rPr>
      </w:pPr>
      <w:r>
        <w:rPr>
          <w:rFonts w:hint="eastAsia" w:ascii="宋体" w:hAnsi="宋体" w:cs="宋体"/>
          <w:sz w:val="24"/>
          <w:szCs w:val="24"/>
        </w:rPr>
        <w:t>(近</w:t>
      </w:r>
      <w:r>
        <w:rPr>
          <w:rFonts w:hint="eastAsia" w:ascii="宋体" w:hAnsi="宋体" w:cs="宋体"/>
          <w:sz w:val="24"/>
          <w:szCs w:val="24"/>
          <w:lang w:val="en-US" w:eastAsia="zh-CN"/>
        </w:rPr>
        <w:t>1</w:t>
      </w:r>
      <w:r>
        <w:rPr>
          <w:rFonts w:hint="eastAsia" w:ascii="宋体" w:hAnsi="宋体" w:cs="宋体"/>
          <w:sz w:val="24"/>
          <w:szCs w:val="24"/>
        </w:rPr>
        <w:t>年指20</w:t>
      </w:r>
      <w:r>
        <w:rPr>
          <w:rFonts w:hint="eastAsia" w:ascii="宋体" w:hAnsi="宋体" w:cs="宋体"/>
          <w:sz w:val="24"/>
          <w:szCs w:val="24"/>
          <w:lang w:val="en-US" w:eastAsia="zh-CN"/>
        </w:rPr>
        <w:t>20</w:t>
      </w:r>
      <w:r>
        <w:rPr>
          <w:rFonts w:hint="eastAsia" w:ascii="宋体" w:hAnsi="宋体" w:cs="宋体"/>
          <w:sz w:val="24"/>
          <w:szCs w:val="24"/>
        </w:rPr>
        <w:t>年</w:t>
      </w:r>
      <w:r>
        <w:rPr>
          <w:rFonts w:hint="eastAsia" w:ascii="宋体" w:hAnsi="宋体" w:cs="宋体"/>
          <w:sz w:val="24"/>
          <w:szCs w:val="24"/>
          <w:lang w:val="en-US" w:eastAsia="zh-CN"/>
        </w:rPr>
        <w:t>或2021</w:t>
      </w:r>
      <w:r>
        <w:rPr>
          <w:rFonts w:hint="eastAsia" w:ascii="宋体" w:hAnsi="宋体" w:cs="宋体"/>
          <w:sz w:val="24"/>
          <w:szCs w:val="24"/>
        </w:rPr>
        <w:t>年)</w:t>
      </w:r>
    </w:p>
    <w:p>
      <w:pPr>
        <w:spacing w:line="500" w:lineRule="exact"/>
        <w:ind w:firstLine="479" w:firstLineChars="199"/>
        <w:contextualSpacing/>
        <w:jc w:val="center"/>
        <w:rPr>
          <w:rFonts w:ascii="宋体" w:hAnsi="宋体" w:cs="宋体"/>
          <w:b/>
          <w:color w:val="000000" w:themeColor="text1"/>
          <w:sz w:val="24"/>
          <w:szCs w:val="24"/>
          <w14:textFill>
            <w14:solidFill>
              <w14:schemeClr w14:val="tx1"/>
            </w14:solidFill>
          </w14:textFill>
        </w:rPr>
      </w:pPr>
    </w:p>
    <w:tbl>
      <w:tblPr>
        <w:tblStyle w:val="36"/>
        <w:tblW w:w="907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760"/>
        <w:gridCol w:w="1868"/>
        <w:gridCol w:w="1869"/>
        <w:gridCol w:w="1869"/>
        <w:gridCol w:w="170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760" w:type="dxa"/>
            <w:vAlign w:val="center"/>
          </w:tcPr>
          <w:p>
            <w:pPr>
              <w:spacing w:line="500" w:lineRule="exact"/>
              <w:ind w:leftChars="-1" w:hanging="2" w:hangingChars="1"/>
              <w:contextualSpacing/>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名称</w:t>
            </w:r>
          </w:p>
        </w:tc>
        <w:tc>
          <w:tcPr>
            <w:tcW w:w="1868" w:type="dxa"/>
            <w:vAlign w:val="center"/>
          </w:tcPr>
          <w:p>
            <w:pPr>
              <w:spacing w:line="500" w:lineRule="exact"/>
              <w:ind w:leftChars="-1" w:hanging="2" w:hangingChars="1"/>
              <w:contextualSpacing/>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单位</w:t>
            </w:r>
          </w:p>
        </w:tc>
        <w:tc>
          <w:tcPr>
            <w:tcW w:w="1869" w:type="dxa"/>
            <w:vAlign w:val="center"/>
          </w:tcPr>
          <w:p>
            <w:pPr>
              <w:spacing w:line="500" w:lineRule="exact"/>
              <w:ind w:leftChars="-1" w:hanging="2" w:hangingChars="1"/>
              <w:contextualSpacing/>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年</w:t>
            </w:r>
          </w:p>
        </w:tc>
        <w:tc>
          <w:tcPr>
            <w:tcW w:w="1869" w:type="dxa"/>
            <w:vAlign w:val="center"/>
          </w:tcPr>
          <w:p>
            <w:pPr>
              <w:spacing w:line="500" w:lineRule="exact"/>
              <w:ind w:leftChars="-1" w:hanging="2" w:hangingChars="1"/>
              <w:contextualSpacing/>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年</w:t>
            </w:r>
          </w:p>
        </w:tc>
        <w:tc>
          <w:tcPr>
            <w:tcW w:w="1706" w:type="dxa"/>
            <w:vAlign w:val="center"/>
          </w:tcPr>
          <w:p>
            <w:pPr>
              <w:spacing w:line="500" w:lineRule="exact"/>
              <w:ind w:leftChars="-1" w:hanging="2" w:hangingChars="1"/>
              <w:contextualSpacing/>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760" w:type="dxa"/>
            <w:vAlign w:val="center"/>
          </w:tcPr>
          <w:p>
            <w:pPr>
              <w:spacing w:line="500" w:lineRule="exact"/>
              <w:ind w:leftChars="-1" w:hanging="2" w:hangingChars="1"/>
              <w:contextualSpacing/>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一、注册资金</w:t>
            </w:r>
          </w:p>
        </w:tc>
        <w:tc>
          <w:tcPr>
            <w:tcW w:w="1868" w:type="dxa"/>
            <w:vAlign w:val="center"/>
          </w:tcPr>
          <w:p>
            <w:pPr>
              <w:spacing w:line="500" w:lineRule="exact"/>
              <w:ind w:leftChars="-1" w:hanging="2" w:hangingChars="1"/>
              <w:contextualSpacing/>
              <w:jc w:val="center"/>
              <w:rPr>
                <w:rFonts w:ascii="宋体" w:hAnsi="宋体" w:cs="宋体"/>
                <w:color w:val="000000" w:themeColor="text1"/>
                <w:sz w:val="24"/>
                <w:szCs w:val="24"/>
                <w14:textFill>
                  <w14:solidFill>
                    <w14:schemeClr w14:val="tx1"/>
                  </w14:solidFill>
                </w14:textFill>
              </w:rPr>
            </w:pPr>
          </w:p>
        </w:tc>
        <w:tc>
          <w:tcPr>
            <w:tcW w:w="1869" w:type="dxa"/>
            <w:vAlign w:val="center"/>
          </w:tcPr>
          <w:p>
            <w:pPr>
              <w:spacing w:line="500" w:lineRule="exact"/>
              <w:ind w:leftChars="-1" w:hanging="2" w:hangingChars="1"/>
              <w:contextualSpacing/>
              <w:jc w:val="center"/>
              <w:rPr>
                <w:rFonts w:ascii="宋体" w:hAnsi="宋体" w:cs="宋体"/>
                <w:color w:val="000000" w:themeColor="text1"/>
                <w:sz w:val="24"/>
                <w:szCs w:val="24"/>
                <w14:textFill>
                  <w14:solidFill>
                    <w14:schemeClr w14:val="tx1"/>
                  </w14:solidFill>
                </w14:textFill>
              </w:rPr>
            </w:pPr>
          </w:p>
        </w:tc>
        <w:tc>
          <w:tcPr>
            <w:tcW w:w="1869" w:type="dxa"/>
            <w:vAlign w:val="center"/>
          </w:tcPr>
          <w:p>
            <w:pPr>
              <w:spacing w:line="500" w:lineRule="exact"/>
              <w:ind w:leftChars="-1" w:hanging="2" w:hangingChars="1"/>
              <w:contextualSpacing/>
              <w:jc w:val="center"/>
              <w:rPr>
                <w:rFonts w:ascii="宋体" w:hAnsi="宋体" w:cs="宋体"/>
                <w:color w:val="000000" w:themeColor="text1"/>
                <w:sz w:val="24"/>
                <w:szCs w:val="24"/>
                <w14:textFill>
                  <w14:solidFill>
                    <w14:schemeClr w14:val="tx1"/>
                  </w14:solidFill>
                </w14:textFill>
              </w:rPr>
            </w:pPr>
          </w:p>
        </w:tc>
        <w:tc>
          <w:tcPr>
            <w:tcW w:w="1706" w:type="dxa"/>
            <w:vAlign w:val="center"/>
          </w:tcPr>
          <w:p>
            <w:pPr>
              <w:spacing w:line="500" w:lineRule="exact"/>
              <w:ind w:leftChars="-1" w:hanging="2" w:hangingChars="1"/>
              <w:contextualSpacing/>
              <w:jc w:val="center"/>
              <w:rPr>
                <w:rFonts w:ascii="宋体" w:hAnsi="宋体" w:cs="宋体"/>
                <w:color w:val="000000" w:themeColor="text1"/>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760" w:type="dxa"/>
            <w:vAlign w:val="center"/>
          </w:tcPr>
          <w:p>
            <w:pPr>
              <w:spacing w:line="500" w:lineRule="exact"/>
              <w:ind w:leftChars="-1" w:hanging="2" w:hangingChars="1"/>
              <w:contextualSpacing/>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二、净资产</w:t>
            </w:r>
          </w:p>
        </w:tc>
        <w:tc>
          <w:tcPr>
            <w:tcW w:w="1868" w:type="dxa"/>
            <w:vAlign w:val="center"/>
          </w:tcPr>
          <w:p>
            <w:pPr>
              <w:spacing w:line="500" w:lineRule="exact"/>
              <w:ind w:leftChars="-1" w:hanging="2" w:hangingChars="1"/>
              <w:contextualSpacing/>
              <w:jc w:val="center"/>
              <w:rPr>
                <w:rFonts w:ascii="宋体" w:hAnsi="宋体" w:cs="宋体"/>
                <w:color w:val="000000" w:themeColor="text1"/>
                <w:sz w:val="24"/>
                <w:szCs w:val="24"/>
                <w14:textFill>
                  <w14:solidFill>
                    <w14:schemeClr w14:val="tx1"/>
                  </w14:solidFill>
                </w14:textFill>
              </w:rPr>
            </w:pPr>
          </w:p>
        </w:tc>
        <w:tc>
          <w:tcPr>
            <w:tcW w:w="1869" w:type="dxa"/>
            <w:vAlign w:val="center"/>
          </w:tcPr>
          <w:p>
            <w:pPr>
              <w:spacing w:line="500" w:lineRule="exact"/>
              <w:ind w:leftChars="-1" w:hanging="2" w:hangingChars="1"/>
              <w:contextualSpacing/>
              <w:jc w:val="center"/>
              <w:rPr>
                <w:rFonts w:ascii="宋体" w:hAnsi="宋体" w:cs="宋体"/>
                <w:color w:val="000000" w:themeColor="text1"/>
                <w:sz w:val="24"/>
                <w:szCs w:val="24"/>
                <w14:textFill>
                  <w14:solidFill>
                    <w14:schemeClr w14:val="tx1"/>
                  </w14:solidFill>
                </w14:textFill>
              </w:rPr>
            </w:pPr>
          </w:p>
        </w:tc>
        <w:tc>
          <w:tcPr>
            <w:tcW w:w="1869" w:type="dxa"/>
            <w:vAlign w:val="center"/>
          </w:tcPr>
          <w:p>
            <w:pPr>
              <w:spacing w:line="500" w:lineRule="exact"/>
              <w:ind w:leftChars="-1" w:hanging="2" w:hangingChars="1"/>
              <w:contextualSpacing/>
              <w:jc w:val="center"/>
              <w:rPr>
                <w:rFonts w:ascii="宋体" w:hAnsi="宋体" w:cs="宋体"/>
                <w:color w:val="000000" w:themeColor="text1"/>
                <w:sz w:val="24"/>
                <w:szCs w:val="24"/>
                <w14:textFill>
                  <w14:solidFill>
                    <w14:schemeClr w14:val="tx1"/>
                  </w14:solidFill>
                </w14:textFill>
              </w:rPr>
            </w:pPr>
          </w:p>
        </w:tc>
        <w:tc>
          <w:tcPr>
            <w:tcW w:w="1706" w:type="dxa"/>
            <w:vAlign w:val="center"/>
          </w:tcPr>
          <w:p>
            <w:pPr>
              <w:spacing w:line="500" w:lineRule="exact"/>
              <w:ind w:leftChars="-1" w:hanging="2" w:hangingChars="1"/>
              <w:contextualSpacing/>
              <w:jc w:val="center"/>
              <w:rPr>
                <w:rFonts w:ascii="宋体" w:hAnsi="宋体" w:cs="宋体"/>
                <w:color w:val="000000" w:themeColor="text1"/>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760" w:type="dxa"/>
            <w:vAlign w:val="center"/>
          </w:tcPr>
          <w:p>
            <w:pPr>
              <w:spacing w:line="500" w:lineRule="exact"/>
              <w:ind w:leftChars="-1" w:hanging="2" w:hangingChars="1"/>
              <w:contextualSpacing/>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三、总资产</w:t>
            </w:r>
          </w:p>
        </w:tc>
        <w:tc>
          <w:tcPr>
            <w:tcW w:w="1868" w:type="dxa"/>
            <w:vAlign w:val="center"/>
          </w:tcPr>
          <w:p>
            <w:pPr>
              <w:spacing w:line="500" w:lineRule="exact"/>
              <w:ind w:leftChars="-1" w:hanging="2" w:hangingChars="1"/>
              <w:contextualSpacing/>
              <w:jc w:val="center"/>
              <w:rPr>
                <w:rFonts w:ascii="宋体" w:hAnsi="宋体" w:cs="宋体"/>
                <w:color w:val="000000" w:themeColor="text1"/>
                <w:sz w:val="24"/>
                <w:szCs w:val="24"/>
                <w14:textFill>
                  <w14:solidFill>
                    <w14:schemeClr w14:val="tx1"/>
                  </w14:solidFill>
                </w14:textFill>
              </w:rPr>
            </w:pPr>
          </w:p>
        </w:tc>
        <w:tc>
          <w:tcPr>
            <w:tcW w:w="1869" w:type="dxa"/>
            <w:vAlign w:val="center"/>
          </w:tcPr>
          <w:p>
            <w:pPr>
              <w:spacing w:line="500" w:lineRule="exact"/>
              <w:ind w:leftChars="-1" w:hanging="2" w:hangingChars="1"/>
              <w:contextualSpacing/>
              <w:jc w:val="center"/>
              <w:rPr>
                <w:rFonts w:ascii="宋体" w:hAnsi="宋体" w:cs="宋体"/>
                <w:color w:val="000000" w:themeColor="text1"/>
                <w:sz w:val="24"/>
                <w:szCs w:val="24"/>
                <w14:textFill>
                  <w14:solidFill>
                    <w14:schemeClr w14:val="tx1"/>
                  </w14:solidFill>
                </w14:textFill>
              </w:rPr>
            </w:pPr>
          </w:p>
        </w:tc>
        <w:tc>
          <w:tcPr>
            <w:tcW w:w="1869" w:type="dxa"/>
            <w:vAlign w:val="center"/>
          </w:tcPr>
          <w:p>
            <w:pPr>
              <w:spacing w:line="500" w:lineRule="exact"/>
              <w:ind w:leftChars="-1" w:hanging="2" w:hangingChars="1"/>
              <w:contextualSpacing/>
              <w:jc w:val="center"/>
              <w:rPr>
                <w:rFonts w:ascii="宋体" w:hAnsi="宋体" w:cs="宋体"/>
                <w:color w:val="000000" w:themeColor="text1"/>
                <w:sz w:val="24"/>
                <w:szCs w:val="24"/>
                <w14:textFill>
                  <w14:solidFill>
                    <w14:schemeClr w14:val="tx1"/>
                  </w14:solidFill>
                </w14:textFill>
              </w:rPr>
            </w:pPr>
          </w:p>
        </w:tc>
        <w:tc>
          <w:tcPr>
            <w:tcW w:w="1706" w:type="dxa"/>
            <w:vAlign w:val="center"/>
          </w:tcPr>
          <w:p>
            <w:pPr>
              <w:spacing w:line="500" w:lineRule="exact"/>
              <w:ind w:leftChars="-1" w:hanging="2" w:hangingChars="1"/>
              <w:contextualSpacing/>
              <w:jc w:val="center"/>
              <w:rPr>
                <w:rFonts w:ascii="宋体" w:hAnsi="宋体" w:cs="宋体"/>
                <w:color w:val="000000" w:themeColor="text1"/>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760" w:type="dxa"/>
            <w:vAlign w:val="center"/>
          </w:tcPr>
          <w:p>
            <w:pPr>
              <w:spacing w:line="500" w:lineRule="exact"/>
              <w:ind w:leftChars="-1" w:hanging="2" w:hangingChars="1"/>
              <w:contextualSpacing/>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四、固定资产</w:t>
            </w:r>
          </w:p>
        </w:tc>
        <w:tc>
          <w:tcPr>
            <w:tcW w:w="1868" w:type="dxa"/>
            <w:vAlign w:val="center"/>
          </w:tcPr>
          <w:p>
            <w:pPr>
              <w:spacing w:line="500" w:lineRule="exact"/>
              <w:ind w:leftChars="-1" w:hanging="2" w:hangingChars="1"/>
              <w:contextualSpacing/>
              <w:jc w:val="center"/>
              <w:rPr>
                <w:rFonts w:ascii="宋体" w:hAnsi="宋体" w:cs="宋体"/>
                <w:color w:val="000000" w:themeColor="text1"/>
                <w:sz w:val="24"/>
                <w:szCs w:val="24"/>
                <w14:textFill>
                  <w14:solidFill>
                    <w14:schemeClr w14:val="tx1"/>
                  </w14:solidFill>
                </w14:textFill>
              </w:rPr>
            </w:pPr>
          </w:p>
        </w:tc>
        <w:tc>
          <w:tcPr>
            <w:tcW w:w="1869" w:type="dxa"/>
            <w:vAlign w:val="center"/>
          </w:tcPr>
          <w:p>
            <w:pPr>
              <w:spacing w:line="500" w:lineRule="exact"/>
              <w:ind w:leftChars="-1" w:hanging="2" w:hangingChars="1"/>
              <w:contextualSpacing/>
              <w:jc w:val="center"/>
              <w:rPr>
                <w:rFonts w:ascii="宋体" w:hAnsi="宋体" w:cs="宋体"/>
                <w:color w:val="000000" w:themeColor="text1"/>
                <w:sz w:val="24"/>
                <w:szCs w:val="24"/>
                <w14:textFill>
                  <w14:solidFill>
                    <w14:schemeClr w14:val="tx1"/>
                  </w14:solidFill>
                </w14:textFill>
              </w:rPr>
            </w:pPr>
          </w:p>
        </w:tc>
        <w:tc>
          <w:tcPr>
            <w:tcW w:w="1869" w:type="dxa"/>
            <w:vAlign w:val="center"/>
          </w:tcPr>
          <w:p>
            <w:pPr>
              <w:spacing w:line="500" w:lineRule="exact"/>
              <w:ind w:leftChars="-1" w:hanging="2" w:hangingChars="1"/>
              <w:contextualSpacing/>
              <w:jc w:val="center"/>
              <w:rPr>
                <w:rFonts w:ascii="宋体" w:hAnsi="宋体" w:cs="宋体"/>
                <w:color w:val="000000" w:themeColor="text1"/>
                <w:sz w:val="24"/>
                <w:szCs w:val="24"/>
                <w14:textFill>
                  <w14:solidFill>
                    <w14:schemeClr w14:val="tx1"/>
                  </w14:solidFill>
                </w14:textFill>
              </w:rPr>
            </w:pPr>
          </w:p>
        </w:tc>
        <w:tc>
          <w:tcPr>
            <w:tcW w:w="1706" w:type="dxa"/>
            <w:vAlign w:val="center"/>
          </w:tcPr>
          <w:p>
            <w:pPr>
              <w:spacing w:line="500" w:lineRule="exact"/>
              <w:ind w:leftChars="-1" w:hanging="2" w:hangingChars="1"/>
              <w:contextualSpacing/>
              <w:jc w:val="center"/>
              <w:rPr>
                <w:rFonts w:ascii="宋体" w:hAnsi="宋体" w:cs="宋体"/>
                <w:color w:val="000000" w:themeColor="text1"/>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760" w:type="dxa"/>
            <w:vAlign w:val="center"/>
          </w:tcPr>
          <w:p>
            <w:pPr>
              <w:spacing w:line="500" w:lineRule="exact"/>
              <w:ind w:leftChars="-1" w:hanging="2" w:hangingChars="1"/>
              <w:contextualSpacing/>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五、流动资产</w:t>
            </w:r>
          </w:p>
        </w:tc>
        <w:tc>
          <w:tcPr>
            <w:tcW w:w="1868" w:type="dxa"/>
            <w:vAlign w:val="center"/>
          </w:tcPr>
          <w:p>
            <w:pPr>
              <w:spacing w:line="500" w:lineRule="exact"/>
              <w:ind w:leftChars="-1" w:hanging="2" w:hangingChars="1"/>
              <w:contextualSpacing/>
              <w:jc w:val="center"/>
              <w:rPr>
                <w:rFonts w:ascii="宋体" w:hAnsi="宋体" w:cs="宋体"/>
                <w:color w:val="000000" w:themeColor="text1"/>
                <w:sz w:val="24"/>
                <w:szCs w:val="24"/>
                <w14:textFill>
                  <w14:solidFill>
                    <w14:schemeClr w14:val="tx1"/>
                  </w14:solidFill>
                </w14:textFill>
              </w:rPr>
            </w:pPr>
          </w:p>
        </w:tc>
        <w:tc>
          <w:tcPr>
            <w:tcW w:w="1869" w:type="dxa"/>
            <w:vAlign w:val="center"/>
          </w:tcPr>
          <w:p>
            <w:pPr>
              <w:spacing w:line="500" w:lineRule="exact"/>
              <w:ind w:leftChars="-1" w:hanging="2" w:hangingChars="1"/>
              <w:contextualSpacing/>
              <w:jc w:val="center"/>
              <w:rPr>
                <w:rFonts w:ascii="宋体" w:hAnsi="宋体" w:cs="宋体"/>
                <w:color w:val="000000" w:themeColor="text1"/>
                <w:sz w:val="24"/>
                <w:szCs w:val="24"/>
                <w14:textFill>
                  <w14:solidFill>
                    <w14:schemeClr w14:val="tx1"/>
                  </w14:solidFill>
                </w14:textFill>
              </w:rPr>
            </w:pPr>
          </w:p>
        </w:tc>
        <w:tc>
          <w:tcPr>
            <w:tcW w:w="1869" w:type="dxa"/>
            <w:vAlign w:val="center"/>
          </w:tcPr>
          <w:p>
            <w:pPr>
              <w:spacing w:line="500" w:lineRule="exact"/>
              <w:ind w:leftChars="-1" w:hanging="2" w:hangingChars="1"/>
              <w:contextualSpacing/>
              <w:jc w:val="center"/>
              <w:rPr>
                <w:rFonts w:ascii="宋体" w:hAnsi="宋体" w:cs="宋体"/>
                <w:color w:val="000000" w:themeColor="text1"/>
                <w:sz w:val="24"/>
                <w:szCs w:val="24"/>
                <w14:textFill>
                  <w14:solidFill>
                    <w14:schemeClr w14:val="tx1"/>
                  </w14:solidFill>
                </w14:textFill>
              </w:rPr>
            </w:pPr>
          </w:p>
        </w:tc>
        <w:tc>
          <w:tcPr>
            <w:tcW w:w="1706" w:type="dxa"/>
            <w:vAlign w:val="center"/>
          </w:tcPr>
          <w:p>
            <w:pPr>
              <w:spacing w:line="500" w:lineRule="exact"/>
              <w:ind w:leftChars="-1" w:hanging="2" w:hangingChars="1"/>
              <w:contextualSpacing/>
              <w:jc w:val="center"/>
              <w:rPr>
                <w:rFonts w:ascii="宋体" w:hAnsi="宋体" w:cs="宋体"/>
                <w:color w:val="000000" w:themeColor="text1"/>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760" w:type="dxa"/>
            <w:vAlign w:val="center"/>
          </w:tcPr>
          <w:p>
            <w:pPr>
              <w:spacing w:line="500" w:lineRule="exact"/>
              <w:ind w:leftChars="-1" w:hanging="2" w:hangingChars="1"/>
              <w:contextualSpacing/>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六、流动负债</w:t>
            </w:r>
          </w:p>
        </w:tc>
        <w:tc>
          <w:tcPr>
            <w:tcW w:w="1868" w:type="dxa"/>
            <w:vAlign w:val="center"/>
          </w:tcPr>
          <w:p>
            <w:pPr>
              <w:spacing w:line="500" w:lineRule="exact"/>
              <w:ind w:leftChars="-1" w:hanging="2" w:hangingChars="1"/>
              <w:contextualSpacing/>
              <w:jc w:val="center"/>
              <w:rPr>
                <w:rFonts w:ascii="宋体" w:hAnsi="宋体" w:cs="宋体"/>
                <w:color w:val="000000" w:themeColor="text1"/>
                <w:sz w:val="24"/>
                <w:szCs w:val="24"/>
                <w14:textFill>
                  <w14:solidFill>
                    <w14:schemeClr w14:val="tx1"/>
                  </w14:solidFill>
                </w14:textFill>
              </w:rPr>
            </w:pPr>
          </w:p>
        </w:tc>
        <w:tc>
          <w:tcPr>
            <w:tcW w:w="1869" w:type="dxa"/>
            <w:vAlign w:val="center"/>
          </w:tcPr>
          <w:p>
            <w:pPr>
              <w:spacing w:line="500" w:lineRule="exact"/>
              <w:ind w:leftChars="-1" w:hanging="2" w:hangingChars="1"/>
              <w:contextualSpacing/>
              <w:jc w:val="center"/>
              <w:rPr>
                <w:rFonts w:ascii="宋体" w:hAnsi="宋体" w:cs="宋体"/>
                <w:color w:val="000000" w:themeColor="text1"/>
                <w:sz w:val="24"/>
                <w:szCs w:val="24"/>
                <w14:textFill>
                  <w14:solidFill>
                    <w14:schemeClr w14:val="tx1"/>
                  </w14:solidFill>
                </w14:textFill>
              </w:rPr>
            </w:pPr>
          </w:p>
        </w:tc>
        <w:tc>
          <w:tcPr>
            <w:tcW w:w="1869" w:type="dxa"/>
            <w:vAlign w:val="center"/>
          </w:tcPr>
          <w:p>
            <w:pPr>
              <w:spacing w:line="500" w:lineRule="exact"/>
              <w:ind w:leftChars="-1" w:hanging="2" w:hangingChars="1"/>
              <w:contextualSpacing/>
              <w:jc w:val="center"/>
              <w:rPr>
                <w:rFonts w:ascii="宋体" w:hAnsi="宋体" w:cs="宋体"/>
                <w:color w:val="000000" w:themeColor="text1"/>
                <w:sz w:val="24"/>
                <w:szCs w:val="24"/>
                <w14:textFill>
                  <w14:solidFill>
                    <w14:schemeClr w14:val="tx1"/>
                  </w14:solidFill>
                </w14:textFill>
              </w:rPr>
            </w:pPr>
          </w:p>
        </w:tc>
        <w:tc>
          <w:tcPr>
            <w:tcW w:w="1706" w:type="dxa"/>
            <w:vAlign w:val="center"/>
          </w:tcPr>
          <w:p>
            <w:pPr>
              <w:spacing w:line="500" w:lineRule="exact"/>
              <w:ind w:leftChars="-1" w:hanging="2" w:hangingChars="1"/>
              <w:contextualSpacing/>
              <w:jc w:val="center"/>
              <w:rPr>
                <w:rFonts w:ascii="宋体" w:hAnsi="宋体" w:cs="宋体"/>
                <w:color w:val="000000" w:themeColor="text1"/>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760" w:type="dxa"/>
            <w:vAlign w:val="center"/>
          </w:tcPr>
          <w:p>
            <w:pPr>
              <w:spacing w:line="500" w:lineRule="exact"/>
              <w:ind w:leftChars="-1" w:hanging="2" w:hangingChars="1"/>
              <w:contextualSpacing/>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七、负债合计</w:t>
            </w:r>
          </w:p>
        </w:tc>
        <w:tc>
          <w:tcPr>
            <w:tcW w:w="1868" w:type="dxa"/>
            <w:vAlign w:val="center"/>
          </w:tcPr>
          <w:p>
            <w:pPr>
              <w:spacing w:line="500" w:lineRule="exact"/>
              <w:ind w:leftChars="-1" w:hanging="2" w:hangingChars="1"/>
              <w:contextualSpacing/>
              <w:jc w:val="center"/>
              <w:rPr>
                <w:rFonts w:ascii="宋体" w:hAnsi="宋体" w:cs="宋体"/>
                <w:color w:val="000000" w:themeColor="text1"/>
                <w:sz w:val="24"/>
                <w:szCs w:val="24"/>
                <w14:textFill>
                  <w14:solidFill>
                    <w14:schemeClr w14:val="tx1"/>
                  </w14:solidFill>
                </w14:textFill>
              </w:rPr>
            </w:pPr>
          </w:p>
        </w:tc>
        <w:tc>
          <w:tcPr>
            <w:tcW w:w="1869" w:type="dxa"/>
            <w:vAlign w:val="center"/>
          </w:tcPr>
          <w:p>
            <w:pPr>
              <w:spacing w:line="500" w:lineRule="exact"/>
              <w:ind w:leftChars="-1" w:hanging="2" w:hangingChars="1"/>
              <w:contextualSpacing/>
              <w:jc w:val="center"/>
              <w:rPr>
                <w:rFonts w:ascii="宋体" w:hAnsi="宋体" w:cs="宋体"/>
                <w:color w:val="000000" w:themeColor="text1"/>
                <w:sz w:val="24"/>
                <w:szCs w:val="24"/>
                <w14:textFill>
                  <w14:solidFill>
                    <w14:schemeClr w14:val="tx1"/>
                  </w14:solidFill>
                </w14:textFill>
              </w:rPr>
            </w:pPr>
          </w:p>
        </w:tc>
        <w:tc>
          <w:tcPr>
            <w:tcW w:w="1869" w:type="dxa"/>
            <w:vAlign w:val="center"/>
          </w:tcPr>
          <w:p>
            <w:pPr>
              <w:spacing w:line="500" w:lineRule="exact"/>
              <w:ind w:leftChars="-1" w:hanging="2" w:hangingChars="1"/>
              <w:contextualSpacing/>
              <w:jc w:val="center"/>
              <w:rPr>
                <w:rFonts w:ascii="宋体" w:hAnsi="宋体" w:cs="宋体"/>
                <w:color w:val="000000" w:themeColor="text1"/>
                <w:sz w:val="24"/>
                <w:szCs w:val="24"/>
                <w14:textFill>
                  <w14:solidFill>
                    <w14:schemeClr w14:val="tx1"/>
                  </w14:solidFill>
                </w14:textFill>
              </w:rPr>
            </w:pPr>
          </w:p>
        </w:tc>
        <w:tc>
          <w:tcPr>
            <w:tcW w:w="1706" w:type="dxa"/>
            <w:vAlign w:val="center"/>
          </w:tcPr>
          <w:p>
            <w:pPr>
              <w:spacing w:line="500" w:lineRule="exact"/>
              <w:ind w:leftChars="-1" w:hanging="2" w:hangingChars="1"/>
              <w:contextualSpacing/>
              <w:jc w:val="center"/>
              <w:rPr>
                <w:rFonts w:ascii="宋体" w:hAnsi="宋体" w:cs="宋体"/>
                <w:color w:val="000000" w:themeColor="text1"/>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760" w:type="dxa"/>
            <w:vAlign w:val="center"/>
          </w:tcPr>
          <w:p>
            <w:pPr>
              <w:spacing w:line="500" w:lineRule="exact"/>
              <w:ind w:leftChars="-1" w:hanging="2" w:hangingChars="1"/>
              <w:contextualSpacing/>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八、营业收入</w:t>
            </w:r>
          </w:p>
        </w:tc>
        <w:tc>
          <w:tcPr>
            <w:tcW w:w="1868" w:type="dxa"/>
            <w:vAlign w:val="center"/>
          </w:tcPr>
          <w:p>
            <w:pPr>
              <w:spacing w:line="500" w:lineRule="exact"/>
              <w:ind w:leftChars="-1" w:hanging="2" w:hangingChars="1"/>
              <w:contextualSpacing/>
              <w:jc w:val="center"/>
              <w:rPr>
                <w:rFonts w:ascii="宋体" w:hAnsi="宋体" w:cs="宋体"/>
                <w:color w:val="000000" w:themeColor="text1"/>
                <w:sz w:val="24"/>
                <w:szCs w:val="24"/>
                <w14:textFill>
                  <w14:solidFill>
                    <w14:schemeClr w14:val="tx1"/>
                  </w14:solidFill>
                </w14:textFill>
              </w:rPr>
            </w:pPr>
          </w:p>
        </w:tc>
        <w:tc>
          <w:tcPr>
            <w:tcW w:w="1869" w:type="dxa"/>
            <w:vAlign w:val="center"/>
          </w:tcPr>
          <w:p>
            <w:pPr>
              <w:spacing w:line="500" w:lineRule="exact"/>
              <w:ind w:leftChars="-1" w:hanging="2" w:hangingChars="1"/>
              <w:contextualSpacing/>
              <w:jc w:val="center"/>
              <w:rPr>
                <w:rFonts w:ascii="宋体" w:hAnsi="宋体" w:cs="宋体"/>
                <w:color w:val="000000" w:themeColor="text1"/>
                <w:sz w:val="24"/>
                <w:szCs w:val="24"/>
                <w14:textFill>
                  <w14:solidFill>
                    <w14:schemeClr w14:val="tx1"/>
                  </w14:solidFill>
                </w14:textFill>
              </w:rPr>
            </w:pPr>
          </w:p>
        </w:tc>
        <w:tc>
          <w:tcPr>
            <w:tcW w:w="1869" w:type="dxa"/>
            <w:vAlign w:val="center"/>
          </w:tcPr>
          <w:p>
            <w:pPr>
              <w:spacing w:line="500" w:lineRule="exact"/>
              <w:ind w:leftChars="-1" w:hanging="2" w:hangingChars="1"/>
              <w:contextualSpacing/>
              <w:jc w:val="center"/>
              <w:rPr>
                <w:rFonts w:ascii="宋体" w:hAnsi="宋体" w:cs="宋体"/>
                <w:color w:val="000000" w:themeColor="text1"/>
                <w:sz w:val="24"/>
                <w:szCs w:val="24"/>
                <w14:textFill>
                  <w14:solidFill>
                    <w14:schemeClr w14:val="tx1"/>
                  </w14:solidFill>
                </w14:textFill>
              </w:rPr>
            </w:pPr>
          </w:p>
        </w:tc>
        <w:tc>
          <w:tcPr>
            <w:tcW w:w="1706" w:type="dxa"/>
            <w:vAlign w:val="center"/>
          </w:tcPr>
          <w:p>
            <w:pPr>
              <w:spacing w:line="500" w:lineRule="exact"/>
              <w:ind w:leftChars="-1" w:hanging="2" w:hangingChars="1"/>
              <w:contextualSpacing/>
              <w:jc w:val="center"/>
              <w:rPr>
                <w:rFonts w:ascii="宋体" w:hAnsi="宋体" w:cs="宋体"/>
                <w:color w:val="000000" w:themeColor="text1"/>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760" w:type="dxa"/>
            <w:vAlign w:val="center"/>
          </w:tcPr>
          <w:p>
            <w:pPr>
              <w:spacing w:line="500" w:lineRule="exact"/>
              <w:ind w:leftChars="-1" w:hanging="2" w:hangingChars="1"/>
              <w:contextualSpacing/>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九、净利润</w:t>
            </w:r>
          </w:p>
        </w:tc>
        <w:tc>
          <w:tcPr>
            <w:tcW w:w="1868" w:type="dxa"/>
            <w:vAlign w:val="center"/>
          </w:tcPr>
          <w:p>
            <w:pPr>
              <w:spacing w:line="500" w:lineRule="exact"/>
              <w:ind w:leftChars="-1" w:hanging="2" w:hangingChars="1"/>
              <w:contextualSpacing/>
              <w:jc w:val="center"/>
              <w:rPr>
                <w:rFonts w:ascii="宋体" w:hAnsi="宋体" w:cs="宋体"/>
                <w:color w:val="000000" w:themeColor="text1"/>
                <w:sz w:val="24"/>
                <w:szCs w:val="24"/>
                <w14:textFill>
                  <w14:solidFill>
                    <w14:schemeClr w14:val="tx1"/>
                  </w14:solidFill>
                </w14:textFill>
              </w:rPr>
            </w:pPr>
          </w:p>
        </w:tc>
        <w:tc>
          <w:tcPr>
            <w:tcW w:w="1869" w:type="dxa"/>
            <w:vAlign w:val="center"/>
          </w:tcPr>
          <w:p>
            <w:pPr>
              <w:spacing w:line="500" w:lineRule="exact"/>
              <w:ind w:leftChars="-1" w:hanging="2" w:hangingChars="1"/>
              <w:contextualSpacing/>
              <w:jc w:val="center"/>
              <w:rPr>
                <w:rFonts w:ascii="宋体" w:hAnsi="宋体" w:cs="宋体"/>
                <w:color w:val="000000" w:themeColor="text1"/>
                <w:sz w:val="24"/>
                <w:szCs w:val="24"/>
                <w14:textFill>
                  <w14:solidFill>
                    <w14:schemeClr w14:val="tx1"/>
                  </w14:solidFill>
                </w14:textFill>
              </w:rPr>
            </w:pPr>
          </w:p>
        </w:tc>
        <w:tc>
          <w:tcPr>
            <w:tcW w:w="1869" w:type="dxa"/>
            <w:vAlign w:val="center"/>
          </w:tcPr>
          <w:p>
            <w:pPr>
              <w:spacing w:line="500" w:lineRule="exact"/>
              <w:ind w:leftChars="-1" w:hanging="2" w:hangingChars="1"/>
              <w:contextualSpacing/>
              <w:jc w:val="center"/>
              <w:rPr>
                <w:rFonts w:ascii="宋体" w:hAnsi="宋体" w:cs="宋体"/>
                <w:color w:val="000000" w:themeColor="text1"/>
                <w:sz w:val="24"/>
                <w:szCs w:val="24"/>
                <w14:textFill>
                  <w14:solidFill>
                    <w14:schemeClr w14:val="tx1"/>
                  </w14:solidFill>
                </w14:textFill>
              </w:rPr>
            </w:pPr>
          </w:p>
        </w:tc>
        <w:tc>
          <w:tcPr>
            <w:tcW w:w="1706" w:type="dxa"/>
            <w:vAlign w:val="center"/>
          </w:tcPr>
          <w:p>
            <w:pPr>
              <w:spacing w:line="500" w:lineRule="exact"/>
              <w:ind w:leftChars="-1" w:hanging="2" w:hangingChars="1"/>
              <w:contextualSpacing/>
              <w:jc w:val="center"/>
              <w:rPr>
                <w:rFonts w:ascii="宋体" w:hAnsi="宋体" w:cs="宋体"/>
                <w:color w:val="000000" w:themeColor="text1"/>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760" w:type="dxa"/>
            <w:vAlign w:val="center"/>
          </w:tcPr>
          <w:p>
            <w:pPr>
              <w:spacing w:line="500" w:lineRule="exact"/>
              <w:ind w:leftChars="-1" w:hanging="2" w:hangingChars="1"/>
              <w:contextualSpacing/>
              <w:jc w:val="center"/>
              <w:rPr>
                <w:rFonts w:ascii="宋体" w:hAnsi="宋体" w:cs="宋体"/>
                <w:color w:val="000000" w:themeColor="text1"/>
                <w:sz w:val="24"/>
                <w:szCs w:val="24"/>
                <w14:textFill>
                  <w14:solidFill>
                    <w14:schemeClr w14:val="tx1"/>
                  </w14:solidFill>
                </w14:textFill>
              </w:rPr>
            </w:pPr>
          </w:p>
        </w:tc>
        <w:tc>
          <w:tcPr>
            <w:tcW w:w="1868" w:type="dxa"/>
            <w:vAlign w:val="center"/>
          </w:tcPr>
          <w:p>
            <w:pPr>
              <w:spacing w:line="500" w:lineRule="exact"/>
              <w:ind w:leftChars="-1" w:hanging="2" w:hangingChars="1"/>
              <w:contextualSpacing/>
              <w:jc w:val="center"/>
              <w:rPr>
                <w:rFonts w:ascii="宋体" w:hAnsi="宋体" w:cs="宋体"/>
                <w:color w:val="000000" w:themeColor="text1"/>
                <w:sz w:val="24"/>
                <w:szCs w:val="24"/>
                <w14:textFill>
                  <w14:solidFill>
                    <w14:schemeClr w14:val="tx1"/>
                  </w14:solidFill>
                </w14:textFill>
              </w:rPr>
            </w:pPr>
          </w:p>
        </w:tc>
        <w:tc>
          <w:tcPr>
            <w:tcW w:w="1869" w:type="dxa"/>
            <w:vAlign w:val="center"/>
          </w:tcPr>
          <w:p>
            <w:pPr>
              <w:spacing w:line="500" w:lineRule="exact"/>
              <w:ind w:leftChars="-1" w:hanging="2" w:hangingChars="1"/>
              <w:contextualSpacing/>
              <w:jc w:val="center"/>
              <w:rPr>
                <w:rFonts w:ascii="宋体" w:hAnsi="宋体" w:cs="宋体"/>
                <w:color w:val="000000" w:themeColor="text1"/>
                <w:sz w:val="24"/>
                <w:szCs w:val="24"/>
                <w14:textFill>
                  <w14:solidFill>
                    <w14:schemeClr w14:val="tx1"/>
                  </w14:solidFill>
                </w14:textFill>
              </w:rPr>
            </w:pPr>
          </w:p>
        </w:tc>
        <w:tc>
          <w:tcPr>
            <w:tcW w:w="1869" w:type="dxa"/>
            <w:vAlign w:val="center"/>
          </w:tcPr>
          <w:p>
            <w:pPr>
              <w:spacing w:line="500" w:lineRule="exact"/>
              <w:ind w:leftChars="-1" w:hanging="2" w:hangingChars="1"/>
              <w:contextualSpacing/>
              <w:jc w:val="center"/>
              <w:rPr>
                <w:rFonts w:ascii="宋体" w:hAnsi="宋体" w:cs="宋体"/>
                <w:color w:val="000000" w:themeColor="text1"/>
                <w:sz w:val="24"/>
                <w:szCs w:val="24"/>
                <w14:textFill>
                  <w14:solidFill>
                    <w14:schemeClr w14:val="tx1"/>
                  </w14:solidFill>
                </w14:textFill>
              </w:rPr>
            </w:pPr>
          </w:p>
        </w:tc>
        <w:tc>
          <w:tcPr>
            <w:tcW w:w="1706" w:type="dxa"/>
            <w:vAlign w:val="center"/>
          </w:tcPr>
          <w:p>
            <w:pPr>
              <w:spacing w:line="500" w:lineRule="exact"/>
              <w:ind w:leftChars="-1" w:hanging="2" w:hangingChars="1"/>
              <w:contextualSpacing/>
              <w:jc w:val="center"/>
              <w:rPr>
                <w:rFonts w:ascii="宋体" w:hAnsi="宋体" w:cs="宋体"/>
                <w:color w:val="000000" w:themeColor="text1"/>
                <w:sz w:val="24"/>
                <w:szCs w:val="24"/>
                <w14:textFill>
                  <w14:solidFill>
                    <w14:schemeClr w14:val="tx1"/>
                  </w14:solidFill>
                </w14:textFill>
              </w:rPr>
            </w:pPr>
          </w:p>
        </w:tc>
      </w:tr>
    </w:tbl>
    <w:p>
      <w:pPr>
        <w:spacing w:line="500" w:lineRule="exact"/>
        <w:contextualSpacing/>
        <w:jc w:val="center"/>
        <w:rPr>
          <w:rFonts w:ascii="宋体" w:hAnsi="宋体" w:cs="宋体"/>
          <w:bCs/>
          <w:color w:val="000000" w:themeColor="text1"/>
          <w:sz w:val="24"/>
          <w:szCs w:val="24"/>
          <w14:textFill>
            <w14:solidFill>
              <w14:schemeClr w14:val="tx1"/>
            </w14:solidFill>
          </w14:textFill>
        </w:rPr>
      </w:pPr>
    </w:p>
    <w:p>
      <w:pPr>
        <w:spacing w:line="500" w:lineRule="exact"/>
        <w:contextualSpacing/>
        <w:jc w:val="center"/>
        <w:rPr>
          <w:rFonts w:ascii="宋体" w:hAnsi="宋体" w:cs="宋体"/>
          <w:bCs/>
          <w:color w:val="000000" w:themeColor="text1"/>
          <w:sz w:val="24"/>
          <w:szCs w:val="24"/>
          <w14:textFill>
            <w14:solidFill>
              <w14:schemeClr w14:val="tx1"/>
            </w14:solidFill>
          </w14:textFill>
        </w:rPr>
      </w:pPr>
    </w:p>
    <w:p>
      <w:pPr>
        <w:spacing w:line="500" w:lineRule="exact"/>
        <w:contextualSpacing/>
        <w:jc w:val="center"/>
        <w:rPr>
          <w:rFonts w:ascii="宋体" w:hAnsi="宋体" w:cs="宋体"/>
          <w:bCs/>
          <w:color w:val="000000" w:themeColor="text1"/>
          <w:sz w:val="24"/>
          <w:szCs w:val="24"/>
          <w14:textFill>
            <w14:solidFill>
              <w14:schemeClr w14:val="tx1"/>
            </w14:solidFill>
          </w14:textFill>
        </w:rPr>
      </w:pPr>
    </w:p>
    <w:p>
      <w:pPr>
        <w:spacing w:line="500" w:lineRule="exact"/>
        <w:contextualSpacing/>
        <w:jc w:val="center"/>
        <w:rPr>
          <w:rFonts w:ascii="宋体" w:hAnsi="宋体" w:cs="宋体"/>
          <w:bCs/>
          <w:color w:val="000000" w:themeColor="text1"/>
          <w:sz w:val="24"/>
          <w:szCs w:val="24"/>
          <w14:textFill>
            <w14:solidFill>
              <w14:schemeClr w14:val="tx1"/>
            </w14:solidFill>
          </w14:textFill>
        </w:rPr>
      </w:pPr>
    </w:p>
    <w:p>
      <w:pPr>
        <w:spacing w:line="500" w:lineRule="exact"/>
        <w:contextualSpacing/>
        <w:jc w:val="center"/>
        <w:rPr>
          <w:rFonts w:ascii="宋体" w:hAnsi="宋体" w:cs="宋体"/>
          <w:bCs/>
          <w:color w:val="000000" w:themeColor="text1"/>
          <w:sz w:val="24"/>
          <w:szCs w:val="24"/>
          <w14:textFill>
            <w14:solidFill>
              <w14:schemeClr w14:val="tx1"/>
            </w14:solidFill>
          </w14:textFill>
        </w:rPr>
      </w:pPr>
    </w:p>
    <w:p>
      <w:pPr>
        <w:spacing w:line="500" w:lineRule="exact"/>
        <w:contextualSpacing/>
        <w:jc w:val="center"/>
        <w:rPr>
          <w:rFonts w:ascii="宋体" w:hAnsi="宋体" w:cs="宋体"/>
          <w:bCs/>
          <w:color w:val="000000" w:themeColor="text1"/>
          <w:sz w:val="24"/>
          <w:szCs w:val="24"/>
          <w14:textFill>
            <w14:solidFill>
              <w14:schemeClr w14:val="tx1"/>
            </w14:solidFill>
          </w14:textFill>
        </w:rPr>
      </w:pPr>
    </w:p>
    <w:p>
      <w:pPr>
        <w:spacing w:line="500" w:lineRule="exact"/>
        <w:contextualSpacing/>
        <w:jc w:val="center"/>
        <w:rPr>
          <w:rFonts w:ascii="宋体" w:hAnsi="宋体" w:cs="宋体"/>
          <w:bCs/>
          <w:color w:val="000000" w:themeColor="text1"/>
          <w:sz w:val="24"/>
          <w:szCs w:val="24"/>
          <w14:textFill>
            <w14:solidFill>
              <w14:schemeClr w14:val="tx1"/>
            </w14:solidFill>
          </w14:textFill>
        </w:rPr>
      </w:pPr>
    </w:p>
    <w:p>
      <w:pPr>
        <w:spacing w:line="500" w:lineRule="exact"/>
        <w:contextualSpacing/>
        <w:jc w:val="center"/>
        <w:rPr>
          <w:rFonts w:ascii="宋体" w:hAnsi="宋体" w:cs="宋体"/>
          <w:bCs/>
          <w:color w:val="000000" w:themeColor="text1"/>
          <w:sz w:val="24"/>
          <w:szCs w:val="24"/>
          <w14:textFill>
            <w14:solidFill>
              <w14:schemeClr w14:val="tx1"/>
            </w14:solidFill>
          </w14:textFill>
        </w:rPr>
      </w:pPr>
    </w:p>
    <w:p>
      <w:pPr>
        <w:spacing w:line="500" w:lineRule="exact"/>
        <w:contextualSpacing/>
        <w:jc w:val="center"/>
        <w:rPr>
          <w:rFonts w:ascii="宋体" w:hAnsi="宋体" w:cs="宋体"/>
          <w:bCs/>
          <w:color w:val="000000" w:themeColor="text1"/>
          <w:sz w:val="24"/>
          <w:szCs w:val="24"/>
          <w14:textFill>
            <w14:solidFill>
              <w14:schemeClr w14:val="tx1"/>
            </w14:solidFill>
          </w14:textFill>
        </w:rPr>
      </w:pPr>
    </w:p>
    <w:p>
      <w:pPr>
        <w:spacing w:line="500" w:lineRule="exact"/>
        <w:contextualSpacing/>
        <w:jc w:val="center"/>
        <w:rPr>
          <w:rFonts w:ascii="宋体" w:hAnsi="宋体" w:cs="宋体"/>
          <w:bCs/>
          <w:color w:val="000000" w:themeColor="text1"/>
          <w:sz w:val="24"/>
          <w:szCs w:val="24"/>
          <w14:textFill>
            <w14:solidFill>
              <w14:schemeClr w14:val="tx1"/>
            </w14:solidFill>
          </w14:textFill>
        </w:rPr>
      </w:pPr>
    </w:p>
    <w:p>
      <w:pPr>
        <w:spacing w:line="500" w:lineRule="exact"/>
        <w:contextualSpacing/>
        <w:jc w:val="center"/>
        <w:rPr>
          <w:rFonts w:ascii="宋体" w:hAnsi="宋体" w:cs="宋体"/>
          <w:bCs/>
          <w:color w:val="000000" w:themeColor="text1"/>
          <w:sz w:val="24"/>
          <w:szCs w:val="24"/>
          <w14:textFill>
            <w14:solidFill>
              <w14:schemeClr w14:val="tx1"/>
            </w14:solidFill>
          </w14:textFill>
        </w:rPr>
      </w:pPr>
    </w:p>
    <w:p>
      <w:pPr>
        <w:spacing w:line="500" w:lineRule="exact"/>
        <w:contextualSpacing/>
        <w:jc w:val="center"/>
        <w:rPr>
          <w:rFonts w:ascii="宋体" w:hAnsi="宋体" w:cs="宋体"/>
          <w:bCs/>
          <w:color w:val="000000" w:themeColor="text1"/>
          <w:sz w:val="24"/>
          <w:szCs w:val="24"/>
          <w14:textFill>
            <w14:solidFill>
              <w14:schemeClr w14:val="tx1"/>
            </w14:solidFill>
          </w14:textFill>
        </w:rPr>
      </w:pPr>
    </w:p>
    <w:p>
      <w:pPr>
        <w:spacing w:line="500" w:lineRule="exact"/>
        <w:contextualSpacing/>
        <w:jc w:val="center"/>
        <w:rPr>
          <w:rFonts w:ascii="宋体" w:hAnsi="宋体" w:cs="宋体"/>
          <w:bCs/>
          <w:color w:val="000000" w:themeColor="text1"/>
          <w:sz w:val="24"/>
          <w:szCs w:val="24"/>
          <w14:textFill>
            <w14:solidFill>
              <w14:schemeClr w14:val="tx1"/>
            </w14:solidFill>
          </w14:textFill>
        </w:rPr>
      </w:pPr>
    </w:p>
    <w:p>
      <w:pPr>
        <w:pStyle w:val="5"/>
        <w:spacing w:line="500" w:lineRule="exact"/>
        <w:contextualSpacing/>
        <w:rPr>
          <w:rFonts w:ascii="宋体" w:hAnsi="宋体" w:cs="宋体"/>
          <w:color w:val="000000" w:themeColor="text1"/>
          <w:sz w:val="24"/>
          <w:szCs w:val="24"/>
          <w14:textFill>
            <w14:solidFill>
              <w14:schemeClr w14:val="tx1"/>
            </w14:solidFill>
          </w14:textFill>
        </w:rPr>
      </w:pPr>
      <w:bookmarkStart w:id="262" w:name="_Toc9481"/>
      <w:bookmarkStart w:id="263" w:name="_Toc2165"/>
      <w:bookmarkStart w:id="264" w:name="_Toc487728234"/>
      <w:r>
        <w:rPr>
          <w:rFonts w:hint="eastAsia" w:ascii="宋体" w:hAnsi="宋体" w:cs="宋体"/>
          <w:color w:val="000000" w:themeColor="text1"/>
          <w:sz w:val="24"/>
          <w:szCs w:val="24"/>
          <w14:textFill>
            <w14:solidFill>
              <w14:schemeClr w14:val="tx1"/>
            </w14:solidFill>
          </w14:textFill>
        </w:rPr>
        <w:t>十一、近3年完成的类似项目情况表</w:t>
      </w:r>
      <w:bookmarkEnd w:id="262"/>
      <w:bookmarkEnd w:id="263"/>
      <w:bookmarkEnd w:id="264"/>
    </w:p>
    <w:p>
      <w:pPr>
        <w:spacing w:line="500" w:lineRule="exact"/>
        <w:ind w:firstLine="477" w:firstLineChars="199"/>
        <w:contextualSpacing/>
        <w:jc w:val="center"/>
        <w:rPr>
          <w:rFonts w:ascii="宋体" w:hAnsi="宋体" w:cs="宋体"/>
          <w:sz w:val="24"/>
          <w:szCs w:val="24"/>
        </w:rPr>
      </w:pPr>
      <w:r>
        <w:rPr>
          <w:rFonts w:hint="eastAsia" w:ascii="宋体" w:hAnsi="宋体" w:cs="宋体"/>
          <w:sz w:val="24"/>
          <w:szCs w:val="24"/>
        </w:rPr>
        <w:t>(近3年指201</w:t>
      </w:r>
      <w:r>
        <w:rPr>
          <w:rFonts w:hint="eastAsia" w:ascii="宋体" w:hAnsi="宋体" w:cs="宋体"/>
          <w:sz w:val="24"/>
          <w:szCs w:val="24"/>
          <w:lang w:val="en-US" w:eastAsia="zh-CN"/>
        </w:rPr>
        <w:t>9</w:t>
      </w:r>
      <w:r>
        <w:rPr>
          <w:rFonts w:hint="eastAsia" w:ascii="宋体" w:hAnsi="宋体" w:cs="宋体"/>
          <w:sz w:val="24"/>
          <w:szCs w:val="24"/>
        </w:rPr>
        <w:t>年、20</w:t>
      </w:r>
      <w:r>
        <w:rPr>
          <w:rFonts w:hint="eastAsia" w:ascii="宋体" w:hAnsi="宋体" w:cs="宋体"/>
          <w:sz w:val="24"/>
          <w:szCs w:val="24"/>
          <w:lang w:val="en-US" w:eastAsia="zh-CN"/>
        </w:rPr>
        <w:t>20</w:t>
      </w:r>
      <w:r>
        <w:rPr>
          <w:rFonts w:hint="eastAsia" w:ascii="宋体" w:hAnsi="宋体" w:cs="宋体"/>
          <w:sz w:val="24"/>
          <w:szCs w:val="24"/>
        </w:rPr>
        <w:t>年、202</w:t>
      </w:r>
      <w:r>
        <w:rPr>
          <w:rFonts w:hint="eastAsia" w:ascii="宋体" w:hAnsi="宋体" w:cs="宋体"/>
          <w:sz w:val="24"/>
          <w:szCs w:val="24"/>
          <w:lang w:val="en-US" w:eastAsia="zh-CN"/>
        </w:rPr>
        <w:t>1</w:t>
      </w:r>
      <w:r>
        <w:rPr>
          <w:rFonts w:hint="eastAsia" w:ascii="宋体" w:hAnsi="宋体" w:cs="宋体"/>
          <w:sz w:val="24"/>
          <w:szCs w:val="24"/>
        </w:rPr>
        <w:t>年)</w:t>
      </w:r>
    </w:p>
    <w:p>
      <w:pPr>
        <w:spacing w:line="500" w:lineRule="exact"/>
        <w:ind w:firstLine="477" w:firstLineChars="199"/>
        <w:contextualSpacing/>
        <w:jc w:val="center"/>
        <w:rPr>
          <w:rFonts w:ascii="宋体" w:hAnsi="宋体" w:cs="宋体"/>
          <w:sz w:val="24"/>
          <w:szCs w:val="24"/>
        </w:rPr>
      </w:pPr>
    </w:p>
    <w:tbl>
      <w:tblPr>
        <w:tblStyle w:val="36"/>
        <w:tblW w:w="907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410"/>
        <w:gridCol w:w="66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410" w:type="dxa"/>
            <w:vAlign w:val="center"/>
          </w:tcPr>
          <w:p>
            <w:pPr>
              <w:spacing w:line="500" w:lineRule="exact"/>
              <w:ind w:leftChars="-1" w:hanging="2" w:hangingChars="1"/>
              <w:contextualSpacing/>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合同名称</w:t>
            </w:r>
          </w:p>
        </w:tc>
        <w:tc>
          <w:tcPr>
            <w:tcW w:w="6662" w:type="dxa"/>
          </w:tcPr>
          <w:p>
            <w:pPr>
              <w:spacing w:line="500" w:lineRule="exact"/>
              <w:ind w:leftChars="-1" w:hanging="2" w:hangingChars="1"/>
              <w:contextualSpacing/>
              <w:jc w:val="center"/>
              <w:rPr>
                <w:rFonts w:ascii="宋体" w:hAnsi="宋体" w:cs="宋体"/>
                <w:color w:val="000000" w:themeColor="text1"/>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410" w:type="dxa"/>
            <w:vAlign w:val="center"/>
          </w:tcPr>
          <w:p>
            <w:pPr>
              <w:spacing w:line="500" w:lineRule="exact"/>
              <w:ind w:leftChars="-1" w:hanging="2" w:hangingChars="1"/>
              <w:contextualSpacing/>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合同项目所在地</w:t>
            </w:r>
          </w:p>
        </w:tc>
        <w:tc>
          <w:tcPr>
            <w:tcW w:w="6662" w:type="dxa"/>
          </w:tcPr>
          <w:p>
            <w:pPr>
              <w:spacing w:line="500" w:lineRule="exact"/>
              <w:ind w:leftChars="-1" w:hanging="2" w:hangingChars="1"/>
              <w:contextualSpacing/>
              <w:jc w:val="center"/>
              <w:rPr>
                <w:rFonts w:ascii="宋体" w:hAnsi="宋体" w:cs="宋体"/>
                <w:color w:val="000000" w:themeColor="text1"/>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410" w:type="dxa"/>
            <w:vAlign w:val="center"/>
          </w:tcPr>
          <w:p>
            <w:pPr>
              <w:spacing w:line="500" w:lineRule="exact"/>
              <w:ind w:leftChars="-1" w:hanging="2" w:hangingChars="1"/>
              <w:contextualSpacing/>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发包人名称</w:t>
            </w:r>
          </w:p>
        </w:tc>
        <w:tc>
          <w:tcPr>
            <w:tcW w:w="6662" w:type="dxa"/>
          </w:tcPr>
          <w:p>
            <w:pPr>
              <w:spacing w:line="500" w:lineRule="exact"/>
              <w:ind w:leftChars="-1" w:hanging="2" w:hangingChars="1"/>
              <w:contextualSpacing/>
              <w:jc w:val="center"/>
              <w:rPr>
                <w:rFonts w:ascii="宋体" w:hAnsi="宋体" w:cs="宋体"/>
                <w:color w:val="000000" w:themeColor="text1"/>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410" w:type="dxa"/>
            <w:vAlign w:val="center"/>
          </w:tcPr>
          <w:p>
            <w:pPr>
              <w:spacing w:line="500" w:lineRule="exact"/>
              <w:ind w:leftChars="-1" w:hanging="2" w:hangingChars="1"/>
              <w:contextualSpacing/>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发包人地址</w:t>
            </w:r>
          </w:p>
        </w:tc>
        <w:tc>
          <w:tcPr>
            <w:tcW w:w="6662" w:type="dxa"/>
          </w:tcPr>
          <w:p>
            <w:pPr>
              <w:spacing w:line="500" w:lineRule="exact"/>
              <w:ind w:leftChars="-1" w:hanging="2" w:hangingChars="1"/>
              <w:contextualSpacing/>
              <w:jc w:val="center"/>
              <w:rPr>
                <w:rFonts w:ascii="宋体" w:hAnsi="宋体" w:cs="宋体"/>
                <w:color w:val="000000" w:themeColor="text1"/>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410" w:type="dxa"/>
            <w:vAlign w:val="center"/>
          </w:tcPr>
          <w:p>
            <w:pPr>
              <w:spacing w:line="500" w:lineRule="exact"/>
              <w:ind w:leftChars="-1" w:hanging="2" w:hangingChars="1"/>
              <w:contextualSpacing/>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发包人电话</w:t>
            </w:r>
          </w:p>
        </w:tc>
        <w:tc>
          <w:tcPr>
            <w:tcW w:w="6662" w:type="dxa"/>
          </w:tcPr>
          <w:p>
            <w:pPr>
              <w:spacing w:line="500" w:lineRule="exact"/>
              <w:ind w:leftChars="-1" w:hanging="2" w:hangingChars="1"/>
              <w:contextualSpacing/>
              <w:jc w:val="center"/>
              <w:rPr>
                <w:rFonts w:ascii="宋体" w:hAnsi="宋体" w:cs="宋体"/>
                <w:color w:val="000000" w:themeColor="text1"/>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410" w:type="dxa"/>
            <w:vAlign w:val="center"/>
          </w:tcPr>
          <w:p>
            <w:pPr>
              <w:spacing w:line="500" w:lineRule="exact"/>
              <w:ind w:leftChars="-1" w:hanging="2" w:hangingChars="1"/>
              <w:contextualSpacing/>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签约合同价</w:t>
            </w:r>
          </w:p>
        </w:tc>
        <w:tc>
          <w:tcPr>
            <w:tcW w:w="6662" w:type="dxa"/>
          </w:tcPr>
          <w:p>
            <w:pPr>
              <w:spacing w:line="500" w:lineRule="exact"/>
              <w:ind w:leftChars="-1" w:hanging="2" w:hangingChars="1"/>
              <w:contextualSpacing/>
              <w:jc w:val="center"/>
              <w:rPr>
                <w:rFonts w:ascii="宋体" w:hAnsi="宋体" w:cs="宋体"/>
                <w:color w:val="000000" w:themeColor="text1"/>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410" w:type="dxa"/>
            <w:vAlign w:val="center"/>
          </w:tcPr>
          <w:p>
            <w:pPr>
              <w:spacing w:line="500" w:lineRule="exact"/>
              <w:ind w:leftChars="-1" w:hanging="2" w:hangingChars="1"/>
              <w:contextualSpacing/>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交货日期</w:t>
            </w:r>
          </w:p>
        </w:tc>
        <w:tc>
          <w:tcPr>
            <w:tcW w:w="6662" w:type="dxa"/>
          </w:tcPr>
          <w:p>
            <w:pPr>
              <w:spacing w:line="500" w:lineRule="exact"/>
              <w:ind w:leftChars="-1" w:hanging="2" w:hangingChars="1"/>
              <w:contextualSpacing/>
              <w:jc w:val="center"/>
              <w:rPr>
                <w:rFonts w:ascii="宋体" w:hAnsi="宋体" w:cs="宋体"/>
                <w:color w:val="000000" w:themeColor="text1"/>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410" w:type="dxa"/>
            <w:vAlign w:val="center"/>
          </w:tcPr>
          <w:p>
            <w:pPr>
              <w:spacing w:line="500" w:lineRule="exact"/>
              <w:ind w:leftChars="-1" w:hanging="2" w:hangingChars="1"/>
              <w:contextualSpacing/>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服务质量</w:t>
            </w:r>
          </w:p>
        </w:tc>
        <w:tc>
          <w:tcPr>
            <w:tcW w:w="6662" w:type="dxa"/>
          </w:tcPr>
          <w:p>
            <w:pPr>
              <w:spacing w:line="500" w:lineRule="exact"/>
              <w:ind w:leftChars="-1" w:hanging="2" w:hangingChars="1"/>
              <w:contextualSpacing/>
              <w:jc w:val="center"/>
              <w:rPr>
                <w:rFonts w:ascii="宋体" w:hAnsi="宋体" w:cs="宋体"/>
                <w:color w:val="000000" w:themeColor="text1"/>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410" w:type="dxa"/>
            <w:vAlign w:val="center"/>
          </w:tcPr>
          <w:p>
            <w:pPr>
              <w:spacing w:line="500" w:lineRule="exact"/>
              <w:ind w:leftChars="-1" w:hanging="2" w:hangingChars="1"/>
              <w:contextualSpacing/>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负责人</w:t>
            </w:r>
          </w:p>
        </w:tc>
        <w:tc>
          <w:tcPr>
            <w:tcW w:w="6662" w:type="dxa"/>
          </w:tcPr>
          <w:p>
            <w:pPr>
              <w:spacing w:line="500" w:lineRule="exact"/>
              <w:ind w:leftChars="-1" w:hanging="2" w:hangingChars="1"/>
              <w:contextualSpacing/>
              <w:jc w:val="center"/>
              <w:rPr>
                <w:rFonts w:ascii="宋体" w:hAnsi="宋体" w:cs="宋体"/>
                <w:color w:val="000000" w:themeColor="text1"/>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410" w:type="dxa"/>
            <w:vAlign w:val="center"/>
          </w:tcPr>
          <w:p>
            <w:pPr>
              <w:spacing w:line="500" w:lineRule="exact"/>
              <w:ind w:leftChars="-1" w:hanging="2" w:hangingChars="1"/>
              <w:contextualSpacing/>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发包人及电话</w:t>
            </w:r>
          </w:p>
        </w:tc>
        <w:tc>
          <w:tcPr>
            <w:tcW w:w="6662" w:type="dxa"/>
          </w:tcPr>
          <w:p>
            <w:pPr>
              <w:spacing w:line="500" w:lineRule="exact"/>
              <w:ind w:leftChars="-1" w:hanging="2" w:hangingChars="1"/>
              <w:contextualSpacing/>
              <w:jc w:val="center"/>
              <w:rPr>
                <w:rFonts w:ascii="宋体" w:hAnsi="宋体" w:cs="宋体"/>
                <w:color w:val="000000" w:themeColor="text1"/>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410" w:type="dxa"/>
            <w:vAlign w:val="center"/>
          </w:tcPr>
          <w:p>
            <w:pPr>
              <w:spacing w:line="500" w:lineRule="exact"/>
              <w:ind w:leftChars="-1" w:hanging="2" w:hangingChars="1"/>
              <w:contextualSpacing/>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合同项目描述</w:t>
            </w:r>
          </w:p>
        </w:tc>
        <w:tc>
          <w:tcPr>
            <w:tcW w:w="6662" w:type="dxa"/>
          </w:tcPr>
          <w:p>
            <w:pPr>
              <w:spacing w:line="500" w:lineRule="exact"/>
              <w:ind w:leftChars="-1" w:hanging="2" w:hangingChars="1"/>
              <w:contextualSpacing/>
              <w:jc w:val="center"/>
              <w:rPr>
                <w:rFonts w:ascii="宋体" w:hAnsi="宋体" w:cs="宋体"/>
                <w:color w:val="000000" w:themeColor="text1"/>
                <w:sz w:val="24"/>
                <w:szCs w:val="24"/>
                <w14:textFill>
                  <w14:solidFill>
                    <w14:schemeClr w14:val="tx1"/>
                  </w14:solidFill>
                </w14:textFill>
              </w:rPr>
            </w:pPr>
          </w:p>
        </w:tc>
      </w:tr>
    </w:tbl>
    <w:p>
      <w:pPr>
        <w:spacing w:line="500" w:lineRule="exact"/>
        <w:ind w:firstLine="482" w:firstLineChars="200"/>
        <w:contextualSpacing/>
        <w:jc w:val="center"/>
        <w:rPr>
          <w:rFonts w:ascii="宋体" w:hAnsi="宋体" w:cs="宋体"/>
          <w:b/>
          <w:color w:val="000000" w:themeColor="text1"/>
          <w:sz w:val="24"/>
          <w:szCs w:val="24"/>
          <w14:textFill>
            <w14:solidFill>
              <w14:schemeClr w14:val="tx1"/>
            </w14:solidFill>
          </w14:textFill>
        </w:rPr>
      </w:pPr>
    </w:p>
    <w:p>
      <w:pPr>
        <w:pStyle w:val="5"/>
        <w:spacing w:line="500" w:lineRule="exact"/>
        <w:contextualSpacing/>
        <w:rPr>
          <w:rFonts w:ascii="宋体" w:hAnsi="宋体" w:cs="宋体"/>
          <w:color w:val="000000" w:themeColor="text1"/>
          <w:sz w:val="24"/>
          <w:szCs w:val="24"/>
          <w14:textFill>
            <w14:solidFill>
              <w14:schemeClr w14:val="tx1"/>
            </w14:solidFill>
          </w14:textFill>
        </w:rPr>
      </w:pPr>
    </w:p>
    <w:p>
      <w:pPr>
        <w:pStyle w:val="48"/>
        <w:snapToGrid/>
        <w:spacing w:line="500" w:lineRule="exact"/>
        <w:ind w:firstLine="480"/>
        <w:contextualSpacing/>
        <w:rPr>
          <w:rFonts w:ascii="宋体" w:hAnsi="宋体" w:cs="宋体"/>
          <w:color w:val="000000" w:themeColor="text1"/>
          <w:szCs w:val="24"/>
          <w14:textFill>
            <w14:solidFill>
              <w14:schemeClr w14:val="tx1"/>
            </w14:solidFill>
          </w14:textFill>
        </w:rPr>
      </w:pPr>
    </w:p>
    <w:p>
      <w:pPr>
        <w:pStyle w:val="48"/>
        <w:snapToGrid/>
        <w:spacing w:line="500" w:lineRule="exact"/>
        <w:ind w:firstLine="480"/>
        <w:contextualSpacing/>
        <w:rPr>
          <w:rFonts w:ascii="宋体" w:hAnsi="宋体" w:cs="宋体"/>
          <w:color w:val="000000" w:themeColor="text1"/>
          <w:szCs w:val="24"/>
          <w14:textFill>
            <w14:solidFill>
              <w14:schemeClr w14:val="tx1"/>
            </w14:solidFill>
          </w14:textFill>
        </w:rPr>
      </w:pPr>
    </w:p>
    <w:p>
      <w:pPr>
        <w:pStyle w:val="48"/>
        <w:snapToGrid/>
        <w:spacing w:line="500" w:lineRule="exact"/>
        <w:ind w:firstLine="480"/>
        <w:contextualSpacing/>
        <w:rPr>
          <w:rFonts w:ascii="宋体" w:hAnsi="宋体" w:cs="宋体"/>
          <w:color w:val="000000" w:themeColor="text1"/>
          <w:szCs w:val="24"/>
          <w14:textFill>
            <w14:solidFill>
              <w14:schemeClr w14:val="tx1"/>
            </w14:solidFill>
          </w14:textFill>
        </w:rPr>
      </w:pPr>
    </w:p>
    <w:p>
      <w:pPr>
        <w:pStyle w:val="48"/>
        <w:snapToGrid/>
        <w:spacing w:line="500" w:lineRule="exact"/>
        <w:ind w:firstLine="480"/>
        <w:contextualSpacing/>
        <w:rPr>
          <w:rFonts w:ascii="宋体" w:hAnsi="宋体" w:cs="宋体"/>
          <w:color w:val="000000" w:themeColor="text1"/>
          <w:szCs w:val="24"/>
          <w14:textFill>
            <w14:solidFill>
              <w14:schemeClr w14:val="tx1"/>
            </w14:solidFill>
          </w14:textFill>
        </w:rPr>
      </w:pPr>
    </w:p>
    <w:p>
      <w:pPr>
        <w:pStyle w:val="48"/>
        <w:snapToGrid/>
        <w:spacing w:line="500" w:lineRule="exact"/>
        <w:ind w:firstLine="480"/>
        <w:contextualSpacing/>
        <w:rPr>
          <w:rFonts w:ascii="宋体" w:hAnsi="宋体" w:cs="宋体"/>
          <w:color w:val="000000" w:themeColor="text1"/>
          <w:szCs w:val="24"/>
          <w14:textFill>
            <w14:solidFill>
              <w14:schemeClr w14:val="tx1"/>
            </w14:solidFill>
          </w14:textFill>
        </w:rPr>
      </w:pPr>
    </w:p>
    <w:p>
      <w:pPr>
        <w:pStyle w:val="48"/>
        <w:snapToGrid/>
        <w:spacing w:line="500" w:lineRule="exact"/>
        <w:ind w:firstLine="480"/>
        <w:contextualSpacing/>
        <w:rPr>
          <w:rFonts w:ascii="宋体" w:hAnsi="宋体" w:cs="宋体"/>
          <w:color w:val="000000" w:themeColor="text1"/>
          <w:szCs w:val="24"/>
          <w14:textFill>
            <w14:solidFill>
              <w14:schemeClr w14:val="tx1"/>
            </w14:solidFill>
          </w14:textFill>
        </w:rPr>
      </w:pPr>
    </w:p>
    <w:p>
      <w:pPr>
        <w:pStyle w:val="48"/>
        <w:snapToGrid/>
        <w:spacing w:line="500" w:lineRule="exact"/>
        <w:ind w:firstLine="480"/>
        <w:contextualSpacing/>
        <w:rPr>
          <w:rFonts w:ascii="宋体" w:hAnsi="宋体" w:cs="宋体"/>
          <w:color w:val="000000" w:themeColor="text1"/>
          <w:szCs w:val="24"/>
          <w14:textFill>
            <w14:solidFill>
              <w14:schemeClr w14:val="tx1"/>
            </w14:solidFill>
          </w14:textFill>
        </w:rPr>
      </w:pPr>
    </w:p>
    <w:p>
      <w:pPr>
        <w:pStyle w:val="48"/>
        <w:snapToGrid/>
        <w:spacing w:line="500" w:lineRule="exact"/>
        <w:ind w:firstLine="480"/>
        <w:contextualSpacing/>
        <w:rPr>
          <w:rFonts w:ascii="宋体" w:hAnsi="宋体" w:cs="宋体"/>
          <w:color w:val="000000" w:themeColor="text1"/>
          <w:szCs w:val="24"/>
          <w14:textFill>
            <w14:solidFill>
              <w14:schemeClr w14:val="tx1"/>
            </w14:solidFill>
          </w14:textFill>
        </w:rPr>
      </w:pPr>
    </w:p>
    <w:p>
      <w:pPr>
        <w:pStyle w:val="48"/>
        <w:snapToGrid/>
        <w:spacing w:line="500" w:lineRule="exact"/>
        <w:ind w:firstLine="480"/>
        <w:contextualSpacing/>
        <w:rPr>
          <w:rFonts w:ascii="宋体" w:hAnsi="宋体" w:cs="宋体"/>
          <w:color w:val="000000" w:themeColor="text1"/>
          <w:szCs w:val="24"/>
          <w14:textFill>
            <w14:solidFill>
              <w14:schemeClr w14:val="tx1"/>
            </w14:solidFill>
          </w14:textFill>
        </w:rPr>
      </w:pPr>
    </w:p>
    <w:p>
      <w:pPr>
        <w:spacing w:line="500" w:lineRule="exact"/>
        <w:contextualSpacing/>
        <w:rPr>
          <w:rFonts w:ascii="宋体" w:hAnsi="宋体" w:cs="宋体"/>
          <w:color w:val="000000" w:themeColor="text1"/>
          <w:sz w:val="24"/>
          <w:szCs w:val="24"/>
          <w14:textFill>
            <w14:solidFill>
              <w14:schemeClr w14:val="tx1"/>
            </w14:solidFill>
          </w14:textFill>
        </w:rPr>
      </w:pPr>
      <w:bookmarkStart w:id="265" w:name="_Toc487728235"/>
      <w:bookmarkStart w:id="266" w:name="_Toc32537"/>
    </w:p>
    <w:p>
      <w:pPr>
        <w:spacing w:line="500" w:lineRule="exact"/>
        <w:ind w:firstLine="28"/>
        <w:contextualSpacing/>
        <w:jc w:val="center"/>
        <w:rPr>
          <w:rFonts w:ascii="宋体" w:hAnsi="宋体" w:cs="宋体"/>
          <w:color w:val="000000" w:themeColor="text1"/>
          <w:sz w:val="24"/>
          <w:szCs w:val="24"/>
          <w14:textFill>
            <w14:solidFill>
              <w14:schemeClr w14:val="tx1"/>
            </w14:solidFill>
          </w14:textFill>
        </w:rPr>
      </w:pPr>
    </w:p>
    <w:p>
      <w:pPr>
        <w:pStyle w:val="5"/>
        <w:spacing w:line="500" w:lineRule="exact"/>
        <w:contextualSpacing/>
        <w:rPr>
          <w:rFonts w:ascii="宋体" w:hAnsi="宋体" w:cs="宋体"/>
          <w:color w:val="000000" w:themeColor="text1"/>
          <w:sz w:val="24"/>
          <w:szCs w:val="24"/>
          <w14:textFill>
            <w14:solidFill>
              <w14:schemeClr w14:val="tx1"/>
            </w14:solidFill>
          </w14:textFill>
        </w:rPr>
      </w:pPr>
      <w:bookmarkStart w:id="267" w:name="_Toc8624"/>
      <w:r>
        <w:rPr>
          <w:rFonts w:hint="eastAsia" w:ascii="宋体" w:hAnsi="宋体" w:cs="宋体"/>
          <w:color w:val="000000" w:themeColor="text1"/>
          <w:sz w:val="24"/>
          <w:szCs w:val="24"/>
          <w14:textFill>
            <w14:solidFill>
              <w14:schemeClr w14:val="tx1"/>
            </w14:solidFill>
          </w14:textFill>
        </w:rPr>
        <w:t>十二、</w:t>
      </w:r>
      <w:bookmarkEnd w:id="265"/>
      <w:bookmarkEnd w:id="266"/>
      <w:r>
        <w:rPr>
          <w:rFonts w:hint="eastAsia" w:ascii="宋体" w:hAnsi="宋体" w:cs="宋体"/>
          <w:color w:val="000000" w:themeColor="text1"/>
          <w:sz w:val="24"/>
          <w:szCs w:val="24"/>
          <w14:textFill>
            <w14:solidFill>
              <w14:schemeClr w14:val="tx1"/>
            </w14:solidFill>
          </w14:textFill>
        </w:rPr>
        <w:t>项目实施方案及技术措施</w:t>
      </w:r>
      <w:bookmarkEnd w:id="267"/>
    </w:p>
    <w:p>
      <w:pPr>
        <w:spacing w:line="500" w:lineRule="exact"/>
        <w:ind w:firstLine="480" w:firstLineChars="200"/>
        <w:jc w:val="center"/>
        <w:rPr>
          <w:rFonts w:ascii="宋体" w:hAnsi="宋体" w:cs="宋体"/>
          <w:sz w:val="24"/>
          <w:szCs w:val="24"/>
        </w:rPr>
      </w:pPr>
      <w:r>
        <w:rPr>
          <w:rFonts w:hint="eastAsia" w:ascii="宋体" w:hAnsi="宋体" w:cs="宋体"/>
          <w:sz w:val="24"/>
          <w:szCs w:val="24"/>
        </w:rPr>
        <w:t>投标人自行编制施工管理方案</w:t>
      </w:r>
    </w:p>
    <w:p>
      <w:pPr>
        <w:pStyle w:val="2"/>
        <w:spacing w:line="500" w:lineRule="exact"/>
        <w:rPr>
          <w:sz w:val="24"/>
          <w:szCs w:val="24"/>
        </w:rPr>
      </w:pPr>
    </w:p>
    <w:p>
      <w:pPr>
        <w:spacing w:line="500" w:lineRule="exact"/>
        <w:rPr>
          <w:rFonts w:ascii="宋体" w:hAnsi="宋体" w:cs="宋体"/>
          <w:b/>
          <w:color w:val="000000" w:themeColor="text1"/>
          <w:kern w:val="0"/>
          <w:sz w:val="24"/>
          <w:szCs w:val="24"/>
          <w14:textFill>
            <w14:solidFill>
              <w14:schemeClr w14:val="tx1"/>
            </w14:solidFill>
          </w14:textFill>
        </w:rPr>
      </w:pPr>
    </w:p>
    <w:p>
      <w:pPr>
        <w:pStyle w:val="2"/>
        <w:spacing w:line="500" w:lineRule="exact"/>
        <w:rPr>
          <w:sz w:val="24"/>
          <w:szCs w:val="24"/>
        </w:rPr>
      </w:pPr>
    </w:p>
    <w:p>
      <w:pPr>
        <w:pStyle w:val="18"/>
        <w:spacing w:line="500" w:lineRule="exact"/>
        <w:ind w:firstLine="2891" w:firstLineChars="1200"/>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十三、机械设备配备</w:t>
      </w:r>
    </w:p>
    <w:p>
      <w:pPr>
        <w:pStyle w:val="18"/>
        <w:spacing w:line="500" w:lineRule="exact"/>
        <w:ind w:firstLine="480"/>
        <w:jc w:val="center"/>
        <w:rPr>
          <w:rFonts w:ascii="宋体" w:hAnsi="宋体" w:cs="宋体"/>
          <w:color w:val="000000" w:themeColor="text1"/>
          <w:sz w:val="24"/>
          <w14:textFill>
            <w14:solidFill>
              <w14:schemeClr w14:val="tx1"/>
            </w14:solidFill>
          </w14:textFill>
        </w:rPr>
      </w:pPr>
    </w:p>
    <w:p>
      <w:pPr>
        <w:spacing w:line="500" w:lineRule="exact"/>
        <w:ind w:firstLine="480" w:firstLineChars="200"/>
        <w:jc w:val="center"/>
        <w:rPr>
          <w:rFonts w:ascii="宋体" w:hAnsi="宋体" w:cs="宋体"/>
          <w:sz w:val="24"/>
          <w:szCs w:val="24"/>
        </w:rPr>
      </w:pPr>
      <w:r>
        <w:rPr>
          <w:rFonts w:hint="eastAsia" w:ascii="宋体" w:hAnsi="宋体" w:cs="宋体"/>
          <w:sz w:val="24"/>
          <w:szCs w:val="24"/>
        </w:rPr>
        <w:t>投标人自行编制应急服务方案</w:t>
      </w:r>
    </w:p>
    <w:p>
      <w:pPr>
        <w:pStyle w:val="18"/>
        <w:spacing w:line="500" w:lineRule="exact"/>
        <w:ind w:left="0" w:leftChars="0" w:firstLine="0" w:firstLineChars="0"/>
        <w:rPr>
          <w:rFonts w:ascii="宋体" w:hAnsi="宋体" w:cs="宋体"/>
          <w:color w:val="000000" w:themeColor="text1"/>
          <w:sz w:val="24"/>
          <w14:textFill>
            <w14:solidFill>
              <w14:schemeClr w14:val="tx1"/>
            </w14:solidFill>
          </w14:textFill>
        </w:rPr>
      </w:pPr>
    </w:p>
    <w:p>
      <w:pPr>
        <w:pStyle w:val="9"/>
        <w:spacing w:line="500" w:lineRule="exact"/>
        <w:ind w:firstLine="0"/>
        <w:contextualSpacing/>
        <w:rPr>
          <w:rFonts w:ascii="宋体" w:hAnsi="宋体" w:cs="宋体"/>
          <w:color w:val="000000" w:themeColor="text1"/>
          <w:sz w:val="24"/>
          <w:szCs w:val="24"/>
          <w14:textFill>
            <w14:solidFill>
              <w14:schemeClr w14:val="tx1"/>
            </w14:solidFill>
          </w14:textFill>
        </w:rPr>
      </w:pPr>
    </w:p>
    <w:p>
      <w:pPr>
        <w:pStyle w:val="9"/>
        <w:spacing w:line="500" w:lineRule="exact"/>
        <w:contextualSpacing/>
        <w:rPr>
          <w:rFonts w:ascii="宋体" w:hAnsi="宋体" w:cs="宋体"/>
          <w:color w:val="000000" w:themeColor="text1"/>
          <w:sz w:val="24"/>
          <w:szCs w:val="24"/>
          <w14:textFill>
            <w14:solidFill>
              <w14:schemeClr w14:val="tx1"/>
            </w14:solidFill>
          </w14:textFill>
        </w:rPr>
      </w:pPr>
    </w:p>
    <w:p>
      <w:pPr>
        <w:pStyle w:val="5"/>
        <w:spacing w:line="500" w:lineRule="exact"/>
        <w:contextualSpacing/>
        <w:rPr>
          <w:rFonts w:ascii="宋体" w:hAnsi="宋体" w:cs="宋体"/>
          <w:color w:val="000000" w:themeColor="text1"/>
          <w:sz w:val="24"/>
          <w:szCs w:val="24"/>
          <w14:textFill>
            <w14:solidFill>
              <w14:schemeClr w14:val="tx1"/>
            </w14:solidFill>
          </w14:textFill>
        </w:rPr>
      </w:pPr>
      <w:bookmarkStart w:id="268" w:name="_Toc22833"/>
      <w:r>
        <w:rPr>
          <w:rFonts w:hint="eastAsia" w:ascii="宋体" w:hAnsi="宋体" w:cs="宋体"/>
          <w:color w:val="000000" w:themeColor="text1"/>
          <w:sz w:val="24"/>
          <w:szCs w:val="24"/>
          <w14:textFill>
            <w14:solidFill>
              <w14:schemeClr w14:val="tx1"/>
            </w14:solidFill>
          </w14:textFill>
        </w:rPr>
        <w:t>十四、货物装卸、运输及储存</w:t>
      </w:r>
      <w:bookmarkEnd w:id="268"/>
    </w:p>
    <w:p>
      <w:pPr>
        <w:pStyle w:val="48"/>
        <w:spacing w:line="500" w:lineRule="exact"/>
        <w:ind w:firstLine="480"/>
        <w:jc w:val="center"/>
        <w:rPr>
          <w:rFonts w:ascii="宋体" w:hAnsi="宋体" w:cs="宋体"/>
          <w:szCs w:val="24"/>
        </w:rPr>
      </w:pPr>
      <w:r>
        <w:rPr>
          <w:rFonts w:hint="eastAsia" w:ascii="宋体" w:hAnsi="宋体" w:cs="宋体"/>
          <w:szCs w:val="24"/>
        </w:rPr>
        <w:t>投标人自行编制物资采购管理方案</w:t>
      </w:r>
    </w:p>
    <w:p>
      <w:pPr>
        <w:pStyle w:val="48"/>
        <w:spacing w:line="500" w:lineRule="exact"/>
        <w:ind w:firstLine="0" w:firstLineChars="0"/>
        <w:rPr>
          <w:rFonts w:ascii="宋体" w:hAnsi="宋体" w:cs="宋体"/>
          <w:szCs w:val="24"/>
        </w:rPr>
      </w:pPr>
    </w:p>
    <w:p>
      <w:pPr>
        <w:pStyle w:val="9"/>
        <w:spacing w:line="500" w:lineRule="exact"/>
        <w:contextualSpacing/>
        <w:rPr>
          <w:rFonts w:ascii="宋体" w:hAnsi="宋体" w:cs="宋体"/>
          <w:color w:val="000000" w:themeColor="text1"/>
          <w:sz w:val="24"/>
          <w:szCs w:val="24"/>
          <w14:textFill>
            <w14:solidFill>
              <w14:schemeClr w14:val="tx1"/>
            </w14:solidFill>
          </w14:textFill>
        </w:rPr>
      </w:pPr>
    </w:p>
    <w:p>
      <w:pPr>
        <w:pStyle w:val="9"/>
        <w:spacing w:line="500" w:lineRule="exact"/>
        <w:ind w:firstLine="0"/>
        <w:contextualSpacing/>
        <w:rPr>
          <w:rFonts w:ascii="宋体" w:hAnsi="宋体" w:cs="宋体"/>
          <w:color w:val="000000" w:themeColor="text1"/>
          <w:sz w:val="24"/>
          <w:szCs w:val="24"/>
          <w14:textFill>
            <w14:solidFill>
              <w14:schemeClr w14:val="tx1"/>
            </w14:solidFill>
          </w14:textFill>
        </w:rPr>
      </w:pPr>
    </w:p>
    <w:p>
      <w:pPr>
        <w:pStyle w:val="5"/>
        <w:spacing w:line="500" w:lineRule="exact"/>
        <w:contextualSpacing/>
        <w:rPr>
          <w:rFonts w:ascii="宋体" w:hAnsi="宋体" w:cs="宋体"/>
          <w:color w:val="000000" w:themeColor="text1"/>
          <w:sz w:val="24"/>
          <w:szCs w:val="24"/>
          <w14:textFill>
            <w14:solidFill>
              <w14:schemeClr w14:val="tx1"/>
            </w14:solidFill>
          </w14:textFill>
        </w:rPr>
      </w:pPr>
      <w:bookmarkStart w:id="269" w:name="_Toc19966"/>
      <w:r>
        <w:rPr>
          <w:rFonts w:hint="eastAsia" w:ascii="宋体" w:hAnsi="宋体" w:cs="宋体"/>
          <w:color w:val="000000" w:themeColor="text1"/>
          <w:sz w:val="24"/>
          <w:szCs w:val="24"/>
          <w14:textFill>
            <w14:solidFill>
              <w14:schemeClr w14:val="tx1"/>
            </w14:solidFill>
          </w14:textFill>
        </w:rPr>
        <w:t>十五、保证项目实施的技术力量和人力资源安排</w:t>
      </w:r>
      <w:bookmarkEnd w:id="269"/>
    </w:p>
    <w:p>
      <w:pPr>
        <w:pStyle w:val="48"/>
        <w:spacing w:line="500" w:lineRule="exact"/>
        <w:ind w:firstLine="480"/>
        <w:jc w:val="center"/>
        <w:rPr>
          <w:rFonts w:ascii="宋体" w:hAnsi="宋体" w:cs="宋体"/>
          <w:color w:val="000000" w:themeColor="text1"/>
          <w:szCs w:val="24"/>
          <w14:textFill>
            <w14:solidFill>
              <w14:schemeClr w14:val="tx1"/>
            </w14:solidFill>
          </w14:textFill>
        </w:rPr>
      </w:pPr>
      <w:r>
        <w:rPr>
          <w:rFonts w:hint="eastAsia" w:ascii="宋体" w:hAnsi="宋体" w:cs="宋体"/>
          <w:szCs w:val="24"/>
        </w:rPr>
        <w:t>（提供相关管理人员等材料）</w:t>
      </w:r>
    </w:p>
    <w:p>
      <w:pPr>
        <w:pStyle w:val="9"/>
        <w:spacing w:line="500" w:lineRule="exact"/>
        <w:contextualSpacing/>
        <w:rPr>
          <w:rFonts w:ascii="宋体" w:hAnsi="宋体" w:cs="宋体"/>
          <w:color w:val="000000" w:themeColor="text1"/>
          <w:sz w:val="24"/>
          <w:szCs w:val="24"/>
          <w14:textFill>
            <w14:solidFill>
              <w14:schemeClr w14:val="tx1"/>
            </w14:solidFill>
          </w14:textFill>
        </w:rPr>
      </w:pPr>
    </w:p>
    <w:p>
      <w:pPr>
        <w:pStyle w:val="9"/>
        <w:spacing w:line="500" w:lineRule="exact"/>
        <w:ind w:firstLine="0"/>
        <w:contextualSpacing/>
        <w:rPr>
          <w:rFonts w:ascii="宋体" w:hAnsi="宋体" w:cs="宋体"/>
          <w:sz w:val="24"/>
          <w:szCs w:val="24"/>
        </w:rPr>
      </w:pPr>
    </w:p>
    <w:p>
      <w:pPr>
        <w:pStyle w:val="9"/>
        <w:spacing w:line="500" w:lineRule="exact"/>
        <w:ind w:firstLine="0"/>
        <w:contextualSpacing/>
        <w:jc w:val="center"/>
        <w:rPr>
          <w:rFonts w:ascii="宋体" w:hAnsi="宋体" w:cs="宋体"/>
          <w:b/>
          <w:color w:val="000000" w:themeColor="text1"/>
          <w:kern w:val="0"/>
          <w:sz w:val="24"/>
          <w:szCs w:val="24"/>
          <w14:textFill>
            <w14:solidFill>
              <w14:schemeClr w14:val="tx1"/>
            </w14:solidFill>
          </w14:textFill>
        </w:rPr>
      </w:pPr>
    </w:p>
    <w:p>
      <w:pPr>
        <w:pStyle w:val="9"/>
        <w:spacing w:line="500" w:lineRule="exact"/>
        <w:ind w:firstLine="0"/>
        <w:contextualSpacing/>
        <w:jc w:val="center"/>
        <w:rPr>
          <w:rFonts w:ascii="宋体" w:hAnsi="宋体" w:cs="宋体"/>
          <w:b/>
          <w:color w:val="000000" w:themeColor="text1"/>
          <w:kern w:val="0"/>
          <w:sz w:val="24"/>
          <w:szCs w:val="24"/>
          <w14:textFill>
            <w14:solidFill>
              <w14:schemeClr w14:val="tx1"/>
            </w14:solidFill>
          </w14:textFill>
        </w:rPr>
      </w:pPr>
    </w:p>
    <w:p>
      <w:pPr>
        <w:pStyle w:val="9"/>
        <w:spacing w:line="500" w:lineRule="exact"/>
        <w:ind w:firstLine="0"/>
        <w:contextualSpacing/>
        <w:jc w:val="center"/>
        <w:rPr>
          <w:rFonts w:ascii="宋体" w:hAnsi="宋体" w:cs="宋体"/>
          <w:b/>
          <w:color w:val="000000" w:themeColor="text1"/>
          <w:kern w:val="0"/>
          <w:sz w:val="24"/>
          <w:szCs w:val="24"/>
          <w14:textFill>
            <w14:solidFill>
              <w14:schemeClr w14:val="tx1"/>
            </w14:solidFill>
          </w14:textFill>
        </w:rPr>
      </w:pPr>
    </w:p>
    <w:p>
      <w:pPr>
        <w:pStyle w:val="9"/>
        <w:spacing w:line="500" w:lineRule="exact"/>
        <w:ind w:firstLine="0"/>
        <w:contextualSpacing/>
        <w:jc w:val="center"/>
        <w:rPr>
          <w:rFonts w:ascii="宋体" w:hAnsi="宋体" w:cs="宋体"/>
          <w:b/>
          <w:color w:val="000000" w:themeColor="text1"/>
          <w:kern w:val="0"/>
          <w:sz w:val="24"/>
          <w:szCs w:val="24"/>
          <w14:textFill>
            <w14:solidFill>
              <w14:schemeClr w14:val="tx1"/>
            </w14:solidFill>
          </w14:textFill>
        </w:rPr>
      </w:pPr>
    </w:p>
    <w:p>
      <w:pPr>
        <w:pStyle w:val="9"/>
        <w:spacing w:line="500" w:lineRule="exact"/>
        <w:ind w:firstLine="0"/>
        <w:contextualSpacing/>
        <w:jc w:val="center"/>
        <w:rPr>
          <w:rFonts w:ascii="宋体" w:hAnsi="宋体" w:cs="宋体"/>
          <w:b/>
          <w:color w:val="000000" w:themeColor="text1"/>
          <w:kern w:val="0"/>
          <w:sz w:val="24"/>
          <w:szCs w:val="24"/>
          <w14:textFill>
            <w14:solidFill>
              <w14:schemeClr w14:val="tx1"/>
            </w14:solidFill>
          </w14:textFill>
        </w:rPr>
      </w:pPr>
      <w:r>
        <w:rPr>
          <w:rFonts w:hint="eastAsia" w:ascii="宋体" w:hAnsi="宋体" w:cs="宋体"/>
          <w:b/>
          <w:color w:val="000000" w:themeColor="text1"/>
          <w:kern w:val="0"/>
          <w:sz w:val="24"/>
          <w:szCs w:val="24"/>
          <w14:textFill>
            <w14:solidFill>
              <w14:schemeClr w14:val="tx1"/>
            </w14:solidFill>
          </w14:textFill>
        </w:rPr>
        <w:t>十六、投标人综合实力及信誉</w:t>
      </w:r>
    </w:p>
    <w:p>
      <w:pPr>
        <w:pStyle w:val="9"/>
        <w:spacing w:line="500" w:lineRule="exact"/>
        <w:ind w:firstLine="0"/>
        <w:contextualSpacing/>
        <w:jc w:val="center"/>
        <w:rPr>
          <w:rFonts w:ascii="宋体" w:hAnsi="宋体" w:cs="宋体"/>
          <w:b/>
          <w:color w:val="000000" w:themeColor="text1"/>
          <w:kern w:val="0"/>
          <w:sz w:val="24"/>
          <w:szCs w:val="24"/>
          <w14:textFill>
            <w14:solidFill>
              <w14:schemeClr w14:val="tx1"/>
            </w14:solidFill>
          </w14:textFill>
        </w:rPr>
      </w:pPr>
    </w:p>
    <w:p>
      <w:pPr>
        <w:pStyle w:val="9"/>
        <w:spacing w:line="500" w:lineRule="exact"/>
        <w:ind w:firstLine="0"/>
        <w:contextualSpacing/>
        <w:rPr>
          <w:rFonts w:ascii="宋体" w:hAnsi="宋体" w:cs="宋体"/>
          <w:b/>
          <w:color w:val="000000" w:themeColor="text1"/>
          <w:kern w:val="0"/>
          <w:sz w:val="24"/>
          <w:szCs w:val="24"/>
          <w14:textFill>
            <w14:solidFill>
              <w14:schemeClr w14:val="tx1"/>
            </w14:solidFill>
          </w14:textFill>
        </w:rPr>
      </w:pPr>
    </w:p>
    <w:p>
      <w:pPr>
        <w:pStyle w:val="9"/>
        <w:spacing w:line="500" w:lineRule="exact"/>
        <w:ind w:firstLine="0"/>
        <w:contextualSpacing/>
        <w:jc w:val="center"/>
        <w:rPr>
          <w:rFonts w:ascii="宋体" w:hAnsi="宋体" w:cs="宋体"/>
          <w:b/>
          <w:color w:val="000000" w:themeColor="text1"/>
          <w:kern w:val="0"/>
          <w:sz w:val="24"/>
          <w:szCs w:val="24"/>
          <w14:textFill>
            <w14:solidFill>
              <w14:schemeClr w14:val="tx1"/>
            </w14:solidFill>
          </w14:textFill>
        </w:rPr>
      </w:pPr>
    </w:p>
    <w:p>
      <w:pPr>
        <w:pStyle w:val="9"/>
        <w:spacing w:line="500" w:lineRule="exact"/>
        <w:ind w:firstLine="0"/>
        <w:contextualSpacing/>
        <w:jc w:val="center"/>
        <w:rPr>
          <w:rFonts w:ascii="宋体" w:hAnsi="宋体" w:cs="宋体"/>
          <w:b/>
          <w:color w:val="000000" w:themeColor="text1"/>
          <w:kern w:val="0"/>
          <w:sz w:val="24"/>
          <w:szCs w:val="24"/>
          <w14:textFill>
            <w14:solidFill>
              <w14:schemeClr w14:val="tx1"/>
            </w14:solidFill>
          </w14:textFill>
        </w:rPr>
      </w:pPr>
    </w:p>
    <w:p>
      <w:pPr>
        <w:pStyle w:val="9"/>
        <w:spacing w:line="500" w:lineRule="exact"/>
        <w:ind w:firstLine="0"/>
        <w:contextualSpacing/>
        <w:jc w:val="center"/>
        <w:rPr>
          <w:rFonts w:ascii="宋体" w:hAnsi="宋体" w:cs="宋体"/>
          <w:b/>
          <w:color w:val="000000" w:themeColor="text1"/>
          <w:kern w:val="0"/>
          <w:sz w:val="24"/>
          <w:szCs w:val="24"/>
          <w14:textFill>
            <w14:solidFill>
              <w14:schemeClr w14:val="tx1"/>
            </w14:solidFill>
          </w14:textFill>
        </w:rPr>
      </w:pPr>
    </w:p>
    <w:p>
      <w:pPr>
        <w:pStyle w:val="9"/>
        <w:spacing w:line="500" w:lineRule="exact"/>
        <w:ind w:firstLine="0"/>
        <w:contextualSpacing/>
        <w:jc w:val="center"/>
        <w:rPr>
          <w:rFonts w:hint="eastAsia" w:ascii="宋体" w:hAnsi="宋体" w:cs="宋体"/>
          <w:b/>
          <w:color w:val="000000" w:themeColor="text1"/>
          <w:kern w:val="0"/>
          <w:sz w:val="24"/>
          <w:szCs w:val="24"/>
          <w14:textFill>
            <w14:solidFill>
              <w14:schemeClr w14:val="tx1"/>
            </w14:solidFill>
          </w14:textFill>
        </w:rPr>
      </w:pPr>
      <w:r>
        <w:rPr>
          <w:rFonts w:hint="eastAsia" w:ascii="宋体" w:hAnsi="宋体" w:cs="宋体"/>
          <w:b/>
          <w:color w:val="000000" w:themeColor="text1"/>
          <w:kern w:val="0"/>
          <w:sz w:val="24"/>
          <w:szCs w:val="24"/>
          <w14:textFill>
            <w14:solidFill>
              <w14:schemeClr w14:val="tx1"/>
            </w14:solidFill>
          </w14:textFill>
        </w:rPr>
        <w:t>十七、验收的方案和措施</w:t>
      </w:r>
    </w:p>
    <w:p>
      <w:pPr>
        <w:pStyle w:val="9"/>
        <w:spacing w:line="500" w:lineRule="exact"/>
        <w:ind w:firstLine="0"/>
        <w:contextualSpacing/>
        <w:jc w:val="center"/>
        <w:rPr>
          <w:rFonts w:hint="eastAsia" w:ascii="宋体" w:hAnsi="宋体" w:cs="宋体"/>
          <w:b/>
          <w:color w:val="000000" w:themeColor="text1"/>
          <w:kern w:val="0"/>
          <w:sz w:val="24"/>
          <w:szCs w:val="24"/>
          <w14:textFill>
            <w14:solidFill>
              <w14:schemeClr w14:val="tx1"/>
            </w14:solidFill>
          </w14:textFill>
        </w:rPr>
      </w:pPr>
    </w:p>
    <w:p>
      <w:pPr>
        <w:pStyle w:val="9"/>
        <w:spacing w:line="500" w:lineRule="exact"/>
        <w:ind w:firstLine="0"/>
        <w:contextualSpacing/>
        <w:jc w:val="center"/>
        <w:rPr>
          <w:rFonts w:hint="eastAsia" w:ascii="宋体" w:hAnsi="宋体" w:cs="宋体"/>
          <w:b/>
          <w:color w:val="000000" w:themeColor="text1"/>
          <w:kern w:val="0"/>
          <w:sz w:val="24"/>
          <w:szCs w:val="24"/>
          <w14:textFill>
            <w14:solidFill>
              <w14:schemeClr w14:val="tx1"/>
            </w14:solidFill>
          </w14:textFill>
        </w:rPr>
      </w:pPr>
    </w:p>
    <w:p>
      <w:pPr>
        <w:pStyle w:val="9"/>
        <w:spacing w:line="500" w:lineRule="exact"/>
        <w:ind w:firstLine="0"/>
        <w:contextualSpacing/>
        <w:jc w:val="center"/>
        <w:rPr>
          <w:rFonts w:ascii="宋体" w:hAnsi="宋体" w:cs="宋体"/>
          <w:b/>
          <w:color w:val="000000" w:themeColor="text1"/>
          <w:kern w:val="0"/>
          <w:sz w:val="24"/>
          <w:szCs w:val="24"/>
          <w14:textFill>
            <w14:solidFill>
              <w14:schemeClr w14:val="tx1"/>
            </w14:solidFill>
          </w14:textFill>
        </w:rPr>
      </w:pPr>
    </w:p>
    <w:p>
      <w:pPr>
        <w:pStyle w:val="5"/>
        <w:spacing w:line="500" w:lineRule="exact"/>
        <w:contextualSpacing/>
        <w:rPr>
          <w:rFonts w:ascii="宋体" w:hAnsi="宋体" w:cs="宋体"/>
          <w:color w:val="000000" w:themeColor="text1"/>
          <w:sz w:val="24"/>
          <w:szCs w:val="24"/>
          <w14:textFill>
            <w14:solidFill>
              <w14:schemeClr w14:val="tx1"/>
            </w14:solidFill>
          </w14:textFill>
        </w:rPr>
      </w:pPr>
      <w:bookmarkStart w:id="270" w:name="_Toc12968"/>
      <w:bookmarkStart w:id="271" w:name="_Toc487728236"/>
      <w:bookmarkStart w:id="272" w:name="_Toc29334"/>
      <w:r>
        <w:rPr>
          <w:rFonts w:hint="eastAsia" w:ascii="宋体" w:hAnsi="宋体" w:cs="宋体"/>
          <w:color w:val="000000" w:themeColor="text1"/>
          <w:sz w:val="24"/>
          <w:szCs w:val="24"/>
          <w14:textFill>
            <w14:solidFill>
              <w14:schemeClr w14:val="tx1"/>
            </w14:solidFill>
          </w14:textFill>
        </w:rPr>
        <w:t>十八、</w:t>
      </w:r>
      <w:bookmarkEnd w:id="270"/>
      <w:bookmarkEnd w:id="271"/>
      <w:r>
        <w:rPr>
          <w:rFonts w:hint="eastAsia" w:ascii="宋体" w:hAnsi="宋体" w:cs="宋体"/>
          <w:color w:val="000000" w:themeColor="text1"/>
          <w:sz w:val="24"/>
          <w:szCs w:val="24"/>
          <w14:textFill>
            <w14:solidFill>
              <w14:schemeClr w14:val="tx1"/>
            </w14:solidFill>
          </w14:textFill>
        </w:rPr>
        <w:t>项目质量及保修期限</w:t>
      </w:r>
      <w:bookmarkEnd w:id="272"/>
    </w:p>
    <w:p>
      <w:pPr>
        <w:pStyle w:val="5"/>
        <w:spacing w:line="500" w:lineRule="exact"/>
        <w:contextualSpacing/>
        <w:rPr>
          <w:rFonts w:ascii="宋体" w:hAnsi="宋体" w:cs="宋体"/>
          <w:color w:val="000000" w:themeColor="text1"/>
          <w:sz w:val="24"/>
          <w:szCs w:val="24"/>
          <w14:textFill>
            <w14:solidFill>
              <w14:schemeClr w14:val="tx1"/>
            </w14:solidFill>
          </w14:textFill>
        </w:rPr>
      </w:pPr>
      <w:bookmarkStart w:id="273" w:name="_Toc457495579"/>
      <w:bookmarkStart w:id="274" w:name="_Toc9416"/>
      <w:bookmarkStart w:id="275" w:name="_Toc485399422"/>
      <w:bookmarkStart w:id="276" w:name="_Toc487728237"/>
      <w:bookmarkStart w:id="277" w:name="_Toc37501988"/>
      <w:bookmarkStart w:id="278" w:name="_Toc4729"/>
      <w:bookmarkStart w:id="279" w:name="_Toc911"/>
      <w:bookmarkStart w:id="280" w:name="_Toc15618"/>
      <w:bookmarkStart w:id="281" w:name="_Toc37753829"/>
      <w:r>
        <w:rPr>
          <w:rFonts w:hint="eastAsia" w:ascii="宋体" w:hAnsi="宋体" w:cs="宋体"/>
          <w:color w:val="000000" w:themeColor="text1"/>
          <w:sz w:val="24"/>
          <w:szCs w:val="24"/>
          <w14:textFill>
            <w14:solidFill>
              <w14:schemeClr w14:val="tx1"/>
            </w14:solidFill>
          </w14:textFill>
        </w:rPr>
        <w:t>（必须符合业主方规定的时间期限）</w:t>
      </w:r>
      <w:bookmarkEnd w:id="273"/>
      <w:bookmarkEnd w:id="274"/>
      <w:bookmarkEnd w:id="275"/>
      <w:bookmarkEnd w:id="276"/>
      <w:bookmarkEnd w:id="277"/>
      <w:bookmarkEnd w:id="278"/>
      <w:bookmarkEnd w:id="279"/>
      <w:bookmarkEnd w:id="280"/>
      <w:bookmarkEnd w:id="281"/>
    </w:p>
    <w:p>
      <w:pPr>
        <w:pStyle w:val="5"/>
        <w:spacing w:line="500" w:lineRule="exact"/>
        <w:contextualSpacing/>
        <w:rPr>
          <w:rFonts w:ascii="宋体" w:hAnsi="宋体" w:cs="宋体"/>
          <w:color w:val="000000" w:themeColor="text1"/>
          <w:sz w:val="24"/>
          <w:szCs w:val="24"/>
          <w14:textFill>
            <w14:solidFill>
              <w14:schemeClr w14:val="tx1"/>
            </w14:solidFill>
          </w14:textFill>
        </w:rPr>
      </w:pPr>
    </w:p>
    <w:p>
      <w:pPr>
        <w:pStyle w:val="5"/>
        <w:spacing w:line="500" w:lineRule="exact"/>
        <w:contextualSpacing/>
        <w:rPr>
          <w:rFonts w:ascii="宋体" w:hAnsi="宋体" w:cs="宋体"/>
          <w:color w:val="000000" w:themeColor="text1"/>
          <w:sz w:val="24"/>
          <w:szCs w:val="24"/>
          <w14:textFill>
            <w14:solidFill>
              <w14:schemeClr w14:val="tx1"/>
            </w14:solidFill>
          </w14:textFill>
        </w:rPr>
      </w:pPr>
    </w:p>
    <w:p>
      <w:pPr>
        <w:pStyle w:val="5"/>
        <w:spacing w:line="500" w:lineRule="exact"/>
        <w:contextualSpacing/>
        <w:rPr>
          <w:rFonts w:ascii="宋体" w:hAnsi="宋体" w:cs="宋体"/>
          <w:color w:val="000000" w:themeColor="text1"/>
          <w:sz w:val="24"/>
          <w:szCs w:val="24"/>
          <w14:textFill>
            <w14:solidFill>
              <w14:schemeClr w14:val="tx1"/>
            </w14:solidFill>
          </w14:textFill>
        </w:rPr>
      </w:pPr>
    </w:p>
    <w:p>
      <w:pPr>
        <w:pStyle w:val="5"/>
        <w:spacing w:line="500" w:lineRule="exact"/>
        <w:contextualSpacing/>
        <w:rPr>
          <w:rFonts w:ascii="宋体" w:hAnsi="宋体" w:cs="宋体"/>
          <w:color w:val="000000" w:themeColor="text1"/>
          <w:sz w:val="24"/>
          <w:szCs w:val="24"/>
          <w14:textFill>
            <w14:solidFill>
              <w14:schemeClr w14:val="tx1"/>
            </w14:solidFill>
          </w14:textFill>
        </w:rPr>
      </w:pPr>
    </w:p>
    <w:p>
      <w:pPr>
        <w:pStyle w:val="5"/>
        <w:spacing w:line="500" w:lineRule="exact"/>
        <w:contextualSpacing/>
        <w:rPr>
          <w:rFonts w:ascii="宋体" w:hAnsi="宋体" w:cs="宋体"/>
          <w:color w:val="000000" w:themeColor="text1"/>
          <w:sz w:val="24"/>
          <w:szCs w:val="24"/>
          <w14:textFill>
            <w14:solidFill>
              <w14:schemeClr w14:val="tx1"/>
            </w14:solidFill>
          </w14:textFill>
        </w:rPr>
      </w:pPr>
    </w:p>
    <w:p>
      <w:pPr>
        <w:pStyle w:val="5"/>
        <w:spacing w:line="500" w:lineRule="exact"/>
        <w:contextualSpacing/>
        <w:rPr>
          <w:rFonts w:ascii="宋体" w:hAnsi="宋体" w:cs="宋体"/>
          <w:color w:val="000000" w:themeColor="text1"/>
          <w:sz w:val="24"/>
          <w:szCs w:val="24"/>
          <w14:textFill>
            <w14:solidFill>
              <w14:schemeClr w14:val="tx1"/>
            </w14:solidFill>
          </w14:textFill>
        </w:rPr>
      </w:pPr>
    </w:p>
    <w:p>
      <w:pPr>
        <w:pStyle w:val="9"/>
        <w:spacing w:line="500" w:lineRule="exact"/>
        <w:contextualSpacing/>
        <w:rPr>
          <w:rFonts w:ascii="宋体" w:hAnsi="宋体" w:cs="宋体"/>
          <w:color w:val="000000" w:themeColor="text1"/>
          <w:sz w:val="24"/>
          <w:szCs w:val="24"/>
          <w14:textFill>
            <w14:solidFill>
              <w14:schemeClr w14:val="tx1"/>
            </w14:solidFill>
          </w14:textFill>
        </w:rPr>
      </w:pPr>
    </w:p>
    <w:p>
      <w:pPr>
        <w:pStyle w:val="9"/>
        <w:spacing w:line="500" w:lineRule="exact"/>
        <w:contextualSpacing/>
        <w:rPr>
          <w:rFonts w:ascii="宋体" w:hAnsi="宋体" w:cs="宋体"/>
          <w:color w:val="000000" w:themeColor="text1"/>
          <w:sz w:val="24"/>
          <w:szCs w:val="24"/>
          <w14:textFill>
            <w14:solidFill>
              <w14:schemeClr w14:val="tx1"/>
            </w14:solidFill>
          </w14:textFill>
        </w:rPr>
      </w:pPr>
    </w:p>
    <w:p>
      <w:pPr>
        <w:pStyle w:val="9"/>
        <w:spacing w:line="500" w:lineRule="exact"/>
        <w:contextualSpacing/>
        <w:rPr>
          <w:rFonts w:ascii="宋体" w:hAnsi="宋体" w:cs="宋体"/>
          <w:color w:val="000000" w:themeColor="text1"/>
          <w:sz w:val="24"/>
          <w:szCs w:val="24"/>
          <w14:textFill>
            <w14:solidFill>
              <w14:schemeClr w14:val="tx1"/>
            </w14:solidFill>
          </w14:textFill>
        </w:rPr>
      </w:pPr>
    </w:p>
    <w:p>
      <w:pPr>
        <w:pStyle w:val="9"/>
        <w:spacing w:line="500" w:lineRule="exact"/>
        <w:contextualSpacing/>
        <w:rPr>
          <w:rFonts w:ascii="宋体" w:hAnsi="宋体" w:cs="宋体"/>
          <w:color w:val="000000" w:themeColor="text1"/>
          <w:sz w:val="24"/>
          <w:szCs w:val="24"/>
          <w14:textFill>
            <w14:solidFill>
              <w14:schemeClr w14:val="tx1"/>
            </w14:solidFill>
          </w14:textFill>
        </w:rPr>
      </w:pPr>
    </w:p>
    <w:p>
      <w:pPr>
        <w:pStyle w:val="9"/>
        <w:spacing w:line="500" w:lineRule="exact"/>
        <w:contextualSpacing/>
        <w:rPr>
          <w:rFonts w:ascii="宋体" w:hAnsi="宋体" w:cs="宋体"/>
          <w:color w:val="000000" w:themeColor="text1"/>
          <w:sz w:val="24"/>
          <w:szCs w:val="24"/>
          <w14:textFill>
            <w14:solidFill>
              <w14:schemeClr w14:val="tx1"/>
            </w14:solidFill>
          </w14:textFill>
        </w:rPr>
      </w:pPr>
    </w:p>
    <w:p>
      <w:pPr>
        <w:pStyle w:val="9"/>
        <w:spacing w:line="500" w:lineRule="exact"/>
        <w:contextualSpacing/>
        <w:rPr>
          <w:rFonts w:ascii="宋体" w:hAnsi="宋体" w:cs="宋体"/>
          <w:color w:val="000000" w:themeColor="text1"/>
          <w:sz w:val="24"/>
          <w:szCs w:val="24"/>
          <w14:textFill>
            <w14:solidFill>
              <w14:schemeClr w14:val="tx1"/>
            </w14:solidFill>
          </w14:textFill>
        </w:rPr>
      </w:pPr>
    </w:p>
    <w:p>
      <w:pPr>
        <w:pStyle w:val="9"/>
        <w:spacing w:line="500" w:lineRule="exact"/>
        <w:contextualSpacing/>
        <w:rPr>
          <w:rFonts w:ascii="宋体" w:hAnsi="宋体" w:cs="宋体"/>
          <w:color w:val="000000" w:themeColor="text1"/>
          <w:sz w:val="24"/>
          <w:szCs w:val="24"/>
          <w14:textFill>
            <w14:solidFill>
              <w14:schemeClr w14:val="tx1"/>
            </w14:solidFill>
          </w14:textFill>
        </w:rPr>
      </w:pPr>
    </w:p>
    <w:p>
      <w:pPr>
        <w:pStyle w:val="9"/>
        <w:spacing w:line="500" w:lineRule="exact"/>
        <w:contextualSpacing/>
        <w:rPr>
          <w:rFonts w:ascii="宋体" w:hAnsi="宋体" w:cs="宋体"/>
          <w:color w:val="000000" w:themeColor="text1"/>
          <w:sz w:val="24"/>
          <w:szCs w:val="24"/>
          <w14:textFill>
            <w14:solidFill>
              <w14:schemeClr w14:val="tx1"/>
            </w14:solidFill>
          </w14:textFill>
        </w:rPr>
      </w:pPr>
    </w:p>
    <w:p>
      <w:pPr>
        <w:pStyle w:val="5"/>
        <w:spacing w:line="500" w:lineRule="exact"/>
        <w:contextualSpacing/>
        <w:rPr>
          <w:rFonts w:ascii="宋体" w:hAnsi="宋体" w:cs="宋体"/>
          <w:color w:val="000000" w:themeColor="text1"/>
          <w:sz w:val="24"/>
          <w:szCs w:val="24"/>
          <w14:textFill>
            <w14:solidFill>
              <w14:schemeClr w14:val="tx1"/>
            </w14:solidFill>
          </w14:textFill>
        </w:rPr>
      </w:pPr>
      <w:bookmarkStart w:id="282" w:name="_Toc12691"/>
      <w:bookmarkStart w:id="283" w:name="_Toc21824"/>
      <w:bookmarkStart w:id="284" w:name="_Toc487728239"/>
      <w:r>
        <w:rPr>
          <w:rFonts w:hint="eastAsia" w:ascii="宋体" w:hAnsi="宋体" w:cs="宋体"/>
          <w:color w:val="000000" w:themeColor="text1"/>
          <w:sz w:val="24"/>
          <w:szCs w:val="24"/>
          <w14:textFill>
            <w14:solidFill>
              <w14:schemeClr w14:val="tx1"/>
            </w14:solidFill>
          </w14:textFill>
        </w:rPr>
        <w:t>十九、投标单位（投标人）《反商业贿赂承诺书》</w:t>
      </w:r>
      <w:bookmarkEnd w:id="282"/>
      <w:bookmarkEnd w:id="283"/>
      <w:bookmarkEnd w:id="284"/>
    </w:p>
    <w:p>
      <w:pPr>
        <w:pStyle w:val="17"/>
        <w:spacing w:line="500" w:lineRule="exact"/>
        <w:ind w:firstLine="480" w:firstLineChars="200"/>
        <w:contextualSpacing/>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我公司承诺在</w:t>
      </w:r>
      <w:r>
        <w:rPr>
          <w:rFonts w:hint="eastAsia" w:ascii="宋体" w:hAnsi="宋体" w:cs="宋体"/>
          <w:color w:val="000000" w:themeColor="text1"/>
          <w:sz w:val="24"/>
          <w:szCs w:val="24"/>
          <w:u w:val="single"/>
          <w14:textFill>
            <w14:solidFill>
              <w14:schemeClr w14:val="tx1"/>
            </w14:solidFill>
          </w14:textFill>
        </w:rPr>
        <w:t>（项目名称、项目编号）</w:t>
      </w:r>
      <w:r>
        <w:rPr>
          <w:rFonts w:hint="eastAsia" w:ascii="宋体" w:hAnsi="宋体" w:cs="宋体"/>
          <w:color w:val="000000" w:themeColor="text1"/>
          <w:sz w:val="24"/>
          <w:szCs w:val="24"/>
          <w14:textFill>
            <w14:solidFill>
              <w14:schemeClr w14:val="tx1"/>
            </w14:solidFill>
          </w14:textFill>
        </w:rPr>
        <w:t xml:space="preserve">招标活动中，不给予采购放工作人员以及招标代理机构工作人员及其亲属各种形式的商业贿赂（包括送礼金礼品、有价证券、购物券、回扣、佣金、咨询费、劳务费、赞助费、宣传费、支付旅游费用、报销各种消费凭证、宴请、娱乐等），如有上述行为，我公司及项目参与人员愿意按照《反不正当竞争法》的有关规定接受处罚。 </w:t>
      </w:r>
    </w:p>
    <w:p>
      <w:pPr>
        <w:pStyle w:val="17"/>
        <w:spacing w:line="500" w:lineRule="exact"/>
        <w:ind w:firstLine="480" w:firstLineChars="200"/>
        <w:contextualSpacing/>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公司法人代表：</w:t>
      </w:r>
    </w:p>
    <w:p>
      <w:pPr>
        <w:pStyle w:val="17"/>
        <w:spacing w:line="500" w:lineRule="exact"/>
        <w:ind w:firstLine="480" w:firstLineChars="200"/>
        <w:contextualSpacing/>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法人授权代表：</w:t>
      </w:r>
    </w:p>
    <w:p>
      <w:pPr>
        <w:pStyle w:val="17"/>
        <w:spacing w:line="500" w:lineRule="exact"/>
        <w:ind w:firstLine="480" w:firstLineChars="200"/>
        <w:contextualSpacing/>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日期：    年    月   日</w:t>
      </w:r>
    </w:p>
    <w:p>
      <w:pPr>
        <w:pStyle w:val="9"/>
        <w:spacing w:line="500" w:lineRule="exact"/>
        <w:contextualSpacing/>
        <w:rPr>
          <w:rFonts w:ascii="宋体" w:hAnsi="宋体" w:cs="宋体"/>
          <w:color w:val="000000" w:themeColor="text1"/>
          <w:sz w:val="24"/>
          <w:szCs w:val="24"/>
          <w14:textFill>
            <w14:solidFill>
              <w14:schemeClr w14:val="tx1"/>
            </w14:solidFill>
          </w14:textFill>
        </w:rPr>
      </w:pPr>
    </w:p>
    <w:p>
      <w:pPr>
        <w:pStyle w:val="9"/>
        <w:spacing w:line="500" w:lineRule="exact"/>
        <w:contextualSpacing/>
        <w:rPr>
          <w:rFonts w:ascii="宋体" w:hAnsi="宋体" w:cs="宋体"/>
          <w:color w:val="000000" w:themeColor="text1"/>
          <w:sz w:val="24"/>
          <w:szCs w:val="24"/>
          <w14:textFill>
            <w14:solidFill>
              <w14:schemeClr w14:val="tx1"/>
            </w14:solidFill>
          </w14:textFill>
        </w:rPr>
      </w:pPr>
    </w:p>
    <w:p>
      <w:pPr>
        <w:pStyle w:val="9"/>
        <w:spacing w:line="500" w:lineRule="exact"/>
        <w:contextualSpacing/>
        <w:rPr>
          <w:rFonts w:ascii="宋体" w:hAnsi="宋体" w:cs="宋体"/>
          <w:color w:val="000000" w:themeColor="text1"/>
          <w:sz w:val="24"/>
          <w:szCs w:val="24"/>
          <w14:textFill>
            <w14:solidFill>
              <w14:schemeClr w14:val="tx1"/>
            </w14:solidFill>
          </w14:textFill>
        </w:rPr>
      </w:pPr>
    </w:p>
    <w:p>
      <w:pPr>
        <w:pStyle w:val="9"/>
        <w:spacing w:line="500" w:lineRule="exact"/>
        <w:contextualSpacing/>
        <w:rPr>
          <w:rFonts w:ascii="宋体" w:hAnsi="宋体" w:cs="宋体"/>
          <w:color w:val="000000" w:themeColor="text1"/>
          <w:sz w:val="24"/>
          <w:szCs w:val="24"/>
          <w14:textFill>
            <w14:solidFill>
              <w14:schemeClr w14:val="tx1"/>
            </w14:solidFill>
          </w14:textFill>
        </w:rPr>
      </w:pPr>
    </w:p>
    <w:p>
      <w:pPr>
        <w:pStyle w:val="9"/>
        <w:spacing w:line="500" w:lineRule="exact"/>
        <w:contextualSpacing/>
        <w:rPr>
          <w:rFonts w:ascii="宋体" w:hAnsi="宋体" w:cs="宋体"/>
          <w:color w:val="000000" w:themeColor="text1"/>
          <w:sz w:val="24"/>
          <w:szCs w:val="24"/>
          <w14:textFill>
            <w14:solidFill>
              <w14:schemeClr w14:val="tx1"/>
            </w14:solidFill>
          </w14:textFill>
        </w:rPr>
      </w:pPr>
    </w:p>
    <w:p>
      <w:pPr>
        <w:pStyle w:val="9"/>
        <w:spacing w:line="500" w:lineRule="exact"/>
        <w:contextualSpacing/>
        <w:rPr>
          <w:rFonts w:ascii="宋体" w:hAnsi="宋体" w:cs="宋体"/>
          <w:color w:val="000000" w:themeColor="text1"/>
          <w:sz w:val="24"/>
          <w:szCs w:val="24"/>
          <w14:textFill>
            <w14:solidFill>
              <w14:schemeClr w14:val="tx1"/>
            </w14:solidFill>
          </w14:textFill>
        </w:rPr>
      </w:pPr>
    </w:p>
    <w:p>
      <w:pPr>
        <w:pStyle w:val="9"/>
        <w:spacing w:line="500" w:lineRule="exact"/>
        <w:contextualSpacing/>
        <w:rPr>
          <w:rFonts w:ascii="宋体" w:hAnsi="宋体" w:cs="宋体"/>
          <w:color w:val="000000" w:themeColor="text1"/>
          <w:sz w:val="24"/>
          <w:szCs w:val="24"/>
          <w14:textFill>
            <w14:solidFill>
              <w14:schemeClr w14:val="tx1"/>
            </w14:solidFill>
          </w14:textFill>
        </w:rPr>
      </w:pPr>
    </w:p>
    <w:p>
      <w:pPr>
        <w:pStyle w:val="9"/>
        <w:spacing w:line="500" w:lineRule="exact"/>
        <w:contextualSpacing/>
        <w:rPr>
          <w:rFonts w:ascii="宋体" w:hAnsi="宋体" w:cs="宋体"/>
          <w:color w:val="000000" w:themeColor="text1"/>
          <w:sz w:val="24"/>
          <w:szCs w:val="24"/>
          <w14:textFill>
            <w14:solidFill>
              <w14:schemeClr w14:val="tx1"/>
            </w14:solidFill>
          </w14:textFill>
        </w:rPr>
      </w:pPr>
    </w:p>
    <w:p>
      <w:pPr>
        <w:pStyle w:val="9"/>
        <w:spacing w:line="500" w:lineRule="exact"/>
        <w:contextualSpacing/>
        <w:rPr>
          <w:rFonts w:ascii="宋体" w:hAnsi="宋体" w:cs="宋体"/>
          <w:color w:val="000000" w:themeColor="text1"/>
          <w:sz w:val="24"/>
          <w:szCs w:val="24"/>
          <w14:textFill>
            <w14:solidFill>
              <w14:schemeClr w14:val="tx1"/>
            </w14:solidFill>
          </w14:textFill>
        </w:rPr>
      </w:pPr>
    </w:p>
    <w:p>
      <w:pPr>
        <w:pStyle w:val="9"/>
        <w:spacing w:line="500" w:lineRule="exact"/>
        <w:contextualSpacing/>
        <w:rPr>
          <w:rFonts w:ascii="宋体" w:hAnsi="宋体" w:cs="宋体"/>
          <w:color w:val="000000" w:themeColor="text1"/>
          <w:sz w:val="24"/>
          <w:szCs w:val="24"/>
          <w14:textFill>
            <w14:solidFill>
              <w14:schemeClr w14:val="tx1"/>
            </w14:solidFill>
          </w14:textFill>
        </w:rPr>
      </w:pPr>
    </w:p>
    <w:p>
      <w:pPr>
        <w:pStyle w:val="9"/>
        <w:spacing w:line="500" w:lineRule="exact"/>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br w:type="page"/>
      </w:r>
    </w:p>
    <w:p>
      <w:pPr>
        <w:pStyle w:val="9"/>
        <w:spacing w:line="500" w:lineRule="exact"/>
        <w:ind w:firstLine="0"/>
        <w:contextualSpacing/>
        <w:rPr>
          <w:rFonts w:ascii="宋体" w:hAnsi="宋体" w:cs="宋体"/>
          <w:b/>
          <w:color w:val="000000" w:themeColor="text1"/>
          <w:kern w:val="0"/>
          <w:sz w:val="24"/>
          <w:szCs w:val="24"/>
          <w14:textFill>
            <w14:solidFill>
              <w14:schemeClr w14:val="tx1"/>
            </w14:solidFill>
          </w14:textFill>
        </w:rPr>
      </w:pPr>
    </w:p>
    <w:p>
      <w:pPr>
        <w:pStyle w:val="11"/>
        <w:spacing w:before="62" w:line="500" w:lineRule="exact"/>
        <w:ind w:right="18"/>
        <w:contextualSpacing/>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二十、声明及承诺</w:t>
      </w:r>
    </w:p>
    <w:p>
      <w:pPr>
        <w:pStyle w:val="2"/>
        <w:spacing w:line="500" w:lineRule="exact"/>
        <w:contextualSpacing/>
        <w:rPr>
          <w:rFonts w:ascii="宋体" w:hAnsi="宋体" w:cs="宋体"/>
          <w:b/>
          <w:sz w:val="24"/>
          <w:szCs w:val="24"/>
        </w:rPr>
      </w:pPr>
    </w:p>
    <w:p>
      <w:pPr>
        <w:pStyle w:val="11"/>
        <w:spacing w:line="500" w:lineRule="exact"/>
        <w:ind w:right="18"/>
        <w:contextualSpacing/>
        <w:jc w:val="center"/>
        <w:rPr>
          <w:rFonts w:ascii="宋体" w:hAnsi="宋体" w:cs="宋体"/>
        </w:rPr>
      </w:pPr>
      <w:r>
        <w:rPr>
          <w:rFonts w:hint="eastAsia" w:ascii="宋体" w:hAnsi="宋体" w:cs="宋体"/>
        </w:rPr>
        <w:t>无重大违法记录的声明</w:t>
      </w:r>
    </w:p>
    <w:p>
      <w:pPr>
        <w:pStyle w:val="2"/>
        <w:spacing w:line="500" w:lineRule="exact"/>
        <w:contextualSpacing/>
        <w:rPr>
          <w:rFonts w:ascii="宋体" w:hAnsi="宋体" w:cs="宋体"/>
          <w:b/>
          <w:sz w:val="24"/>
          <w:szCs w:val="24"/>
        </w:rPr>
      </w:pPr>
    </w:p>
    <w:p>
      <w:pPr>
        <w:spacing w:before="233" w:line="500" w:lineRule="exact"/>
        <w:ind w:left="17" w:hanging="16" w:hangingChars="7"/>
        <w:contextualSpacing/>
        <w:rPr>
          <w:rFonts w:ascii="宋体" w:hAnsi="宋体" w:cs="宋体"/>
          <w:sz w:val="24"/>
          <w:szCs w:val="24"/>
        </w:rPr>
      </w:pPr>
      <w:r>
        <w:rPr>
          <w:rFonts w:hint="eastAsia" w:ascii="宋体" w:hAnsi="宋体" w:cs="宋体"/>
          <w:sz w:val="24"/>
          <w:szCs w:val="24"/>
        </w:rPr>
        <w:t>致：</w:t>
      </w:r>
      <w:r>
        <w:rPr>
          <w:rFonts w:hint="eastAsia" w:ascii="宋体" w:hAnsi="宋体" w:cs="宋体"/>
          <w:sz w:val="24"/>
          <w:szCs w:val="24"/>
          <w:u w:val="single"/>
        </w:rPr>
        <w:t xml:space="preserve">（采购人或采购代理机构）    </w:t>
      </w:r>
    </w:p>
    <w:p>
      <w:pPr>
        <w:tabs>
          <w:tab w:val="left" w:pos="2027"/>
          <w:tab w:val="left" w:pos="4774"/>
        </w:tabs>
        <w:spacing w:before="139" w:line="500" w:lineRule="exact"/>
        <w:ind w:right="996" w:firstLine="480" w:firstLineChars="200"/>
        <w:contextualSpacing/>
        <w:rPr>
          <w:rFonts w:ascii="宋体" w:hAnsi="宋体" w:cs="宋体"/>
          <w:sz w:val="24"/>
          <w:szCs w:val="24"/>
        </w:rPr>
      </w:pPr>
      <w:r>
        <w:rPr>
          <w:rFonts w:hint="eastAsia" w:ascii="宋体" w:hAnsi="宋体" w:cs="宋体"/>
          <w:sz w:val="24"/>
          <w:szCs w:val="24"/>
          <w:u w:val="single"/>
        </w:rPr>
        <w:tab/>
      </w:r>
      <w:r>
        <w:rPr>
          <w:rFonts w:hint="eastAsia" w:ascii="宋体" w:hAnsi="宋体" w:cs="宋体"/>
          <w:sz w:val="24"/>
          <w:szCs w:val="24"/>
          <w:u w:val="single"/>
        </w:rPr>
        <w:t>（供应商全称）</w:t>
      </w:r>
      <w:r>
        <w:rPr>
          <w:rFonts w:hint="eastAsia" w:ascii="宋体" w:hAnsi="宋体" w:cs="宋体"/>
          <w:sz w:val="24"/>
          <w:szCs w:val="24"/>
          <w:u w:val="single"/>
        </w:rPr>
        <w:tab/>
      </w:r>
      <w:r>
        <w:rPr>
          <w:rFonts w:hint="eastAsia" w:ascii="宋体" w:hAnsi="宋体" w:cs="宋体"/>
          <w:sz w:val="24"/>
          <w:szCs w:val="24"/>
        </w:rPr>
        <w:t>，参加贵单位组织的交易编号为：，项目名称：的政府</w:t>
      </w:r>
      <w:r>
        <w:rPr>
          <w:rFonts w:hint="eastAsia" w:ascii="宋体" w:hAnsi="宋体" w:cs="宋体"/>
          <w:spacing w:val="-11"/>
          <w:sz w:val="24"/>
          <w:szCs w:val="24"/>
        </w:rPr>
        <w:t>采</w:t>
      </w:r>
      <w:r>
        <w:rPr>
          <w:rFonts w:hint="eastAsia" w:ascii="宋体" w:hAnsi="宋体" w:cs="宋体"/>
          <w:sz w:val="24"/>
          <w:szCs w:val="24"/>
        </w:rPr>
        <w:t>购活动，在此郑重声明：我单位在参加本项目政府采购活动前3年内在经营活动中未因违法经营受到刑事处罚或者责令停产停业、吊销许可证或者执照、较大数额罚款等行政处罚</w:t>
      </w:r>
    </w:p>
    <w:p>
      <w:pPr>
        <w:pStyle w:val="2"/>
        <w:spacing w:line="500" w:lineRule="exact"/>
        <w:ind w:left="480" w:hanging="480" w:hangingChars="200"/>
        <w:contextualSpacing/>
        <w:rPr>
          <w:rFonts w:ascii="宋体" w:hAnsi="宋体" w:cs="宋体"/>
          <w:sz w:val="24"/>
          <w:szCs w:val="24"/>
        </w:rPr>
      </w:pPr>
    </w:p>
    <w:p>
      <w:pPr>
        <w:pStyle w:val="2"/>
        <w:spacing w:line="500" w:lineRule="exact"/>
        <w:ind w:left="17" w:hanging="16" w:hangingChars="7"/>
        <w:contextualSpacing/>
        <w:rPr>
          <w:rFonts w:ascii="宋体" w:hAnsi="宋体" w:cs="宋体"/>
          <w:sz w:val="24"/>
          <w:szCs w:val="24"/>
        </w:rPr>
      </w:pPr>
    </w:p>
    <w:p>
      <w:pPr>
        <w:pStyle w:val="2"/>
        <w:spacing w:before="8" w:line="500" w:lineRule="exact"/>
        <w:ind w:left="17" w:hanging="16" w:hangingChars="7"/>
        <w:contextualSpacing/>
        <w:rPr>
          <w:rFonts w:ascii="宋体" w:hAnsi="宋体" w:cs="宋体"/>
          <w:kern w:val="2"/>
          <w:sz w:val="24"/>
          <w:szCs w:val="24"/>
        </w:rPr>
      </w:pPr>
    </w:p>
    <w:p>
      <w:pPr>
        <w:spacing w:before="1" w:line="500" w:lineRule="exact"/>
        <w:ind w:left="17" w:right="2648" w:rightChars="1261" w:hanging="16" w:hangingChars="7"/>
        <w:contextualSpacing/>
        <w:jc w:val="right"/>
        <w:rPr>
          <w:rFonts w:ascii="宋体" w:hAnsi="宋体" w:cs="宋体"/>
          <w:sz w:val="24"/>
          <w:szCs w:val="24"/>
        </w:rPr>
      </w:pPr>
      <w:r>
        <w:rPr>
          <w:rFonts w:hint="eastAsia" w:ascii="宋体" w:hAnsi="宋体" w:cs="宋体"/>
          <w:sz w:val="24"/>
          <w:szCs w:val="24"/>
        </w:rPr>
        <w:t>投标供应商：（公章）</w:t>
      </w:r>
    </w:p>
    <w:p>
      <w:pPr>
        <w:spacing w:before="138" w:line="500" w:lineRule="exact"/>
        <w:ind w:left="17" w:right="2648" w:rightChars="1261" w:hanging="16" w:hangingChars="7"/>
        <w:contextualSpacing/>
        <w:jc w:val="center"/>
        <w:rPr>
          <w:rFonts w:ascii="宋体" w:hAnsi="宋体" w:cs="宋体"/>
          <w:sz w:val="24"/>
          <w:szCs w:val="24"/>
        </w:rPr>
      </w:pPr>
      <w:r>
        <w:rPr>
          <w:rFonts w:hint="eastAsia" w:ascii="宋体" w:hAnsi="宋体" w:cs="宋体"/>
          <w:color w:val="000000" w:themeColor="text1"/>
          <w:kern w:val="0"/>
          <w:sz w:val="24"/>
          <w:szCs w:val="24"/>
          <w14:textFill>
            <w14:solidFill>
              <w14:schemeClr w14:val="tx1"/>
            </w14:solidFill>
          </w14:textFill>
        </w:rPr>
        <w:t xml:space="preserve">                   日期：    年    月   日</w:t>
      </w:r>
    </w:p>
    <w:p>
      <w:pPr>
        <w:spacing w:line="500" w:lineRule="exact"/>
        <w:contextualSpacing/>
        <w:jc w:val="right"/>
        <w:rPr>
          <w:rFonts w:ascii="宋体" w:hAnsi="宋体" w:cs="宋体"/>
          <w:sz w:val="24"/>
          <w:szCs w:val="24"/>
        </w:rPr>
        <w:sectPr>
          <w:pgSz w:w="11910" w:h="16840"/>
          <w:pgMar w:top="1134" w:right="1134" w:bottom="1134" w:left="1134" w:header="746" w:footer="1130" w:gutter="0"/>
          <w:cols w:space="720" w:num="1"/>
        </w:sectPr>
      </w:pPr>
    </w:p>
    <w:p>
      <w:pPr>
        <w:pStyle w:val="10"/>
        <w:numPr>
          <w:ilvl w:val="0"/>
          <w:numId w:val="0"/>
        </w:numPr>
        <w:spacing w:before="0" w:after="0" w:line="360" w:lineRule="auto"/>
        <w:jc w:val="center"/>
        <w:rPr>
          <w:rFonts w:hint="eastAsia" w:ascii="宋体" w:hAnsi="宋体" w:cs="宋体"/>
          <w:color w:val="000000" w:themeColor="text1"/>
          <w:sz w:val="24"/>
          <w:szCs w:val="24"/>
          <w14:textFill>
            <w14:solidFill>
              <w14:schemeClr w14:val="tx1"/>
            </w14:solidFill>
          </w14:textFill>
        </w:rPr>
      </w:pPr>
      <w:bookmarkStart w:id="285" w:name="_Toc487728241"/>
      <w:bookmarkStart w:id="286" w:name="_Toc12340"/>
      <w:bookmarkStart w:id="287" w:name="_Toc8982"/>
      <w:r>
        <w:rPr>
          <w:rFonts w:hint="eastAsia" w:ascii="仿宋" w:hAnsi="仿宋" w:eastAsia="仿宋" w:cs="仿宋"/>
          <w:color w:val="auto"/>
          <w:highlight w:val="none"/>
          <w:lang w:val="en-US" w:eastAsia="zh-CN"/>
        </w:rPr>
        <w:t>十二、</w:t>
      </w:r>
      <w:r>
        <w:rPr>
          <w:rFonts w:hint="eastAsia" w:ascii="宋体" w:hAnsi="宋体" w:cs="宋体"/>
          <w:color w:val="000000" w:themeColor="text1"/>
          <w:sz w:val="24"/>
          <w:szCs w:val="24"/>
          <w14:textFill>
            <w14:solidFill>
              <w14:schemeClr w14:val="tx1"/>
            </w14:solidFill>
          </w14:textFill>
        </w:rPr>
        <w:t>中小企业声明函（工程、服务）</w:t>
      </w:r>
    </w:p>
    <w:p>
      <w:pPr>
        <w:tabs>
          <w:tab w:val="left" w:pos="2027"/>
          <w:tab w:val="left" w:pos="4774"/>
        </w:tabs>
        <w:spacing w:before="139" w:line="500" w:lineRule="exact"/>
        <w:ind w:right="996" w:firstLine="480" w:firstLineChars="200"/>
        <w:contextualSpacing/>
        <w:rPr>
          <w:rFonts w:hint="eastAsia" w:ascii="宋体" w:hAnsi="宋体" w:cs="宋体"/>
          <w:sz w:val="24"/>
          <w:szCs w:val="24"/>
        </w:rPr>
      </w:pPr>
      <w:r>
        <w:rPr>
          <w:rFonts w:hint="eastAsia" w:ascii="宋体" w:hAnsi="宋体" w:cs="宋体"/>
          <w:sz w:val="24"/>
          <w:szCs w:val="24"/>
        </w:rPr>
        <w:t>本公司（联合体）郑重声明，根据《政府采购促进中小企业发展管理办法》（财库〔2020〕46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pPr>
        <w:tabs>
          <w:tab w:val="left" w:pos="2027"/>
          <w:tab w:val="left" w:pos="4774"/>
        </w:tabs>
        <w:spacing w:before="139" w:line="500" w:lineRule="exact"/>
        <w:ind w:right="996" w:firstLine="480" w:firstLineChars="200"/>
        <w:contextualSpacing/>
        <w:rPr>
          <w:rFonts w:hint="eastAsia" w:ascii="宋体" w:hAnsi="宋体" w:cs="宋体"/>
          <w:sz w:val="24"/>
          <w:szCs w:val="24"/>
        </w:rPr>
      </w:pPr>
      <w:r>
        <w:rPr>
          <w:rFonts w:hint="eastAsia" w:ascii="宋体" w:hAnsi="宋体" w:cs="宋体"/>
          <w:sz w:val="24"/>
          <w:szCs w:val="24"/>
        </w:rPr>
        <w:t>1.（标的名称），属于（采购文件中明确的所属行业）；承建（承接）企业为（企业名称），从业人员  人，营业收入为  万元，资产总额为  万元，属于（中型企业、小型企业、微型企业）；</w:t>
      </w:r>
    </w:p>
    <w:p>
      <w:pPr>
        <w:tabs>
          <w:tab w:val="left" w:pos="2027"/>
          <w:tab w:val="left" w:pos="4774"/>
        </w:tabs>
        <w:spacing w:before="139" w:line="500" w:lineRule="exact"/>
        <w:ind w:right="996" w:firstLine="480" w:firstLineChars="200"/>
        <w:contextualSpacing/>
        <w:rPr>
          <w:rFonts w:hint="eastAsia" w:ascii="宋体" w:hAnsi="宋体" w:cs="宋体"/>
          <w:sz w:val="24"/>
          <w:szCs w:val="24"/>
        </w:rPr>
      </w:pPr>
      <w:r>
        <w:rPr>
          <w:rFonts w:hint="eastAsia" w:ascii="宋体" w:hAnsi="宋体" w:cs="宋体"/>
          <w:sz w:val="24"/>
          <w:szCs w:val="24"/>
        </w:rPr>
        <w:t>2.（标的名称），属于（采购文件中明确的所属行业）；承建（承接）企业为（企业名称），从业人员  人，营业收入为  万元，资产总额为  万元，属于（中型企业、小型企业、微型企业）；</w:t>
      </w:r>
    </w:p>
    <w:p>
      <w:pPr>
        <w:tabs>
          <w:tab w:val="left" w:pos="2027"/>
          <w:tab w:val="left" w:pos="4774"/>
        </w:tabs>
        <w:spacing w:before="139" w:line="500" w:lineRule="exact"/>
        <w:ind w:right="996" w:firstLine="480" w:firstLineChars="200"/>
        <w:contextualSpacing/>
        <w:rPr>
          <w:rFonts w:hint="eastAsia" w:ascii="宋体" w:hAnsi="宋体" w:cs="宋体"/>
          <w:sz w:val="24"/>
          <w:szCs w:val="24"/>
        </w:rPr>
      </w:pPr>
      <w:r>
        <w:rPr>
          <w:rFonts w:hint="eastAsia" w:ascii="宋体" w:hAnsi="宋体" w:cs="宋体"/>
          <w:sz w:val="24"/>
          <w:szCs w:val="24"/>
        </w:rPr>
        <w:t>……</w:t>
      </w:r>
    </w:p>
    <w:p>
      <w:pPr>
        <w:tabs>
          <w:tab w:val="left" w:pos="2027"/>
          <w:tab w:val="left" w:pos="4774"/>
        </w:tabs>
        <w:spacing w:before="139" w:line="500" w:lineRule="exact"/>
        <w:ind w:right="996" w:firstLine="480" w:firstLineChars="200"/>
        <w:contextualSpacing/>
        <w:rPr>
          <w:rFonts w:hint="eastAsia" w:ascii="宋体" w:hAnsi="宋体" w:cs="宋体"/>
          <w:sz w:val="24"/>
          <w:szCs w:val="24"/>
        </w:rPr>
      </w:pPr>
      <w:r>
        <w:rPr>
          <w:rFonts w:hint="eastAsia" w:ascii="宋体" w:hAnsi="宋体" w:cs="宋体"/>
          <w:sz w:val="24"/>
          <w:szCs w:val="24"/>
        </w:rPr>
        <w:t>以上企业，不属于大企业的分支机构，不存在控股股东为大企业的情形，也不存在与大企业的负责人为同一人的情形。</w:t>
      </w:r>
    </w:p>
    <w:p>
      <w:pPr>
        <w:tabs>
          <w:tab w:val="left" w:pos="2027"/>
          <w:tab w:val="left" w:pos="4774"/>
        </w:tabs>
        <w:spacing w:before="139" w:line="500" w:lineRule="exact"/>
        <w:ind w:right="996" w:firstLine="480" w:firstLineChars="200"/>
        <w:contextualSpacing/>
        <w:rPr>
          <w:rFonts w:hint="eastAsia" w:ascii="宋体" w:hAnsi="宋体" w:cs="宋体"/>
          <w:sz w:val="24"/>
          <w:szCs w:val="24"/>
        </w:rPr>
      </w:pPr>
      <w:r>
        <w:rPr>
          <w:rFonts w:hint="eastAsia" w:ascii="宋体" w:hAnsi="宋体" w:cs="宋体"/>
          <w:sz w:val="24"/>
          <w:szCs w:val="24"/>
        </w:rPr>
        <w:t>本企业对上述声明内容的真实性负责。如有虚假，将依法承担相应责任。</w:t>
      </w:r>
    </w:p>
    <w:p>
      <w:pPr>
        <w:tabs>
          <w:tab w:val="left" w:pos="2027"/>
          <w:tab w:val="left" w:pos="4774"/>
        </w:tabs>
        <w:spacing w:before="139" w:line="500" w:lineRule="exact"/>
        <w:ind w:right="996" w:firstLine="480" w:firstLineChars="200"/>
        <w:contextualSpacing/>
        <w:rPr>
          <w:rFonts w:hint="eastAsia" w:ascii="宋体" w:hAnsi="宋体" w:cs="宋体"/>
          <w:sz w:val="24"/>
          <w:szCs w:val="24"/>
          <w:lang w:val="en-US" w:eastAsia="zh-CN"/>
        </w:rPr>
      </w:pPr>
    </w:p>
    <w:p>
      <w:pPr>
        <w:tabs>
          <w:tab w:val="left" w:pos="2027"/>
          <w:tab w:val="left" w:pos="4774"/>
        </w:tabs>
        <w:spacing w:before="139" w:line="500" w:lineRule="exact"/>
        <w:ind w:right="996" w:firstLine="480" w:firstLineChars="200"/>
        <w:contextualSpacing/>
        <w:rPr>
          <w:rFonts w:hint="eastAsia" w:ascii="宋体" w:hAnsi="宋体" w:cs="宋体"/>
          <w:sz w:val="24"/>
          <w:szCs w:val="24"/>
          <w:lang w:val="en-US" w:eastAsia="zh-CN"/>
        </w:rPr>
      </w:pPr>
    </w:p>
    <w:p>
      <w:pPr>
        <w:tabs>
          <w:tab w:val="left" w:pos="2027"/>
          <w:tab w:val="left" w:pos="4774"/>
        </w:tabs>
        <w:spacing w:before="139" w:line="500" w:lineRule="exact"/>
        <w:ind w:right="996" w:firstLine="480" w:firstLineChars="200"/>
        <w:contextualSpacing/>
        <w:rPr>
          <w:rFonts w:hint="eastAsia" w:ascii="宋体" w:hAnsi="宋体" w:cs="宋体"/>
          <w:sz w:val="24"/>
          <w:szCs w:val="24"/>
        </w:rPr>
      </w:pPr>
      <w:r>
        <w:rPr>
          <w:rFonts w:hint="eastAsia" w:ascii="宋体" w:hAnsi="宋体" w:cs="宋体"/>
          <w:sz w:val="24"/>
          <w:szCs w:val="24"/>
          <w:lang w:val="en-US" w:eastAsia="zh-CN"/>
        </w:rPr>
        <w:t xml:space="preserve"> </w:t>
      </w:r>
      <w:r>
        <w:rPr>
          <w:rFonts w:hint="eastAsia" w:ascii="宋体" w:hAnsi="宋体" w:cs="宋体"/>
          <w:sz w:val="24"/>
          <w:szCs w:val="24"/>
        </w:rPr>
        <w:t>企业名称（盖章）：</w:t>
      </w:r>
    </w:p>
    <w:p>
      <w:pPr>
        <w:tabs>
          <w:tab w:val="left" w:pos="2027"/>
          <w:tab w:val="left" w:pos="4774"/>
        </w:tabs>
        <w:spacing w:before="139" w:line="500" w:lineRule="exact"/>
        <w:ind w:right="996" w:firstLine="480" w:firstLineChars="200"/>
        <w:contextualSpacing/>
        <w:rPr>
          <w:rFonts w:hint="eastAsia" w:ascii="宋体" w:hAnsi="宋体" w:cs="宋体"/>
          <w:sz w:val="24"/>
          <w:szCs w:val="24"/>
        </w:rPr>
      </w:pPr>
      <w:r>
        <w:rPr>
          <w:rFonts w:hint="eastAsia" w:ascii="宋体" w:hAnsi="宋体" w:cs="宋体"/>
          <w:sz w:val="24"/>
          <w:szCs w:val="24"/>
          <w:lang w:val="en-US" w:eastAsia="zh-CN"/>
        </w:rPr>
        <w:t xml:space="preserve"> </w:t>
      </w:r>
      <w:r>
        <w:rPr>
          <w:rFonts w:hint="eastAsia" w:ascii="宋体" w:hAnsi="宋体" w:cs="宋体"/>
          <w:sz w:val="24"/>
          <w:szCs w:val="24"/>
        </w:rPr>
        <w:t>日期：</w:t>
      </w:r>
    </w:p>
    <w:p>
      <w:pPr>
        <w:pStyle w:val="5"/>
        <w:spacing w:line="500" w:lineRule="exact"/>
        <w:contextualSpacing/>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其他资料</w:t>
      </w:r>
      <w:bookmarkEnd w:id="285"/>
      <w:bookmarkEnd w:id="286"/>
      <w:bookmarkEnd w:id="287"/>
    </w:p>
    <w:p>
      <w:pPr>
        <w:pStyle w:val="5"/>
        <w:spacing w:line="500" w:lineRule="exact"/>
        <w:contextualSpacing/>
        <w:rPr>
          <w:rFonts w:hint="eastAsia" w:ascii="宋体" w:hAnsi="宋体" w:cs="宋体"/>
          <w:b w:val="0"/>
          <w:bCs/>
          <w:color w:val="000000" w:themeColor="text1"/>
          <w:sz w:val="24"/>
          <w:szCs w:val="24"/>
          <w14:textFill>
            <w14:solidFill>
              <w14:schemeClr w14:val="tx1"/>
            </w14:solidFill>
          </w14:textFill>
        </w:rPr>
      </w:pPr>
      <w:bookmarkStart w:id="288" w:name="_Toc37501991"/>
      <w:bookmarkStart w:id="289" w:name="_Toc23371"/>
      <w:bookmarkStart w:id="290" w:name="_Toc457495584"/>
      <w:bookmarkStart w:id="291" w:name="_Toc487728242"/>
      <w:bookmarkStart w:id="292" w:name="_Toc485399427"/>
      <w:bookmarkStart w:id="293" w:name="_Toc16600"/>
      <w:bookmarkStart w:id="294" w:name="_Toc13717"/>
      <w:bookmarkStart w:id="295" w:name="_Toc2276"/>
      <w:bookmarkStart w:id="296" w:name="_Toc37753832"/>
      <w:r>
        <w:rPr>
          <w:rFonts w:hint="eastAsia" w:ascii="宋体" w:hAnsi="宋体" w:cs="宋体"/>
          <w:b w:val="0"/>
          <w:bCs/>
          <w:color w:val="000000" w:themeColor="text1"/>
          <w:sz w:val="24"/>
          <w:szCs w:val="24"/>
          <w14:textFill>
            <w14:solidFill>
              <w14:schemeClr w14:val="tx1"/>
            </w14:solidFill>
          </w14:textFill>
        </w:rPr>
        <w:t>（招标文件要求提供的其他资料及投标人认为需提供的其他资料）</w:t>
      </w:r>
      <w:bookmarkEnd w:id="288"/>
      <w:bookmarkEnd w:id="289"/>
      <w:bookmarkEnd w:id="290"/>
      <w:bookmarkEnd w:id="291"/>
      <w:bookmarkEnd w:id="292"/>
      <w:bookmarkEnd w:id="293"/>
      <w:bookmarkEnd w:id="294"/>
      <w:bookmarkEnd w:id="295"/>
      <w:bookmarkEnd w:id="296"/>
    </w:p>
    <w:p>
      <w:pPr>
        <w:rPr>
          <w:rFonts w:hint="eastAsia" w:ascii="宋体" w:hAnsi="宋体" w:cs="宋体"/>
          <w:b w:val="0"/>
          <w:bCs/>
          <w:color w:val="000000" w:themeColor="text1"/>
          <w:sz w:val="24"/>
          <w:szCs w:val="24"/>
          <w14:textFill>
            <w14:solidFill>
              <w14:schemeClr w14:val="tx1"/>
            </w14:solidFill>
          </w14:textFill>
        </w:rPr>
      </w:pPr>
    </w:p>
    <w:p>
      <w:pPr>
        <w:pStyle w:val="47"/>
        <w:rPr>
          <w:rFonts w:hint="eastAsia" w:ascii="宋体" w:hAnsi="宋体" w:cs="宋体"/>
          <w:b w:val="0"/>
          <w:bCs/>
          <w:color w:val="000000" w:themeColor="text1"/>
          <w:sz w:val="24"/>
          <w:szCs w:val="24"/>
          <w14:textFill>
            <w14:solidFill>
              <w14:schemeClr w14:val="tx1"/>
            </w14:solidFill>
          </w14:textFill>
        </w:rPr>
      </w:pPr>
    </w:p>
    <w:p>
      <w:pPr>
        <w:pStyle w:val="47"/>
        <w:rPr>
          <w:rFonts w:hint="eastAsia" w:ascii="宋体" w:hAnsi="宋体" w:cs="宋体"/>
          <w:b w:val="0"/>
          <w:bCs/>
          <w:color w:val="000000" w:themeColor="text1"/>
          <w:sz w:val="24"/>
          <w:szCs w:val="24"/>
          <w14:textFill>
            <w14:solidFill>
              <w14:schemeClr w14:val="tx1"/>
            </w14:solidFill>
          </w14:textFill>
        </w:rPr>
      </w:pPr>
    </w:p>
    <w:p>
      <w:pPr>
        <w:pStyle w:val="47"/>
        <w:rPr>
          <w:rFonts w:hint="eastAsia" w:ascii="宋体" w:hAnsi="宋体" w:cs="宋体"/>
          <w:b w:val="0"/>
          <w:bCs/>
          <w:color w:val="000000" w:themeColor="text1"/>
          <w:sz w:val="24"/>
          <w:szCs w:val="24"/>
          <w14:textFill>
            <w14:solidFill>
              <w14:schemeClr w14:val="tx1"/>
            </w14:solidFill>
          </w14:textFill>
        </w:rPr>
      </w:pPr>
    </w:p>
    <w:p>
      <w:pPr>
        <w:pStyle w:val="47"/>
        <w:rPr>
          <w:rFonts w:hint="eastAsia" w:ascii="宋体" w:hAnsi="宋体" w:cs="宋体"/>
          <w:b w:val="0"/>
          <w:bCs/>
          <w:color w:val="000000" w:themeColor="text1"/>
          <w:sz w:val="24"/>
          <w:szCs w:val="24"/>
          <w14:textFill>
            <w14:solidFill>
              <w14:schemeClr w14:val="tx1"/>
            </w14:solidFill>
          </w14:textFill>
        </w:rPr>
      </w:pPr>
    </w:p>
    <w:p>
      <w:pPr>
        <w:pStyle w:val="47"/>
        <w:rPr>
          <w:rFonts w:hint="eastAsia" w:ascii="宋体" w:hAnsi="宋体" w:cs="宋体"/>
          <w:b w:val="0"/>
          <w:bCs/>
          <w:color w:val="000000" w:themeColor="text1"/>
          <w:sz w:val="24"/>
          <w:szCs w:val="24"/>
          <w14:textFill>
            <w14:solidFill>
              <w14:schemeClr w14:val="tx1"/>
            </w14:solidFill>
          </w14:textFill>
        </w:rPr>
      </w:pPr>
    </w:p>
    <w:p>
      <w:pPr>
        <w:pStyle w:val="47"/>
        <w:rPr>
          <w:rFonts w:hint="eastAsia" w:ascii="宋体" w:hAnsi="宋体" w:cs="宋体"/>
          <w:b w:val="0"/>
          <w:bCs/>
          <w:color w:val="000000" w:themeColor="text1"/>
          <w:sz w:val="24"/>
          <w:szCs w:val="24"/>
          <w14:textFill>
            <w14:solidFill>
              <w14:schemeClr w14:val="tx1"/>
            </w14:solidFill>
          </w14:textFill>
        </w:rPr>
      </w:pPr>
    </w:p>
    <w:p>
      <w:pPr>
        <w:pStyle w:val="47"/>
        <w:rPr>
          <w:rFonts w:hint="eastAsia" w:ascii="宋体" w:hAnsi="宋体" w:cs="宋体"/>
          <w:b w:val="0"/>
          <w:bCs/>
          <w:color w:val="000000" w:themeColor="text1"/>
          <w:sz w:val="24"/>
          <w:szCs w:val="24"/>
          <w14:textFill>
            <w14:solidFill>
              <w14:schemeClr w14:val="tx1"/>
            </w14:solidFill>
          </w14:textFill>
        </w:rPr>
      </w:pPr>
    </w:p>
    <w:p>
      <w:pPr>
        <w:pStyle w:val="47"/>
        <w:rPr>
          <w:rFonts w:hint="eastAsia" w:ascii="宋体" w:hAnsi="宋体" w:cs="宋体"/>
          <w:b w:val="0"/>
          <w:bCs/>
          <w:color w:val="000000" w:themeColor="text1"/>
          <w:sz w:val="24"/>
          <w:szCs w:val="24"/>
          <w14:textFill>
            <w14:solidFill>
              <w14:schemeClr w14:val="tx1"/>
            </w14:solidFill>
          </w14:textFill>
        </w:rPr>
      </w:pPr>
    </w:p>
    <w:p>
      <w:pPr>
        <w:pStyle w:val="47"/>
        <w:rPr>
          <w:rFonts w:hint="eastAsia" w:ascii="宋体" w:hAnsi="宋体" w:eastAsia="宋体" w:cs="宋体"/>
          <w:b w:val="0"/>
          <w:bCs/>
          <w:color w:val="000000" w:themeColor="text1"/>
          <w:sz w:val="24"/>
          <w:szCs w:val="24"/>
          <w:lang w:eastAsia="zh-CN"/>
          <w14:textFill>
            <w14:solidFill>
              <w14:schemeClr w14:val="tx1"/>
            </w14:solidFill>
          </w14:textFill>
        </w:rPr>
      </w:pPr>
    </w:p>
    <w:p>
      <w:pPr>
        <w:pStyle w:val="9"/>
        <w:spacing w:line="500" w:lineRule="exact"/>
        <w:contextualSpacing/>
        <w:rPr>
          <w:rFonts w:ascii="宋体" w:hAnsi="宋体" w:cs="宋体"/>
          <w:color w:val="000000" w:themeColor="text1"/>
          <w:sz w:val="24"/>
          <w:szCs w:val="24"/>
          <w14:textFill>
            <w14:solidFill>
              <w14:schemeClr w14:val="tx1"/>
            </w14:solidFill>
          </w14:textFill>
        </w:rPr>
      </w:pPr>
    </w:p>
    <w:p>
      <w:pPr>
        <w:pStyle w:val="9"/>
        <w:spacing w:line="500" w:lineRule="exact"/>
        <w:contextualSpacing/>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drawing>
          <wp:anchor distT="0" distB="0" distL="114300" distR="114300" simplePos="0" relativeHeight="251663360" behindDoc="1" locked="0" layoutInCell="1" allowOverlap="1">
            <wp:simplePos x="0" y="0"/>
            <wp:positionH relativeFrom="column">
              <wp:posOffset>-692150</wp:posOffset>
            </wp:positionH>
            <wp:positionV relativeFrom="paragraph">
              <wp:posOffset>2613660</wp:posOffset>
            </wp:positionV>
            <wp:extent cx="8248015" cy="3227705"/>
            <wp:effectExtent l="0" t="0" r="10795" b="635"/>
            <wp:wrapNone/>
            <wp:docPr id="6" name="图片 6" descr="b830f6794dc0449d40b5a31f4ba4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b830f6794dc0449d40b5a31f4ba4027"/>
                    <pic:cNvPicPr>
                      <a:picLocks noChangeAspect="1"/>
                    </pic:cNvPicPr>
                  </pic:nvPicPr>
                  <pic:blipFill>
                    <a:blip r:embed="rId10"/>
                    <a:stretch>
                      <a:fillRect/>
                    </a:stretch>
                  </pic:blipFill>
                  <pic:spPr>
                    <a:xfrm rot="16200000">
                      <a:off x="0" y="0"/>
                      <a:ext cx="8248015" cy="3227705"/>
                    </a:xfrm>
                    <a:prstGeom prst="rect">
                      <a:avLst/>
                    </a:prstGeom>
                  </pic:spPr>
                </pic:pic>
              </a:graphicData>
            </a:graphic>
          </wp:anchor>
        </w:drawing>
      </w:r>
    </w:p>
    <w:sectPr>
      <w:pgSz w:w="11906" w:h="16838"/>
      <w:pgMar w:top="1134" w:right="1134" w:bottom="1134" w:left="1134" w:header="851" w:footer="851" w:gutter="0"/>
      <w:cols w:space="425"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Consolas">
    <w:panose1 w:val="020B0609020204030204"/>
    <w:charset w:val="00"/>
    <w:family w:val="modern"/>
    <w:pitch w:val="default"/>
    <w:sig w:usb0="E00006FF" w:usb1="0000FCFF" w:usb2="00000001" w:usb3="00000000" w:csb0="6000019F" w:csb1="DFD7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tabs>
        <w:tab w:val="left" w:pos="5670"/>
      </w:tabs>
    </w:pPr>
    <w: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6"/>
                          </w:pPr>
                          <w:r>
                            <w:fldChar w:fldCharType="begin"/>
                          </w:r>
                          <w:r>
                            <w:instrText xml:space="preserve"> PAGE  \* MERGEFORMAT </w:instrText>
                          </w:r>
                          <w:r>
                            <w:fldChar w:fldCharType="separate"/>
                          </w:r>
                          <w:r>
                            <w:t>24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kX1r85AgAAcQQAAA4AAABkcnMvZTJvRG9jLnhtbK1UzY7TMBC+I/EO&#10;lu80bVes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DkX1r85AgAAcQQAAA4AAAAAAAAAAQAgAAAAHwEAAGRycy9lMm9Eb2Mu&#10;eG1sUEsFBgAAAAAGAAYAWQEAAMoFAAAAAA==&#10;">
              <v:fill on="f" focussize="0,0"/>
              <v:stroke on="f" weight="0.5pt"/>
              <v:imagedata o:title=""/>
              <o:lock v:ext="edit" aspectratio="f"/>
              <v:textbox inset="0mm,0mm,0mm,0mm" style="mso-fit-shape-to-text:t;">
                <w:txbxContent>
                  <w:p>
                    <w:pPr>
                      <w:pStyle w:val="26"/>
                    </w:pPr>
                    <w:r>
                      <w:fldChar w:fldCharType="begin"/>
                    </w:r>
                    <w:r>
                      <w:instrText xml:space="preserve"> PAGE  \* MERGEFORMAT </w:instrText>
                    </w:r>
                    <w:r>
                      <w:fldChar w:fldCharType="separate"/>
                    </w:r>
                    <w:r>
                      <w:t>24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center"/>
    </w:pPr>
    <w: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6"/>
                          </w:pPr>
                          <w:r>
                            <w:fldChar w:fldCharType="begin"/>
                          </w:r>
                          <w:r>
                            <w:instrText xml:space="preserve"> PAGE  \* MERGEFORMAT </w:instrText>
                          </w:r>
                          <w:r>
                            <w:fldChar w:fldCharType="separate"/>
                          </w:r>
                          <w:r>
                            <w:t>60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8PUr45AgAAcQQAAA4AAABkcnMvZTJvRG9jLnhtbK1UzY7TMBC+I/EO&#10;lu80aYFV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J8PUr45AgAAcQQAAA4AAAAAAAAAAQAgAAAAHwEAAGRycy9lMm9Eb2Mu&#10;eG1sUEsFBgAAAAAGAAYAWQEAAMoFAAAAAA==&#10;">
              <v:fill on="f" focussize="0,0"/>
              <v:stroke on="f" weight="0.5pt"/>
              <v:imagedata o:title=""/>
              <o:lock v:ext="edit" aspectratio="f"/>
              <v:textbox inset="0mm,0mm,0mm,0mm" style="mso-fit-shape-to-text:t;">
                <w:txbxContent>
                  <w:p>
                    <w:pPr>
                      <w:pStyle w:val="26"/>
                    </w:pPr>
                    <w:r>
                      <w:fldChar w:fldCharType="begin"/>
                    </w:r>
                    <w:r>
                      <w:instrText xml:space="preserve"> PAGE  \* MERGEFORMAT </w:instrText>
                    </w:r>
                    <w:r>
                      <w:fldChar w:fldCharType="separate"/>
                    </w:r>
                    <w:r>
                      <w:t>60</w:t>
                    </w:r>
                    <w:r>
                      <w:fldChar w:fldCharType="end"/>
                    </w:r>
                  </w:p>
                </w:txbxContent>
              </v:textbox>
            </v:shape>
          </w:pict>
        </mc:Fallback>
      </mc:AlternateContent>
    </w:r>
  </w:p>
  <w:p>
    <w:pPr>
      <w:pStyle w:val="2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tabs>
        <w:tab w:val="left" w:pos="5670"/>
      </w:tabs>
    </w:pPr>
    <w:r>
      <mc:AlternateContent>
        <mc:Choice Requires="wps">
          <w:drawing>
            <wp:anchor distT="0" distB="0" distL="114300" distR="114300" simplePos="0" relativeHeight="251662336" behindDoc="0" locked="0" layoutInCell="1" allowOverlap="1">
              <wp:simplePos x="0" y="0"/>
              <wp:positionH relativeFrom="margin">
                <wp:align>right</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6"/>
                          </w:pPr>
                          <w:r>
                            <w:fldChar w:fldCharType="begin"/>
                          </w:r>
                          <w:r>
                            <w:instrText xml:space="preserve"> PAGE  \* MERGEFORMAT </w:instrText>
                          </w:r>
                          <w:r>
                            <w:fldChar w:fldCharType="separate"/>
                          </w:r>
                          <w:r>
                            <w:t>58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69GPs5AgAAcQQAAA4AAABkcnMvZTJvRG9jLnhtbK1UzY7TMBC+I/EO&#10;lu80bdGu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L69GPs5AgAAcQQAAA4AAAAAAAAAAQAgAAAAHwEAAGRycy9lMm9Eb2Mu&#10;eG1sUEsFBgAAAAAGAAYAWQEAAMoFAAAAAA==&#10;">
              <v:fill on="f" focussize="0,0"/>
              <v:stroke on="f" weight="0.5pt"/>
              <v:imagedata o:title=""/>
              <o:lock v:ext="edit" aspectratio="f"/>
              <v:textbox inset="0mm,0mm,0mm,0mm" style="mso-fit-shape-to-text:t;">
                <w:txbxContent>
                  <w:p>
                    <w:pPr>
                      <w:pStyle w:val="26"/>
                    </w:pPr>
                    <w:r>
                      <w:fldChar w:fldCharType="begin"/>
                    </w:r>
                    <w:r>
                      <w:instrText xml:space="preserve"> PAGE  \* MERGEFORMAT </w:instrText>
                    </w:r>
                    <w:r>
                      <w:fldChar w:fldCharType="separate"/>
                    </w:r>
                    <w:r>
                      <w:t>58</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both"/>
    </w:pPr>
    <w:r>
      <mc:AlternateContent>
        <mc:Choice Requires="wps">
          <w:drawing>
            <wp:anchor distT="0" distB="0" distL="114300" distR="114300" simplePos="0" relativeHeight="251663360" behindDoc="0" locked="0" layoutInCell="1" allowOverlap="1">
              <wp:simplePos x="0" y="0"/>
              <wp:positionH relativeFrom="margin">
                <wp:align>right</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6"/>
                          </w:pPr>
                          <w:r>
                            <w:fldChar w:fldCharType="begin"/>
                          </w:r>
                          <w:r>
                            <w:instrText xml:space="preserve"> PAGE  \* MERGEFORMAT </w:instrText>
                          </w:r>
                          <w:r>
                            <w:fldChar w:fldCharType="separate"/>
                          </w:r>
                          <w:r>
                            <w:t>62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1rxzQ4AgAAcQ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3WvHNDgCAABxBAAADgAAAAAAAAABACAAAAAfAQAAZHJzL2Uyb0RvYy54&#10;bWxQSwUGAAAAAAYABgBZAQAAyQUAAAAA&#10;">
              <v:fill on="f" focussize="0,0"/>
              <v:stroke on="f" weight="0.5pt"/>
              <v:imagedata o:title=""/>
              <o:lock v:ext="edit" aspectratio="f"/>
              <v:textbox inset="0mm,0mm,0mm,0mm" style="mso-fit-shape-to-text:t;">
                <w:txbxContent>
                  <w:p>
                    <w:pPr>
                      <w:pStyle w:val="26"/>
                    </w:pPr>
                    <w:r>
                      <w:fldChar w:fldCharType="begin"/>
                    </w:r>
                    <w:r>
                      <w:instrText xml:space="preserve"> PAGE  \* MERGEFORMAT </w:instrText>
                    </w:r>
                    <w:r>
                      <w:fldChar w:fldCharType="separate"/>
                    </w:r>
                    <w:r>
                      <w:t>62</w:t>
                    </w:r>
                    <w:r>
                      <w:fldChar w:fldCharType="end"/>
                    </w:r>
                  </w:p>
                </w:txbxContent>
              </v:textbox>
            </v:shape>
          </w:pict>
        </mc:Fallback>
      </mc:AlternateContent>
    </w:r>
  </w:p>
  <w:p>
    <w:pPr>
      <w:pStyle w:val="2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Bdr>
        <w:bottom w:val="none" w:color="auto" w:sz="0" w:space="1"/>
      </w:pBdr>
      <w:jc w:val="left"/>
      <w:rPr>
        <w:b/>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BDADF9"/>
    <w:multiLevelType w:val="singleLevel"/>
    <w:tmpl w:val="9FBDADF9"/>
    <w:lvl w:ilvl="0" w:tentative="0">
      <w:start w:val="3"/>
      <w:numFmt w:val="chineseCounting"/>
      <w:suff w:val="space"/>
      <w:lvlText w:val="第%1章"/>
      <w:lvlJc w:val="left"/>
      <w:rPr>
        <w:rFonts w:hint="eastAsia"/>
      </w:rPr>
    </w:lvl>
  </w:abstractNum>
  <w:abstractNum w:abstractNumId="1">
    <w:nsid w:val="0000000C"/>
    <w:multiLevelType w:val="multilevel"/>
    <w:tmpl w:val="0000000C"/>
    <w:lvl w:ilvl="0" w:tentative="0">
      <w:start w:val="1"/>
      <w:numFmt w:val="decimal"/>
      <w:lvlText w:val="（%1）"/>
      <w:lvlJc w:val="left"/>
      <w:pPr>
        <w:tabs>
          <w:tab w:val="left" w:pos="1200"/>
        </w:tabs>
        <w:ind w:left="1200" w:hanging="7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000000D"/>
    <w:multiLevelType w:val="multilevel"/>
    <w:tmpl w:val="0000000D"/>
    <w:lvl w:ilvl="0" w:tentative="0">
      <w:start w:val="1"/>
      <w:numFmt w:val="decimal"/>
      <w:lvlText w:val="（%1）"/>
      <w:lvlJc w:val="left"/>
      <w:pPr>
        <w:tabs>
          <w:tab w:val="left" w:pos="1260"/>
        </w:tabs>
        <w:ind w:left="1260" w:hanging="720"/>
      </w:pPr>
    </w:lvl>
    <w:lvl w:ilvl="1" w:tentative="0">
      <w:start w:val="1"/>
      <w:numFmt w:val="lowerLetter"/>
      <w:lvlText w:val="%2)"/>
      <w:lvlJc w:val="left"/>
      <w:pPr>
        <w:tabs>
          <w:tab w:val="left" w:pos="900"/>
        </w:tabs>
        <w:ind w:left="900" w:hanging="420"/>
      </w:pPr>
    </w:lvl>
    <w:lvl w:ilvl="2" w:tentative="0">
      <w:start w:val="1"/>
      <w:numFmt w:val="lowerRoman"/>
      <w:lvlText w:val="%3."/>
      <w:lvlJc w:val="right"/>
      <w:pPr>
        <w:tabs>
          <w:tab w:val="left" w:pos="1320"/>
        </w:tabs>
        <w:ind w:left="1320" w:hanging="420"/>
      </w:pPr>
    </w:lvl>
    <w:lvl w:ilvl="3" w:tentative="0">
      <w:start w:val="1"/>
      <w:numFmt w:val="decimal"/>
      <w:lvlText w:val="%4."/>
      <w:lvlJc w:val="left"/>
      <w:pPr>
        <w:tabs>
          <w:tab w:val="left" w:pos="1740"/>
        </w:tabs>
        <w:ind w:left="1740" w:hanging="420"/>
      </w:pPr>
    </w:lvl>
    <w:lvl w:ilvl="4" w:tentative="0">
      <w:start w:val="1"/>
      <w:numFmt w:val="lowerLetter"/>
      <w:lvlText w:val="%5)"/>
      <w:lvlJc w:val="left"/>
      <w:pPr>
        <w:tabs>
          <w:tab w:val="left" w:pos="2160"/>
        </w:tabs>
        <w:ind w:left="2160" w:hanging="420"/>
      </w:pPr>
    </w:lvl>
    <w:lvl w:ilvl="5" w:tentative="0">
      <w:start w:val="1"/>
      <w:numFmt w:val="lowerRoman"/>
      <w:lvlText w:val="%6."/>
      <w:lvlJc w:val="right"/>
      <w:pPr>
        <w:tabs>
          <w:tab w:val="left" w:pos="2580"/>
        </w:tabs>
        <w:ind w:left="2580" w:hanging="420"/>
      </w:pPr>
    </w:lvl>
    <w:lvl w:ilvl="6" w:tentative="0">
      <w:start w:val="1"/>
      <w:numFmt w:val="decimal"/>
      <w:lvlText w:val="%7."/>
      <w:lvlJc w:val="left"/>
      <w:pPr>
        <w:tabs>
          <w:tab w:val="left" w:pos="3000"/>
        </w:tabs>
        <w:ind w:left="3000" w:hanging="420"/>
      </w:pPr>
    </w:lvl>
    <w:lvl w:ilvl="7" w:tentative="0">
      <w:start w:val="1"/>
      <w:numFmt w:val="lowerLetter"/>
      <w:lvlText w:val="%8)"/>
      <w:lvlJc w:val="left"/>
      <w:pPr>
        <w:tabs>
          <w:tab w:val="left" w:pos="3420"/>
        </w:tabs>
        <w:ind w:left="3420" w:hanging="420"/>
      </w:pPr>
    </w:lvl>
    <w:lvl w:ilvl="8" w:tentative="0">
      <w:start w:val="1"/>
      <w:numFmt w:val="lowerRoman"/>
      <w:lvlText w:val="%9."/>
      <w:lvlJc w:val="right"/>
      <w:pPr>
        <w:tabs>
          <w:tab w:val="left" w:pos="3840"/>
        </w:tabs>
        <w:ind w:left="3840" w:hanging="420"/>
      </w:pPr>
    </w:lvl>
  </w:abstractNum>
  <w:abstractNum w:abstractNumId="3">
    <w:nsid w:val="177BD762"/>
    <w:multiLevelType w:val="singleLevel"/>
    <w:tmpl w:val="177BD762"/>
    <w:lvl w:ilvl="0" w:tentative="0">
      <w:start w:val="1"/>
      <w:numFmt w:val="decimal"/>
      <w:suff w:val="nothing"/>
      <w:lvlText w:val="%1、"/>
      <w:lvlJc w:val="left"/>
      <w:pPr>
        <w:ind w:left="-8"/>
      </w:pPr>
    </w:lvl>
  </w:abstractNum>
  <w:abstractNum w:abstractNumId="4">
    <w:nsid w:val="1F0EE608"/>
    <w:multiLevelType w:val="singleLevel"/>
    <w:tmpl w:val="1F0EE608"/>
    <w:lvl w:ilvl="0" w:tentative="0">
      <w:start w:val="1"/>
      <w:numFmt w:val="decimal"/>
      <w:suff w:val="nothing"/>
      <w:lvlText w:val="%1、"/>
      <w:lvlJc w:val="left"/>
    </w:lvl>
  </w:abstractNum>
  <w:abstractNum w:abstractNumId="5">
    <w:nsid w:val="32714F5E"/>
    <w:multiLevelType w:val="multilevel"/>
    <w:tmpl w:val="32714F5E"/>
    <w:lvl w:ilvl="0" w:tentative="0">
      <w:start w:val="1"/>
      <w:numFmt w:val="chineseCountingThousand"/>
      <w:suff w:val="nothing"/>
      <w:lvlText w:val="第%1章"/>
      <w:lvlJc w:val="left"/>
      <w:rPr>
        <w:rFonts w:hint="eastAsia" w:ascii="仿宋_GB2312" w:eastAsia="仿宋_GB2312" w:cs="Times New Roman"/>
        <w:sz w:val="44"/>
      </w:rPr>
    </w:lvl>
    <w:lvl w:ilvl="1" w:tentative="0">
      <w:start w:val="1"/>
      <w:numFmt w:val="none"/>
      <w:suff w:val="nothing"/>
      <w:lvlText w:val=""/>
      <w:lvlJc w:val="left"/>
      <w:rPr>
        <w:rFonts w:cs="Times New Roman"/>
      </w:rPr>
    </w:lvl>
    <w:lvl w:ilvl="2" w:tentative="0">
      <w:start w:val="1"/>
      <w:numFmt w:val="none"/>
      <w:suff w:val="nothing"/>
      <w:lvlText w:val=""/>
      <w:lvlJc w:val="left"/>
      <w:rPr>
        <w:rFonts w:cs="Times New Roman"/>
      </w:rPr>
    </w:lvl>
    <w:lvl w:ilvl="3" w:tentative="0">
      <w:start w:val="1"/>
      <w:numFmt w:val="none"/>
      <w:suff w:val="nothing"/>
      <w:lvlText w:val=""/>
      <w:lvlJc w:val="left"/>
      <w:rPr>
        <w:rFonts w:cs="Times New Roman"/>
      </w:rPr>
    </w:lvl>
    <w:lvl w:ilvl="4" w:tentative="0">
      <w:start w:val="1"/>
      <w:numFmt w:val="none"/>
      <w:pStyle w:val="8"/>
      <w:suff w:val="nothing"/>
      <w:lvlText w:val=""/>
      <w:lvlJc w:val="left"/>
      <w:rPr>
        <w:rFonts w:cs="Times New Roman"/>
      </w:rPr>
    </w:lvl>
    <w:lvl w:ilvl="5" w:tentative="0">
      <w:start w:val="1"/>
      <w:numFmt w:val="none"/>
      <w:pStyle w:val="10"/>
      <w:suff w:val="nothing"/>
      <w:lvlText w:val=""/>
      <w:lvlJc w:val="left"/>
      <w:rPr>
        <w:rFonts w:cs="Times New Roman"/>
      </w:rPr>
    </w:lvl>
    <w:lvl w:ilvl="6" w:tentative="0">
      <w:start w:val="1"/>
      <w:numFmt w:val="none"/>
      <w:pStyle w:val="11"/>
      <w:suff w:val="nothing"/>
      <w:lvlText w:val=""/>
      <w:lvlJc w:val="left"/>
      <w:rPr>
        <w:rFonts w:cs="Times New Roman"/>
      </w:rPr>
    </w:lvl>
    <w:lvl w:ilvl="7" w:tentative="0">
      <w:start w:val="1"/>
      <w:numFmt w:val="none"/>
      <w:pStyle w:val="12"/>
      <w:suff w:val="nothing"/>
      <w:lvlText w:val=""/>
      <w:lvlJc w:val="left"/>
      <w:rPr>
        <w:rFonts w:cs="Times New Roman"/>
      </w:rPr>
    </w:lvl>
    <w:lvl w:ilvl="8" w:tentative="0">
      <w:start w:val="1"/>
      <w:numFmt w:val="none"/>
      <w:pStyle w:val="13"/>
      <w:suff w:val="nothing"/>
      <w:lvlText w:val=""/>
      <w:lvlJc w:val="left"/>
      <w:rPr>
        <w:rFonts w:cs="Times New Roman"/>
      </w:rPr>
    </w:lvl>
  </w:abstractNum>
  <w:num w:numId="1">
    <w:abstractNumId w:val="5"/>
  </w:num>
  <w:num w:numId="2">
    <w:abstractNumId w:val="4"/>
  </w:num>
  <w:num w:numId="3">
    <w:abstractNumId w:val="3"/>
  </w:num>
  <w:num w:numId="4">
    <w:abstractNumId w:val="0"/>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doNotTrackMoves/>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I5ZDZiMmIzMWFmNTgwNmMxZTVlMDhjZWM2YmMwYzAifQ=="/>
  </w:docVars>
  <w:rsids>
    <w:rsidRoot w:val="00F557ED"/>
    <w:rsid w:val="00000D6E"/>
    <w:rsid w:val="00003AAA"/>
    <w:rsid w:val="000067D7"/>
    <w:rsid w:val="00006D7B"/>
    <w:rsid w:val="00007894"/>
    <w:rsid w:val="00007D56"/>
    <w:rsid w:val="000109BE"/>
    <w:rsid w:val="00011217"/>
    <w:rsid w:val="00011240"/>
    <w:rsid w:val="00012946"/>
    <w:rsid w:val="00012ED9"/>
    <w:rsid w:val="00013AAB"/>
    <w:rsid w:val="000161BA"/>
    <w:rsid w:val="00016FD0"/>
    <w:rsid w:val="00021393"/>
    <w:rsid w:val="00021527"/>
    <w:rsid w:val="0002152C"/>
    <w:rsid w:val="000225A3"/>
    <w:rsid w:val="0002402F"/>
    <w:rsid w:val="000255C2"/>
    <w:rsid w:val="00025CC2"/>
    <w:rsid w:val="000302E7"/>
    <w:rsid w:val="00030319"/>
    <w:rsid w:val="0003088C"/>
    <w:rsid w:val="00031BA6"/>
    <w:rsid w:val="00032A85"/>
    <w:rsid w:val="00042329"/>
    <w:rsid w:val="00042B92"/>
    <w:rsid w:val="00043A35"/>
    <w:rsid w:val="00043C8F"/>
    <w:rsid w:val="00044C45"/>
    <w:rsid w:val="00044FB7"/>
    <w:rsid w:val="00045990"/>
    <w:rsid w:val="00045AB8"/>
    <w:rsid w:val="00045BA2"/>
    <w:rsid w:val="0005188B"/>
    <w:rsid w:val="000522E2"/>
    <w:rsid w:val="00052811"/>
    <w:rsid w:val="0005352A"/>
    <w:rsid w:val="00053B0E"/>
    <w:rsid w:val="00053D25"/>
    <w:rsid w:val="000554F2"/>
    <w:rsid w:val="00055900"/>
    <w:rsid w:val="000614C6"/>
    <w:rsid w:val="00063CF6"/>
    <w:rsid w:val="000642DE"/>
    <w:rsid w:val="00064EF7"/>
    <w:rsid w:val="0006519A"/>
    <w:rsid w:val="000654A9"/>
    <w:rsid w:val="000663B1"/>
    <w:rsid w:val="00067155"/>
    <w:rsid w:val="00071643"/>
    <w:rsid w:val="000740F1"/>
    <w:rsid w:val="000741DC"/>
    <w:rsid w:val="00075614"/>
    <w:rsid w:val="000778F8"/>
    <w:rsid w:val="0008069D"/>
    <w:rsid w:val="00080953"/>
    <w:rsid w:val="00081873"/>
    <w:rsid w:val="000823C4"/>
    <w:rsid w:val="00083F66"/>
    <w:rsid w:val="0008441B"/>
    <w:rsid w:val="00085E9C"/>
    <w:rsid w:val="00086D48"/>
    <w:rsid w:val="0008742D"/>
    <w:rsid w:val="00090591"/>
    <w:rsid w:val="00091649"/>
    <w:rsid w:val="00092144"/>
    <w:rsid w:val="000938FC"/>
    <w:rsid w:val="00093B19"/>
    <w:rsid w:val="00096AFB"/>
    <w:rsid w:val="00096C3B"/>
    <w:rsid w:val="000A2E8B"/>
    <w:rsid w:val="000A33EC"/>
    <w:rsid w:val="000A5208"/>
    <w:rsid w:val="000A6D58"/>
    <w:rsid w:val="000A6F32"/>
    <w:rsid w:val="000A7BCD"/>
    <w:rsid w:val="000B0EEA"/>
    <w:rsid w:val="000B177D"/>
    <w:rsid w:val="000B30D5"/>
    <w:rsid w:val="000B362F"/>
    <w:rsid w:val="000B50B4"/>
    <w:rsid w:val="000B76A5"/>
    <w:rsid w:val="000C2A0E"/>
    <w:rsid w:val="000C2A4B"/>
    <w:rsid w:val="000C3D97"/>
    <w:rsid w:val="000C47AB"/>
    <w:rsid w:val="000C5688"/>
    <w:rsid w:val="000C5C5B"/>
    <w:rsid w:val="000C6724"/>
    <w:rsid w:val="000D10AC"/>
    <w:rsid w:val="000D2972"/>
    <w:rsid w:val="000D34FF"/>
    <w:rsid w:val="000D5186"/>
    <w:rsid w:val="000D622D"/>
    <w:rsid w:val="000D6921"/>
    <w:rsid w:val="000D7B35"/>
    <w:rsid w:val="000E2C9D"/>
    <w:rsid w:val="000E349F"/>
    <w:rsid w:val="000E5DA9"/>
    <w:rsid w:val="000E739E"/>
    <w:rsid w:val="000F002F"/>
    <w:rsid w:val="000F0049"/>
    <w:rsid w:val="000F097C"/>
    <w:rsid w:val="000F0BCF"/>
    <w:rsid w:val="000F0D2F"/>
    <w:rsid w:val="000F0EEF"/>
    <w:rsid w:val="000F0FE8"/>
    <w:rsid w:val="000F3C37"/>
    <w:rsid w:val="000F68CF"/>
    <w:rsid w:val="00100667"/>
    <w:rsid w:val="0010068B"/>
    <w:rsid w:val="00100AAA"/>
    <w:rsid w:val="00101128"/>
    <w:rsid w:val="001018F5"/>
    <w:rsid w:val="001028E4"/>
    <w:rsid w:val="00102B65"/>
    <w:rsid w:val="00102E73"/>
    <w:rsid w:val="001046FD"/>
    <w:rsid w:val="00105C06"/>
    <w:rsid w:val="00106252"/>
    <w:rsid w:val="001070A7"/>
    <w:rsid w:val="0010760C"/>
    <w:rsid w:val="00107E71"/>
    <w:rsid w:val="00111110"/>
    <w:rsid w:val="00112B08"/>
    <w:rsid w:val="00112E11"/>
    <w:rsid w:val="001135D5"/>
    <w:rsid w:val="001139D1"/>
    <w:rsid w:val="001141E3"/>
    <w:rsid w:val="001143FD"/>
    <w:rsid w:val="00115915"/>
    <w:rsid w:val="00117258"/>
    <w:rsid w:val="00117DDF"/>
    <w:rsid w:val="00121606"/>
    <w:rsid w:val="00121D03"/>
    <w:rsid w:val="001224E8"/>
    <w:rsid w:val="00122537"/>
    <w:rsid w:val="00122721"/>
    <w:rsid w:val="00122B21"/>
    <w:rsid w:val="00122D33"/>
    <w:rsid w:val="0012452F"/>
    <w:rsid w:val="00127630"/>
    <w:rsid w:val="00127E6A"/>
    <w:rsid w:val="00130DAE"/>
    <w:rsid w:val="00132A04"/>
    <w:rsid w:val="00134A11"/>
    <w:rsid w:val="001352D0"/>
    <w:rsid w:val="00135A5C"/>
    <w:rsid w:val="0013673B"/>
    <w:rsid w:val="00136D6D"/>
    <w:rsid w:val="00136DAA"/>
    <w:rsid w:val="00137840"/>
    <w:rsid w:val="00140D7C"/>
    <w:rsid w:val="00141F68"/>
    <w:rsid w:val="00143489"/>
    <w:rsid w:val="00145031"/>
    <w:rsid w:val="0014561B"/>
    <w:rsid w:val="0014596E"/>
    <w:rsid w:val="001504EE"/>
    <w:rsid w:val="001512AA"/>
    <w:rsid w:val="00151B20"/>
    <w:rsid w:val="001523ED"/>
    <w:rsid w:val="00152EE0"/>
    <w:rsid w:val="00156E25"/>
    <w:rsid w:val="00157499"/>
    <w:rsid w:val="001624EC"/>
    <w:rsid w:val="00163AC8"/>
    <w:rsid w:val="00163EB6"/>
    <w:rsid w:val="00164DDE"/>
    <w:rsid w:val="0016523C"/>
    <w:rsid w:val="001666DE"/>
    <w:rsid w:val="00166C46"/>
    <w:rsid w:val="001726C2"/>
    <w:rsid w:val="00173AE1"/>
    <w:rsid w:val="001744B6"/>
    <w:rsid w:val="00174FBD"/>
    <w:rsid w:val="00175C14"/>
    <w:rsid w:val="001764AB"/>
    <w:rsid w:val="001772D0"/>
    <w:rsid w:val="00180156"/>
    <w:rsid w:val="001804A9"/>
    <w:rsid w:val="0018083F"/>
    <w:rsid w:val="00184129"/>
    <w:rsid w:val="0018551F"/>
    <w:rsid w:val="001870E4"/>
    <w:rsid w:val="0018757D"/>
    <w:rsid w:val="001903FF"/>
    <w:rsid w:val="00193F6C"/>
    <w:rsid w:val="001941E6"/>
    <w:rsid w:val="001958B9"/>
    <w:rsid w:val="001961DE"/>
    <w:rsid w:val="001972CF"/>
    <w:rsid w:val="001A26D5"/>
    <w:rsid w:val="001A3E2A"/>
    <w:rsid w:val="001A441B"/>
    <w:rsid w:val="001A4B0E"/>
    <w:rsid w:val="001A744A"/>
    <w:rsid w:val="001A76B4"/>
    <w:rsid w:val="001A76E6"/>
    <w:rsid w:val="001A7D22"/>
    <w:rsid w:val="001B04AB"/>
    <w:rsid w:val="001B0650"/>
    <w:rsid w:val="001B1555"/>
    <w:rsid w:val="001B1E91"/>
    <w:rsid w:val="001B22A4"/>
    <w:rsid w:val="001B3619"/>
    <w:rsid w:val="001B363C"/>
    <w:rsid w:val="001B3E91"/>
    <w:rsid w:val="001B4892"/>
    <w:rsid w:val="001B4FC8"/>
    <w:rsid w:val="001B6D57"/>
    <w:rsid w:val="001C048A"/>
    <w:rsid w:val="001C0B1E"/>
    <w:rsid w:val="001C0E10"/>
    <w:rsid w:val="001C2C11"/>
    <w:rsid w:val="001C3810"/>
    <w:rsid w:val="001C47A7"/>
    <w:rsid w:val="001C56C5"/>
    <w:rsid w:val="001C6327"/>
    <w:rsid w:val="001C7627"/>
    <w:rsid w:val="001D049B"/>
    <w:rsid w:val="001D173C"/>
    <w:rsid w:val="001D2525"/>
    <w:rsid w:val="001D2757"/>
    <w:rsid w:val="001D3985"/>
    <w:rsid w:val="001D4713"/>
    <w:rsid w:val="001D4997"/>
    <w:rsid w:val="001D53B1"/>
    <w:rsid w:val="001E09F3"/>
    <w:rsid w:val="001E0BF5"/>
    <w:rsid w:val="001E21FA"/>
    <w:rsid w:val="001E24DE"/>
    <w:rsid w:val="001E294C"/>
    <w:rsid w:val="001E3E87"/>
    <w:rsid w:val="001E492C"/>
    <w:rsid w:val="001F24FE"/>
    <w:rsid w:val="001F2943"/>
    <w:rsid w:val="001F35AD"/>
    <w:rsid w:val="001F4794"/>
    <w:rsid w:val="002009D9"/>
    <w:rsid w:val="00200ADF"/>
    <w:rsid w:val="00202928"/>
    <w:rsid w:val="00202E7A"/>
    <w:rsid w:val="00205838"/>
    <w:rsid w:val="00205E23"/>
    <w:rsid w:val="00205F71"/>
    <w:rsid w:val="00207C54"/>
    <w:rsid w:val="00207E95"/>
    <w:rsid w:val="0021033A"/>
    <w:rsid w:val="00210AD2"/>
    <w:rsid w:val="00210E96"/>
    <w:rsid w:val="002115FC"/>
    <w:rsid w:val="0021284D"/>
    <w:rsid w:val="00213050"/>
    <w:rsid w:val="00213D81"/>
    <w:rsid w:val="00214EBD"/>
    <w:rsid w:val="0021566E"/>
    <w:rsid w:val="002156D4"/>
    <w:rsid w:val="00215DBD"/>
    <w:rsid w:val="00216FA0"/>
    <w:rsid w:val="00217051"/>
    <w:rsid w:val="00220206"/>
    <w:rsid w:val="0022292E"/>
    <w:rsid w:val="002236E0"/>
    <w:rsid w:val="002243CC"/>
    <w:rsid w:val="0022451C"/>
    <w:rsid w:val="00224652"/>
    <w:rsid w:val="002249DF"/>
    <w:rsid w:val="00224FEC"/>
    <w:rsid w:val="0022542A"/>
    <w:rsid w:val="00226181"/>
    <w:rsid w:val="00230765"/>
    <w:rsid w:val="002325CA"/>
    <w:rsid w:val="00233207"/>
    <w:rsid w:val="002332FC"/>
    <w:rsid w:val="00233B93"/>
    <w:rsid w:val="00234912"/>
    <w:rsid w:val="002354A8"/>
    <w:rsid w:val="00235765"/>
    <w:rsid w:val="002364D2"/>
    <w:rsid w:val="00236BBE"/>
    <w:rsid w:val="00236F0E"/>
    <w:rsid w:val="00237DC2"/>
    <w:rsid w:val="00240801"/>
    <w:rsid w:val="00241BB0"/>
    <w:rsid w:val="00241F51"/>
    <w:rsid w:val="002440E7"/>
    <w:rsid w:val="00245575"/>
    <w:rsid w:val="00245E59"/>
    <w:rsid w:val="00246083"/>
    <w:rsid w:val="002474FC"/>
    <w:rsid w:val="00247669"/>
    <w:rsid w:val="002504BE"/>
    <w:rsid w:val="002509EA"/>
    <w:rsid w:val="00250D76"/>
    <w:rsid w:val="0025162C"/>
    <w:rsid w:val="0025301D"/>
    <w:rsid w:val="002544BF"/>
    <w:rsid w:val="002604C1"/>
    <w:rsid w:val="002607CE"/>
    <w:rsid w:val="00260FAF"/>
    <w:rsid w:val="00263BEE"/>
    <w:rsid w:val="00263CFF"/>
    <w:rsid w:val="00265484"/>
    <w:rsid w:val="00266A4B"/>
    <w:rsid w:val="00266FC8"/>
    <w:rsid w:val="00266FC9"/>
    <w:rsid w:val="0026732E"/>
    <w:rsid w:val="00267517"/>
    <w:rsid w:val="00270128"/>
    <w:rsid w:val="00270C23"/>
    <w:rsid w:val="00271EAF"/>
    <w:rsid w:val="00272B25"/>
    <w:rsid w:val="00275D0A"/>
    <w:rsid w:val="00276B65"/>
    <w:rsid w:val="00276BD5"/>
    <w:rsid w:val="00277FEE"/>
    <w:rsid w:val="00280490"/>
    <w:rsid w:val="00281955"/>
    <w:rsid w:val="00282D2B"/>
    <w:rsid w:val="00282DD5"/>
    <w:rsid w:val="002850D3"/>
    <w:rsid w:val="00286451"/>
    <w:rsid w:val="00291B9E"/>
    <w:rsid w:val="00292274"/>
    <w:rsid w:val="00293A4B"/>
    <w:rsid w:val="00293F67"/>
    <w:rsid w:val="0029577E"/>
    <w:rsid w:val="00295FC6"/>
    <w:rsid w:val="002A1DE5"/>
    <w:rsid w:val="002A29C0"/>
    <w:rsid w:val="002A37AB"/>
    <w:rsid w:val="002A4C96"/>
    <w:rsid w:val="002A553B"/>
    <w:rsid w:val="002B1974"/>
    <w:rsid w:val="002C0A44"/>
    <w:rsid w:val="002C10BF"/>
    <w:rsid w:val="002C1E9B"/>
    <w:rsid w:val="002C2084"/>
    <w:rsid w:val="002C2557"/>
    <w:rsid w:val="002C66C4"/>
    <w:rsid w:val="002C6CC8"/>
    <w:rsid w:val="002C7A6F"/>
    <w:rsid w:val="002D02B5"/>
    <w:rsid w:val="002D1D68"/>
    <w:rsid w:val="002D1E60"/>
    <w:rsid w:val="002D20D5"/>
    <w:rsid w:val="002D31F1"/>
    <w:rsid w:val="002D4503"/>
    <w:rsid w:val="002D520F"/>
    <w:rsid w:val="002D5BCC"/>
    <w:rsid w:val="002D60FB"/>
    <w:rsid w:val="002D71BA"/>
    <w:rsid w:val="002D7D66"/>
    <w:rsid w:val="002D7F17"/>
    <w:rsid w:val="002E0A78"/>
    <w:rsid w:val="002E1021"/>
    <w:rsid w:val="002E14F1"/>
    <w:rsid w:val="002E4B1B"/>
    <w:rsid w:val="002F4520"/>
    <w:rsid w:val="002F5470"/>
    <w:rsid w:val="002F5AD3"/>
    <w:rsid w:val="002F708F"/>
    <w:rsid w:val="003004DA"/>
    <w:rsid w:val="00300A8E"/>
    <w:rsid w:val="0030182A"/>
    <w:rsid w:val="00303649"/>
    <w:rsid w:val="00303BEB"/>
    <w:rsid w:val="0030410F"/>
    <w:rsid w:val="003058E4"/>
    <w:rsid w:val="00305EA0"/>
    <w:rsid w:val="003065FB"/>
    <w:rsid w:val="003068AD"/>
    <w:rsid w:val="0030690D"/>
    <w:rsid w:val="00307D77"/>
    <w:rsid w:val="00307D87"/>
    <w:rsid w:val="00311939"/>
    <w:rsid w:val="00311CF8"/>
    <w:rsid w:val="00313011"/>
    <w:rsid w:val="00313117"/>
    <w:rsid w:val="00314942"/>
    <w:rsid w:val="00316093"/>
    <w:rsid w:val="00316296"/>
    <w:rsid w:val="003163E3"/>
    <w:rsid w:val="0032003D"/>
    <w:rsid w:val="003226B4"/>
    <w:rsid w:val="003235DF"/>
    <w:rsid w:val="00324B37"/>
    <w:rsid w:val="0033198E"/>
    <w:rsid w:val="00331F45"/>
    <w:rsid w:val="00332A85"/>
    <w:rsid w:val="00332BDD"/>
    <w:rsid w:val="0033356C"/>
    <w:rsid w:val="003339FE"/>
    <w:rsid w:val="00333EDA"/>
    <w:rsid w:val="0033485E"/>
    <w:rsid w:val="00334EA7"/>
    <w:rsid w:val="00335851"/>
    <w:rsid w:val="00335A04"/>
    <w:rsid w:val="003371F1"/>
    <w:rsid w:val="00340247"/>
    <w:rsid w:val="00341659"/>
    <w:rsid w:val="003419E5"/>
    <w:rsid w:val="0034218A"/>
    <w:rsid w:val="00342C65"/>
    <w:rsid w:val="00342E01"/>
    <w:rsid w:val="00343549"/>
    <w:rsid w:val="003442D4"/>
    <w:rsid w:val="003445BB"/>
    <w:rsid w:val="003451F6"/>
    <w:rsid w:val="00345990"/>
    <w:rsid w:val="0034638C"/>
    <w:rsid w:val="003465EB"/>
    <w:rsid w:val="00347FA2"/>
    <w:rsid w:val="003504FD"/>
    <w:rsid w:val="003518AF"/>
    <w:rsid w:val="00351A85"/>
    <w:rsid w:val="00351BF9"/>
    <w:rsid w:val="00353944"/>
    <w:rsid w:val="00354178"/>
    <w:rsid w:val="00354B1A"/>
    <w:rsid w:val="00354C72"/>
    <w:rsid w:val="00354E02"/>
    <w:rsid w:val="003552BA"/>
    <w:rsid w:val="003552C4"/>
    <w:rsid w:val="00355FAF"/>
    <w:rsid w:val="00356196"/>
    <w:rsid w:val="003563C0"/>
    <w:rsid w:val="003563CB"/>
    <w:rsid w:val="00356725"/>
    <w:rsid w:val="00357535"/>
    <w:rsid w:val="0036047B"/>
    <w:rsid w:val="00360F8F"/>
    <w:rsid w:val="0036241C"/>
    <w:rsid w:val="00362A43"/>
    <w:rsid w:val="00363B24"/>
    <w:rsid w:val="00366058"/>
    <w:rsid w:val="00366229"/>
    <w:rsid w:val="00366C59"/>
    <w:rsid w:val="0036797D"/>
    <w:rsid w:val="00371E60"/>
    <w:rsid w:val="00373608"/>
    <w:rsid w:val="0037541C"/>
    <w:rsid w:val="00375DB7"/>
    <w:rsid w:val="00377B46"/>
    <w:rsid w:val="00377C14"/>
    <w:rsid w:val="0038141C"/>
    <w:rsid w:val="00381442"/>
    <w:rsid w:val="00381898"/>
    <w:rsid w:val="00381ABC"/>
    <w:rsid w:val="00382F97"/>
    <w:rsid w:val="00383CF5"/>
    <w:rsid w:val="00383FB1"/>
    <w:rsid w:val="00384E8A"/>
    <w:rsid w:val="00385212"/>
    <w:rsid w:val="0038548E"/>
    <w:rsid w:val="00385896"/>
    <w:rsid w:val="003912D1"/>
    <w:rsid w:val="003918AB"/>
    <w:rsid w:val="00391C1F"/>
    <w:rsid w:val="00393FD8"/>
    <w:rsid w:val="0039440D"/>
    <w:rsid w:val="0039451A"/>
    <w:rsid w:val="003945C0"/>
    <w:rsid w:val="00394B2A"/>
    <w:rsid w:val="00396060"/>
    <w:rsid w:val="003960B8"/>
    <w:rsid w:val="00397A93"/>
    <w:rsid w:val="003A0E79"/>
    <w:rsid w:val="003A1ED0"/>
    <w:rsid w:val="003A2133"/>
    <w:rsid w:val="003A2261"/>
    <w:rsid w:val="003A2D26"/>
    <w:rsid w:val="003A2E27"/>
    <w:rsid w:val="003A3F33"/>
    <w:rsid w:val="003A47DA"/>
    <w:rsid w:val="003A4A2C"/>
    <w:rsid w:val="003A4CC3"/>
    <w:rsid w:val="003B0CC5"/>
    <w:rsid w:val="003B20FE"/>
    <w:rsid w:val="003B315E"/>
    <w:rsid w:val="003B3A98"/>
    <w:rsid w:val="003B5FF2"/>
    <w:rsid w:val="003B738A"/>
    <w:rsid w:val="003B7F1A"/>
    <w:rsid w:val="003C0036"/>
    <w:rsid w:val="003C00FC"/>
    <w:rsid w:val="003C1FAA"/>
    <w:rsid w:val="003C2970"/>
    <w:rsid w:val="003C2ED9"/>
    <w:rsid w:val="003C313C"/>
    <w:rsid w:val="003C36F6"/>
    <w:rsid w:val="003C47AF"/>
    <w:rsid w:val="003C5A29"/>
    <w:rsid w:val="003C5C24"/>
    <w:rsid w:val="003D3AA6"/>
    <w:rsid w:val="003D55E9"/>
    <w:rsid w:val="003D6951"/>
    <w:rsid w:val="003D6BAC"/>
    <w:rsid w:val="003D71B7"/>
    <w:rsid w:val="003D7562"/>
    <w:rsid w:val="003D7838"/>
    <w:rsid w:val="003E015D"/>
    <w:rsid w:val="003E0C2B"/>
    <w:rsid w:val="003E1E93"/>
    <w:rsid w:val="003E3CC3"/>
    <w:rsid w:val="003E4CD8"/>
    <w:rsid w:val="003E5049"/>
    <w:rsid w:val="003E5DF3"/>
    <w:rsid w:val="003E7005"/>
    <w:rsid w:val="003E7D9E"/>
    <w:rsid w:val="003F0582"/>
    <w:rsid w:val="003F16D1"/>
    <w:rsid w:val="003F1EF5"/>
    <w:rsid w:val="003F321D"/>
    <w:rsid w:val="003F4654"/>
    <w:rsid w:val="003F49B5"/>
    <w:rsid w:val="003F571E"/>
    <w:rsid w:val="003F5950"/>
    <w:rsid w:val="003F5D01"/>
    <w:rsid w:val="003F5D12"/>
    <w:rsid w:val="003F61D8"/>
    <w:rsid w:val="003F7976"/>
    <w:rsid w:val="00400806"/>
    <w:rsid w:val="00401871"/>
    <w:rsid w:val="00401900"/>
    <w:rsid w:val="00402941"/>
    <w:rsid w:val="00402A45"/>
    <w:rsid w:val="0040330F"/>
    <w:rsid w:val="004050ED"/>
    <w:rsid w:val="00405403"/>
    <w:rsid w:val="004056CB"/>
    <w:rsid w:val="004060AD"/>
    <w:rsid w:val="00406D85"/>
    <w:rsid w:val="004109E3"/>
    <w:rsid w:val="00410E05"/>
    <w:rsid w:val="0041268D"/>
    <w:rsid w:val="00413088"/>
    <w:rsid w:val="00415C27"/>
    <w:rsid w:val="00416514"/>
    <w:rsid w:val="00416F41"/>
    <w:rsid w:val="004207D6"/>
    <w:rsid w:val="00420975"/>
    <w:rsid w:val="004212C9"/>
    <w:rsid w:val="0042221D"/>
    <w:rsid w:val="004249EC"/>
    <w:rsid w:val="004254FD"/>
    <w:rsid w:val="0042569B"/>
    <w:rsid w:val="00426A06"/>
    <w:rsid w:val="00426E24"/>
    <w:rsid w:val="00430657"/>
    <w:rsid w:val="00430A81"/>
    <w:rsid w:val="004334AD"/>
    <w:rsid w:val="00435144"/>
    <w:rsid w:val="0043535F"/>
    <w:rsid w:val="00435989"/>
    <w:rsid w:val="00435E5F"/>
    <w:rsid w:val="00436990"/>
    <w:rsid w:val="00436B8C"/>
    <w:rsid w:val="00441B0A"/>
    <w:rsid w:val="0044348C"/>
    <w:rsid w:val="00443B2E"/>
    <w:rsid w:val="00444EB1"/>
    <w:rsid w:val="0044596F"/>
    <w:rsid w:val="0044705F"/>
    <w:rsid w:val="00447760"/>
    <w:rsid w:val="004479E9"/>
    <w:rsid w:val="00450014"/>
    <w:rsid w:val="0045063F"/>
    <w:rsid w:val="0045086F"/>
    <w:rsid w:val="00451204"/>
    <w:rsid w:val="00451887"/>
    <w:rsid w:val="00451B9E"/>
    <w:rsid w:val="00451D80"/>
    <w:rsid w:val="00455098"/>
    <w:rsid w:val="00456A2F"/>
    <w:rsid w:val="004579E8"/>
    <w:rsid w:val="004619F0"/>
    <w:rsid w:val="0046286B"/>
    <w:rsid w:val="004647A2"/>
    <w:rsid w:val="00464ADF"/>
    <w:rsid w:val="00464FAD"/>
    <w:rsid w:val="0047099D"/>
    <w:rsid w:val="00471855"/>
    <w:rsid w:val="0047281E"/>
    <w:rsid w:val="004773B4"/>
    <w:rsid w:val="0047783C"/>
    <w:rsid w:val="00477D63"/>
    <w:rsid w:val="00477F71"/>
    <w:rsid w:val="0048008E"/>
    <w:rsid w:val="00482C6D"/>
    <w:rsid w:val="00485BF5"/>
    <w:rsid w:val="00485C6D"/>
    <w:rsid w:val="00486392"/>
    <w:rsid w:val="004864F9"/>
    <w:rsid w:val="0049035C"/>
    <w:rsid w:val="00490C34"/>
    <w:rsid w:val="004914CC"/>
    <w:rsid w:val="00493209"/>
    <w:rsid w:val="004951C2"/>
    <w:rsid w:val="00495547"/>
    <w:rsid w:val="0049562D"/>
    <w:rsid w:val="00495A91"/>
    <w:rsid w:val="00496E2D"/>
    <w:rsid w:val="004975E6"/>
    <w:rsid w:val="00497E03"/>
    <w:rsid w:val="004A188F"/>
    <w:rsid w:val="004A3AF6"/>
    <w:rsid w:val="004A447D"/>
    <w:rsid w:val="004A58E0"/>
    <w:rsid w:val="004A61B7"/>
    <w:rsid w:val="004A73F6"/>
    <w:rsid w:val="004A7406"/>
    <w:rsid w:val="004A7B69"/>
    <w:rsid w:val="004A7DBB"/>
    <w:rsid w:val="004B0445"/>
    <w:rsid w:val="004B1093"/>
    <w:rsid w:val="004B1389"/>
    <w:rsid w:val="004B2E8C"/>
    <w:rsid w:val="004B4B08"/>
    <w:rsid w:val="004B63EA"/>
    <w:rsid w:val="004C22F2"/>
    <w:rsid w:val="004C3736"/>
    <w:rsid w:val="004C4CB0"/>
    <w:rsid w:val="004C524B"/>
    <w:rsid w:val="004C610F"/>
    <w:rsid w:val="004C6C41"/>
    <w:rsid w:val="004C7157"/>
    <w:rsid w:val="004C75F1"/>
    <w:rsid w:val="004D01AA"/>
    <w:rsid w:val="004D04D7"/>
    <w:rsid w:val="004D3139"/>
    <w:rsid w:val="004D5A83"/>
    <w:rsid w:val="004D68F3"/>
    <w:rsid w:val="004D7FC8"/>
    <w:rsid w:val="004E258B"/>
    <w:rsid w:val="004E3C44"/>
    <w:rsid w:val="004E4B67"/>
    <w:rsid w:val="004E5AB3"/>
    <w:rsid w:val="004E609A"/>
    <w:rsid w:val="004E6A88"/>
    <w:rsid w:val="004E7366"/>
    <w:rsid w:val="004E7577"/>
    <w:rsid w:val="004E7A8C"/>
    <w:rsid w:val="004F0FF4"/>
    <w:rsid w:val="004F31BB"/>
    <w:rsid w:val="004F3F66"/>
    <w:rsid w:val="004F51A4"/>
    <w:rsid w:val="004F56B1"/>
    <w:rsid w:val="004F5839"/>
    <w:rsid w:val="004F5CD5"/>
    <w:rsid w:val="004F6100"/>
    <w:rsid w:val="004F6577"/>
    <w:rsid w:val="004F7759"/>
    <w:rsid w:val="005034E4"/>
    <w:rsid w:val="00503BF7"/>
    <w:rsid w:val="00505D7E"/>
    <w:rsid w:val="00506521"/>
    <w:rsid w:val="00506643"/>
    <w:rsid w:val="00506DAB"/>
    <w:rsid w:val="00511959"/>
    <w:rsid w:val="00511FD4"/>
    <w:rsid w:val="005121F1"/>
    <w:rsid w:val="005123ED"/>
    <w:rsid w:val="00512849"/>
    <w:rsid w:val="0051296B"/>
    <w:rsid w:val="00512C80"/>
    <w:rsid w:val="00512F6B"/>
    <w:rsid w:val="005161B8"/>
    <w:rsid w:val="00517D26"/>
    <w:rsid w:val="00521D7E"/>
    <w:rsid w:val="00523344"/>
    <w:rsid w:val="00524453"/>
    <w:rsid w:val="00524BD1"/>
    <w:rsid w:val="005257C3"/>
    <w:rsid w:val="00525CC8"/>
    <w:rsid w:val="00525F3E"/>
    <w:rsid w:val="005267E4"/>
    <w:rsid w:val="00527589"/>
    <w:rsid w:val="005279E7"/>
    <w:rsid w:val="005309DD"/>
    <w:rsid w:val="00531103"/>
    <w:rsid w:val="00531604"/>
    <w:rsid w:val="00531F2A"/>
    <w:rsid w:val="00533507"/>
    <w:rsid w:val="00533656"/>
    <w:rsid w:val="0053374B"/>
    <w:rsid w:val="00533A63"/>
    <w:rsid w:val="00535147"/>
    <w:rsid w:val="00541A8F"/>
    <w:rsid w:val="0054222B"/>
    <w:rsid w:val="0054618C"/>
    <w:rsid w:val="0054667D"/>
    <w:rsid w:val="00546BB7"/>
    <w:rsid w:val="00551C4C"/>
    <w:rsid w:val="0055426A"/>
    <w:rsid w:val="00554D1C"/>
    <w:rsid w:val="005550C5"/>
    <w:rsid w:val="005553EC"/>
    <w:rsid w:val="00556E45"/>
    <w:rsid w:val="005570FF"/>
    <w:rsid w:val="00560AD4"/>
    <w:rsid w:val="00561D0C"/>
    <w:rsid w:val="00564BCD"/>
    <w:rsid w:val="0056702B"/>
    <w:rsid w:val="00567B15"/>
    <w:rsid w:val="00567C5F"/>
    <w:rsid w:val="005715FA"/>
    <w:rsid w:val="00574836"/>
    <w:rsid w:val="00575388"/>
    <w:rsid w:val="00575900"/>
    <w:rsid w:val="00575CB3"/>
    <w:rsid w:val="00576478"/>
    <w:rsid w:val="0057754D"/>
    <w:rsid w:val="0058023E"/>
    <w:rsid w:val="00581126"/>
    <w:rsid w:val="005819F7"/>
    <w:rsid w:val="00582E0F"/>
    <w:rsid w:val="0058427B"/>
    <w:rsid w:val="005842A2"/>
    <w:rsid w:val="0058430E"/>
    <w:rsid w:val="00585166"/>
    <w:rsid w:val="00586041"/>
    <w:rsid w:val="00586E52"/>
    <w:rsid w:val="005871E4"/>
    <w:rsid w:val="00587B48"/>
    <w:rsid w:val="00587BC8"/>
    <w:rsid w:val="00591CCB"/>
    <w:rsid w:val="005922E4"/>
    <w:rsid w:val="00595F3D"/>
    <w:rsid w:val="005963B1"/>
    <w:rsid w:val="00596564"/>
    <w:rsid w:val="00597488"/>
    <w:rsid w:val="00597EEA"/>
    <w:rsid w:val="005A0742"/>
    <w:rsid w:val="005A1E1B"/>
    <w:rsid w:val="005A22D4"/>
    <w:rsid w:val="005A3D59"/>
    <w:rsid w:val="005A415E"/>
    <w:rsid w:val="005A42A6"/>
    <w:rsid w:val="005A42B6"/>
    <w:rsid w:val="005A4749"/>
    <w:rsid w:val="005A51FB"/>
    <w:rsid w:val="005A663E"/>
    <w:rsid w:val="005A6A83"/>
    <w:rsid w:val="005A71C5"/>
    <w:rsid w:val="005A75AF"/>
    <w:rsid w:val="005B2886"/>
    <w:rsid w:val="005B3722"/>
    <w:rsid w:val="005B5B77"/>
    <w:rsid w:val="005B5F85"/>
    <w:rsid w:val="005B6D58"/>
    <w:rsid w:val="005B7A2E"/>
    <w:rsid w:val="005C07AF"/>
    <w:rsid w:val="005C15CB"/>
    <w:rsid w:val="005C2A51"/>
    <w:rsid w:val="005C375F"/>
    <w:rsid w:val="005C3CC2"/>
    <w:rsid w:val="005C3CE0"/>
    <w:rsid w:val="005C4D10"/>
    <w:rsid w:val="005C54E2"/>
    <w:rsid w:val="005C6004"/>
    <w:rsid w:val="005C6D7A"/>
    <w:rsid w:val="005C6FB7"/>
    <w:rsid w:val="005C7864"/>
    <w:rsid w:val="005C7C94"/>
    <w:rsid w:val="005D416D"/>
    <w:rsid w:val="005D4383"/>
    <w:rsid w:val="005D630D"/>
    <w:rsid w:val="005D71A7"/>
    <w:rsid w:val="005D7EB2"/>
    <w:rsid w:val="005E1638"/>
    <w:rsid w:val="005E468B"/>
    <w:rsid w:val="005E5576"/>
    <w:rsid w:val="005E5D27"/>
    <w:rsid w:val="005E64E5"/>
    <w:rsid w:val="005E7317"/>
    <w:rsid w:val="005F18DC"/>
    <w:rsid w:val="005F190C"/>
    <w:rsid w:val="005F2084"/>
    <w:rsid w:val="005F2245"/>
    <w:rsid w:val="005F2E1C"/>
    <w:rsid w:val="005F3458"/>
    <w:rsid w:val="005F36F5"/>
    <w:rsid w:val="005F5204"/>
    <w:rsid w:val="005F5F92"/>
    <w:rsid w:val="005F6C70"/>
    <w:rsid w:val="006008C6"/>
    <w:rsid w:val="00600982"/>
    <w:rsid w:val="00600B18"/>
    <w:rsid w:val="00600B37"/>
    <w:rsid w:val="006017B7"/>
    <w:rsid w:val="006018EC"/>
    <w:rsid w:val="00601ECA"/>
    <w:rsid w:val="0060269D"/>
    <w:rsid w:val="00603A90"/>
    <w:rsid w:val="0060403F"/>
    <w:rsid w:val="00604E36"/>
    <w:rsid w:val="006050AD"/>
    <w:rsid w:val="006057C7"/>
    <w:rsid w:val="0060676D"/>
    <w:rsid w:val="00607955"/>
    <w:rsid w:val="00607F99"/>
    <w:rsid w:val="00610CFD"/>
    <w:rsid w:val="00612B3B"/>
    <w:rsid w:val="00612C12"/>
    <w:rsid w:val="00612D5C"/>
    <w:rsid w:val="00613376"/>
    <w:rsid w:val="006133F3"/>
    <w:rsid w:val="00613453"/>
    <w:rsid w:val="0061386D"/>
    <w:rsid w:val="006142C2"/>
    <w:rsid w:val="006146F5"/>
    <w:rsid w:val="00614A48"/>
    <w:rsid w:val="006152A7"/>
    <w:rsid w:val="006209BB"/>
    <w:rsid w:val="00621D90"/>
    <w:rsid w:val="00622148"/>
    <w:rsid w:val="006236CE"/>
    <w:rsid w:val="00623CD0"/>
    <w:rsid w:val="00624395"/>
    <w:rsid w:val="00624531"/>
    <w:rsid w:val="00624730"/>
    <w:rsid w:val="00624BA0"/>
    <w:rsid w:val="00624CF9"/>
    <w:rsid w:val="00625018"/>
    <w:rsid w:val="006268AD"/>
    <w:rsid w:val="006305EB"/>
    <w:rsid w:val="00630C94"/>
    <w:rsid w:val="0063158E"/>
    <w:rsid w:val="006336A0"/>
    <w:rsid w:val="00640003"/>
    <w:rsid w:val="006405DF"/>
    <w:rsid w:val="0064099D"/>
    <w:rsid w:val="00641783"/>
    <w:rsid w:val="00641EB2"/>
    <w:rsid w:val="0064222B"/>
    <w:rsid w:val="00643194"/>
    <w:rsid w:val="00644417"/>
    <w:rsid w:val="00644EF6"/>
    <w:rsid w:val="006457DD"/>
    <w:rsid w:val="00645A81"/>
    <w:rsid w:val="00645AD7"/>
    <w:rsid w:val="00645AFB"/>
    <w:rsid w:val="00645EA0"/>
    <w:rsid w:val="00646462"/>
    <w:rsid w:val="00647E36"/>
    <w:rsid w:val="00647F12"/>
    <w:rsid w:val="006505C8"/>
    <w:rsid w:val="00651273"/>
    <w:rsid w:val="00651E73"/>
    <w:rsid w:val="00652869"/>
    <w:rsid w:val="00653570"/>
    <w:rsid w:val="0065359C"/>
    <w:rsid w:val="006535EF"/>
    <w:rsid w:val="00654616"/>
    <w:rsid w:val="0065578F"/>
    <w:rsid w:val="00656407"/>
    <w:rsid w:val="00657DB1"/>
    <w:rsid w:val="00662237"/>
    <w:rsid w:val="00662B86"/>
    <w:rsid w:val="006641CA"/>
    <w:rsid w:val="00664706"/>
    <w:rsid w:val="00665220"/>
    <w:rsid w:val="006652F6"/>
    <w:rsid w:val="00665B90"/>
    <w:rsid w:val="00665BEE"/>
    <w:rsid w:val="00667B4E"/>
    <w:rsid w:val="006702D0"/>
    <w:rsid w:val="006717D5"/>
    <w:rsid w:val="00671D84"/>
    <w:rsid w:val="00673445"/>
    <w:rsid w:val="00673B15"/>
    <w:rsid w:val="00673F7E"/>
    <w:rsid w:val="00674011"/>
    <w:rsid w:val="006742DE"/>
    <w:rsid w:val="00676CDC"/>
    <w:rsid w:val="00677BD9"/>
    <w:rsid w:val="00677E63"/>
    <w:rsid w:val="00677F94"/>
    <w:rsid w:val="0068110A"/>
    <w:rsid w:val="00681136"/>
    <w:rsid w:val="006828FE"/>
    <w:rsid w:val="00682E52"/>
    <w:rsid w:val="00682FB7"/>
    <w:rsid w:val="00682FCC"/>
    <w:rsid w:val="00683EEF"/>
    <w:rsid w:val="006846A2"/>
    <w:rsid w:val="0068750A"/>
    <w:rsid w:val="006879A6"/>
    <w:rsid w:val="0069036B"/>
    <w:rsid w:val="00690A30"/>
    <w:rsid w:val="00690CAC"/>
    <w:rsid w:val="00691EE0"/>
    <w:rsid w:val="00692C2D"/>
    <w:rsid w:val="006942B3"/>
    <w:rsid w:val="006948CA"/>
    <w:rsid w:val="006949C4"/>
    <w:rsid w:val="00694AF4"/>
    <w:rsid w:val="006957A0"/>
    <w:rsid w:val="0069779D"/>
    <w:rsid w:val="006A0741"/>
    <w:rsid w:val="006A1129"/>
    <w:rsid w:val="006A3050"/>
    <w:rsid w:val="006A360D"/>
    <w:rsid w:val="006A3793"/>
    <w:rsid w:val="006A41CF"/>
    <w:rsid w:val="006A5F43"/>
    <w:rsid w:val="006A6582"/>
    <w:rsid w:val="006A6B99"/>
    <w:rsid w:val="006A7C8B"/>
    <w:rsid w:val="006B0992"/>
    <w:rsid w:val="006B19F0"/>
    <w:rsid w:val="006B3B8A"/>
    <w:rsid w:val="006B6722"/>
    <w:rsid w:val="006B7F3F"/>
    <w:rsid w:val="006C0279"/>
    <w:rsid w:val="006C2A5A"/>
    <w:rsid w:val="006C2B00"/>
    <w:rsid w:val="006C2D67"/>
    <w:rsid w:val="006C36B7"/>
    <w:rsid w:val="006C41A3"/>
    <w:rsid w:val="006C4A06"/>
    <w:rsid w:val="006C51A7"/>
    <w:rsid w:val="006C6753"/>
    <w:rsid w:val="006C70D4"/>
    <w:rsid w:val="006C70DF"/>
    <w:rsid w:val="006C7BD3"/>
    <w:rsid w:val="006C7D3B"/>
    <w:rsid w:val="006D0458"/>
    <w:rsid w:val="006D2AE9"/>
    <w:rsid w:val="006D3D1F"/>
    <w:rsid w:val="006D5CE5"/>
    <w:rsid w:val="006D63D5"/>
    <w:rsid w:val="006D6E90"/>
    <w:rsid w:val="006D7ABD"/>
    <w:rsid w:val="006E1EE9"/>
    <w:rsid w:val="006E2174"/>
    <w:rsid w:val="006E4837"/>
    <w:rsid w:val="006E4860"/>
    <w:rsid w:val="006E4A45"/>
    <w:rsid w:val="006E5F26"/>
    <w:rsid w:val="006E6126"/>
    <w:rsid w:val="006E79AC"/>
    <w:rsid w:val="006F0610"/>
    <w:rsid w:val="006F072F"/>
    <w:rsid w:val="006F2BDF"/>
    <w:rsid w:val="006F4371"/>
    <w:rsid w:val="007008CF"/>
    <w:rsid w:val="00700E72"/>
    <w:rsid w:val="007011F0"/>
    <w:rsid w:val="00702934"/>
    <w:rsid w:val="007049A3"/>
    <w:rsid w:val="00705A3F"/>
    <w:rsid w:val="0070641A"/>
    <w:rsid w:val="0070649E"/>
    <w:rsid w:val="00706C8F"/>
    <w:rsid w:val="00706E0B"/>
    <w:rsid w:val="00707A7F"/>
    <w:rsid w:val="00710B80"/>
    <w:rsid w:val="00711758"/>
    <w:rsid w:val="00711BB4"/>
    <w:rsid w:val="007124EF"/>
    <w:rsid w:val="00714746"/>
    <w:rsid w:val="00714A1C"/>
    <w:rsid w:val="00716A11"/>
    <w:rsid w:val="00717C98"/>
    <w:rsid w:val="00722A04"/>
    <w:rsid w:val="00724F9D"/>
    <w:rsid w:val="00726877"/>
    <w:rsid w:val="00726EDD"/>
    <w:rsid w:val="00727EC3"/>
    <w:rsid w:val="0073247A"/>
    <w:rsid w:val="007333E4"/>
    <w:rsid w:val="00735463"/>
    <w:rsid w:val="00736FD2"/>
    <w:rsid w:val="007374E4"/>
    <w:rsid w:val="007375FE"/>
    <w:rsid w:val="00737BA7"/>
    <w:rsid w:val="00741423"/>
    <w:rsid w:val="00741B30"/>
    <w:rsid w:val="00741BCE"/>
    <w:rsid w:val="0074276D"/>
    <w:rsid w:val="007430E2"/>
    <w:rsid w:val="007434A6"/>
    <w:rsid w:val="00744787"/>
    <w:rsid w:val="00744ECC"/>
    <w:rsid w:val="00744EF6"/>
    <w:rsid w:val="00744F00"/>
    <w:rsid w:val="00746A80"/>
    <w:rsid w:val="00746CB9"/>
    <w:rsid w:val="00746E06"/>
    <w:rsid w:val="00747BBD"/>
    <w:rsid w:val="007503BD"/>
    <w:rsid w:val="00751677"/>
    <w:rsid w:val="00751CB8"/>
    <w:rsid w:val="00754997"/>
    <w:rsid w:val="00757636"/>
    <w:rsid w:val="007577C4"/>
    <w:rsid w:val="00760FBB"/>
    <w:rsid w:val="00761A27"/>
    <w:rsid w:val="00761BB2"/>
    <w:rsid w:val="00761C63"/>
    <w:rsid w:val="007626FD"/>
    <w:rsid w:val="00762B48"/>
    <w:rsid w:val="00763A57"/>
    <w:rsid w:val="00764071"/>
    <w:rsid w:val="007641AA"/>
    <w:rsid w:val="00764A02"/>
    <w:rsid w:val="007651EB"/>
    <w:rsid w:val="007652A5"/>
    <w:rsid w:val="00766DBF"/>
    <w:rsid w:val="00767164"/>
    <w:rsid w:val="00771596"/>
    <w:rsid w:val="00771D60"/>
    <w:rsid w:val="00772BEC"/>
    <w:rsid w:val="00773A73"/>
    <w:rsid w:val="00773B8D"/>
    <w:rsid w:val="007763B0"/>
    <w:rsid w:val="00777768"/>
    <w:rsid w:val="00777DE4"/>
    <w:rsid w:val="007812D6"/>
    <w:rsid w:val="0078194E"/>
    <w:rsid w:val="00781ECB"/>
    <w:rsid w:val="0078280D"/>
    <w:rsid w:val="00782F35"/>
    <w:rsid w:val="00784340"/>
    <w:rsid w:val="007863D3"/>
    <w:rsid w:val="0078678C"/>
    <w:rsid w:val="007871B7"/>
    <w:rsid w:val="00787FBF"/>
    <w:rsid w:val="00795174"/>
    <w:rsid w:val="00795C86"/>
    <w:rsid w:val="007976B2"/>
    <w:rsid w:val="007A08A9"/>
    <w:rsid w:val="007A0A60"/>
    <w:rsid w:val="007A269E"/>
    <w:rsid w:val="007A3A04"/>
    <w:rsid w:val="007A3FE5"/>
    <w:rsid w:val="007A530C"/>
    <w:rsid w:val="007A553E"/>
    <w:rsid w:val="007B04B0"/>
    <w:rsid w:val="007B0C7E"/>
    <w:rsid w:val="007B38EF"/>
    <w:rsid w:val="007B3EAA"/>
    <w:rsid w:val="007B5E2F"/>
    <w:rsid w:val="007C22F2"/>
    <w:rsid w:val="007C26F8"/>
    <w:rsid w:val="007C2ABC"/>
    <w:rsid w:val="007C4338"/>
    <w:rsid w:val="007C48DF"/>
    <w:rsid w:val="007C6EA4"/>
    <w:rsid w:val="007D0C5B"/>
    <w:rsid w:val="007D1501"/>
    <w:rsid w:val="007D1D80"/>
    <w:rsid w:val="007D2884"/>
    <w:rsid w:val="007D2895"/>
    <w:rsid w:val="007D3FEA"/>
    <w:rsid w:val="007D4BD9"/>
    <w:rsid w:val="007D4C61"/>
    <w:rsid w:val="007D50B1"/>
    <w:rsid w:val="007D5F2B"/>
    <w:rsid w:val="007E05D1"/>
    <w:rsid w:val="007E0D08"/>
    <w:rsid w:val="007E11D4"/>
    <w:rsid w:val="007E2076"/>
    <w:rsid w:val="007E22BB"/>
    <w:rsid w:val="007E2631"/>
    <w:rsid w:val="007E4BDA"/>
    <w:rsid w:val="007E50FA"/>
    <w:rsid w:val="007E614B"/>
    <w:rsid w:val="007E7008"/>
    <w:rsid w:val="007E733F"/>
    <w:rsid w:val="007E76A3"/>
    <w:rsid w:val="007F1863"/>
    <w:rsid w:val="007F22C4"/>
    <w:rsid w:val="007F2921"/>
    <w:rsid w:val="007F2B85"/>
    <w:rsid w:val="007F2D08"/>
    <w:rsid w:val="007F2EA0"/>
    <w:rsid w:val="007F3139"/>
    <w:rsid w:val="007F3826"/>
    <w:rsid w:val="007F4B0D"/>
    <w:rsid w:val="007F52C7"/>
    <w:rsid w:val="007F5C36"/>
    <w:rsid w:val="007F644F"/>
    <w:rsid w:val="007F6F73"/>
    <w:rsid w:val="007F75F4"/>
    <w:rsid w:val="00800A76"/>
    <w:rsid w:val="008018BB"/>
    <w:rsid w:val="00801982"/>
    <w:rsid w:val="008024CD"/>
    <w:rsid w:val="00802514"/>
    <w:rsid w:val="00803D26"/>
    <w:rsid w:val="00805E4F"/>
    <w:rsid w:val="00807AB5"/>
    <w:rsid w:val="00807E7A"/>
    <w:rsid w:val="0081001C"/>
    <w:rsid w:val="00810319"/>
    <w:rsid w:val="0081106A"/>
    <w:rsid w:val="00813187"/>
    <w:rsid w:val="00813238"/>
    <w:rsid w:val="008147D8"/>
    <w:rsid w:val="008154F0"/>
    <w:rsid w:val="0081635F"/>
    <w:rsid w:val="008206AA"/>
    <w:rsid w:val="00821BF4"/>
    <w:rsid w:val="00821F42"/>
    <w:rsid w:val="008221D5"/>
    <w:rsid w:val="00822F8A"/>
    <w:rsid w:val="00825CE4"/>
    <w:rsid w:val="00825F25"/>
    <w:rsid w:val="00831A5E"/>
    <w:rsid w:val="00831CBF"/>
    <w:rsid w:val="00831DB3"/>
    <w:rsid w:val="00832F90"/>
    <w:rsid w:val="00835745"/>
    <w:rsid w:val="00835F21"/>
    <w:rsid w:val="00837400"/>
    <w:rsid w:val="008377EE"/>
    <w:rsid w:val="00840750"/>
    <w:rsid w:val="00842602"/>
    <w:rsid w:val="00842DB4"/>
    <w:rsid w:val="0084537A"/>
    <w:rsid w:val="008454AE"/>
    <w:rsid w:val="00846844"/>
    <w:rsid w:val="00846A76"/>
    <w:rsid w:val="00847557"/>
    <w:rsid w:val="0085025B"/>
    <w:rsid w:val="008506F6"/>
    <w:rsid w:val="008514E0"/>
    <w:rsid w:val="00851F22"/>
    <w:rsid w:val="008526B7"/>
    <w:rsid w:val="00853881"/>
    <w:rsid w:val="008542F4"/>
    <w:rsid w:val="0085642D"/>
    <w:rsid w:val="00856999"/>
    <w:rsid w:val="00856DDE"/>
    <w:rsid w:val="0086011F"/>
    <w:rsid w:val="008617D7"/>
    <w:rsid w:val="008654FE"/>
    <w:rsid w:val="00865E86"/>
    <w:rsid w:val="00870274"/>
    <w:rsid w:val="00870C03"/>
    <w:rsid w:val="0087255E"/>
    <w:rsid w:val="00874C6C"/>
    <w:rsid w:val="00875FA6"/>
    <w:rsid w:val="008771CE"/>
    <w:rsid w:val="008773CF"/>
    <w:rsid w:val="00877617"/>
    <w:rsid w:val="00884225"/>
    <w:rsid w:val="00884406"/>
    <w:rsid w:val="00886B9B"/>
    <w:rsid w:val="00887922"/>
    <w:rsid w:val="0089032B"/>
    <w:rsid w:val="0089037B"/>
    <w:rsid w:val="00890E87"/>
    <w:rsid w:val="008911FF"/>
    <w:rsid w:val="00895366"/>
    <w:rsid w:val="00897CF1"/>
    <w:rsid w:val="008A270D"/>
    <w:rsid w:val="008A3384"/>
    <w:rsid w:val="008A3A2D"/>
    <w:rsid w:val="008A3E7A"/>
    <w:rsid w:val="008A73A2"/>
    <w:rsid w:val="008A7B2A"/>
    <w:rsid w:val="008B1099"/>
    <w:rsid w:val="008B485C"/>
    <w:rsid w:val="008B576A"/>
    <w:rsid w:val="008B6BA3"/>
    <w:rsid w:val="008B7FCC"/>
    <w:rsid w:val="008C1595"/>
    <w:rsid w:val="008C359E"/>
    <w:rsid w:val="008C3E25"/>
    <w:rsid w:val="008C4090"/>
    <w:rsid w:val="008C4A34"/>
    <w:rsid w:val="008C5900"/>
    <w:rsid w:val="008C6502"/>
    <w:rsid w:val="008C6BD4"/>
    <w:rsid w:val="008C6F0A"/>
    <w:rsid w:val="008C7B30"/>
    <w:rsid w:val="008D0E5E"/>
    <w:rsid w:val="008D1986"/>
    <w:rsid w:val="008D1E4C"/>
    <w:rsid w:val="008D31BB"/>
    <w:rsid w:val="008D44CE"/>
    <w:rsid w:val="008D68B6"/>
    <w:rsid w:val="008D7CD6"/>
    <w:rsid w:val="008E1832"/>
    <w:rsid w:val="008E3BB0"/>
    <w:rsid w:val="008E468A"/>
    <w:rsid w:val="008E63EF"/>
    <w:rsid w:val="008E67C1"/>
    <w:rsid w:val="008E6A42"/>
    <w:rsid w:val="008E6DB2"/>
    <w:rsid w:val="008E792C"/>
    <w:rsid w:val="008F032F"/>
    <w:rsid w:val="008F03C6"/>
    <w:rsid w:val="008F227B"/>
    <w:rsid w:val="008F23B1"/>
    <w:rsid w:val="008F29D9"/>
    <w:rsid w:val="008F3021"/>
    <w:rsid w:val="008F3615"/>
    <w:rsid w:val="008F5468"/>
    <w:rsid w:val="008F6A20"/>
    <w:rsid w:val="008F7E30"/>
    <w:rsid w:val="0090013F"/>
    <w:rsid w:val="00901B87"/>
    <w:rsid w:val="009036BF"/>
    <w:rsid w:val="00906935"/>
    <w:rsid w:val="00907716"/>
    <w:rsid w:val="0091029B"/>
    <w:rsid w:val="00910C26"/>
    <w:rsid w:val="00912401"/>
    <w:rsid w:val="00912A48"/>
    <w:rsid w:val="00912E7A"/>
    <w:rsid w:val="00913ADF"/>
    <w:rsid w:val="00915B21"/>
    <w:rsid w:val="00916EB3"/>
    <w:rsid w:val="00917506"/>
    <w:rsid w:val="00917C94"/>
    <w:rsid w:val="00920165"/>
    <w:rsid w:val="00921502"/>
    <w:rsid w:val="0092161D"/>
    <w:rsid w:val="009231B9"/>
    <w:rsid w:val="0092418A"/>
    <w:rsid w:val="009263B4"/>
    <w:rsid w:val="009269C1"/>
    <w:rsid w:val="0092778E"/>
    <w:rsid w:val="009279AE"/>
    <w:rsid w:val="00931A3B"/>
    <w:rsid w:val="009323A7"/>
    <w:rsid w:val="00934661"/>
    <w:rsid w:val="00935E6D"/>
    <w:rsid w:val="00936535"/>
    <w:rsid w:val="0094109D"/>
    <w:rsid w:val="00941D4A"/>
    <w:rsid w:val="00944692"/>
    <w:rsid w:val="00945600"/>
    <w:rsid w:val="009506D2"/>
    <w:rsid w:val="009509FF"/>
    <w:rsid w:val="0095208D"/>
    <w:rsid w:val="009522E7"/>
    <w:rsid w:val="00952D23"/>
    <w:rsid w:val="009531AA"/>
    <w:rsid w:val="0095323C"/>
    <w:rsid w:val="00953F0B"/>
    <w:rsid w:val="0095410E"/>
    <w:rsid w:val="00954978"/>
    <w:rsid w:val="00956BAA"/>
    <w:rsid w:val="00957652"/>
    <w:rsid w:val="00960A14"/>
    <w:rsid w:val="00962A61"/>
    <w:rsid w:val="009637B7"/>
    <w:rsid w:val="00963C8E"/>
    <w:rsid w:val="00963FD6"/>
    <w:rsid w:val="0096743C"/>
    <w:rsid w:val="009712AB"/>
    <w:rsid w:val="009717DB"/>
    <w:rsid w:val="00972649"/>
    <w:rsid w:val="00973314"/>
    <w:rsid w:val="00973494"/>
    <w:rsid w:val="00973B73"/>
    <w:rsid w:val="00975E2D"/>
    <w:rsid w:val="00976C25"/>
    <w:rsid w:val="0097776B"/>
    <w:rsid w:val="0098004C"/>
    <w:rsid w:val="00980E1F"/>
    <w:rsid w:val="00980E3A"/>
    <w:rsid w:val="00981F15"/>
    <w:rsid w:val="009822C2"/>
    <w:rsid w:val="009833BA"/>
    <w:rsid w:val="00985B75"/>
    <w:rsid w:val="00986B98"/>
    <w:rsid w:val="00987131"/>
    <w:rsid w:val="00987211"/>
    <w:rsid w:val="009902AC"/>
    <w:rsid w:val="009902D6"/>
    <w:rsid w:val="009924B9"/>
    <w:rsid w:val="00992518"/>
    <w:rsid w:val="00992ACF"/>
    <w:rsid w:val="00992D64"/>
    <w:rsid w:val="0099343D"/>
    <w:rsid w:val="00995174"/>
    <w:rsid w:val="00995A42"/>
    <w:rsid w:val="0099696C"/>
    <w:rsid w:val="009A10D9"/>
    <w:rsid w:val="009A3809"/>
    <w:rsid w:val="009A4456"/>
    <w:rsid w:val="009A4722"/>
    <w:rsid w:val="009A70A4"/>
    <w:rsid w:val="009A7821"/>
    <w:rsid w:val="009A7F20"/>
    <w:rsid w:val="009B069F"/>
    <w:rsid w:val="009B09D2"/>
    <w:rsid w:val="009B25A3"/>
    <w:rsid w:val="009B2F6D"/>
    <w:rsid w:val="009B377F"/>
    <w:rsid w:val="009B3F48"/>
    <w:rsid w:val="009B5580"/>
    <w:rsid w:val="009B6CBC"/>
    <w:rsid w:val="009C05B7"/>
    <w:rsid w:val="009C0CA1"/>
    <w:rsid w:val="009C0F35"/>
    <w:rsid w:val="009C1937"/>
    <w:rsid w:val="009C1D03"/>
    <w:rsid w:val="009C3DA0"/>
    <w:rsid w:val="009C7B29"/>
    <w:rsid w:val="009D0128"/>
    <w:rsid w:val="009D13CB"/>
    <w:rsid w:val="009D2E7D"/>
    <w:rsid w:val="009D570A"/>
    <w:rsid w:val="009D5D2D"/>
    <w:rsid w:val="009D64D8"/>
    <w:rsid w:val="009D6ED0"/>
    <w:rsid w:val="009E12D2"/>
    <w:rsid w:val="009E28E1"/>
    <w:rsid w:val="009E2AB5"/>
    <w:rsid w:val="009E33E9"/>
    <w:rsid w:val="009E3FBC"/>
    <w:rsid w:val="009E4C3D"/>
    <w:rsid w:val="009E64AF"/>
    <w:rsid w:val="009E7920"/>
    <w:rsid w:val="009E7B3E"/>
    <w:rsid w:val="009F0BDA"/>
    <w:rsid w:val="009F0C04"/>
    <w:rsid w:val="009F1B7D"/>
    <w:rsid w:val="009F399B"/>
    <w:rsid w:val="009F4F2F"/>
    <w:rsid w:val="009F547D"/>
    <w:rsid w:val="009F5660"/>
    <w:rsid w:val="009F60F8"/>
    <w:rsid w:val="009F62A1"/>
    <w:rsid w:val="009F653F"/>
    <w:rsid w:val="009F7583"/>
    <w:rsid w:val="009F782E"/>
    <w:rsid w:val="009F7A1D"/>
    <w:rsid w:val="009F7AB4"/>
    <w:rsid w:val="00A000E4"/>
    <w:rsid w:val="00A00AA2"/>
    <w:rsid w:val="00A01486"/>
    <w:rsid w:val="00A01E6C"/>
    <w:rsid w:val="00A03378"/>
    <w:rsid w:val="00A0359B"/>
    <w:rsid w:val="00A0503A"/>
    <w:rsid w:val="00A06712"/>
    <w:rsid w:val="00A07E64"/>
    <w:rsid w:val="00A11F54"/>
    <w:rsid w:val="00A1230B"/>
    <w:rsid w:val="00A13F0B"/>
    <w:rsid w:val="00A148FF"/>
    <w:rsid w:val="00A14B1F"/>
    <w:rsid w:val="00A14FA2"/>
    <w:rsid w:val="00A17108"/>
    <w:rsid w:val="00A17ACB"/>
    <w:rsid w:val="00A20699"/>
    <w:rsid w:val="00A215AB"/>
    <w:rsid w:val="00A2232E"/>
    <w:rsid w:val="00A2470C"/>
    <w:rsid w:val="00A2516F"/>
    <w:rsid w:val="00A2664A"/>
    <w:rsid w:val="00A26C65"/>
    <w:rsid w:val="00A27CB8"/>
    <w:rsid w:val="00A31B9A"/>
    <w:rsid w:val="00A32654"/>
    <w:rsid w:val="00A32DA9"/>
    <w:rsid w:val="00A3490A"/>
    <w:rsid w:val="00A34E21"/>
    <w:rsid w:val="00A35C30"/>
    <w:rsid w:val="00A35D63"/>
    <w:rsid w:val="00A363C0"/>
    <w:rsid w:val="00A40A97"/>
    <w:rsid w:val="00A414CF"/>
    <w:rsid w:val="00A43440"/>
    <w:rsid w:val="00A43699"/>
    <w:rsid w:val="00A44108"/>
    <w:rsid w:val="00A45751"/>
    <w:rsid w:val="00A462BE"/>
    <w:rsid w:val="00A50EAC"/>
    <w:rsid w:val="00A51A6A"/>
    <w:rsid w:val="00A52F2E"/>
    <w:rsid w:val="00A53F69"/>
    <w:rsid w:val="00A54E8B"/>
    <w:rsid w:val="00A56063"/>
    <w:rsid w:val="00A563EE"/>
    <w:rsid w:val="00A565D5"/>
    <w:rsid w:val="00A568A0"/>
    <w:rsid w:val="00A57FBE"/>
    <w:rsid w:val="00A6058C"/>
    <w:rsid w:val="00A6165F"/>
    <w:rsid w:val="00A61764"/>
    <w:rsid w:val="00A62CF3"/>
    <w:rsid w:val="00A65F23"/>
    <w:rsid w:val="00A6679C"/>
    <w:rsid w:val="00A66A7E"/>
    <w:rsid w:val="00A66BBE"/>
    <w:rsid w:val="00A70C07"/>
    <w:rsid w:val="00A70E56"/>
    <w:rsid w:val="00A716AF"/>
    <w:rsid w:val="00A72571"/>
    <w:rsid w:val="00A73AAE"/>
    <w:rsid w:val="00A75DB2"/>
    <w:rsid w:val="00A77998"/>
    <w:rsid w:val="00A77B55"/>
    <w:rsid w:val="00A77E07"/>
    <w:rsid w:val="00A80A46"/>
    <w:rsid w:val="00A81DAB"/>
    <w:rsid w:val="00A82508"/>
    <w:rsid w:val="00A82BE6"/>
    <w:rsid w:val="00A83078"/>
    <w:rsid w:val="00A8395F"/>
    <w:rsid w:val="00A847D6"/>
    <w:rsid w:val="00A8558E"/>
    <w:rsid w:val="00A876DE"/>
    <w:rsid w:val="00A90516"/>
    <w:rsid w:val="00A90E2D"/>
    <w:rsid w:val="00A912AC"/>
    <w:rsid w:val="00A93247"/>
    <w:rsid w:val="00A93BB5"/>
    <w:rsid w:val="00A94CF9"/>
    <w:rsid w:val="00A94E32"/>
    <w:rsid w:val="00A95B8E"/>
    <w:rsid w:val="00A96C70"/>
    <w:rsid w:val="00AA1703"/>
    <w:rsid w:val="00AA23D2"/>
    <w:rsid w:val="00AA2972"/>
    <w:rsid w:val="00AA498A"/>
    <w:rsid w:val="00AA4D13"/>
    <w:rsid w:val="00AA7272"/>
    <w:rsid w:val="00AA7B4E"/>
    <w:rsid w:val="00AB0E9F"/>
    <w:rsid w:val="00AB3EDC"/>
    <w:rsid w:val="00AB7107"/>
    <w:rsid w:val="00AB7F62"/>
    <w:rsid w:val="00AC068A"/>
    <w:rsid w:val="00AC0A15"/>
    <w:rsid w:val="00AC1651"/>
    <w:rsid w:val="00AC189B"/>
    <w:rsid w:val="00AC1CAB"/>
    <w:rsid w:val="00AC2574"/>
    <w:rsid w:val="00AC35E5"/>
    <w:rsid w:val="00AC3C73"/>
    <w:rsid w:val="00AC3E60"/>
    <w:rsid w:val="00AC3F1E"/>
    <w:rsid w:val="00AC412C"/>
    <w:rsid w:val="00AC5FBE"/>
    <w:rsid w:val="00AD1E08"/>
    <w:rsid w:val="00AD2422"/>
    <w:rsid w:val="00AD25C6"/>
    <w:rsid w:val="00AD283A"/>
    <w:rsid w:val="00AD30E0"/>
    <w:rsid w:val="00AD49F0"/>
    <w:rsid w:val="00AD6E69"/>
    <w:rsid w:val="00AD7A30"/>
    <w:rsid w:val="00AD7A45"/>
    <w:rsid w:val="00AD7BD1"/>
    <w:rsid w:val="00AE0353"/>
    <w:rsid w:val="00AE058D"/>
    <w:rsid w:val="00AE05A9"/>
    <w:rsid w:val="00AE34EE"/>
    <w:rsid w:val="00AE4BB9"/>
    <w:rsid w:val="00AE4D27"/>
    <w:rsid w:val="00AF17FF"/>
    <w:rsid w:val="00AF589E"/>
    <w:rsid w:val="00AF6BE5"/>
    <w:rsid w:val="00AF74A7"/>
    <w:rsid w:val="00B009B0"/>
    <w:rsid w:val="00B01EB1"/>
    <w:rsid w:val="00B02D83"/>
    <w:rsid w:val="00B03A22"/>
    <w:rsid w:val="00B0491C"/>
    <w:rsid w:val="00B05F97"/>
    <w:rsid w:val="00B064E9"/>
    <w:rsid w:val="00B070AF"/>
    <w:rsid w:val="00B115EE"/>
    <w:rsid w:val="00B1227F"/>
    <w:rsid w:val="00B1318D"/>
    <w:rsid w:val="00B136FB"/>
    <w:rsid w:val="00B13F40"/>
    <w:rsid w:val="00B15AC7"/>
    <w:rsid w:val="00B17254"/>
    <w:rsid w:val="00B17CF1"/>
    <w:rsid w:val="00B20876"/>
    <w:rsid w:val="00B24029"/>
    <w:rsid w:val="00B2532C"/>
    <w:rsid w:val="00B257D6"/>
    <w:rsid w:val="00B27A69"/>
    <w:rsid w:val="00B303FF"/>
    <w:rsid w:val="00B31E7E"/>
    <w:rsid w:val="00B35AEC"/>
    <w:rsid w:val="00B365CC"/>
    <w:rsid w:val="00B3671F"/>
    <w:rsid w:val="00B37032"/>
    <w:rsid w:val="00B4066F"/>
    <w:rsid w:val="00B414F8"/>
    <w:rsid w:val="00B4162B"/>
    <w:rsid w:val="00B41EF9"/>
    <w:rsid w:val="00B420AD"/>
    <w:rsid w:val="00B42C51"/>
    <w:rsid w:val="00B43955"/>
    <w:rsid w:val="00B44865"/>
    <w:rsid w:val="00B44A65"/>
    <w:rsid w:val="00B45480"/>
    <w:rsid w:val="00B47DAC"/>
    <w:rsid w:val="00B47E15"/>
    <w:rsid w:val="00B47FC5"/>
    <w:rsid w:val="00B50120"/>
    <w:rsid w:val="00B51C67"/>
    <w:rsid w:val="00B51CE5"/>
    <w:rsid w:val="00B544FD"/>
    <w:rsid w:val="00B54E72"/>
    <w:rsid w:val="00B55D20"/>
    <w:rsid w:val="00B57F66"/>
    <w:rsid w:val="00B613E7"/>
    <w:rsid w:val="00B61A74"/>
    <w:rsid w:val="00B62FEB"/>
    <w:rsid w:val="00B718EF"/>
    <w:rsid w:val="00B71AE5"/>
    <w:rsid w:val="00B72323"/>
    <w:rsid w:val="00B724C7"/>
    <w:rsid w:val="00B73106"/>
    <w:rsid w:val="00B7329D"/>
    <w:rsid w:val="00B770F7"/>
    <w:rsid w:val="00B77886"/>
    <w:rsid w:val="00B81703"/>
    <w:rsid w:val="00B81D7F"/>
    <w:rsid w:val="00B8267C"/>
    <w:rsid w:val="00B844FB"/>
    <w:rsid w:val="00B85052"/>
    <w:rsid w:val="00B856CE"/>
    <w:rsid w:val="00B86B77"/>
    <w:rsid w:val="00B8751F"/>
    <w:rsid w:val="00B904A9"/>
    <w:rsid w:val="00B90C36"/>
    <w:rsid w:val="00B91BF1"/>
    <w:rsid w:val="00B92433"/>
    <w:rsid w:val="00B92BD4"/>
    <w:rsid w:val="00B93978"/>
    <w:rsid w:val="00B93D91"/>
    <w:rsid w:val="00B9440C"/>
    <w:rsid w:val="00B9441F"/>
    <w:rsid w:val="00B953CD"/>
    <w:rsid w:val="00B9559C"/>
    <w:rsid w:val="00B956C7"/>
    <w:rsid w:val="00B95775"/>
    <w:rsid w:val="00B9699E"/>
    <w:rsid w:val="00B97418"/>
    <w:rsid w:val="00B97452"/>
    <w:rsid w:val="00BA315E"/>
    <w:rsid w:val="00BA5BF7"/>
    <w:rsid w:val="00BA6209"/>
    <w:rsid w:val="00BA6C7F"/>
    <w:rsid w:val="00BB2D9F"/>
    <w:rsid w:val="00BB3EDC"/>
    <w:rsid w:val="00BB56E9"/>
    <w:rsid w:val="00BB624A"/>
    <w:rsid w:val="00BC0BDA"/>
    <w:rsid w:val="00BC3CF9"/>
    <w:rsid w:val="00BC4A36"/>
    <w:rsid w:val="00BC73BF"/>
    <w:rsid w:val="00BD0481"/>
    <w:rsid w:val="00BD0A34"/>
    <w:rsid w:val="00BD331E"/>
    <w:rsid w:val="00BD3E16"/>
    <w:rsid w:val="00BD4735"/>
    <w:rsid w:val="00BD4EFB"/>
    <w:rsid w:val="00BD5025"/>
    <w:rsid w:val="00BD78D4"/>
    <w:rsid w:val="00BD7BB8"/>
    <w:rsid w:val="00BD7C0E"/>
    <w:rsid w:val="00BE194B"/>
    <w:rsid w:val="00BE2102"/>
    <w:rsid w:val="00BE3AE2"/>
    <w:rsid w:val="00BE4C33"/>
    <w:rsid w:val="00BE5132"/>
    <w:rsid w:val="00BE53E5"/>
    <w:rsid w:val="00BE5B1D"/>
    <w:rsid w:val="00BE6774"/>
    <w:rsid w:val="00BE75F0"/>
    <w:rsid w:val="00BE762C"/>
    <w:rsid w:val="00BF3B4F"/>
    <w:rsid w:val="00BF4408"/>
    <w:rsid w:val="00BF59DE"/>
    <w:rsid w:val="00BF5BC4"/>
    <w:rsid w:val="00C020AB"/>
    <w:rsid w:val="00C03A67"/>
    <w:rsid w:val="00C03E1A"/>
    <w:rsid w:val="00C0482F"/>
    <w:rsid w:val="00C04B8F"/>
    <w:rsid w:val="00C061F0"/>
    <w:rsid w:val="00C06D53"/>
    <w:rsid w:val="00C06F0C"/>
    <w:rsid w:val="00C07DCB"/>
    <w:rsid w:val="00C11324"/>
    <w:rsid w:val="00C11AB1"/>
    <w:rsid w:val="00C1388E"/>
    <w:rsid w:val="00C13AB5"/>
    <w:rsid w:val="00C14341"/>
    <w:rsid w:val="00C15962"/>
    <w:rsid w:val="00C15A7F"/>
    <w:rsid w:val="00C165B9"/>
    <w:rsid w:val="00C17D67"/>
    <w:rsid w:val="00C202E4"/>
    <w:rsid w:val="00C23B99"/>
    <w:rsid w:val="00C23C0B"/>
    <w:rsid w:val="00C258C1"/>
    <w:rsid w:val="00C264B0"/>
    <w:rsid w:val="00C27063"/>
    <w:rsid w:val="00C276E6"/>
    <w:rsid w:val="00C27EC1"/>
    <w:rsid w:val="00C31FCF"/>
    <w:rsid w:val="00C322C8"/>
    <w:rsid w:val="00C32317"/>
    <w:rsid w:val="00C33838"/>
    <w:rsid w:val="00C34A34"/>
    <w:rsid w:val="00C3585F"/>
    <w:rsid w:val="00C3633B"/>
    <w:rsid w:val="00C369B2"/>
    <w:rsid w:val="00C3742D"/>
    <w:rsid w:val="00C37FAD"/>
    <w:rsid w:val="00C40A86"/>
    <w:rsid w:val="00C429B2"/>
    <w:rsid w:val="00C42DF1"/>
    <w:rsid w:val="00C43F5D"/>
    <w:rsid w:val="00C46BE6"/>
    <w:rsid w:val="00C46D08"/>
    <w:rsid w:val="00C47302"/>
    <w:rsid w:val="00C478BA"/>
    <w:rsid w:val="00C479BB"/>
    <w:rsid w:val="00C47D70"/>
    <w:rsid w:val="00C501B1"/>
    <w:rsid w:val="00C50345"/>
    <w:rsid w:val="00C504B7"/>
    <w:rsid w:val="00C50557"/>
    <w:rsid w:val="00C52FFE"/>
    <w:rsid w:val="00C56747"/>
    <w:rsid w:val="00C56D04"/>
    <w:rsid w:val="00C60489"/>
    <w:rsid w:val="00C62700"/>
    <w:rsid w:val="00C62BEE"/>
    <w:rsid w:val="00C639C5"/>
    <w:rsid w:val="00C6557D"/>
    <w:rsid w:val="00C66B8D"/>
    <w:rsid w:val="00C678A5"/>
    <w:rsid w:val="00C709B4"/>
    <w:rsid w:val="00C70F25"/>
    <w:rsid w:val="00C71087"/>
    <w:rsid w:val="00C71EE9"/>
    <w:rsid w:val="00C73419"/>
    <w:rsid w:val="00C74840"/>
    <w:rsid w:val="00C7484D"/>
    <w:rsid w:val="00C74F1E"/>
    <w:rsid w:val="00C75B25"/>
    <w:rsid w:val="00C77150"/>
    <w:rsid w:val="00C81E94"/>
    <w:rsid w:val="00C83248"/>
    <w:rsid w:val="00C83F6E"/>
    <w:rsid w:val="00C8533F"/>
    <w:rsid w:val="00C86B6C"/>
    <w:rsid w:val="00C874F4"/>
    <w:rsid w:val="00C87C06"/>
    <w:rsid w:val="00C922D2"/>
    <w:rsid w:val="00C927A7"/>
    <w:rsid w:val="00C92B51"/>
    <w:rsid w:val="00C9325E"/>
    <w:rsid w:val="00C9429F"/>
    <w:rsid w:val="00C9445C"/>
    <w:rsid w:val="00C9644C"/>
    <w:rsid w:val="00C964FD"/>
    <w:rsid w:val="00CA0297"/>
    <w:rsid w:val="00CA05A5"/>
    <w:rsid w:val="00CA0C3E"/>
    <w:rsid w:val="00CA2F46"/>
    <w:rsid w:val="00CA32FD"/>
    <w:rsid w:val="00CA4227"/>
    <w:rsid w:val="00CA4D1D"/>
    <w:rsid w:val="00CA4EA5"/>
    <w:rsid w:val="00CA5F8E"/>
    <w:rsid w:val="00CA63FA"/>
    <w:rsid w:val="00CA7959"/>
    <w:rsid w:val="00CB3EAE"/>
    <w:rsid w:val="00CB4660"/>
    <w:rsid w:val="00CB4CC8"/>
    <w:rsid w:val="00CB657F"/>
    <w:rsid w:val="00CB775D"/>
    <w:rsid w:val="00CC0DEE"/>
    <w:rsid w:val="00CC0FB9"/>
    <w:rsid w:val="00CC1481"/>
    <w:rsid w:val="00CC39B1"/>
    <w:rsid w:val="00CC6EFF"/>
    <w:rsid w:val="00CC7D12"/>
    <w:rsid w:val="00CC7DE7"/>
    <w:rsid w:val="00CC7F6C"/>
    <w:rsid w:val="00CD1A62"/>
    <w:rsid w:val="00CD2E23"/>
    <w:rsid w:val="00CE0013"/>
    <w:rsid w:val="00CE097B"/>
    <w:rsid w:val="00CE182F"/>
    <w:rsid w:val="00CE2C73"/>
    <w:rsid w:val="00CE70E0"/>
    <w:rsid w:val="00CF22DA"/>
    <w:rsid w:val="00CF3EFA"/>
    <w:rsid w:val="00CF4C8F"/>
    <w:rsid w:val="00CF6D0C"/>
    <w:rsid w:val="00CF6FB3"/>
    <w:rsid w:val="00CF797B"/>
    <w:rsid w:val="00CF7A75"/>
    <w:rsid w:val="00D00641"/>
    <w:rsid w:val="00D01290"/>
    <w:rsid w:val="00D01C0E"/>
    <w:rsid w:val="00D01DB3"/>
    <w:rsid w:val="00D06116"/>
    <w:rsid w:val="00D06752"/>
    <w:rsid w:val="00D0752C"/>
    <w:rsid w:val="00D10454"/>
    <w:rsid w:val="00D11292"/>
    <w:rsid w:val="00D14519"/>
    <w:rsid w:val="00D14C4E"/>
    <w:rsid w:val="00D15738"/>
    <w:rsid w:val="00D15E4C"/>
    <w:rsid w:val="00D171C4"/>
    <w:rsid w:val="00D179E0"/>
    <w:rsid w:val="00D17B0D"/>
    <w:rsid w:val="00D209C1"/>
    <w:rsid w:val="00D2118A"/>
    <w:rsid w:val="00D21B71"/>
    <w:rsid w:val="00D242BD"/>
    <w:rsid w:val="00D24C83"/>
    <w:rsid w:val="00D25599"/>
    <w:rsid w:val="00D26086"/>
    <w:rsid w:val="00D266DF"/>
    <w:rsid w:val="00D270B4"/>
    <w:rsid w:val="00D27335"/>
    <w:rsid w:val="00D2798F"/>
    <w:rsid w:val="00D31B94"/>
    <w:rsid w:val="00D31C6D"/>
    <w:rsid w:val="00D31DD8"/>
    <w:rsid w:val="00D32FE4"/>
    <w:rsid w:val="00D343FF"/>
    <w:rsid w:val="00D34BC5"/>
    <w:rsid w:val="00D3523E"/>
    <w:rsid w:val="00D3659D"/>
    <w:rsid w:val="00D36D93"/>
    <w:rsid w:val="00D3722C"/>
    <w:rsid w:val="00D41733"/>
    <w:rsid w:val="00D4532B"/>
    <w:rsid w:val="00D4714B"/>
    <w:rsid w:val="00D47702"/>
    <w:rsid w:val="00D508C8"/>
    <w:rsid w:val="00D5244B"/>
    <w:rsid w:val="00D5325D"/>
    <w:rsid w:val="00D54165"/>
    <w:rsid w:val="00D54400"/>
    <w:rsid w:val="00D54DDB"/>
    <w:rsid w:val="00D54FE8"/>
    <w:rsid w:val="00D572A7"/>
    <w:rsid w:val="00D5730F"/>
    <w:rsid w:val="00D6066E"/>
    <w:rsid w:val="00D62F9D"/>
    <w:rsid w:val="00D63601"/>
    <w:rsid w:val="00D6366B"/>
    <w:rsid w:val="00D649D2"/>
    <w:rsid w:val="00D64CF2"/>
    <w:rsid w:val="00D658DA"/>
    <w:rsid w:val="00D66399"/>
    <w:rsid w:val="00D66861"/>
    <w:rsid w:val="00D668DE"/>
    <w:rsid w:val="00D67DB7"/>
    <w:rsid w:val="00D70121"/>
    <w:rsid w:val="00D72798"/>
    <w:rsid w:val="00D74524"/>
    <w:rsid w:val="00D74B71"/>
    <w:rsid w:val="00D76FA0"/>
    <w:rsid w:val="00D80CDE"/>
    <w:rsid w:val="00D82021"/>
    <w:rsid w:val="00D852A0"/>
    <w:rsid w:val="00D86324"/>
    <w:rsid w:val="00D8681E"/>
    <w:rsid w:val="00D87B0F"/>
    <w:rsid w:val="00D91E2E"/>
    <w:rsid w:val="00D92838"/>
    <w:rsid w:val="00D9288A"/>
    <w:rsid w:val="00D9348C"/>
    <w:rsid w:val="00D93953"/>
    <w:rsid w:val="00D95C0C"/>
    <w:rsid w:val="00D96E0D"/>
    <w:rsid w:val="00D977AF"/>
    <w:rsid w:val="00D9789C"/>
    <w:rsid w:val="00DA00D9"/>
    <w:rsid w:val="00DA02DC"/>
    <w:rsid w:val="00DA1CD4"/>
    <w:rsid w:val="00DA2206"/>
    <w:rsid w:val="00DA2612"/>
    <w:rsid w:val="00DA2DFF"/>
    <w:rsid w:val="00DA7EBE"/>
    <w:rsid w:val="00DB0DA5"/>
    <w:rsid w:val="00DB1814"/>
    <w:rsid w:val="00DB2D55"/>
    <w:rsid w:val="00DB2FAC"/>
    <w:rsid w:val="00DB43BB"/>
    <w:rsid w:val="00DB4868"/>
    <w:rsid w:val="00DB791E"/>
    <w:rsid w:val="00DB7EFE"/>
    <w:rsid w:val="00DC0554"/>
    <w:rsid w:val="00DC0ED4"/>
    <w:rsid w:val="00DC174E"/>
    <w:rsid w:val="00DC1C20"/>
    <w:rsid w:val="00DC2C15"/>
    <w:rsid w:val="00DC328B"/>
    <w:rsid w:val="00DC36FB"/>
    <w:rsid w:val="00DC4BD8"/>
    <w:rsid w:val="00DC5522"/>
    <w:rsid w:val="00DC6686"/>
    <w:rsid w:val="00DC79B8"/>
    <w:rsid w:val="00DD078A"/>
    <w:rsid w:val="00DD1B67"/>
    <w:rsid w:val="00DD4203"/>
    <w:rsid w:val="00DD42DE"/>
    <w:rsid w:val="00DD43CC"/>
    <w:rsid w:val="00DD45B6"/>
    <w:rsid w:val="00DD48C4"/>
    <w:rsid w:val="00DD48C7"/>
    <w:rsid w:val="00DD57C8"/>
    <w:rsid w:val="00DD5B98"/>
    <w:rsid w:val="00DD64D6"/>
    <w:rsid w:val="00DD6BC6"/>
    <w:rsid w:val="00DE0A6D"/>
    <w:rsid w:val="00DE105E"/>
    <w:rsid w:val="00DE14F3"/>
    <w:rsid w:val="00DE1D38"/>
    <w:rsid w:val="00DE2157"/>
    <w:rsid w:val="00DE2A7A"/>
    <w:rsid w:val="00DE2C96"/>
    <w:rsid w:val="00DE37CB"/>
    <w:rsid w:val="00DE3817"/>
    <w:rsid w:val="00DE4177"/>
    <w:rsid w:val="00DE521D"/>
    <w:rsid w:val="00DE55D5"/>
    <w:rsid w:val="00DE59FE"/>
    <w:rsid w:val="00DE726A"/>
    <w:rsid w:val="00DE7F95"/>
    <w:rsid w:val="00DF02EC"/>
    <w:rsid w:val="00DF2FE3"/>
    <w:rsid w:val="00DF421C"/>
    <w:rsid w:val="00DF53CF"/>
    <w:rsid w:val="00DF5AD2"/>
    <w:rsid w:val="00DF61ED"/>
    <w:rsid w:val="00DF6C66"/>
    <w:rsid w:val="00E00241"/>
    <w:rsid w:val="00E04542"/>
    <w:rsid w:val="00E06299"/>
    <w:rsid w:val="00E06FEC"/>
    <w:rsid w:val="00E07954"/>
    <w:rsid w:val="00E1068C"/>
    <w:rsid w:val="00E10948"/>
    <w:rsid w:val="00E10D8F"/>
    <w:rsid w:val="00E1610F"/>
    <w:rsid w:val="00E179CE"/>
    <w:rsid w:val="00E2045B"/>
    <w:rsid w:val="00E21BC5"/>
    <w:rsid w:val="00E24C35"/>
    <w:rsid w:val="00E2578F"/>
    <w:rsid w:val="00E25A08"/>
    <w:rsid w:val="00E2644E"/>
    <w:rsid w:val="00E270E1"/>
    <w:rsid w:val="00E3014F"/>
    <w:rsid w:val="00E30232"/>
    <w:rsid w:val="00E3078D"/>
    <w:rsid w:val="00E31171"/>
    <w:rsid w:val="00E31A22"/>
    <w:rsid w:val="00E31AB0"/>
    <w:rsid w:val="00E3238C"/>
    <w:rsid w:val="00E35059"/>
    <w:rsid w:val="00E35468"/>
    <w:rsid w:val="00E41F5F"/>
    <w:rsid w:val="00E421BE"/>
    <w:rsid w:val="00E4289D"/>
    <w:rsid w:val="00E45191"/>
    <w:rsid w:val="00E46C99"/>
    <w:rsid w:val="00E46DD0"/>
    <w:rsid w:val="00E52E4F"/>
    <w:rsid w:val="00E54212"/>
    <w:rsid w:val="00E549F1"/>
    <w:rsid w:val="00E5585E"/>
    <w:rsid w:val="00E55BE0"/>
    <w:rsid w:val="00E55C95"/>
    <w:rsid w:val="00E55EFF"/>
    <w:rsid w:val="00E56245"/>
    <w:rsid w:val="00E57721"/>
    <w:rsid w:val="00E57807"/>
    <w:rsid w:val="00E60965"/>
    <w:rsid w:val="00E623B4"/>
    <w:rsid w:val="00E623FF"/>
    <w:rsid w:val="00E66E82"/>
    <w:rsid w:val="00E672D7"/>
    <w:rsid w:val="00E679F2"/>
    <w:rsid w:val="00E746BD"/>
    <w:rsid w:val="00E749CC"/>
    <w:rsid w:val="00E75566"/>
    <w:rsid w:val="00E77D69"/>
    <w:rsid w:val="00E80C84"/>
    <w:rsid w:val="00E81C69"/>
    <w:rsid w:val="00E82D0F"/>
    <w:rsid w:val="00E836AA"/>
    <w:rsid w:val="00E84951"/>
    <w:rsid w:val="00E86603"/>
    <w:rsid w:val="00E86B46"/>
    <w:rsid w:val="00E87010"/>
    <w:rsid w:val="00E87EE3"/>
    <w:rsid w:val="00E91D2A"/>
    <w:rsid w:val="00E9259F"/>
    <w:rsid w:val="00E9280A"/>
    <w:rsid w:val="00E946DB"/>
    <w:rsid w:val="00E94BB8"/>
    <w:rsid w:val="00E95863"/>
    <w:rsid w:val="00E96B86"/>
    <w:rsid w:val="00E96FC1"/>
    <w:rsid w:val="00EA0839"/>
    <w:rsid w:val="00EA14DC"/>
    <w:rsid w:val="00EA1A4E"/>
    <w:rsid w:val="00EA2331"/>
    <w:rsid w:val="00EA31D4"/>
    <w:rsid w:val="00EA5A3F"/>
    <w:rsid w:val="00EA7039"/>
    <w:rsid w:val="00EA787C"/>
    <w:rsid w:val="00EB0555"/>
    <w:rsid w:val="00EB21B1"/>
    <w:rsid w:val="00EB2329"/>
    <w:rsid w:val="00EB25EE"/>
    <w:rsid w:val="00EB27EB"/>
    <w:rsid w:val="00EB2AB1"/>
    <w:rsid w:val="00EB52A5"/>
    <w:rsid w:val="00EB5FFF"/>
    <w:rsid w:val="00EB6A34"/>
    <w:rsid w:val="00EC5DD5"/>
    <w:rsid w:val="00EC6573"/>
    <w:rsid w:val="00EC7A1D"/>
    <w:rsid w:val="00EC7D32"/>
    <w:rsid w:val="00ED07A1"/>
    <w:rsid w:val="00ED0AEC"/>
    <w:rsid w:val="00ED1494"/>
    <w:rsid w:val="00ED1728"/>
    <w:rsid w:val="00ED1754"/>
    <w:rsid w:val="00ED1B72"/>
    <w:rsid w:val="00ED2890"/>
    <w:rsid w:val="00ED4EAC"/>
    <w:rsid w:val="00ED527F"/>
    <w:rsid w:val="00ED5ABF"/>
    <w:rsid w:val="00ED6E84"/>
    <w:rsid w:val="00ED7C6F"/>
    <w:rsid w:val="00EE010E"/>
    <w:rsid w:val="00EE0980"/>
    <w:rsid w:val="00EE6402"/>
    <w:rsid w:val="00EE7248"/>
    <w:rsid w:val="00EF0ED9"/>
    <w:rsid w:val="00EF1AD2"/>
    <w:rsid w:val="00EF3023"/>
    <w:rsid w:val="00EF3996"/>
    <w:rsid w:val="00EF4234"/>
    <w:rsid w:val="00EF7226"/>
    <w:rsid w:val="00EF7944"/>
    <w:rsid w:val="00F04E8F"/>
    <w:rsid w:val="00F0528D"/>
    <w:rsid w:val="00F059A4"/>
    <w:rsid w:val="00F06655"/>
    <w:rsid w:val="00F06C4D"/>
    <w:rsid w:val="00F104FE"/>
    <w:rsid w:val="00F10878"/>
    <w:rsid w:val="00F11B98"/>
    <w:rsid w:val="00F12690"/>
    <w:rsid w:val="00F14205"/>
    <w:rsid w:val="00F147B9"/>
    <w:rsid w:val="00F14E59"/>
    <w:rsid w:val="00F162FD"/>
    <w:rsid w:val="00F1760B"/>
    <w:rsid w:val="00F25333"/>
    <w:rsid w:val="00F25B1B"/>
    <w:rsid w:val="00F2652C"/>
    <w:rsid w:val="00F27B2D"/>
    <w:rsid w:val="00F30040"/>
    <w:rsid w:val="00F30991"/>
    <w:rsid w:val="00F30F7B"/>
    <w:rsid w:val="00F3326D"/>
    <w:rsid w:val="00F350DC"/>
    <w:rsid w:val="00F36059"/>
    <w:rsid w:val="00F3630A"/>
    <w:rsid w:val="00F374D6"/>
    <w:rsid w:val="00F408B2"/>
    <w:rsid w:val="00F41556"/>
    <w:rsid w:val="00F42FCE"/>
    <w:rsid w:val="00F45379"/>
    <w:rsid w:val="00F45ADE"/>
    <w:rsid w:val="00F46F9E"/>
    <w:rsid w:val="00F4775B"/>
    <w:rsid w:val="00F479D1"/>
    <w:rsid w:val="00F479E2"/>
    <w:rsid w:val="00F479E9"/>
    <w:rsid w:val="00F5071F"/>
    <w:rsid w:val="00F50E7F"/>
    <w:rsid w:val="00F5111D"/>
    <w:rsid w:val="00F52261"/>
    <w:rsid w:val="00F52606"/>
    <w:rsid w:val="00F542AF"/>
    <w:rsid w:val="00F5431B"/>
    <w:rsid w:val="00F55021"/>
    <w:rsid w:val="00F55382"/>
    <w:rsid w:val="00F557ED"/>
    <w:rsid w:val="00F56194"/>
    <w:rsid w:val="00F56520"/>
    <w:rsid w:val="00F57CF5"/>
    <w:rsid w:val="00F57CFC"/>
    <w:rsid w:val="00F60E76"/>
    <w:rsid w:val="00F61925"/>
    <w:rsid w:val="00F62F92"/>
    <w:rsid w:val="00F64AA3"/>
    <w:rsid w:val="00F64B61"/>
    <w:rsid w:val="00F64E58"/>
    <w:rsid w:val="00F659C8"/>
    <w:rsid w:val="00F6759C"/>
    <w:rsid w:val="00F678F9"/>
    <w:rsid w:val="00F67E9F"/>
    <w:rsid w:val="00F70577"/>
    <w:rsid w:val="00F70631"/>
    <w:rsid w:val="00F70C35"/>
    <w:rsid w:val="00F70D9C"/>
    <w:rsid w:val="00F71737"/>
    <w:rsid w:val="00F71B6B"/>
    <w:rsid w:val="00F73FF8"/>
    <w:rsid w:val="00F77771"/>
    <w:rsid w:val="00F77FB8"/>
    <w:rsid w:val="00F800CC"/>
    <w:rsid w:val="00F83366"/>
    <w:rsid w:val="00F83F79"/>
    <w:rsid w:val="00F848EC"/>
    <w:rsid w:val="00F852BD"/>
    <w:rsid w:val="00F8782A"/>
    <w:rsid w:val="00F90012"/>
    <w:rsid w:val="00F901A5"/>
    <w:rsid w:val="00F90B6B"/>
    <w:rsid w:val="00F93AD0"/>
    <w:rsid w:val="00F93FAF"/>
    <w:rsid w:val="00F94B95"/>
    <w:rsid w:val="00F976E2"/>
    <w:rsid w:val="00F97CB5"/>
    <w:rsid w:val="00FA09F6"/>
    <w:rsid w:val="00FA0E16"/>
    <w:rsid w:val="00FA4424"/>
    <w:rsid w:val="00FA4DB7"/>
    <w:rsid w:val="00FA5659"/>
    <w:rsid w:val="00FA645E"/>
    <w:rsid w:val="00FA7AA3"/>
    <w:rsid w:val="00FA7FD9"/>
    <w:rsid w:val="00FB27A3"/>
    <w:rsid w:val="00FB2E45"/>
    <w:rsid w:val="00FB4E37"/>
    <w:rsid w:val="00FB4F75"/>
    <w:rsid w:val="00FB4FB4"/>
    <w:rsid w:val="00FB59EF"/>
    <w:rsid w:val="00FB5D14"/>
    <w:rsid w:val="00FB63EC"/>
    <w:rsid w:val="00FB6D5B"/>
    <w:rsid w:val="00FC102F"/>
    <w:rsid w:val="00FC3152"/>
    <w:rsid w:val="00FC3263"/>
    <w:rsid w:val="00FC4369"/>
    <w:rsid w:val="00FC54AB"/>
    <w:rsid w:val="00FC58E7"/>
    <w:rsid w:val="00FC5B17"/>
    <w:rsid w:val="00FC604F"/>
    <w:rsid w:val="00FD06FF"/>
    <w:rsid w:val="00FD0F32"/>
    <w:rsid w:val="00FD119F"/>
    <w:rsid w:val="00FD1714"/>
    <w:rsid w:val="00FD1FF5"/>
    <w:rsid w:val="00FD365F"/>
    <w:rsid w:val="00FD3A14"/>
    <w:rsid w:val="00FD3DFF"/>
    <w:rsid w:val="00FD6492"/>
    <w:rsid w:val="00FD649F"/>
    <w:rsid w:val="00FD694C"/>
    <w:rsid w:val="00FD71C3"/>
    <w:rsid w:val="00FD71E5"/>
    <w:rsid w:val="00FD7D73"/>
    <w:rsid w:val="00FE11AD"/>
    <w:rsid w:val="00FE39F7"/>
    <w:rsid w:val="00FE3BD3"/>
    <w:rsid w:val="00FE543C"/>
    <w:rsid w:val="00FE69E4"/>
    <w:rsid w:val="00FE6C2E"/>
    <w:rsid w:val="00FE6C36"/>
    <w:rsid w:val="00FE7455"/>
    <w:rsid w:val="00FF0875"/>
    <w:rsid w:val="00FF13C7"/>
    <w:rsid w:val="00FF28C1"/>
    <w:rsid w:val="00FF4A63"/>
    <w:rsid w:val="00FF4EC1"/>
    <w:rsid w:val="00FF5D5C"/>
    <w:rsid w:val="00FF5E29"/>
    <w:rsid w:val="00FF60E1"/>
    <w:rsid w:val="00FF781E"/>
    <w:rsid w:val="0100556D"/>
    <w:rsid w:val="0109524A"/>
    <w:rsid w:val="012F7150"/>
    <w:rsid w:val="013633C1"/>
    <w:rsid w:val="0161074E"/>
    <w:rsid w:val="018A4392"/>
    <w:rsid w:val="01C62562"/>
    <w:rsid w:val="01D45B8B"/>
    <w:rsid w:val="01E860CC"/>
    <w:rsid w:val="02183ED1"/>
    <w:rsid w:val="023E309E"/>
    <w:rsid w:val="0254304C"/>
    <w:rsid w:val="02572C86"/>
    <w:rsid w:val="026C72E9"/>
    <w:rsid w:val="027949DA"/>
    <w:rsid w:val="02E56BB2"/>
    <w:rsid w:val="02E67803"/>
    <w:rsid w:val="02EB0026"/>
    <w:rsid w:val="02FA2F09"/>
    <w:rsid w:val="03131C39"/>
    <w:rsid w:val="032C5684"/>
    <w:rsid w:val="03311E81"/>
    <w:rsid w:val="034406DA"/>
    <w:rsid w:val="035B056F"/>
    <w:rsid w:val="0367633C"/>
    <w:rsid w:val="038D76BF"/>
    <w:rsid w:val="038F0F2B"/>
    <w:rsid w:val="03CC5C15"/>
    <w:rsid w:val="04017105"/>
    <w:rsid w:val="04293415"/>
    <w:rsid w:val="043613BF"/>
    <w:rsid w:val="043622B3"/>
    <w:rsid w:val="04530213"/>
    <w:rsid w:val="0484549D"/>
    <w:rsid w:val="048528F7"/>
    <w:rsid w:val="04977D9A"/>
    <w:rsid w:val="04AF11BA"/>
    <w:rsid w:val="04E73017"/>
    <w:rsid w:val="04E96BA6"/>
    <w:rsid w:val="04F25439"/>
    <w:rsid w:val="04F702EB"/>
    <w:rsid w:val="050A136F"/>
    <w:rsid w:val="052F7CB7"/>
    <w:rsid w:val="053103D7"/>
    <w:rsid w:val="053D35FB"/>
    <w:rsid w:val="054C6613"/>
    <w:rsid w:val="055A2D2E"/>
    <w:rsid w:val="056B28B9"/>
    <w:rsid w:val="056B574A"/>
    <w:rsid w:val="05864710"/>
    <w:rsid w:val="058F15E0"/>
    <w:rsid w:val="059F0DD2"/>
    <w:rsid w:val="05B90953"/>
    <w:rsid w:val="05D27500"/>
    <w:rsid w:val="05E63000"/>
    <w:rsid w:val="05F36774"/>
    <w:rsid w:val="06041ADD"/>
    <w:rsid w:val="06302B10"/>
    <w:rsid w:val="06362257"/>
    <w:rsid w:val="064204E4"/>
    <w:rsid w:val="06496E25"/>
    <w:rsid w:val="064D2DC9"/>
    <w:rsid w:val="06526309"/>
    <w:rsid w:val="06530960"/>
    <w:rsid w:val="067E3D27"/>
    <w:rsid w:val="068B62EA"/>
    <w:rsid w:val="06A25AB9"/>
    <w:rsid w:val="06BE2F5B"/>
    <w:rsid w:val="06D3072B"/>
    <w:rsid w:val="06E130A0"/>
    <w:rsid w:val="06F43020"/>
    <w:rsid w:val="07175E3E"/>
    <w:rsid w:val="07263687"/>
    <w:rsid w:val="073C666A"/>
    <w:rsid w:val="07425F54"/>
    <w:rsid w:val="076144D6"/>
    <w:rsid w:val="07684BC4"/>
    <w:rsid w:val="076C4100"/>
    <w:rsid w:val="077A3735"/>
    <w:rsid w:val="07A34C16"/>
    <w:rsid w:val="07C37A57"/>
    <w:rsid w:val="07C667DA"/>
    <w:rsid w:val="07EF5301"/>
    <w:rsid w:val="07F3337D"/>
    <w:rsid w:val="080B4B30"/>
    <w:rsid w:val="081A66A2"/>
    <w:rsid w:val="084A28CC"/>
    <w:rsid w:val="08534DEA"/>
    <w:rsid w:val="085A2AF4"/>
    <w:rsid w:val="08666A3E"/>
    <w:rsid w:val="0894704F"/>
    <w:rsid w:val="089B3174"/>
    <w:rsid w:val="08BB732F"/>
    <w:rsid w:val="08E8376E"/>
    <w:rsid w:val="08EC4507"/>
    <w:rsid w:val="08F9463E"/>
    <w:rsid w:val="09295B17"/>
    <w:rsid w:val="093560F5"/>
    <w:rsid w:val="093B2B06"/>
    <w:rsid w:val="093F3C37"/>
    <w:rsid w:val="095115DC"/>
    <w:rsid w:val="0951766A"/>
    <w:rsid w:val="096B2B7E"/>
    <w:rsid w:val="097B0A87"/>
    <w:rsid w:val="097F6609"/>
    <w:rsid w:val="09853210"/>
    <w:rsid w:val="099917A2"/>
    <w:rsid w:val="09A24D06"/>
    <w:rsid w:val="09A37234"/>
    <w:rsid w:val="09DA4A41"/>
    <w:rsid w:val="0A012D2A"/>
    <w:rsid w:val="0A084995"/>
    <w:rsid w:val="0A0A0C31"/>
    <w:rsid w:val="0A0F218D"/>
    <w:rsid w:val="0A1965CE"/>
    <w:rsid w:val="0A3E60BF"/>
    <w:rsid w:val="0A4F08C9"/>
    <w:rsid w:val="0A62054D"/>
    <w:rsid w:val="0A6D7B61"/>
    <w:rsid w:val="0A702128"/>
    <w:rsid w:val="0A7E1980"/>
    <w:rsid w:val="0AB60DAC"/>
    <w:rsid w:val="0ACA5AAD"/>
    <w:rsid w:val="0AF02DB2"/>
    <w:rsid w:val="0B1428AC"/>
    <w:rsid w:val="0B2334E8"/>
    <w:rsid w:val="0B386F3D"/>
    <w:rsid w:val="0B505547"/>
    <w:rsid w:val="0B5278D5"/>
    <w:rsid w:val="0B602252"/>
    <w:rsid w:val="0B766F39"/>
    <w:rsid w:val="0B857F68"/>
    <w:rsid w:val="0B863119"/>
    <w:rsid w:val="0BA37790"/>
    <w:rsid w:val="0BC52B7E"/>
    <w:rsid w:val="0BCD39F0"/>
    <w:rsid w:val="0BCF3779"/>
    <w:rsid w:val="0BD04B49"/>
    <w:rsid w:val="0C096E3F"/>
    <w:rsid w:val="0C156E6A"/>
    <w:rsid w:val="0C38797C"/>
    <w:rsid w:val="0C5105CE"/>
    <w:rsid w:val="0C5561E2"/>
    <w:rsid w:val="0C5A2092"/>
    <w:rsid w:val="0C5A4DB6"/>
    <w:rsid w:val="0C5D156C"/>
    <w:rsid w:val="0C605C35"/>
    <w:rsid w:val="0C7D3292"/>
    <w:rsid w:val="0C8D0110"/>
    <w:rsid w:val="0CC35BA6"/>
    <w:rsid w:val="0CD273B9"/>
    <w:rsid w:val="0D07326F"/>
    <w:rsid w:val="0D0A6F38"/>
    <w:rsid w:val="0D0C6DD0"/>
    <w:rsid w:val="0D241A43"/>
    <w:rsid w:val="0D515781"/>
    <w:rsid w:val="0D7314C0"/>
    <w:rsid w:val="0DAE016C"/>
    <w:rsid w:val="0DB50B13"/>
    <w:rsid w:val="0DB96EBC"/>
    <w:rsid w:val="0DCF2BFB"/>
    <w:rsid w:val="0DF10AA5"/>
    <w:rsid w:val="0E124C7E"/>
    <w:rsid w:val="0E1345BD"/>
    <w:rsid w:val="0E1C4DEC"/>
    <w:rsid w:val="0E4851B1"/>
    <w:rsid w:val="0E7B74FF"/>
    <w:rsid w:val="0E86617F"/>
    <w:rsid w:val="0E88732A"/>
    <w:rsid w:val="0E8B7C65"/>
    <w:rsid w:val="0E935D72"/>
    <w:rsid w:val="0E95384E"/>
    <w:rsid w:val="0E9A69D1"/>
    <w:rsid w:val="0EA96EF7"/>
    <w:rsid w:val="0F181637"/>
    <w:rsid w:val="0F216FC8"/>
    <w:rsid w:val="0F485F41"/>
    <w:rsid w:val="0F4A0492"/>
    <w:rsid w:val="0F59553F"/>
    <w:rsid w:val="0F736731"/>
    <w:rsid w:val="0F790F64"/>
    <w:rsid w:val="0F7D0070"/>
    <w:rsid w:val="0F8A5413"/>
    <w:rsid w:val="0F8D209C"/>
    <w:rsid w:val="0FB53F52"/>
    <w:rsid w:val="0FBC1351"/>
    <w:rsid w:val="0FDF7412"/>
    <w:rsid w:val="0FE314E3"/>
    <w:rsid w:val="101E7EF1"/>
    <w:rsid w:val="1045419A"/>
    <w:rsid w:val="104A7A0C"/>
    <w:rsid w:val="10610877"/>
    <w:rsid w:val="10677DB3"/>
    <w:rsid w:val="109265C6"/>
    <w:rsid w:val="10A94E7F"/>
    <w:rsid w:val="10EA164D"/>
    <w:rsid w:val="10FD39C4"/>
    <w:rsid w:val="10FD6B59"/>
    <w:rsid w:val="1107127A"/>
    <w:rsid w:val="1109320A"/>
    <w:rsid w:val="11383BF5"/>
    <w:rsid w:val="11480F15"/>
    <w:rsid w:val="118528AF"/>
    <w:rsid w:val="119F67E9"/>
    <w:rsid w:val="11E104C9"/>
    <w:rsid w:val="11FA7ACD"/>
    <w:rsid w:val="123A6655"/>
    <w:rsid w:val="12417234"/>
    <w:rsid w:val="12523F26"/>
    <w:rsid w:val="12643AC0"/>
    <w:rsid w:val="128B753A"/>
    <w:rsid w:val="12D646F0"/>
    <w:rsid w:val="12E81B7A"/>
    <w:rsid w:val="131B68DF"/>
    <w:rsid w:val="134A7D5A"/>
    <w:rsid w:val="13604592"/>
    <w:rsid w:val="13795818"/>
    <w:rsid w:val="13A64337"/>
    <w:rsid w:val="13AA5EC5"/>
    <w:rsid w:val="13BD5994"/>
    <w:rsid w:val="13F8254B"/>
    <w:rsid w:val="14010B9F"/>
    <w:rsid w:val="14053ED3"/>
    <w:rsid w:val="145D28C5"/>
    <w:rsid w:val="14B75F16"/>
    <w:rsid w:val="14BB08C0"/>
    <w:rsid w:val="14E57331"/>
    <w:rsid w:val="15036BFD"/>
    <w:rsid w:val="15074FB3"/>
    <w:rsid w:val="150E37F3"/>
    <w:rsid w:val="15220268"/>
    <w:rsid w:val="155454B9"/>
    <w:rsid w:val="155B40AB"/>
    <w:rsid w:val="156D1DB9"/>
    <w:rsid w:val="157D4226"/>
    <w:rsid w:val="15805CC9"/>
    <w:rsid w:val="1596620A"/>
    <w:rsid w:val="159D16D8"/>
    <w:rsid w:val="15A55913"/>
    <w:rsid w:val="15CB1E8C"/>
    <w:rsid w:val="15DB6224"/>
    <w:rsid w:val="15F042E2"/>
    <w:rsid w:val="15F8055E"/>
    <w:rsid w:val="16416A5F"/>
    <w:rsid w:val="1681567F"/>
    <w:rsid w:val="16985F3D"/>
    <w:rsid w:val="16A1157C"/>
    <w:rsid w:val="16AA2CE7"/>
    <w:rsid w:val="16BB251C"/>
    <w:rsid w:val="171E19D1"/>
    <w:rsid w:val="17276240"/>
    <w:rsid w:val="17305008"/>
    <w:rsid w:val="17537733"/>
    <w:rsid w:val="1759567E"/>
    <w:rsid w:val="175A481A"/>
    <w:rsid w:val="175A6EB3"/>
    <w:rsid w:val="175F1C8D"/>
    <w:rsid w:val="17813F5A"/>
    <w:rsid w:val="1784352A"/>
    <w:rsid w:val="178B1B3C"/>
    <w:rsid w:val="17D14E1A"/>
    <w:rsid w:val="18036713"/>
    <w:rsid w:val="180954D0"/>
    <w:rsid w:val="181B4534"/>
    <w:rsid w:val="183557ED"/>
    <w:rsid w:val="183E697C"/>
    <w:rsid w:val="18651A86"/>
    <w:rsid w:val="189118CB"/>
    <w:rsid w:val="18AD4A0C"/>
    <w:rsid w:val="18E87990"/>
    <w:rsid w:val="18EF38C7"/>
    <w:rsid w:val="19014B43"/>
    <w:rsid w:val="1905388B"/>
    <w:rsid w:val="19382051"/>
    <w:rsid w:val="1944498B"/>
    <w:rsid w:val="19526B04"/>
    <w:rsid w:val="19760251"/>
    <w:rsid w:val="198C6194"/>
    <w:rsid w:val="19914982"/>
    <w:rsid w:val="19D447CA"/>
    <w:rsid w:val="19E5750D"/>
    <w:rsid w:val="1A157AAB"/>
    <w:rsid w:val="1A2160D3"/>
    <w:rsid w:val="1A327792"/>
    <w:rsid w:val="1A8B7A99"/>
    <w:rsid w:val="1AB36BDC"/>
    <w:rsid w:val="1AD2349E"/>
    <w:rsid w:val="1AE25E64"/>
    <w:rsid w:val="1AFD503D"/>
    <w:rsid w:val="1B056844"/>
    <w:rsid w:val="1B194ACA"/>
    <w:rsid w:val="1B2B5FBD"/>
    <w:rsid w:val="1B36062D"/>
    <w:rsid w:val="1B443FF7"/>
    <w:rsid w:val="1B5941E5"/>
    <w:rsid w:val="1B612DBD"/>
    <w:rsid w:val="1B62013C"/>
    <w:rsid w:val="1B631071"/>
    <w:rsid w:val="1B6458B8"/>
    <w:rsid w:val="1BA17CC8"/>
    <w:rsid w:val="1BBA0654"/>
    <w:rsid w:val="1BBC5E65"/>
    <w:rsid w:val="1BBE54CE"/>
    <w:rsid w:val="1BFB25C9"/>
    <w:rsid w:val="1C1B1AEA"/>
    <w:rsid w:val="1C2B5096"/>
    <w:rsid w:val="1C420F68"/>
    <w:rsid w:val="1C4D3DC2"/>
    <w:rsid w:val="1C514056"/>
    <w:rsid w:val="1C532135"/>
    <w:rsid w:val="1C601310"/>
    <w:rsid w:val="1C8F14AF"/>
    <w:rsid w:val="1C92007A"/>
    <w:rsid w:val="1C9A61B9"/>
    <w:rsid w:val="1CFB27D8"/>
    <w:rsid w:val="1D020417"/>
    <w:rsid w:val="1D1130D6"/>
    <w:rsid w:val="1D1660F5"/>
    <w:rsid w:val="1D1A5F7F"/>
    <w:rsid w:val="1D2833EF"/>
    <w:rsid w:val="1D3C4BBF"/>
    <w:rsid w:val="1D4112C5"/>
    <w:rsid w:val="1D5C636B"/>
    <w:rsid w:val="1DB31DC6"/>
    <w:rsid w:val="1DDC3D55"/>
    <w:rsid w:val="1DE03110"/>
    <w:rsid w:val="1DE55A3F"/>
    <w:rsid w:val="1DE71C83"/>
    <w:rsid w:val="1DE84E72"/>
    <w:rsid w:val="1DF73FBD"/>
    <w:rsid w:val="1E121454"/>
    <w:rsid w:val="1E3D7831"/>
    <w:rsid w:val="1E433468"/>
    <w:rsid w:val="1E4632F1"/>
    <w:rsid w:val="1E495B86"/>
    <w:rsid w:val="1E550A65"/>
    <w:rsid w:val="1E572316"/>
    <w:rsid w:val="1E6432EF"/>
    <w:rsid w:val="1E730423"/>
    <w:rsid w:val="1E8C4506"/>
    <w:rsid w:val="1E8C6470"/>
    <w:rsid w:val="1E9263FD"/>
    <w:rsid w:val="1EA73A0B"/>
    <w:rsid w:val="1EBC6D7F"/>
    <w:rsid w:val="1EED6227"/>
    <w:rsid w:val="1F1F00F3"/>
    <w:rsid w:val="1F3C6C36"/>
    <w:rsid w:val="1F483D38"/>
    <w:rsid w:val="1F490BFA"/>
    <w:rsid w:val="1F4C55A3"/>
    <w:rsid w:val="1F851DE5"/>
    <w:rsid w:val="1F9703C3"/>
    <w:rsid w:val="1F9D701C"/>
    <w:rsid w:val="1FF82AD6"/>
    <w:rsid w:val="20063193"/>
    <w:rsid w:val="200A2651"/>
    <w:rsid w:val="200D7DEF"/>
    <w:rsid w:val="202533A6"/>
    <w:rsid w:val="2034617C"/>
    <w:rsid w:val="203F7538"/>
    <w:rsid w:val="2046154B"/>
    <w:rsid w:val="20497076"/>
    <w:rsid w:val="204C40F1"/>
    <w:rsid w:val="20743C67"/>
    <w:rsid w:val="207843D8"/>
    <w:rsid w:val="20960101"/>
    <w:rsid w:val="20986CD2"/>
    <w:rsid w:val="20A9419E"/>
    <w:rsid w:val="20B76374"/>
    <w:rsid w:val="20C340C8"/>
    <w:rsid w:val="20DA3CD5"/>
    <w:rsid w:val="20E76455"/>
    <w:rsid w:val="21227B9B"/>
    <w:rsid w:val="212E52B0"/>
    <w:rsid w:val="214100B8"/>
    <w:rsid w:val="21D5262C"/>
    <w:rsid w:val="22460F43"/>
    <w:rsid w:val="2251257E"/>
    <w:rsid w:val="22817088"/>
    <w:rsid w:val="228A3473"/>
    <w:rsid w:val="22A20F54"/>
    <w:rsid w:val="22D35534"/>
    <w:rsid w:val="22F728FE"/>
    <w:rsid w:val="22FB74C9"/>
    <w:rsid w:val="23285CCC"/>
    <w:rsid w:val="236E21C8"/>
    <w:rsid w:val="23AE5B30"/>
    <w:rsid w:val="23C309C3"/>
    <w:rsid w:val="23D824B4"/>
    <w:rsid w:val="23E36368"/>
    <w:rsid w:val="23FE7107"/>
    <w:rsid w:val="24137E5A"/>
    <w:rsid w:val="241B1209"/>
    <w:rsid w:val="242D192F"/>
    <w:rsid w:val="243D5350"/>
    <w:rsid w:val="24D1226C"/>
    <w:rsid w:val="2507743C"/>
    <w:rsid w:val="253D1C46"/>
    <w:rsid w:val="255E23E3"/>
    <w:rsid w:val="255E2E47"/>
    <w:rsid w:val="256F2065"/>
    <w:rsid w:val="25AF0D45"/>
    <w:rsid w:val="25D849AD"/>
    <w:rsid w:val="25E44FA2"/>
    <w:rsid w:val="25E8586A"/>
    <w:rsid w:val="260334CA"/>
    <w:rsid w:val="260500D8"/>
    <w:rsid w:val="26081F78"/>
    <w:rsid w:val="26122603"/>
    <w:rsid w:val="26232FA3"/>
    <w:rsid w:val="263501E1"/>
    <w:rsid w:val="263B691F"/>
    <w:rsid w:val="264137D6"/>
    <w:rsid w:val="264B781A"/>
    <w:rsid w:val="265F212D"/>
    <w:rsid w:val="26836371"/>
    <w:rsid w:val="268A7989"/>
    <w:rsid w:val="26B3274C"/>
    <w:rsid w:val="26C76B5B"/>
    <w:rsid w:val="26CB1B59"/>
    <w:rsid w:val="26CD4278"/>
    <w:rsid w:val="26D243A2"/>
    <w:rsid w:val="26D56A89"/>
    <w:rsid w:val="26D905C7"/>
    <w:rsid w:val="26E97A19"/>
    <w:rsid w:val="2702237E"/>
    <w:rsid w:val="271B44C5"/>
    <w:rsid w:val="271C4341"/>
    <w:rsid w:val="271E6FAF"/>
    <w:rsid w:val="273024EA"/>
    <w:rsid w:val="27655469"/>
    <w:rsid w:val="277D4941"/>
    <w:rsid w:val="278133A5"/>
    <w:rsid w:val="27880166"/>
    <w:rsid w:val="279C1B98"/>
    <w:rsid w:val="27CE2DA4"/>
    <w:rsid w:val="28096560"/>
    <w:rsid w:val="280E1251"/>
    <w:rsid w:val="28137065"/>
    <w:rsid w:val="287B7FBC"/>
    <w:rsid w:val="289114C7"/>
    <w:rsid w:val="28AD177E"/>
    <w:rsid w:val="28C87C4B"/>
    <w:rsid w:val="28CD3ED8"/>
    <w:rsid w:val="28D75D26"/>
    <w:rsid w:val="28EF04DA"/>
    <w:rsid w:val="28F17D0E"/>
    <w:rsid w:val="29175CC6"/>
    <w:rsid w:val="29177195"/>
    <w:rsid w:val="29236DB2"/>
    <w:rsid w:val="293958DB"/>
    <w:rsid w:val="293D4E4D"/>
    <w:rsid w:val="293F781D"/>
    <w:rsid w:val="29440A94"/>
    <w:rsid w:val="29524599"/>
    <w:rsid w:val="295D1738"/>
    <w:rsid w:val="29600E8C"/>
    <w:rsid w:val="296019CE"/>
    <w:rsid w:val="296D5BAC"/>
    <w:rsid w:val="29707A64"/>
    <w:rsid w:val="297918EA"/>
    <w:rsid w:val="29897978"/>
    <w:rsid w:val="29AB4518"/>
    <w:rsid w:val="29CF05A6"/>
    <w:rsid w:val="29E92CCC"/>
    <w:rsid w:val="2A10407C"/>
    <w:rsid w:val="2A1C4650"/>
    <w:rsid w:val="2A226370"/>
    <w:rsid w:val="2A2A5704"/>
    <w:rsid w:val="2A2C3F1B"/>
    <w:rsid w:val="2A516BCC"/>
    <w:rsid w:val="2A520139"/>
    <w:rsid w:val="2A5762BB"/>
    <w:rsid w:val="2A593EF4"/>
    <w:rsid w:val="2A5F1711"/>
    <w:rsid w:val="2A9C0C2A"/>
    <w:rsid w:val="2A9E0783"/>
    <w:rsid w:val="2AAF55DC"/>
    <w:rsid w:val="2AC605C5"/>
    <w:rsid w:val="2B2F7417"/>
    <w:rsid w:val="2B553608"/>
    <w:rsid w:val="2B580DDB"/>
    <w:rsid w:val="2B851DC4"/>
    <w:rsid w:val="2B876450"/>
    <w:rsid w:val="2B970AD3"/>
    <w:rsid w:val="2BDC4C1A"/>
    <w:rsid w:val="2BFC2C05"/>
    <w:rsid w:val="2C2218D8"/>
    <w:rsid w:val="2C5D5DA1"/>
    <w:rsid w:val="2CA948E6"/>
    <w:rsid w:val="2CB54880"/>
    <w:rsid w:val="2CD37E23"/>
    <w:rsid w:val="2D0E5C63"/>
    <w:rsid w:val="2D0F5477"/>
    <w:rsid w:val="2D547B8C"/>
    <w:rsid w:val="2D7E726C"/>
    <w:rsid w:val="2D9C3636"/>
    <w:rsid w:val="2D9F7E66"/>
    <w:rsid w:val="2DE341B1"/>
    <w:rsid w:val="2DE505BC"/>
    <w:rsid w:val="2DF27A06"/>
    <w:rsid w:val="2DF37A71"/>
    <w:rsid w:val="2E115FA8"/>
    <w:rsid w:val="2E2261B9"/>
    <w:rsid w:val="2E6E25EA"/>
    <w:rsid w:val="2E79642A"/>
    <w:rsid w:val="2E832ED6"/>
    <w:rsid w:val="2E94295D"/>
    <w:rsid w:val="2E9B4ED4"/>
    <w:rsid w:val="2EC858DE"/>
    <w:rsid w:val="2ECD4193"/>
    <w:rsid w:val="2ED73513"/>
    <w:rsid w:val="2EE42F6E"/>
    <w:rsid w:val="2EED741A"/>
    <w:rsid w:val="2F1D5608"/>
    <w:rsid w:val="2F325AEE"/>
    <w:rsid w:val="2F3C79DA"/>
    <w:rsid w:val="2F3F3F8A"/>
    <w:rsid w:val="2F4368B6"/>
    <w:rsid w:val="2F6B1195"/>
    <w:rsid w:val="2F6D5784"/>
    <w:rsid w:val="2F743094"/>
    <w:rsid w:val="2F867C44"/>
    <w:rsid w:val="2F933914"/>
    <w:rsid w:val="2F9E0AE8"/>
    <w:rsid w:val="2FAB5032"/>
    <w:rsid w:val="2FB15DD0"/>
    <w:rsid w:val="2FE92613"/>
    <w:rsid w:val="30170CC8"/>
    <w:rsid w:val="30173EA0"/>
    <w:rsid w:val="301D32E3"/>
    <w:rsid w:val="30377177"/>
    <w:rsid w:val="30636A1D"/>
    <w:rsid w:val="309C46FD"/>
    <w:rsid w:val="30B13135"/>
    <w:rsid w:val="30C61C26"/>
    <w:rsid w:val="30E22B8D"/>
    <w:rsid w:val="30E26EBD"/>
    <w:rsid w:val="30E96E6F"/>
    <w:rsid w:val="30F65CD7"/>
    <w:rsid w:val="31174A0C"/>
    <w:rsid w:val="31332126"/>
    <w:rsid w:val="314E641F"/>
    <w:rsid w:val="316E1D89"/>
    <w:rsid w:val="318A0037"/>
    <w:rsid w:val="318F0EA7"/>
    <w:rsid w:val="31BC2E92"/>
    <w:rsid w:val="31C239C2"/>
    <w:rsid w:val="31E038B8"/>
    <w:rsid w:val="320B3D3C"/>
    <w:rsid w:val="32130CC8"/>
    <w:rsid w:val="32370DFC"/>
    <w:rsid w:val="323B333A"/>
    <w:rsid w:val="3252368B"/>
    <w:rsid w:val="327032E7"/>
    <w:rsid w:val="3272313E"/>
    <w:rsid w:val="327F4F67"/>
    <w:rsid w:val="32876299"/>
    <w:rsid w:val="3293001F"/>
    <w:rsid w:val="329F24F9"/>
    <w:rsid w:val="32CA4D56"/>
    <w:rsid w:val="32DC72DD"/>
    <w:rsid w:val="32DF5D68"/>
    <w:rsid w:val="32EE58B9"/>
    <w:rsid w:val="32F15524"/>
    <w:rsid w:val="32FB4F83"/>
    <w:rsid w:val="331A3C8D"/>
    <w:rsid w:val="332545DD"/>
    <w:rsid w:val="334D28DE"/>
    <w:rsid w:val="3376374E"/>
    <w:rsid w:val="33967181"/>
    <w:rsid w:val="33A060C1"/>
    <w:rsid w:val="33C11364"/>
    <w:rsid w:val="34086058"/>
    <w:rsid w:val="340B6471"/>
    <w:rsid w:val="34204DA6"/>
    <w:rsid w:val="345F00BE"/>
    <w:rsid w:val="34613394"/>
    <w:rsid w:val="3471713A"/>
    <w:rsid w:val="348222AE"/>
    <w:rsid w:val="34887F9F"/>
    <w:rsid w:val="34980A9B"/>
    <w:rsid w:val="34A3033B"/>
    <w:rsid w:val="34A43C92"/>
    <w:rsid w:val="34BB33B3"/>
    <w:rsid w:val="34C67F90"/>
    <w:rsid w:val="350D3C9B"/>
    <w:rsid w:val="352B7A8C"/>
    <w:rsid w:val="35622C15"/>
    <w:rsid w:val="35661B4E"/>
    <w:rsid w:val="35680CF4"/>
    <w:rsid w:val="358856A2"/>
    <w:rsid w:val="35956B82"/>
    <w:rsid w:val="359C021B"/>
    <w:rsid w:val="35A46ACE"/>
    <w:rsid w:val="35DD3882"/>
    <w:rsid w:val="35E755D0"/>
    <w:rsid w:val="35F351FF"/>
    <w:rsid w:val="35FA5D92"/>
    <w:rsid w:val="35FD0F1F"/>
    <w:rsid w:val="36154EA9"/>
    <w:rsid w:val="367E1530"/>
    <w:rsid w:val="369C1450"/>
    <w:rsid w:val="36A05599"/>
    <w:rsid w:val="36E91D53"/>
    <w:rsid w:val="3716732F"/>
    <w:rsid w:val="37305CB9"/>
    <w:rsid w:val="37566AF9"/>
    <w:rsid w:val="37583C91"/>
    <w:rsid w:val="37A7597B"/>
    <w:rsid w:val="37BD41FD"/>
    <w:rsid w:val="37D67AB8"/>
    <w:rsid w:val="37F32203"/>
    <w:rsid w:val="38076E2B"/>
    <w:rsid w:val="38387F2D"/>
    <w:rsid w:val="385A00B1"/>
    <w:rsid w:val="38790CC4"/>
    <w:rsid w:val="388B2413"/>
    <w:rsid w:val="38995E3B"/>
    <w:rsid w:val="38C53030"/>
    <w:rsid w:val="38CD7874"/>
    <w:rsid w:val="38E5793F"/>
    <w:rsid w:val="38EF5A38"/>
    <w:rsid w:val="3914232D"/>
    <w:rsid w:val="39160DA1"/>
    <w:rsid w:val="39287688"/>
    <w:rsid w:val="392D4B42"/>
    <w:rsid w:val="39402C5D"/>
    <w:rsid w:val="397717E4"/>
    <w:rsid w:val="39A37EA3"/>
    <w:rsid w:val="39AD571D"/>
    <w:rsid w:val="39C104EA"/>
    <w:rsid w:val="39CE17A0"/>
    <w:rsid w:val="39CE6F61"/>
    <w:rsid w:val="39EA616F"/>
    <w:rsid w:val="3A001853"/>
    <w:rsid w:val="3A38772C"/>
    <w:rsid w:val="3A3B169F"/>
    <w:rsid w:val="3A537186"/>
    <w:rsid w:val="3A602DFC"/>
    <w:rsid w:val="3A6752B7"/>
    <w:rsid w:val="3A94565B"/>
    <w:rsid w:val="3AA542B7"/>
    <w:rsid w:val="3AAC2CB8"/>
    <w:rsid w:val="3AB543EC"/>
    <w:rsid w:val="3AC35873"/>
    <w:rsid w:val="3AD30A93"/>
    <w:rsid w:val="3AD8155F"/>
    <w:rsid w:val="3ADF087F"/>
    <w:rsid w:val="3AE457D9"/>
    <w:rsid w:val="3AEA401D"/>
    <w:rsid w:val="3B0367E8"/>
    <w:rsid w:val="3B1A7979"/>
    <w:rsid w:val="3B1F66C2"/>
    <w:rsid w:val="3B403AD8"/>
    <w:rsid w:val="3B410A61"/>
    <w:rsid w:val="3B420B3C"/>
    <w:rsid w:val="3B4F2FE5"/>
    <w:rsid w:val="3B5444D8"/>
    <w:rsid w:val="3B5656EE"/>
    <w:rsid w:val="3B594D22"/>
    <w:rsid w:val="3B594FC6"/>
    <w:rsid w:val="3B6F47A9"/>
    <w:rsid w:val="3B7A44F6"/>
    <w:rsid w:val="3B7C1CDF"/>
    <w:rsid w:val="3B8232A5"/>
    <w:rsid w:val="3BE953FF"/>
    <w:rsid w:val="3BEA141A"/>
    <w:rsid w:val="3BF601A5"/>
    <w:rsid w:val="3BF818B7"/>
    <w:rsid w:val="3C0A4848"/>
    <w:rsid w:val="3C394CB0"/>
    <w:rsid w:val="3C441122"/>
    <w:rsid w:val="3C6B0210"/>
    <w:rsid w:val="3C8339BC"/>
    <w:rsid w:val="3C834ADB"/>
    <w:rsid w:val="3C855661"/>
    <w:rsid w:val="3C8C2D07"/>
    <w:rsid w:val="3CDA26C3"/>
    <w:rsid w:val="3CDD1F50"/>
    <w:rsid w:val="3CE91CB2"/>
    <w:rsid w:val="3CFC5CA9"/>
    <w:rsid w:val="3D2C4D32"/>
    <w:rsid w:val="3D762867"/>
    <w:rsid w:val="3DA674CB"/>
    <w:rsid w:val="3DBC5271"/>
    <w:rsid w:val="3DCD174E"/>
    <w:rsid w:val="3DD65DAE"/>
    <w:rsid w:val="3DD95037"/>
    <w:rsid w:val="3DEA0403"/>
    <w:rsid w:val="3DF50D58"/>
    <w:rsid w:val="3E020C64"/>
    <w:rsid w:val="3E2A47FF"/>
    <w:rsid w:val="3E2F535E"/>
    <w:rsid w:val="3E506462"/>
    <w:rsid w:val="3E893C7A"/>
    <w:rsid w:val="3E8D63A2"/>
    <w:rsid w:val="3E8D7C1B"/>
    <w:rsid w:val="3EA3761C"/>
    <w:rsid w:val="3EC63C4A"/>
    <w:rsid w:val="3EDF370F"/>
    <w:rsid w:val="3EFE7806"/>
    <w:rsid w:val="3F595F00"/>
    <w:rsid w:val="3F88369E"/>
    <w:rsid w:val="3F8B1D36"/>
    <w:rsid w:val="3F96640E"/>
    <w:rsid w:val="3F9A588C"/>
    <w:rsid w:val="3FBD2792"/>
    <w:rsid w:val="3FC358CA"/>
    <w:rsid w:val="3FE231D6"/>
    <w:rsid w:val="3FE52691"/>
    <w:rsid w:val="400E6E05"/>
    <w:rsid w:val="401D1604"/>
    <w:rsid w:val="4047527D"/>
    <w:rsid w:val="40562428"/>
    <w:rsid w:val="407549D4"/>
    <w:rsid w:val="407F023D"/>
    <w:rsid w:val="40813AF9"/>
    <w:rsid w:val="408B0125"/>
    <w:rsid w:val="40915988"/>
    <w:rsid w:val="40960287"/>
    <w:rsid w:val="409B3E5C"/>
    <w:rsid w:val="40B42D8D"/>
    <w:rsid w:val="40CD228E"/>
    <w:rsid w:val="40CF14F6"/>
    <w:rsid w:val="41180B15"/>
    <w:rsid w:val="413C4550"/>
    <w:rsid w:val="416D3C54"/>
    <w:rsid w:val="418D5C44"/>
    <w:rsid w:val="419C1A91"/>
    <w:rsid w:val="419E31CE"/>
    <w:rsid w:val="41A66C94"/>
    <w:rsid w:val="41AC2646"/>
    <w:rsid w:val="41C00D25"/>
    <w:rsid w:val="41D371EF"/>
    <w:rsid w:val="41D53158"/>
    <w:rsid w:val="41FD68DE"/>
    <w:rsid w:val="420361C5"/>
    <w:rsid w:val="422B2BF3"/>
    <w:rsid w:val="426D7785"/>
    <w:rsid w:val="42764BAB"/>
    <w:rsid w:val="427F41C4"/>
    <w:rsid w:val="42843F32"/>
    <w:rsid w:val="42865D2F"/>
    <w:rsid w:val="43021290"/>
    <w:rsid w:val="43263F0D"/>
    <w:rsid w:val="434A1B7B"/>
    <w:rsid w:val="43520714"/>
    <w:rsid w:val="43905381"/>
    <w:rsid w:val="43AE1DEC"/>
    <w:rsid w:val="43DA0C63"/>
    <w:rsid w:val="43FB3302"/>
    <w:rsid w:val="44037147"/>
    <w:rsid w:val="44236EC7"/>
    <w:rsid w:val="4425181D"/>
    <w:rsid w:val="44657D59"/>
    <w:rsid w:val="44787A7A"/>
    <w:rsid w:val="448B2571"/>
    <w:rsid w:val="44C708C2"/>
    <w:rsid w:val="44C85C1C"/>
    <w:rsid w:val="44E61BB1"/>
    <w:rsid w:val="4531688F"/>
    <w:rsid w:val="45726C78"/>
    <w:rsid w:val="45861C2B"/>
    <w:rsid w:val="45921F64"/>
    <w:rsid w:val="4593222B"/>
    <w:rsid w:val="459F5154"/>
    <w:rsid w:val="45A537F8"/>
    <w:rsid w:val="45EB3798"/>
    <w:rsid w:val="45FB22B2"/>
    <w:rsid w:val="45FD2FF6"/>
    <w:rsid w:val="463A6ED6"/>
    <w:rsid w:val="465316DC"/>
    <w:rsid w:val="466440EA"/>
    <w:rsid w:val="46694CDB"/>
    <w:rsid w:val="4674066C"/>
    <w:rsid w:val="467B1143"/>
    <w:rsid w:val="467C59A3"/>
    <w:rsid w:val="46871513"/>
    <w:rsid w:val="46952E53"/>
    <w:rsid w:val="469B1440"/>
    <w:rsid w:val="46E635B3"/>
    <w:rsid w:val="46E8288B"/>
    <w:rsid w:val="46F5065B"/>
    <w:rsid w:val="471222EE"/>
    <w:rsid w:val="47253CB6"/>
    <w:rsid w:val="475E3346"/>
    <w:rsid w:val="47880405"/>
    <w:rsid w:val="47D22DC5"/>
    <w:rsid w:val="47ED5EF7"/>
    <w:rsid w:val="480A6BEA"/>
    <w:rsid w:val="480F6E88"/>
    <w:rsid w:val="487C3DAD"/>
    <w:rsid w:val="487E07E2"/>
    <w:rsid w:val="489970D3"/>
    <w:rsid w:val="48A31341"/>
    <w:rsid w:val="48E01B14"/>
    <w:rsid w:val="48FA764B"/>
    <w:rsid w:val="493951A8"/>
    <w:rsid w:val="493C4629"/>
    <w:rsid w:val="49924F9D"/>
    <w:rsid w:val="499453AA"/>
    <w:rsid w:val="499A248F"/>
    <w:rsid w:val="49B0028D"/>
    <w:rsid w:val="49DF061B"/>
    <w:rsid w:val="4A1158AA"/>
    <w:rsid w:val="4A361D3D"/>
    <w:rsid w:val="4A3870D1"/>
    <w:rsid w:val="4A6917C9"/>
    <w:rsid w:val="4A6A1B17"/>
    <w:rsid w:val="4A890F46"/>
    <w:rsid w:val="4A917A47"/>
    <w:rsid w:val="4AA161D9"/>
    <w:rsid w:val="4AAE12AF"/>
    <w:rsid w:val="4AD60897"/>
    <w:rsid w:val="4AD66FF4"/>
    <w:rsid w:val="4AD87570"/>
    <w:rsid w:val="4AE03F6D"/>
    <w:rsid w:val="4AEC1FAE"/>
    <w:rsid w:val="4B0A5AAD"/>
    <w:rsid w:val="4B325147"/>
    <w:rsid w:val="4B372288"/>
    <w:rsid w:val="4B3911D4"/>
    <w:rsid w:val="4B53421B"/>
    <w:rsid w:val="4B5870AB"/>
    <w:rsid w:val="4B5D1DC5"/>
    <w:rsid w:val="4B6154FD"/>
    <w:rsid w:val="4B6843EB"/>
    <w:rsid w:val="4B6B40FE"/>
    <w:rsid w:val="4B757FD8"/>
    <w:rsid w:val="4B8351CA"/>
    <w:rsid w:val="4B867E08"/>
    <w:rsid w:val="4B936685"/>
    <w:rsid w:val="4BB80E0B"/>
    <w:rsid w:val="4BC26613"/>
    <w:rsid w:val="4BCF709C"/>
    <w:rsid w:val="4BDA4AED"/>
    <w:rsid w:val="4BDA7DB8"/>
    <w:rsid w:val="4C194C42"/>
    <w:rsid w:val="4C1E32C5"/>
    <w:rsid w:val="4C272584"/>
    <w:rsid w:val="4C68300C"/>
    <w:rsid w:val="4C6E6DFB"/>
    <w:rsid w:val="4C9A0901"/>
    <w:rsid w:val="4CCB5B93"/>
    <w:rsid w:val="4CE03C47"/>
    <w:rsid w:val="4CF41355"/>
    <w:rsid w:val="4D0206AE"/>
    <w:rsid w:val="4D0B2AD8"/>
    <w:rsid w:val="4D0B7B0A"/>
    <w:rsid w:val="4D141606"/>
    <w:rsid w:val="4D1F4983"/>
    <w:rsid w:val="4D341C6D"/>
    <w:rsid w:val="4D34635E"/>
    <w:rsid w:val="4D3509BE"/>
    <w:rsid w:val="4D3C44D4"/>
    <w:rsid w:val="4D3E7ADB"/>
    <w:rsid w:val="4D424B1D"/>
    <w:rsid w:val="4D43641B"/>
    <w:rsid w:val="4D6E38B4"/>
    <w:rsid w:val="4DB8429D"/>
    <w:rsid w:val="4DF30616"/>
    <w:rsid w:val="4E1C1016"/>
    <w:rsid w:val="4E217F1C"/>
    <w:rsid w:val="4E3E2D76"/>
    <w:rsid w:val="4E413624"/>
    <w:rsid w:val="4E584C00"/>
    <w:rsid w:val="4E713BC7"/>
    <w:rsid w:val="4E7640E1"/>
    <w:rsid w:val="4E8B0212"/>
    <w:rsid w:val="4E930E61"/>
    <w:rsid w:val="4E9A57B1"/>
    <w:rsid w:val="4E9D6029"/>
    <w:rsid w:val="4EA43554"/>
    <w:rsid w:val="4EC20C2F"/>
    <w:rsid w:val="4ECB6FBB"/>
    <w:rsid w:val="4ED16E8F"/>
    <w:rsid w:val="4EDE2B0A"/>
    <w:rsid w:val="4EE508E5"/>
    <w:rsid w:val="4F0E3E23"/>
    <w:rsid w:val="4F2605B2"/>
    <w:rsid w:val="4F38659F"/>
    <w:rsid w:val="4F4B56A3"/>
    <w:rsid w:val="4F4D347B"/>
    <w:rsid w:val="4F60527F"/>
    <w:rsid w:val="4F6E5D04"/>
    <w:rsid w:val="4F82490F"/>
    <w:rsid w:val="4F88261F"/>
    <w:rsid w:val="4FED0228"/>
    <w:rsid w:val="50204F64"/>
    <w:rsid w:val="502B1C2A"/>
    <w:rsid w:val="50347D18"/>
    <w:rsid w:val="503C7D8E"/>
    <w:rsid w:val="50471E77"/>
    <w:rsid w:val="50573EDB"/>
    <w:rsid w:val="506965B5"/>
    <w:rsid w:val="50742F33"/>
    <w:rsid w:val="507B0018"/>
    <w:rsid w:val="507C754E"/>
    <w:rsid w:val="507E1AA0"/>
    <w:rsid w:val="509D1FA6"/>
    <w:rsid w:val="50A47CC4"/>
    <w:rsid w:val="50AD5B16"/>
    <w:rsid w:val="512819CE"/>
    <w:rsid w:val="5128493D"/>
    <w:rsid w:val="51331376"/>
    <w:rsid w:val="516F0CD7"/>
    <w:rsid w:val="51736BF4"/>
    <w:rsid w:val="5174612F"/>
    <w:rsid w:val="519B4687"/>
    <w:rsid w:val="51BC77F1"/>
    <w:rsid w:val="51DF5CD4"/>
    <w:rsid w:val="52256B94"/>
    <w:rsid w:val="522928A6"/>
    <w:rsid w:val="522C12B6"/>
    <w:rsid w:val="5234558F"/>
    <w:rsid w:val="523622B3"/>
    <w:rsid w:val="52394EC2"/>
    <w:rsid w:val="525E269F"/>
    <w:rsid w:val="525F7DB0"/>
    <w:rsid w:val="52CC7E23"/>
    <w:rsid w:val="52D33774"/>
    <w:rsid w:val="52FA602C"/>
    <w:rsid w:val="52FC4CAD"/>
    <w:rsid w:val="532F02B8"/>
    <w:rsid w:val="533C5D27"/>
    <w:rsid w:val="534505F4"/>
    <w:rsid w:val="53542C10"/>
    <w:rsid w:val="53792788"/>
    <w:rsid w:val="53851958"/>
    <w:rsid w:val="53AF13BD"/>
    <w:rsid w:val="53B25960"/>
    <w:rsid w:val="53B64CA6"/>
    <w:rsid w:val="53DF2D96"/>
    <w:rsid w:val="54616524"/>
    <w:rsid w:val="54630230"/>
    <w:rsid w:val="54730F68"/>
    <w:rsid w:val="54733EAA"/>
    <w:rsid w:val="54A15160"/>
    <w:rsid w:val="54BA59AA"/>
    <w:rsid w:val="54C47FF1"/>
    <w:rsid w:val="54C87B94"/>
    <w:rsid w:val="54DD7598"/>
    <w:rsid w:val="54F74BC5"/>
    <w:rsid w:val="54FB41C8"/>
    <w:rsid w:val="550114AF"/>
    <w:rsid w:val="551B38D2"/>
    <w:rsid w:val="55586743"/>
    <w:rsid w:val="555F42C8"/>
    <w:rsid w:val="55784D52"/>
    <w:rsid w:val="5591023E"/>
    <w:rsid w:val="55A91187"/>
    <w:rsid w:val="55B14578"/>
    <w:rsid w:val="55D02EAD"/>
    <w:rsid w:val="55ED2F1F"/>
    <w:rsid w:val="55F77CD1"/>
    <w:rsid w:val="56202324"/>
    <w:rsid w:val="5627631A"/>
    <w:rsid w:val="564D65AB"/>
    <w:rsid w:val="56730F3C"/>
    <w:rsid w:val="56986E69"/>
    <w:rsid w:val="56A0173E"/>
    <w:rsid w:val="56A425FA"/>
    <w:rsid w:val="56EC3F73"/>
    <w:rsid w:val="56F129E9"/>
    <w:rsid w:val="57082A4C"/>
    <w:rsid w:val="573E52A2"/>
    <w:rsid w:val="57666F31"/>
    <w:rsid w:val="576D12AB"/>
    <w:rsid w:val="578A6776"/>
    <w:rsid w:val="578B5BC7"/>
    <w:rsid w:val="57A007AC"/>
    <w:rsid w:val="57B84C84"/>
    <w:rsid w:val="57BF39A0"/>
    <w:rsid w:val="57CD7185"/>
    <w:rsid w:val="57CE750F"/>
    <w:rsid w:val="57EA05F7"/>
    <w:rsid w:val="57F510AB"/>
    <w:rsid w:val="580827F0"/>
    <w:rsid w:val="580E2D49"/>
    <w:rsid w:val="58167A3A"/>
    <w:rsid w:val="581C2315"/>
    <w:rsid w:val="585A0196"/>
    <w:rsid w:val="585E0828"/>
    <w:rsid w:val="58700012"/>
    <w:rsid w:val="58B1581B"/>
    <w:rsid w:val="58B936C5"/>
    <w:rsid w:val="58C95907"/>
    <w:rsid w:val="58D06974"/>
    <w:rsid w:val="58D56A1C"/>
    <w:rsid w:val="59400798"/>
    <w:rsid w:val="59891FF2"/>
    <w:rsid w:val="598D73F9"/>
    <w:rsid w:val="59927FEE"/>
    <w:rsid w:val="5993763E"/>
    <w:rsid w:val="599B22F5"/>
    <w:rsid w:val="59C027A5"/>
    <w:rsid w:val="59C11F2E"/>
    <w:rsid w:val="59F1719E"/>
    <w:rsid w:val="5A134435"/>
    <w:rsid w:val="5A201F6E"/>
    <w:rsid w:val="5A4A74CD"/>
    <w:rsid w:val="5A547DAB"/>
    <w:rsid w:val="5AA6453D"/>
    <w:rsid w:val="5ABD6B40"/>
    <w:rsid w:val="5AE919B9"/>
    <w:rsid w:val="5AF5168F"/>
    <w:rsid w:val="5B1B32BC"/>
    <w:rsid w:val="5B635197"/>
    <w:rsid w:val="5B7E2ADA"/>
    <w:rsid w:val="5B861C66"/>
    <w:rsid w:val="5BAF5ADC"/>
    <w:rsid w:val="5BC929D9"/>
    <w:rsid w:val="5BE8314B"/>
    <w:rsid w:val="5BEC7EF4"/>
    <w:rsid w:val="5C194360"/>
    <w:rsid w:val="5C2E5491"/>
    <w:rsid w:val="5C33690B"/>
    <w:rsid w:val="5C3E4462"/>
    <w:rsid w:val="5C4A4BA9"/>
    <w:rsid w:val="5C4E4324"/>
    <w:rsid w:val="5C4F1950"/>
    <w:rsid w:val="5C5058AA"/>
    <w:rsid w:val="5C585A45"/>
    <w:rsid w:val="5C767A77"/>
    <w:rsid w:val="5C96313F"/>
    <w:rsid w:val="5C9E071C"/>
    <w:rsid w:val="5CA51B45"/>
    <w:rsid w:val="5CE84D3B"/>
    <w:rsid w:val="5D046B6D"/>
    <w:rsid w:val="5D290169"/>
    <w:rsid w:val="5D3D635A"/>
    <w:rsid w:val="5D614A38"/>
    <w:rsid w:val="5D7C2FA4"/>
    <w:rsid w:val="5D7D3879"/>
    <w:rsid w:val="5D8F31C2"/>
    <w:rsid w:val="5DAF0651"/>
    <w:rsid w:val="5DC07ABF"/>
    <w:rsid w:val="5DFE78C8"/>
    <w:rsid w:val="5E255F63"/>
    <w:rsid w:val="5E33692D"/>
    <w:rsid w:val="5E436D80"/>
    <w:rsid w:val="5E5A64F5"/>
    <w:rsid w:val="5EAE1C47"/>
    <w:rsid w:val="5EB11D40"/>
    <w:rsid w:val="5EC9020E"/>
    <w:rsid w:val="5ED4043E"/>
    <w:rsid w:val="5ED447A8"/>
    <w:rsid w:val="5EDE4D26"/>
    <w:rsid w:val="5EE31B23"/>
    <w:rsid w:val="5EE74938"/>
    <w:rsid w:val="5EE87BA2"/>
    <w:rsid w:val="5EEA3DAA"/>
    <w:rsid w:val="5EF95FD0"/>
    <w:rsid w:val="5EFE4873"/>
    <w:rsid w:val="5F3B09C7"/>
    <w:rsid w:val="5F9D48DB"/>
    <w:rsid w:val="5FA16F8A"/>
    <w:rsid w:val="5FC04D42"/>
    <w:rsid w:val="5FF7082B"/>
    <w:rsid w:val="5FFD2499"/>
    <w:rsid w:val="602030A2"/>
    <w:rsid w:val="609B008E"/>
    <w:rsid w:val="60B8227F"/>
    <w:rsid w:val="60D50F6E"/>
    <w:rsid w:val="6111547A"/>
    <w:rsid w:val="611E56AA"/>
    <w:rsid w:val="61371D33"/>
    <w:rsid w:val="613A12AA"/>
    <w:rsid w:val="613B356D"/>
    <w:rsid w:val="618B4577"/>
    <w:rsid w:val="61B97191"/>
    <w:rsid w:val="621017F9"/>
    <w:rsid w:val="623E5BAB"/>
    <w:rsid w:val="624426AF"/>
    <w:rsid w:val="62587251"/>
    <w:rsid w:val="62614779"/>
    <w:rsid w:val="6296767E"/>
    <w:rsid w:val="629A6448"/>
    <w:rsid w:val="629A64D4"/>
    <w:rsid w:val="62CA3407"/>
    <w:rsid w:val="62DF5A23"/>
    <w:rsid w:val="62F7235B"/>
    <w:rsid w:val="631A6A40"/>
    <w:rsid w:val="6322192D"/>
    <w:rsid w:val="632C1C70"/>
    <w:rsid w:val="633155CB"/>
    <w:rsid w:val="63477C82"/>
    <w:rsid w:val="635004F4"/>
    <w:rsid w:val="63676136"/>
    <w:rsid w:val="63760A20"/>
    <w:rsid w:val="63A22624"/>
    <w:rsid w:val="63E13852"/>
    <w:rsid w:val="64365886"/>
    <w:rsid w:val="644B0346"/>
    <w:rsid w:val="649236E6"/>
    <w:rsid w:val="649D361C"/>
    <w:rsid w:val="64A45825"/>
    <w:rsid w:val="64D15618"/>
    <w:rsid w:val="64F66675"/>
    <w:rsid w:val="652D5065"/>
    <w:rsid w:val="652E01AD"/>
    <w:rsid w:val="65695556"/>
    <w:rsid w:val="65823A8B"/>
    <w:rsid w:val="658466EF"/>
    <w:rsid w:val="65BA3837"/>
    <w:rsid w:val="65CB138E"/>
    <w:rsid w:val="65E00686"/>
    <w:rsid w:val="666B28CC"/>
    <w:rsid w:val="668E74EA"/>
    <w:rsid w:val="668F4E94"/>
    <w:rsid w:val="66943BEC"/>
    <w:rsid w:val="66A43E66"/>
    <w:rsid w:val="66C147CA"/>
    <w:rsid w:val="66C65590"/>
    <w:rsid w:val="66DC2552"/>
    <w:rsid w:val="6714473C"/>
    <w:rsid w:val="673B23D4"/>
    <w:rsid w:val="675A416A"/>
    <w:rsid w:val="67754B39"/>
    <w:rsid w:val="67D675D1"/>
    <w:rsid w:val="67D771F1"/>
    <w:rsid w:val="68321B52"/>
    <w:rsid w:val="68537E37"/>
    <w:rsid w:val="686450BD"/>
    <w:rsid w:val="689761DD"/>
    <w:rsid w:val="68A3126B"/>
    <w:rsid w:val="68A83A29"/>
    <w:rsid w:val="68AD51DE"/>
    <w:rsid w:val="68B432D0"/>
    <w:rsid w:val="68C824C3"/>
    <w:rsid w:val="68EB70E8"/>
    <w:rsid w:val="68F60DE4"/>
    <w:rsid w:val="69051E18"/>
    <w:rsid w:val="694E7E98"/>
    <w:rsid w:val="695820B0"/>
    <w:rsid w:val="69610B24"/>
    <w:rsid w:val="69B75DDE"/>
    <w:rsid w:val="69C33642"/>
    <w:rsid w:val="69D6067C"/>
    <w:rsid w:val="6A1F759F"/>
    <w:rsid w:val="6A3144B8"/>
    <w:rsid w:val="6A393D06"/>
    <w:rsid w:val="6A42676D"/>
    <w:rsid w:val="6A9D6460"/>
    <w:rsid w:val="6AAC18D8"/>
    <w:rsid w:val="6AB17A70"/>
    <w:rsid w:val="6ACB4DA4"/>
    <w:rsid w:val="6AEB64B9"/>
    <w:rsid w:val="6AF4028A"/>
    <w:rsid w:val="6B0B419D"/>
    <w:rsid w:val="6B0B7E19"/>
    <w:rsid w:val="6B112571"/>
    <w:rsid w:val="6B126446"/>
    <w:rsid w:val="6B377082"/>
    <w:rsid w:val="6B391DDB"/>
    <w:rsid w:val="6B715DBA"/>
    <w:rsid w:val="6B947AED"/>
    <w:rsid w:val="6B9D3FF4"/>
    <w:rsid w:val="6BC50CF4"/>
    <w:rsid w:val="6BDD1FF9"/>
    <w:rsid w:val="6BFB4ECF"/>
    <w:rsid w:val="6C3E619B"/>
    <w:rsid w:val="6C3F0C31"/>
    <w:rsid w:val="6C441E99"/>
    <w:rsid w:val="6C8311C1"/>
    <w:rsid w:val="6C8A7A71"/>
    <w:rsid w:val="6C904861"/>
    <w:rsid w:val="6C9E6858"/>
    <w:rsid w:val="6CA148FD"/>
    <w:rsid w:val="6CC60955"/>
    <w:rsid w:val="6CC84E65"/>
    <w:rsid w:val="6CD61554"/>
    <w:rsid w:val="6D533AB8"/>
    <w:rsid w:val="6D564D5D"/>
    <w:rsid w:val="6D795633"/>
    <w:rsid w:val="6D80350B"/>
    <w:rsid w:val="6D832F39"/>
    <w:rsid w:val="6D8C3F5B"/>
    <w:rsid w:val="6DAE55F9"/>
    <w:rsid w:val="6DBE4E1A"/>
    <w:rsid w:val="6DC75A39"/>
    <w:rsid w:val="6DCD058D"/>
    <w:rsid w:val="6DDB5FB0"/>
    <w:rsid w:val="6DE45D64"/>
    <w:rsid w:val="6DE76DF8"/>
    <w:rsid w:val="6E2039C3"/>
    <w:rsid w:val="6E2F4796"/>
    <w:rsid w:val="6E3A7FF3"/>
    <w:rsid w:val="6E5E754A"/>
    <w:rsid w:val="6E7A5E18"/>
    <w:rsid w:val="6E8B314D"/>
    <w:rsid w:val="6E951A2E"/>
    <w:rsid w:val="6E9F7B85"/>
    <w:rsid w:val="6ECA0374"/>
    <w:rsid w:val="6ECA3BF4"/>
    <w:rsid w:val="6ECB4D4A"/>
    <w:rsid w:val="6EE70C7B"/>
    <w:rsid w:val="6EEC1ABE"/>
    <w:rsid w:val="6EF83DFA"/>
    <w:rsid w:val="6F1B77A9"/>
    <w:rsid w:val="6F2D728E"/>
    <w:rsid w:val="6F35224F"/>
    <w:rsid w:val="6F4100B1"/>
    <w:rsid w:val="6F521C95"/>
    <w:rsid w:val="6F611DCF"/>
    <w:rsid w:val="6F972A44"/>
    <w:rsid w:val="6FA03DFC"/>
    <w:rsid w:val="6FB05AB7"/>
    <w:rsid w:val="6FB775D7"/>
    <w:rsid w:val="6FFC2524"/>
    <w:rsid w:val="700267D8"/>
    <w:rsid w:val="700C6BA6"/>
    <w:rsid w:val="704D7764"/>
    <w:rsid w:val="704E0919"/>
    <w:rsid w:val="70670C9D"/>
    <w:rsid w:val="708C4ED0"/>
    <w:rsid w:val="70AA61C5"/>
    <w:rsid w:val="70CD5513"/>
    <w:rsid w:val="70E33D76"/>
    <w:rsid w:val="712B29E4"/>
    <w:rsid w:val="713257A2"/>
    <w:rsid w:val="713B157B"/>
    <w:rsid w:val="71474B8C"/>
    <w:rsid w:val="71652A78"/>
    <w:rsid w:val="7197116F"/>
    <w:rsid w:val="71A56169"/>
    <w:rsid w:val="71BE7383"/>
    <w:rsid w:val="71D445A4"/>
    <w:rsid w:val="71D50CBF"/>
    <w:rsid w:val="71D76DC7"/>
    <w:rsid w:val="71D85DE4"/>
    <w:rsid w:val="71EA1B99"/>
    <w:rsid w:val="72113A16"/>
    <w:rsid w:val="722250D7"/>
    <w:rsid w:val="72352BAF"/>
    <w:rsid w:val="723A699F"/>
    <w:rsid w:val="726118A4"/>
    <w:rsid w:val="72961CDB"/>
    <w:rsid w:val="729C38F5"/>
    <w:rsid w:val="72EA0911"/>
    <w:rsid w:val="72F90502"/>
    <w:rsid w:val="730211AE"/>
    <w:rsid w:val="73040EF3"/>
    <w:rsid w:val="730775E6"/>
    <w:rsid w:val="731E0CDD"/>
    <w:rsid w:val="733D5E86"/>
    <w:rsid w:val="738018E5"/>
    <w:rsid w:val="738A77AC"/>
    <w:rsid w:val="7391051E"/>
    <w:rsid w:val="739D4F10"/>
    <w:rsid w:val="73A90917"/>
    <w:rsid w:val="73B24C82"/>
    <w:rsid w:val="73B52498"/>
    <w:rsid w:val="73DC075B"/>
    <w:rsid w:val="73EC1504"/>
    <w:rsid w:val="73ED6584"/>
    <w:rsid w:val="74174348"/>
    <w:rsid w:val="74240253"/>
    <w:rsid w:val="743D1C9C"/>
    <w:rsid w:val="74525851"/>
    <w:rsid w:val="746913A5"/>
    <w:rsid w:val="7496787B"/>
    <w:rsid w:val="74A23491"/>
    <w:rsid w:val="74C05DBF"/>
    <w:rsid w:val="74D43EC1"/>
    <w:rsid w:val="74D603ED"/>
    <w:rsid w:val="74D870FD"/>
    <w:rsid w:val="75103DEC"/>
    <w:rsid w:val="75260F47"/>
    <w:rsid w:val="752722FB"/>
    <w:rsid w:val="75276240"/>
    <w:rsid w:val="753F1858"/>
    <w:rsid w:val="754C2344"/>
    <w:rsid w:val="755035F5"/>
    <w:rsid w:val="755214C3"/>
    <w:rsid w:val="75563EDD"/>
    <w:rsid w:val="757D58CB"/>
    <w:rsid w:val="758B23A8"/>
    <w:rsid w:val="7598320B"/>
    <w:rsid w:val="75BD63D2"/>
    <w:rsid w:val="75C62F5A"/>
    <w:rsid w:val="75E96AC0"/>
    <w:rsid w:val="760C352C"/>
    <w:rsid w:val="761D2A65"/>
    <w:rsid w:val="762026C3"/>
    <w:rsid w:val="7645610C"/>
    <w:rsid w:val="76461BAA"/>
    <w:rsid w:val="764C604D"/>
    <w:rsid w:val="767825C9"/>
    <w:rsid w:val="76945583"/>
    <w:rsid w:val="76B62D86"/>
    <w:rsid w:val="76B65109"/>
    <w:rsid w:val="76BE2D22"/>
    <w:rsid w:val="77222E60"/>
    <w:rsid w:val="77311AB4"/>
    <w:rsid w:val="774501D3"/>
    <w:rsid w:val="77844C83"/>
    <w:rsid w:val="778615AB"/>
    <w:rsid w:val="77BB60D4"/>
    <w:rsid w:val="77C359D2"/>
    <w:rsid w:val="77EF598A"/>
    <w:rsid w:val="780C137B"/>
    <w:rsid w:val="782558EB"/>
    <w:rsid w:val="7828366D"/>
    <w:rsid w:val="783E146D"/>
    <w:rsid w:val="787C31A4"/>
    <w:rsid w:val="788E1ABD"/>
    <w:rsid w:val="78B2146E"/>
    <w:rsid w:val="78C838E0"/>
    <w:rsid w:val="78EF4833"/>
    <w:rsid w:val="79090446"/>
    <w:rsid w:val="791146B3"/>
    <w:rsid w:val="794279A6"/>
    <w:rsid w:val="795F3F7D"/>
    <w:rsid w:val="797D58D9"/>
    <w:rsid w:val="798E475E"/>
    <w:rsid w:val="799F4318"/>
    <w:rsid w:val="79A627F7"/>
    <w:rsid w:val="79BD7013"/>
    <w:rsid w:val="79C406C0"/>
    <w:rsid w:val="7A081BF3"/>
    <w:rsid w:val="7A08504B"/>
    <w:rsid w:val="7A370DFA"/>
    <w:rsid w:val="7A442C20"/>
    <w:rsid w:val="7A4D1975"/>
    <w:rsid w:val="7A682BA7"/>
    <w:rsid w:val="7AC6387A"/>
    <w:rsid w:val="7AD053E5"/>
    <w:rsid w:val="7AE829A9"/>
    <w:rsid w:val="7AFD02B0"/>
    <w:rsid w:val="7B200944"/>
    <w:rsid w:val="7B40216A"/>
    <w:rsid w:val="7B505B0C"/>
    <w:rsid w:val="7B702C63"/>
    <w:rsid w:val="7B94171F"/>
    <w:rsid w:val="7BA90974"/>
    <w:rsid w:val="7BC04E83"/>
    <w:rsid w:val="7BD4629C"/>
    <w:rsid w:val="7BED132D"/>
    <w:rsid w:val="7C1358D1"/>
    <w:rsid w:val="7C2449D5"/>
    <w:rsid w:val="7C350EA9"/>
    <w:rsid w:val="7C404F48"/>
    <w:rsid w:val="7C685DC2"/>
    <w:rsid w:val="7C6C2290"/>
    <w:rsid w:val="7C7E5775"/>
    <w:rsid w:val="7CAD4A88"/>
    <w:rsid w:val="7CC30B2C"/>
    <w:rsid w:val="7D081A2C"/>
    <w:rsid w:val="7D082421"/>
    <w:rsid w:val="7D25518B"/>
    <w:rsid w:val="7D4C64FB"/>
    <w:rsid w:val="7DB03DCA"/>
    <w:rsid w:val="7DBA7B5E"/>
    <w:rsid w:val="7DC63EF4"/>
    <w:rsid w:val="7DF16B83"/>
    <w:rsid w:val="7E013CA9"/>
    <w:rsid w:val="7E1C274C"/>
    <w:rsid w:val="7E1E4E91"/>
    <w:rsid w:val="7E360F3F"/>
    <w:rsid w:val="7E6914B5"/>
    <w:rsid w:val="7EB03CF5"/>
    <w:rsid w:val="7ECE5356"/>
    <w:rsid w:val="7EDE6326"/>
    <w:rsid w:val="7EED692A"/>
    <w:rsid w:val="7F0200EC"/>
    <w:rsid w:val="7F1A6FBD"/>
    <w:rsid w:val="7F2543A5"/>
    <w:rsid w:val="7F2944E3"/>
    <w:rsid w:val="7F445D8D"/>
    <w:rsid w:val="7F5613F5"/>
    <w:rsid w:val="7F5852B3"/>
    <w:rsid w:val="7F695D19"/>
    <w:rsid w:val="7F8A2A01"/>
    <w:rsid w:val="7F8E30A9"/>
    <w:rsid w:val="7F9B24D1"/>
    <w:rsid w:val="7FD522EF"/>
    <w:rsid w:val="7FDF2861"/>
    <w:rsid w:val="7FEF2775"/>
    <w:rsid w:val="7FF1084E"/>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99" w:semiHidden="0" w:name="toc 4"/>
    <w:lsdException w:qFormat="1" w:unhideWhenUsed="0" w:uiPriority="99" w:semiHidden="0" w:name="toc 5"/>
    <w:lsdException w:qFormat="1" w:unhideWhenUsed="0" w:uiPriority="99" w:semiHidden="0" w:name="toc 6"/>
    <w:lsdException w:qFormat="1" w:unhideWhenUsed="0" w:uiPriority="99" w:semiHidden="0" w:name="toc 7"/>
    <w:lsdException w:qFormat="1" w:unhideWhenUsed="0" w:uiPriority="99" w:semiHidden="0" w:name="toc 8"/>
    <w:lsdException w:qFormat="1" w:unhideWhenUsed="0" w:uiPriority="99" w:semiHidden="0" w:name="toc 9"/>
    <w:lsdException w:qFormat="1" w:unhideWhenUsed="0" w:uiPriority="0" w:semiHidden="0" w:name="Normal Indent"/>
    <w:lsdException w:uiPriority="99" w:name="footnote text" w:locked="1"/>
    <w:lsdException w:uiPriority="99" w:name="annotation text" w:locked="1"/>
    <w:lsdException w:qFormat="1" w:unhideWhenUsed="0" w:uiPriority="0"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qFormat="1" w:unhideWhenUsed="0" w:uiPriority="99" w:semiHidden="0" w:name="Date"/>
    <w:lsdException w:qFormat="1" w:unhideWhenUsed="0" w:uiPriority="99" w:semiHidden="0" w:name="Body Text First Indent"/>
    <w:lsdException w:qFormat="1" w:unhideWhenUsed="0" w:uiPriority="0" w:semiHidden="0" w:name="Body Text First Indent 2" w:locked="1"/>
    <w:lsdException w:uiPriority="99" w:name="Note Heading" w:locked="1"/>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uiPriority="99" w:name="Block Text" w:locked="1"/>
    <w:lsdException w:qFormat="1" w:unhideWhenUsed="0" w:uiPriority="99" w:semiHidden="0" w:name="Hyperlink"/>
    <w:lsdException w:qFormat="1" w:uiPriority="99" w:name="FollowedHyperlink" w:locked="1"/>
    <w:lsdException w:qFormat="1" w:unhideWhenUsed="0" w:uiPriority="0" w:semiHidden="0" w:name="Strong"/>
    <w:lsdException w:qFormat="1" w:unhideWhenUsed="0" w:uiPriority="0" w:semiHidden="0" w:name="Emphasis"/>
    <w:lsdException w:qFormat="1" w:unhideWhenUsed="0" w:uiPriority="99" w:semiHidden="0" w:name="Document Map"/>
    <w:lsdException w:qFormat="1" w:unhideWhenUsed="0" w:uiPriority="99" w:semiHidden="0" w:name="Plain Text"/>
    <w:lsdException w:uiPriority="99" w:name="E-mail Signature" w:locked="1"/>
    <w:lsdException w:qFormat="1" w:unhideWhenUsed="0" w:uiPriority="0" w:semiHidden="0" w:name="Normal (Web)"/>
    <w:lsdException w:uiPriority="99" w:name="HTML Acronym" w:locked="1"/>
    <w:lsdException w:uiPriority="99" w:name="HTML Address" w:locked="1"/>
    <w:lsdException w:uiPriority="99" w:name="HTML Cite" w:locked="1"/>
    <w:lsdException w:qFormat="1" w:uiPriority="99" w:name="HTML Code" w:locked="1"/>
    <w:lsdException w:qFormat="1" w:uiPriority="99" w:name="HTML Definition" w:locked="1"/>
    <w:lsdException w:qFormat="1" w:uiPriority="99" w:name="HTML Keyboard" w:locked="1"/>
    <w:lsdException w:uiPriority="99" w:name="HTML Preformatted" w:locked="1"/>
    <w:lsdException w:qFormat="1"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qFormat="1" w:unhideWhenUsed="0" w:uiPriority="0" w:semiHidden="0" w:name="Table Grid"/>
    <w:lsdException w:uiPriority="99" w:name="Table Theme" w:locked="1"/>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link w:val="49"/>
    <w:qFormat/>
    <w:uiPriority w:val="99"/>
    <w:pPr>
      <w:keepNext/>
      <w:keepLines/>
      <w:spacing w:before="340" w:after="330" w:line="576" w:lineRule="auto"/>
      <w:jc w:val="center"/>
      <w:outlineLvl w:val="0"/>
    </w:pPr>
    <w:rPr>
      <w:b/>
      <w:kern w:val="44"/>
      <w:sz w:val="44"/>
    </w:rPr>
  </w:style>
  <w:style w:type="paragraph" w:styleId="5">
    <w:name w:val="heading 2"/>
    <w:basedOn w:val="1"/>
    <w:next w:val="1"/>
    <w:link w:val="50"/>
    <w:qFormat/>
    <w:uiPriority w:val="99"/>
    <w:pPr>
      <w:keepNext/>
      <w:keepLines/>
      <w:spacing w:before="260" w:after="260" w:line="400" w:lineRule="exact"/>
      <w:jc w:val="center"/>
      <w:outlineLvl w:val="1"/>
    </w:pPr>
    <w:rPr>
      <w:rFonts w:ascii="Arial" w:hAnsi="Arial"/>
      <w:b/>
      <w:kern w:val="0"/>
      <w:sz w:val="28"/>
    </w:rPr>
  </w:style>
  <w:style w:type="paragraph" w:styleId="6">
    <w:name w:val="heading 3"/>
    <w:basedOn w:val="1"/>
    <w:next w:val="1"/>
    <w:link w:val="52"/>
    <w:qFormat/>
    <w:uiPriority w:val="99"/>
    <w:pPr>
      <w:keepNext/>
      <w:keepLines/>
      <w:spacing w:before="260" w:after="260" w:line="400" w:lineRule="exact"/>
      <w:outlineLvl w:val="2"/>
    </w:pPr>
    <w:rPr>
      <w:b/>
      <w:kern w:val="0"/>
      <w:sz w:val="20"/>
    </w:rPr>
  </w:style>
  <w:style w:type="paragraph" w:styleId="7">
    <w:name w:val="heading 4"/>
    <w:basedOn w:val="1"/>
    <w:next w:val="1"/>
    <w:link w:val="53"/>
    <w:qFormat/>
    <w:uiPriority w:val="99"/>
    <w:pPr>
      <w:keepNext/>
      <w:keepLines/>
      <w:spacing w:before="280" w:after="290" w:line="374" w:lineRule="auto"/>
      <w:outlineLvl w:val="3"/>
    </w:pPr>
    <w:rPr>
      <w:rFonts w:ascii="Arial" w:hAnsi="Arial" w:eastAsia="黑体"/>
      <w:b/>
      <w:bCs/>
      <w:kern w:val="0"/>
      <w:sz w:val="28"/>
      <w:szCs w:val="28"/>
    </w:rPr>
  </w:style>
  <w:style w:type="paragraph" w:styleId="8">
    <w:name w:val="heading 5"/>
    <w:basedOn w:val="1"/>
    <w:next w:val="9"/>
    <w:link w:val="54"/>
    <w:qFormat/>
    <w:uiPriority w:val="99"/>
    <w:pPr>
      <w:keepNext/>
      <w:keepLines/>
      <w:numPr>
        <w:ilvl w:val="4"/>
        <w:numId w:val="1"/>
      </w:numPr>
      <w:spacing w:before="280" w:after="290" w:line="374" w:lineRule="auto"/>
      <w:outlineLvl w:val="4"/>
    </w:pPr>
    <w:rPr>
      <w:b/>
      <w:kern w:val="0"/>
      <w:sz w:val="24"/>
      <w:szCs w:val="24"/>
    </w:rPr>
  </w:style>
  <w:style w:type="paragraph" w:styleId="10">
    <w:name w:val="heading 6"/>
    <w:basedOn w:val="1"/>
    <w:next w:val="1"/>
    <w:link w:val="55"/>
    <w:qFormat/>
    <w:uiPriority w:val="99"/>
    <w:pPr>
      <w:keepNext/>
      <w:keepLines/>
      <w:numPr>
        <w:ilvl w:val="5"/>
        <w:numId w:val="1"/>
      </w:numPr>
      <w:spacing w:before="240" w:after="64" w:line="319" w:lineRule="auto"/>
      <w:outlineLvl w:val="5"/>
    </w:pPr>
    <w:rPr>
      <w:rFonts w:ascii="Arial" w:hAnsi="Arial" w:eastAsia="黑体"/>
      <w:b/>
      <w:kern w:val="0"/>
      <w:sz w:val="24"/>
      <w:szCs w:val="24"/>
    </w:rPr>
  </w:style>
  <w:style w:type="paragraph" w:styleId="11">
    <w:name w:val="heading 7"/>
    <w:basedOn w:val="1"/>
    <w:next w:val="1"/>
    <w:link w:val="56"/>
    <w:qFormat/>
    <w:uiPriority w:val="99"/>
    <w:pPr>
      <w:keepNext/>
      <w:keepLines/>
      <w:numPr>
        <w:ilvl w:val="6"/>
        <w:numId w:val="1"/>
      </w:numPr>
      <w:spacing w:before="240" w:after="64" w:line="319" w:lineRule="auto"/>
      <w:outlineLvl w:val="6"/>
    </w:pPr>
    <w:rPr>
      <w:b/>
      <w:kern w:val="0"/>
      <w:sz w:val="24"/>
      <w:szCs w:val="24"/>
    </w:rPr>
  </w:style>
  <w:style w:type="paragraph" w:styleId="12">
    <w:name w:val="heading 8"/>
    <w:basedOn w:val="1"/>
    <w:next w:val="9"/>
    <w:link w:val="57"/>
    <w:qFormat/>
    <w:uiPriority w:val="99"/>
    <w:pPr>
      <w:keepNext/>
      <w:keepLines/>
      <w:numPr>
        <w:ilvl w:val="7"/>
        <w:numId w:val="1"/>
      </w:numPr>
      <w:spacing w:before="240" w:after="64" w:line="319" w:lineRule="auto"/>
      <w:outlineLvl w:val="7"/>
    </w:pPr>
    <w:rPr>
      <w:rFonts w:ascii="Arial" w:hAnsi="Arial" w:eastAsia="黑体"/>
      <w:kern w:val="0"/>
      <w:sz w:val="24"/>
      <w:szCs w:val="24"/>
    </w:rPr>
  </w:style>
  <w:style w:type="paragraph" w:styleId="13">
    <w:name w:val="heading 9"/>
    <w:basedOn w:val="1"/>
    <w:next w:val="9"/>
    <w:link w:val="58"/>
    <w:qFormat/>
    <w:uiPriority w:val="99"/>
    <w:pPr>
      <w:keepNext/>
      <w:keepLines/>
      <w:numPr>
        <w:ilvl w:val="8"/>
        <w:numId w:val="1"/>
      </w:numPr>
      <w:spacing w:before="240" w:after="64" w:line="319" w:lineRule="auto"/>
      <w:outlineLvl w:val="8"/>
    </w:pPr>
    <w:rPr>
      <w:rFonts w:ascii="Arial" w:hAnsi="Arial" w:eastAsia="黑体"/>
      <w:kern w:val="0"/>
      <w:sz w:val="24"/>
      <w:szCs w:val="24"/>
    </w:rPr>
  </w:style>
  <w:style w:type="character" w:default="1" w:styleId="38">
    <w:name w:val="Default Paragraph Font"/>
    <w:semiHidden/>
    <w:unhideWhenUsed/>
    <w:qFormat/>
    <w:uiPriority w:val="1"/>
  </w:style>
  <w:style w:type="table" w:default="1" w:styleId="3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59"/>
    <w:qFormat/>
    <w:uiPriority w:val="99"/>
    <w:pPr>
      <w:spacing w:after="120"/>
    </w:pPr>
    <w:rPr>
      <w:kern w:val="0"/>
      <w:sz w:val="20"/>
    </w:rPr>
  </w:style>
  <w:style w:type="paragraph" w:styleId="3">
    <w:name w:val="Body Text First Indent"/>
    <w:basedOn w:val="2"/>
    <w:next w:val="1"/>
    <w:link w:val="60"/>
    <w:qFormat/>
    <w:uiPriority w:val="99"/>
    <w:pPr>
      <w:ind w:firstLine="420" w:firstLineChars="100"/>
    </w:pPr>
  </w:style>
  <w:style w:type="paragraph" w:styleId="9">
    <w:name w:val="Normal Indent"/>
    <w:basedOn w:val="1"/>
    <w:link w:val="51"/>
    <w:qFormat/>
    <w:uiPriority w:val="0"/>
    <w:pPr>
      <w:ind w:firstLine="420"/>
    </w:pPr>
  </w:style>
  <w:style w:type="paragraph" w:styleId="14">
    <w:name w:val="toc 7"/>
    <w:basedOn w:val="1"/>
    <w:next w:val="1"/>
    <w:qFormat/>
    <w:uiPriority w:val="99"/>
    <w:pPr>
      <w:ind w:left="1260"/>
      <w:jc w:val="left"/>
    </w:pPr>
    <w:rPr>
      <w:rFonts w:ascii="Calibri" w:hAnsi="Calibri" w:cs="Calibri"/>
      <w:sz w:val="18"/>
      <w:szCs w:val="18"/>
    </w:rPr>
  </w:style>
  <w:style w:type="paragraph" w:styleId="15">
    <w:name w:val="Document Map"/>
    <w:basedOn w:val="1"/>
    <w:link w:val="61"/>
    <w:qFormat/>
    <w:uiPriority w:val="99"/>
    <w:pPr>
      <w:shd w:val="clear" w:color="auto" w:fill="000080"/>
    </w:pPr>
    <w:rPr>
      <w:kern w:val="0"/>
      <w:sz w:val="20"/>
    </w:rPr>
  </w:style>
  <w:style w:type="paragraph" w:styleId="16">
    <w:name w:val="Body Text 3"/>
    <w:basedOn w:val="1"/>
    <w:link w:val="62"/>
    <w:qFormat/>
    <w:uiPriority w:val="99"/>
    <w:pPr>
      <w:spacing w:line="500" w:lineRule="exact"/>
    </w:pPr>
    <w:rPr>
      <w:b/>
      <w:bCs/>
      <w:kern w:val="0"/>
      <w:sz w:val="24"/>
      <w:szCs w:val="24"/>
    </w:rPr>
  </w:style>
  <w:style w:type="paragraph" w:styleId="17">
    <w:name w:val="Body Text Indent"/>
    <w:basedOn w:val="1"/>
    <w:next w:val="18"/>
    <w:link w:val="63"/>
    <w:qFormat/>
    <w:uiPriority w:val="99"/>
    <w:pPr>
      <w:ind w:firstLine="630"/>
    </w:pPr>
    <w:rPr>
      <w:kern w:val="0"/>
      <w:sz w:val="32"/>
    </w:rPr>
  </w:style>
  <w:style w:type="paragraph" w:styleId="18">
    <w:name w:val="Body Text First Indent 2"/>
    <w:basedOn w:val="17"/>
    <w:qFormat/>
    <w:locked/>
    <w:uiPriority w:val="0"/>
    <w:pPr>
      <w:spacing w:after="120"/>
      <w:ind w:left="420" w:leftChars="200" w:firstLine="420" w:firstLineChars="200"/>
    </w:pPr>
    <w:rPr>
      <w:sz w:val="21"/>
      <w:szCs w:val="24"/>
    </w:rPr>
  </w:style>
  <w:style w:type="paragraph" w:styleId="19">
    <w:name w:val="toc 5"/>
    <w:basedOn w:val="1"/>
    <w:next w:val="1"/>
    <w:qFormat/>
    <w:uiPriority w:val="99"/>
    <w:pPr>
      <w:ind w:left="840"/>
      <w:jc w:val="left"/>
    </w:pPr>
    <w:rPr>
      <w:rFonts w:ascii="Calibri" w:hAnsi="Calibri" w:cs="Calibri"/>
      <w:sz w:val="18"/>
      <w:szCs w:val="18"/>
    </w:rPr>
  </w:style>
  <w:style w:type="paragraph" w:styleId="20">
    <w:name w:val="toc 3"/>
    <w:basedOn w:val="1"/>
    <w:next w:val="1"/>
    <w:qFormat/>
    <w:uiPriority w:val="39"/>
    <w:pPr>
      <w:ind w:left="420"/>
      <w:jc w:val="left"/>
    </w:pPr>
    <w:rPr>
      <w:rFonts w:ascii="Calibri" w:hAnsi="Calibri" w:cs="Calibri"/>
      <w:i/>
      <w:iCs/>
      <w:sz w:val="20"/>
    </w:rPr>
  </w:style>
  <w:style w:type="paragraph" w:styleId="21">
    <w:name w:val="Plain Text"/>
    <w:basedOn w:val="1"/>
    <w:link w:val="64"/>
    <w:qFormat/>
    <w:uiPriority w:val="99"/>
    <w:rPr>
      <w:rFonts w:ascii="宋体" w:hAnsi="Courier New"/>
      <w:kern w:val="0"/>
      <w:szCs w:val="21"/>
    </w:rPr>
  </w:style>
  <w:style w:type="paragraph" w:styleId="22">
    <w:name w:val="toc 8"/>
    <w:basedOn w:val="1"/>
    <w:next w:val="1"/>
    <w:qFormat/>
    <w:uiPriority w:val="99"/>
    <w:pPr>
      <w:ind w:left="1470"/>
      <w:jc w:val="left"/>
    </w:pPr>
    <w:rPr>
      <w:rFonts w:ascii="Calibri" w:hAnsi="Calibri" w:cs="Calibri"/>
      <w:sz w:val="18"/>
      <w:szCs w:val="18"/>
    </w:rPr>
  </w:style>
  <w:style w:type="paragraph" w:styleId="23">
    <w:name w:val="Date"/>
    <w:basedOn w:val="1"/>
    <w:next w:val="1"/>
    <w:link w:val="65"/>
    <w:qFormat/>
    <w:uiPriority w:val="99"/>
    <w:rPr>
      <w:rFonts w:eastAsia="黑体"/>
      <w:kern w:val="0"/>
      <w:sz w:val="20"/>
    </w:rPr>
  </w:style>
  <w:style w:type="paragraph" w:styleId="24">
    <w:name w:val="Body Text Indent 2"/>
    <w:basedOn w:val="1"/>
    <w:link w:val="66"/>
    <w:qFormat/>
    <w:uiPriority w:val="99"/>
    <w:pPr>
      <w:ind w:firstLine="630"/>
    </w:pPr>
    <w:rPr>
      <w:kern w:val="0"/>
      <w:sz w:val="20"/>
    </w:rPr>
  </w:style>
  <w:style w:type="paragraph" w:styleId="25">
    <w:name w:val="Balloon Text"/>
    <w:basedOn w:val="1"/>
    <w:link w:val="67"/>
    <w:qFormat/>
    <w:uiPriority w:val="99"/>
    <w:rPr>
      <w:kern w:val="0"/>
      <w:sz w:val="18"/>
      <w:szCs w:val="18"/>
    </w:rPr>
  </w:style>
  <w:style w:type="paragraph" w:styleId="26">
    <w:name w:val="footer"/>
    <w:basedOn w:val="1"/>
    <w:link w:val="68"/>
    <w:qFormat/>
    <w:uiPriority w:val="99"/>
    <w:pPr>
      <w:tabs>
        <w:tab w:val="center" w:pos="4153"/>
        <w:tab w:val="right" w:pos="8306"/>
      </w:tabs>
      <w:snapToGrid w:val="0"/>
      <w:jc w:val="left"/>
    </w:pPr>
    <w:rPr>
      <w:kern w:val="0"/>
      <w:sz w:val="18"/>
    </w:rPr>
  </w:style>
  <w:style w:type="paragraph" w:styleId="27">
    <w:name w:val="header"/>
    <w:basedOn w:val="1"/>
    <w:link w:val="69"/>
    <w:qFormat/>
    <w:uiPriority w:val="0"/>
    <w:pPr>
      <w:pBdr>
        <w:bottom w:val="single" w:color="auto" w:sz="6" w:space="1"/>
      </w:pBdr>
      <w:tabs>
        <w:tab w:val="center" w:pos="4153"/>
        <w:tab w:val="right" w:pos="8306"/>
      </w:tabs>
      <w:snapToGrid w:val="0"/>
      <w:jc w:val="center"/>
    </w:pPr>
    <w:rPr>
      <w:kern w:val="0"/>
      <w:sz w:val="18"/>
    </w:rPr>
  </w:style>
  <w:style w:type="paragraph" w:styleId="28">
    <w:name w:val="toc 1"/>
    <w:basedOn w:val="1"/>
    <w:next w:val="1"/>
    <w:qFormat/>
    <w:uiPriority w:val="39"/>
    <w:pPr>
      <w:spacing w:before="120" w:after="120"/>
      <w:jc w:val="left"/>
    </w:pPr>
    <w:rPr>
      <w:rFonts w:ascii="Calibri" w:hAnsi="Calibri" w:cs="Calibri"/>
      <w:b/>
      <w:bCs/>
      <w:caps/>
      <w:sz w:val="20"/>
    </w:rPr>
  </w:style>
  <w:style w:type="paragraph" w:styleId="29">
    <w:name w:val="toc 4"/>
    <w:basedOn w:val="1"/>
    <w:next w:val="1"/>
    <w:qFormat/>
    <w:uiPriority w:val="99"/>
    <w:pPr>
      <w:ind w:left="630"/>
      <w:jc w:val="left"/>
    </w:pPr>
    <w:rPr>
      <w:rFonts w:ascii="Calibri" w:hAnsi="Calibri" w:cs="Calibri"/>
      <w:sz w:val="18"/>
      <w:szCs w:val="18"/>
    </w:rPr>
  </w:style>
  <w:style w:type="paragraph" w:styleId="30">
    <w:name w:val="toc 6"/>
    <w:basedOn w:val="1"/>
    <w:next w:val="1"/>
    <w:qFormat/>
    <w:uiPriority w:val="99"/>
    <w:pPr>
      <w:ind w:left="1050"/>
      <w:jc w:val="left"/>
    </w:pPr>
    <w:rPr>
      <w:rFonts w:ascii="Calibri" w:hAnsi="Calibri" w:cs="Calibri"/>
      <w:sz w:val="18"/>
      <w:szCs w:val="18"/>
    </w:rPr>
  </w:style>
  <w:style w:type="paragraph" w:styleId="31">
    <w:name w:val="Body Text Indent 3"/>
    <w:basedOn w:val="1"/>
    <w:link w:val="70"/>
    <w:qFormat/>
    <w:uiPriority w:val="99"/>
    <w:pPr>
      <w:adjustRightInd w:val="0"/>
      <w:snapToGrid w:val="0"/>
      <w:spacing w:line="360" w:lineRule="auto"/>
      <w:ind w:firstLine="600" w:firstLineChars="200"/>
    </w:pPr>
    <w:rPr>
      <w:rFonts w:ascii="黑体" w:eastAsia="黑体"/>
      <w:kern w:val="0"/>
      <w:sz w:val="28"/>
      <w:szCs w:val="28"/>
    </w:rPr>
  </w:style>
  <w:style w:type="paragraph" w:styleId="32">
    <w:name w:val="toc 2"/>
    <w:basedOn w:val="1"/>
    <w:next w:val="1"/>
    <w:qFormat/>
    <w:uiPriority w:val="39"/>
    <w:pPr>
      <w:ind w:left="210"/>
      <w:jc w:val="left"/>
    </w:pPr>
    <w:rPr>
      <w:rFonts w:ascii="Calibri" w:hAnsi="Calibri" w:cs="Calibri"/>
      <w:smallCaps/>
      <w:sz w:val="20"/>
    </w:rPr>
  </w:style>
  <w:style w:type="paragraph" w:styleId="33">
    <w:name w:val="toc 9"/>
    <w:basedOn w:val="1"/>
    <w:next w:val="1"/>
    <w:qFormat/>
    <w:uiPriority w:val="99"/>
    <w:pPr>
      <w:ind w:left="1680"/>
      <w:jc w:val="left"/>
    </w:pPr>
    <w:rPr>
      <w:rFonts w:ascii="Calibri" w:hAnsi="Calibri" w:cs="Calibri"/>
      <w:sz w:val="18"/>
      <w:szCs w:val="18"/>
    </w:rPr>
  </w:style>
  <w:style w:type="paragraph" w:styleId="34">
    <w:name w:val="Body Text 2"/>
    <w:basedOn w:val="1"/>
    <w:link w:val="71"/>
    <w:qFormat/>
    <w:uiPriority w:val="99"/>
    <w:pPr>
      <w:spacing w:after="120" w:line="480" w:lineRule="auto"/>
    </w:pPr>
    <w:rPr>
      <w:kern w:val="0"/>
      <w:sz w:val="24"/>
      <w:szCs w:val="24"/>
    </w:rPr>
  </w:style>
  <w:style w:type="paragraph" w:styleId="35">
    <w:name w:val="Normal (Web)"/>
    <w:basedOn w:val="1"/>
    <w:qFormat/>
    <w:uiPriority w:val="0"/>
    <w:pPr>
      <w:widowControl/>
      <w:spacing w:before="100" w:beforeAutospacing="1" w:after="100" w:afterAutospacing="1"/>
      <w:jc w:val="left"/>
    </w:pPr>
    <w:rPr>
      <w:rFonts w:ascii="宋体" w:hAnsi="宋体"/>
      <w:kern w:val="0"/>
      <w:sz w:val="18"/>
      <w:szCs w:val="18"/>
    </w:rPr>
  </w:style>
  <w:style w:type="table" w:styleId="37">
    <w:name w:val="Table Grid"/>
    <w:basedOn w:val="3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9">
    <w:name w:val="Strong"/>
    <w:basedOn w:val="38"/>
    <w:qFormat/>
    <w:uiPriority w:val="0"/>
    <w:rPr>
      <w:b/>
      <w:bCs/>
    </w:rPr>
  </w:style>
  <w:style w:type="character" w:styleId="40">
    <w:name w:val="FollowedHyperlink"/>
    <w:basedOn w:val="38"/>
    <w:semiHidden/>
    <w:unhideWhenUsed/>
    <w:qFormat/>
    <w:locked/>
    <w:uiPriority w:val="99"/>
    <w:rPr>
      <w:color w:val="3177FD"/>
      <w:u w:val="none"/>
    </w:rPr>
  </w:style>
  <w:style w:type="character" w:styleId="41">
    <w:name w:val="Emphasis"/>
    <w:basedOn w:val="38"/>
    <w:qFormat/>
    <w:uiPriority w:val="0"/>
    <w:rPr>
      <w:i/>
    </w:rPr>
  </w:style>
  <w:style w:type="character" w:styleId="42">
    <w:name w:val="HTML Definition"/>
    <w:basedOn w:val="38"/>
    <w:semiHidden/>
    <w:unhideWhenUsed/>
    <w:qFormat/>
    <w:locked/>
    <w:uiPriority w:val="99"/>
    <w:rPr>
      <w:i/>
      <w:iCs/>
    </w:rPr>
  </w:style>
  <w:style w:type="character" w:styleId="43">
    <w:name w:val="Hyperlink"/>
    <w:qFormat/>
    <w:uiPriority w:val="99"/>
    <w:rPr>
      <w:rFonts w:cs="Times New Roman"/>
      <w:color w:val="0000FF"/>
      <w:u w:val="single"/>
    </w:rPr>
  </w:style>
  <w:style w:type="character" w:styleId="44">
    <w:name w:val="HTML Code"/>
    <w:basedOn w:val="38"/>
    <w:semiHidden/>
    <w:unhideWhenUsed/>
    <w:qFormat/>
    <w:locked/>
    <w:uiPriority w:val="99"/>
    <w:rPr>
      <w:rFonts w:hint="default" w:ascii="Consolas" w:hAnsi="Consolas" w:eastAsia="Consolas" w:cs="Consolas"/>
      <w:sz w:val="21"/>
      <w:szCs w:val="21"/>
    </w:rPr>
  </w:style>
  <w:style w:type="character" w:styleId="45">
    <w:name w:val="HTML Keyboard"/>
    <w:basedOn w:val="38"/>
    <w:semiHidden/>
    <w:unhideWhenUsed/>
    <w:qFormat/>
    <w:locked/>
    <w:uiPriority w:val="99"/>
    <w:rPr>
      <w:rFonts w:ascii="Consolas" w:hAnsi="Consolas" w:eastAsia="Consolas" w:cs="Consolas"/>
      <w:sz w:val="21"/>
      <w:szCs w:val="21"/>
    </w:rPr>
  </w:style>
  <w:style w:type="character" w:styleId="46">
    <w:name w:val="HTML Sample"/>
    <w:basedOn w:val="38"/>
    <w:semiHidden/>
    <w:unhideWhenUsed/>
    <w:qFormat/>
    <w:locked/>
    <w:uiPriority w:val="99"/>
    <w:rPr>
      <w:rFonts w:hint="default" w:ascii="Consolas" w:hAnsi="Consolas" w:eastAsia="Consolas" w:cs="Consolas"/>
      <w:sz w:val="21"/>
      <w:szCs w:val="21"/>
    </w:rPr>
  </w:style>
  <w:style w:type="paragraph" w:styleId="47">
    <w:name w:val="No Spacing"/>
    <w:basedOn w:val="1"/>
    <w:qFormat/>
    <w:uiPriority w:val="0"/>
    <w:pPr>
      <w:widowControl w:val="0"/>
      <w:jc w:val="both"/>
    </w:pPr>
    <w:rPr>
      <w:rFonts w:ascii="Times New Roman" w:hAnsi="Times New Roman" w:eastAsia="Times New Roman" w:cs="Times New Roman"/>
      <w:kern w:val="2"/>
      <w:sz w:val="21"/>
      <w:szCs w:val="22"/>
      <w:lang w:val="en-US" w:eastAsia="zh-CN" w:bidi="ar-SA"/>
    </w:rPr>
  </w:style>
  <w:style w:type="paragraph" w:customStyle="1" w:styleId="48">
    <w:name w:val="Normal Indent1"/>
    <w:basedOn w:val="1"/>
    <w:qFormat/>
    <w:uiPriority w:val="99"/>
    <w:pPr>
      <w:adjustRightInd w:val="0"/>
      <w:snapToGrid w:val="0"/>
      <w:spacing w:line="312" w:lineRule="auto"/>
      <w:ind w:firstLine="420" w:firstLineChars="200"/>
    </w:pPr>
    <w:rPr>
      <w:sz w:val="24"/>
    </w:rPr>
  </w:style>
  <w:style w:type="character" w:customStyle="1" w:styleId="49">
    <w:name w:val="标题 1 Char"/>
    <w:link w:val="4"/>
    <w:qFormat/>
    <w:locked/>
    <w:uiPriority w:val="99"/>
    <w:rPr>
      <w:b/>
      <w:kern w:val="44"/>
      <w:sz w:val="44"/>
    </w:rPr>
  </w:style>
  <w:style w:type="character" w:customStyle="1" w:styleId="50">
    <w:name w:val="标题 2 Char"/>
    <w:link w:val="5"/>
    <w:qFormat/>
    <w:locked/>
    <w:uiPriority w:val="99"/>
    <w:rPr>
      <w:rFonts w:ascii="Arial" w:hAnsi="Arial"/>
      <w:b/>
      <w:sz w:val="28"/>
    </w:rPr>
  </w:style>
  <w:style w:type="character" w:customStyle="1" w:styleId="51">
    <w:name w:val="正文缩进 Char"/>
    <w:link w:val="9"/>
    <w:qFormat/>
    <w:locked/>
    <w:uiPriority w:val="0"/>
    <w:rPr>
      <w:kern w:val="2"/>
      <w:sz w:val="21"/>
    </w:rPr>
  </w:style>
  <w:style w:type="character" w:customStyle="1" w:styleId="52">
    <w:name w:val="标题 3 Char"/>
    <w:link w:val="6"/>
    <w:qFormat/>
    <w:locked/>
    <w:uiPriority w:val="99"/>
    <w:rPr>
      <w:rFonts w:ascii="Times New Roman" w:hAnsi="Times New Roman" w:eastAsia="宋体" w:cs="Times New Roman"/>
      <w:b/>
      <w:sz w:val="20"/>
      <w:szCs w:val="20"/>
    </w:rPr>
  </w:style>
  <w:style w:type="character" w:customStyle="1" w:styleId="53">
    <w:name w:val="标题 4 Char"/>
    <w:link w:val="7"/>
    <w:semiHidden/>
    <w:qFormat/>
    <w:locked/>
    <w:uiPriority w:val="99"/>
    <w:rPr>
      <w:rFonts w:ascii="Arial" w:hAnsi="Arial" w:eastAsia="黑体" w:cs="Times New Roman"/>
      <w:b/>
      <w:bCs/>
      <w:sz w:val="28"/>
      <w:szCs w:val="28"/>
    </w:rPr>
  </w:style>
  <w:style w:type="character" w:customStyle="1" w:styleId="54">
    <w:name w:val="标题 5 Char"/>
    <w:link w:val="8"/>
    <w:semiHidden/>
    <w:qFormat/>
    <w:locked/>
    <w:uiPriority w:val="99"/>
    <w:rPr>
      <w:rFonts w:ascii="Times New Roman" w:hAnsi="Times New Roman" w:eastAsia="宋体" w:cs="Times New Roman"/>
      <w:b/>
      <w:sz w:val="24"/>
      <w:szCs w:val="24"/>
    </w:rPr>
  </w:style>
  <w:style w:type="character" w:customStyle="1" w:styleId="55">
    <w:name w:val="标题 6 Char"/>
    <w:link w:val="10"/>
    <w:semiHidden/>
    <w:qFormat/>
    <w:locked/>
    <w:uiPriority w:val="99"/>
    <w:rPr>
      <w:rFonts w:ascii="Arial" w:hAnsi="Arial" w:eastAsia="黑体" w:cs="Times New Roman"/>
      <w:b/>
      <w:sz w:val="24"/>
      <w:szCs w:val="24"/>
    </w:rPr>
  </w:style>
  <w:style w:type="character" w:customStyle="1" w:styleId="56">
    <w:name w:val="标题 7 Char"/>
    <w:link w:val="11"/>
    <w:semiHidden/>
    <w:qFormat/>
    <w:locked/>
    <w:uiPriority w:val="99"/>
    <w:rPr>
      <w:rFonts w:ascii="Times New Roman" w:hAnsi="Times New Roman" w:eastAsia="宋体" w:cs="Times New Roman"/>
      <w:b/>
      <w:sz w:val="24"/>
      <w:szCs w:val="24"/>
    </w:rPr>
  </w:style>
  <w:style w:type="character" w:customStyle="1" w:styleId="57">
    <w:name w:val="标题 8 Char"/>
    <w:link w:val="12"/>
    <w:semiHidden/>
    <w:qFormat/>
    <w:locked/>
    <w:uiPriority w:val="99"/>
    <w:rPr>
      <w:rFonts w:ascii="Arial" w:hAnsi="Arial" w:eastAsia="黑体" w:cs="Times New Roman"/>
      <w:sz w:val="24"/>
      <w:szCs w:val="24"/>
    </w:rPr>
  </w:style>
  <w:style w:type="character" w:customStyle="1" w:styleId="58">
    <w:name w:val="标题 9 Char"/>
    <w:link w:val="13"/>
    <w:semiHidden/>
    <w:qFormat/>
    <w:locked/>
    <w:uiPriority w:val="99"/>
    <w:rPr>
      <w:rFonts w:ascii="Arial" w:hAnsi="Arial" w:eastAsia="黑体" w:cs="Times New Roman"/>
      <w:sz w:val="24"/>
      <w:szCs w:val="24"/>
    </w:rPr>
  </w:style>
  <w:style w:type="character" w:customStyle="1" w:styleId="59">
    <w:name w:val="正文文本 Char"/>
    <w:link w:val="2"/>
    <w:semiHidden/>
    <w:qFormat/>
    <w:locked/>
    <w:uiPriority w:val="99"/>
    <w:rPr>
      <w:rFonts w:ascii="Times New Roman" w:hAnsi="Times New Roman" w:eastAsia="宋体" w:cs="Times New Roman"/>
      <w:sz w:val="20"/>
      <w:szCs w:val="20"/>
    </w:rPr>
  </w:style>
  <w:style w:type="character" w:customStyle="1" w:styleId="60">
    <w:name w:val="正文首行缩进 Char"/>
    <w:link w:val="3"/>
    <w:semiHidden/>
    <w:qFormat/>
    <w:locked/>
    <w:uiPriority w:val="99"/>
    <w:rPr>
      <w:rFonts w:ascii="Times New Roman" w:hAnsi="Times New Roman" w:eastAsia="宋体" w:cs="Times New Roman"/>
      <w:sz w:val="20"/>
      <w:szCs w:val="20"/>
    </w:rPr>
  </w:style>
  <w:style w:type="character" w:customStyle="1" w:styleId="61">
    <w:name w:val="文档结构图 Char"/>
    <w:link w:val="15"/>
    <w:semiHidden/>
    <w:qFormat/>
    <w:locked/>
    <w:uiPriority w:val="99"/>
    <w:rPr>
      <w:rFonts w:ascii="Times New Roman" w:hAnsi="Times New Roman" w:eastAsia="宋体" w:cs="Times New Roman"/>
      <w:sz w:val="20"/>
      <w:szCs w:val="20"/>
      <w:shd w:val="clear" w:color="auto" w:fill="000080"/>
    </w:rPr>
  </w:style>
  <w:style w:type="character" w:customStyle="1" w:styleId="62">
    <w:name w:val="正文文本 3 Char"/>
    <w:link w:val="16"/>
    <w:semiHidden/>
    <w:qFormat/>
    <w:locked/>
    <w:uiPriority w:val="99"/>
    <w:rPr>
      <w:rFonts w:ascii="Times New Roman" w:hAnsi="Times New Roman" w:eastAsia="宋体" w:cs="Times New Roman"/>
      <w:b/>
      <w:bCs/>
      <w:sz w:val="24"/>
      <w:szCs w:val="24"/>
    </w:rPr>
  </w:style>
  <w:style w:type="character" w:customStyle="1" w:styleId="63">
    <w:name w:val="正文文本缩进 Char"/>
    <w:link w:val="17"/>
    <w:semiHidden/>
    <w:qFormat/>
    <w:locked/>
    <w:uiPriority w:val="99"/>
    <w:rPr>
      <w:rFonts w:cs="Times New Roman"/>
      <w:sz w:val="32"/>
    </w:rPr>
  </w:style>
  <w:style w:type="character" w:customStyle="1" w:styleId="64">
    <w:name w:val="纯文本 Char"/>
    <w:link w:val="21"/>
    <w:semiHidden/>
    <w:qFormat/>
    <w:locked/>
    <w:uiPriority w:val="99"/>
    <w:rPr>
      <w:rFonts w:ascii="宋体" w:hAnsi="Courier New" w:eastAsia="宋体" w:cs="Courier New"/>
      <w:sz w:val="21"/>
      <w:szCs w:val="21"/>
    </w:rPr>
  </w:style>
  <w:style w:type="character" w:customStyle="1" w:styleId="65">
    <w:name w:val="日期 Char"/>
    <w:link w:val="23"/>
    <w:semiHidden/>
    <w:qFormat/>
    <w:locked/>
    <w:uiPriority w:val="99"/>
    <w:rPr>
      <w:rFonts w:ascii="Times New Roman" w:hAnsi="Times New Roman" w:eastAsia="黑体" w:cs="Times New Roman"/>
      <w:sz w:val="20"/>
      <w:szCs w:val="20"/>
    </w:rPr>
  </w:style>
  <w:style w:type="character" w:customStyle="1" w:styleId="66">
    <w:name w:val="正文文本缩进 2 Char"/>
    <w:link w:val="24"/>
    <w:semiHidden/>
    <w:qFormat/>
    <w:locked/>
    <w:uiPriority w:val="99"/>
    <w:rPr>
      <w:rFonts w:ascii="Times New Roman" w:hAnsi="Times New Roman" w:eastAsia="宋体" w:cs="Times New Roman"/>
      <w:sz w:val="20"/>
      <w:szCs w:val="20"/>
    </w:rPr>
  </w:style>
  <w:style w:type="character" w:customStyle="1" w:styleId="67">
    <w:name w:val="批注框文本 Char"/>
    <w:link w:val="25"/>
    <w:semiHidden/>
    <w:qFormat/>
    <w:locked/>
    <w:uiPriority w:val="99"/>
    <w:rPr>
      <w:rFonts w:ascii="Times New Roman" w:hAnsi="Times New Roman" w:eastAsia="宋体" w:cs="Times New Roman"/>
      <w:sz w:val="18"/>
      <w:szCs w:val="18"/>
    </w:rPr>
  </w:style>
  <w:style w:type="character" w:customStyle="1" w:styleId="68">
    <w:name w:val="页脚 Char"/>
    <w:link w:val="26"/>
    <w:qFormat/>
    <w:locked/>
    <w:uiPriority w:val="99"/>
    <w:rPr>
      <w:rFonts w:cs="Times New Roman"/>
      <w:sz w:val="18"/>
    </w:rPr>
  </w:style>
  <w:style w:type="character" w:customStyle="1" w:styleId="69">
    <w:name w:val="页眉 Char"/>
    <w:link w:val="27"/>
    <w:qFormat/>
    <w:locked/>
    <w:uiPriority w:val="0"/>
    <w:rPr>
      <w:rFonts w:cs="Times New Roman"/>
      <w:sz w:val="18"/>
    </w:rPr>
  </w:style>
  <w:style w:type="character" w:customStyle="1" w:styleId="70">
    <w:name w:val="正文文本缩进 3 Char"/>
    <w:link w:val="31"/>
    <w:semiHidden/>
    <w:qFormat/>
    <w:locked/>
    <w:uiPriority w:val="99"/>
    <w:rPr>
      <w:rFonts w:ascii="黑体" w:hAnsi="Times New Roman" w:eastAsia="黑体" w:cs="Times New Roman"/>
      <w:sz w:val="28"/>
      <w:szCs w:val="28"/>
    </w:rPr>
  </w:style>
  <w:style w:type="character" w:customStyle="1" w:styleId="71">
    <w:name w:val="正文文本 2 Char"/>
    <w:link w:val="34"/>
    <w:semiHidden/>
    <w:qFormat/>
    <w:locked/>
    <w:uiPriority w:val="99"/>
    <w:rPr>
      <w:rFonts w:ascii="Times New Roman" w:hAnsi="Times New Roman" w:eastAsia="宋体" w:cs="Times New Roman"/>
      <w:sz w:val="24"/>
      <w:szCs w:val="24"/>
    </w:rPr>
  </w:style>
  <w:style w:type="character" w:customStyle="1" w:styleId="72">
    <w:name w:val="标题 1 Char1"/>
    <w:qFormat/>
    <w:uiPriority w:val="99"/>
    <w:rPr>
      <w:rFonts w:cs="Times New Roman"/>
      <w:b/>
      <w:bCs/>
      <w:kern w:val="44"/>
      <w:sz w:val="44"/>
      <w:szCs w:val="44"/>
    </w:rPr>
  </w:style>
  <w:style w:type="character" w:customStyle="1" w:styleId="73">
    <w:name w:val="标题 4 Char1"/>
    <w:semiHidden/>
    <w:qFormat/>
    <w:uiPriority w:val="99"/>
    <w:rPr>
      <w:rFonts w:ascii="Cambria" w:hAnsi="Cambria" w:eastAsia="宋体" w:cs="Times New Roman"/>
      <w:b/>
      <w:bCs/>
      <w:kern w:val="2"/>
      <w:sz w:val="28"/>
      <w:szCs w:val="28"/>
    </w:rPr>
  </w:style>
  <w:style w:type="character" w:customStyle="1" w:styleId="74">
    <w:name w:val="页眉 Char1"/>
    <w:semiHidden/>
    <w:qFormat/>
    <w:uiPriority w:val="99"/>
    <w:rPr>
      <w:rFonts w:ascii="Times New Roman" w:hAnsi="Times New Roman" w:eastAsia="宋体" w:cs="Times New Roman"/>
      <w:sz w:val="18"/>
      <w:szCs w:val="18"/>
    </w:rPr>
  </w:style>
  <w:style w:type="character" w:customStyle="1" w:styleId="75">
    <w:name w:val="页脚 Char1"/>
    <w:semiHidden/>
    <w:qFormat/>
    <w:uiPriority w:val="99"/>
    <w:rPr>
      <w:rFonts w:ascii="Times New Roman" w:hAnsi="Times New Roman" w:eastAsia="宋体" w:cs="Times New Roman"/>
      <w:sz w:val="18"/>
      <w:szCs w:val="18"/>
    </w:rPr>
  </w:style>
  <w:style w:type="character" w:customStyle="1" w:styleId="76">
    <w:name w:val="正文文本缩进 Char1"/>
    <w:semiHidden/>
    <w:qFormat/>
    <w:uiPriority w:val="99"/>
    <w:rPr>
      <w:rFonts w:ascii="Times New Roman" w:hAnsi="Times New Roman" w:eastAsia="宋体" w:cs="Times New Roman"/>
      <w:sz w:val="20"/>
      <w:szCs w:val="20"/>
    </w:rPr>
  </w:style>
  <w:style w:type="paragraph" w:customStyle="1" w:styleId="77">
    <w:name w:val="标书正文格式"/>
    <w:qFormat/>
    <w:uiPriority w:val="99"/>
    <w:pPr>
      <w:spacing w:line="360" w:lineRule="auto"/>
      <w:ind w:firstLine="200" w:firstLineChars="200"/>
    </w:pPr>
    <w:rPr>
      <w:rFonts w:ascii="Times New Roman" w:hAnsi="Times New Roman" w:eastAsia="楷体_GB2312" w:cs="Times New Roman"/>
      <w:kern w:val="2"/>
      <w:sz w:val="24"/>
      <w:szCs w:val="24"/>
      <w:lang w:val="en-US" w:eastAsia="zh-CN" w:bidi="ar-SA"/>
    </w:rPr>
  </w:style>
  <w:style w:type="paragraph" w:customStyle="1" w:styleId="78">
    <w:name w:val="正文文本 21"/>
    <w:basedOn w:val="1"/>
    <w:qFormat/>
    <w:uiPriority w:val="99"/>
    <w:pPr>
      <w:adjustRightInd w:val="0"/>
      <w:spacing w:line="300" w:lineRule="auto"/>
      <w:jc w:val="center"/>
    </w:pPr>
    <w:rPr>
      <w:rFonts w:ascii="宋体" w:hAnsi="宋体"/>
      <w:sz w:val="24"/>
    </w:rPr>
  </w:style>
  <w:style w:type="paragraph" w:customStyle="1" w:styleId="79">
    <w:name w:val="Table Text"/>
    <w:basedOn w:val="1"/>
    <w:qFormat/>
    <w:uiPriority w:val="99"/>
    <w:pPr>
      <w:widowControl/>
      <w:spacing w:before="60" w:after="60"/>
      <w:jc w:val="left"/>
    </w:pPr>
    <w:rPr>
      <w:kern w:val="0"/>
      <w:szCs w:val="24"/>
    </w:rPr>
  </w:style>
  <w:style w:type="paragraph" w:customStyle="1" w:styleId="80">
    <w:name w:val="正文首行缩进两字符"/>
    <w:basedOn w:val="1"/>
    <w:qFormat/>
    <w:uiPriority w:val="99"/>
    <w:pPr>
      <w:spacing w:line="360" w:lineRule="auto"/>
      <w:ind w:firstLine="200" w:firstLineChars="200"/>
    </w:pPr>
    <w:rPr>
      <w:szCs w:val="24"/>
    </w:rPr>
  </w:style>
  <w:style w:type="paragraph" w:customStyle="1" w:styleId="81">
    <w:name w:val="正文缩进1"/>
    <w:basedOn w:val="1"/>
    <w:next w:val="1"/>
    <w:qFormat/>
    <w:uiPriority w:val="99"/>
    <w:pPr>
      <w:widowControl/>
      <w:ind w:firstLine="420"/>
    </w:pPr>
    <w:rPr>
      <w:color w:val="000000"/>
    </w:rPr>
  </w:style>
  <w:style w:type="paragraph" w:customStyle="1" w:styleId="82">
    <w:name w:val="Char1"/>
    <w:basedOn w:val="1"/>
    <w:qFormat/>
    <w:uiPriority w:val="99"/>
    <w:rPr>
      <w:szCs w:val="21"/>
    </w:rPr>
  </w:style>
  <w:style w:type="paragraph" w:customStyle="1" w:styleId="83">
    <w:name w:val="Char"/>
    <w:basedOn w:val="1"/>
    <w:qFormat/>
    <w:uiPriority w:val="99"/>
    <w:pPr>
      <w:widowControl/>
      <w:spacing w:before="100" w:beforeAutospacing="1" w:after="100" w:afterAutospacing="1" w:line="360" w:lineRule="auto"/>
      <w:jc w:val="left"/>
    </w:pPr>
    <w:rPr>
      <w:rFonts w:ascii="Verdana" w:hAnsi="Verdana"/>
      <w:kern w:val="0"/>
      <w:sz w:val="20"/>
      <w:szCs w:val="21"/>
      <w:lang w:eastAsia="en-US"/>
    </w:rPr>
  </w:style>
  <w:style w:type="paragraph" w:customStyle="1" w:styleId="84">
    <w:name w:val="table head"/>
    <w:basedOn w:val="1"/>
    <w:qFormat/>
    <w:uiPriority w:val="99"/>
    <w:pPr>
      <w:keepNext/>
      <w:keepLines/>
      <w:adjustRightInd w:val="0"/>
      <w:spacing w:line="312" w:lineRule="atLeast"/>
      <w:jc w:val="center"/>
    </w:pPr>
    <w:rPr>
      <w:b/>
      <w:kern w:val="0"/>
    </w:rPr>
  </w:style>
  <w:style w:type="paragraph" w:customStyle="1" w:styleId="85">
    <w:name w:val="纯文本1"/>
    <w:basedOn w:val="1"/>
    <w:qFormat/>
    <w:uiPriority w:val="99"/>
    <w:pPr>
      <w:adjustRightInd w:val="0"/>
    </w:pPr>
    <w:rPr>
      <w:rFonts w:ascii="宋体" w:hAnsi="Courier New"/>
    </w:rPr>
  </w:style>
  <w:style w:type="paragraph" w:customStyle="1" w:styleId="86">
    <w:name w:val="正文1"/>
    <w:qFormat/>
    <w:uiPriority w:val="99"/>
    <w:pPr>
      <w:widowControl w:val="0"/>
      <w:adjustRightInd w:val="0"/>
      <w:spacing w:line="312" w:lineRule="atLeast"/>
      <w:jc w:val="both"/>
    </w:pPr>
    <w:rPr>
      <w:rFonts w:ascii="宋体" w:hAnsi="Times New Roman" w:eastAsia="宋体" w:cs="Times New Roman"/>
      <w:sz w:val="34"/>
      <w:lang w:val="en-US" w:eastAsia="zh-CN" w:bidi="ar-SA"/>
    </w:rPr>
  </w:style>
  <w:style w:type="paragraph" w:customStyle="1" w:styleId="87">
    <w:name w:val="plaintext"/>
    <w:basedOn w:val="1"/>
    <w:qFormat/>
    <w:uiPriority w:val="99"/>
    <w:pPr>
      <w:widowControl/>
      <w:spacing w:before="100" w:beforeAutospacing="1" w:after="100" w:afterAutospacing="1"/>
      <w:jc w:val="left"/>
    </w:pPr>
    <w:rPr>
      <w:rFonts w:ascii="宋体" w:hAnsi="宋体"/>
      <w:kern w:val="0"/>
      <w:sz w:val="24"/>
      <w:szCs w:val="24"/>
    </w:rPr>
  </w:style>
  <w:style w:type="paragraph" w:customStyle="1" w:styleId="88">
    <w:name w:val="默认段落字体 Para Char Char Char Char Char Char Char Char Char1 Char Char Char Char"/>
    <w:basedOn w:val="1"/>
    <w:qFormat/>
    <w:uiPriority w:val="99"/>
    <w:rPr>
      <w:rFonts w:ascii="Tahoma" w:hAnsi="Tahoma"/>
      <w:sz w:val="24"/>
    </w:rPr>
  </w:style>
  <w:style w:type="paragraph" w:customStyle="1" w:styleId="89">
    <w:name w:val="Char Char Char Char Char Char"/>
    <w:basedOn w:val="1"/>
    <w:qFormat/>
    <w:uiPriority w:val="99"/>
    <w:rPr>
      <w:rFonts w:ascii="Tahoma" w:hAnsi="Tahoma"/>
      <w:sz w:val="24"/>
    </w:rPr>
  </w:style>
  <w:style w:type="paragraph" w:customStyle="1" w:styleId="90">
    <w:name w:val="Char Char Char Char"/>
    <w:basedOn w:val="1"/>
    <w:qFormat/>
    <w:uiPriority w:val="99"/>
    <w:pPr>
      <w:widowControl/>
      <w:spacing w:before="100" w:beforeAutospacing="1" w:after="100" w:afterAutospacing="1" w:line="360" w:lineRule="auto"/>
      <w:jc w:val="left"/>
    </w:pPr>
    <w:rPr>
      <w:rFonts w:ascii="Verdana" w:hAnsi="Verdana"/>
      <w:kern w:val="0"/>
      <w:sz w:val="20"/>
      <w:szCs w:val="21"/>
      <w:lang w:eastAsia="en-US"/>
    </w:rPr>
  </w:style>
  <w:style w:type="paragraph" w:customStyle="1" w:styleId="91">
    <w:name w:val="Char Char1 Char Char Char Char Char Char Char Char Char Char Char Char Char Char Char"/>
    <w:basedOn w:val="1"/>
    <w:qFormat/>
    <w:uiPriority w:val="99"/>
    <w:pPr>
      <w:widowControl/>
      <w:spacing w:after="160" w:line="240" w:lineRule="exact"/>
      <w:jc w:val="left"/>
    </w:pPr>
    <w:rPr>
      <w:rFonts w:ascii="Verdana" w:hAnsi="Verdana"/>
      <w:kern w:val="0"/>
      <w:sz w:val="20"/>
      <w:lang w:eastAsia="en-US"/>
    </w:rPr>
  </w:style>
  <w:style w:type="paragraph" w:customStyle="1" w:styleId="92">
    <w:name w:val="Char2 Char Char Char"/>
    <w:basedOn w:val="1"/>
    <w:qFormat/>
    <w:uiPriority w:val="99"/>
    <w:rPr>
      <w:rFonts w:ascii="仿宋_GB2312" w:eastAsia="仿宋_GB2312"/>
      <w:b/>
      <w:sz w:val="32"/>
      <w:szCs w:val="32"/>
    </w:rPr>
  </w:style>
  <w:style w:type="paragraph" w:customStyle="1" w:styleId="93">
    <w:name w:val="样式"/>
    <w:qFormat/>
    <w:uiPriority w:val="99"/>
    <w:pPr>
      <w:widowControl w:val="0"/>
      <w:autoSpaceDE w:val="0"/>
      <w:autoSpaceDN w:val="0"/>
      <w:adjustRightInd w:val="0"/>
    </w:pPr>
    <w:rPr>
      <w:rFonts w:ascii="宋体" w:hAnsi="宋体" w:eastAsia="宋体" w:cs="宋体"/>
      <w:sz w:val="24"/>
      <w:szCs w:val="24"/>
      <w:lang w:val="en-US" w:eastAsia="zh-CN" w:bidi="ar-SA"/>
    </w:rPr>
  </w:style>
  <w:style w:type="paragraph" w:customStyle="1" w:styleId="94">
    <w:name w:val="样式 首行缩进:  2 字符"/>
    <w:basedOn w:val="1"/>
    <w:qFormat/>
    <w:uiPriority w:val="99"/>
    <w:pPr>
      <w:spacing w:line="400" w:lineRule="exact"/>
      <w:ind w:firstLine="200" w:firstLineChars="200"/>
    </w:pPr>
    <w:rPr>
      <w:rFonts w:cs="宋体"/>
      <w:sz w:val="24"/>
      <w:szCs w:val="24"/>
    </w:rPr>
  </w:style>
  <w:style w:type="paragraph" w:customStyle="1" w:styleId="95">
    <w:name w:val="Char Char Char Char Char Char1 Char"/>
    <w:basedOn w:val="15"/>
    <w:qFormat/>
    <w:uiPriority w:val="99"/>
    <w:rPr>
      <w:rFonts w:ascii="Tahoma" w:hAnsi="Tahoma"/>
      <w:sz w:val="24"/>
      <w:szCs w:val="24"/>
    </w:rPr>
  </w:style>
  <w:style w:type="paragraph" w:customStyle="1" w:styleId="96">
    <w:name w:val="表格"/>
    <w:basedOn w:val="1"/>
    <w:qFormat/>
    <w:uiPriority w:val="99"/>
    <w:pPr>
      <w:spacing w:line="400" w:lineRule="exact"/>
    </w:pPr>
    <w:rPr>
      <w:sz w:val="24"/>
      <w:szCs w:val="24"/>
    </w:rPr>
  </w:style>
  <w:style w:type="character" w:customStyle="1" w:styleId="97">
    <w:name w:val="unnamed31"/>
    <w:qFormat/>
    <w:uiPriority w:val="99"/>
    <w:rPr>
      <w:sz w:val="22"/>
    </w:rPr>
  </w:style>
  <w:style w:type="character" w:customStyle="1" w:styleId="98">
    <w:name w:val="Char Char"/>
    <w:qFormat/>
    <w:uiPriority w:val="99"/>
    <w:rPr>
      <w:rFonts w:ascii="宋体" w:hAnsi="宋体" w:eastAsia="宋体"/>
      <w:b/>
      <w:kern w:val="2"/>
      <w:sz w:val="32"/>
      <w:lang w:val="en-US" w:eastAsia="zh-CN"/>
    </w:rPr>
  </w:style>
  <w:style w:type="character" w:customStyle="1" w:styleId="99">
    <w:name w:val="正文首行缩进两字符 Char"/>
    <w:qFormat/>
    <w:uiPriority w:val="99"/>
    <w:rPr>
      <w:rFonts w:ascii="宋体" w:hAnsi="宋体" w:eastAsia="宋体"/>
      <w:kern w:val="2"/>
      <w:sz w:val="24"/>
      <w:lang w:val="en-US" w:eastAsia="zh-CN"/>
    </w:rPr>
  </w:style>
  <w:style w:type="character" w:customStyle="1" w:styleId="100">
    <w:name w:val="标题 3 Char Char Char"/>
    <w:qFormat/>
    <w:uiPriority w:val="99"/>
    <w:rPr>
      <w:rFonts w:ascii="宋体" w:hAnsi="宋体" w:eastAsia="宋体"/>
      <w:b/>
      <w:kern w:val="2"/>
      <w:sz w:val="32"/>
      <w:lang w:val="en-US" w:eastAsia="zh-CN"/>
    </w:rPr>
  </w:style>
  <w:style w:type="character" w:customStyle="1" w:styleId="101">
    <w:name w:val="textnorm_chn1"/>
    <w:qFormat/>
    <w:uiPriority w:val="99"/>
    <w:rPr>
      <w:rFonts w:ascii="Arial" w:hAnsi="Arial"/>
      <w:color w:val="21254A"/>
      <w:sz w:val="22"/>
    </w:rPr>
  </w:style>
  <w:style w:type="character" w:customStyle="1" w:styleId="102">
    <w:name w:val="样式 小四 行距: 固定值 27 磅 Char Char"/>
    <w:link w:val="103"/>
    <w:qFormat/>
    <w:locked/>
    <w:uiPriority w:val="99"/>
    <w:rPr>
      <w:rFonts w:ascii="宋体" w:hAnsi="Times New Roman" w:eastAsia="宋体"/>
      <w:kern w:val="0"/>
      <w:sz w:val="20"/>
    </w:rPr>
  </w:style>
  <w:style w:type="paragraph" w:customStyle="1" w:styleId="103">
    <w:name w:val="样式 小四 行距: 固定值 27 磅"/>
    <w:basedOn w:val="1"/>
    <w:link w:val="102"/>
    <w:qFormat/>
    <w:uiPriority w:val="99"/>
    <w:pPr>
      <w:spacing w:line="540" w:lineRule="exact"/>
      <w:ind w:firstLine="480" w:firstLineChars="200"/>
    </w:pPr>
    <w:rPr>
      <w:rFonts w:ascii="宋体"/>
      <w:kern w:val="0"/>
      <w:sz w:val="20"/>
    </w:rPr>
  </w:style>
  <w:style w:type="paragraph" w:customStyle="1" w:styleId="104">
    <w:name w:val="Plain Text1"/>
    <w:basedOn w:val="1"/>
    <w:qFormat/>
    <w:uiPriority w:val="99"/>
    <w:rPr>
      <w:rFonts w:ascii="宋体" w:hAnsi="Courier New" w:cs="Courier New"/>
      <w:szCs w:val="21"/>
    </w:rPr>
  </w:style>
  <w:style w:type="paragraph" w:customStyle="1" w:styleId="105">
    <w:name w:val="Normal Indent11"/>
    <w:basedOn w:val="1"/>
    <w:qFormat/>
    <w:uiPriority w:val="99"/>
    <w:pPr>
      <w:adjustRightInd w:val="0"/>
      <w:snapToGrid w:val="0"/>
      <w:spacing w:line="312" w:lineRule="auto"/>
      <w:ind w:firstLine="420" w:firstLineChars="200"/>
    </w:pPr>
    <w:rPr>
      <w:sz w:val="24"/>
    </w:rPr>
  </w:style>
  <w:style w:type="paragraph" w:customStyle="1" w:styleId="106">
    <w:name w:val="È¡ÀÊ¡ÎÄ¡À¾"/>
    <w:basedOn w:val="1"/>
    <w:qFormat/>
    <w:uiPriority w:val="99"/>
    <w:pPr>
      <w:widowControl/>
      <w:overflowPunct w:val="0"/>
      <w:autoSpaceDE w:val="0"/>
      <w:autoSpaceDN w:val="0"/>
      <w:adjustRightInd w:val="0"/>
      <w:jc w:val="left"/>
    </w:pPr>
    <w:rPr>
      <w:kern w:val="0"/>
      <w:sz w:val="24"/>
    </w:rPr>
  </w:style>
  <w:style w:type="character" w:customStyle="1" w:styleId="107">
    <w:name w:val="font11"/>
    <w:qFormat/>
    <w:uiPriority w:val="99"/>
    <w:rPr>
      <w:rFonts w:ascii="宋体" w:hAnsi="宋体" w:eastAsia="宋体" w:cs="宋体"/>
      <w:color w:val="000000"/>
      <w:sz w:val="24"/>
      <w:szCs w:val="24"/>
      <w:u w:val="none"/>
    </w:rPr>
  </w:style>
  <w:style w:type="character" w:customStyle="1" w:styleId="108">
    <w:name w:val="font01"/>
    <w:qFormat/>
    <w:uiPriority w:val="99"/>
    <w:rPr>
      <w:rFonts w:ascii="宋体" w:hAnsi="宋体" w:eastAsia="宋体" w:cs="宋体"/>
      <w:color w:val="000000"/>
      <w:sz w:val="24"/>
      <w:szCs w:val="24"/>
      <w:u w:val="none"/>
    </w:rPr>
  </w:style>
  <w:style w:type="paragraph" w:customStyle="1" w:styleId="109">
    <w:name w:val="msonormal"/>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10">
    <w:name w:val="font5"/>
    <w:basedOn w:val="1"/>
    <w:qFormat/>
    <w:uiPriority w:val="99"/>
    <w:pPr>
      <w:widowControl/>
      <w:spacing w:before="100" w:beforeAutospacing="1" w:after="100" w:afterAutospacing="1"/>
      <w:jc w:val="left"/>
    </w:pPr>
    <w:rPr>
      <w:b/>
      <w:bCs/>
      <w:color w:val="000000"/>
      <w:kern w:val="0"/>
      <w:szCs w:val="21"/>
    </w:rPr>
  </w:style>
  <w:style w:type="paragraph" w:customStyle="1" w:styleId="111">
    <w:name w:val="font6"/>
    <w:basedOn w:val="1"/>
    <w:qFormat/>
    <w:uiPriority w:val="99"/>
    <w:pPr>
      <w:widowControl/>
      <w:spacing w:before="100" w:beforeAutospacing="1" w:after="100" w:afterAutospacing="1"/>
      <w:jc w:val="left"/>
    </w:pPr>
    <w:rPr>
      <w:rFonts w:ascii="宋体" w:hAnsi="宋体" w:cs="宋体"/>
      <w:b/>
      <w:bCs/>
      <w:color w:val="000000"/>
      <w:kern w:val="0"/>
      <w:szCs w:val="21"/>
    </w:rPr>
  </w:style>
  <w:style w:type="paragraph" w:customStyle="1" w:styleId="112">
    <w:name w:val="font7"/>
    <w:basedOn w:val="1"/>
    <w:qFormat/>
    <w:uiPriority w:val="99"/>
    <w:pPr>
      <w:widowControl/>
      <w:spacing w:before="100" w:beforeAutospacing="1" w:after="100" w:afterAutospacing="1"/>
      <w:jc w:val="left"/>
    </w:pPr>
    <w:rPr>
      <w:rFonts w:ascii="宋体" w:hAnsi="宋体" w:cs="宋体"/>
      <w:kern w:val="0"/>
      <w:sz w:val="18"/>
      <w:szCs w:val="18"/>
    </w:rPr>
  </w:style>
  <w:style w:type="paragraph" w:customStyle="1" w:styleId="113">
    <w:name w:val="font8"/>
    <w:basedOn w:val="1"/>
    <w:qFormat/>
    <w:uiPriority w:val="99"/>
    <w:pPr>
      <w:widowControl/>
      <w:spacing w:before="100" w:beforeAutospacing="1" w:after="100" w:afterAutospacing="1"/>
      <w:jc w:val="left"/>
    </w:pPr>
    <w:rPr>
      <w:color w:val="000000"/>
      <w:kern w:val="0"/>
      <w:sz w:val="24"/>
      <w:szCs w:val="24"/>
    </w:rPr>
  </w:style>
  <w:style w:type="paragraph" w:customStyle="1" w:styleId="114">
    <w:name w:val="font9"/>
    <w:basedOn w:val="1"/>
    <w:qFormat/>
    <w:uiPriority w:val="99"/>
    <w:pPr>
      <w:widowControl/>
      <w:spacing w:before="100" w:beforeAutospacing="1" w:after="100" w:afterAutospacing="1"/>
      <w:jc w:val="left"/>
    </w:pPr>
    <w:rPr>
      <w:b/>
      <w:bCs/>
      <w:color w:val="000000"/>
      <w:kern w:val="0"/>
      <w:sz w:val="24"/>
      <w:szCs w:val="24"/>
    </w:rPr>
  </w:style>
  <w:style w:type="paragraph" w:customStyle="1" w:styleId="115">
    <w:name w:val="font10"/>
    <w:basedOn w:val="1"/>
    <w:qFormat/>
    <w:uiPriority w:val="99"/>
    <w:pPr>
      <w:widowControl/>
      <w:spacing w:before="100" w:beforeAutospacing="1" w:after="100" w:afterAutospacing="1"/>
      <w:jc w:val="left"/>
    </w:pPr>
    <w:rPr>
      <w:rFonts w:ascii="宋体" w:hAnsi="宋体" w:cs="宋体"/>
      <w:b/>
      <w:bCs/>
      <w:color w:val="000000"/>
      <w:kern w:val="0"/>
      <w:sz w:val="24"/>
      <w:szCs w:val="24"/>
    </w:rPr>
  </w:style>
  <w:style w:type="paragraph" w:customStyle="1" w:styleId="116">
    <w:name w:val="xl65"/>
    <w:basedOn w:val="1"/>
    <w:qFormat/>
    <w:uiPriority w:val="99"/>
    <w:pPr>
      <w:widowControl/>
      <w:spacing w:before="100" w:beforeAutospacing="1" w:after="100" w:afterAutospacing="1"/>
      <w:jc w:val="left"/>
    </w:pPr>
    <w:rPr>
      <w:rFonts w:ascii="宋体" w:hAnsi="宋体" w:cs="宋体"/>
      <w:b/>
      <w:bCs/>
      <w:kern w:val="0"/>
      <w:szCs w:val="21"/>
    </w:rPr>
  </w:style>
  <w:style w:type="paragraph" w:customStyle="1" w:styleId="117">
    <w:name w:val="xl6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18">
    <w:name w:val="xl6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b/>
      <w:bCs/>
      <w:kern w:val="0"/>
      <w:szCs w:val="21"/>
    </w:rPr>
  </w:style>
  <w:style w:type="paragraph" w:customStyle="1" w:styleId="119">
    <w:name w:val="xl6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120">
    <w:name w:val="xl6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Cs w:val="21"/>
    </w:rPr>
  </w:style>
  <w:style w:type="paragraph" w:customStyle="1" w:styleId="121">
    <w:name w:val="xl7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122">
    <w:name w:val="xl71"/>
    <w:basedOn w:val="1"/>
    <w:qFormat/>
    <w:uiPriority w:val="99"/>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b/>
      <w:bCs/>
      <w:kern w:val="0"/>
      <w:szCs w:val="21"/>
    </w:rPr>
  </w:style>
  <w:style w:type="paragraph" w:customStyle="1" w:styleId="123">
    <w:name w:val="xl72"/>
    <w:basedOn w:val="1"/>
    <w:qFormat/>
    <w:uiPriority w:val="99"/>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Cs w:val="21"/>
    </w:rPr>
  </w:style>
  <w:style w:type="paragraph" w:customStyle="1" w:styleId="124">
    <w:name w:val="xl7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25">
    <w:name w:val="xl74"/>
    <w:basedOn w:val="1"/>
    <w:qFormat/>
    <w:uiPriority w:val="99"/>
    <w:pPr>
      <w:widowControl/>
      <w:pBdr>
        <w:top w:val="single" w:color="auto" w:sz="4" w:space="0"/>
        <w:bottom w:val="single" w:color="auto" w:sz="4" w:space="0"/>
      </w:pBdr>
      <w:spacing w:before="100" w:beforeAutospacing="1" w:after="100" w:afterAutospacing="1"/>
      <w:jc w:val="left"/>
    </w:pPr>
    <w:rPr>
      <w:rFonts w:ascii="宋体" w:hAnsi="宋体" w:cs="宋体"/>
      <w:b/>
      <w:bCs/>
      <w:kern w:val="0"/>
      <w:sz w:val="24"/>
      <w:szCs w:val="24"/>
    </w:rPr>
  </w:style>
  <w:style w:type="paragraph" w:customStyle="1" w:styleId="126">
    <w:name w:val="xl7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4"/>
      <w:szCs w:val="24"/>
    </w:rPr>
  </w:style>
  <w:style w:type="paragraph" w:customStyle="1" w:styleId="127">
    <w:name w:val="xl7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4"/>
      <w:szCs w:val="24"/>
    </w:rPr>
  </w:style>
  <w:style w:type="paragraph" w:customStyle="1" w:styleId="128">
    <w:name w:val="xl7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129">
    <w:name w:val="xl78"/>
    <w:basedOn w:val="1"/>
    <w:qFormat/>
    <w:uiPriority w:val="99"/>
    <w:pPr>
      <w:widowControl/>
      <w:pBdr>
        <w:top w:val="single" w:color="auto" w:sz="4" w:space="0"/>
      </w:pBdr>
      <w:spacing w:before="100" w:beforeAutospacing="1" w:after="100" w:afterAutospacing="1"/>
      <w:jc w:val="left"/>
    </w:pPr>
    <w:rPr>
      <w:rFonts w:ascii="宋体" w:hAnsi="宋体" w:cs="宋体"/>
      <w:b/>
      <w:bCs/>
      <w:kern w:val="0"/>
      <w:sz w:val="24"/>
      <w:szCs w:val="24"/>
    </w:rPr>
  </w:style>
  <w:style w:type="paragraph" w:customStyle="1" w:styleId="130">
    <w:name w:val="xl7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kern w:val="0"/>
      <w:sz w:val="24"/>
      <w:szCs w:val="24"/>
    </w:rPr>
  </w:style>
  <w:style w:type="paragraph" w:customStyle="1" w:styleId="131">
    <w:name w:val="xl80"/>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kern w:val="0"/>
      <w:sz w:val="24"/>
      <w:szCs w:val="24"/>
    </w:rPr>
  </w:style>
  <w:style w:type="paragraph" w:customStyle="1" w:styleId="132">
    <w:name w:val="xl81"/>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b/>
      <w:bCs/>
      <w:kern w:val="0"/>
      <w:sz w:val="24"/>
      <w:szCs w:val="24"/>
    </w:rPr>
  </w:style>
  <w:style w:type="paragraph" w:customStyle="1" w:styleId="133">
    <w:name w:val="xl82"/>
    <w:basedOn w:val="1"/>
    <w:qFormat/>
    <w:uiPriority w:val="99"/>
    <w:pPr>
      <w:widowControl/>
      <w:pBdr>
        <w:top w:val="single" w:color="auto" w:sz="4" w:space="0"/>
        <w:bottom w:val="single" w:color="auto" w:sz="4" w:space="0"/>
      </w:pBdr>
      <w:spacing w:before="100" w:beforeAutospacing="1" w:after="100" w:afterAutospacing="1"/>
      <w:jc w:val="left"/>
    </w:pPr>
    <w:rPr>
      <w:rFonts w:ascii="宋体" w:hAnsi="宋体" w:cs="宋体"/>
      <w:b/>
      <w:bCs/>
      <w:kern w:val="0"/>
      <w:sz w:val="24"/>
      <w:szCs w:val="24"/>
    </w:rPr>
  </w:style>
  <w:style w:type="paragraph" w:customStyle="1" w:styleId="134">
    <w:name w:val="xl83"/>
    <w:basedOn w:val="1"/>
    <w:qFormat/>
    <w:uiPriority w:val="99"/>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4"/>
      <w:szCs w:val="24"/>
    </w:rPr>
  </w:style>
  <w:style w:type="paragraph" w:customStyle="1" w:styleId="135">
    <w:name w:val="列出段落1"/>
    <w:basedOn w:val="1"/>
    <w:qFormat/>
    <w:uiPriority w:val="99"/>
    <w:pPr>
      <w:ind w:firstLine="420" w:firstLineChars="200"/>
    </w:pPr>
  </w:style>
  <w:style w:type="paragraph" w:customStyle="1" w:styleId="136">
    <w:name w:val="List Paragraph1"/>
    <w:basedOn w:val="1"/>
    <w:qFormat/>
    <w:uiPriority w:val="99"/>
    <w:pPr>
      <w:ind w:firstLine="420" w:firstLineChars="200"/>
    </w:pPr>
  </w:style>
  <w:style w:type="character" w:customStyle="1" w:styleId="137">
    <w:name w:val="无间隔 Char"/>
    <w:link w:val="138"/>
    <w:qFormat/>
    <w:locked/>
    <w:uiPriority w:val="0"/>
    <w:rPr>
      <w:kern w:val="2"/>
      <w:sz w:val="21"/>
      <w:szCs w:val="24"/>
      <w:lang w:val="en-US" w:eastAsia="zh-CN" w:bidi="ar-SA"/>
    </w:rPr>
  </w:style>
  <w:style w:type="paragraph" w:customStyle="1" w:styleId="138">
    <w:name w:val="无间隔1"/>
    <w:link w:val="13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9">
    <w:name w:val="样式 宋体 五号 行距: 单倍行距"/>
    <w:basedOn w:val="1"/>
    <w:qFormat/>
    <w:uiPriority w:val="0"/>
    <w:pPr>
      <w:adjustRightInd w:val="0"/>
      <w:jc w:val="left"/>
    </w:pPr>
    <w:rPr>
      <w:rFonts w:ascii="宋体" w:hAnsi="宋体"/>
      <w:kern w:val="0"/>
    </w:rPr>
  </w:style>
  <w:style w:type="character" w:customStyle="1" w:styleId="140">
    <w:name w:val="font121"/>
    <w:qFormat/>
    <w:uiPriority w:val="0"/>
    <w:rPr>
      <w:rFonts w:hint="eastAsia" w:ascii="宋体" w:hAnsi="宋体" w:eastAsia="宋体" w:cs="宋体"/>
      <w:color w:val="000000"/>
      <w:sz w:val="21"/>
      <w:szCs w:val="21"/>
      <w:u w:val="none"/>
    </w:rPr>
  </w:style>
  <w:style w:type="character" w:customStyle="1" w:styleId="141">
    <w:name w:val="font31"/>
    <w:qFormat/>
    <w:uiPriority w:val="0"/>
    <w:rPr>
      <w:rFonts w:hint="eastAsia" w:ascii="宋体" w:hAnsi="宋体" w:eastAsia="宋体" w:cs="宋体"/>
      <w:color w:val="000000"/>
      <w:sz w:val="16"/>
      <w:szCs w:val="16"/>
      <w:u w:val="none"/>
    </w:rPr>
  </w:style>
  <w:style w:type="character" w:customStyle="1" w:styleId="142">
    <w:name w:val="font131"/>
    <w:qFormat/>
    <w:uiPriority w:val="0"/>
    <w:rPr>
      <w:rFonts w:hint="default" w:ascii="Calibri" w:hAnsi="Calibri" w:cs="Calibri"/>
      <w:color w:val="000000"/>
      <w:sz w:val="21"/>
      <w:szCs w:val="21"/>
      <w:u w:val="none"/>
    </w:rPr>
  </w:style>
  <w:style w:type="character" w:customStyle="1" w:styleId="143">
    <w:name w:val="font101"/>
    <w:qFormat/>
    <w:uiPriority w:val="0"/>
    <w:rPr>
      <w:rFonts w:hint="eastAsia" w:ascii="宋体" w:hAnsi="宋体" w:eastAsia="宋体" w:cs="宋体"/>
      <w:color w:val="FF0000"/>
      <w:sz w:val="21"/>
      <w:szCs w:val="21"/>
      <w:u w:val="none"/>
    </w:rPr>
  </w:style>
  <w:style w:type="paragraph" w:customStyle="1" w:styleId="144">
    <w:name w:val="_Style 12"/>
    <w:basedOn w:val="1"/>
    <w:qFormat/>
    <w:uiPriority w:val="0"/>
    <w:pPr>
      <w:tabs>
        <w:tab w:val="left" w:pos="360"/>
      </w:tabs>
      <w:ind w:firstLine="420" w:firstLineChars="150"/>
    </w:pPr>
  </w:style>
  <w:style w:type="paragraph" w:styleId="145">
    <w:name w:val="List Paragraph"/>
    <w:basedOn w:val="1"/>
    <w:qFormat/>
    <w:uiPriority w:val="1"/>
    <w:pPr>
      <w:ind w:left="818" w:hanging="242"/>
    </w:pPr>
    <w:rPr>
      <w:rFonts w:ascii="宋体" w:hAnsi="宋体" w:cs="宋体"/>
      <w:lang w:val="zh-CN" w:bidi="zh-CN"/>
    </w:rPr>
  </w:style>
  <w:style w:type="paragraph" w:customStyle="1" w:styleId="146">
    <w:name w:val="Table Paragraph"/>
    <w:basedOn w:val="1"/>
    <w:qFormat/>
    <w:uiPriority w:val="1"/>
    <w:pPr>
      <w:jc w:val="center"/>
    </w:pPr>
    <w:rPr>
      <w:rFonts w:ascii="宋体" w:hAnsi="宋体" w:cs="宋体"/>
      <w:lang w:val="zh-CN" w:bidi="zh-CN"/>
    </w:rPr>
  </w:style>
  <w:style w:type="character" w:customStyle="1" w:styleId="147">
    <w:name w:val="bookmark-item"/>
    <w:basedOn w:val="38"/>
    <w:qFormat/>
    <w:uiPriority w:val="0"/>
  </w:style>
  <w:style w:type="paragraph" w:customStyle="1" w:styleId="148">
    <w:name w:val="_Style 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49">
    <w:name w:val="样式 样式 样式 左侧:  2 字符1 + 首行缩进:  2 字符1 + 首行缩进:  2 字符"/>
    <w:basedOn w:val="1"/>
    <w:qFormat/>
    <w:uiPriority w:val="0"/>
    <w:pPr>
      <w:widowControl/>
      <w:spacing w:before="60" w:after="120" w:line="440" w:lineRule="atLeast"/>
      <w:ind w:firstLine="480"/>
    </w:pPr>
    <w:rPr>
      <w:sz w:val="24"/>
    </w:rPr>
  </w:style>
  <w:style w:type="paragraph" w:customStyle="1" w:styleId="150">
    <w:name w:val="WPS Plain"/>
    <w:qFormat/>
    <w:uiPriority w:val="0"/>
    <w:rPr>
      <w:rFonts w:ascii="Times New Roman" w:hAnsi="Times New Roman" w:eastAsia="宋体" w:cs="Times New Roman"/>
      <w:lang w:val="en-US" w:eastAsia="zh-CN" w:bidi="ar-SA"/>
    </w:rPr>
  </w:style>
  <w:style w:type="character" w:customStyle="1" w:styleId="151">
    <w:name w:val="ant-select-tree-checkbox"/>
    <w:basedOn w:val="38"/>
    <w:qFormat/>
    <w:uiPriority w:val="0"/>
  </w:style>
  <w:style w:type="character" w:customStyle="1" w:styleId="152">
    <w:name w:val="change-camera-place"/>
    <w:basedOn w:val="38"/>
    <w:qFormat/>
    <w:uiPriority w:val="0"/>
    <w:rPr>
      <w:color w:val="3177FD"/>
    </w:rPr>
  </w:style>
  <w:style w:type="character" w:customStyle="1" w:styleId="153">
    <w:name w:val="info-label"/>
    <w:basedOn w:val="38"/>
    <w:qFormat/>
    <w:uiPriority w:val="0"/>
    <w:rPr>
      <w:b/>
      <w:bCs/>
    </w:rPr>
  </w:style>
  <w:style w:type="character" w:customStyle="1" w:styleId="154">
    <w:name w:val="info-content"/>
    <w:basedOn w:val="38"/>
    <w:qFormat/>
    <w:uiPriority w:val="0"/>
    <w:rPr>
      <w:color w:val="808080"/>
    </w:rPr>
  </w:style>
  <w:style w:type="character" w:customStyle="1" w:styleId="155">
    <w:name w:val="first-child"/>
    <w:basedOn w:val="38"/>
    <w:qFormat/>
    <w:uiPriority w:val="0"/>
  </w:style>
  <w:style w:type="character" w:customStyle="1" w:styleId="156">
    <w:name w:val="tag-type"/>
    <w:basedOn w:val="38"/>
    <w:qFormat/>
    <w:uiPriority w:val="0"/>
    <w:rPr>
      <w:color w:val="FFFFFF"/>
      <w:sz w:val="18"/>
      <w:szCs w:val="18"/>
      <w:shd w:val="clear" w:color="auto" w:fill="317FFD"/>
    </w:rPr>
  </w:style>
  <w:style w:type="character" w:customStyle="1" w:styleId="157">
    <w:name w:val="tag-type1"/>
    <w:basedOn w:val="38"/>
    <w:qFormat/>
    <w:uiPriority w:val="0"/>
    <w:rPr>
      <w:color w:val="FFFFFF"/>
      <w:sz w:val="18"/>
      <w:szCs w:val="18"/>
      <w:shd w:val="clear" w:color="auto" w:fill="317FFD"/>
    </w:rPr>
  </w:style>
  <w:style w:type="character" w:customStyle="1" w:styleId="158">
    <w:name w:val="ant-tree-checkbox"/>
    <w:basedOn w:val="38"/>
    <w:qFormat/>
    <w:uiPriority w:val="0"/>
  </w:style>
  <w:style w:type="character" w:customStyle="1" w:styleId="159">
    <w:name w:val="ant-select-tree-iconele"/>
    <w:basedOn w:val="38"/>
    <w:qFormat/>
    <w:uiPriority w:val="0"/>
  </w:style>
  <w:style w:type="character" w:customStyle="1" w:styleId="160">
    <w:name w:val="content10"/>
    <w:basedOn w:val="38"/>
    <w:qFormat/>
    <w:uiPriority w:val="0"/>
  </w:style>
  <w:style w:type="character" w:customStyle="1" w:styleId="161">
    <w:name w:val="last-child"/>
    <w:basedOn w:val="38"/>
    <w:qFormat/>
    <w:uiPriority w:val="0"/>
  </w:style>
  <w:style w:type="character" w:customStyle="1" w:styleId="162">
    <w:name w:val="last-child1"/>
    <w:basedOn w:val="38"/>
    <w:qFormat/>
    <w:uiPriority w:val="0"/>
  </w:style>
  <w:style w:type="character" w:customStyle="1" w:styleId="163">
    <w:name w:val="last-child2"/>
    <w:basedOn w:val="38"/>
    <w:qFormat/>
    <w:uiPriority w:val="0"/>
  </w:style>
  <w:style w:type="character" w:customStyle="1" w:styleId="164">
    <w:name w:val="last-child3"/>
    <w:basedOn w:val="38"/>
    <w:qFormat/>
    <w:uiPriority w:val="0"/>
  </w:style>
  <w:style w:type="character" w:customStyle="1" w:styleId="165">
    <w:name w:val="current"/>
    <w:basedOn w:val="38"/>
    <w:qFormat/>
    <w:uiPriority w:val="0"/>
    <w:rPr>
      <w:color w:val="00C1DE"/>
    </w:rPr>
  </w:style>
  <w:style w:type="character" w:customStyle="1" w:styleId="166">
    <w:name w:val="current1"/>
    <w:basedOn w:val="38"/>
    <w:qFormat/>
    <w:uiPriority w:val="0"/>
    <w:rPr>
      <w:color w:val="00C1DE"/>
    </w:rPr>
  </w:style>
  <w:style w:type="character" w:customStyle="1" w:styleId="167">
    <w:name w:val="all-fit-info"/>
    <w:basedOn w:val="38"/>
    <w:qFormat/>
    <w:uiPriority w:val="0"/>
    <w:rPr>
      <w:color w:val="939393"/>
    </w:rPr>
  </w:style>
  <w:style w:type="character" w:customStyle="1" w:styleId="168">
    <w:name w:val="all-fit-info1"/>
    <w:basedOn w:val="38"/>
    <w:qFormat/>
    <w:uiPriority w:val="0"/>
    <w:rPr>
      <w:color w:val="939393"/>
    </w:rPr>
  </w:style>
  <w:style w:type="character" w:customStyle="1" w:styleId="169">
    <w:name w:val="all-fit-info2"/>
    <w:basedOn w:val="38"/>
    <w:qFormat/>
    <w:uiPriority w:val="0"/>
    <w:rPr>
      <w:color w:val="939393"/>
    </w:rPr>
  </w:style>
  <w:style w:type="character" w:customStyle="1" w:styleId="170">
    <w:name w:val="ant-tree-iconele"/>
    <w:basedOn w:val="38"/>
    <w:qFormat/>
    <w:uiPriority w:val="0"/>
  </w:style>
  <w:style w:type="character" w:customStyle="1" w:styleId="171">
    <w:name w:val="ant-tree-switcher"/>
    <w:basedOn w:val="38"/>
    <w:qFormat/>
    <w:uiPriority w:val="0"/>
  </w:style>
  <w:style w:type="character" w:customStyle="1" w:styleId="172">
    <w:name w:val="ant-tree-icon_loading"/>
    <w:basedOn w:val="38"/>
    <w:qFormat/>
    <w:uiPriority w:val="0"/>
    <w:rPr>
      <w:shd w:val="clear" w:color="auto" w:fill="FFFFFF"/>
    </w:rPr>
  </w:style>
  <w:style w:type="character" w:customStyle="1" w:styleId="173">
    <w:name w:val="ant-select-tree-switcher"/>
    <w:basedOn w:val="38"/>
    <w:qFormat/>
    <w:uiPriority w:val="0"/>
  </w:style>
  <w:style w:type="character" w:customStyle="1" w:styleId="174">
    <w:name w:val="temp6"/>
    <w:basedOn w:val="38"/>
    <w:qFormat/>
    <w:uiPriority w:val="0"/>
  </w:style>
  <w:style w:type="character" w:customStyle="1" w:styleId="175">
    <w:name w:val="temp7"/>
    <w:basedOn w:val="38"/>
    <w:qFormat/>
    <w:uiPriority w:val="0"/>
  </w:style>
  <w:style w:type="character" w:customStyle="1" w:styleId="176">
    <w:name w:val="temp8"/>
    <w:basedOn w:val="38"/>
    <w:qFormat/>
    <w:uiPriority w:val="0"/>
  </w:style>
  <w:style w:type="character" w:customStyle="1" w:styleId="177">
    <w:name w:val="ant-input52"/>
    <w:basedOn w:val="38"/>
    <w:qFormat/>
    <w:uiPriority w:val="0"/>
  </w:style>
  <w:style w:type="character" w:customStyle="1" w:styleId="178">
    <w:name w:val="ant-radio+*"/>
    <w:basedOn w:val="38"/>
    <w:qFormat/>
    <w:uiPriority w:val="0"/>
  </w:style>
  <w:style w:type="character" w:customStyle="1" w:styleId="179">
    <w:name w:val="ant-badge-status-dot2"/>
    <w:basedOn w:val="38"/>
    <w:qFormat/>
    <w:uiPriority w:val="0"/>
    <w:rPr>
      <w:shd w:val="clear" w:color="auto" w:fill="FFFFFF"/>
    </w:rPr>
  </w:style>
  <w:style w:type="character" w:customStyle="1" w:styleId="180">
    <w:name w:val="label2"/>
    <w:basedOn w:val="38"/>
    <w:qFormat/>
    <w:uiPriority w:val="0"/>
  </w:style>
  <w:style w:type="character" w:customStyle="1" w:styleId="181">
    <w:name w:val="last-of-type"/>
    <w:basedOn w:val="38"/>
    <w:qFormat/>
    <w:uiPriority w:val="0"/>
    <w:rPr>
      <w:color w:val="FF4A44"/>
      <w:sz w:val="27"/>
      <w:szCs w:val="27"/>
    </w:rPr>
  </w:style>
  <w:style w:type="character" w:customStyle="1" w:styleId="182">
    <w:name w:val="ant-form-item-children1"/>
    <w:basedOn w:val="38"/>
    <w:qFormat/>
    <w:uiPriority w:val="0"/>
  </w:style>
  <w:style w:type="character" w:customStyle="1" w:styleId="183">
    <w:name w:val="font12"/>
    <w:basedOn w:val="38"/>
    <w:qFormat/>
    <w:uiPriority w:val="0"/>
    <w:rPr>
      <w:rFonts w:hint="eastAsia" w:ascii="宋体" w:hAnsi="宋体" w:eastAsia="宋体" w:cs="宋体"/>
      <w:color w:val="000000"/>
      <w:sz w:val="20"/>
      <w:szCs w:val="20"/>
      <w:u w:val="none"/>
    </w:rPr>
  </w:style>
  <w:style w:type="character" w:customStyle="1" w:styleId="184">
    <w:name w:val="font21"/>
    <w:basedOn w:val="38"/>
    <w:qFormat/>
    <w:uiPriority w:val="0"/>
    <w:rPr>
      <w:rFonts w:hint="eastAsia" w:ascii="宋体" w:hAnsi="宋体" w:eastAsia="宋体" w:cs="宋体"/>
      <w:color w:val="000000"/>
      <w:sz w:val="20"/>
      <w:szCs w:val="20"/>
      <w:u w:val="none"/>
      <w:vertAlign w:val="superscript"/>
    </w:rPr>
  </w:style>
  <w:style w:type="character" w:customStyle="1" w:styleId="185">
    <w:name w:val="font122"/>
    <w:basedOn w:val="38"/>
    <w:qFormat/>
    <w:uiPriority w:val="0"/>
    <w:rPr>
      <w:rFonts w:hint="eastAsia" w:ascii="宋体" w:hAnsi="宋体" w:eastAsia="宋体" w:cs="宋体"/>
      <w:color w:val="000000"/>
      <w:sz w:val="20"/>
      <w:szCs w:val="20"/>
      <w:u w:val="none"/>
      <w:vertAlign w:val="superscript"/>
    </w:rPr>
  </w:style>
  <w:style w:type="character" w:customStyle="1" w:styleId="186">
    <w:name w:val="font141"/>
    <w:basedOn w:val="38"/>
    <w:qFormat/>
    <w:uiPriority w:val="0"/>
    <w:rPr>
      <w:rFonts w:hint="eastAsia" w:ascii="宋体" w:hAnsi="宋体" w:eastAsia="宋体" w:cs="宋体"/>
      <w:color w:val="000000"/>
      <w:sz w:val="20"/>
      <w:szCs w:val="20"/>
      <w:u w:val="none"/>
    </w:rPr>
  </w:style>
  <w:style w:type="paragraph" w:customStyle="1" w:styleId="187">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188">
    <w:name w:val="font41"/>
    <w:basedOn w:val="38"/>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773F1D2-3F38-4970-9F30-BEACB6945F14}">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72</Pages>
  <Words>32206</Words>
  <Characters>35048</Characters>
  <Lines>248</Lines>
  <Paragraphs>70</Paragraphs>
  <TotalTime>29</TotalTime>
  <ScaleCrop>false</ScaleCrop>
  <LinksUpToDate>false</LinksUpToDate>
  <CharactersWithSpaces>36204</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2017-07-28T03:45:00Z</dcterms:created>
  <dc:creator>User</dc:creator>
  <cp:lastModifiedBy>HUAWEI</cp:lastModifiedBy>
  <cp:lastPrinted>2022-04-26T08:00:00Z</cp:lastPrinted>
  <dcterms:modified xsi:type="dcterms:W3CDTF">2022-04-29T13:53:24Z</dcterms:modified>
  <cp:revision>431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8F23E231B7954109BF58D4A30756A2CB</vt:lpwstr>
  </property>
  <property fmtid="{D5CDD505-2E9C-101B-9397-08002B2CF9AE}" pid="4" name="commondata">
    <vt:lpwstr>eyJoZGlkIjoiYTI5ZDZiMmIzMWFmNTgwNmMxZTVlMDhjZWM2YmMwYzAifQ==</vt:lpwstr>
  </property>
</Properties>
</file>