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400" w:lineRule="atLeast"/>
        <w:jc w:val="center"/>
        <w:rPr>
          <w:rFonts w:hint="eastAsia" w:ascii="仿宋" w:hAnsi="仿宋" w:eastAsia="仿宋" w:cs="仿宋"/>
          <w:b/>
          <w:color w:val="auto"/>
          <w:sz w:val="24"/>
          <w:szCs w:val="24"/>
        </w:rPr>
      </w:pPr>
      <w:bookmarkStart w:id="0" w:name="_Toc130180922"/>
      <w:bookmarkStart w:id="1" w:name="_Toc130180736"/>
      <w:bookmarkStart w:id="2" w:name="_Toc130180841"/>
    </w:p>
    <w:p>
      <w:pPr>
        <w:pStyle w:val="4"/>
        <w:jc w:val="center"/>
        <w:rPr>
          <w:rFonts w:hint="eastAsia" w:ascii="仿宋" w:hAnsi="仿宋" w:eastAsia="仿宋" w:cs="仿宋"/>
          <w:color w:val="auto"/>
          <w:sz w:val="48"/>
          <w:szCs w:val="44"/>
          <w:lang w:val="en-US" w:eastAsia="zh-CN"/>
        </w:rPr>
      </w:pPr>
      <w:r>
        <w:rPr>
          <w:rFonts w:hint="eastAsia" w:ascii="仿宋" w:hAnsi="仿宋" w:eastAsia="仿宋" w:cs="仿宋"/>
          <w:color w:val="auto"/>
          <w:sz w:val="48"/>
          <w:szCs w:val="44"/>
          <w:lang w:eastAsia="zh-CN"/>
        </w:rPr>
        <w:t>特克斯县中医医院医废智能管理系统及发热门诊设备采购项目（一标段</w:t>
      </w:r>
      <w:bookmarkStart w:id="452" w:name="_GoBack"/>
      <w:bookmarkEnd w:id="452"/>
      <w:r>
        <w:rPr>
          <w:rFonts w:hint="eastAsia" w:ascii="仿宋" w:hAnsi="仿宋" w:eastAsia="仿宋" w:cs="仿宋"/>
          <w:color w:val="auto"/>
          <w:sz w:val="48"/>
          <w:szCs w:val="44"/>
          <w:lang w:eastAsia="zh-CN"/>
        </w:rPr>
        <w:t>）</w:t>
      </w:r>
    </w:p>
    <w:p>
      <w:pPr>
        <w:pStyle w:val="4"/>
        <w:jc w:val="center"/>
        <w:rPr>
          <w:rFonts w:hint="eastAsia" w:ascii="仿宋" w:hAnsi="仿宋" w:eastAsia="仿宋" w:cs="仿宋"/>
          <w:color w:val="auto"/>
          <w:sz w:val="52"/>
          <w:szCs w:val="52"/>
        </w:rPr>
      </w:pPr>
      <w:r>
        <w:rPr>
          <w:rFonts w:hint="eastAsia" w:ascii="仿宋" w:hAnsi="仿宋" w:eastAsia="仿宋" w:cs="仿宋"/>
          <w:color w:val="auto"/>
          <w:sz w:val="52"/>
          <w:szCs w:val="52"/>
          <w:highlight w:val="none"/>
          <w:lang w:eastAsia="zh-CN"/>
        </w:rPr>
        <w:t>磋商</w:t>
      </w:r>
      <w:r>
        <w:rPr>
          <w:rFonts w:hint="eastAsia" w:ascii="仿宋" w:hAnsi="仿宋" w:eastAsia="仿宋" w:cs="仿宋"/>
          <w:color w:val="auto"/>
          <w:sz w:val="52"/>
          <w:szCs w:val="52"/>
        </w:rPr>
        <w:t>文件</w:t>
      </w:r>
    </w:p>
    <w:p>
      <w:pPr>
        <w:pStyle w:val="15"/>
        <w:spacing w:line="400" w:lineRule="atLeast"/>
        <w:rPr>
          <w:rFonts w:hint="eastAsia" w:ascii="仿宋" w:hAnsi="仿宋" w:eastAsia="仿宋" w:cs="仿宋"/>
          <w:b/>
          <w:color w:val="auto"/>
          <w:sz w:val="24"/>
          <w:szCs w:val="24"/>
        </w:rPr>
      </w:pPr>
    </w:p>
    <w:p>
      <w:pPr>
        <w:pStyle w:val="15"/>
        <w:spacing w:line="400" w:lineRule="atLeast"/>
        <w:rPr>
          <w:rFonts w:hint="eastAsia" w:ascii="仿宋" w:hAnsi="仿宋" w:eastAsia="仿宋" w:cs="仿宋"/>
          <w:b/>
          <w:color w:val="auto"/>
          <w:sz w:val="24"/>
          <w:szCs w:val="24"/>
        </w:rPr>
      </w:pPr>
    </w:p>
    <w:p>
      <w:pPr>
        <w:pStyle w:val="15"/>
        <w:spacing w:line="400" w:lineRule="atLeast"/>
        <w:rPr>
          <w:rFonts w:hint="eastAsia" w:ascii="仿宋" w:hAnsi="仿宋" w:eastAsia="仿宋" w:cs="仿宋"/>
          <w:b/>
          <w:color w:val="auto"/>
          <w:sz w:val="24"/>
          <w:szCs w:val="24"/>
        </w:rPr>
      </w:pPr>
    </w:p>
    <w:p>
      <w:pPr>
        <w:pStyle w:val="15"/>
        <w:spacing w:line="400" w:lineRule="atLeast"/>
        <w:rPr>
          <w:rFonts w:hint="eastAsia" w:ascii="仿宋" w:hAnsi="仿宋" w:eastAsia="仿宋" w:cs="仿宋"/>
          <w:b/>
          <w:color w:val="auto"/>
          <w:sz w:val="24"/>
          <w:szCs w:val="24"/>
        </w:rPr>
      </w:pPr>
    </w:p>
    <w:p>
      <w:pPr>
        <w:pStyle w:val="15"/>
        <w:spacing w:line="400" w:lineRule="atLeast"/>
        <w:ind w:left="0" w:leftChars="0" w:firstLine="321" w:firstLineChars="1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lang w:eastAsia="zh-CN"/>
        </w:rPr>
        <w:t>HYYL-2022-046 </w:t>
      </w:r>
    </w:p>
    <w:p>
      <w:pPr>
        <w:pStyle w:val="15"/>
        <w:spacing w:line="400" w:lineRule="atLeast"/>
        <w:rPr>
          <w:rFonts w:hint="eastAsia" w:ascii="仿宋" w:hAnsi="仿宋" w:eastAsia="仿宋" w:cs="仿宋"/>
          <w:b/>
          <w:color w:val="auto"/>
          <w:sz w:val="32"/>
          <w:szCs w:val="32"/>
        </w:rPr>
      </w:pPr>
    </w:p>
    <w:p>
      <w:pPr>
        <w:pStyle w:val="15"/>
        <w:spacing w:line="400" w:lineRule="atLeast"/>
        <w:ind w:left="1925" w:leftChars="152" w:hanging="1606" w:hangingChars="500"/>
        <w:rPr>
          <w:rFonts w:hint="eastAsia" w:ascii="仿宋" w:hAnsi="仿宋" w:eastAsia="仿宋" w:cs="仿宋"/>
          <w:b/>
          <w:color w:val="auto"/>
          <w:sz w:val="32"/>
          <w:szCs w:val="32"/>
        </w:rPr>
      </w:pPr>
      <w:r>
        <w:rPr>
          <w:rFonts w:hint="eastAsia" w:ascii="仿宋" w:hAnsi="仿宋" w:eastAsia="仿宋" w:cs="仿宋"/>
          <w:b/>
          <w:color w:val="auto"/>
          <w:sz w:val="32"/>
          <w:szCs w:val="32"/>
        </w:rPr>
        <w:t>项目名称：</w:t>
      </w:r>
      <w:r>
        <w:rPr>
          <w:rFonts w:hint="eastAsia" w:ascii="仿宋" w:hAnsi="仿宋" w:eastAsia="仿宋" w:cs="仿宋"/>
          <w:b/>
          <w:color w:val="auto"/>
          <w:sz w:val="32"/>
          <w:szCs w:val="32"/>
          <w:lang w:eastAsia="zh-CN"/>
        </w:rPr>
        <w:t>特克斯县中医医院医废智能管理系统及发热门诊设备采购项目</w:t>
      </w:r>
      <w:r>
        <w:rPr>
          <w:rFonts w:hint="eastAsia" w:ascii="仿宋" w:hAnsi="仿宋" w:eastAsia="仿宋" w:cs="仿宋"/>
          <w:b/>
          <w:color w:val="auto"/>
          <w:sz w:val="32"/>
          <w:szCs w:val="32"/>
        </w:rPr>
        <w:t xml:space="preserve"> </w:t>
      </w:r>
    </w:p>
    <w:p>
      <w:pPr>
        <w:pStyle w:val="15"/>
        <w:spacing w:line="400" w:lineRule="atLeast"/>
        <w:rPr>
          <w:rFonts w:hint="eastAsia" w:ascii="仿宋" w:hAnsi="仿宋" w:eastAsia="仿宋" w:cs="仿宋"/>
          <w:b/>
          <w:color w:val="auto"/>
          <w:sz w:val="32"/>
          <w:szCs w:val="32"/>
        </w:rPr>
      </w:pPr>
    </w:p>
    <w:p>
      <w:pPr>
        <w:pStyle w:val="15"/>
        <w:spacing w:line="400" w:lineRule="atLeast"/>
        <w:ind w:left="0" w:leftChars="0" w:firstLine="321" w:firstLineChars="100"/>
        <w:rPr>
          <w:rFonts w:hint="eastAsia" w:ascii="仿宋" w:hAnsi="仿宋" w:eastAsia="仿宋" w:cs="仿宋"/>
          <w:b/>
          <w:color w:val="auto"/>
          <w:sz w:val="32"/>
          <w:szCs w:val="32"/>
        </w:rPr>
      </w:pPr>
      <w:r>
        <w:rPr>
          <w:rFonts w:hint="eastAsia" w:ascii="仿宋" w:hAnsi="仿宋" w:eastAsia="仿宋" w:cs="仿宋"/>
          <w:b/>
          <w:color w:val="auto"/>
          <w:sz w:val="32"/>
          <w:szCs w:val="32"/>
        </w:rPr>
        <w:t>委托单位：</w:t>
      </w:r>
      <w:r>
        <w:rPr>
          <w:rFonts w:hint="eastAsia" w:ascii="仿宋" w:hAnsi="仿宋" w:eastAsia="仿宋" w:cs="仿宋"/>
          <w:b/>
          <w:color w:val="auto"/>
          <w:sz w:val="32"/>
          <w:szCs w:val="32"/>
          <w:lang w:eastAsia="zh-CN"/>
        </w:rPr>
        <w:t>特克斯县中医医院</w:t>
      </w:r>
      <w:r>
        <w:rPr>
          <w:rFonts w:hint="eastAsia" w:ascii="仿宋" w:hAnsi="仿宋" w:eastAsia="仿宋" w:cs="仿宋"/>
          <w:b/>
          <w:color w:val="auto"/>
          <w:sz w:val="32"/>
          <w:szCs w:val="32"/>
        </w:rPr>
        <w:t xml:space="preserve">             </w:t>
      </w:r>
    </w:p>
    <w:p>
      <w:pPr>
        <w:pStyle w:val="15"/>
        <w:spacing w:line="400" w:lineRule="atLeast"/>
        <w:rPr>
          <w:rFonts w:hint="eastAsia" w:ascii="仿宋" w:hAnsi="仿宋" w:eastAsia="仿宋" w:cs="仿宋"/>
          <w:b/>
          <w:color w:val="auto"/>
          <w:sz w:val="32"/>
          <w:szCs w:val="32"/>
        </w:rPr>
      </w:pPr>
    </w:p>
    <w:p>
      <w:pPr>
        <w:pStyle w:val="15"/>
        <w:spacing w:line="400" w:lineRule="atLeast"/>
        <w:ind w:left="0" w:leftChars="0" w:firstLine="321" w:firstLineChars="1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采购代理：</w:t>
      </w:r>
      <w:r>
        <w:rPr>
          <w:rFonts w:hint="eastAsia" w:ascii="仿宋" w:hAnsi="仿宋" w:eastAsia="仿宋" w:cs="仿宋"/>
          <w:b/>
          <w:color w:val="auto"/>
          <w:sz w:val="32"/>
          <w:szCs w:val="32"/>
          <w:lang w:eastAsia="zh-CN"/>
        </w:rPr>
        <w:t>新疆华域建设工程项目管理咨询有限公司</w:t>
      </w:r>
    </w:p>
    <w:p>
      <w:pPr>
        <w:spacing w:line="400" w:lineRule="atLeast"/>
        <w:jc w:val="center"/>
        <w:rPr>
          <w:rFonts w:hint="eastAsia" w:ascii="仿宋" w:hAnsi="仿宋" w:eastAsia="仿宋" w:cs="仿宋"/>
          <w:b/>
          <w:color w:val="auto"/>
          <w:sz w:val="24"/>
          <w:szCs w:val="24"/>
        </w:rPr>
      </w:pPr>
    </w:p>
    <w:p>
      <w:pPr>
        <w:pStyle w:val="11"/>
        <w:ind w:left="0" w:leftChars="0" w:firstLine="0" w:firstLineChars="0"/>
        <w:rPr>
          <w:rFonts w:hint="eastAsia" w:ascii="仿宋" w:hAnsi="仿宋" w:eastAsia="仿宋" w:cs="仿宋"/>
          <w:b/>
          <w:color w:val="auto"/>
          <w:sz w:val="24"/>
          <w:szCs w:val="24"/>
        </w:rPr>
      </w:pPr>
    </w:p>
    <w:p>
      <w:pPr>
        <w:pStyle w:val="12"/>
        <w:rPr>
          <w:rFonts w:hint="eastAsia" w:ascii="仿宋" w:hAnsi="仿宋" w:eastAsia="仿宋" w:cs="仿宋"/>
        </w:rPr>
      </w:pPr>
    </w:p>
    <w:p>
      <w:pPr>
        <w:pStyle w:val="12"/>
        <w:rPr>
          <w:rFonts w:hint="eastAsia" w:ascii="仿宋" w:hAnsi="仿宋" w:eastAsia="仿宋" w:cs="仿宋"/>
          <w:b/>
          <w:color w:val="auto"/>
          <w:sz w:val="24"/>
          <w:szCs w:val="24"/>
        </w:rPr>
      </w:pPr>
    </w:p>
    <w:p>
      <w:pPr>
        <w:rPr>
          <w:rFonts w:hint="eastAsia" w:ascii="仿宋" w:hAnsi="仿宋" w:eastAsia="仿宋" w:cs="仿宋"/>
          <w:b/>
          <w:color w:val="auto"/>
          <w:sz w:val="24"/>
          <w:szCs w:val="24"/>
        </w:rPr>
      </w:pPr>
    </w:p>
    <w:p>
      <w:pPr>
        <w:pStyle w:val="21"/>
        <w:rPr>
          <w:rFonts w:hint="eastAsia" w:ascii="仿宋" w:hAnsi="仿宋" w:eastAsia="仿宋" w:cs="仿宋"/>
          <w:color w:val="auto"/>
        </w:rPr>
      </w:pPr>
    </w:p>
    <w:p>
      <w:pPr>
        <w:pStyle w:val="12"/>
        <w:rPr>
          <w:rFonts w:hint="eastAsia" w:ascii="仿宋" w:hAnsi="仿宋" w:eastAsia="仿宋" w:cs="仿宋"/>
          <w:color w:val="auto"/>
        </w:rPr>
      </w:pPr>
    </w:p>
    <w:p>
      <w:pPr>
        <w:pStyle w:val="11"/>
        <w:jc w:val="cente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2022年5月</w:t>
      </w:r>
    </w:p>
    <w:p>
      <w:pPr>
        <w:pStyle w:val="3"/>
        <w:keepLines w:val="0"/>
        <w:numPr>
          <w:ilvl w:val="0"/>
          <w:numId w:val="2"/>
        </w:numPr>
        <w:spacing w:before="0" w:after="0" w:line="360" w:lineRule="auto"/>
        <w:ind w:right="-441" w:rightChars="-210"/>
        <w:jc w:val="center"/>
        <w:rPr>
          <w:rFonts w:hint="eastAsia" w:ascii="仿宋" w:hAnsi="仿宋" w:eastAsia="仿宋" w:cs="仿宋"/>
          <w:color w:val="auto"/>
          <w:kern w:val="2"/>
          <w:sz w:val="48"/>
          <w:szCs w:val="48"/>
          <w:lang w:val="en-US" w:eastAsia="zh-CN"/>
        </w:rPr>
      </w:pPr>
      <w:r>
        <w:rPr>
          <w:rFonts w:hint="eastAsia" w:ascii="仿宋" w:hAnsi="仿宋" w:eastAsia="仿宋" w:cs="仿宋"/>
          <w:color w:val="auto"/>
          <w:kern w:val="2"/>
          <w:sz w:val="48"/>
          <w:szCs w:val="48"/>
        </w:rPr>
        <w:t xml:space="preserve"> </w:t>
      </w:r>
      <w:r>
        <w:rPr>
          <w:rFonts w:hint="eastAsia" w:ascii="仿宋" w:hAnsi="仿宋" w:eastAsia="仿宋" w:cs="仿宋"/>
          <w:color w:val="auto"/>
          <w:kern w:val="2"/>
          <w:sz w:val="48"/>
          <w:szCs w:val="48"/>
          <w:lang w:val="en-US" w:eastAsia="zh-CN"/>
        </w:rPr>
        <w:t>项目公告</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bCs/>
        </w:rPr>
      </w:pPr>
      <w:r>
        <w:rPr>
          <w:rFonts w:hint="eastAsia" w:ascii="仿宋" w:hAnsi="仿宋" w:eastAsia="仿宋" w:cs="仿宋"/>
          <w:b/>
          <w:bCs/>
          <w:i w:val="0"/>
          <w:iCs w:val="0"/>
          <w:caps w:val="0"/>
          <w:spacing w:val="0"/>
          <w:sz w:val="27"/>
          <w:szCs w:val="27"/>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rPr>
      </w:pPr>
      <w:r>
        <w:rPr>
          <w:rFonts w:hint="eastAsia" w:ascii="仿宋" w:hAnsi="仿宋" w:eastAsia="仿宋" w:cs="仿宋"/>
          <w:i w:val="0"/>
          <w:iCs w:val="0"/>
          <w:caps w:val="0"/>
          <w:spacing w:val="0"/>
          <w:sz w:val="27"/>
          <w:szCs w:val="27"/>
          <w:lang w:eastAsia="zh-CN"/>
        </w:rPr>
        <w:t>特克斯县中医医院医废智能管理系统及发热门诊设备采购项目</w:t>
      </w:r>
      <w:r>
        <w:rPr>
          <w:rFonts w:hint="eastAsia" w:ascii="仿宋" w:hAnsi="仿宋" w:eastAsia="仿宋" w:cs="仿宋"/>
          <w:i w:val="0"/>
          <w:iCs w:val="0"/>
          <w:caps w:val="0"/>
          <w:spacing w:val="0"/>
          <w:sz w:val="27"/>
          <w:szCs w:val="27"/>
        </w:rPr>
        <w:t>招标项目的潜在投标人应在伊宁市经济合作区北京路一品墅新房大厦10楼1004号获取招标文件，并于202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26</w:t>
      </w:r>
      <w:r>
        <w:rPr>
          <w:rFonts w:hint="eastAsia" w:ascii="仿宋" w:hAnsi="仿宋" w:eastAsia="仿宋" w:cs="仿宋"/>
          <w:i w:val="0"/>
          <w:iCs w:val="0"/>
          <w:caps w:val="0"/>
          <w:spacing w:val="0"/>
          <w:sz w:val="27"/>
          <w:szCs w:val="27"/>
        </w:rPr>
        <w:t>日 1</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0（北京时间）前递交投标文件。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hint="eastAsia" w:ascii="仿宋" w:hAnsi="仿宋" w:eastAsia="仿宋" w:cs="仿宋"/>
          <w:sz w:val="27"/>
          <w:szCs w:val="27"/>
        </w:rPr>
      </w:pPr>
      <w:r>
        <w:rPr>
          <w:rStyle w:val="26"/>
          <w:rFonts w:hint="eastAsia" w:ascii="仿宋" w:hAnsi="仿宋" w:eastAsia="仿宋" w:cs="仿宋"/>
          <w:b/>
          <w:bCs/>
          <w:i w:val="0"/>
          <w:iCs w:val="0"/>
          <w:caps w:val="0"/>
          <w:spacing w:val="0"/>
          <w:sz w:val="27"/>
          <w:szCs w:val="27"/>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lang w:val="en-US" w:eastAsia="zh-CN"/>
        </w:rPr>
      </w:pPr>
      <w:r>
        <w:rPr>
          <w:rFonts w:hint="eastAsia" w:ascii="仿宋" w:hAnsi="仿宋" w:eastAsia="仿宋" w:cs="仿宋"/>
          <w:i w:val="0"/>
          <w:iCs w:val="0"/>
          <w:caps w:val="0"/>
          <w:spacing w:val="0"/>
          <w:sz w:val="27"/>
          <w:szCs w:val="27"/>
        </w:rPr>
        <w:t>项目编号：HYYL-202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046</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lang w:eastAsia="zh-CN"/>
        </w:rPr>
      </w:pPr>
      <w:r>
        <w:rPr>
          <w:rFonts w:hint="eastAsia" w:ascii="仿宋" w:hAnsi="仿宋" w:eastAsia="仿宋" w:cs="仿宋"/>
          <w:i w:val="0"/>
          <w:iCs w:val="0"/>
          <w:caps w:val="0"/>
          <w:spacing w:val="0"/>
          <w:sz w:val="27"/>
          <w:szCs w:val="27"/>
        </w:rPr>
        <w:t>项目名称：</w:t>
      </w:r>
      <w:r>
        <w:rPr>
          <w:rFonts w:hint="eastAsia" w:ascii="仿宋" w:hAnsi="仿宋" w:eastAsia="仿宋" w:cs="仿宋"/>
          <w:i w:val="0"/>
          <w:iCs w:val="0"/>
          <w:caps w:val="0"/>
          <w:spacing w:val="0"/>
          <w:sz w:val="27"/>
          <w:szCs w:val="27"/>
          <w:lang w:eastAsia="zh-CN"/>
        </w:rPr>
        <w:t>特克斯县中医医院医废智能管理系统及发热门诊设备采购项目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采购方式：</w:t>
      </w:r>
      <w:r>
        <w:rPr>
          <w:rFonts w:hint="eastAsia" w:ascii="仿宋" w:hAnsi="仿宋" w:eastAsia="仿宋" w:cs="仿宋"/>
          <w:i w:val="0"/>
          <w:iCs w:val="0"/>
          <w:caps w:val="0"/>
          <w:spacing w:val="0"/>
          <w:sz w:val="27"/>
          <w:szCs w:val="27"/>
          <w:lang w:val="en-US" w:eastAsia="zh-CN"/>
        </w:rPr>
        <w:t>竞争性磋商</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预算金额（元）：</w:t>
      </w:r>
      <w:r>
        <w:rPr>
          <w:rFonts w:hint="eastAsia" w:ascii="仿宋" w:hAnsi="仿宋" w:eastAsia="仿宋" w:cs="仿宋"/>
          <w:i w:val="0"/>
          <w:iCs w:val="0"/>
          <w:caps w:val="0"/>
          <w:spacing w:val="0"/>
          <w:sz w:val="27"/>
          <w:szCs w:val="27"/>
          <w:lang w:val="en-US" w:eastAsia="zh-CN"/>
        </w:rPr>
        <w:t>310000</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428" w:leftChars="256" w:right="0" w:hanging="1890" w:hangingChars="700"/>
        <w:rPr>
          <w:rFonts w:hint="eastAsia" w:ascii="仿宋" w:hAnsi="仿宋" w:eastAsia="仿宋" w:cs="仿宋"/>
          <w:lang w:val="en-US" w:eastAsia="zh-CN"/>
        </w:rPr>
      </w:pPr>
      <w:r>
        <w:rPr>
          <w:rFonts w:hint="eastAsia" w:ascii="仿宋" w:hAnsi="仿宋" w:eastAsia="仿宋" w:cs="仿宋"/>
          <w:i w:val="0"/>
          <w:iCs w:val="0"/>
          <w:caps w:val="0"/>
          <w:spacing w:val="0"/>
          <w:sz w:val="27"/>
          <w:szCs w:val="27"/>
        </w:rPr>
        <w:t>最高限价（元）：</w:t>
      </w:r>
      <w:r>
        <w:rPr>
          <w:rFonts w:hint="eastAsia" w:ascii="仿宋" w:hAnsi="仿宋" w:eastAsia="仿宋" w:cs="仿宋"/>
          <w:i w:val="0"/>
          <w:iCs w:val="0"/>
          <w:caps w:val="0"/>
          <w:spacing w:val="0"/>
          <w:sz w:val="27"/>
          <w:szCs w:val="27"/>
          <w:lang w:eastAsia="zh-CN"/>
        </w:rPr>
        <w:t>一标段：</w:t>
      </w:r>
      <w:r>
        <w:rPr>
          <w:rFonts w:hint="eastAsia" w:ascii="仿宋" w:hAnsi="仿宋" w:eastAsia="仿宋" w:cs="仿宋"/>
          <w:i w:val="0"/>
          <w:iCs w:val="0"/>
          <w:caps w:val="0"/>
          <w:spacing w:val="0"/>
          <w:sz w:val="27"/>
          <w:szCs w:val="27"/>
          <w:lang w:val="en-US" w:eastAsia="zh-CN"/>
        </w:rPr>
        <w:t>19</w:t>
      </w:r>
      <w:r>
        <w:rPr>
          <w:rFonts w:hint="eastAsia" w:ascii="仿宋" w:hAnsi="仿宋" w:eastAsia="仿宋" w:cs="仿宋"/>
          <w:i w:val="0"/>
          <w:iCs w:val="0"/>
          <w:caps w:val="0"/>
          <w:spacing w:val="0"/>
          <w:sz w:val="27"/>
          <w:szCs w:val="27"/>
        </w:rPr>
        <w:t>0000,</w:t>
      </w:r>
      <w:r>
        <w:rPr>
          <w:rFonts w:hint="eastAsia" w:ascii="仿宋" w:hAnsi="仿宋" w:eastAsia="仿宋" w:cs="仿宋"/>
          <w:i w:val="0"/>
          <w:iCs w:val="0"/>
          <w:caps w:val="0"/>
          <w:spacing w:val="0"/>
          <w:sz w:val="27"/>
          <w:szCs w:val="27"/>
          <w:lang w:eastAsia="zh-CN"/>
        </w:rPr>
        <w:t>二标段：</w:t>
      </w:r>
      <w:r>
        <w:rPr>
          <w:rFonts w:hint="eastAsia" w:ascii="仿宋" w:hAnsi="仿宋" w:eastAsia="仿宋" w:cs="仿宋"/>
          <w:i w:val="0"/>
          <w:iCs w:val="0"/>
          <w:caps w:val="0"/>
          <w:spacing w:val="0"/>
          <w:sz w:val="27"/>
          <w:szCs w:val="27"/>
          <w:lang w:val="en-US" w:eastAsia="zh-CN"/>
        </w:rPr>
        <w:t>120</w:t>
      </w:r>
      <w:r>
        <w:rPr>
          <w:rFonts w:hint="eastAsia" w:ascii="仿宋" w:hAnsi="仿宋" w:eastAsia="仿宋" w:cs="仿宋"/>
          <w:i w:val="0"/>
          <w:iCs w:val="0"/>
          <w:caps w:val="0"/>
          <w:spacing w:val="0"/>
          <w:sz w:val="27"/>
          <w:szCs w:val="27"/>
        </w:rPr>
        <w:t>000</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采购需求：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sz w:val="27"/>
          <w:szCs w:val="27"/>
        </w:rPr>
      </w:pPr>
      <w:r>
        <w:rPr>
          <w:rFonts w:hint="eastAsia" w:ascii="仿宋" w:hAnsi="仿宋" w:eastAsia="仿宋" w:cs="仿宋"/>
          <w:i w:val="0"/>
          <w:iCs w:val="0"/>
          <w:caps w:val="0"/>
          <w:spacing w:val="0"/>
          <w:sz w:val="27"/>
          <w:szCs w:val="27"/>
        </w:rPr>
        <w:t>标项一</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特克斯县中医医院医废智能管理系统及发热门诊设备采购项目</w:t>
      </w:r>
      <w:r>
        <w:rPr>
          <w:rFonts w:hint="eastAsia" w:ascii="仿宋" w:hAnsi="仿宋" w:eastAsia="仿宋" w:cs="仿宋"/>
          <w:i w:val="0"/>
          <w:iCs w:val="0"/>
          <w:caps w:val="0"/>
          <w:spacing w:val="0"/>
          <w:sz w:val="27"/>
          <w:szCs w:val="27"/>
        </w:rPr>
        <w:t>一标段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19</w:t>
      </w:r>
      <w:r>
        <w:rPr>
          <w:rFonts w:hint="eastAsia" w:ascii="仿宋" w:hAnsi="仿宋" w:eastAsia="仿宋" w:cs="仿宋"/>
          <w:i w:val="0"/>
          <w:iCs w:val="0"/>
          <w:caps w:val="0"/>
          <w:spacing w:val="0"/>
          <w:sz w:val="27"/>
          <w:szCs w:val="27"/>
        </w:rPr>
        <w:t>0000</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简要规格描述或项目基本概况介绍、用途：采购医废智能管理系统</w:t>
      </w:r>
      <w:r>
        <w:rPr>
          <w:rFonts w:hint="eastAsia" w:ascii="仿宋" w:hAnsi="仿宋" w:eastAsia="仿宋" w:cs="仿宋"/>
          <w:i w:val="0"/>
          <w:iCs w:val="0"/>
          <w:caps w:val="0"/>
          <w:spacing w:val="0"/>
          <w:sz w:val="27"/>
          <w:szCs w:val="27"/>
          <w:lang w:eastAsia="zh-CN"/>
        </w:rPr>
        <w:t>。</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标项二</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特克斯县中医医院医废智能管理系统及发热门诊设备采购项目</w:t>
      </w:r>
      <w:r>
        <w:rPr>
          <w:rFonts w:hint="eastAsia" w:ascii="仿宋" w:hAnsi="仿宋" w:eastAsia="仿宋" w:cs="仿宋"/>
          <w:i w:val="0"/>
          <w:iCs w:val="0"/>
          <w:caps w:val="0"/>
          <w:spacing w:val="0"/>
          <w:sz w:val="27"/>
          <w:szCs w:val="27"/>
        </w:rPr>
        <w:t>二标段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120</w:t>
      </w:r>
      <w:r>
        <w:rPr>
          <w:rFonts w:hint="eastAsia" w:ascii="仿宋" w:hAnsi="仿宋" w:eastAsia="仿宋" w:cs="仿宋"/>
          <w:i w:val="0"/>
          <w:iCs w:val="0"/>
          <w:caps w:val="0"/>
          <w:spacing w:val="0"/>
          <w:sz w:val="27"/>
          <w:szCs w:val="27"/>
        </w:rPr>
        <w:t>000</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简要规格描述或项目基本概况介绍、用途：</w:t>
      </w:r>
      <w:r>
        <w:rPr>
          <w:rFonts w:hint="eastAsia" w:ascii="仿宋" w:hAnsi="仿宋" w:eastAsia="仿宋" w:cs="仿宋"/>
          <w:i w:val="0"/>
          <w:iCs w:val="0"/>
          <w:caps w:val="0"/>
          <w:spacing w:val="0"/>
          <w:sz w:val="27"/>
          <w:szCs w:val="27"/>
          <w:lang w:val="en-US" w:eastAsia="zh-CN"/>
        </w:rPr>
        <w:tab/>
      </w:r>
      <w:r>
        <w:rPr>
          <w:rFonts w:hint="eastAsia" w:ascii="仿宋" w:hAnsi="仿宋" w:eastAsia="仿宋" w:cs="仿宋"/>
          <w:i w:val="0"/>
          <w:iCs w:val="0"/>
          <w:caps w:val="0"/>
          <w:spacing w:val="0"/>
          <w:sz w:val="27"/>
          <w:szCs w:val="27"/>
          <w:lang w:val="en-US" w:eastAsia="zh-CN"/>
        </w:rPr>
        <w:t>采购输液泵、注射泵、心电监测仪工作站。</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highlight w:val="none"/>
          <w:lang w:val="en-US" w:eastAsia="zh-CN"/>
        </w:rPr>
      </w:pPr>
      <w:r>
        <w:rPr>
          <w:rFonts w:hint="eastAsia" w:ascii="仿宋" w:hAnsi="仿宋" w:eastAsia="仿宋" w:cs="仿宋"/>
          <w:i w:val="0"/>
          <w:iCs w:val="0"/>
          <w:caps w:val="0"/>
          <w:spacing w:val="0"/>
          <w:sz w:val="27"/>
          <w:szCs w:val="27"/>
          <w:highlight w:val="none"/>
        </w:rPr>
        <w:t>合同履约期限：标项 1、2，</w:t>
      </w:r>
      <w:r>
        <w:rPr>
          <w:rFonts w:hint="eastAsia" w:ascii="仿宋" w:hAnsi="仿宋" w:eastAsia="仿宋" w:cs="仿宋"/>
          <w:color w:val="auto"/>
          <w:sz w:val="24"/>
          <w:szCs w:val="24"/>
          <w:highlight w:val="none"/>
          <w:lang w:val="en-US" w:eastAsia="zh-CN"/>
        </w:rPr>
        <w:t>7日历天</w:t>
      </w:r>
      <w:r>
        <w:rPr>
          <w:rFonts w:hint="eastAsia" w:ascii="仿宋" w:hAnsi="仿宋" w:eastAsia="仿宋" w:cs="仿宋"/>
          <w:i w:val="0"/>
          <w:iCs w:val="0"/>
          <w:caps w:val="0"/>
          <w:spacing w:val="0"/>
          <w:sz w:val="27"/>
          <w:szCs w:val="27"/>
          <w:highlight w:val="none"/>
          <w:lang w:val="en-US" w:eastAsia="zh-CN"/>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本项目（否）接受联合体投标。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rPr>
      </w:pPr>
      <w:r>
        <w:rPr>
          <w:rStyle w:val="26"/>
          <w:rFonts w:hint="eastAsia" w:ascii="仿宋" w:hAnsi="仿宋" w:eastAsia="仿宋" w:cs="仿宋"/>
          <w:b/>
          <w:bCs/>
          <w:i w:val="0"/>
          <w:iCs w:val="0"/>
          <w:caps w:val="0"/>
          <w:spacing w:val="0"/>
          <w:sz w:val="27"/>
          <w:szCs w:val="27"/>
        </w:rPr>
        <w:t>二、申请人的资格要求：</w:t>
      </w:r>
    </w:p>
    <w:p>
      <w:pPr>
        <w:spacing w:line="500" w:lineRule="exact"/>
        <w:rPr>
          <w:rFonts w:hint="eastAsia" w:ascii="仿宋" w:hAnsi="仿宋" w:eastAsia="仿宋" w:cs="仿宋"/>
          <w:sz w:val="27"/>
          <w:szCs w:val="27"/>
        </w:rPr>
      </w:pPr>
      <w:r>
        <w:rPr>
          <w:rFonts w:hint="eastAsia" w:ascii="仿宋" w:hAnsi="仿宋" w:eastAsia="仿宋" w:cs="仿宋"/>
          <w:sz w:val="27"/>
          <w:szCs w:val="27"/>
        </w:rPr>
        <w:t>1.满足《中华人民共和国政府采购法》第二十二条规定；</w:t>
      </w:r>
    </w:p>
    <w:p>
      <w:pPr>
        <w:pStyle w:val="11"/>
        <w:rPr>
          <w:rFonts w:hint="eastAsia" w:ascii="仿宋" w:hAnsi="仿宋" w:eastAsia="仿宋" w:cs="仿宋"/>
          <w:kern w:val="2"/>
          <w:sz w:val="27"/>
          <w:szCs w:val="27"/>
          <w:lang w:val="en-US" w:eastAsia="zh-CN" w:bidi="ar-SA"/>
        </w:rPr>
      </w:pPr>
      <w:r>
        <w:rPr>
          <w:rFonts w:hint="eastAsia" w:ascii="仿宋" w:hAnsi="仿宋" w:eastAsia="仿宋" w:cs="仿宋"/>
          <w:kern w:val="2"/>
          <w:sz w:val="27"/>
          <w:szCs w:val="27"/>
          <w:lang w:val="en-US" w:eastAsia="zh-CN" w:bidi="ar-SA"/>
        </w:rPr>
        <w:t>2.落实政府采购政策需满足的资格要求：</w:t>
      </w:r>
    </w:p>
    <w:p>
      <w:pPr>
        <w:pStyle w:val="11"/>
        <w:ind w:left="0" w:leftChars="0" w:firstLine="0" w:firstLineChars="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11"/>
        <w:ind w:left="0" w:leftChars="0" w:firstLine="0" w:firstLineChars="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1"/>
        <w:ind w:left="0" w:leftChars="0" w:firstLine="0" w:firstLineChars="0"/>
        <w:rPr>
          <w:rFonts w:hint="eastAsia" w:ascii="仿宋" w:hAnsi="仿宋" w:eastAsia="仿宋" w:cs="仿宋"/>
          <w:lang w:val="en-US" w:eastAsia="zh-CN"/>
        </w:rPr>
      </w:pPr>
      <w:r>
        <w:rPr>
          <w:rFonts w:hint="eastAsia" w:ascii="仿宋" w:hAnsi="仿宋" w:eastAsia="仿宋" w:cs="仿宋"/>
          <w:sz w:val="27"/>
          <w:szCs w:val="27"/>
          <w:lang w:val="en-US" w:eastAsia="zh-CN"/>
        </w:rPr>
        <w:t xml:space="preserve">（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 </w:t>
      </w:r>
    </w:p>
    <w:p>
      <w:pPr>
        <w:spacing w:line="500" w:lineRule="exact"/>
        <w:ind w:firstLine="540" w:firstLineChars="200"/>
        <w:rPr>
          <w:rFonts w:hint="eastAsia" w:ascii="仿宋" w:hAnsi="仿宋" w:eastAsia="仿宋" w:cs="仿宋"/>
          <w:sz w:val="27"/>
          <w:szCs w:val="27"/>
        </w:rPr>
      </w:pPr>
      <w:r>
        <w:rPr>
          <w:rFonts w:hint="eastAsia" w:ascii="仿宋" w:hAnsi="仿宋" w:eastAsia="仿宋" w:cs="仿宋"/>
          <w:sz w:val="27"/>
          <w:szCs w:val="27"/>
          <w:lang w:val="en-US" w:eastAsia="zh-CN"/>
        </w:rPr>
        <w:t>3</w:t>
      </w:r>
      <w:r>
        <w:rPr>
          <w:rFonts w:hint="eastAsia" w:ascii="仿宋" w:hAnsi="仿宋" w:eastAsia="仿宋" w:cs="仿宋"/>
          <w:sz w:val="27"/>
          <w:szCs w:val="27"/>
        </w:rPr>
        <w:t>.法定代表人投标需提供法定代表人身份证，委托代理人投标需提供法定代表人授权委托书及委托代理人身份证；被委托人必须是投标单位正式员工；</w:t>
      </w:r>
    </w:p>
    <w:p>
      <w:pPr>
        <w:spacing w:line="500" w:lineRule="exact"/>
        <w:ind w:firstLine="540" w:firstLineChars="200"/>
        <w:rPr>
          <w:rFonts w:hint="eastAsia" w:ascii="仿宋" w:hAnsi="仿宋" w:eastAsia="仿宋" w:cs="仿宋"/>
          <w:sz w:val="27"/>
          <w:szCs w:val="27"/>
        </w:rPr>
      </w:pPr>
      <w:r>
        <w:rPr>
          <w:rFonts w:hint="eastAsia" w:ascii="仿宋" w:hAnsi="仿宋" w:eastAsia="仿宋" w:cs="仿宋"/>
          <w:sz w:val="27"/>
          <w:szCs w:val="27"/>
          <w:lang w:val="en-US" w:eastAsia="zh-CN"/>
        </w:rPr>
        <w:t>4</w:t>
      </w:r>
      <w:r>
        <w:rPr>
          <w:rFonts w:hint="eastAsia" w:ascii="仿宋" w:hAnsi="仿宋" w:eastAsia="仿宋" w:cs="仿宋"/>
          <w:sz w:val="27"/>
          <w:szCs w:val="27"/>
        </w:rPr>
        <w:t>.具有有效的营业执照且经营范围内包含此次采购内容；</w:t>
      </w:r>
    </w:p>
    <w:p>
      <w:pPr>
        <w:spacing w:line="500" w:lineRule="exact"/>
        <w:ind w:firstLine="540" w:firstLineChars="200"/>
        <w:rPr>
          <w:rFonts w:hint="eastAsia" w:ascii="仿宋" w:hAnsi="仿宋" w:eastAsia="仿宋" w:cs="仿宋"/>
          <w:sz w:val="27"/>
          <w:szCs w:val="27"/>
        </w:rPr>
      </w:pPr>
      <w:r>
        <w:rPr>
          <w:rFonts w:hint="eastAsia" w:ascii="仿宋" w:hAnsi="仿宋" w:eastAsia="仿宋" w:cs="仿宋"/>
          <w:sz w:val="27"/>
          <w:szCs w:val="27"/>
          <w:lang w:val="en-US" w:eastAsia="zh-CN"/>
        </w:rPr>
        <w:t>5</w:t>
      </w:r>
      <w:r>
        <w:rPr>
          <w:rFonts w:hint="eastAsia" w:ascii="仿宋" w:hAnsi="仿宋" w:eastAsia="仿宋" w:cs="仿宋"/>
          <w:sz w:val="27"/>
          <w:szCs w:val="27"/>
        </w:rPr>
        <w:t>.</w:t>
      </w:r>
      <w:r>
        <w:rPr>
          <w:rFonts w:hint="eastAsia" w:ascii="仿宋" w:hAnsi="仿宋" w:eastAsia="仿宋" w:cs="仿宋"/>
          <w:sz w:val="27"/>
          <w:szCs w:val="27"/>
          <w:lang w:val="en-US" w:eastAsia="zh-CN"/>
        </w:rPr>
        <w:t>二标段还需提供</w:t>
      </w:r>
      <w:r>
        <w:rPr>
          <w:rFonts w:hint="eastAsia" w:ascii="仿宋" w:hAnsi="仿宋" w:eastAsia="仿宋" w:cs="仿宋"/>
          <w:sz w:val="27"/>
          <w:szCs w:val="27"/>
        </w:rPr>
        <w:t>有效的行政主管部门颁发的医疗器械经营许可证副本</w:t>
      </w:r>
      <w:r>
        <w:rPr>
          <w:rFonts w:hint="eastAsia" w:ascii="仿宋" w:hAnsi="仿宋" w:eastAsia="仿宋" w:cs="仿宋"/>
          <w:sz w:val="27"/>
          <w:szCs w:val="27"/>
          <w:lang w:val="en-US" w:eastAsia="zh-CN"/>
        </w:rPr>
        <w:t>及有效的第二类医疗器械经营备案凭证</w:t>
      </w:r>
      <w:r>
        <w:rPr>
          <w:rFonts w:hint="eastAsia" w:ascii="仿宋" w:hAnsi="仿宋" w:eastAsia="仿宋" w:cs="仿宋"/>
          <w:sz w:val="27"/>
          <w:szCs w:val="27"/>
        </w:rPr>
        <w:t>；</w:t>
      </w:r>
    </w:p>
    <w:p>
      <w:pPr>
        <w:spacing w:line="50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6.所有标段投标人不得为“信用中国”网站（www.creditchina.gov.cn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spacing w:line="500" w:lineRule="exact"/>
        <w:ind w:firstLine="540" w:firstLineChars="200"/>
        <w:rPr>
          <w:rFonts w:hint="eastAsia" w:ascii="仿宋" w:hAnsi="仿宋" w:eastAsia="仿宋" w:cs="仿宋"/>
          <w:sz w:val="27"/>
          <w:szCs w:val="27"/>
        </w:rPr>
      </w:pPr>
      <w:r>
        <w:rPr>
          <w:rFonts w:hint="eastAsia" w:ascii="仿宋" w:hAnsi="仿宋" w:eastAsia="仿宋" w:cs="仿宋"/>
          <w:sz w:val="27"/>
          <w:szCs w:val="27"/>
          <w:lang w:val="en-US" w:eastAsia="zh-CN"/>
        </w:rPr>
        <w:t>7.本项目不接受联合体投标。</w:t>
      </w:r>
      <w:r>
        <w:rPr>
          <w:rFonts w:hint="eastAsia" w:ascii="仿宋" w:hAnsi="仿宋" w:eastAsia="仿宋" w:cs="仿宋"/>
          <w:i w:val="0"/>
          <w:iCs w:val="0"/>
          <w:caps w:val="0"/>
          <w:spacing w:val="0"/>
          <w:sz w:val="27"/>
          <w:szCs w:val="27"/>
        </w:rPr>
        <w:br w:type="textWrapping"/>
      </w:r>
      <w:r>
        <w:rPr>
          <w:rStyle w:val="26"/>
          <w:rFonts w:hint="eastAsia" w:ascii="仿宋" w:hAnsi="仿宋" w:eastAsia="仿宋" w:cs="仿宋"/>
          <w:b/>
          <w:bCs/>
          <w:i w:val="0"/>
          <w:iCs w:val="0"/>
          <w:caps w:val="0"/>
          <w:spacing w:val="0"/>
          <w:sz w:val="27"/>
          <w:szCs w:val="27"/>
        </w:rPr>
        <w:t>三、获取招标文件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时间：202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16</w:t>
      </w:r>
      <w:r>
        <w:rPr>
          <w:rFonts w:hint="eastAsia" w:ascii="仿宋" w:hAnsi="仿宋" w:eastAsia="仿宋" w:cs="仿宋"/>
          <w:i w:val="0"/>
          <w:iCs w:val="0"/>
          <w:caps w:val="0"/>
          <w:spacing w:val="0"/>
          <w:sz w:val="27"/>
          <w:szCs w:val="27"/>
        </w:rPr>
        <w:t>日至202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20</w:t>
      </w:r>
      <w:r>
        <w:rPr>
          <w:rFonts w:hint="eastAsia" w:ascii="仿宋" w:hAnsi="仿宋" w:eastAsia="仿宋" w:cs="仿宋"/>
          <w:i w:val="0"/>
          <w:iCs w:val="0"/>
          <w:caps w:val="0"/>
          <w:spacing w:val="0"/>
          <w:sz w:val="27"/>
          <w:szCs w:val="27"/>
        </w:rPr>
        <w:t>日，每天上午10:00至14:00，下午1</w:t>
      </w:r>
      <w:r>
        <w:rPr>
          <w:rFonts w:hint="eastAsia" w:ascii="仿宋" w:hAnsi="仿宋" w:eastAsia="仿宋" w:cs="仿宋"/>
          <w:i w:val="0"/>
          <w:iCs w:val="0"/>
          <w:caps w:val="0"/>
          <w:spacing w:val="0"/>
          <w:sz w:val="27"/>
          <w:szCs w:val="27"/>
          <w:lang w:val="en-US" w:eastAsia="zh-CN"/>
        </w:rPr>
        <w:t>6</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0至</w:t>
      </w:r>
      <w:r>
        <w:rPr>
          <w:rFonts w:hint="eastAsia" w:ascii="仿宋" w:hAnsi="仿宋" w:eastAsia="仿宋" w:cs="仿宋"/>
          <w:i w:val="0"/>
          <w:iCs w:val="0"/>
          <w:caps w:val="0"/>
          <w:spacing w:val="0"/>
          <w:sz w:val="27"/>
          <w:szCs w:val="27"/>
          <w:lang w:val="en-US" w:eastAsia="zh-CN"/>
        </w:rPr>
        <w:t>20</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0（北京时间，法定节假日除外）</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地点：伊宁市经济合作区北京路一品墅新房大厦10楼1004号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lang w:eastAsia="zh-CN"/>
        </w:rPr>
      </w:pPr>
      <w:r>
        <w:rPr>
          <w:rFonts w:hint="eastAsia" w:ascii="仿宋" w:hAnsi="仿宋" w:eastAsia="仿宋" w:cs="仿宋"/>
          <w:i w:val="0"/>
          <w:iCs w:val="0"/>
          <w:caps w:val="0"/>
          <w:spacing w:val="0"/>
          <w:sz w:val="27"/>
          <w:szCs w:val="27"/>
        </w:rPr>
        <w:t>方式：现场</w:t>
      </w:r>
      <w:r>
        <w:rPr>
          <w:rFonts w:hint="eastAsia" w:ascii="仿宋" w:hAnsi="仿宋" w:eastAsia="仿宋" w:cs="仿宋"/>
          <w:i w:val="0"/>
          <w:iCs w:val="0"/>
          <w:caps w:val="0"/>
          <w:spacing w:val="0"/>
          <w:sz w:val="27"/>
          <w:szCs w:val="27"/>
          <w:lang w:val="en-US" w:eastAsia="zh-CN"/>
        </w:rPr>
        <w:t>获取</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lang w:val="en-US" w:eastAsia="zh-CN"/>
        </w:rPr>
      </w:pPr>
      <w:r>
        <w:rPr>
          <w:rFonts w:hint="eastAsia" w:ascii="仿宋" w:hAnsi="仿宋" w:eastAsia="仿宋" w:cs="仿宋"/>
          <w:i w:val="0"/>
          <w:iCs w:val="0"/>
          <w:caps w:val="0"/>
          <w:spacing w:val="0"/>
          <w:sz w:val="27"/>
          <w:szCs w:val="27"/>
        </w:rPr>
        <w:t>售价（元）：</w:t>
      </w:r>
      <w:r>
        <w:rPr>
          <w:rFonts w:hint="eastAsia" w:ascii="仿宋" w:hAnsi="仿宋" w:eastAsia="仿宋" w:cs="仿宋"/>
          <w:i w:val="0"/>
          <w:iCs w:val="0"/>
          <w:caps w:val="0"/>
          <w:spacing w:val="0"/>
          <w:sz w:val="27"/>
          <w:szCs w:val="27"/>
          <w:lang w:val="en-US" w:eastAsia="zh-CN"/>
        </w:rPr>
        <w:t>300</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hint="eastAsia" w:ascii="仿宋" w:hAnsi="仿宋" w:eastAsia="仿宋" w:cs="仿宋"/>
          <w:sz w:val="27"/>
          <w:szCs w:val="27"/>
        </w:rPr>
      </w:pPr>
      <w:r>
        <w:rPr>
          <w:rStyle w:val="26"/>
          <w:rFonts w:hint="eastAsia" w:ascii="仿宋" w:hAnsi="仿宋" w:eastAsia="仿宋" w:cs="仿宋"/>
          <w:b/>
          <w:bCs/>
          <w:i w:val="0"/>
          <w:iCs w:val="0"/>
          <w:caps w:val="0"/>
          <w:spacing w:val="0"/>
          <w:sz w:val="27"/>
          <w:szCs w:val="27"/>
        </w:rPr>
        <w:t>四、提交投标文件截止时间、开标时间和地点</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提交投标文件截止时间：202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26</w:t>
      </w:r>
      <w:r>
        <w:rPr>
          <w:rFonts w:hint="eastAsia" w:ascii="仿宋" w:hAnsi="仿宋" w:eastAsia="仿宋" w:cs="仿宋"/>
          <w:i w:val="0"/>
          <w:iCs w:val="0"/>
          <w:caps w:val="0"/>
          <w:spacing w:val="0"/>
          <w:sz w:val="27"/>
          <w:szCs w:val="27"/>
        </w:rPr>
        <w:t>日 11: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投标地点：伊宁市经济合作区北京路一品墅新房大厦10楼1004号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开标时间：202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26</w:t>
      </w:r>
      <w:r>
        <w:rPr>
          <w:rFonts w:hint="eastAsia" w:ascii="仿宋" w:hAnsi="仿宋" w:eastAsia="仿宋" w:cs="仿宋"/>
          <w:i w:val="0"/>
          <w:iCs w:val="0"/>
          <w:caps w:val="0"/>
          <w:spacing w:val="0"/>
          <w:sz w:val="27"/>
          <w:szCs w:val="27"/>
        </w:rPr>
        <w:t>日 11: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开标地点：伊宁市经济合作区北京路一品墅新房大厦10楼1004号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hint="eastAsia" w:ascii="仿宋" w:hAnsi="仿宋" w:eastAsia="仿宋" w:cs="仿宋"/>
          <w:sz w:val="31"/>
          <w:szCs w:val="31"/>
        </w:rPr>
      </w:pPr>
      <w:r>
        <w:rPr>
          <w:rStyle w:val="26"/>
          <w:rFonts w:hint="eastAsia" w:ascii="仿宋" w:hAnsi="仿宋" w:eastAsia="仿宋" w:cs="仿宋"/>
          <w:b/>
          <w:bCs/>
          <w:i w:val="0"/>
          <w:iCs w:val="0"/>
          <w:caps w:val="0"/>
          <w:spacing w:val="0"/>
          <w:sz w:val="27"/>
          <w:szCs w:val="27"/>
        </w:rPr>
        <w:t>五、公告期限</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自本公告发布之日起5个工作日。</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hint="eastAsia" w:ascii="仿宋" w:hAnsi="仿宋" w:eastAsia="仿宋" w:cs="仿宋"/>
          <w:sz w:val="27"/>
          <w:szCs w:val="27"/>
        </w:rPr>
      </w:pPr>
      <w:r>
        <w:rPr>
          <w:rStyle w:val="26"/>
          <w:rFonts w:hint="eastAsia" w:ascii="仿宋" w:hAnsi="仿宋" w:eastAsia="仿宋" w:cs="仿宋"/>
          <w:b/>
          <w:bCs/>
          <w:i w:val="0"/>
          <w:iCs w:val="0"/>
          <w:caps w:val="0"/>
          <w:spacing w:val="0"/>
          <w:sz w:val="27"/>
          <w:szCs w:val="27"/>
        </w:rPr>
        <w:t>六、其他补充事宜</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获取招标文件须提供的证明材料：法定代表人授权委托书、委托人身份证、营业执照副本、医疗器械经营许可证副本</w:t>
      </w:r>
      <w:r>
        <w:rPr>
          <w:rFonts w:hint="eastAsia" w:ascii="仿宋" w:hAnsi="仿宋" w:eastAsia="仿宋" w:cs="仿宋"/>
          <w:i w:val="0"/>
          <w:iCs w:val="0"/>
          <w:caps w:val="0"/>
          <w:spacing w:val="0"/>
          <w:sz w:val="27"/>
          <w:szCs w:val="27"/>
          <w:lang w:eastAsia="zh-CN"/>
        </w:rPr>
        <w:t>、</w:t>
      </w:r>
      <w:r>
        <w:rPr>
          <w:rFonts w:hint="eastAsia" w:ascii="仿宋" w:hAnsi="仿宋" w:eastAsia="仿宋" w:cs="仿宋"/>
          <w:sz w:val="27"/>
          <w:szCs w:val="27"/>
          <w:lang w:val="en-US" w:eastAsia="zh-CN"/>
        </w:rPr>
        <w:t>有效的第二类医疗器械经营备案凭证、</w:t>
      </w:r>
      <w:r>
        <w:rPr>
          <w:rFonts w:hint="eastAsia" w:ascii="仿宋" w:hAnsi="仿宋" w:eastAsia="仿宋" w:cs="仿宋"/>
          <w:i w:val="0"/>
          <w:iCs w:val="0"/>
          <w:caps w:val="0"/>
          <w:spacing w:val="0"/>
          <w:sz w:val="27"/>
          <w:szCs w:val="27"/>
        </w:rPr>
        <w:t>提供近</w:t>
      </w:r>
      <w:r>
        <w:rPr>
          <w:rFonts w:hint="eastAsia" w:ascii="仿宋" w:hAnsi="仿宋" w:eastAsia="仿宋" w:cs="仿宋"/>
          <w:i w:val="0"/>
          <w:iCs w:val="0"/>
          <w:caps w:val="0"/>
          <w:spacing w:val="0"/>
          <w:sz w:val="27"/>
          <w:szCs w:val="27"/>
          <w:lang w:eastAsia="zh-CN"/>
        </w:rPr>
        <w:t>三个月</w:t>
      </w:r>
      <w:r>
        <w:rPr>
          <w:rFonts w:hint="eastAsia" w:ascii="仿宋" w:hAnsi="仿宋" w:eastAsia="仿宋" w:cs="仿宋"/>
          <w:i w:val="0"/>
          <w:iCs w:val="0"/>
          <w:caps w:val="0"/>
          <w:spacing w:val="0"/>
          <w:sz w:val="27"/>
          <w:szCs w:val="27"/>
        </w:rPr>
        <w:t>（202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月-202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4</w:t>
      </w:r>
      <w:r>
        <w:rPr>
          <w:rFonts w:hint="eastAsia" w:ascii="仿宋" w:hAnsi="仿宋" w:eastAsia="仿宋" w:cs="仿宋"/>
          <w:i w:val="0"/>
          <w:iCs w:val="0"/>
          <w:caps w:val="0"/>
          <w:spacing w:val="0"/>
          <w:sz w:val="27"/>
          <w:szCs w:val="27"/>
        </w:rPr>
        <w:t>月）缴纳税收证明及投标单位和被授权人的社保缴纳证明</w:t>
      </w:r>
      <w:r>
        <w:rPr>
          <w:rFonts w:hint="eastAsia" w:ascii="仿宋" w:hAnsi="仿宋" w:eastAsia="仿宋" w:cs="仿宋"/>
          <w:i w:val="0"/>
          <w:iCs w:val="0"/>
          <w:caps w:val="0"/>
          <w:spacing w:val="0"/>
          <w:sz w:val="27"/>
          <w:szCs w:val="27"/>
          <w:lang w:eastAsia="zh-CN"/>
        </w:rPr>
        <w:t>、</w:t>
      </w:r>
      <w:r>
        <w:rPr>
          <w:rFonts w:hint="eastAsia" w:ascii="仿宋" w:hAnsi="仿宋" w:eastAsia="仿宋" w:cs="仿宋"/>
          <w:i w:val="0"/>
          <w:iCs w:val="0"/>
          <w:caps w:val="0"/>
          <w:spacing w:val="0"/>
          <w:sz w:val="27"/>
          <w:szCs w:val="27"/>
        </w:rPr>
        <w:t>“信用中国”网站（www.creditchina.gov.cn）、中国政府采购网（www.ccgp.gov.cn）查询结果截图（日期必须在自本公告发布日期之后）。</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注明：以上证件须携带原件及加盖公章的复印件三套、不接受公证件。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rPr>
          <w:rFonts w:hint="eastAsia" w:ascii="仿宋" w:hAnsi="仿宋" w:eastAsia="仿宋" w:cs="仿宋"/>
          <w:sz w:val="31"/>
          <w:szCs w:val="31"/>
        </w:rPr>
      </w:pPr>
      <w:r>
        <w:rPr>
          <w:rStyle w:val="26"/>
          <w:rFonts w:hint="eastAsia" w:ascii="仿宋" w:hAnsi="仿宋" w:eastAsia="仿宋" w:cs="仿宋"/>
          <w:b/>
          <w:bCs/>
          <w:i w:val="0"/>
          <w:iCs w:val="0"/>
          <w:caps w:val="0"/>
          <w:spacing w:val="0"/>
          <w:sz w:val="27"/>
          <w:szCs w:val="27"/>
        </w:rPr>
        <w:t>七、对本次采购提出询问，请按以下方式联系</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lang w:eastAsia="zh-CN"/>
        </w:rPr>
      </w:pPr>
      <w:r>
        <w:rPr>
          <w:rFonts w:hint="eastAsia" w:ascii="仿宋" w:hAnsi="仿宋" w:eastAsia="仿宋" w:cs="仿宋"/>
          <w:i w:val="0"/>
          <w:iCs w:val="0"/>
          <w:caps w:val="0"/>
          <w:spacing w:val="0"/>
          <w:sz w:val="27"/>
          <w:szCs w:val="27"/>
        </w:rPr>
        <w:t>名 称：</w:t>
      </w:r>
      <w:r>
        <w:rPr>
          <w:rStyle w:val="29"/>
          <w:rFonts w:hint="eastAsia" w:ascii="仿宋" w:hAnsi="仿宋" w:eastAsia="仿宋" w:cs="仿宋"/>
          <w:i w:val="0"/>
          <w:iCs w:val="0"/>
          <w:caps w:val="0"/>
          <w:spacing w:val="0"/>
          <w:sz w:val="27"/>
          <w:szCs w:val="27"/>
        </w:rPr>
        <w:t>特克斯县</w:t>
      </w:r>
      <w:r>
        <w:rPr>
          <w:rStyle w:val="29"/>
          <w:rFonts w:hint="eastAsia" w:ascii="仿宋" w:hAnsi="仿宋" w:eastAsia="仿宋" w:cs="仿宋"/>
          <w:i w:val="0"/>
          <w:iCs w:val="0"/>
          <w:caps w:val="0"/>
          <w:spacing w:val="0"/>
          <w:sz w:val="27"/>
          <w:szCs w:val="27"/>
          <w:lang w:val="en-US" w:eastAsia="zh-CN"/>
        </w:rPr>
        <w:t>中医医院</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地 址：特克斯县</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lang w:val="en-US" w:eastAsia="zh-CN"/>
        </w:rPr>
        <w:t>联系人：崔主任</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lang w:eastAsia="zh-CN"/>
        </w:rPr>
      </w:pPr>
      <w:r>
        <w:rPr>
          <w:rFonts w:hint="eastAsia" w:ascii="仿宋" w:hAnsi="仿宋" w:eastAsia="仿宋" w:cs="仿宋"/>
          <w:i w:val="0"/>
          <w:iCs w:val="0"/>
          <w:caps w:val="0"/>
          <w:spacing w:val="0"/>
          <w:sz w:val="27"/>
          <w:szCs w:val="27"/>
        </w:rPr>
        <w:t>联系方式：199 9091 5628</w:t>
      </w:r>
      <w:r>
        <w:rPr>
          <w:rFonts w:hint="eastAsia" w:ascii="仿宋" w:hAnsi="仿宋" w:eastAsia="仿宋" w:cs="仿宋"/>
          <w:i w:val="0"/>
          <w:iCs w:val="0"/>
          <w:caps w:val="0"/>
          <w:spacing w:val="0"/>
          <w:sz w:val="27"/>
          <w:szCs w:val="27"/>
          <w:lang w:val="en-US" w:eastAsia="zh-CN"/>
        </w:rPr>
        <w:t xml:space="preserve"> </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名 称：新疆华域建设工程项目管理咨询有限公司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地 址：伊宁市经济合作区北京路一品墅新房大厦10楼1004号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联系方式：18196949061</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lang w:val="en-US" w:eastAsia="zh-CN"/>
        </w:rPr>
      </w:pPr>
      <w:r>
        <w:rPr>
          <w:rFonts w:hint="eastAsia" w:ascii="仿宋" w:hAnsi="仿宋" w:eastAsia="仿宋" w:cs="仿宋"/>
          <w:i w:val="0"/>
          <w:iCs w:val="0"/>
          <w:caps w:val="0"/>
          <w:spacing w:val="0"/>
          <w:sz w:val="27"/>
          <w:szCs w:val="27"/>
        </w:rPr>
        <w:t>项目联系人：</w:t>
      </w:r>
      <w:r>
        <w:rPr>
          <w:rFonts w:hint="eastAsia" w:ascii="仿宋" w:hAnsi="仿宋" w:eastAsia="仿宋" w:cs="仿宋"/>
          <w:i w:val="0"/>
          <w:iCs w:val="0"/>
          <w:caps w:val="0"/>
          <w:spacing w:val="0"/>
          <w:sz w:val="27"/>
          <w:szCs w:val="27"/>
          <w:lang w:val="en-US" w:eastAsia="zh-CN"/>
        </w:rPr>
        <w:t>廖清钦</w:t>
      </w:r>
    </w:p>
    <w:p>
      <w:pPr>
        <w:ind w:firstLine="540" w:firstLineChars="200"/>
        <w:rPr>
          <w:rFonts w:hint="eastAsia" w:ascii="仿宋" w:hAnsi="仿宋" w:eastAsia="仿宋" w:cs="仿宋"/>
          <w:sz w:val="27"/>
          <w:szCs w:val="27"/>
          <w:lang w:val="en-US" w:eastAsia="zh-CN"/>
        </w:rPr>
      </w:pPr>
      <w:r>
        <w:rPr>
          <w:rFonts w:hint="eastAsia" w:ascii="仿宋" w:hAnsi="仿宋" w:eastAsia="仿宋" w:cs="仿宋"/>
          <w:i w:val="0"/>
          <w:iCs w:val="0"/>
          <w:caps w:val="0"/>
          <w:spacing w:val="0"/>
          <w:sz w:val="27"/>
          <w:szCs w:val="27"/>
        </w:rPr>
        <w:t>电 话：18196949061</w:t>
      </w:r>
    </w:p>
    <w:p>
      <w:pPr>
        <w:rPr>
          <w:rFonts w:hint="eastAsia" w:ascii="仿宋" w:hAnsi="仿宋" w:eastAsia="仿宋" w:cs="仿宋"/>
          <w:color w:val="auto"/>
        </w:rPr>
      </w:pPr>
    </w:p>
    <w:p>
      <w:pPr>
        <w:rPr>
          <w:rFonts w:hint="eastAsia" w:ascii="仿宋" w:hAnsi="仿宋" w:eastAsia="仿宋" w:cs="仿宋"/>
          <w:color w:val="auto"/>
        </w:rPr>
      </w:pP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7"/>
          <w:szCs w:val="27"/>
          <w:u w:val="none"/>
          <w:lang w:val="en-US" w:eastAsia="zh-CN"/>
        </w:rPr>
      </w:pPr>
    </w:p>
    <w:p>
      <w:pPr>
        <w:pStyle w:val="3"/>
        <w:keepLines w:val="0"/>
        <w:spacing w:before="0" w:after="0" w:line="360" w:lineRule="auto"/>
        <w:ind w:right="-441" w:rightChars="-210"/>
        <w:jc w:val="center"/>
        <w:rPr>
          <w:rFonts w:hint="eastAsia" w:ascii="仿宋" w:hAnsi="仿宋" w:eastAsia="仿宋" w:cs="仿宋"/>
          <w:color w:val="auto"/>
          <w:kern w:val="2"/>
          <w:sz w:val="48"/>
          <w:szCs w:val="48"/>
        </w:rPr>
      </w:pPr>
      <w:bookmarkStart w:id="3" w:name="_Toc14165"/>
    </w:p>
    <w:p>
      <w:pPr>
        <w:rPr>
          <w:rFonts w:hint="eastAsia" w:ascii="仿宋" w:hAnsi="仿宋" w:eastAsia="仿宋" w:cs="仿宋"/>
          <w:color w:val="auto"/>
          <w:kern w:val="2"/>
          <w:sz w:val="48"/>
          <w:szCs w:val="48"/>
        </w:rPr>
      </w:pPr>
    </w:p>
    <w:p>
      <w:pPr>
        <w:pStyle w:val="20"/>
        <w:rPr>
          <w:rFonts w:hint="eastAsia" w:ascii="仿宋" w:hAnsi="仿宋" w:eastAsia="仿宋" w:cs="仿宋"/>
          <w:color w:val="auto"/>
          <w:kern w:val="2"/>
          <w:sz w:val="48"/>
          <w:szCs w:val="48"/>
        </w:rPr>
      </w:pPr>
    </w:p>
    <w:p>
      <w:pPr>
        <w:pStyle w:val="20"/>
        <w:ind w:left="0" w:leftChars="0" w:firstLine="0" w:firstLineChars="0"/>
        <w:rPr>
          <w:rFonts w:hint="eastAsia" w:ascii="仿宋" w:hAnsi="仿宋" w:eastAsia="仿宋" w:cs="仿宋"/>
          <w:color w:val="auto"/>
        </w:rPr>
      </w:pPr>
    </w:p>
    <w:p>
      <w:pPr>
        <w:pStyle w:val="3"/>
        <w:keepLines w:val="0"/>
        <w:spacing w:before="0" w:after="0" w:line="360" w:lineRule="auto"/>
        <w:ind w:right="-441" w:rightChars="-210"/>
        <w:jc w:val="center"/>
        <w:rPr>
          <w:rFonts w:hint="eastAsia" w:ascii="仿宋" w:hAnsi="仿宋" w:eastAsia="仿宋" w:cs="仿宋"/>
          <w:b w:val="0"/>
          <w:bCs w:val="0"/>
          <w:color w:val="auto"/>
          <w:sz w:val="32"/>
        </w:rPr>
      </w:pPr>
      <w:r>
        <w:rPr>
          <w:rFonts w:hint="eastAsia" w:ascii="仿宋" w:hAnsi="仿宋" w:eastAsia="仿宋" w:cs="仿宋"/>
          <w:color w:val="auto"/>
          <w:kern w:val="2"/>
          <w:sz w:val="48"/>
          <w:szCs w:val="48"/>
        </w:rPr>
        <w:t>第二章  投标人须知</w:t>
      </w:r>
      <w:bookmarkEnd w:id="0"/>
      <w:bookmarkEnd w:id="1"/>
      <w:bookmarkEnd w:id="2"/>
      <w:bookmarkEnd w:id="3"/>
      <w:bookmarkStart w:id="4" w:name="_Toc19085"/>
      <w:bookmarkStart w:id="5" w:name="_Toc243743353"/>
      <w:bookmarkStart w:id="6" w:name="_Toc185747578"/>
      <w:bookmarkStart w:id="7" w:name="_Toc245203880"/>
      <w:bookmarkStart w:id="8" w:name="_Toc272350606"/>
      <w:bookmarkStart w:id="9" w:name="_Toc243923367"/>
      <w:bookmarkStart w:id="10" w:name="_Toc279046865"/>
      <w:bookmarkStart w:id="11" w:name="_Toc278958158"/>
      <w:bookmarkStart w:id="12" w:name="_Toc277758485"/>
      <w:bookmarkStart w:id="13" w:name="_Toc49082409"/>
      <w:bookmarkStart w:id="14" w:name="_Toc271105676"/>
      <w:bookmarkStart w:id="15" w:name="_Toc209258272"/>
      <w:bookmarkStart w:id="16" w:name="_Toc191353014"/>
      <w:bookmarkStart w:id="17" w:name="_Toc226966680"/>
      <w:bookmarkStart w:id="18" w:name="_Toc226521692"/>
      <w:bookmarkStart w:id="19" w:name="_Toc49135195"/>
    </w:p>
    <w:p>
      <w:pPr>
        <w:pStyle w:val="3"/>
        <w:keepLines w:val="0"/>
        <w:spacing w:before="0" w:after="0" w:line="360" w:lineRule="auto"/>
        <w:ind w:right="-441" w:rightChars="-210"/>
        <w:jc w:val="center"/>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rPr>
        <w:t>投标人须知</w:t>
      </w:r>
      <w:r>
        <w:rPr>
          <w:rFonts w:hint="eastAsia" w:ascii="仿宋" w:hAnsi="仿宋" w:eastAsia="仿宋" w:cs="仿宋"/>
          <w:b w:val="0"/>
          <w:bCs w:val="0"/>
          <w:color w:val="auto"/>
          <w:sz w:val="32"/>
          <w:lang w:eastAsia="zh-CN"/>
        </w:rPr>
        <w:t>前附表</w:t>
      </w:r>
    </w:p>
    <w:tbl>
      <w:tblPr>
        <w:tblStyle w:val="22"/>
        <w:tblW w:w="9438" w:type="dxa"/>
        <w:tblInd w:w="-5" w:type="dxa"/>
        <w:tblLayout w:type="fixed"/>
        <w:tblCellMar>
          <w:top w:w="0" w:type="dxa"/>
          <w:left w:w="0" w:type="dxa"/>
          <w:bottom w:w="0" w:type="dxa"/>
          <w:right w:w="0" w:type="dxa"/>
        </w:tblCellMar>
      </w:tblPr>
      <w:tblGrid>
        <w:gridCol w:w="1571"/>
        <w:gridCol w:w="7867"/>
      </w:tblGrid>
      <w:tr>
        <w:tblPrEx>
          <w:tblCellMar>
            <w:top w:w="0" w:type="dxa"/>
            <w:left w:w="0" w:type="dxa"/>
            <w:bottom w:w="0" w:type="dxa"/>
            <w:right w:w="0" w:type="dxa"/>
          </w:tblCellMar>
        </w:tblPrEx>
        <w:trPr>
          <w:trHeight w:val="664"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采购项目名称</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特克斯县中医医院医废智能管理系统及发热门诊设备采购项目</w:t>
            </w:r>
            <w:r>
              <w:rPr>
                <w:rFonts w:hint="eastAsia" w:ascii="仿宋" w:hAnsi="仿宋" w:eastAsia="仿宋" w:cs="仿宋"/>
                <w:color w:val="auto"/>
                <w:sz w:val="24"/>
                <w:szCs w:val="24"/>
                <w:lang w:val="zh-CN" w:eastAsia="zh-CN"/>
              </w:rPr>
              <w:t>（一标段）</w:t>
            </w:r>
          </w:p>
        </w:tc>
      </w:tr>
      <w:tr>
        <w:tblPrEx>
          <w:tblCellMar>
            <w:top w:w="0" w:type="dxa"/>
            <w:left w:w="0" w:type="dxa"/>
            <w:bottom w:w="0" w:type="dxa"/>
            <w:right w:w="0" w:type="dxa"/>
          </w:tblCellMar>
        </w:tblPrEx>
        <w:trPr>
          <w:trHeight w:val="600"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   购   人</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特克斯县中医医院</w:t>
            </w:r>
          </w:p>
        </w:tc>
      </w:tr>
      <w:tr>
        <w:tblPrEx>
          <w:tblCellMar>
            <w:top w:w="0" w:type="dxa"/>
            <w:left w:w="0" w:type="dxa"/>
            <w:bottom w:w="0" w:type="dxa"/>
            <w:right w:w="0" w:type="dxa"/>
          </w:tblCellMar>
        </w:tblPrEx>
        <w:trPr>
          <w:trHeight w:val="522"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采购代理机构</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新疆华域建设工程项目管理咨询有限公司</w:t>
            </w:r>
          </w:p>
        </w:tc>
      </w:tr>
      <w:tr>
        <w:tblPrEx>
          <w:tblCellMar>
            <w:top w:w="0" w:type="dxa"/>
            <w:left w:w="0" w:type="dxa"/>
            <w:bottom w:w="0" w:type="dxa"/>
            <w:right w:w="0" w:type="dxa"/>
          </w:tblCellMar>
        </w:tblPrEx>
        <w:trPr>
          <w:trHeight w:val="562"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磋商文</w:t>
            </w:r>
            <w:r>
              <w:rPr>
                <w:rFonts w:hint="eastAsia" w:ascii="仿宋" w:hAnsi="仿宋" w:eastAsia="仿宋" w:cs="仿宋"/>
                <w:color w:val="auto"/>
                <w:sz w:val="24"/>
                <w:szCs w:val="24"/>
                <w:lang w:val="en-US" w:eastAsia="zh-CN"/>
              </w:rPr>
              <w:t>件编号</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HYYL-2022-046</w:t>
            </w:r>
          </w:p>
        </w:tc>
      </w:tr>
      <w:tr>
        <w:tblPrEx>
          <w:tblCellMar>
            <w:top w:w="0" w:type="dxa"/>
            <w:left w:w="0" w:type="dxa"/>
            <w:bottom w:w="0" w:type="dxa"/>
            <w:right w:w="0" w:type="dxa"/>
          </w:tblCellMar>
        </w:tblPrEx>
        <w:trPr>
          <w:trHeight w:val="620" w:hRule="exac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6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资金到位情况</w:t>
            </w:r>
          </w:p>
        </w:tc>
        <w:tc>
          <w:tcPr>
            <w:tcW w:w="7867" w:type="dxa"/>
            <w:tcBorders>
              <w:top w:val="single" w:color="auto" w:sz="4" w:space="0"/>
              <w:left w:val="single" w:color="auto" w:sz="6" w:space="0"/>
              <w:bottom w:val="single" w:color="auto" w:sz="6" w:space="0"/>
              <w:right w:val="single" w:color="000000" w:sz="6"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已到位</w:t>
            </w:r>
          </w:p>
        </w:tc>
      </w:tr>
      <w:tr>
        <w:tblPrEx>
          <w:tblCellMar>
            <w:top w:w="0" w:type="dxa"/>
            <w:left w:w="0" w:type="dxa"/>
            <w:bottom w:w="0" w:type="dxa"/>
            <w:right w:w="0" w:type="dxa"/>
          </w:tblCellMar>
        </w:tblPrEx>
        <w:trPr>
          <w:trHeight w:val="481"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购</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内</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容</w:t>
            </w:r>
          </w:p>
        </w:tc>
        <w:tc>
          <w:tcPr>
            <w:tcW w:w="7867" w:type="dxa"/>
            <w:tcBorders>
              <w:top w:val="single" w:color="auto" w:sz="6" w:space="0"/>
              <w:left w:val="nil"/>
              <w:bottom w:val="single" w:color="auto" w:sz="4" w:space="0"/>
              <w:right w:val="single" w:color="000000"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采购医废智能管理系统</w:t>
            </w:r>
          </w:p>
        </w:tc>
      </w:tr>
      <w:tr>
        <w:tblPrEx>
          <w:tblCellMar>
            <w:top w:w="0" w:type="dxa"/>
            <w:left w:w="0" w:type="dxa"/>
            <w:bottom w:w="0" w:type="dxa"/>
            <w:right w:w="0" w:type="dxa"/>
          </w:tblCellMar>
        </w:tblPrEx>
        <w:trPr>
          <w:trHeight w:val="884"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tabs>
                <w:tab w:val="left" w:pos="437"/>
              </w:tabs>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投标供应</w:t>
            </w:r>
          </w:p>
          <w:p>
            <w:pPr>
              <w:tabs>
                <w:tab w:val="left" w:pos="437"/>
              </w:tabs>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商资格要求</w:t>
            </w:r>
          </w:p>
          <w:p>
            <w:pPr>
              <w:tabs>
                <w:tab w:val="left" w:pos="437"/>
              </w:tabs>
              <w:spacing w:line="500" w:lineRule="exact"/>
              <w:jc w:val="center"/>
              <w:rPr>
                <w:rFonts w:hint="eastAsia" w:ascii="仿宋" w:hAnsi="仿宋" w:eastAsia="仿宋" w:cs="仿宋"/>
                <w:color w:val="auto"/>
                <w:sz w:val="24"/>
                <w:szCs w:val="24"/>
                <w:highlight w:val="none"/>
                <w:lang w:val="zh-CN"/>
              </w:rPr>
            </w:pPr>
          </w:p>
        </w:tc>
        <w:tc>
          <w:tcPr>
            <w:tcW w:w="7867" w:type="dxa"/>
            <w:tcBorders>
              <w:top w:val="single" w:color="auto" w:sz="6" w:space="0"/>
              <w:left w:val="nil"/>
              <w:bottom w:val="single" w:color="auto" w:sz="4" w:space="0"/>
              <w:right w:val="single" w:color="000000" w:sz="6" w:space="0"/>
            </w:tcBorders>
            <w:noWrap w:val="0"/>
            <w:vAlign w:val="center"/>
          </w:tcPr>
          <w:p>
            <w:pPr>
              <w:numPr>
                <w:ilvl w:val="0"/>
                <w:numId w:val="3"/>
              </w:num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满足《中华人民共和国政府采购法》第二十二条的相关规定；</w:t>
            </w:r>
          </w:p>
          <w:p>
            <w:pPr>
              <w:numPr>
                <w:ilvl w:val="0"/>
                <w:numId w:val="3"/>
              </w:num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法定代表人投标需提供法定代表人身份证，委托代理人投标需提供法定代表人授权委托书及委托代理人身份证；被委托人必须是投标单位正式员工；</w:t>
            </w:r>
          </w:p>
          <w:p>
            <w:pPr>
              <w:numPr>
                <w:ilvl w:val="0"/>
                <w:numId w:val="0"/>
              </w:num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（三）具有有效的营业执照且经营范围内包含此次采购内容；</w:t>
            </w:r>
          </w:p>
          <w:p>
            <w:pPr>
              <w:numPr>
                <w:ilvl w:val="0"/>
                <w:numId w:val="0"/>
              </w:num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四）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numPr>
                <w:ilvl w:val="0"/>
                <w:numId w:val="0"/>
              </w:num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（五）本项目不接受联合体投标。</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ind w:firstLine="240" w:firstLineChars="1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服务地点</w:t>
            </w:r>
          </w:p>
        </w:tc>
        <w:tc>
          <w:tcPr>
            <w:tcW w:w="7867" w:type="dxa"/>
            <w:tcBorders>
              <w:top w:val="single" w:color="auto" w:sz="4" w:space="0"/>
              <w:left w:val="nil"/>
              <w:right w:val="single" w:color="000000" w:sz="6" w:space="0"/>
            </w:tcBorders>
            <w:noWrap w:val="0"/>
            <w:vAlign w:val="center"/>
          </w:tcPr>
          <w:p>
            <w:pPr>
              <w:spacing w:line="500" w:lineRule="exact"/>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采购人指定定点</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合同履约期限</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7日历天</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 保 期</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一年</w:t>
            </w:r>
          </w:p>
        </w:tc>
      </w:tr>
      <w:tr>
        <w:tblPrEx>
          <w:tblCellMar>
            <w:top w:w="0" w:type="dxa"/>
            <w:left w:w="0" w:type="dxa"/>
            <w:bottom w:w="0" w:type="dxa"/>
            <w:right w:w="0" w:type="dxa"/>
          </w:tblCellMar>
        </w:tblPrEx>
        <w:trPr>
          <w:trHeight w:val="556"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投标保证金</w:t>
            </w:r>
          </w:p>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形式及相关须知</w:t>
            </w:r>
          </w:p>
        </w:tc>
        <w:tc>
          <w:tcPr>
            <w:tcW w:w="7867" w:type="dxa"/>
            <w:tcBorders>
              <w:top w:val="single" w:color="auto" w:sz="6" w:space="0"/>
              <w:left w:val="nil"/>
              <w:bottom w:val="single" w:color="auto" w:sz="6" w:space="0"/>
              <w:right w:val="single" w:color="000000" w:sz="6" w:space="0"/>
            </w:tcBorders>
            <w:noWrap w:val="0"/>
            <w:vAlign w:val="center"/>
          </w:tcPr>
          <w:p>
            <w:pPr>
              <w:pStyle w:val="15"/>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保证金要求提供，数额不得超过采购项目预算金额的2%，本项目的投标保证金为：</w:t>
            </w:r>
            <w:r>
              <w:rPr>
                <w:rFonts w:hint="eastAsia" w:ascii="仿宋" w:hAnsi="仿宋" w:eastAsia="仿宋" w:cs="仿宋"/>
                <w:color w:val="auto"/>
                <w:sz w:val="24"/>
                <w:szCs w:val="24"/>
                <w:u w:val="single"/>
                <w:lang w:val="en-US" w:eastAsia="zh-CN"/>
              </w:rPr>
              <w:t>3000</w:t>
            </w:r>
            <w:r>
              <w:rPr>
                <w:rFonts w:hint="eastAsia" w:ascii="仿宋" w:hAnsi="仿宋" w:eastAsia="仿宋" w:cs="仿宋"/>
                <w:b/>
                <w:bCs/>
                <w:color w:val="auto"/>
                <w:sz w:val="24"/>
                <w:szCs w:val="24"/>
                <w:u w:val="single"/>
              </w:rPr>
              <w:t>元（大写：</w:t>
            </w:r>
            <w:r>
              <w:rPr>
                <w:rFonts w:hint="eastAsia" w:ascii="仿宋" w:hAnsi="仿宋" w:eastAsia="仿宋" w:cs="仿宋"/>
                <w:b/>
                <w:bCs/>
                <w:color w:val="auto"/>
                <w:sz w:val="24"/>
                <w:szCs w:val="24"/>
                <w:u w:val="single"/>
                <w:lang w:val="en-US" w:eastAsia="zh-CN"/>
              </w:rPr>
              <w:t>叁仟元整</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提交方式为</w:t>
            </w:r>
            <w:r>
              <w:rPr>
                <w:rFonts w:hint="eastAsia" w:ascii="仿宋" w:hAnsi="仿宋" w:eastAsia="仿宋" w:cs="仿宋"/>
                <w:color w:val="auto"/>
                <w:sz w:val="24"/>
                <w:szCs w:val="24"/>
                <w:u w:val="single"/>
              </w:rPr>
              <w:t>投标人基本账户以网银或银行电汇形式</w:t>
            </w:r>
            <w:r>
              <w:rPr>
                <w:rFonts w:hint="eastAsia" w:ascii="仿宋" w:hAnsi="仿宋" w:eastAsia="仿宋" w:cs="仿宋"/>
                <w:color w:val="auto"/>
                <w:sz w:val="24"/>
                <w:szCs w:val="24"/>
              </w:rPr>
              <w:t>，在投标截止时间之前汇至本公司账户，否则其响应文件将被拒绝评审，投标人提交投标保证金应充分考虑资金在途时间。</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账户信息：新疆华域建设工程项目管理咨询有限公司伊犁分公司  </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开户行：中国工商银行股份有限公司伊宁阿</w:t>
            </w:r>
            <w:r>
              <w:rPr>
                <w:rFonts w:hint="eastAsia" w:ascii="仿宋" w:hAnsi="仿宋" w:eastAsia="仿宋" w:cs="仿宋"/>
                <w:color w:val="auto"/>
                <w:sz w:val="24"/>
                <w:szCs w:val="24"/>
                <w:lang w:val="en-US" w:eastAsia="zh-CN"/>
              </w:rPr>
              <w:t>合</w:t>
            </w:r>
            <w:r>
              <w:rPr>
                <w:rFonts w:hint="eastAsia" w:ascii="仿宋" w:hAnsi="仿宋" w:eastAsia="仿宋" w:cs="仿宋"/>
                <w:color w:val="auto"/>
                <w:sz w:val="24"/>
                <w:szCs w:val="24"/>
              </w:rPr>
              <w:t>买提江街支行</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银行账号：3006023109200131786</w:t>
            </w:r>
          </w:p>
          <w:p>
            <w:pPr>
              <w:spacing w:line="500" w:lineRule="exact"/>
              <w:jc w:val="left"/>
              <w:rPr>
                <w:rFonts w:hint="eastAsia" w:ascii="仿宋" w:hAnsi="仿宋" w:eastAsia="仿宋" w:cs="仿宋"/>
                <w:color w:val="auto"/>
                <w:sz w:val="24"/>
                <w:szCs w:val="24"/>
                <w:highlight w:val="red"/>
                <w:lang w:val="zh-CN"/>
              </w:rPr>
            </w:pPr>
            <w:r>
              <w:rPr>
                <w:rFonts w:hint="eastAsia" w:ascii="仿宋" w:hAnsi="仿宋" w:eastAsia="仿宋" w:cs="仿宋"/>
                <w:color w:val="auto"/>
                <w:sz w:val="24"/>
                <w:szCs w:val="24"/>
              </w:rPr>
              <w:t>注：以电汇方式递交投标保证金须在电汇凭据附言栏中写明项目编号、包号及用途(保证金)，由于未按要求注明信息而导致的一切后果由投标人承担。</w:t>
            </w:r>
          </w:p>
        </w:tc>
      </w:tr>
      <w:tr>
        <w:tblPrEx>
          <w:tblCellMar>
            <w:top w:w="0" w:type="dxa"/>
            <w:left w:w="0" w:type="dxa"/>
            <w:bottom w:w="0" w:type="dxa"/>
            <w:right w:w="0" w:type="dxa"/>
          </w:tblCellMar>
        </w:tblPrEx>
        <w:trPr>
          <w:trHeight w:val="49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付款方式</w:t>
            </w:r>
          </w:p>
        </w:tc>
        <w:tc>
          <w:tcPr>
            <w:tcW w:w="7867" w:type="dxa"/>
            <w:tcBorders>
              <w:top w:val="single" w:color="auto" w:sz="6" w:space="0"/>
              <w:left w:val="nil"/>
              <w:bottom w:val="single" w:color="auto" w:sz="6" w:space="0"/>
              <w:right w:val="single" w:color="000000" w:sz="6" w:space="0"/>
            </w:tcBorders>
            <w:noWrap w:val="0"/>
            <w:vAlign w:val="top"/>
          </w:tcPr>
          <w:p>
            <w:pPr>
              <w:spacing w:line="36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后期与甲方签订合同为准</w:t>
            </w:r>
          </w:p>
        </w:tc>
      </w:tr>
      <w:tr>
        <w:tblPrEx>
          <w:tblCellMar>
            <w:top w:w="0" w:type="dxa"/>
            <w:left w:w="0" w:type="dxa"/>
            <w:bottom w:w="0" w:type="dxa"/>
            <w:right w:w="0" w:type="dxa"/>
          </w:tblCellMar>
        </w:tblPrEx>
        <w:trPr>
          <w:trHeight w:val="256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投标文件份数</w:t>
            </w:r>
          </w:p>
        </w:tc>
        <w:tc>
          <w:tcPr>
            <w:tcW w:w="7867" w:type="dxa"/>
            <w:tcBorders>
              <w:top w:val="single" w:color="auto" w:sz="6" w:space="0"/>
              <w:left w:val="nil"/>
              <w:bottom w:val="single" w:color="auto" w:sz="6" w:space="0"/>
              <w:right w:val="single" w:color="000000" w:sz="6" w:space="0"/>
            </w:tcBorders>
            <w:noWrap w:val="0"/>
            <w:vAlign w:val="top"/>
          </w:tcPr>
          <w:p>
            <w:pPr>
              <w:pStyle w:val="46"/>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投标文件的数量：正本1份、副本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p>
          <w:p>
            <w:pPr>
              <w:pStyle w:val="46"/>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投标报价单的数量：1份（单独密封）</w:t>
            </w:r>
          </w:p>
          <w:p>
            <w:pPr>
              <w:pStyle w:val="46"/>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电子版投标文件：1份(□扫描件，☑ Word，可多选，以U盘形式提交，单独密封)</w:t>
            </w:r>
          </w:p>
          <w:p>
            <w:pPr>
              <w:spacing w:line="360" w:lineRule="exact"/>
              <w:jc w:val="left"/>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（注：装订形式：不得采用活页、拉杆等方式，必须采用胶装，否则按废标处理）</w:t>
            </w:r>
          </w:p>
        </w:tc>
      </w:tr>
      <w:tr>
        <w:tblPrEx>
          <w:tblCellMar>
            <w:top w:w="0" w:type="dxa"/>
            <w:left w:w="0" w:type="dxa"/>
            <w:bottom w:w="0" w:type="dxa"/>
            <w:right w:w="0" w:type="dxa"/>
          </w:tblCellMar>
        </w:tblPrEx>
        <w:trPr>
          <w:trHeight w:val="914"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投标文件递交地点</w:t>
            </w:r>
          </w:p>
        </w:tc>
        <w:tc>
          <w:tcPr>
            <w:tcW w:w="7867" w:type="dxa"/>
            <w:tcBorders>
              <w:top w:val="nil"/>
              <w:left w:val="nil"/>
              <w:bottom w:val="single" w:color="auto" w:sz="6" w:space="0"/>
              <w:right w:val="single" w:color="000000" w:sz="6" w:space="0"/>
            </w:tcBorders>
            <w:noWrap w:val="0"/>
            <w:vAlign w:val="center"/>
          </w:tcPr>
          <w:p>
            <w:pPr>
              <w:spacing w:line="360" w:lineRule="exact"/>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伊宁市经济合作区北京路一品墅新房大厦10楼1004号</w:t>
            </w:r>
          </w:p>
        </w:tc>
      </w:tr>
      <w:tr>
        <w:tblPrEx>
          <w:tblCellMar>
            <w:top w:w="0" w:type="dxa"/>
            <w:left w:w="0" w:type="dxa"/>
            <w:bottom w:w="0" w:type="dxa"/>
            <w:right w:w="0" w:type="dxa"/>
          </w:tblCellMar>
        </w:tblPrEx>
        <w:trPr>
          <w:trHeight w:val="695" w:hRule="exact"/>
        </w:trPr>
        <w:tc>
          <w:tcPr>
            <w:tcW w:w="1571" w:type="dxa"/>
            <w:tcBorders>
              <w:top w:val="nil"/>
              <w:left w:val="single" w:color="auto" w:sz="6" w:space="0"/>
              <w:bottom w:val="single" w:color="auto" w:sz="4"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投标文件截止时间</w:t>
            </w:r>
          </w:p>
        </w:tc>
        <w:tc>
          <w:tcPr>
            <w:tcW w:w="7867" w:type="dxa"/>
            <w:tcBorders>
              <w:top w:val="nil"/>
              <w:left w:val="nil"/>
              <w:bottom w:val="single" w:color="auto" w:sz="4" w:space="0"/>
              <w:right w:val="single" w:color="000000" w:sz="6"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478"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329"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投标人必备资质（开标查验）</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开标时须携带：</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1、企业营业执照副本原件；</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、“信用中国”（www.creditchina.gov.cn）和“中国政府采购网”（www.ccgp.gov.cn）网站上未被列入失信被执行人、重大税收违法案件当事人名单以及政府采购严重违法失信行为记录名单的网页打印件（网页打印件须自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color w:val="auto"/>
                <w:sz w:val="24"/>
                <w:szCs w:val="24"/>
                <w:lang w:val="en-US" w:eastAsia="zh-CN"/>
              </w:rPr>
              <w:t>磋商</w:t>
            </w:r>
            <w:r>
              <w:rPr>
                <w:rFonts w:hint="eastAsia" w:ascii="仿宋" w:hAnsi="仿宋" w:eastAsia="仿宋" w:cs="仿宋"/>
                <w:b/>
                <w:color w:val="auto"/>
                <w:sz w:val="24"/>
                <w:szCs w:val="24"/>
              </w:rPr>
              <w:t>文件发布之日起至投标截止时间从上述网站中打印）（加盖公章）；</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、法定代表人参加时提供：身份证原件，或委托代理人参加时提供：身份证原件、授权委托书原件；</w:t>
            </w:r>
          </w:p>
          <w:p>
            <w:pPr>
              <w:pStyle w:val="20"/>
              <w:rPr>
                <w:rFonts w:hint="eastAsia" w:ascii="仿宋" w:hAnsi="仿宋" w:eastAsia="仿宋" w:cs="仿宋"/>
                <w:lang w:val="en-US" w:eastAsia="zh-CN"/>
              </w:rPr>
            </w:pPr>
            <w:r>
              <w:rPr>
                <w:rFonts w:hint="eastAsia" w:ascii="仿宋" w:hAnsi="仿宋" w:eastAsia="仿宋" w:cs="仿宋"/>
                <w:b/>
                <w:color w:val="auto"/>
                <w:sz w:val="24"/>
                <w:szCs w:val="24"/>
                <w:lang w:val="en-US" w:eastAsia="zh-CN"/>
              </w:rPr>
              <w:t>4、近三个月（2022年2月-2022年4月）缴纳税收证明及投标单位和被授权人的社保缴纳证明；</w:t>
            </w:r>
          </w:p>
          <w:p>
            <w:pPr>
              <w:pStyle w:val="11"/>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5、投标保证金收据。</w:t>
            </w:r>
          </w:p>
          <w:p>
            <w:pPr>
              <w:pStyle w:val="11"/>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注：无法提供以上资料的投标人为无效投标人，其投标文件不予开封并退回投标人。</w:t>
            </w:r>
          </w:p>
        </w:tc>
      </w:tr>
      <w:tr>
        <w:tblPrEx>
          <w:tblCellMar>
            <w:top w:w="0" w:type="dxa"/>
            <w:left w:w="0" w:type="dxa"/>
            <w:bottom w:w="0" w:type="dxa"/>
            <w:right w:w="0" w:type="dxa"/>
          </w:tblCellMar>
        </w:tblPrEx>
        <w:trPr>
          <w:trHeight w:val="27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答疑</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若有代理公司将在投标截止前5日通知各投标人</w:t>
            </w:r>
          </w:p>
          <w:p>
            <w:pPr>
              <w:numPr>
                <w:ilvl w:val="0"/>
                <w:numId w:val="4"/>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若没有则不召开答疑会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highlight w:val="none"/>
                <w:u w:val="none"/>
                <w:lang w:val="zh-CN" w:eastAsia="zh-CN"/>
              </w:rPr>
              <w:t>磋商文件的澄清、修改及补正</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highlight w:val="none"/>
                <w:u w:val="none"/>
                <w:lang w:val="en-US" w:eastAsia="zh-CN"/>
              </w:rPr>
              <w:t>投标截止前5日书面e-mill通知所有投标人，其内容将作为投标文件的组成部分，时间不足5日将顺延。</w:t>
            </w:r>
          </w:p>
        </w:tc>
      </w:tr>
      <w:tr>
        <w:tblPrEx>
          <w:tblCellMar>
            <w:top w:w="0" w:type="dxa"/>
            <w:left w:w="0" w:type="dxa"/>
            <w:bottom w:w="0" w:type="dxa"/>
            <w:right w:w="0" w:type="dxa"/>
          </w:tblCellMar>
        </w:tblPrEx>
        <w:trPr>
          <w:trHeight w:val="3320"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节能、环保</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采购产品为最新《节能产品政府采购清单》内非标记★符号的节能产品及《环境标志产品政府采购清单》的产品：</w:t>
            </w:r>
          </w:p>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0" w:type="dxa"/>
            <w:bottom w:w="0" w:type="dxa"/>
            <w:right w:w="0" w:type="dxa"/>
          </w:tblCellMar>
        </w:tblPrEx>
        <w:trPr>
          <w:trHeight w:val="1037" w:hRule="atLeast"/>
        </w:trPr>
        <w:tc>
          <w:tcPr>
            <w:tcW w:w="15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小、微企业</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1、给予小型和微型企业产品的价格给予6%-10%的扣除，用扣除后的价格参与评审，本项目具体扣除比例为6%。</w:t>
            </w:r>
          </w:p>
        </w:tc>
      </w:tr>
      <w:tr>
        <w:tblPrEx>
          <w:tblCellMar>
            <w:top w:w="0" w:type="dxa"/>
            <w:left w:w="0" w:type="dxa"/>
            <w:bottom w:w="0" w:type="dxa"/>
            <w:right w:w="0" w:type="dxa"/>
          </w:tblCellMar>
        </w:tblPrEx>
        <w:trPr>
          <w:trHeight w:val="1087"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2、中小企业在融资、投标保证、履约保证等方面有需求的，可查询当地政府采购管理部门相关政策，通过专业化的担保途径解决。</w:t>
            </w:r>
          </w:p>
        </w:tc>
      </w:tr>
      <w:tr>
        <w:tblPrEx>
          <w:tblCellMar>
            <w:top w:w="0" w:type="dxa"/>
            <w:left w:w="0" w:type="dxa"/>
            <w:bottom w:w="0" w:type="dxa"/>
            <w:right w:w="0" w:type="dxa"/>
          </w:tblCellMar>
        </w:tblPrEx>
        <w:trPr>
          <w:trHeight w:val="288"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低于成本价不正当竞争预防措施</w:t>
            </w:r>
          </w:p>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5"/>
        <w:keepLines/>
        <w:numPr>
          <w:ilvl w:val="0"/>
          <w:numId w:val="5"/>
        </w:numPr>
        <w:spacing w:before="260" w:after="260" w:line="400" w:lineRule="exact"/>
        <w:rPr>
          <w:rFonts w:hint="eastAsia" w:ascii="仿宋" w:hAnsi="仿宋" w:eastAsia="仿宋" w:cs="仿宋"/>
          <w:bCs w:val="0"/>
          <w:color w:val="auto"/>
          <w:sz w:val="28"/>
        </w:rPr>
      </w:pPr>
      <w:r>
        <w:rPr>
          <w:rFonts w:hint="eastAsia" w:ascii="仿宋" w:hAnsi="仿宋" w:eastAsia="仿宋" w:cs="仿宋"/>
          <w:bCs w:val="0"/>
          <w:color w:val="auto"/>
          <w:sz w:val="28"/>
          <w:lang w:val="en-US" w:eastAsia="zh-CN"/>
        </w:rPr>
        <w:t xml:space="preserve"> </w:t>
      </w:r>
      <w:r>
        <w:rPr>
          <w:rFonts w:hint="eastAsia" w:ascii="仿宋" w:hAnsi="仿宋" w:eastAsia="仿宋" w:cs="仿宋"/>
          <w:bCs w:val="0"/>
          <w:color w:val="auto"/>
          <w:sz w:val="28"/>
        </w:rPr>
        <w:t>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1"/>
          <w:numId w:val="5"/>
        </w:numPr>
        <w:tabs>
          <w:tab w:val="left" w:pos="525"/>
          <w:tab w:val="left" w:pos="630"/>
        </w:tabs>
        <w:spacing w:line="480" w:lineRule="auto"/>
        <w:outlineLvl w:val="3"/>
        <w:rPr>
          <w:rFonts w:hint="eastAsia" w:ascii="仿宋" w:hAnsi="仿宋" w:eastAsia="仿宋" w:cs="仿宋"/>
          <w:color w:val="auto"/>
          <w:sz w:val="24"/>
          <w:lang w:eastAsia="zh-CN"/>
        </w:rPr>
      </w:pPr>
      <w:r>
        <w:rPr>
          <w:rFonts w:hint="eastAsia" w:ascii="仿宋" w:hAnsi="仿宋" w:eastAsia="仿宋" w:cs="仿宋"/>
          <w:b/>
          <w:bCs/>
          <w:color w:val="auto"/>
          <w:sz w:val="24"/>
          <w:lang w:val="en-US" w:eastAsia="zh-CN"/>
        </w:rPr>
        <w:t>采购预算</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190000</w:t>
      </w:r>
      <w:r>
        <w:rPr>
          <w:rFonts w:hint="eastAsia" w:ascii="仿宋" w:hAnsi="仿宋" w:eastAsia="仿宋" w:cs="仿宋"/>
          <w:color w:val="auto"/>
          <w:sz w:val="24"/>
          <w:lang w:val="en-US" w:eastAsia="zh-CN"/>
        </w:rPr>
        <w:t>元。</w:t>
      </w:r>
    </w:p>
    <w:p>
      <w:pPr>
        <w:numPr>
          <w:ilvl w:val="1"/>
          <w:numId w:val="5"/>
        </w:numPr>
        <w:tabs>
          <w:tab w:val="left" w:pos="525"/>
          <w:tab w:val="left" w:pos="630"/>
        </w:tabs>
        <w:spacing w:line="480" w:lineRule="auto"/>
        <w:outlineLvl w:val="3"/>
        <w:rPr>
          <w:rFonts w:hint="eastAsia" w:ascii="仿宋" w:hAnsi="仿宋" w:eastAsia="仿宋" w:cs="仿宋"/>
          <w:color w:val="auto"/>
          <w:sz w:val="24"/>
        </w:rPr>
      </w:pPr>
      <w:r>
        <w:rPr>
          <w:rFonts w:hint="eastAsia" w:ascii="仿宋" w:hAnsi="仿宋" w:eastAsia="仿宋" w:cs="仿宋"/>
          <w:b/>
          <w:bCs/>
          <w:color w:val="auto"/>
          <w:sz w:val="24"/>
        </w:rPr>
        <w:t>适用范围</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依据《中华人民共和国政府采购法》、《中华人民共和国招标投标法》等有关法律法规制定本须知。</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采购人、招标代理机构、供应商及各方当事人适用本须知。</w:t>
      </w:r>
    </w:p>
    <w:p>
      <w:pPr>
        <w:numPr>
          <w:ilvl w:val="1"/>
          <w:numId w:val="5"/>
        </w:numPr>
        <w:tabs>
          <w:tab w:val="left" w:pos="525"/>
          <w:tab w:val="left" w:pos="630"/>
        </w:tabs>
        <w:spacing w:line="480" w:lineRule="auto"/>
        <w:outlineLvl w:val="3"/>
        <w:rPr>
          <w:rFonts w:hint="eastAsia" w:ascii="仿宋" w:hAnsi="仿宋" w:eastAsia="仿宋" w:cs="仿宋"/>
          <w:b/>
          <w:bCs/>
          <w:color w:val="auto"/>
          <w:sz w:val="24"/>
        </w:rPr>
      </w:pPr>
      <w:r>
        <w:rPr>
          <w:rFonts w:hint="eastAsia" w:ascii="仿宋" w:hAnsi="仿宋" w:eastAsia="仿宋" w:cs="仿宋"/>
          <w:b/>
          <w:bCs/>
          <w:color w:val="auto"/>
          <w:sz w:val="24"/>
        </w:rPr>
        <w:t>关于投标项目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rPr>
      </w:pPr>
      <w:r>
        <w:rPr>
          <w:rFonts w:hint="eastAsia" w:ascii="仿宋" w:hAnsi="仿宋" w:eastAsia="仿宋" w:cs="仿宋"/>
          <w:color w:val="auto"/>
          <w:sz w:val="24"/>
          <w:lang w:eastAsia="zh-CN"/>
        </w:rPr>
        <w:t>特克斯县中医医院医废智能管理系统及发热门诊设备采购项目</w:t>
      </w:r>
      <w:r>
        <w:rPr>
          <w:rFonts w:hint="eastAsia" w:ascii="仿宋" w:hAnsi="仿宋" w:eastAsia="仿宋" w:cs="仿宋"/>
          <w:color w:val="auto"/>
          <w:sz w:val="24"/>
        </w:rPr>
        <w:t>。投标人必须对项目标段内容进行整体投标，不允许仅对其中部分内容进行投标。</w:t>
      </w:r>
    </w:p>
    <w:p>
      <w:pPr>
        <w:numPr>
          <w:ilvl w:val="1"/>
          <w:numId w:val="5"/>
        </w:numPr>
        <w:tabs>
          <w:tab w:val="left" w:pos="525"/>
          <w:tab w:val="left" w:pos="630"/>
        </w:tabs>
        <w:spacing w:line="480" w:lineRule="auto"/>
        <w:outlineLvl w:val="3"/>
        <w:rPr>
          <w:rFonts w:hint="eastAsia" w:ascii="仿宋" w:hAnsi="仿宋" w:eastAsia="仿宋" w:cs="仿宋"/>
          <w:b/>
          <w:bCs/>
          <w:color w:val="auto"/>
          <w:sz w:val="24"/>
        </w:rPr>
      </w:pPr>
      <w:r>
        <w:rPr>
          <w:rFonts w:hint="eastAsia" w:ascii="仿宋" w:hAnsi="仿宋" w:eastAsia="仿宋" w:cs="仿宋"/>
          <w:b/>
          <w:bCs/>
          <w:color w:val="auto"/>
          <w:sz w:val="24"/>
        </w:rPr>
        <w:t>关于定标方式</w:t>
      </w:r>
    </w:p>
    <w:p>
      <w:pPr>
        <w:spacing w:line="360" w:lineRule="auto"/>
        <w:ind w:firstLine="480" w:firstLineChars="200"/>
        <w:rPr>
          <w:rFonts w:hint="eastAsia" w:ascii="仿宋" w:hAnsi="仿宋" w:eastAsia="仿宋" w:cs="仿宋"/>
          <w:color w:val="auto"/>
        </w:rPr>
      </w:pPr>
      <w:r>
        <w:rPr>
          <w:rFonts w:hint="eastAsia" w:ascii="仿宋" w:hAnsi="仿宋" w:eastAsia="仿宋" w:cs="仿宋"/>
          <w:bCs/>
          <w:color w:val="auto"/>
          <w:sz w:val="24"/>
        </w:rPr>
        <w:t>磋商小组将根据需要决定对所有合格的磋商供应商在规定时间内进行第二次或多轮报价，最后报价将作为磋商小组评比的最终依据；采购人拒绝接受有选择性报价的投标。</w:t>
      </w:r>
    </w:p>
    <w:p>
      <w:pPr>
        <w:numPr>
          <w:ilvl w:val="1"/>
          <w:numId w:val="5"/>
        </w:numPr>
        <w:tabs>
          <w:tab w:val="left" w:pos="525"/>
          <w:tab w:val="left" w:pos="630"/>
        </w:tabs>
        <w:spacing w:line="480" w:lineRule="auto"/>
        <w:outlineLvl w:val="3"/>
        <w:rPr>
          <w:rFonts w:hint="eastAsia" w:ascii="仿宋" w:hAnsi="仿宋" w:eastAsia="仿宋" w:cs="仿宋"/>
          <w:b/>
          <w:bCs/>
          <w:color w:val="auto"/>
          <w:sz w:val="24"/>
        </w:rPr>
      </w:pPr>
      <w:r>
        <w:rPr>
          <w:rFonts w:hint="eastAsia" w:ascii="仿宋" w:hAnsi="仿宋" w:eastAsia="仿宋" w:cs="仿宋"/>
          <w:b/>
          <w:bCs/>
          <w:color w:val="auto"/>
          <w:sz w:val="24"/>
        </w:rPr>
        <w:t>定义</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采购人：是指</w:t>
      </w:r>
      <w:r>
        <w:rPr>
          <w:rFonts w:hint="eastAsia" w:ascii="仿宋" w:hAnsi="仿宋" w:eastAsia="仿宋" w:cs="仿宋"/>
          <w:b/>
          <w:bCs/>
          <w:color w:val="auto"/>
          <w:sz w:val="24"/>
          <w:lang w:eastAsia="zh-CN"/>
        </w:rPr>
        <w:t>特克斯县中医医院</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招标代理机构：是指</w:t>
      </w:r>
      <w:r>
        <w:rPr>
          <w:rFonts w:hint="eastAsia" w:ascii="仿宋" w:hAnsi="仿宋" w:eastAsia="仿宋" w:cs="仿宋"/>
          <w:b/>
          <w:bCs/>
          <w:color w:val="auto"/>
          <w:sz w:val="24"/>
          <w:lang w:eastAsia="zh-CN"/>
        </w:rPr>
        <w:t>新疆华域建设工程项目管理咨询有限公司</w:t>
      </w:r>
      <w:r>
        <w:rPr>
          <w:rFonts w:hint="eastAsia" w:ascii="仿宋" w:hAnsi="仿宋" w:eastAsia="仿宋" w:cs="仿宋"/>
          <w:color w:val="auto"/>
          <w:sz w:val="24"/>
        </w:rPr>
        <w:t xml:space="preserve"> 。</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投标人：是指向招标代理机构提交投标文件的</w:t>
      </w:r>
      <w:r>
        <w:rPr>
          <w:rFonts w:hint="eastAsia" w:ascii="仿宋" w:hAnsi="仿宋" w:eastAsia="仿宋" w:cs="仿宋"/>
          <w:b/>
          <w:bCs/>
          <w:color w:val="auto"/>
          <w:sz w:val="24"/>
        </w:rPr>
        <w:t>供应商</w:t>
      </w:r>
      <w:r>
        <w:rPr>
          <w:rFonts w:hint="eastAsia" w:ascii="仿宋" w:hAnsi="仿宋" w:eastAsia="仿宋" w:cs="仿宋"/>
          <w:b/>
          <w:bCs/>
          <w:color w:val="auto"/>
          <w:sz w:val="24"/>
          <w:lang w:val="en-US" w:eastAsia="zh-CN"/>
        </w:rPr>
        <w:t>(投标人一经报名应积极参加招标项目若不参加请于开标前三天向招标代理公司提交加盖单位公章弃标函若不提供该企业将被列入黑名单）</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中标人：是指经合法招、投标程序评选出来的</w:t>
      </w:r>
      <w:r>
        <w:rPr>
          <w:rFonts w:hint="eastAsia" w:ascii="仿宋" w:hAnsi="仿宋" w:eastAsia="仿宋" w:cs="仿宋"/>
          <w:b/>
          <w:bCs/>
          <w:color w:val="auto"/>
          <w:sz w:val="24"/>
        </w:rPr>
        <w:t>投标人</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货物、</w:t>
      </w:r>
      <w:r>
        <w:rPr>
          <w:rFonts w:hint="eastAsia" w:ascii="仿宋" w:hAnsi="仿宋" w:eastAsia="仿宋" w:cs="仿宋"/>
          <w:color w:val="auto"/>
          <w:sz w:val="24"/>
          <w:lang w:eastAsia="zh-CN"/>
        </w:rPr>
        <w:t>设备（货物）</w:t>
      </w:r>
      <w:r>
        <w:rPr>
          <w:rFonts w:hint="eastAsia" w:ascii="仿宋" w:hAnsi="仿宋" w:eastAsia="仿宋" w:cs="仿宋"/>
          <w:color w:val="auto"/>
          <w:sz w:val="24"/>
        </w:rPr>
        <w:t>：是指投标人按</w:t>
      </w:r>
      <w:r>
        <w:rPr>
          <w:rFonts w:hint="eastAsia" w:ascii="仿宋" w:hAnsi="仿宋" w:eastAsia="仿宋" w:cs="仿宋"/>
          <w:color w:val="auto"/>
          <w:sz w:val="24"/>
          <w:lang w:eastAsia="zh-CN"/>
        </w:rPr>
        <w:t>磋商</w:t>
      </w:r>
      <w:r>
        <w:rPr>
          <w:rFonts w:hint="eastAsia" w:ascii="仿宋" w:hAnsi="仿宋" w:eastAsia="仿宋" w:cs="仿宋"/>
          <w:color w:val="auto"/>
          <w:sz w:val="24"/>
        </w:rPr>
        <w:t>文件规定，须向采购人提供的</w:t>
      </w:r>
      <w:r>
        <w:rPr>
          <w:rFonts w:hint="eastAsia" w:ascii="仿宋" w:hAnsi="仿宋" w:eastAsia="仿宋" w:cs="仿宋"/>
          <w:color w:val="auto"/>
          <w:sz w:val="24"/>
          <w:lang w:eastAsia="zh-CN"/>
        </w:rPr>
        <w:t>设备（货物）</w:t>
      </w:r>
      <w:r>
        <w:rPr>
          <w:rFonts w:hint="eastAsia" w:ascii="仿宋" w:hAnsi="仿宋" w:eastAsia="仿宋" w:cs="仿宋"/>
          <w:color w:val="auto"/>
          <w:sz w:val="24"/>
        </w:rPr>
        <w:t>、备件、工具、手册及其它技术资料和材料。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服务：是指</w:t>
      </w:r>
      <w:r>
        <w:rPr>
          <w:rFonts w:hint="eastAsia" w:ascii="仿宋" w:hAnsi="仿宋" w:eastAsia="仿宋" w:cs="仿宋"/>
          <w:color w:val="auto"/>
          <w:sz w:val="24"/>
          <w:lang w:eastAsia="zh-CN"/>
        </w:rPr>
        <w:t>磋商</w:t>
      </w:r>
      <w:r>
        <w:rPr>
          <w:rFonts w:hint="eastAsia" w:ascii="仿宋" w:hAnsi="仿宋" w:eastAsia="仿宋" w:cs="仿宋"/>
          <w:color w:val="auto"/>
          <w:sz w:val="24"/>
        </w:rPr>
        <w:t>文件规定投标人须承担的有关服务。</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实质性响应：是指符合采购文件的要求、条款、条件和规定，且没有重大偏离或保留。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重大偏离或保留：是指投标文件中影响到采购文件规定的货物和服务质量或限制了采购人的权利/投标人的义务的规定，而认可该等规定偏离将影响到其他投标人的公平竞争地位。</w:t>
      </w:r>
    </w:p>
    <w:p>
      <w:pPr>
        <w:numPr>
          <w:ilvl w:val="2"/>
          <w:numId w:val="5"/>
        </w:numPr>
        <w:tabs>
          <w:tab w:val="left" w:pos="735"/>
          <w:tab w:val="left" w:pos="840"/>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lang w:val="en-US" w:eastAsia="zh-CN"/>
        </w:rPr>
        <w:t>合同履约期限</w:t>
      </w:r>
      <w:r>
        <w:rPr>
          <w:rFonts w:hint="eastAsia" w:ascii="仿宋" w:hAnsi="仿宋" w:eastAsia="仿宋" w:cs="仿宋"/>
          <w:color w:val="auto"/>
          <w:sz w:val="24"/>
        </w:rPr>
        <w:t>：是指签订采购合同之日起至按要求交货并通过验收的期限。</w:t>
      </w:r>
    </w:p>
    <w:p>
      <w:pPr>
        <w:numPr>
          <w:ilvl w:val="2"/>
          <w:numId w:val="5"/>
        </w:numPr>
        <w:tabs>
          <w:tab w:val="left" w:pos="735"/>
          <w:tab w:val="left" w:pos="840"/>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日期、天数、时间：无特别说明时是指公历日及北京时间。</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lang w:eastAsia="zh-CN"/>
        </w:rPr>
        <w:t>磋商</w:t>
      </w:r>
      <w:r>
        <w:rPr>
          <w:rFonts w:hint="eastAsia" w:ascii="仿宋" w:hAnsi="仿宋" w:eastAsia="仿宋" w:cs="仿宋"/>
          <w:color w:val="auto"/>
          <w:sz w:val="24"/>
        </w:rPr>
        <w:t>文件中的标题或题名仅起引导作用，而不应该作为对</w:t>
      </w:r>
      <w:r>
        <w:rPr>
          <w:rFonts w:hint="eastAsia" w:ascii="仿宋" w:hAnsi="仿宋" w:eastAsia="仿宋" w:cs="仿宋"/>
          <w:color w:val="auto"/>
          <w:sz w:val="24"/>
          <w:lang w:eastAsia="zh-CN"/>
        </w:rPr>
        <w:t>磋商</w:t>
      </w:r>
      <w:r>
        <w:rPr>
          <w:rFonts w:hint="eastAsia" w:ascii="仿宋" w:hAnsi="仿宋" w:eastAsia="仿宋" w:cs="仿宋"/>
          <w:color w:val="auto"/>
          <w:sz w:val="24"/>
        </w:rPr>
        <w:t>文件内容的理解或解释。</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0" w:name="_Toc264616629"/>
      <w:r>
        <w:rPr>
          <w:rFonts w:hint="eastAsia" w:ascii="仿宋" w:hAnsi="仿宋" w:eastAsia="仿宋" w:cs="仿宋"/>
          <w:b/>
          <w:color w:val="auto"/>
          <w:sz w:val="24"/>
        </w:rPr>
        <w:t>应遵循的原则</w:t>
      </w:r>
      <w:bookmarkEnd w:id="20"/>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遵循公开、公平、公正和诚实信用原则。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坚持价格合理、质量优先、服务优质原则。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利用法律手段强化竞争机制，贯彻统一、规范、简化、高效的要求。</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投标文件递交地点</w:t>
      </w:r>
      <w:r>
        <w:rPr>
          <w:rFonts w:hint="eastAsia" w:ascii="仿宋" w:hAnsi="仿宋" w:eastAsia="仿宋" w:cs="仿宋"/>
          <w:color w:val="auto"/>
          <w:sz w:val="24"/>
          <w:lang w:eastAsia="zh-CN"/>
        </w:rPr>
        <w:t>、</w:t>
      </w:r>
      <w:r>
        <w:rPr>
          <w:rFonts w:hint="eastAsia" w:ascii="仿宋" w:hAnsi="仿宋" w:eastAsia="仿宋" w:cs="仿宋"/>
          <w:color w:val="auto"/>
          <w:sz w:val="24"/>
        </w:rPr>
        <w:t>开标地点：</w:t>
      </w:r>
      <w:r>
        <w:rPr>
          <w:rFonts w:hint="eastAsia" w:ascii="仿宋" w:hAnsi="仿宋" w:eastAsia="仿宋" w:cs="仿宋"/>
          <w:color w:val="auto"/>
          <w:sz w:val="24"/>
          <w:lang w:eastAsia="zh-CN"/>
        </w:rPr>
        <w:t>伊宁市经济合作区北京路一品墅新房大厦10楼1004号</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合同的签订：《中标通知书》发出之日起次日与招标人签订合同</w:t>
      </w:r>
      <w:r>
        <w:rPr>
          <w:rFonts w:hint="eastAsia" w:ascii="仿宋" w:hAnsi="仿宋" w:eastAsia="仿宋" w:cs="仿宋"/>
          <w:color w:val="auto"/>
          <w:sz w:val="24"/>
          <w:lang w:eastAsia="zh-CN"/>
        </w:rPr>
        <w:t>。</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除非另有说明，本</w:t>
      </w:r>
      <w:r>
        <w:rPr>
          <w:rFonts w:hint="eastAsia" w:ascii="仿宋" w:hAnsi="仿宋" w:eastAsia="仿宋" w:cs="仿宋"/>
          <w:b/>
          <w:color w:val="auto"/>
          <w:sz w:val="24"/>
          <w:lang w:eastAsia="zh-CN"/>
        </w:rPr>
        <w:t>磋商</w:t>
      </w:r>
      <w:r>
        <w:rPr>
          <w:rFonts w:hint="eastAsia" w:ascii="仿宋" w:hAnsi="仿宋" w:eastAsia="仿宋" w:cs="仿宋"/>
          <w:b/>
          <w:color w:val="auto"/>
          <w:sz w:val="24"/>
        </w:rPr>
        <w:t>文件中所示的时间均指北京时间。以上工作时间计划如有变更，以招标代理机构另行书面通知为准。</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1" w:name="_Toc264616632"/>
      <w:r>
        <w:rPr>
          <w:rFonts w:hint="eastAsia" w:ascii="仿宋" w:hAnsi="仿宋" w:eastAsia="仿宋" w:cs="仿宋"/>
          <w:b/>
          <w:color w:val="auto"/>
          <w:sz w:val="24"/>
        </w:rPr>
        <w:t>合格的货物和服务</w:t>
      </w:r>
      <w:bookmarkEnd w:id="21"/>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投标人提供的所有货物及服务，其来源地均应为中华人民共和国或与中华人民共和国有官方贸易关系的国家或地区。</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投标人提供的所有货物和服务，其质量、技术等特征必须符合国家、行业现行的标准及采购人需求。</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采购人将拒绝接受不合格的货物和服务，由此产生的费用及相关后果均由投标人自行承担。</w:t>
      </w:r>
    </w:p>
    <w:p>
      <w:pPr>
        <w:numPr>
          <w:ilvl w:val="2"/>
          <w:numId w:val="5"/>
        </w:numPr>
        <w:tabs>
          <w:tab w:val="left" w:pos="735"/>
          <w:tab w:val="left" w:pos="1254"/>
        </w:tabs>
        <w:spacing w:line="360" w:lineRule="auto"/>
        <w:ind w:left="735" w:hanging="735"/>
        <w:rPr>
          <w:rFonts w:hint="eastAsia" w:ascii="仿宋" w:hAnsi="仿宋" w:eastAsia="仿宋" w:cs="仿宋"/>
          <w:b/>
          <w:color w:val="auto"/>
          <w:sz w:val="24"/>
        </w:rPr>
      </w:pPr>
      <w:r>
        <w:rPr>
          <w:rFonts w:hint="eastAsia" w:ascii="仿宋" w:hAnsi="仿宋" w:eastAsia="仿宋" w:cs="仿宋"/>
          <w:color w:val="auto"/>
          <w:sz w:val="24"/>
        </w:rPr>
        <w:t>投标人应保证本项目下提供的服务或其任何一部分不会因第三方依法享有的专利权、商标权或其他知识产权而产生法律纠纷；如果投标人不拥有相应的知识产权，则须在报价中包括合法获取该知识产权的相关费用，并在投标文件中附有相关证明文件；</w:t>
      </w:r>
      <w:r>
        <w:rPr>
          <w:rFonts w:hint="eastAsia" w:ascii="仿宋" w:hAnsi="仿宋" w:eastAsia="仿宋" w:cs="仿宋"/>
          <w:b/>
          <w:color w:val="auto"/>
          <w:sz w:val="24"/>
        </w:rPr>
        <w:t>如因第三方提出其专利权、商标权或其他知识产权的侵权之诉，则一切法律责任由投标人承担。</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2" w:name="_Toc264616633"/>
      <w:r>
        <w:rPr>
          <w:rFonts w:hint="eastAsia" w:ascii="仿宋" w:hAnsi="仿宋" w:eastAsia="仿宋" w:cs="仿宋"/>
          <w:b/>
          <w:color w:val="auto"/>
          <w:sz w:val="24"/>
        </w:rPr>
        <w:t>保密</w:t>
      </w:r>
      <w:bookmarkEnd w:id="22"/>
    </w:p>
    <w:p>
      <w:pPr>
        <w:pStyle w:val="15"/>
        <w:tabs>
          <w:tab w:val="left" w:pos="978"/>
        </w:tabs>
        <w:spacing w:after="60" w:afterLines="25"/>
        <w:ind w:left="2" w:leftChars="1" w:firstLine="480" w:firstLineChars="200"/>
        <w:rPr>
          <w:rFonts w:hint="eastAsia" w:ascii="仿宋" w:hAnsi="仿宋" w:eastAsia="仿宋" w:cs="仿宋"/>
          <w:color w:val="auto"/>
        </w:rPr>
      </w:pPr>
      <w:r>
        <w:rPr>
          <w:rFonts w:hint="eastAsia" w:ascii="仿宋" w:hAnsi="仿宋" w:eastAsia="仿宋" w:cs="仿宋"/>
          <w:color w:val="auto"/>
        </w:rPr>
        <w:t>招投标双方应分别为对方在投标文件和</w:t>
      </w:r>
      <w:r>
        <w:rPr>
          <w:rFonts w:hint="eastAsia" w:ascii="仿宋" w:hAnsi="仿宋" w:eastAsia="仿宋" w:cs="仿宋"/>
          <w:color w:val="auto"/>
          <w:lang w:eastAsia="zh-CN"/>
        </w:rPr>
        <w:t>磋商</w:t>
      </w:r>
      <w:r>
        <w:rPr>
          <w:rFonts w:hint="eastAsia" w:ascii="仿宋" w:hAnsi="仿宋" w:eastAsia="仿宋" w:cs="仿宋"/>
          <w:color w:val="auto"/>
        </w:rPr>
        <w:t>文件中涉及的商业和技术等秘密保密，违者应对由此造成的后果承担责任。投标方不得将参加此次投标活动的事实进行商业性宣传。</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3" w:name="_Toc264616636"/>
      <w:r>
        <w:rPr>
          <w:rFonts w:hint="eastAsia" w:ascii="仿宋" w:hAnsi="仿宋" w:eastAsia="仿宋" w:cs="仿宋"/>
          <w:b/>
          <w:color w:val="auto"/>
          <w:sz w:val="24"/>
        </w:rPr>
        <w:t>质疑与受理</w:t>
      </w:r>
      <w:bookmarkEnd w:id="23"/>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投标人有质疑时，应当以书面形式（加盖投标人公章）在质疑有效期限内向招标代理机构提交质疑书原件，逾期质疑无效。投标人以电话、传真或电邮形式提交的质疑书属于无效质疑。</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招标代理机构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招标代理机构在收到投标人的有效书面质疑后三个工作日内作出答复，但答复的内容不涉及商业秘密，质疑投标人对采购人、招标代理机构的质疑答复不满意，或采购人、招标代理机构未在规定期限内作出答复的，可以在答复期满后15个工作日内向同级政府采购监督管理部门提出投诉。</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4" w:name="_Toc264616637"/>
      <w:r>
        <w:rPr>
          <w:rFonts w:hint="eastAsia" w:ascii="仿宋" w:hAnsi="仿宋" w:eastAsia="仿宋" w:cs="仿宋"/>
          <w:b/>
          <w:color w:val="auto"/>
          <w:sz w:val="24"/>
        </w:rPr>
        <w:t>不得参与同一采购项目竞争的</w:t>
      </w:r>
      <w:bookmarkEnd w:id="24"/>
      <w:r>
        <w:rPr>
          <w:rFonts w:hint="eastAsia" w:ascii="仿宋" w:hAnsi="仿宋" w:eastAsia="仿宋" w:cs="仿宋"/>
          <w:b/>
          <w:color w:val="auto"/>
          <w:sz w:val="24"/>
        </w:rPr>
        <w:t>投标人</w:t>
      </w:r>
    </w:p>
    <w:p>
      <w:pPr>
        <w:adjustRightInd w:val="0"/>
        <w:snapToGrid w:val="0"/>
        <w:spacing w:line="360" w:lineRule="auto"/>
        <w:ind w:left="420" w:leftChars="200"/>
        <w:rPr>
          <w:rFonts w:hint="eastAsia" w:ascii="仿宋" w:hAnsi="仿宋" w:eastAsia="仿宋" w:cs="仿宋"/>
          <w:color w:val="auto"/>
          <w:sz w:val="24"/>
        </w:rPr>
      </w:pPr>
      <w:r>
        <w:rPr>
          <w:rFonts w:hint="eastAsia" w:ascii="仿宋" w:hAnsi="仿宋" w:eastAsia="仿宋" w:cs="仿宋"/>
          <w:color w:val="auto"/>
          <w:sz w:val="24"/>
        </w:rPr>
        <w:t>不同的投标人之间有下列情形之一的，不接受作为参与</w:t>
      </w:r>
      <w:r>
        <w:rPr>
          <w:rFonts w:hint="eastAsia" w:ascii="仿宋" w:hAnsi="仿宋" w:eastAsia="仿宋" w:cs="仿宋"/>
          <w:color w:val="auto"/>
          <w:sz w:val="24"/>
          <w:lang w:val="en-US" w:eastAsia="zh-CN"/>
        </w:rPr>
        <w:t>不</w:t>
      </w:r>
      <w:r>
        <w:rPr>
          <w:rFonts w:hint="eastAsia" w:ascii="仿宋" w:hAnsi="仿宋" w:eastAsia="仿宋" w:cs="仿宋"/>
          <w:color w:val="auto"/>
          <w:sz w:val="24"/>
        </w:rPr>
        <w:t>同竞争的投标人：</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彼此存在投资与被投资关系的；</w:t>
      </w:r>
    </w:p>
    <w:p>
      <w:pPr>
        <w:numPr>
          <w:ilvl w:val="2"/>
          <w:numId w:val="5"/>
        </w:numPr>
        <w:tabs>
          <w:tab w:val="left" w:pos="735"/>
          <w:tab w:val="left" w:pos="840"/>
        </w:tabs>
        <w:spacing w:line="360" w:lineRule="auto"/>
        <w:ind w:left="840" w:hanging="840"/>
        <w:rPr>
          <w:rFonts w:hint="eastAsia" w:ascii="仿宋" w:hAnsi="仿宋" w:eastAsia="仿宋" w:cs="仿宋"/>
          <w:color w:val="auto"/>
          <w:sz w:val="24"/>
        </w:rPr>
      </w:pPr>
      <w:r>
        <w:rPr>
          <w:rFonts w:hint="eastAsia" w:ascii="仿宋" w:hAnsi="仿宋" w:eastAsia="仿宋" w:cs="仿宋"/>
          <w:color w:val="auto"/>
          <w:sz w:val="24"/>
        </w:rPr>
        <w:t>彼此的经营者、董事会（或同类管理机构）成员属于直系亲属或配偶关系的。</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5" w:name="_Toc264616638"/>
      <w:r>
        <w:rPr>
          <w:rFonts w:hint="eastAsia" w:ascii="仿宋" w:hAnsi="仿宋" w:eastAsia="仿宋" w:cs="仿宋"/>
          <w:b/>
          <w:color w:val="auto"/>
          <w:sz w:val="24"/>
        </w:rPr>
        <w:t>通知</w:t>
      </w:r>
      <w:bookmarkEnd w:id="25"/>
    </w:p>
    <w:p>
      <w:pPr>
        <w:tabs>
          <w:tab w:val="left" w:pos="900"/>
        </w:tabs>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对与本项目有关的通知，招标代理机构将以书面（包括书面材料、信函、传真、电报等，下同）或在本次</w:t>
      </w:r>
      <w:r>
        <w:rPr>
          <w:rFonts w:hint="eastAsia" w:ascii="仿宋" w:hAnsi="仿宋" w:eastAsia="仿宋" w:cs="仿宋"/>
          <w:color w:val="auto"/>
          <w:sz w:val="24"/>
          <w:lang w:eastAsia="zh-CN"/>
        </w:rPr>
        <w:t>磋商</w:t>
      </w:r>
      <w:r>
        <w:rPr>
          <w:rFonts w:hint="eastAsia" w:ascii="仿宋" w:hAnsi="仿宋" w:eastAsia="仿宋" w:cs="仿宋"/>
          <w:color w:val="auto"/>
          <w:sz w:val="24"/>
        </w:rPr>
        <w:t>公告刊登的媒体上以发布公告的形式，送达所有与通知有关的已领取了</w:t>
      </w:r>
      <w:r>
        <w:rPr>
          <w:rFonts w:hint="eastAsia" w:ascii="仿宋" w:hAnsi="仿宋" w:eastAsia="仿宋" w:cs="仿宋"/>
          <w:color w:val="auto"/>
          <w:sz w:val="24"/>
          <w:lang w:eastAsia="zh-CN"/>
        </w:rPr>
        <w:t>磋商</w:t>
      </w:r>
      <w:r>
        <w:rPr>
          <w:rFonts w:hint="eastAsia" w:ascii="仿宋" w:hAnsi="仿宋" w:eastAsia="仿宋" w:cs="仿宋"/>
          <w:color w:val="auto"/>
          <w:sz w:val="24"/>
        </w:rPr>
        <w:t>文件的投标人，邮箱及电话号码以投标人的登记为准。投标人应于收到通知的当日以书面方式予以回复确认。因投标人登记的电话及邮箱号码有误、电话及邮箱线路故障或其它任何意外情形，导致所发出的通知延迟送达或无法送达投标人，招标代理机构不承担责任。</w:t>
      </w:r>
    </w:p>
    <w:p>
      <w:pPr>
        <w:numPr>
          <w:ilvl w:val="1"/>
          <w:numId w:val="5"/>
        </w:numPr>
        <w:tabs>
          <w:tab w:val="left" w:pos="525"/>
          <w:tab w:val="left" w:pos="630"/>
        </w:tabs>
        <w:spacing w:line="480" w:lineRule="auto"/>
        <w:outlineLvl w:val="3"/>
        <w:rPr>
          <w:rFonts w:hint="eastAsia" w:ascii="仿宋" w:hAnsi="仿宋" w:eastAsia="仿宋" w:cs="仿宋"/>
          <w:b/>
          <w:color w:val="auto"/>
          <w:sz w:val="24"/>
        </w:rPr>
      </w:pPr>
      <w:bookmarkStart w:id="26" w:name="_Toc264616639"/>
      <w:r>
        <w:rPr>
          <w:rFonts w:hint="eastAsia" w:ascii="仿宋" w:hAnsi="仿宋" w:eastAsia="仿宋" w:cs="仿宋"/>
          <w:b/>
          <w:color w:val="auto"/>
          <w:sz w:val="24"/>
          <w:lang w:eastAsia="zh-CN"/>
        </w:rPr>
        <w:t>磋商</w:t>
      </w:r>
      <w:r>
        <w:rPr>
          <w:rFonts w:hint="eastAsia" w:ascii="仿宋" w:hAnsi="仿宋" w:eastAsia="仿宋" w:cs="仿宋"/>
          <w:b/>
          <w:color w:val="auto"/>
          <w:sz w:val="24"/>
        </w:rPr>
        <w:t>文件的解释权</w:t>
      </w:r>
      <w:bookmarkEnd w:id="26"/>
    </w:p>
    <w:p>
      <w:pPr>
        <w:tabs>
          <w:tab w:val="left" w:pos="8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文件的解释权归“</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lang w:val="en-US" w:eastAsia="zh-CN"/>
        </w:rPr>
        <w:t>或招标人</w:t>
      </w:r>
      <w:r>
        <w:rPr>
          <w:rFonts w:hint="eastAsia" w:ascii="仿宋" w:hAnsi="仿宋" w:eastAsia="仿宋" w:cs="仿宋"/>
          <w:color w:val="auto"/>
          <w:sz w:val="24"/>
        </w:rPr>
        <w:t xml:space="preserve"> ”所有。</w:t>
      </w:r>
    </w:p>
    <w:p>
      <w:pPr>
        <w:pStyle w:val="5"/>
        <w:keepLines/>
        <w:numPr>
          <w:ilvl w:val="0"/>
          <w:numId w:val="5"/>
        </w:numPr>
        <w:spacing w:before="260" w:after="260" w:line="400" w:lineRule="exact"/>
        <w:rPr>
          <w:rFonts w:hint="eastAsia" w:ascii="仿宋" w:hAnsi="仿宋" w:eastAsia="仿宋" w:cs="仿宋"/>
          <w:color w:val="auto"/>
        </w:rPr>
      </w:pPr>
      <w:bookmarkStart w:id="27" w:name="_Toc130697185"/>
      <w:bookmarkStart w:id="28" w:name="_Toc209258273"/>
      <w:bookmarkStart w:id="29" w:name="_Toc191353015"/>
      <w:bookmarkStart w:id="30" w:name="_Toc12078"/>
      <w:bookmarkStart w:id="31" w:name="_Toc272350607"/>
      <w:bookmarkStart w:id="32" w:name="_Toc226521693"/>
      <w:bookmarkStart w:id="33" w:name="_Toc271105677"/>
      <w:bookmarkStart w:id="34" w:name="_Toc279046866"/>
      <w:bookmarkStart w:id="35" w:name="_Toc130695593"/>
      <w:bookmarkStart w:id="36" w:name="_Toc277758486"/>
      <w:bookmarkStart w:id="37" w:name="_Toc243923368"/>
      <w:bookmarkStart w:id="38" w:name="_Toc153615290"/>
      <w:bookmarkStart w:id="39" w:name="_Toc226966681"/>
      <w:bookmarkStart w:id="40" w:name="_Toc243743354"/>
      <w:bookmarkStart w:id="41" w:name="_Toc278958159"/>
      <w:bookmarkStart w:id="42" w:name="_Toc49135196"/>
      <w:bookmarkStart w:id="43" w:name="_Toc49082410"/>
      <w:bookmarkStart w:id="44" w:name="_Toc185747579"/>
      <w:bookmarkStart w:id="45" w:name="_Toc245203881"/>
      <w:r>
        <w:rPr>
          <w:rFonts w:hint="eastAsia" w:ascii="仿宋" w:hAnsi="仿宋" w:eastAsia="仿宋" w:cs="仿宋"/>
          <w:color w:val="auto"/>
          <w:lang w:eastAsia="zh-CN"/>
        </w:rPr>
        <w:t>磋商</w:t>
      </w:r>
      <w:r>
        <w:rPr>
          <w:rFonts w:hint="eastAsia" w:ascii="仿宋" w:hAnsi="仿宋" w:eastAsia="仿宋" w:cs="仿宋"/>
          <w:color w:val="auto"/>
        </w:rPr>
        <w:t>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lang w:eastAsia="zh-CN"/>
        </w:rPr>
        <w:t>磋商</w:t>
      </w:r>
      <w:r>
        <w:rPr>
          <w:rFonts w:hint="eastAsia" w:ascii="仿宋" w:hAnsi="仿宋" w:eastAsia="仿宋" w:cs="仿宋"/>
          <w:b/>
          <w:bCs/>
          <w:color w:val="auto"/>
          <w:sz w:val="24"/>
        </w:rPr>
        <w:t>文件的组成</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（1）公告</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（2）投标人须知</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（3）采购人需求</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（4）政府采购合同</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（5）投标文件格式</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（6）附件：评标文件</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（7）根据</w:t>
      </w:r>
      <w:r>
        <w:rPr>
          <w:rFonts w:hint="eastAsia" w:ascii="仿宋" w:hAnsi="仿宋" w:eastAsia="仿宋" w:cs="仿宋"/>
          <w:color w:val="auto"/>
          <w:sz w:val="24"/>
          <w:lang w:eastAsia="zh-CN"/>
        </w:rPr>
        <w:t>磋商</w:t>
      </w:r>
      <w:r>
        <w:rPr>
          <w:rFonts w:hint="eastAsia" w:ascii="仿宋" w:hAnsi="仿宋" w:eastAsia="仿宋" w:cs="仿宋"/>
          <w:color w:val="auto"/>
          <w:sz w:val="24"/>
        </w:rPr>
        <w:t>文件规定发出的澄清、修改及补充文件（如有）；</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lang w:eastAsia="zh-CN"/>
        </w:rPr>
        <w:t>磋商</w:t>
      </w:r>
      <w:r>
        <w:rPr>
          <w:rFonts w:hint="eastAsia" w:ascii="仿宋" w:hAnsi="仿宋" w:eastAsia="仿宋" w:cs="仿宋"/>
          <w:b/>
          <w:bCs/>
          <w:color w:val="auto"/>
          <w:sz w:val="24"/>
        </w:rPr>
        <w:t>文件的澄清</w:t>
      </w:r>
    </w:p>
    <w:p>
      <w:pPr>
        <w:spacing w:line="360" w:lineRule="auto"/>
        <w:ind w:left="154" w:firstLine="444" w:firstLineChars="185"/>
        <w:rPr>
          <w:rFonts w:hint="eastAsia" w:ascii="仿宋" w:hAnsi="仿宋" w:eastAsia="仿宋" w:cs="仿宋"/>
          <w:color w:val="auto"/>
          <w:sz w:val="24"/>
        </w:rPr>
      </w:pPr>
      <w:r>
        <w:rPr>
          <w:rFonts w:hint="eastAsia" w:ascii="仿宋" w:hAnsi="仿宋" w:eastAsia="仿宋" w:cs="仿宋"/>
          <w:bCs/>
          <w:color w:val="auto"/>
          <w:sz w:val="24"/>
        </w:rPr>
        <w:t>投标人如对</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文件有任何疑问，均应以书面形式</w:t>
      </w:r>
      <w:r>
        <w:rPr>
          <w:rFonts w:hint="eastAsia" w:ascii="仿宋" w:hAnsi="仿宋" w:eastAsia="仿宋" w:cs="仿宋"/>
          <w:bCs/>
          <w:color w:val="auto"/>
          <w:sz w:val="24"/>
          <w:lang w:val="en-US" w:eastAsia="zh-CN"/>
        </w:rPr>
        <w:t>在投标截止前5日</w:t>
      </w:r>
      <w:r>
        <w:rPr>
          <w:rFonts w:hint="eastAsia" w:ascii="仿宋" w:hAnsi="仿宋" w:eastAsia="仿宋" w:cs="仿宋"/>
          <w:bCs/>
          <w:color w:val="auto"/>
          <w:sz w:val="24"/>
        </w:rPr>
        <w:t>（包括书面文字、电传、传真、电报等，应加盖公章）向招标代理机构提出澄清要求，</w:t>
      </w:r>
      <w:r>
        <w:rPr>
          <w:rFonts w:hint="eastAsia" w:ascii="仿宋" w:hAnsi="仿宋" w:eastAsia="仿宋" w:cs="仿宋"/>
          <w:color w:val="auto"/>
          <w:sz w:val="24"/>
        </w:rPr>
        <w:t>招标代理机构将用信函、传真、E-Mail等形式做出答复，招标代理机构认为有必要</w:t>
      </w:r>
      <w:r>
        <w:rPr>
          <w:rFonts w:hint="eastAsia" w:ascii="仿宋" w:hAnsi="仿宋" w:eastAsia="仿宋" w:cs="仿宋"/>
          <w:color w:val="auto"/>
          <w:sz w:val="24"/>
          <w:lang w:eastAsia="zh-CN"/>
        </w:rPr>
        <w:t>（对</w:t>
      </w:r>
      <w:r>
        <w:rPr>
          <w:rFonts w:hint="eastAsia" w:ascii="仿宋" w:hAnsi="仿宋" w:eastAsia="仿宋" w:cs="仿宋"/>
          <w:color w:val="auto"/>
          <w:sz w:val="24"/>
          <w:lang w:val="en-US" w:eastAsia="zh-CN"/>
        </w:rPr>
        <w:t>响应磋商文件有影响时）</w:t>
      </w:r>
      <w:r>
        <w:rPr>
          <w:rFonts w:hint="eastAsia" w:ascii="仿宋" w:hAnsi="仿宋" w:eastAsia="仿宋" w:cs="仿宋"/>
          <w:color w:val="auto"/>
          <w:sz w:val="24"/>
        </w:rPr>
        <w:t>可将答复内容分发给所有取得同一</w:t>
      </w:r>
      <w:r>
        <w:rPr>
          <w:rFonts w:hint="eastAsia" w:ascii="仿宋" w:hAnsi="仿宋" w:eastAsia="仿宋" w:cs="仿宋"/>
          <w:color w:val="auto"/>
          <w:sz w:val="24"/>
          <w:lang w:eastAsia="zh-CN"/>
        </w:rPr>
        <w:t>磋商</w:t>
      </w:r>
      <w:r>
        <w:rPr>
          <w:rFonts w:hint="eastAsia" w:ascii="仿宋" w:hAnsi="仿宋" w:eastAsia="仿宋" w:cs="仿宋"/>
          <w:color w:val="auto"/>
          <w:sz w:val="24"/>
        </w:rPr>
        <w:t>文件的投标人。</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lang w:eastAsia="zh-CN"/>
        </w:rPr>
        <w:t>磋商</w:t>
      </w:r>
      <w:r>
        <w:rPr>
          <w:rFonts w:hint="eastAsia" w:ascii="仿宋" w:hAnsi="仿宋" w:eastAsia="仿宋" w:cs="仿宋"/>
          <w:b/>
          <w:bCs/>
          <w:color w:val="auto"/>
          <w:sz w:val="24"/>
        </w:rPr>
        <w:t>文件的补充和修改</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对</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文件进行必要的补充</w:t>
      </w:r>
      <w:r>
        <w:rPr>
          <w:rFonts w:hint="eastAsia" w:ascii="仿宋" w:hAnsi="仿宋" w:eastAsia="仿宋" w:cs="仿宋"/>
          <w:color w:val="auto"/>
          <w:sz w:val="24"/>
        </w:rPr>
        <w:t>或</w:t>
      </w:r>
      <w:r>
        <w:rPr>
          <w:rFonts w:hint="eastAsia" w:ascii="仿宋" w:hAnsi="仿宋" w:eastAsia="仿宋" w:cs="仿宋"/>
          <w:bCs/>
          <w:color w:val="auto"/>
          <w:sz w:val="24"/>
        </w:rPr>
        <w:t>修改，代理公司将</w:t>
      </w:r>
      <w:r>
        <w:rPr>
          <w:rFonts w:hint="eastAsia" w:ascii="仿宋" w:hAnsi="仿宋" w:eastAsia="仿宋" w:cs="仿宋"/>
          <w:color w:val="auto"/>
          <w:sz w:val="24"/>
        </w:rPr>
        <w:t>于开标前</w:t>
      </w:r>
      <w:r>
        <w:rPr>
          <w:rFonts w:hint="eastAsia" w:ascii="仿宋" w:hAnsi="仿宋" w:eastAsia="仿宋" w:cs="仿宋"/>
          <w:color w:val="auto"/>
          <w:sz w:val="24"/>
          <w:lang w:val="en-US" w:eastAsia="zh-CN"/>
        </w:rPr>
        <w:t>5</w:t>
      </w:r>
      <w:r>
        <w:rPr>
          <w:rFonts w:hint="eastAsia" w:ascii="仿宋" w:hAnsi="仿宋" w:eastAsia="仿宋" w:cs="仿宋"/>
          <w:color w:val="auto"/>
          <w:sz w:val="24"/>
        </w:rPr>
        <w:t>天以书面或邮件的形式通知所有已获取</w:t>
      </w:r>
      <w:r>
        <w:rPr>
          <w:rFonts w:hint="eastAsia" w:ascii="仿宋" w:hAnsi="仿宋" w:eastAsia="仿宋" w:cs="仿宋"/>
          <w:color w:val="auto"/>
          <w:sz w:val="24"/>
          <w:lang w:eastAsia="zh-CN"/>
        </w:rPr>
        <w:t>磋商</w:t>
      </w:r>
      <w:r>
        <w:rPr>
          <w:rFonts w:hint="eastAsia" w:ascii="仿宋" w:hAnsi="仿宋" w:eastAsia="仿宋" w:cs="仿宋"/>
          <w:color w:val="auto"/>
          <w:sz w:val="24"/>
        </w:rPr>
        <w:t>文件的</w:t>
      </w:r>
      <w:r>
        <w:rPr>
          <w:rFonts w:hint="eastAsia" w:ascii="仿宋" w:hAnsi="仿宋" w:eastAsia="仿宋" w:cs="仿宋"/>
          <w:bCs/>
          <w:color w:val="auto"/>
          <w:sz w:val="24"/>
        </w:rPr>
        <w:t>投标人，</w:t>
      </w:r>
      <w:r>
        <w:rPr>
          <w:rFonts w:hint="eastAsia" w:ascii="仿宋" w:hAnsi="仿宋" w:eastAsia="仿宋" w:cs="仿宋"/>
          <w:color w:val="auto"/>
          <w:sz w:val="24"/>
        </w:rPr>
        <w:t>在收到</w:t>
      </w:r>
      <w:r>
        <w:rPr>
          <w:rFonts w:hint="eastAsia" w:ascii="仿宋" w:hAnsi="仿宋" w:eastAsia="仿宋" w:cs="仿宋"/>
          <w:bCs/>
          <w:color w:val="auto"/>
          <w:sz w:val="24"/>
        </w:rPr>
        <w:t>补充</w:t>
      </w:r>
      <w:r>
        <w:rPr>
          <w:rFonts w:hint="eastAsia" w:ascii="仿宋" w:hAnsi="仿宋" w:eastAsia="仿宋" w:cs="仿宋"/>
          <w:color w:val="auto"/>
          <w:sz w:val="24"/>
        </w:rPr>
        <w:t>或修改通知后应立即以书面形式予以确认，该</w:t>
      </w:r>
      <w:r>
        <w:rPr>
          <w:rFonts w:hint="eastAsia" w:ascii="仿宋" w:hAnsi="仿宋" w:eastAsia="仿宋" w:cs="仿宋"/>
          <w:bCs/>
          <w:color w:val="auto"/>
          <w:sz w:val="24"/>
        </w:rPr>
        <w:t>补充</w:t>
      </w:r>
      <w:r>
        <w:rPr>
          <w:rFonts w:hint="eastAsia" w:ascii="仿宋" w:hAnsi="仿宋" w:eastAsia="仿宋" w:cs="仿宋"/>
          <w:color w:val="auto"/>
          <w:sz w:val="24"/>
        </w:rPr>
        <w:t>或修改的内容为</w:t>
      </w:r>
      <w:r>
        <w:rPr>
          <w:rFonts w:hint="eastAsia" w:ascii="仿宋" w:hAnsi="仿宋" w:eastAsia="仿宋" w:cs="仿宋"/>
          <w:color w:val="auto"/>
          <w:sz w:val="24"/>
          <w:lang w:eastAsia="zh-CN"/>
        </w:rPr>
        <w:t>磋商</w:t>
      </w:r>
      <w:r>
        <w:rPr>
          <w:rFonts w:hint="eastAsia" w:ascii="仿宋" w:hAnsi="仿宋" w:eastAsia="仿宋" w:cs="仿宋"/>
          <w:color w:val="auto"/>
          <w:sz w:val="24"/>
        </w:rPr>
        <w:t>文件的组成部分；</w:t>
      </w:r>
      <w:r>
        <w:rPr>
          <w:rFonts w:hint="eastAsia" w:ascii="仿宋" w:hAnsi="仿宋" w:eastAsia="仿宋" w:cs="仿宋"/>
          <w:bCs/>
          <w:color w:val="auto"/>
          <w:sz w:val="24"/>
        </w:rPr>
        <w:t>补充</w:t>
      </w:r>
      <w:r>
        <w:rPr>
          <w:rFonts w:hint="eastAsia" w:ascii="仿宋" w:hAnsi="仿宋" w:eastAsia="仿宋" w:cs="仿宋"/>
          <w:color w:val="auto"/>
          <w:sz w:val="24"/>
        </w:rPr>
        <w:t>或修改不足</w:t>
      </w:r>
      <w:r>
        <w:rPr>
          <w:rFonts w:hint="eastAsia" w:ascii="仿宋" w:hAnsi="仿宋" w:eastAsia="仿宋" w:cs="仿宋"/>
          <w:color w:val="auto"/>
          <w:sz w:val="24"/>
          <w:lang w:val="en-US" w:eastAsia="zh-CN"/>
        </w:rPr>
        <w:t>5</w:t>
      </w:r>
      <w:r>
        <w:rPr>
          <w:rFonts w:hint="eastAsia" w:ascii="仿宋" w:hAnsi="仿宋" w:eastAsia="仿宋" w:cs="仿宋"/>
          <w:color w:val="auto"/>
          <w:sz w:val="24"/>
        </w:rPr>
        <w:t>天的，</w:t>
      </w:r>
      <w:r>
        <w:rPr>
          <w:rFonts w:hint="eastAsia" w:ascii="仿宋" w:hAnsi="仿宋" w:eastAsia="仿宋" w:cs="仿宋"/>
          <w:color w:val="auto"/>
          <w:sz w:val="24"/>
          <w:lang w:eastAsia="zh-CN"/>
        </w:rPr>
        <w:t>应顺延投标</w:t>
      </w:r>
      <w:r>
        <w:rPr>
          <w:rFonts w:hint="eastAsia" w:ascii="仿宋" w:hAnsi="仿宋" w:eastAsia="仿宋" w:cs="仿宋"/>
          <w:color w:val="auto"/>
          <w:sz w:val="24"/>
        </w:rPr>
        <w:t>截至时间。</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对于投标人澄清要求的回复，或者</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修改补充文件，招标机构均将以书面或邮件形式通知所有投标人。投标人在收到澄清或补充文件后应于24小时内，以书面或邮件形式予以确认，如澄清或补充文件发出后24小时内未收到投标人书面确认，则视为投标人已确认。</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lang w:eastAsia="zh-CN"/>
        </w:rPr>
        <w:t>磋商</w:t>
      </w:r>
      <w:r>
        <w:rPr>
          <w:rFonts w:hint="eastAsia" w:ascii="仿宋" w:hAnsi="仿宋" w:eastAsia="仿宋" w:cs="仿宋"/>
          <w:bCs/>
          <w:color w:val="auto"/>
          <w:sz w:val="24"/>
        </w:rPr>
        <w:t>过程中的一切修改文件或补充文件一旦确认后与</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文件具有同等法律效力，投标人有责任履行相应的义务。</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Cs/>
          <w:color w:val="auto"/>
          <w:sz w:val="24"/>
        </w:rPr>
        <w:t>为使潜在投标人有合理的时间理解</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文件的修改，招标代理机构可酌情推迟投标截止日期和开标时间，</w:t>
      </w:r>
      <w:r>
        <w:rPr>
          <w:rFonts w:hint="eastAsia" w:ascii="仿宋" w:hAnsi="仿宋" w:eastAsia="仿宋" w:cs="仿宋"/>
          <w:color w:val="auto"/>
          <w:sz w:val="24"/>
        </w:rPr>
        <w:t>但至少应当在规定的投标截止时间三日前，将变更时间书面通知所有</w:t>
      </w:r>
      <w:r>
        <w:rPr>
          <w:rFonts w:hint="eastAsia" w:ascii="仿宋" w:hAnsi="仿宋" w:eastAsia="仿宋" w:cs="仿宋"/>
          <w:color w:val="auto"/>
          <w:sz w:val="24"/>
          <w:lang w:eastAsia="zh-CN"/>
        </w:rPr>
        <w:t>磋商</w:t>
      </w:r>
      <w:r>
        <w:rPr>
          <w:rFonts w:hint="eastAsia" w:ascii="仿宋" w:hAnsi="仿宋" w:eastAsia="仿宋" w:cs="仿宋"/>
          <w:color w:val="auto"/>
          <w:sz w:val="24"/>
        </w:rPr>
        <w:t>文件收受人。</w:t>
      </w:r>
    </w:p>
    <w:p>
      <w:pPr>
        <w:pStyle w:val="5"/>
        <w:keepLines/>
        <w:numPr>
          <w:ilvl w:val="0"/>
          <w:numId w:val="5"/>
        </w:numPr>
        <w:spacing w:before="260" w:after="260" w:line="400" w:lineRule="exact"/>
        <w:rPr>
          <w:rFonts w:hint="eastAsia" w:ascii="仿宋" w:hAnsi="仿宋" w:eastAsia="仿宋" w:cs="仿宋"/>
          <w:color w:val="auto"/>
        </w:rPr>
      </w:pPr>
      <w:bookmarkStart w:id="46" w:name="_Toc130697186"/>
      <w:bookmarkStart w:id="47" w:name="_Toc153615291"/>
      <w:bookmarkStart w:id="48" w:name="_Toc130695594"/>
      <w:bookmarkStart w:id="49" w:name="_Toc49082411"/>
      <w:bookmarkStart w:id="50" w:name="_Toc49135197"/>
      <w:bookmarkStart w:id="51" w:name="_Toc24217"/>
      <w:bookmarkStart w:id="52" w:name="_Toc279046867"/>
      <w:bookmarkStart w:id="53" w:name="_Toc185747580"/>
      <w:bookmarkStart w:id="54" w:name="_Toc243923369"/>
      <w:bookmarkStart w:id="55" w:name="_Toc226966682"/>
      <w:bookmarkStart w:id="56" w:name="_Toc271105678"/>
      <w:bookmarkStart w:id="57" w:name="_Toc272350608"/>
      <w:bookmarkStart w:id="58" w:name="_Toc243743355"/>
      <w:bookmarkStart w:id="59" w:name="_Toc278958160"/>
      <w:bookmarkStart w:id="60" w:name="_Toc209258274"/>
      <w:bookmarkStart w:id="61" w:name="_Toc277758487"/>
      <w:bookmarkStart w:id="62" w:name="_Toc226521694"/>
      <w:bookmarkStart w:id="63" w:name="_Toc245203882"/>
      <w:bookmarkStart w:id="64" w:name="_Toc191353016"/>
      <w:r>
        <w:rPr>
          <w:rFonts w:hint="eastAsia" w:ascii="仿宋" w:hAnsi="仿宋" w:eastAsia="仿宋" w:cs="仿宋"/>
          <w:color w:val="auto"/>
        </w:rPr>
        <w:t>投标</w:t>
      </w:r>
      <w:bookmarkEnd w:id="46"/>
      <w:bookmarkEnd w:id="47"/>
      <w:bookmarkEnd w:id="48"/>
      <w:bookmarkEnd w:id="49"/>
      <w:bookmarkEnd w:id="50"/>
      <w:r>
        <w:rPr>
          <w:rFonts w:hint="eastAsia" w:ascii="仿宋" w:hAnsi="仿宋" w:eastAsia="仿宋" w:cs="仿宋"/>
          <w:color w:val="auto"/>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投标文件的编写</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投标人应仔细阅读</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文件的所有内容，按</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文件的要求制作并递交投标文件，并保证所提供的全部资料的真实性、准确性，以确保其投标对</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文件做出实质性响应；否则，将拒绝其投标。投标人在投标中提供不真实的材料，无论其材料是否重要，都将直接导致投标文件无效，并承担由此产生的法律责任。</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投标人须对本项目的全部货物及服务进行整体投标，不能对某一部分内容进行选择投标。任何只对其中一部分内容进行的投标都被视为无效投标。</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本项目不接受备选投标方案或备选的投标货物型号/规格，投标文件的报价只允许有一个报价，招标代理机构不接受有任何选择的报价</w:t>
      </w:r>
      <w:r>
        <w:rPr>
          <w:rFonts w:hint="eastAsia" w:ascii="仿宋" w:hAnsi="仿宋" w:eastAsia="仿宋" w:cs="仿宋"/>
          <w:bCs/>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
          <w:color w:val="auto"/>
          <w:sz w:val="24"/>
        </w:rPr>
      </w:pPr>
      <w:r>
        <w:rPr>
          <w:rFonts w:hint="eastAsia" w:ascii="仿宋" w:hAnsi="仿宋" w:eastAsia="仿宋" w:cs="仿宋"/>
          <w:b/>
          <w:color w:val="auto"/>
          <w:sz w:val="24"/>
        </w:rPr>
        <w:t>本项目投标报价</w:t>
      </w:r>
      <w:r>
        <w:rPr>
          <w:rFonts w:hint="eastAsia" w:ascii="仿宋" w:hAnsi="仿宋" w:eastAsia="仿宋" w:cs="仿宋"/>
          <w:b/>
          <w:color w:val="auto"/>
          <w:sz w:val="24"/>
          <w:lang w:val="en-US" w:eastAsia="zh-CN"/>
        </w:rPr>
        <w:t>应包含所有履约费用</w:t>
      </w:r>
      <w:r>
        <w:rPr>
          <w:rFonts w:hint="eastAsia" w:ascii="仿宋" w:hAnsi="仿宋" w:eastAsia="仿宋" w:cs="仿宋"/>
          <w:b/>
          <w:color w:val="auto"/>
          <w:sz w:val="24"/>
          <w:lang w:eastAsia="zh-CN"/>
        </w:rPr>
        <w:t>。</w:t>
      </w:r>
      <w:r>
        <w:rPr>
          <w:rFonts w:hint="eastAsia" w:ascii="仿宋" w:hAnsi="仿宋" w:eastAsia="仿宋" w:cs="仿宋"/>
          <w:b/>
          <w:color w:val="auto"/>
          <w:sz w:val="24"/>
        </w:rPr>
        <w:t>除本招标文件另有规定外，投标供应商应按招标文件所附相应的开标一览表格式标明拟提供</w:t>
      </w:r>
      <w:r>
        <w:rPr>
          <w:rFonts w:hint="eastAsia" w:ascii="仿宋" w:hAnsi="仿宋" w:eastAsia="仿宋" w:cs="仿宋"/>
          <w:b/>
          <w:color w:val="auto"/>
          <w:sz w:val="24"/>
          <w:lang w:val="en-US" w:eastAsia="zh-CN"/>
        </w:rPr>
        <w:t>货物</w:t>
      </w:r>
      <w:r>
        <w:rPr>
          <w:rFonts w:hint="eastAsia" w:ascii="仿宋" w:hAnsi="仿宋" w:eastAsia="仿宋" w:cs="仿宋"/>
          <w:b/>
          <w:color w:val="auto"/>
          <w:sz w:val="24"/>
        </w:rPr>
        <w:t>的总价</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合同履约期限、质保期等（以开标一览表格式为准）</w:t>
      </w:r>
      <w:r>
        <w:rPr>
          <w:rFonts w:hint="eastAsia" w:ascii="仿宋" w:hAnsi="仿宋" w:eastAsia="仿宋" w:cs="仿宋"/>
          <w:b/>
          <w:color w:val="auto"/>
          <w:sz w:val="24"/>
          <w:lang w:eastAsia="zh-CN"/>
        </w:rPr>
        <w:t>，任何有选择性的报价将不予接受，每种</w:t>
      </w:r>
      <w:r>
        <w:rPr>
          <w:rFonts w:hint="eastAsia" w:ascii="仿宋" w:hAnsi="仿宋" w:eastAsia="仿宋" w:cs="仿宋"/>
          <w:b/>
          <w:color w:val="auto"/>
          <w:sz w:val="24"/>
          <w:lang w:val="en-US" w:eastAsia="zh-CN"/>
        </w:rPr>
        <w:t>货物</w:t>
      </w:r>
      <w:r>
        <w:rPr>
          <w:rFonts w:hint="eastAsia" w:ascii="仿宋" w:hAnsi="仿宋" w:eastAsia="仿宋" w:cs="仿宋"/>
          <w:b/>
          <w:color w:val="auto"/>
          <w:sz w:val="24"/>
          <w:lang w:eastAsia="zh-CN"/>
        </w:rPr>
        <w:t>只允许有一个报价</w:t>
      </w:r>
      <w:r>
        <w:rPr>
          <w:rFonts w:hint="eastAsia" w:ascii="仿宋" w:hAnsi="仿宋" w:eastAsia="仿宋" w:cs="仿宋"/>
          <w:b/>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
          <w:color w:val="auto"/>
          <w:sz w:val="24"/>
        </w:rPr>
        <w:t>投标人应以人民币报价。投标人漏报的单价或每单价报价中漏报、少报的费用，视为此项费用已隐含在投标报价中，中标人不得再向采购人收取任何费用</w:t>
      </w:r>
      <w:r>
        <w:rPr>
          <w:rFonts w:hint="eastAsia" w:ascii="仿宋" w:hAnsi="仿宋" w:eastAsia="仿宋" w:cs="仿宋"/>
          <w:bCs/>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投标人须用人民币报价。当单价与数量的乘积与合价不一致时，以标出的单价与数量的乘积为准，单价小数点有明显错误除外。</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投标文件的组成</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投标文件应包括</w:t>
      </w:r>
      <w:r>
        <w:rPr>
          <w:rFonts w:hint="eastAsia" w:ascii="仿宋" w:hAnsi="仿宋" w:eastAsia="仿宋" w:cs="仿宋"/>
          <w:color w:val="auto"/>
          <w:sz w:val="24"/>
          <w:lang w:eastAsia="zh-CN"/>
        </w:rPr>
        <w:t>但不限于</w:t>
      </w:r>
      <w:r>
        <w:rPr>
          <w:rFonts w:hint="eastAsia" w:ascii="仿宋" w:hAnsi="仿宋" w:eastAsia="仿宋" w:cs="仿宋"/>
          <w:color w:val="auto"/>
          <w:sz w:val="24"/>
        </w:rPr>
        <w:t>以下部分（按以下顺序装订）：</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投标书</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投标人基本情况表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投标一览表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总体方案说明</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详细报价清单</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技术规格差异表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法定代表人证明书</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法定代表人授权委托书</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拟派本项目负责人及主要人员情况表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2019年</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月</w:t>
      </w:r>
      <w:r>
        <w:rPr>
          <w:rFonts w:hint="eastAsia" w:ascii="仿宋" w:hAnsi="仿宋" w:eastAsia="仿宋" w:cs="仿宋"/>
          <w:color w:val="auto"/>
          <w:sz w:val="24"/>
        </w:rPr>
        <w:t>至投标文件递交截止日前销售同类产品情况一览表</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投标服务方案</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投标人资格文件声明函</w:t>
      </w:r>
    </w:p>
    <w:p>
      <w:pPr>
        <w:numPr>
          <w:ilvl w:val="0"/>
          <w:numId w:val="6"/>
        </w:numPr>
        <w:tabs>
          <w:tab w:val="left" w:pos="1155"/>
          <w:tab w:val="clear" w:pos="720"/>
        </w:tabs>
        <w:spacing w:line="360" w:lineRule="auto"/>
        <w:ind w:left="1050" w:hanging="630"/>
        <w:rPr>
          <w:rFonts w:hint="eastAsia" w:ascii="仿宋" w:hAnsi="仿宋" w:eastAsia="仿宋" w:cs="仿宋"/>
          <w:color w:val="auto"/>
          <w:sz w:val="24"/>
        </w:rPr>
      </w:pPr>
      <w:r>
        <w:rPr>
          <w:rFonts w:hint="eastAsia" w:ascii="仿宋" w:hAnsi="仿宋" w:eastAsia="仿宋" w:cs="仿宋"/>
          <w:color w:val="auto"/>
          <w:sz w:val="24"/>
        </w:rPr>
        <w:t>资格文件</w:t>
      </w:r>
    </w:p>
    <w:p>
      <w:pPr>
        <w:numPr>
          <w:ilvl w:val="2"/>
          <w:numId w:val="5"/>
        </w:numPr>
        <w:tabs>
          <w:tab w:val="left" w:pos="735"/>
          <w:tab w:val="left" w:pos="1254"/>
        </w:tabs>
        <w:spacing w:line="360" w:lineRule="auto"/>
        <w:ind w:left="735" w:hanging="735"/>
        <w:rPr>
          <w:rFonts w:hint="eastAsia" w:ascii="仿宋" w:hAnsi="仿宋" w:eastAsia="仿宋" w:cs="仿宋"/>
          <w:b/>
          <w:color w:val="auto"/>
          <w:sz w:val="24"/>
        </w:rPr>
      </w:pPr>
      <w:r>
        <w:rPr>
          <w:rFonts w:hint="eastAsia" w:ascii="仿宋" w:hAnsi="仿宋" w:eastAsia="仿宋" w:cs="仿宋"/>
          <w:b/>
          <w:color w:val="auto"/>
          <w:sz w:val="24"/>
        </w:rPr>
        <w:t>投标人必须编制完整的投标文件，按上述顺序编制目录及页码并装订成册，内容较多时可以分册装订。各册独立装订的投标文件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投标文件应装订牢固不可拆卸（如：胶订），如因装订不牢固导致的任何损失由投标人承担。</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投标人必须自行承担因其投标文件的任何错漏而导致的一切后果。</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投标文件的修改和撤回</w:t>
      </w:r>
    </w:p>
    <w:p>
      <w:pPr>
        <w:spacing w:line="360" w:lineRule="auto"/>
        <w:ind w:left="154" w:firstLine="444" w:firstLineChars="185"/>
        <w:rPr>
          <w:rFonts w:hint="eastAsia" w:ascii="仿宋" w:hAnsi="仿宋" w:eastAsia="仿宋" w:cs="仿宋"/>
          <w:color w:val="auto"/>
          <w:sz w:val="24"/>
        </w:rPr>
      </w:pPr>
      <w:r>
        <w:rPr>
          <w:rFonts w:hint="eastAsia" w:ascii="仿宋" w:hAnsi="仿宋" w:eastAsia="仿宋" w:cs="仿宋"/>
          <w:color w:val="auto"/>
          <w:sz w:val="24"/>
        </w:rPr>
        <w:t>在投标截止时间前投标人可以修改和</w:t>
      </w:r>
      <w:r>
        <w:rPr>
          <w:rFonts w:hint="eastAsia" w:ascii="仿宋" w:hAnsi="仿宋" w:eastAsia="仿宋" w:cs="仿宋"/>
          <w:bCs/>
          <w:color w:val="auto"/>
          <w:sz w:val="24"/>
        </w:rPr>
        <w:t>撤回</w:t>
      </w:r>
      <w:r>
        <w:rPr>
          <w:rFonts w:hint="eastAsia" w:ascii="仿宋" w:hAnsi="仿宋" w:eastAsia="仿宋" w:cs="仿宋"/>
          <w:color w:val="auto"/>
          <w:sz w:val="24"/>
        </w:rPr>
        <w:t>其投标文件，但必须以书面形式通知招标代理机构，投标截止后不得修改和</w:t>
      </w:r>
      <w:r>
        <w:rPr>
          <w:rFonts w:hint="eastAsia" w:ascii="仿宋" w:hAnsi="仿宋" w:eastAsia="仿宋" w:cs="仿宋"/>
          <w:bCs/>
          <w:color w:val="auto"/>
          <w:sz w:val="24"/>
        </w:rPr>
        <w:t>撤回</w:t>
      </w:r>
      <w:r>
        <w:rPr>
          <w:rFonts w:hint="eastAsia" w:ascii="仿宋" w:hAnsi="仿宋" w:eastAsia="仿宋" w:cs="仿宋"/>
          <w:color w:val="auto"/>
          <w:sz w:val="24"/>
        </w:rPr>
        <w:t>其投标文件。</w:t>
      </w:r>
    </w:p>
    <w:p>
      <w:pPr>
        <w:pStyle w:val="5"/>
        <w:keepLines/>
        <w:numPr>
          <w:ilvl w:val="0"/>
          <w:numId w:val="5"/>
        </w:numPr>
        <w:spacing w:before="260" w:after="260" w:line="400" w:lineRule="exact"/>
        <w:rPr>
          <w:rFonts w:hint="eastAsia" w:ascii="仿宋" w:hAnsi="仿宋" w:eastAsia="仿宋" w:cs="仿宋"/>
          <w:color w:val="auto"/>
          <w:sz w:val="28"/>
        </w:rPr>
      </w:pPr>
      <w:bookmarkStart w:id="65" w:name="_Toc226966683"/>
      <w:bookmarkStart w:id="66" w:name="_Toc272350609"/>
      <w:bookmarkStart w:id="67" w:name="_Toc245203883"/>
      <w:bookmarkStart w:id="68" w:name="_Toc243743356"/>
      <w:bookmarkStart w:id="69" w:name="_Toc191353017"/>
      <w:bookmarkStart w:id="70" w:name="_Toc243923370"/>
      <w:bookmarkStart w:id="71" w:name="_Toc226521695"/>
      <w:bookmarkStart w:id="72" w:name="_Toc15393"/>
      <w:bookmarkStart w:id="73" w:name="_Toc277758488"/>
      <w:bookmarkStart w:id="74" w:name="_Toc271105679"/>
      <w:bookmarkStart w:id="75" w:name="_Toc209258275"/>
      <w:bookmarkStart w:id="76" w:name="_Toc185747581"/>
      <w:bookmarkStart w:id="77" w:name="_Toc279046868"/>
      <w:bookmarkStart w:id="78" w:name="_Toc278958161"/>
      <w:bookmarkStart w:id="79" w:name="_Toc61327402"/>
      <w:bookmarkStart w:id="80" w:name="_Toc130697187"/>
      <w:bookmarkStart w:id="81" w:name="_Toc153615292"/>
      <w:bookmarkStart w:id="82" w:name="_Toc130695595"/>
      <w:r>
        <w:rPr>
          <w:rFonts w:hint="eastAsia" w:ascii="仿宋" w:hAnsi="仿宋" w:eastAsia="仿宋" w:cs="仿宋"/>
          <w:color w:val="auto"/>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rPr>
          <w:rFonts w:hint="eastAsia" w:ascii="仿宋" w:hAnsi="仿宋" w:eastAsia="仿宋" w:cs="仿宋"/>
          <w:color w:val="auto"/>
        </w:rPr>
      </w:pP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color w:val="auto"/>
        </w:rPr>
      </w:pPr>
      <w:r>
        <w:rPr>
          <w:rFonts w:hint="eastAsia" w:ascii="仿宋" w:hAnsi="仿宋" w:eastAsia="仿宋" w:cs="仿宋"/>
          <w:b/>
          <w:bCs/>
          <w:color w:val="auto"/>
          <w:sz w:val="24"/>
        </w:rPr>
        <w:t>投标细则</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全部投标文件应一式</w:t>
      </w:r>
      <w:r>
        <w:rPr>
          <w:rFonts w:hint="eastAsia" w:ascii="仿宋" w:hAnsi="仿宋" w:eastAsia="仿宋" w:cs="仿宋"/>
          <w:color w:val="auto"/>
          <w:sz w:val="24"/>
          <w:lang w:val="en-US" w:eastAsia="zh-CN"/>
        </w:rPr>
        <w:t>2</w:t>
      </w:r>
      <w:r>
        <w:rPr>
          <w:rFonts w:hint="eastAsia" w:ascii="仿宋" w:hAnsi="仿宋" w:eastAsia="仿宋" w:cs="仿宋"/>
          <w:color w:val="auto"/>
          <w:sz w:val="24"/>
        </w:rPr>
        <w:t>份，</w:t>
      </w:r>
      <w:r>
        <w:rPr>
          <w:rFonts w:hint="eastAsia" w:ascii="仿宋" w:hAnsi="仿宋" w:eastAsia="仿宋" w:cs="仿宋"/>
          <w:color w:val="auto"/>
          <w:sz w:val="24"/>
          <w:lang w:val="en-US" w:eastAsia="zh-CN"/>
        </w:rPr>
        <w:t>允许</w:t>
      </w:r>
      <w:r>
        <w:rPr>
          <w:rFonts w:hint="eastAsia" w:ascii="仿宋" w:hAnsi="仿宋" w:eastAsia="仿宋" w:cs="仿宋"/>
          <w:color w:val="auto"/>
          <w:sz w:val="24"/>
          <w:lang w:eastAsia="zh-CN"/>
        </w:rPr>
        <w:t>双面打印。</w:t>
      </w:r>
      <w:r>
        <w:rPr>
          <w:rFonts w:hint="eastAsia" w:ascii="仿宋" w:hAnsi="仿宋" w:eastAsia="仿宋" w:cs="仿宋"/>
          <w:color w:val="auto"/>
          <w:sz w:val="24"/>
        </w:rPr>
        <w:t>电子投标文件一份（U盘）所有投标文件应用</w:t>
      </w:r>
      <w:r>
        <w:rPr>
          <w:rFonts w:hint="eastAsia" w:ascii="仿宋" w:hAnsi="仿宋" w:eastAsia="仿宋" w:cs="仿宋"/>
          <w:color w:val="auto"/>
          <w:sz w:val="24"/>
          <w:u w:val="single"/>
        </w:rPr>
        <w:t>A4</w:t>
      </w:r>
      <w:r>
        <w:rPr>
          <w:rFonts w:hint="eastAsia" w:ascii="仿宋" w:hAnsi="仿宋" w:eastAsia="仿宋" w:cs="仿宋"/>
          <w:color w:val="auto"/>
          <w:sz w:val="24"/>
        </w:rPr>
        <w:t>规格纸打印，并</w:t>
      </w:r>
      <w:r>
        <w:rPr>
          <w:rFonts w:hint="eastAsia" w:ascii="仿宋" w:hAnsi="仿宋" w:eastAsia="仿宋" w:cs="仿宋"/>
          <w:color w:val="auto"/>
          <w:sz w:val="24"/>
          <w:lang w:eastAsia="zh-CN"/>
        </w:rPr>
        <w:t>胶装</w:t>
      </w:r>
      <w:r>
        <w:rPr>
          <w:rFonts w:hint="eastAsia" w:ascii="仿宋" w:hAnsi="仿宋" w:eastAsia="仿宋" w:cs="仿宋"/>
          <w:color w:val="auto"/>
          <w:sz w:val="24"/>
        </w:rPr>
        <w:t>完好。其中正本</w:t>
      </w:r>
      <w:r>
        <w:rPr>
          <w:rFonts w:hint="eastAsia" w:ascii="仿宋" w:hAnsi="仿宋" w:eastAsia="仿宋" w:cs="仿宋"/>
          <w:b/>
          <w:color w:val="auto"/>
          <w:sz w:val="24"/>
          <w:u w:val="single"/>
        </w:rPr>
        <w:t xml:space="preserve"> 1</w:t>
      </w:r>
      <w:r>
        <w:rPr>
          <w:rFonts w:hint="eastAsia" w:ascii="仿宋" w:hAnsi="仿宋" w:eastAsia="仿宋" w:cs="仿宋"/>
          <w:color w:val="auto"/>
          <w:sz w:val="24"/>
        </w:rPr>
        <w:t>份</w:t>
      </w:r>
      <w:r>
        <w:rPr>
          <w:rFonts w:hint="eastAsia" w:ascii="仿宋" w:hAnsi="仿宋" w:eastAsia="仿宋" w:cs="仿宋"/>
          <w:color w:val="auto"/>
          <w:sz w:val="24"/>
          <w:lang w:eastAsia="zh-CN"/>
        </w:rPr>
        <w:t>，</w:t>
      </w:r>
      <w:r>
        <w:rPr>
          <w:rFonts w:hint="eastAsia" w:ascii="仿宋" w:hAnsi="仿宋" w:eastAsia="仿宋" w:cs="仿宋"/>
          <w:color w:val="auto"/>
          <w:sz w:val="24"/>
        </w:rPr>
        <w:t>副本</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rPr>
        <w:t>份，并注明“正本”和“副本”。如果正本与副本不符，应以正本为准。（</w:t>
      </w:r>
      <w:r>
        <w:rPr>
          <w:rFonts w:hint="eastAsia" w:ascii="仿宋" w:hAnsi="仿宋" w:eastAsia="仿宋" w:cs="仿宋"/>
          <w:b/>
          <w:bCs/>
          <w:color w:val="auto"/>
          <w:sz w:val="24"/>
          <w:shd w:val="clear" w:color="FFFFFF" w:fill="D9D9D9"/>
          <w:lang w:val="en-US" w:eastAsia="zh-CN"/>
        </w:rPr>
        <w:t>正本</w:t>
      </w:r>
      <w:r>
        <w:rPr>
          <w:rFonts w:hint="eastAsia" w:ascii="仿宋" w:hAnsi="仿宋" w:eastAsia="仿宋" w:cs="仿宋"/>
          <w:b/>
          <w:bCs/>
          <w:color w:val="auto"/>
          <w:sz w:val="24"/>
          <w:shd w:val="clear" w:color="FFFFFF" w:fill="D9D9D9"/>
        </w:rPr>
        <w:t>纸质投标文件</w:t>
      </w:r>
      <w:r>
        <w:rPr>
          <w:rFonts w:hint="eastAsia" w:ascii="仿宋" w:hAnsi="仿宋" w:eastAsia="仿宋" w:cs="仿宋"/>
          <w:b/>
          <w:bCs/>
          <w:color w:val="auto"/>
          <w:sz w:val="24"/>
          <w:shd w:val="clear" w:color="FFFFFF" w:fill="D9D9D9"/>
          <w:lang w:eastAsia="zh-CN"/>
        </w:rPr>
        <w:t>单独密封</w:t>
      </w:r>
      <w:r>
        <w:rPr>
          <w:rFonts w:hint="eastAsia" w:ascii="仿宋" w:hAnsi="仿宋" w:eastAsia="仿宋" w:cs="仿宋"/>
          <w:b/>
          <w:bCs/>
          <w:color w:val="auto"/>
          <w:sz w:val="24"/>
          <w:shd w:val="clear" w:color="FFFFFF" w:fill="D9D9D9"/>
          <w:lang w:val="en-US" w:eastAsia="zh-CN"/>
        </w:rPr>
        <w:t>一份</w:t>
      </w:r>
      <w:r>
        <w:rPr>
          <w:rFonts w:hint="eastAsia" w:ascii="仿宋" w:hAnsi="仿宋" w:eastAsia="仿宋" w:cs="仿宋"/>
          <w:b/>
          <w:bCs/>
          <w:color w:val="auto"/>
          <w:sz w:val="24"/>
          <w:shd w:val="clear" w:color="FFFFFF" w:fill="D9D9D9"/>
        </w:rPr>
        <w:t>，副本纸质投标文件</w:t>
      </w:r>
      <w:r>
        <w:rPr>
          <w:rFonts w:hint="eastAsia" w:ascii="仿宋" w:hAnsi="仿宋" w:eastAsia="仿宋" w:cs="仿宋"/>
          <w:b/>
          <w:bCs/>
          <w:color w:val="auto"/>
          <w:sz w:val="24"/>
          <w:shd w:val="clear" w:color="FFFFFF" w:fill="D9D9D9"/>
          <w:lang w:eastAsia="zh-CN"/>
        </w:rPr>
        <w:t>单独密封</w:t>
      </w:r>
      <w:r>
        <w:rPr>
          <w:rFonts w:hint="eastAsia" w:ascii="仿宋" w:hAnsi="仿宋" w:eastAsia="仿宋" w:cs="仿宋"/>
          <w:b/>
          <w:bCs/>
          <w:color w:val="auto"/>
          <w:sz w:val="24"/>
          <w:shd w:val="clear" w:color="FFFFFF" w:fill="D9D9D9"/>
          <w:lang w:val="en-US" w:eastAsia="zh-CN"/>
        </w:rPr>
        <w:t>一份，</w:t>
      </w:r>
      <w:r>
        <w:rPr>
          <w:rFonts w:hint="eastAsia" w:ascii="仿宋" w:hAnsi="仿宋" w:eastAsia="仿宋" w:cs="仿宋"/>
          <w:b/>
          <w:bCs/>
          <w:color w:val="auto"/>
          <w:sz w:val="24"/>
          <w:shd w:val="clear" w:color="FFFFFF" w:fill="D9D9D9"/>
        </w:rPr>
        <w:t>投标一览表</w:t>
      </w:r>
      <w:r>
        <w:rPr>
          <w:rFonts w:hint="eastAsia" w:ascii="仿宋" w:hAnsi="仿宋" w:eastAsia="仿宋" w:cs="仿宋"/>
          <w:b/>
          <w:bCs/>
          <w:color w:val="auto"/>
          <w:sz w:val="24"/>
          <w:shd w:val="clear" w:color="FFFFFF" w:fill="D9D9D9"/>
          <w:lang w:eastAsia="zh-CN"/>
        </w:rPr>
        <w:t>（单独密封一份，并且在标书中装订一份）</w:t>
      </w:r>
      <w:r>
        <w:rPr>
          <w:rFonts w:hint="eastAsia" w:ascii="仿宋" w:hAnsi="仿宋" w:eastAsia="仿宋" w:cs="仿宋"/>
          <w:b/>
          <w:bCs/>
          <w:color w:val="auto"/>
          <w:sz w:val="24"/>
          <w:shd w:val="clear" w:color="FFFFFF" w:fill="D9D9D9"/>
        </w:rPr>
        <w:t>及投标文件电子文档</w:t>
      </w:r>
      <w:r>
        <w:rPr>
          <w:rFonts w:hint="eastAsia" w:ascii="仿宋" w:hAnsi="仿宋" w:eastAsia="仿宋" w:cs="仿宋"/>
          <w:b/>
          <w:bCs/>
          <w:color w:val="auto"/>
          <w:sz w:val="24"/>
          <w:shd w:val="clear" w:color="FFFFFF" w:fill="D9D9D9"/>
          <w:lang w:eastAsia="zh-CN"/>
        </w:rPr>
        <w:t xml:space="preserve"> </w:t>
      </w:r>
      <w:r>
        <w:rPr>
          <w:rFonts w:hint="eastAsia" w:ascii="仿宋" w:hAnsi="仿宋" w:eastAsia="仿宋" w:cs="仿宋"/>
          <w:b/>
          <w:bCs/>
          <w:color w:val="auto"/>
          <w:sz w:val="24"/>
          <w:u w:val="single"/>
          <w:shd w:val="clear" w:color="FFFFFF" w:fill="D9D9D9"/>
          <w:lang w:eastAsia="zh-CN"/>
        </w:rPr>
        <w:t>1</w:t>
      </w:r>
      <w:r>
        <w:rPr>
          <w:rFonts w:hint="eastAsia" w:ascii="仿宋" w:hAnsi="仿宋" w:eastAsia="仿宋" w:cs="仿宋"/>
          <w:b/>
          <w:bCs/>
          <w:color w:val="auto"/>
          <w:sz w:val="24"/>
          <w:shd w:val="clear" w:color="FFFFFF" w:fill="D9D9D9"/>
          <w:lang w:eastAsia="zh-CN"/>
        </w:rPr>
        <w:t>份单独密封一份</w:t>
      </w:r>
      <w:r>
        <w:rPr>
          <w:rFonts w:hint="eastAsia" w:ascii="仿宋" w:hAnsi="仿宋" w:eastAsia="仿宋" w:cs="仿宋"/>
          <w:b/>
          <w:bCs/>
          <w:color w:val="auto"/>
          <w:sz w:val="24"/>
        </w:rPr>
        <w:t>，电子文件要求U盘，WORD格式，不留密码，无病毒，不压缩，内容应与投标人打印产生的纸质投标文件内容一致，如有不同，以纸质投标文件为准</w:t>
      </w:r>
      <w:r>
        <w:rPr>
          <w:rFonts w:hint="eastAsia" w:ascii="仿宋" w:hAnsi="仿宋" w:eastAsia="仿宋" w:cs="仿宋"/>
          <w:color w:val="auto"/>
          <w:sz w:val="24"/>
        </w:rPr>
        <w:t>。）投标文件应由投标人的合法授权代表正式签署，任何更改（如果有的话）应由原签署人签字。所有不完整的投标将被拒绝。投标人的全部投标文件正本均不退回，中标人的所有投标文件均不退回。投标人在投标过程中产生的一切费用，无论投标结果如何，均由投标人承担。</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投标人应对投标</w:t>
      </w:r>
      <w:r>
        <w:rPr>
          <w:rFonts w:hint="eastAsia" w:ascii="仿宋" w:hAnsi="仿宋" w:eastAsia="仿宋" w:cs="仿宋"/>
          <w:color w:val="auto"/>
          <w:sz w:val="24"/>
          <w:lang w:eastAsia="zh-CN"/>
        </w:rPr>
        <w:t>设备（货物）</w:t>
      </w:r>
      <w:r>
        <w:rPr>
          <w:rFonts w:hint="eastAsia" w:ascii="仿宋" w:hAnsi="仿宋" w:eastAsia="仿宋" w:cs="仿宋"/>
          <w:color w:val="auto"/>
          <w:sz w:val="24"/>
        </w:rPr>
        <w:t>提供完整的详细的技术说明，如投标人对指定的技术要求建议做任何改动，应在投标文件中清楚地注明。</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
          <w:bCs/>
          <w:color w:val="auto"/>
          <w:sz w:val="24"/>
        </w:rPr>
        <w:t>资格文件视为投标文件不可分割的一部份</w:t>
      </w:r>
      <w:r>
        <w:rPr>
          <w:rFonts w:hint="eastAsia" w:ascii="仿宋" w:hAnsi="仿宋" w:eastAsia="仿宋" w:cs="仿宋"/>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所有投标文件应在投标截止时间前送达投标、开标地点，并交予招标代理机构专责人员，任何迟于这个时间的投标将被拒绝。</w:t>
      </w:r>
    </w:p>
    <w:p>
      <w:pPr>
        <w:numPr>
          <w:ilvl w:val="2"/>
          <w:numId w:val="5"/>
        </w:numPr>
        <w:tabs>
          <w:tab w:val="left" w:pos="735"/>
          <w:tab w:val="left" w:pos="1254"/>
        </w:tabs>
        <w:spacing w:line="360" w:lineRule="auto"/>
        <w:ind w:left="735" w:hanging="735"/>
        <w:rPr>
          <w:rFonts w:hint="eastAsia" w:ascii="仿宋" w:hAnsi="仿宋" w:eastAsia="仿宋" w:cs="仿宋"/>
          <w:color w:val="auto"/>
        </w:rPr>
      </w:pPr>
      <w:r>
        <w:rPr>
          <w:rFonts w:hint="eastAsia" w:ascii="仿宋" w:hAnsi="仿宋" w:eastAsia="仿宋" w:cs="仿宋"/>
          <w:b/>
          <w:bCs/>
          <w:color w:val="auto"/>
          <w:sz w:val="24"/>
        </w:rPr>
        <w:t>所有投标文件必须封入密封完好的信封或包装，封口加盖投标单位公章。投标文件的正本和副本应分别封装</w:t>
      </w:r>
      <w:r>
        <w:rPr>
          <w:rFonts w:hint="eastAsia" w:ascii="仿宋" w:hAnsi="仿宋" w:eastAsia="仿宋" w:cs="仿宋"/>
          <w:color w:val="auto"/>
          <w:sz w:val="24"/>
        </w:rPr>
        <w:t>，并在每一信封或包装的封面上写明：</w:t>
      </w:r>
    </w:p>
    <w:tbl>
      <w:tblPr>
        <w:tblStyle w:val="22"/>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noWrap w:val="0"/>
            <w:vAlign w:val="top"/>
          </w:tcPr>
          <w:p>
            <w:pPr>
              <w:spacing w:line="360" w:lineRule="auto"/>
              <w:ind w:left="450"/>
              <w:jc w:val="right"/>
              <w:rPr>
                <w:rFonts w:hint="eastAsia" w:ascii="仿宋" w:hAnsi="仿宋" w:eastAsia="仿宋" w:cs="仿宋"/>
                <w:b/>
                <w:color w:val="auto"/>
                <w:sz w:val="24"/>
                <w:lang w:val="en-US" w:eastAsia="zh-CN"/>
              </w:rPr>
            </w:pPr>
            <w:r>
              <w:rPr>
                <w:rFonts w:hint="eastAsia" w:ascii="仿宋" w:hAnsi="仿宋" w:eastAsia="仿宋" w:cs="仿宋"/>
                <w:b/>
                <w:color w:val="auto"/>
                <w:sz w:val="24"/>
              </w:rPr>
              <w:t>正本/副本/</w:t>
            </w:r>
            <w:r>
              <w:rPr>
                <w:rFonts w:hint="eastAsia" w:ascii="仿宋" w:hAnsi="仿宋" w:eastAsia="仿宋" w:cs="仿宋"/>
                <w:b/>
                <w:color w:val="auto"/>
                <w:sz w:val="24"/>
                <w:lang w:val="en-US" w:eastAsia="zh-CN"/>
              </w:rPr>
              <w:t>投标一览表</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收件人名称：</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w:t>
            </w:r>
          </w:p>
          <w:p>
            <w:pPr>
              <w:spacing w:line="420" w:lineRule="exact"/>
              <w:ind w:left="448"/>
              <w:rPr>
                <w:rFonts w:hint="eastAsia" w:ascii="仿宋" w:hAnsi="仿宋" w:eastAsia="仿宋" w:cs="仿宋"/>
                <w:color w:val="auto"/>
                <w:sz w:val="24"/>
                <w:lang w:eastAsia="zh-CN"/>
              </w:rPr>
            </w:pPr>
            <w:r>
              <w:rPr>
                <w:rFonts w:hint="eastAsia" w:ascii="仿宋" w:hAnsi="仿宋" w:eastAsia="仿宋" w:cs="仿宋"/>
                <w:color w:val="auto"/>
                <w:sz w:val="24"/>
              </w:rPr>
              <w:t>招标编号：HY</w:t>
            </w:r>
            <w:r>
              <w:rPr>
                <w:rFonts w:hint="eastAsia" w:ascii="仿宋" w:hAnsi="仿宋" w:eastAsia="仿宋" w:cs="仿宋"/>
                <w:color w:val="auto"/>
                <w:sz w:val="24"/>
                <w:lang w:val="en-US" w:eastAsia="zh-CN"/>
              </w:rPr>
              <w:t>YL</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号</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XX</w:t>
            </w:r>
            <w:r>
              <w:rPr>
                <w:rFonts w:hint="eastAsia" w:ascii="仿宋" w:hAnsi="仿宋" w:eastAsia="仿宋" w:cs="仿宋"/>
                <w:color w:val="auto"/>
                <w:sz w:val="24"/>
              </w:rPr>
              <w:t>项目</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投标人名称：</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投标人地址：</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联系人：</w:t>
            </w:r>
          </w:p>
          <w:p>
            <w:pPr>
              <w:spacing w:line="420" w:lineRule="exact"/>
              <w:ind w:left="448"/>
              <w:rPr>
                <w:rFonts w:hint="eastAsia" w:ascii="仿宋" w:hAnsi="仿宋" w:eastAsia="仿宋" w:cs="仿宋"/>
                <w:color w:val="auto"/>
                <w:sz w:val="24"/>
              </w:rPr>
            </w:pPr>
            <w:r>
              <w:rPr>
                <w:rFonts w:hint="eastAsia" w:ascii="仿宋" w:hAnsi="仿宋" w:eastAsia="仿宋" w:cs="仿宋"/>
                <w:color w:val="auto"/>
                <w:sz w:val="24"/>
              </w:rPr>
              <w:t>联系电话：</w:t>
            </w:r>
          </w:p>
          <w:p>
            <w:pPr>
              <w:spacing w:line="420" w:lineRule="exact"/>
              <w:ind w:left="448"/>
              <w:rPr>
                <w:rFonts w:hint="eastAsia" w:ascii="仿宋" w:hAnsi="仿宋" w:eastAsia="仿宋" w:cs="仿宋"/>
                <w:b/>
                <w:color w:val="auto"/>
                <w:sz w:val="24"/>
              </w:rPr>
            </w:pPr>
            <w:r>
              <w:rPr>
                <w:rFonts w:hint="eastAsia" w:ascii="仿宋" w:hAnsi="仿宋" w:eastAsia="仿宋" w:cs="仿宋"/>
                <w:b/>
                <w:color w:val="auto"/>
                <w:sz w:val="24"/>
              </w:rPr>
              <w:t>于“     年   月   日   时  分”之前不准启封（即投标截止时间）</w:t>
            </w:r>
          </w:p>
        </w:tc>
      </w:tr>
    </w:tbl>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招标代理机构对不可抗力事件造成的投标文件的损坏、丢失不承担任何责任。</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color w:val="auto"/>
          <w:sz w:val="24"/>
        </w:rPr>
        <w:t>招标代理机构不接受电报、电话、电传、传真投标。</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投标有效期</w:t>
      </w:r>
    </w:p>
    <w:p>
      <w:pPr>
        <w:spacing w:line="360" w:lineRule="auto"/>
        <w:ind w:firstLine="597" w:firstLineChars="249"/>
        <w:rPr>
          <w:rFonts w:hint="eastAsia" w:ascii="仿宋" w:hAnsi="仿宋" w:eastAsia="仿宋" w:cs="仿宋"/>
          <w:color w:val="auto"/>
          <w:sz w:val="24"/>
        </w:rPr>
      </w:pPr>
      <w:r>
        <w:rPr>
          <w:rFonts w:hint="eastAsia" w:ascii="仿宋" w:hAnsi="仿宋" w:eastAsia="仿宋" w:cs="仿宋"/>
          <w:color w:val="auto"/>
          <w:sz w:val="24"/>
        </w:rPr>
        <w:t>从投标截止日起，投标有效期为</w:t>
      </w:r>
      <w:r>
        <w:rPr>
          <w:rFonts w:hint="eastAsia" w:ascii="仿宋" w:hAnsi="仿宋" w:eastAsia="仿宋" w:cs="仿宋"/>
          <w:color w:val="auto"/>
          <w:sz w:val="24"/>
          <w:lang w:val="en-US" w:eastAsia="zh-CN"/>
        </w:rPr>
        <w:t>6</w:t>
      </w:r>
      <w:r>
        <w:rPr>
          <w:rFonts w:hint="eastAsia" w:ascii="仿宋" w:hAnsi="仿宋" w:eastAsia="仿宋" w:cs="仿宋"/>
          <w:color w:val="auto"/>
          <w:sz w:val="24"/>
        </w:rPr>
        <w:t>0天（日历天）。在特殊情况下，招标代理机构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5"/>
        <w:keepLines/>
        <w:numPr>
          <w:ilvl w:val="0"/>
          <w:numId w:val="5"/>
        </w:numPr>
        <w:spacing w:before="260" w:after="260" w:line="400" w:lineRule="exact"/>
        <w:rPr>
          <w:rFonts w:hint="eastAsia" w:ascii="仿宋" w:hAnsi="仿宋" w:eastAsia="仿宋" w:cs="仿宋"/>
          <w:color w:val="auto"/>
          <w:sz w:val="28"/>
        </w:rPr>
      </w:pPr>
      <w:bookmarkStart w:id="83" w:name="_Toc209258276"/>
      <w:bookmarkStart w:id="84" w:name="_Toc243743357"/>
      <w:bookmarkStart w:id="85" w:name="_Toc226521696"/>
      <w:bookmarkStart w:id="86" w:name="_Toc243923371"/>
      <w:bookmarkStart w:id="87" w:name="_Toc191353018"/>
      <w:bookmarkStart w:id="88" w:name="_Toc279046869"/>
      <w:bookmarkStart w:id="89" w:name="_Toc5409"/>
      <w:bookmarkStart w:id="90" w:name="_Toc226966684"/>
      <w:bookmarkStart w:id="91" w:name="_Toc277758489"/>
      <w:bookmarkStart w:id="92" w:name="_Toc278958162"/>
      <w:bookmarkStart w:id="93" w:name="_Toc245203885"/>
      <w:bookmarkStart w:id="94" w:name="_Toc271105681"/>
      <w:bookmarkStart w:id="95" w:name="_Toc185747582"/>
      <w:bookmarkStart w:id="96" w:name="_Toc272350611"/>
      <w:r>
        <w:rPr>
          <w:rFonts w:hint="eastAsia" w:ascii="仿宋" w:hAnsi="仿宋" w:eastAsia="仿宋" w:cs="仿宋"/>
          <w:color w:val="auto"/>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开标</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开标在</w:t>
      </w:r>
      <w:r>
        <w:rPr>
          <w:rFonts w:hint="eastAsia" w:ascii="仿宋" w:hAnsi="仿宋" w:eastAsia="仿宋" w:cs="仿宋"/>
          <w:b w:val="0"/>
          <w:bCs/>
          <w:color w:val="auto"/>
          <w:sz w:val="24"/>
          <w:lang w:eastAsia="zh-CN"/>
        </w:rPr>
        <w:t>磋商</w:t>
      </w:r>
      <w:r>
        <w:rPr>
          <w:rFonts w:hint="eastAsia" w:ascii="仿宋" w:hAnsi="仿宋" w:eastAsia="仿宋" w:cs="仿宋"/>
          <w:b w:val="0"/>
          <w:bCs/>
          <w:color w:val="auto"/>
          <w:sz w:val="24"/>
        </w:rPr>
        <w:t>文件确定的投标文件递交截止时间的同一时间公开进行，开标地点为</w:t>
      </w:r>
      <w:r>
        <w:rPr>
          <w:rFonts w:hint="eastAsia" w:ascii="仿宋" w:hAnsi="仿宋" w:eastAsia="仿宋" w:cs="仿宋"/>
          <w:b w:val="0"/>
          <w:bCs/>
          <w:color w:val="auto"/>
          <w:sz w:val="24"/>
          <w:lang w:eastAsia="zh-CN"/>
        </w:rPr>
        <w:t>磋商</w:t>
      </w:r>
      <w:r>
        <w:rPr>
          <w:rFonts w:hint="eastAsia" w:ascii="仿宋" w:hAnsi="仿宋" w:eastAsia="仿宋" w:cs="仿宋"/>
          <w:b w:val="0"/>
          <w:bCs/>
          <w:color w:val="auto"/>
          <w:sz w:val="24"/>
        </w:rPr>
        <w:t>文件预先确定的地点。</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开标由招标代理机构主持，邀请所有投标人参加。</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投标人代表必须持本人身份证参加开标会，如投标人代表非法定代表人，还应持法定代表人授权书。</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开标时，由投标人或者其推选的代表检查投标文件的密封情况，或由采购人委托的公证机构检查并公证。经确认无误后，进入评标环节。</w:t>
      </w:r>
    </w:p>
    <w:p>
      <w:pPr>
        <w:numPr>
          <w:ilvl w:val="2"/>
          <w:numId w:val="5"/>
        </w:numPr>
        <w:tabs>
          <w:tab w:val="left" w:pos="735"/>
          <w:tab w:val="left" w:pos="1254"/>
        </w:tabs>
        <w:spacing w:line="360" w:lineRule="auto"/>
        <w:ind w:left="735" w:hanging="735"/>
        <w:rPr>
          <w:rFonts w:hint="eastAsia" w:ascii="仿宋" w:hAnsi="仿宋" w:eastAsia="仿宋" w:cs="仿宋"/>
          <w:b w:val="0"/>
          <w:bCs/>
          <w:color w:val="auto"/>
          <w:sz w:val="24"/>
        </w:rPr>
      </w:pPr>
      <w:r>
        <w:rPr>
          <w:rFonts w:hint="eastAsia" w:ascii="仿宋" w:hAnsi="仿宋" w:eastAsia="仿宋" w:cs="仿宋"/>
          <w:b w:val="0"/>
          <w:bCs/>
          <w:color w:val="auto"/>
          <w:sz w:val="24"/>
        </w:rPr>
        <w:t>在</w:t>
      </w:r>
      <w:r>
        <w:rPr>
          <w:rFonts w:hint="eastAsia" w:ascii="仿宋" w:hAnsi="仿宋" w:eastAsia="仿宋" w:cs="仿宋"/>
          <w:b w:val="0"/>
          <w:bCs/>
          <w:color w:val="auto"/>
          <w:sz w:val="24"/>
          <w:lang w:eastAsia="zh-CN"/>
        </w:rPr>
        <w:t>磋商</w:t>
      </w:r>
      <w:r>
        <w:rPr>
          <w:rFonts w:hint="eastAsia" w:ascii="仿宋" w:hAnsi="仿宋" w:eastAsia="仿宋" w:cs="仿宋"/>
          <w:b w:val="0"/>
          <w:bCs/>
          <w:color w:val="auto"/>
          <w:sz w:val="24"/>
        </w:rPr>
        <w:t>文件要求提交投标文件的截止时间前收到的所有经检查合格的投标文件少于三家时，则招标失败，招标代理机构将重新招标。</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评标</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评标委员会</w:t>
      </w:r>
    </w:p>
    <w:p>
      <w:pPr>
        <w:numPr>
          <w:ilvl w:val="0"/>
          <w:numId w:val="7"/>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依法组建评标委员会。评标委员会由</w:t>
      </w:r>
      <w:r>
        <w:rPr>
          <w:rFonts w:hint="eastAsia" w:ascii="仿宋" w:hAnsi="仿宋" w:eastAsia="仿宋" w:cs="仿宋"/>
          <w:b/>
          <w:bCs/>
          <w:color w:val="auto"/>
          <w:sz w:val="24"/>
          <w:u w:val="single"/>
          <w:lang w:val="en-US" w:eastAsia="zh-CN"/>
        </w:rPr>
        <w:t>3</w:t>
      </w:r>
      <w:r>
        <w:rPr>
          <w:rFonts w:hint="eastAsia" w:ascii="仿宋" w:hAnsi="仿宋" w:eastAsia="仿宋" w:cs="仿宋"/>
          <w:bCs/>
          <w:color w:val="auto"/>
          <w:sz w:val="24"/>
        </w:rPr>
        <w:t>人组成，其中采购人代表</w:t>
      </w:r>
      <w:r>
        <w:rPr>
          <w:rFonts w:hint="eastAsia" w:ascii="仿宋" w:hAnsi="仿宋" w:eastAsia="仿宋" w:cs="仿宋"/>
          <w:b/>
          <w:color w:val="auto"/>
          <w:sz w:val="24"/>
          <w:u w:val="single"/>
        </w:rPr>
        <w:t>1</w:t>
      </w:r>
      <w:r>
        <w:rPr>
          <w:rFonts w:hint="eastAsia" w:ascii="仿宋" w:hAnsi="仿宋" w:eastAsia="仿宋" w:cs="仿宋"/>
          <w:bCs/>
          <w:color w:val="auto"/>
          <w:sz w:val="24"/>
        </w:rPr>
        <w:t>名，其余</w:t>
      </w:r>
      <w:r>
        <w:rPr>
          <w:rFonts w:hint="eastAsia" w:ascii="仿宋" w:hAnsi="仿宋" w:eastAsia="仿宋" w:cs="仿宋"/>
          <w:b/>
          <w:bCs/>
          <w:color w:val="auto"/>
          <w:sz w:val="24"/>
          <w:u w:val="single"/>
          <w:lang w:val="en-US" w:eastAsia="zh-CN"/>
        </w:rPr>
        <w:t>2</w:t>
      </w:r>
      <w:r>
        <w:rPr>
          <w:rFonts w:hint="eastAsia" w:ascii="仿宋" w:hAnsi="仿宋" w:eastAsia="仿宋" w:cs="仿宋"/>
          <w:bCs/>
          <w:color w:val="auto"/>
          <w:sz w:val="24"/>
        </w:rPr>
        <w:t>名评标委员均从专家库中随机抽取产生。</w:t>
      </w:r>
    </w:p>
    <w:p>
      <w:pPr>
        <w:numPr>
          <w:ilvl w:val="0"/>
          <w:numId w:val="7"/>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评标委员会将只对确定为实质上响应</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文件要求的投标文件，即通过符合性审查的投标文件进行评价和比较，</w:t>
      </w:r>
      <w:r>
        <w:rPr>
          <w:rFonts w:hint="eastAsia" w:ascii="仿宋" w:hAnsi="仿宋" w:eastAsia="仿宋" w:cs="仿宋"/>
          <w:b/>
          <w:color w:val="auto"/>
          <w:sz w:val="24"/>
        </w:rPr>
        <w:t>响应的依据是</w:t>
      </w:r>
      <w:r>
        <w:rPr>
          <w:rFonts w:hint="eastAsia" w:ascii="仿宋" w:hAnsi="仿宋" w:eastAsia="仿宋" w:cs="仿宋"/>
          <w:b/>
          <w:color w:val="auto"/>
          <w:sz w:val="24"/>
          <w:lang w:eastAsia="zh-CN"/>
        </w:rPr>
        <w:t>磋商</w:t>
      </w:r>
      <w:r>
        <w:rPr>
          <w:rFonts w:hint="eastAsia" w:ascii="仿宋" w:hAnsi="仿宋" w:eastAsia="仿宋" w:cs="仿宋"/>
          <w:b/>
          <w:color w:val="auto"/>
          <w:sz w:val="24"/>
        </w:rPr>
        <w:t>文件本身的内容，而不寻求其它证据</w:t>
      </w:r>
      <w:r>
        <w:rPr>
          <w:rFonts w:hint="eastAsia" w:ascii="仿宋" w:hAnsi="仿宋" w:eastAsia="仿宋" w:cs="仿宋"/>
          <w:bCs/>
          <w:color w:val="auto"/>
          <w:sz w:val="24"/>
        </w:rPr>
        <w:t>。</w:t>
      </w:r>
      <w:r>
        <w:rPr>
          <w:rFonts w:hint="eastAsia" w:ascii="仿宋" w:hAnsi="仿宋" w:eastAsia="仿宋" w:cs="仿宋"/>
          <w:b/>
          <w:color w:val="auto"/>
          <w:sz w:val="24"/>
        </w:rPr>
        <w:t>实质上响应的投标应该是与</w:t>
      </w:r>
      <w:r>
        <w:rPr>
          <w:rFonts w:hint="eastAsia" w:ascii="仿宋" w:hAnsi="仿宋" w:eastAsia="仿宋" w:cs="仿宋"/>
          <w:b/>
          <w:color w:val="auto"/>
          <w:sz w:val="24"/>
          <w:lang w:eastAsia="zh-CN"/>
        </w:rPr>
        <w:t>磋商</w:t>
      </w:r>
      <w:r>
        <w:rPr>
          <w:rFonts w:hint="eastAsia" w:ascii="仿宋" w:hAnsi="仿宋" w:eastAsia="仿宋" w:cs="仿宋"/>
          <w:b/>
          <w:color w:val="auto"/>
          <w:sz w:val="24"/>
        </w:rPr>
        <w:t>文件要求的全部主要条款、条件和规格相符，没有重大偏离的投标</w:t>
      </w:r>
      <w:r>
        <w:rPr>
          <w:rFonts w:hint="eastAsia" w:ascii="仿宋" w:hAnsi="仿宋" w:eastAsia="仿宋" w:cs="仿宋"/>
          <w:bCs/>
          <w:color w:val="auto"/>
          <w:sz w:val="24"/>
        </w:rPr>
        <w:t>。</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评标原则</w:t>
      </w:r>
    </w:p>
    <w:p>
      <w:pPr>
        <w:numPr>
          <w:ilvl w:val="0"/>
          <w:numId w:val="8"/>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评标遵循公平、公正、科学、择优的原则。</w:t>
      </w:r>
    </w:p>
    <w:p>
      <w:pPr>
        <w:numPr>
          <w:ilvl w:val="0"/>
          <w:numId w:val="8"/>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确定中标人的评标准则是：能够最大限度满足</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文件中规定的各项综合评价标准。评标委员会没有义务接受最低报价的投标。</w:t>
      </w:r>
    </w:p>
    <w:p>
      <w:pPr>
        <w:numPr>
          <w:ilvl w:val="0"/>
          <w:numId w:val="8"/>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评标委员会有权根据有关规定否决所有投标。</w:t>
      </w:r>
    </w:p>
    <w:p>
      <w:pPr>
        <w:numPr>
          <w:ilvl w:val="2"/>
          <w:numId w:val="5"/>
        </w:numPr>
        <w:tabs>
          <w:tab w:val="left" w:pos="735"/>
          <w:tab w:val="left" w:pos="1254"/>
        </w:tabs>
        <w:spacing w:line="360" w:lineRule="auto"/>
        <w:ind w:left="735" w:hanging="735"/>
        <w:rPr>
          <w:rFonts w:hint="eastAsia" w:ascii="仿宋" w:hAnsi="仿宋" w:eastAsia="仿宋" w:cs="仿宋"/>
          <w:bCs/>
          <w:color w:val="auto"/>
        </w:rPr>
      </w:pPr>
      <w:r>
        <w:rPr>
          <w:rFonts w:hint="eastAsia" w:ascii="仿宋" w:hAnsi="仿宋" w:eastAsia="仿宋" w:cs="仿宋"/>
          <w:bCs/>
          <w:color w:val="auto"/>
          <w:sz w:val="24"/>
        </w:rPr>
        <w:t>评标过程的保密性</w:t>
      </w:r>
    </w:p>
    <w:p>
      <w:pPr>
        <w:numPr>
          <w:ilvl w:val="0"/>
          <w:numId w:val="9"/>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开标后，直至向中标的投标人授予合同时止，凡与审查、澄清、评价和比较投标有关的资料以及授标意见等，均不得向投标人及与评标无关的其他人透露。</w:t>
      </w:r>
    </w:p>
    <w:p>
      <w:pPr>
        <w:numPr>
          <w:ilvl w:val="0"/>
          <w:numId w:val="9"/>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在评标过程中，如果投标人试图在投标文件审查、澄清、比较及授予合同方面向评标委员会及采购人施加任何影响，其投标将被拒绝。</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投标文件的澄清</w:t>
      </w:r>
    </w:p>
    <w:p>
      <w:pPr>
        <w:numPr>
          <w:ilvl w:val="0"/>
          <w:numId w:val="10"/>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除评标委员会主动要求澄清外，从开标后至授予合同期间，任何投标人均不得就与其投标相关的任何问题与评标委员会联系。</w:t>
      </w:r>
    </w:p>
    <w:p>
      <w:pPr>
        <w:numPr>
          <w:ilvl w:val="0"/>
          <w:numId w:val="10"/>
        </w:numPr>
        <w:spacing w:line="360" w:lineRule="auto"/>
        <w:rPr>
          <w:rFonts w:hint="eastAsia" w:ascii="仿宋" w:hAnsi="仿宋" w:eastAsia="仿宋" w:cs="仿宋"/>
          <w:bCs/>
          <w:color w:val="auto"/>
          <w:sz w:val="24"/>
        </w:rPr>
      </w:pPr>
      <w:r>
        <w:rPr>
          <w:rFonts w:hint="eastAsia" w:ascii="仿宋" w:hAnsi="仿宋" w:eastAsia="仿宋" w:cs="仿宋"/>
          <w:bCs/>
          <w:color w:val="auto"/>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评标程序及方法（详见评标文件）</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评标分</w:t>
      </w:r>
      <w:r>
        <w:rPr>
          <w:rFonts w:hint="eastAsia" w:ascii="仿宋" w:hAnsi="仿宋" w:eastAsia="仿宋" w:cs="仿宋"/>
          <w:b/>
          <w:color w:val="auto"/>
          <w:sz w:val="24"/>
        </w:rPr>
        <w:t>两个阶段进行：投标文件符合性审查和投标文件详细评审</w:t>
      </w:r>
      <w:r>
        <w:rPr>
          <w:rFonts w:hint="eastAsia" w:ascii="仿宋" w:hAnsi="仿宋" w:eastAsia="仿宋" w:cs="仿宋"/>
          <w:bCs/>
          <w:color w:val="auto"/>
          <w:sz w:val="24"/>
        </w:rPr>
        <w:t>。各评委首先对各投标文件进行符合性审查，投标人只有完全通过符合性审查，才能进入下一阶段的详细评审，否则视为无效投标。</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（一）符合性审查</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评标委员会将根据</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文件的规定，对各投标文件进行符合性审查。</w:t>
      </w:r>
    </w:p>
    <w:p>
      <w:pPr>
        <w:spacing w:line="360" w:lineRule="auto"/>
        <w:ind w:firstLine="480" w:firstLineChars="200"/>
        <w:rPr>
          <w:rFonts w:hint="eastAsia" w:ascii="仿宋" w:hAnsi="仿宋" w:eastAsia="仿宋" w:cs="仿宋"/>
          <w:b/>
          <w:color w:val="auto"/>
          <w:sz w:val="24"/>
        </w:rPr>
      </w:pPr>
      <w:r>
        <w:rPr>
          <w:rFonts w:hint="eastAsia" w:ascii="仿宋" w:hAnsi="仿宋" w:eastAsia="仿宋" w:cs="仿宋"/>
          <w:bCs/>
          <w:color w:val="auto"/>
          <w:sz w:val="24"/>
        </w:rPr>
        <w:t>（1）</w:t>
      </w:r>
      <w:r>
        <w:rPr>
          <w:rFonts w:hint="eastAsia" w:ascii="仿宋" w:hAnsi="仿宋" w:eastAsia="仿宋" w:cs="仿宋"/>
          <w:b/>
          <w:bCs/>
          <w:color w:val="auto"/>
          <w:sz w:val="24"/>
        </w:rPr>
        <w:t>投</w:t>
      </w:r>
      <w:r>
        <w:rPr>
          <w:rFonts w:hint="eastAsia" w:ascii="仿宋" w:hAnsi="仿宋" w:eastAsia="仿宋" w:cs="仿宋"/>
          <w:b/>
          <w:color w:val="auto"/>
          <w:sz w:val="24"/>
        </w:rPr>
        <w:t>标文件出现下列情况之一时将被认定为无效投标：</w:t>
      </w:r>
    </w:p>
    <w:p>
      <w:pPr>
        <w:spacing w:line="500" w:lineRule="exact"/>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(一)未按照招标文件的规定提交投标保证金的;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(二)投标文件未按招标文件要求签署、盖章的;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(三)不具备招标文件中规定的资格要求的;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(四)报价超过招标文件中规定的预算金额或者最高限价的;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(五)投标文件含有采购人不能接受的附加条件的;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(六)法律、法规和招标文件规定的其他无效情形。</w:t>
      </w:r>
    </w:p>
    <w:p>
      <w:pPr>
        <w:spacing w:line="360" w:lineRule="auto"/>
        <w:ind w:firstLine="480" w:firstLineChars="200"/>
        <w:rPr>
          <w:rFonts w:hint="eastAsia" w:ascii="仿宋" w:hAnsi="仿宋" w:eastAsia="仿宋" w:cs="仿宋"/>
          <w:b/>
          <w:color w:val="auto"/>
          <w:sz w:val="24"/>
        </w:rPr>
      </w:pPr>
      <w:r>
        <w:rPr>
          <w:rFonts w:hint="eastAsia" w:ascii="仿宋" w:hAnsi="仿宋" w:eastAsia="仿宋" w:cs="仿宋"/>
          <w:bCs/>
          <w:color w:val="auto"/>
          <w:sz w:val="24"/>
        </w:rPr>
        <w:t>（2）</w:t>
      </w:r>
      <w:r>
        <w:rPr>
          <w:rFonts w:hint="eastAsia" w:ascii="仿宋" w:hAnsi="仿宋" w:eastAsia="仿宋" w:cs="仿宋"/>
          <w:b/>
          <w:color w:val="auto"/>
          <w:sz w:val="24"/>
        </w:rPr>
        <w:t>评标过程中投标文件出现下列情况之一时，对该投标文件作废标处理：</w:t>
      </w:r>
    </w:p>
    <w:p>
      <w:pPr>
        <w:spacing w:line="360" w:lineRule="auto"/>
        <w:ind w:firstLine="480" w:firstLineChars="200"/>
        <w:rPr>
          <w:rFonts w:hint="eastAsia" w:ascii="仿宋" w:hAnsi="仿宋" w:eastAsia="仿宋" w:cs="仿宋"/>
          <w:color w:val="auto"/>
          <w:sz w:val="24"/>
        </w:rPr>
      </w:pPr>
      <w:bookmarkStart w:id="97" w:name="_Toc179614238"/>
      <w:bookmarkStart w:id="98" w:name="_Toc167617728"/>
      <w:r>
        <w:rPr>
          <w:rFonts w:hint="eastAsia" w:ascii="仿宋" w:hAnsi="仿宋" w:eastAsia="仿宋" w:cs="仿宋"/>
          <w:color w:val="auto"/>
          <w:sz w:val="24"/>
        </w:rPr>
        <w:t>1）投标人以他人的名义投标、串通投标、以行贿手段谋取中标或者以其他弄虚作假方式投标的；</w:t>
      </w:r>
      <w:bookmarkEnd w:id="97"/>
      <w:bookmarkEnd w:id="98"/>
    </w:p>
    <w:p>
      <w:pPr>
        <w:spacing w:line="360" w:lineRule="auto"/>
        <w:ind w:firstLine="480" w:firstLineChars="200"/>
        <w:rPr>
          <w:rFonts w:hint="eastAsia" w:ascii="仿宋" w:hAnsi="仿宋" w:eastAsia="仿宋" w:cs="仿宋"/>
          <w:color w:val="auto"/>
          <w:sz w:val="24"/>
        </w:rPr>
      </w:pPr>
      <w:bookmarkStart w:id="99" w:name="_Toc179614239"/>
      <w:bookmarkStart w:id="100" w:name="_Toc167617729"/>
      <w:r>
        <w:rPr>
          <w:rFonts w:hint="eastAsia" w:ascii="仿宋" w:hAnsi="仿宋" w:eastAsia="仿宋" w:cs="仿宋"/>
          <w:color w:val="auto"/>
          <w:sz w:val="24"/>
        </w:rPr>
        <w:t>2）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的；</w:t>
      </w:r>
      <w:bookmarkEnd w:id="99"/>
      <w:bookmarkEnd w:id="100"/>
    </w:p>
    <w:p>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sz w:val="24"/>
        </w:rPr>
        <w:t>被评委会确定为投标文件无效标或废标的，其投标文件即被视为不能通过符合性审查，不得参与技术、商务和经济的评审。</w:t>
      </w:r>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bCs/>
          <w:color w:val="auto"/>
          <w:sz w:val="24"/>
        </w:rPr>
        <w:t>（二）详细评审</w:t>
      </w:r>
    </w:p>
    <w:p>
      <w:pPr>
        <w:spacing w:line="360" w:lineRule="auto"/>
        <w:ind w:firstLine="480" w:firstLineChars="200"/>
        <w:rPr>
          <w:rFonts w:hint="eastAsia" w:ascii="仿宋" w:hAnsi="仿宋" w:eastAsia="仿宋" w:cs="仿宋"/>
          <w:b/>
          <w:bCs/>
          <w:color w:val="auto"/>
          <w:sz w:val="24"/>
        </w:rPr>
      </w:pPr>
      <w:r>
        <w:rPr>
          <w:rFonts w:hint="eastAsia" w:ascii="仿宋" w:hAnsi="仿宋" w:eastAsia="仿宋" w:cs="仿宋"/>
          <w:bCs/>
          <w:color w:val="auto"/>
          <w:sz w:val="24"/>
        </w:rPr>
        <w:t>（1）对</w:t>
      </w:r>
      <w:r>
        <w:rPr>
          <w:rFonts w:hint="eastAsia" w:ascii="仿宋" w:hAnsi="仿宋" w:eastAsia="仿宋" w:cs="仿宋"/>
          <w:color w:val="auto"/>
          <w:sz w:val="24"/>
        </w:rPr>
        <w:t>通过符合性审查投标文件，按</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文件的要求进行</w:t>
      </w:r>
      <w:r>
        <w:rPr>
          <w:rFonts w:hint="eastAsia" w:ascii="仿宋" w:hAnsi="仿宋" w:eastAsia="仿宋" w:cs="仿宋"/>
          <w:b/>
          <w:bCs/>
          <w:color w:val="auto"/>
          <w:sz w:val="24"/>
        </w:rPr>
        <w:t>技术、商务和经济的评审。</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（2）评</w:t>
      </w:r>
      <w:r>
        <w:rPr>
          <w:rFonts w:hint="eastAsia" w:ascii="仿宋" w:hAnsi="仿宋" w:eastAsia="仿宋" w:cs="仿宋"/>
          <w:color w:val="auto"/>
          <w:sz w:val="24"/>
        </w:rPr>
        <w:t>审方法</w:t>
      </w:r>
      <w:r>
        <w:rPr>
          <w:rFonts w:hint="eastAsia" w:ascii="仿宋" w:hAnsi="仿宋" w:eastAsia="仿宋" w:cs="仿宋"/>
          <w:bCs/>
          <w:color w:val="auto"/>
          <w:sz w:val="24"/>
        </w:rPr>
        <w:t>采</w:t>
      </w:r>
      <w:r>
        <w:rPr>
          <w:rFonts w:hint="eastAsia" w:ascii="仿宋" w:hAnsi="仿宋" w:eastAsia="仿宋" w:cs="仿宋"/>
          <w:color w:val="auto"/>
          <w:sz w:val="24"/>
        </w:rPr>
        <w:t>用综合评分法</w:t>
      </w:r>
      <w:r>
        <w:rPr>
          <w:rFonts w:hint="eastAsia" w:ascii="仿宋" w:hAnsi="仿宋" w:eastAsia="仿宋" w:cs="仿宋"/>
          <w:bCs/>
          <w:color w:val="auto"/>
          <w:sz w:val="24"/>
        </w:rPr>
        <w:t>。</w:t>
      </w:r>
      <w:r>
        <w:rPr>
          <w:rFonts w:hint="eastAsia" w:ascii="仿宋" w:hAnsi="仿宋" w:eastAsia="仿宋" w:cs="仿宋"/>
          <w:color w:val="auto"/>
          <w:sz w:val="24"/>
        </w:rPr>
        <w:t>技术部分、商务部分、经济部分权重详见评标文件。评标委员会根据投标人综合得分高低排定名次并推荐候选中标单位。</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相关注意事项</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（1）评标是招标工作的重要环节，评标工作由评标委员会独立进行。评标委员会将遵照评标原则，公正、平等的对待所有投标人。</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（2）在开标、评标期间，投标人不得向评委询问评标情况，不得进行旨在影响评标结果的活动。</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（3）为保证定标的公正性，在评标过程中，评委不得与投标人私下交换意见。在招标工作结束后，凡与评标过程有接触的任何人，不得将评标情况扩散给与评标无关的人员。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sz w:val="24"/>
        </w:rPr>
        <w:t>（4）评标委员会不直接向落标方解释落标原因，不退回投标文件。</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定标</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Cs/>
          <w:color w:val="auto"/>
          <w:sz w:val="24"/>
        </w:rPr>
        <w:t>评标委员会提出评标书面报告和推荐中标意见报采购人确认。确认后由采购人、招标代理机构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numPr>
          <w:ilvl w:val="2"/>
          <w:numId w:val="5"/>
        </w:numPr>
        <w:tabs>
          <w:tab w:val="left" w:pos="735"/>
          <w:tab w:val="left" w:pos="1254"/>
        </w:tabs>
        <w:spacing w:line="360" w:lineRule="auto"/>
        <w:ind w:left="735" w:hanging="735"/>
        <w:rPr>
          <w:rFonts w:hint="eastAsia" w:ascii="仿宋" w:hAnsi="仿宋" w:eastAsia="仿宋" w:cs="仿宋"/>
          <w:color w:val="auto"/>
          <w:sz w:val="24"/>
        </w:rPr>
      </w:pPr>
      <w:r>
        <w:rPr>
          <w:rFonts w:hint="eastAsia" w:ascii="仿宋" w:hAnsi="仿宋" w:eastAsia="仿宋" w:cs="仿宋"/>
          <w:bCs/>
          <w:color w:val="auto"/>
          <w:sz w:val="24"/>
        </w:rPr>
        <w:t>最终澄清完成后，由招标代理机构向中标人发出《中标通知书》，并同时将中标结果以网上公告的方式通知所有未中标的投标人。</w:t>
      </w:r>
    </w:p>
    <w:p>
      <w:pPr>
        <w:numPr>
          <w:ilvl w:val="1"/>
          <w:numId w:val="5"/>
        </w:numPr>
        <w:tabs>
          <w:tab w:val="left" w:pos="420"/>
          <w:tab w:val="left" w:pos="525"/>
          <w:tab w:val="clear" w:pos="567"/>
        </w:tabs>
        <w:spacing w:line="480" w:lineRule="auto"/>
        <w:ind w:left="420" w:hanging="420"/>
        <w:outlineLvl w:val="3"/>
        <w:rPr>
          <w:rFonts w:hint="eastAsia" w:ascii="仿宋" w:hAnsi="仿宋" w:eastAsia="仿宋" w:cs="仿宋"/>
          <w:b/>
          <w:bCs/>
          <w:color w:val="auto"/>
          <w:sz w:val="24"/>
        </w:rPr>
      </w:pPr>
      <w:r>
        <w:rPr>
          <w:rFonts w:hint="eastAsia" w:ascii="仿宋" w:hAnsi="仿宋" w:eastAsia="仿宋" w:cs="仿宋"/>
          <w:b/>
          <w:bCs/>
          <w:color w:val="auto"/>
          <w:sz w:val="24"/>
        </w:rPr>
        <w:t>签约</w:t>
      </w:r>
    </w:p>
    <w:p>
      <w:pPr>
        <w:numPr>
          <w:ilvl w:val="2"/>
          <w:numId w:val="5"/>
        </w:numPr>
        <w:tabs>
          <w:tab w:val="left" w:pos="735"/>
          <w:tab w:val="left" w:pos="1254"/>
        </w:tabs>
        <w:spacing w:line="360" w:lineRule="auto"/>
        <w:ind w:left="735" w:hanging="735"/>
        <w:rPr>
          <w:rFonts w:hint="eastAsia" w:ascii="仿宋" w:hAnsi="仿宋" w:eastAsia="仿宋" w:cs="仿宋"/>
          <w:bCs/>
          <w:color w:val="auto"/>
          <w:sz w:val="24"/>
        </w:rPr>
      </w:pPr>
      <w:r>
        <w:rPr>
          <w:rFonts w:hint="eastAsia" w:ascii="仿宋" w:hAnsi="仿宋" w:eastAsia="仿宋" w:cs="仿宋"/>
          <w:bCs/>
          <w:color w:val="auto"/>
          <w:sz w:val="24"/>
        </w:rPr>
        <w:t>中标人应当在《中标通知书》发出之日起</w:t>
      </w:r>
      <w:r>
        <w:rPr>
          <w:rFonts w:hint="eastAsia" w:ascii="仿宋" w:hAnsi="仿宋" w:eastAsia="仿宋" w:cs="仿宋"/>
          <w:bCs/>
          <w:color w:val="auto"/>
          <w:sz w:val="24"/>
          <w:lang w:eastAsia="zh-CN"/>
        </w:rPr>
        <w:t>次日</w:t>
      </w:r>
      <w:r>
        <w:rPr>
          <w:rFonts w:hint="eastAsia" w:ascii="仿宋" w:hAnsi="仿宋" w:eastAsia="仿宋" w:cs="仿宋"/>
          <w:bCs/>
          <w:color w:val="auto"/>
          <w:sz w:val="24"/>
        </w:rPr>
        <w:t>与招标人签订合同。</w:t>
      </w:r>
    </w:p>
    <w:p>
      <w:pPr>
        <w:numPr>
          <w:ilvl w:val="2"/>
          <w:numId w:val="5"/>
        </w:numPr>
        <w:tabs>
          <w:tab w:val="left" w:pos="735"/>
          <w:tab w:val="left" w:pos="1254"/>
        </w:tabs>
        <w:spacing w:line="360" w:lineRule="auto"/>
        <w:ind w:left="735" w:hanging="735"/>
        <w:rPr>
          <w:rFonts w:hint="eastAsia" w:ascii="仿宋" w:hAnsi="仿宋" w:eastAsia="仿宋" w:cs="仿宋"/>
          <w:color w:val="auto"/>
        </w:rPr>
      </w:pPr>
      <w:r>
        <w:rPr>
          <w:rFonts w:hint="eastAsia" w:ascii="仿宋" w:hAnsi="仿宋" w:eastAsia="仿宋" w:cs="仿宋"/>
          <w:bCs/>
          <w:color w:val="auto"/>
          <w:sz w:val="24"/>
        </w:rPr>
        <w:t>招标</w:t>
      </w:r>
      <w:r>
        <w:rPr>
          <w:rFonts w:hint="eastAsia" w:ascii="仿宋" w:hAnsi="仿宋" w:eastAsia="仿宋" w:cs="仿宋"/>
          <w:color w:val="auto"/>
          <w:sz w:val="24"/>
        </w:rPr>
        <w:t>人不得向中标人提出任何不合理的要求，作为签订合同的条件，不得与中标人私下订立背离合同实质性内容的协议。</w:t>
      </w:r>
    </w:p>
    <w:p>
      <w:pPr>
        <w:pStyle w:val="5"/>
        <w:keepLines/>
        <w:numPr>
          <w:ilvl w:val="0"/>
          <w:numId w:val="5"/>
        </w:numPr>
        <w:spacing w:before="260" w:after="260" w:line="400" w:lineRule="exact"/>
        <w:rPr>
          <w:rFonts w:hint="eastAsia" w:ascii="仿宋" w:hAnsi="仿宋" w:eastAsia="仿宋" w:cs="仿宋"/>
          <w:color w:val="auto"/>
          <w:sz w:val="28"/>
        </w:rPr>
      </w:pPr>
      <w:bookmarkStart w:id="101" w:name="_Toc191353019"/>
      <w:bookmarkStart w:id="102" w:name="_Toc243743358"/>
      <w:bookmarkStart w:id="103" w:name="_Toc22157"/>
      <w:bookmarkStart w:id="104" w:name="_Toc278958163"/>
      <w:bookmarkStart w:id="105" w:name="_Toc209258277"/>
      <w:bookmarkStart w:id="106" w:name="_Toc279046870"/>
      <w:bookmarkStart w:id="107" w:name="_Toc272350612"/>
      <w:bookmarkStart w:id="108" w:name="_Toc271105682"/>
      <w:bookmarkStart w:id="109" w:name="_Toc185747583"/>
      <w:bookmarkStart w:id="110" w:name="_Toc243923372"/>
      <w:bookmarkStart w:id="111" w:name="_Toc226521697"/>
      <w:bookmarkStart w:id="112" w:name="_Toc226966685"/>
      <w:bookmarkStart w:id="113" w:name="_Toc277758490"/>
      <w:bookmarkStart w:id="114" w:name="_Toc245203886"/>
      <w:r>
        <w:rPr>
          <w:rFonts w:hint="eastAsia" w:ascii="仿宋" w:hAnsi="仿宋" w:eastAsia="仿宋" w:cs="仿宋"/>
          <w:color w:val="auto"/>
          <w:sz w:val="28"/>
        </w:rPr>
        <w:t>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before="50" w:after="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中标人须向招标代理机构交纳的招标服务费，收费标准按国家计委颁布的《招标代理服务收费管理暂行办法》（计价格[2002]1980号）执行。本项目类型为</w:t>
      </w:r>
      <w:r>
        <w:rPr>
          <w:rFonts w:hint="eastAsia" w:ascii="仿宋" w:hAnsi="仿宋" w:eastAsia="仿宋" w:cs="仿宋"/>
          <w:b/>
          <w:color w:val="auto"/>
          <w:sz w:val="24"/>
        </w:rPr>
        <w:t>货物类</w:t>
      </w:r>
      <w:r>
        <w:rPr>
          <w:rFonts w:hint="eastAsia" w:ascii="仿宋" w:hAnsi="仿宋" w:eastAsia="仿宋" w:cs="仿宋"/>
          <w:color w:val="auto"/>
          <w:sz w:val="24"/>
        </w:rPr>
        <w:t>：</w:t>
      </w:r>
    </w:p>
    <w:p>
      <w:pPr>
        <w:numPr>
          <w:ilvl w:val="0"/>
          <w:numId w:val="11"/>
        </w:numPr>
        <w:spacing w:line="360" w:lineRule="auto"/>
        <w:ind w:right="-317" w:rightChars="-151"/>
        <w:rPr>
          <w:rFonts w:hint="eastAsia" w:ascii="仿宋" w:hAnsi="仿宋" w:eastAsia="仿宋" w:cs="仿宋"/>
          <w:bCs/>
          <w:color w:val="auto"/>
          <w:sz w:val="24"/>
        </w:rPr>
      </w:pPr>
      <w:r>
        <w:rPr>
          <w:rFonts w:hint="eastAsia" w:ascii="仿宋" w:hAnsi="仿宋" w:eastAsia="仿宋" w:cs="仿宋"/>
          <w:bCs/>
          <w:color w:val="auto"/>
          <w:sz w:val="24"/>
        </w:rPr>
        <w:t>以《中标通知书》确定的中标总金额作为收费的计算基数，按差额定率累进法计算；</w:t>
      </w:r>
    </w:p>
    <w:p>
      <w:pPr>
        <w:numPr>
          <w:ilvl w:val="0"/>
          <w:numId w:val="11"/>
        </w:numPr>
        <w:spacing w:line="360" w:lineRule="auto"/>
        <w:rPr>
          <w:rFonts w:hint="eastAsia" w:ascii="仿宋" w:hAnsi="仿宋" w:eastAsia="仿宋" w:cs="仿宋"/>
          <w:color w:val="auto"/>
          <w:sz w:val="24"/>
        </w:rPr>
      </w:pPr>
      <w:r>
        <w:rPr>
          <w:rFonts w:hint="eastAsia" w:ascii="仿宋" w:hAnsi="仿宋" w:eastAsia="仿宋" w:cs="仿宋"/>
          <w:bCs/>
          <w:color w:val="auto"/>
          <w:sz w:val="24"/>
        </w:rPr>
        <w:t>币种与《中标通知书》的币种相同。</w:t>
      </w:r>
    </w:p>
    <w:p>
      <w:pPr>
        <w:numPr>
          <w:ilvl w:val="0"/>
          <w:numId w:val="11"/>
        </w:numPr>
        <w:spacing w:line="360" w:lineRule="auto"/>
        <w:rPr>
          <w:rFonts w:hint="eastAsia" w:ascii="仿宋" w:hAnsi="仿宋" w:eastAsia="仿宋" w:cs="仿宋"/>
          <w:b/>
          <w:bCs/>
          <w:color w:val="auto"/>
          <w:sz w:val="28"/>
        </w:rPr>
        <w:sectPr>
          <w:footerReference r:id="rId5" w:type="first"/>
          <w:headerReference r:id="rId3" w:type="default"/>
          <w:footerReference r:id="rId4" w:type="default"/>
          <w:type w:val="nextColumn"/>
          <w:pgSz w:w="11906" w:h="16838"/>
          <w:pgMar w:top="1191" w:right="1418" w:bottom="1191" w:left="1418" w:header="737" w:footer="737" w:gutter="0"/>
          <w:pgNumType w:fmt="decimal" w:start="1"/>
          <w:cols w:space="720" w:num="1"/>
          <w:docGrid w:linePitch="312" w:charSpace="0"/>
        </w:sectPr>
      </w:pPr>
      <w:r>
        <w:rPr>
          <w:rFonts w:hint="eastAsia" w:ascii="仿宋" w:hAnsi="仿宋" w:eastAsia="仿宋" w:cs="仿宋"/>
          <w:color w:val="auto"/>
          <w:sz w:val="24"/>
        </w:rPr>
        <w:t>中标人中标后，必须按规定向招标代理机构直接缴交采购服务费。</w:t>
      </w:r>
    </w:p>
    <w:p>
      <w:pPr>
        <w:pStyle w:val="3"/>
        <w:keepLines w:val="0"/>
        <w:numPr>
          <w:ilvl w:val="0"/>
          <w:numId w:val="2"/>
        </w:numPr>
        <w:spacing w:before="0" w:after="0" w:line="360" w:lineRule="auto"/>
        <w:ind w:left="0" w:leftChars="0" w:right="-441" w:rightChars="-210" w:firstLine="0" w:firstLineChars="0"/>
        <w:jc w:val="center"/>
        <w:rPr>
          <w:rFonts w:hint="eastAsia" w:ascii="仿宋" w:hAnsi="仿宋" w:eastAsia="仿宋" w:cs="仿宋"/>
          <w:color w:val="auto"/>
          <w:kern w:val="2"/>
          <w:sz w:val="48"/>
          <w:szCs w:val="48"/>
        </w:rPr>
      </w:pPr>
      <w:bookmarkStart w:id="115" w:name="_Toc130180923"/>
      <w:bookmarkStart w:id="116" w:name="_Toc130180737"/>
      <w:bookmarkStart w:id="117" w:name="_Toc2420"/>
      <w:bookmarkStart w:id="118" w:name="_Toc130180842"/>
      <w:r>
        <w:rPr>
          <w:rFonts w:hint="eastAsia" w:ascii="仿宋" w:hAnsi="仿宋" w:eastAsia="仿宋" w:cs="仿宋"/>
          <w:color w:val="auto"/>
          <w:kern w:val="2"/>
          <w:sz w:val="48"/>
          <w:szCs w:val="48"/>
        </w:rPr>
        <w:t xml:space="preserve"> 采购人需求</w:t>
      </w:r>
      <w:bookmarkEnd w:id="115"/>
      <w:bookmarkEnd w:id="116"/>
      <w:bookmarkEnd w:id="117"/>
      <w:bookmarkEnd w:id="118"/>
    </w:p>
    <w:p>
      <w:pPr>
        <w:spacing w:line="360" w:lineRule="auto"/>
        <w:rPr>
          <w:rFonts w:hint="eastAsia" w:ascii="仿宋" w:hAnsi="仿宋" w:eastAsia="仿宋" w:cs="仿宋"/>
          <w:b/>
          <w:bCs/>
        </w:rPr>
      </w:pPr>
      <w:bookmarkStart w:id="119" w:name="_Toc410239827"/>
      <w:r>
        <w:rPr>
          <w:rFonts w:hint="eastAsia" w:ascii="仿宋" w:hAnsi="仿宋" w:eastAsia="仿宋" w:cs="仿宋"/>
          <w:b/>
          <w:bCs/>
          <w:lang w:eastAsia="zh-CN"/>
        </w:rPr>
        <w:t>一</w:t>
      </w:r>
      <w:r>
        <w:rPr>
          <w:rFonts w:hint="eastAsia" w:ascii="仿宋" w:hAnsi="仿宋" w:eastAsia="仿宋" w:cs="仿宋"/>
          <w:b/>
          <w:bCs/>
        </w:rPr>
        <w:t>、项目概述</w:t>
      </w:r>
      <w:bookmarkEnd w:id="119"/>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实现我院医疗废物监管功能，实现全流程监管；能及时掌握各类异常情况。达到全链条闭合循环、总量管控、过程可视、信息透明的效果。软件系统质保期及维保期内免费实现国家、自治区相关上报数据要求。</w:t>
      </w:r>
    </w:p>
    <w:p>
      <w:pPr>
        <w:pStyle w:val="30"/>
        <w:ind w:firstLine="480"/>
        <w:rPr>
          <w:rFonts w:hint="eastAsia" w:ascii="仿宋" w:hAnsi="仿宋" w:eastAsia="仿宋" w:cs="仿宋"/>
          <w:color w:val="000000"/>
          <w:sz w:val="24"/>
          <w:szCs w:val="24"/>
        </w:rPr>
      </w:pPr>
    </w:p>
    <w:p>
      <w:pPr>
        <w:spacing w:line="360" w:lineRule="auto"/>
        <w:rPr>
          <w:rFonts w:hint="eastAsia" w:ascii="仿宋" w:hAnsi="仿宋" w:eastAsia="仿宋" w:cs="仿宋"/>
          <w:b/>
          <w:bCs/>
        </w:rPr>
      </w:pPr>
      <w:r>
        <w:rPr>
          <w:rFonts w:hint="eastAsia" w:ascii="仿宋" w:hAnsi="仿宋" w:eastAsia="仿宋" w:cs="仿宋"/>
          <w:b/>
          <w:bCs/>
          <w:lang w:eastAsia="zh-CN"/>
        </w:rPr>
        <w:t>二</w:t>
      </w:r>
      <w:r>
        <w:rPr>
          <w:rFonts w:hint="eastAsia" w:ascii="仿宋" w:hAnsi="仿宋" w:eastAsia="仿宋" w:cs="仿宋"/>
          <w:b/>
          <w:bCs/>
        </w:rPr>
        <w:t>、医疗废物处置管理系统采购清单</w:t>
      </w:r>
    </w:p>
    <w:p>
      <w:pPr>
        <w:pStyle w:val="18"/>
        <w:rPr>
          <w:rFonts w:hint="eastAsia" w:ascii="仿宋" w:hAnsi="仿宋" w:eastAsia="仿宋" w:cs="仿宋"/>
        </w:rPr>
      </w:pPr>
    </w:p>
    <w:tbl>
      <w:tblPr>
        <w:tblStyle w:val="22"/>
        <w:tblW w:w="9745" w:type="dxa"/>
        <w:tblInd w:w="108" w:type="dxa"/>
        <w:tblLayout w:type="fixed"/>
        <w:tblCellMar>
          <w:top w:w="0" w:type="dxa"/>
          <w:left w:w="108" w:type="dxa"/>
          <w:bottom w:w="0" w:type="dxa"/>
          <w:right w:w="108" w:type="dxa"/>
        </w:tblCellMar>
      </w:tblPr>
      <w:tblGrid>
        <w:gridCol w:w="543"/>
        <w:gridCol w:w="1716"/>
        <w:gridCol w:w="4224"/>
        <w:gridCol w:w="718"/>
        <w:gridCol w:w="737"/>
        <w:gridCol w:w="1807"/>
      </w:tblGrid>
      <w:tr>
        <w:trPr>
          <w:trHeight w:val="328"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序号</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产品名称</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功能描述</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数量</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单位</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备注</w:t>
            </w:r>
          </w:p>
        </w:tc>
      </w:tr>
      <w:tr>
        <w:tblPrEx>
          <w:tblCellMar>
            <w:top w:w="0" w:type="dxa"/>
            <w:left w:w="108" w:type="dxa"/>
            <w:bottom w:w="0" w:type="dxa"/>
            <w:right w:w="108" w:type="dxa"/>
          </w:tblCellMar>
        </w:tblPrEx>
        <w:trPr>
          <w:trHeight w:val="744"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医废追溯管理系统</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 xml:space="preserve">含医疗废物物联网管理系统PC端、面向主管科室的监管端APP。支持分院、分科室、医联体医院、院外挂靠诊所等医废全流程管理 </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r>
      <w:tr>
        <w:trPr>
          <w:trHeight w:val="328"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一体化医废运转车（手动）</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用于院内医疗废弃物转运，科室收集，能监控收运时间、轨迹，含扫码枪、室内定位模块、称重模块、打印模块、4G通信模块、科室信息自动识别模块</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台</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2"/>
              <w:ind w:firstLine="0" w:firstLineChars="0"/>
              <w:jc w:val="left"/>
              <w:rPr>
                <w:rFonts w:hint="eastAsia" w:ascii="仿宋" w:hAnsi="仿宋" w:eastAsia="仿宋" w:cs="仿宋"/>
                <w:lang w:val="en-US"/>
              </w:rPr>
            </w:pPr>
            <w:r>
              <w:rPr>
                <w:rFonts w:hint="eastAsia" w:ascii="仿宋" w:hAnsi="仿宋" w:eastAsia="仿宋" w:cs="仿宋"/>
                <w:lang w:val="en-US"/>
              </w:rPr>
              <w:t>120*70*95cm，800L</w:t>
            </w:r>
          </w:p>
        </w:tc>
      </w:tr>
      <w:tr>
        <w:trPr>
          <w:trHeight w:val="66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一体化出入库终端（台秤）</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用于暂存点医废出入库复核</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台</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r>
      <w:tr>
        <w:trPr>
          <w:trHeight w:val="328"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安装配件</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科室标牌、人员标牌、</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批</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按需定制</w:t>
            </w:r>
          </w:p>
        </w:tc>
      </w:tr>
      <w:tr>
        <w:trPr>
          <w:trHeight w:val="328"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三防不干胶</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57*40mm，200张/卷</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val="en-US" w:eastAsia="zh-CN" w:bidi="ar"/>
              </w:rPr>
              <w:t>2</w:t>
            </w:r>
            <w:r>
              <w:rPr>
                <w:rFonts w:hint="eastAsia" w:ascii="仿宋" w:hAnsi="仿宋" w:eastAsia="仿宋" w:cs="仿宋"/>
                <w:color w:val="000000"/>
                <w:kern w:val="0"/>
                <w:sz w:val="20"/>
                <w:szCs w:val="20"/>
                <w:lang w:bidi="ar"/>
              </w:rPr>
              <w:t>0</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卷</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p>
        </w:tc>
      </w:tr>
      <w:tr>
        <w:trPr>
          <w:trHeight w:val="328"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物流</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运输到甲方制定地点</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次</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p>
        </w:tc>
      </w:tr>
      <w:tr>
        <w:trPr>
          <w:trHeight w:val="328"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安装培训</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次</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p>
        </w:tc>
      </w:tr>
      <w:tr>
        <w:trPr>
          <w:trHeight w:val="328"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8</w:t>
            </w:r>
          </w:p>
        </w:tc>
        <w:tc>
          <w:tcPr>
            <w:tcW w:w="17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运维服务</w:t>
            </w:r>
          </w:p>
        </w:tc>
        <w:tc>
          <w:tcPr>
            <w:tcW w:w="42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自验收之日起一年内免费维护</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年</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lang w:val="en-US" w:eastAsia="zh-CN"/>
              </w:rPr>
            </w:pPr>
          </w:p>
        </w:tc>
      </w:tr>
    </w:tbl>
    <w:p>
      <w:pPr>
        <w:pStyle w:val="30"/>
        <w:ind w:firstLine="0" w:firstLineChars="0"/>
        <w:rPr>
          <w:rFonts w:hint="eastAsia" w:ascii="仿宋" w:hAnsi="仿宋" w:eastAsia="仿宋" w:cs="仿宋"/>
        </w:rPr>
      </w:pPr>
    </w:p>
    <w:p>
      <w:pPr>
        <w:spacing w:line="360" w:lineRule="auto"/>
        <w:rPr>
          <w:rFonts w:hint="eastAsia" w:ascii="仿宋" w:hAnsi="仿宋" w:eastAsia="仿宋" w:cs="仿宋"/>
          <w:b/>
          <w:bCs/>
        </w:rPr>
      </w:pPr>
      <w:r>
        <w:rPr>
          <w:rFonts w:hint="eastAsia" w:ascii="仿宋" w:hAnsi="仿宋" w:eastAsia="仿宋" w:cs="仿宋"/>
          <w:b/>
          <w:bCs/>
          <w:lang w:eastAsia="zh-CN"/>
        </w:rPr>
        <w:t>三</w:t>
      </w:r>
      <w:r>
        <w:rPr>
          <w:rFonts w:hint="eastAsia" w:ascii="仿宋" w:hAnsi="仿宋" w:eastAsia="仿宋" w:cs="仿宋"/>
          <w:b/>
          <w:bCs/>
        </w:rPr>
        <w:t>、医疗废物处置管理系统技术参数</w:t>
      </w:r>
    </w:p>
    <w:p>
      <w:pPr>
        <w:pStyle w:val="6"/>
        <w:numPr>
          <w:ilvl w:val="0"/>
          <w:numId w:val="12"/>
        </w:numPr>
        <w:rPr>
          <w:rFonts w:hint="eastAsia" w:ascii="仿宋" w:hAnsi="仿宋" w:eastAsia="仿宋" w:cs="仿宋"/>
          <w:color w:val="000000"/>
          <w:kern w:val="0"/>
          <w:szCs w:val="28"/>
          <w:lang w:bidi="ar"/>
        </w:rPr>
      </w:pPr>
      <w:r>
        <w:rPr>
          <w:rFonts w:hint="eastAsia" w:ascii="仿宋" w:hAnsi="仿宋" w:eastAsia="仿宋" w:cs="仿宋"/>
          <w:color w:val="000000"/>
          <w:kern w:val="0"/>
          <w:szCs w:val="28"/>
          <w:lang w:bidi="ar"/>
        </w:rPr>
        <w:t>软件功能参数</w:t>
      </w:r>
    </w:p>
    <w:p>
      <w:pPr>
        <w:pStyle w:val="7"/>
        <w:rPr>
          <w:rFonts w:hint="eastAsia" w:ascii="仿宋" w:hAnsi="仿宋" w:eastAsia="仿宋" w:cs="仿宋"/>
          <w:sz w:val="21"/>
          <w:szCs w:val="21"/>
        </w:rPr>
      </w:pPr>
      <w:r>
        <w:rPr>
          <w:rFonts w:hint="eastAsia" w:ascii="仿宋" w:hAnsi="仿宋" w:eastAsia="仿宋" w:cs="仿宋"/>
          <w:sz w:val="21"/>
          <w:szCs w:val="21"/>
        </w:rPr>
        <w:t>1.1 业务操作功能需求</w:t>
      </w:r>
    </w:p>
    <w:p>
      <w:pPr>
        <w:numPr>
          <w:ilvl w:val="0"/>
          <w:numId w:val="13"/>
        </w:numPr>
        <w:ind w:left="840"/>
        <w:rPr>
          <w:rFonts w:hint="eastAsia" w:ascii="仿宋" w:hAnsi="仿宋" w:eastAsia="仿宋" w:cs="仿宋"/>
          <w:szCs w:val="21"/>
        </w:rPr>
      </w:pPr>
      <w:r>
        <w:rPr>
          <w:rFonts w:hint="eastAsia" w:ascii="仿宋" w:hAnsi="仿宋" w:eastAsia="仿宋" w:cs="仿宋"/>
          <w:szCs w:val="21"/>
        </w:rPr>
        <w:t>医疗废物管理应贯穿从分类收集、交接、转运、箱袋关联、入暂存地、出暂存地、数据传输、溯源管理的全业务运转流程，实现医疗废物全过程跟踪智能管理，降低废物流向管理统计工作强度，使医疗废物管理工作进一步规范化和信息化。</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设备配置功能：</w:t>
      </w:r>
      <w:r>
        <w:rPr>
          <w:rFonts w:hint="eastAsia" w:ascii="仿宋" w:hAnsi="仿宋" w:eastAsia="仿宋" w:cs="仿宋"/>
          <w:szCs w:val="21"/>
        </w:rPr>
        <w:t>可以配置设备基本参数，如：院区信息、科室信息、操作流程信息；</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分类管理：</w:t>
      </w:r>
      <w:r>
        <w:rPr>
          <w:rFonts w:hint="eastAsia" w:ascii="仿宋" w:hAnsi="仿宋" w:eastAsia="仿宋" w:cs="仿宋"/>
          <w:szCs w:val="21"/>
        </w:rPr>
        <w:t>医务人员在医疗废物产生科室按五大医疗废物类别(感染性废物、损伤性废物、病理性废物、化学性废物、药物性废物)进行分类。该系统应适用于使用后未被污染的输液瓶(袋)的分类转运回收。</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收集管理：</w:t>
      </w:r>
      <w:r>
        <w:rPr>
          <w:rFonts w:hint="eastAsia" w:ascii="仿宋" w:hAnsi="仿宋" w:eastAsia="仿宋" w:cs="仿宋"/>
          <w:szCs w:val="21"/>
        </w:rPr>
        <w:t>收集人员根据已做好的分类对袋装医疗废物通过二维码进行标识,并记录时间、地点、人员信息,同时上传服务器，在服务器比对成功并记录以后，系统自动启动收运电子流程。</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交接管理：</w:t>
      </w:r>
      <w:r>
        <w:rPr>
          <w:rFonts w:hint="eastAsia" w:ascii="仿宋" w:hAnsi="仿宋" w:eastAsia="仿宋" w:cs="仿宋"/>
          <w:szCs w:val="21"/>
        </w:rPr>
        <w:t>通过对医疗废物明细、交接科室、交接时间、交接人姓名等关键信息的核对确认，交接人员把交接双方的当事人信息、时间、地点、重量信息通过多种技术写入到电子标识，并同时上传服务器备案后完成交接单打印。</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转运管理：</w:t>
      </w:r>
      <w:r>
        <w:rPr>
          <w:rFonts w:hint="eastAsia" w:ascii="仿宋" w:hAnsi="仿宋" w:eastAsia="仿宋" w:cs="仿宋"/>
          <w:szCs w:val="21"/>
        </w:rPr>
        <w:t>医疗废物交接后全部通过医疗废物转运工具(车)进行转运，系统对转运工具(车)具有定位(追溯到人)与路径追踪功能，支持按医疗卫生机构、收集人员、时间等参数进行车辆定位和转运路径查询。</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箱袋关联：</w:t>
      </w:r>
      <w:r>
        <w:rPr>
          <w:rFonts w:hint="eastAsia" w:ascii="仿宋" w:hAnsi="仿宋" w:eastAsia="仿宋" w:cs="仿宋"/>
          <w:szCs w:val="21"/>
        </w:rPr>
        <w:t>系统可对医疗废物进行逐袋和盛装箱体的关联绑定上传名袋及各箱体对应的各箱袋的编号信息以及各箱袋医疗废物对应的类别信息、时间信息、科室来源信息以及医疗卫生机构来源信息。</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入暂存地：</w:t>
      </w:r>
      <w:r>
        <w:rPr>
          <w:rFonts w:hint="eastAsia" w:ascii="仿宋" w:hAnsi="仿宋" w:eastAsia="仿宋" w:cs="仿宋"/>
          <w:szCs w:val="21"/>
        </w:rPr>
        <w:t>医疗废物通过转运到达暂存地后,将进行称重入库，入库过程中将医疗废物产生的科室、收集人员、类别、时间、重量等信息数据通过系统上传至服务器后台，从而完成全部入库操作。</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出暂存地：</w:t>
      </w:r>
      <w:r>
        <w:rPr>
          <w:rFonts w:hint="eastAsia" w:ascii="仿宋" w:hAnsi="仿宋" w:eastAsia="仿宋" w:cs="仿宋"/>
          <w:szCs w:val="21"/>
        </w:rPr>
        <w:t>医疗废物处置公司通过对每箱出库的医疗废物逐箱进行扫码和复核,再次核对各箱医疗废物产生的医疗卫生机构、科室、收集人员、类别、时间、重量等信息数据，完成医疗废物出库操作。</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数据传输：</w:t>
      </w:r>
      <w:r>
        <w:rPr>
          <w:rFonts w:hint="eastAsia" w:ascii="仿宋" w:hAnsi="仿宋" w:eastAsia="仿宋" w:cs="仿宋"/>
          <w:szCs w:val="21"/>
        </w:rPr>
        <w:t>对于上诉各项业务操作流程中涉及的数据信息,支持按照移动通讯协议进行业务操作数据上传后台操作,实现数据的自动采集传输，且所有被获取数据一旦进入系统则不可随意更改。</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历史数据回看：</w:t>
      </w:r>
      <w:r>
        <w:rPr>
          <w:rFonts w:hint="eastAsia" w:ascii="仿宋" w:hAnsi="仿宋" w:eastAsia="仿宋" w:cs="仿宋"/>
          <w:szCs w:val="21"/>
        </w:rPr>
        <w:t>支持医废收集数据、交接数据缓存；其中收集人员不少于20条、交接人员不少于400条、准运人员不少于10条；科室信息不少于200条；收集数据不少于500条；</w:t>
      </w:r>
    </w:p>
    <w:p>
      <w:pPr>
        <w:pStyle w:val="7"/>
        <w:rPr>
          <w:rFonts w:hint="eastAsia" w:ascii="仿宋" w:hAnsi="仿宋" w:eastAsia="仿宋" w:cs="仿宋"/>
          <w:sz w:val="21"/>
          <w:szCs w:val="21"/>
        </w:rPr>
      </w:pPr>
      <w:r>
        <w:rPr>
          <w:rFonts w:hint="eastAsia" w:ascii="仿宋" w:hAnsi="仿宋" w:eastAsia="仿宋" w:cs="仿宋"/>
          <w:sz w:val="21"/>
          <w:szCs w:val="21"/>
        </w:rPr>
        <w:t>1.2 统计监管功能需求</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数据橛览：</w:t>
      </w:r>
      <w:r>
        <w:rPr>
          <w:rFonts w:hint="eastAsia" w:ascii="仿宋" w:hAnsi="仿宋" w:eastAsia="仿宋" w:cs="仿宋"/>
          <w:szCs w:val="21"/>
        </w:rPr>
        <w:t>提供各科室的今日、本周、本月、本年度已收集医疗废物详情预览,包含医疗废物类别与重量，实现医院废物总量变化趋势分析,支持收集工人数据统计功能。</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★统计报表：</w:t>
      </w:r>
      <w:r>
        <w:rPr>
          <w:rFonts w:hint="eastAsia" w:ascii="仿宋" w:hAnsi="仿宋" w:eastAsia="仿宋" w:cs="仿宋"/>
          <w:szCs w:val="21"/>
        </w:rPr>
        <w:t>支持医废院内交接报表、转运交接报表、出库统计报表、转运明细报表、科室医废报表、全院医废报表、收集人员工作量统计报表。具备医疗废物多维度统计查询功能，自动生成医疗废物年度、季度、月度及自定义时间区间汇总表单，自动生成医疗废物科室统计,交接统计、交接明细等表单，并形成可视化的柱状或折线交接统计图表，支持图表导出和打印功能。</w:t>
      </w:r>
    </w:p>
    <w:p>
      <w:pPr>
        <w:numPr>
          <w:ilvl w:val="0"/>
          <w:numId w:val="13"/>
        </w:numPr>
        <w:ind w:left="840"/>
        <w:rPr>
          <w:rFonts w:hint="eastAsia" w:ascii="仿宋" w:hAnsi="仿宋" w:eastAsia="仿宋" w:cs="仿宋"/>
          <w:color w:val="FF0000"/>
          <w:szCs w:val="21"/>
        </w:rPr>
      </w:pPr>
      <w:r>
        <w:rPr>
          <w:rFonts w:hint="eastAsia" w:ascii="仿宋" w:hAnsi="仿宋" w:eastAsia="仿宋" w:cs="仿宋"/>
          <w:b/>
          <w:bCs/>
          <w:szCs w:val="21"/>
        </w:rPr>
        <w:t>★数据深度分析：</w:t>
      </w:r>
      <w:r>
        <w:rPr>
          <w:rFonts w:hint="eastAsia" w:ascii="仿宋" w:hAnsi="仿宋" w:eastAsia="仿宋" w:cs="仿宋"/>
          <w:szCs w:val="21"/>
        </w:rPr>
        <w:t>支持收集袋数、重量、按医废类型、科室的时序图；支持收集人员工作量统计、医废状态分布、各类医废科室来源分析、重点关注科室等图标分析。</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医废管理：</w:t>
      </w:r>
      <w:r>
        <w:rPr>
          <w:rFonts w:hint="eastAsia" w:ascii="仿宋" w:hAnsi="仿宋" w:eastAsia="仿宋" w:cs="仿宋"/>
          <w:szCs w:val="21"/>
        </w:rPr>
        <w:t>支持库存查看，可查看当前库存量，今日入库量、出库量；支持按照医废管理流程，查看医废收集、交接、入库、出库、转运等记录明细数据。</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溯源管理：</w:t>
      </w:r>
      <w:r>
        <w:rPr>
          <w:rFonts w:hint="eastAsia" w:ascii="仿宋" w:hAnsi="仿宋" w:eastAsia="仿宋" w:cs="仿宋"/>
          <w:szCs w:val="21"/>
        </w:rPr>
        <w:t>在上述各项业务操作流程中，可通过扫描医疗废物垃圾袋或箱体上的二维码，获取当前医疗废物的来源、种类、重量、时间及之前所有经办人的信息等, .支持医疗废物在各个运输路径上的破损、遗漏或泄露登记,并及时上传登记信息，给出各项应对措施提示。</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★数据预警：</w:t>
      </w:r>
      <w:r>
        <w:rPr>
          <w:rFonts w:hint="eastAsia" w:ascii="仿宋" w:hAnsi="仿宋" w:eastAsia="仿宋" w:cs="仿宋"/>
          <w:szCs w:val="21"/>
        </w:rPr>
        <w:t>具备医疗废物未及时出入库情况和同期数据对比情况预警功能,预警阈值可由医疗机构业务部门在系统中自行设定。(如预警条件设定为:收集后8小时未入库、入库48小时内未出库)。</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数据上报：</w:t>
      </w:r>
      <w:r>
        <w:rPr>
          <w:rFonts w:hint="eastAsia" w:ascii="仿宋" w:hAnsi="仿宋" w:eastAsia="仿宋" w:cs="仿宋"/>
          <w:szCs w:val="21"/>
        </w:rPr>
        <w:t>具备医疗卫生机构各类医疗废物数据上报功能,使用市集中部署系统的医疗卫生机构实行数据实时上报；自建系统的二、三级医疗机构根据上级行政部门卫生信息平台接口文档要求，由系统自动完成数据上报。实现区域范围各地区、各医疗卫生机构医疗废物详情统计,形成大数据决策支持依据。</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视频监控功能：</w:t>
      </w:r>
      <w:r>
        <w:rPr>
          <w:rFonts w:hint="eastAsia" w:ascii="仿宋" w:hAnsi="仿宋" w:eastAsia="仿宋" w:cs="仿宋"/>
          <w:szCs w:val="21"/>
        </w:rPr>
        <w:t>支持暂存点数据实时查看，历史会看功能；</w:t>
      </w:r>
    </w:p>
    <w:p>
      <w:pPr>
        <w:pStyle w:val="7"/>
        <w:rPr>
          <w:rFonts w:hint="eastAsia" w:ascii="仿宋" w:hAnsi="仿宋" w:eastAsia="仿宋" w:cs="仿宋"/>
          <w:sz w:val="21"/>
          <w:szCs w:val="21"/>
        </w:rPr>
      </w:pPr>
      <w:r>
        <w:rPr>
          <w:rFonts w:hint="eastAsia" w:ascii="仿宋" w:hAnsi="仿宋" w:eastAsia="仿宋" w:cs="仿宋"/>
          <w:sz w:val="21"/>
          <w:szCs w:val="21"/>
        </w:rPr>
        <w:t>1.3 系统配置管理功能需求</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★机构管理：</w:t>
      </w:r>
      <w:r>
        <w:rPr>
          <w:rFonts w:hint="eastAsia" w:ascii="仿宋" w:hAnsi="仿宋" w:eastAsia="仿宋" w:cs="仿宋"/>
          <w:szCs w:val="21"/>
        </w:rPr>
        <w:t>支持医院、分院、科室、收集点（污物间）、暂存点、转运公司管理；其中科室维护需根据《国家卫生健康制度(2018 版)》中“医疗卫生机构业务科室分类与代码”目录，建立标准科室代码库，并与医院实际科室名称对应。具体内容包括：标准科室代码、标准科室名称、医院实际科室代码、医院实际科室名称、归集方式、可用状态。</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人员与角色管理：</w:t>
      </w:r>
      <w:r>
        <w:rPr>
          <w:rFonts w:hint="eastAsia" w:ascii="仿宋" w:hAnsi="仿宋" w:eastAsia="仿宋" w:cs="仿宋"/>
          <w:szCs w:val="21"/>
        </w:rPr>
        <w:t>根据信息数据交换标准，建立系统用户表单,对用户身份进行登记，给予用户角色分配，标识使用状态。具体内容包括:用户ID号、用户登录名、用户真实姓名、角色、使用状态。根据系统管理中角色分配，命名角色名称,对用户角色进行描述。至少分成系统管理员、科室交接人员、院内转运人员、处置公司人员等。对各角色权限进行分配和描述。</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设备与耗材管理：</w:t>
      </w:r>
      <w:r>
        <w:rPr>
          <w:rFonts w:hint="eastAsia" w:ascii="仿宋" w:hAnsi="仿宋" w:eastAsia="仿宋" w:cs="仿宋"/>
          <w:szCs w:val="21"/>
        </w:rPr>
        <w:t>对转运工具(车)、一体化智能收集、出入库终端等进行统计管理和授权认证。具体内容包括:设备ID,设备授权码，设备地址，设备类型，设备情况说明等。</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日志管理：</w:t>
      </w:r>
      <w:r>
        <w:rPr>
          <w:rFonts w:hint="eastAsia" w:ascii="仿宋" w:hAnsi="仿宋" w:eastAsia="仿宋" w:cs="仿宋"/>
          <w:szCs w:val="21"/>
        </w:rPr>
        <w:t>对用户系统操作进行记录。具体内容包括:用户ID、用户名、操作类型、登录时间等。</w:t>
      </w:r>
    </w:p>
    <w:p>
      <w:pPr>
        <w:numPr>
          <w:ilvl w:val="0"/>
          <w:numId w:val="13"/>
        </w:numPr>
        <w:ind w:left="840"/>
        <w:rPr>
          <w:rFonts w:hint="eastAsia" w:ascii="仿宋" w:hAnsi="仿宋" w:eastAsia="仿宋" w:cs="仿宋"/>
          <w:szCs w:val="21"/>
        </w:rPr>
      </w:pPr>
      <w:r>
        <w:rPr>
          <w:rFonts w:hint="eastAsia" w:ascii="仿宋" w:hAnsi="仿宋" w:eastAsia="仿宋" w:cs="仿宋"/>
          <w:b/>
          <w:bCs/>
          <w:szCs w:val="21"/>
        </w:rPr>
        <w:t>系统设置：</w:t>
      </w:r>
      <w:r>
        <w:rPr>
          <w:rFonts w:hint="eastAsia" w:ascii="仿宋" w:hAnsi="仿宋" w:eastAsia="仿宋" w:cs="仿宋"/>
          <w:szCs w:val="21"/>
        </w:rPr>
        <w:t>支持医废类型、异常类型、报警类型设置，以及相关参数设置。</w:t>
      </w:r>
    </w:p>
    <w:p>
      <w:pPr>
        <w:pStyle w:val="6"/>
        <w:numPr>
          <w:ilvl w:val="0"/>
          <w:numId w:val="12"/>
        </w:numPr>
        <w:rPr>
          <w:rFonts w:hint="eastAsia" w:ascii="仿宋" w:hAnsi="仿宋" w:eastAsia="仿宋" w:cs="仿宋"/>
        </w:rPr>
      </w:pPr>
      <w:r>
        <w:rPr>
          <w:rFonts w:hint="eastAsia" w:ascii="仿宋" w:hAnsi="仿宋" w:eastAsia="仿宋" w:cs="仿宋"/>
        </w:rPr>
        <w:t>一体化医废运转车（手动）</w:t>
      </w:r>
    </w:p>
    <w:p>
      <w:pPr>
        <w:numPr>
          <w:ilvl w:val="0"/>
          <w:numId w:val="14"/>
        </w:numPr>
        <w:ind w:left="840"/>
        <w:rPr>
          <w:rFonts w:hint="eastAsia" w:ascii="仿宋" w:hAnsi="仿宋" w:eastAsia="仿宋" w:cs="仿宋"/>
        </w:rPr>
      </w:pPr>
      <w:r>
        <w:rPr>
          <w:rFonts w:hint="eastAsia" w:ascii="仿宋" w:hAnsi="仿宋" w:eastAsia="仿宋" w:cs="仿宋"/>
        </w:rPr>
        <w:t>功能：用于院内医废转运，科室收集，能监控收运时间、轨迹、是否封闭运送；</w:t>
      </w:r>
    </w:p>
    <w:p>
      <w:pPr>
        <w:numPr>
          <w:ilvl w:val="0"/>
          <w:numId w:val="14"/>
        </w:numPr>
        <w:ind w:left="840"/>
        <w:rPr>
          <w:rFonts w:hint="eastAsia" w:ascii="仿宋" w:hAnsi="仿宋" w:eastAsia="仿宋" w:cs="仿宋"/>
        </w:rPr>
      </w:pPr>
      <w:r>
        <w:rPr>
          <w:rFonts w:hint="eastAsia" w:ascii="仿宋" w:hAnsi="仿宋" w:eastAsia="仿宋" w:cs="仿宋"/>
        </w:rPr>
        <w:t>材质：304不锈钢，焊接成型、不开裂、不生锈、不漏水、轻便坚固耐用；</w:t>
      </w:r>
    </w:p>
    <w:p>
      <w:pPr>
        <w:numPr>
          <w:ilvl w:val="0"/>
          <w:numId w:val="14"/>
        </w:numPr>
        <w:ind w:left="840"/>
        <w:rPr>
          <w:rFonts w:hint="eastAsia" w:ascii="仿宋" w:hAnsi="仿宋" w:eastAsia="仿宋" w:cs="仿宋"/>
        </w:rPr>
      </w:pPr>
      <w:r>
        <w:rPr>
          <w:rFonts w:hint="eastAsia" w:ascii="仿宋" w:hAnsi="仿宋" w:eastAsia="仿宋" w:cs="仿宋"/>
        </w:rPr>
        <w:t>开门：双开门（上开和侧开）；投物口与取物口分开；</w:t>
      </w:r>
    </w:p>
    <w:p>
      <w:pPr>
        <w:numPr>
          <w:ilvl w:val="0"/>
          <w:numId w:val="14"/>
        </w:numPr>
        <w:ind w:left="840"/>
        <w:rPr>
          <w:rFonts w:hint="eastAsia" w:ascii="仿宋" w:hAnsi="仿宋" w:eastAsia="仿宋" w:cs="仿宋"/>
        </w:rPr>
      </w:pPr>
      <w:r>
        <w:rPr>
          <w:rFonts w:hint="eastAsia" w:ascii="仿宋" w:hAnsi="仿宋" w:eastAsia="仿宋" w:cs="仿宋"/>
        </w:rPr>
        <w:t>轮子：2个万向轮、2个定轮，耐磨静音材质，移动方便；</w:t>
      </w:r>
    </w:p>
    <w:p>
      <w:pPr>
        <w:numPr>
          <w:ilvl w:val="0"/>
          <w:numId w:val="14"/>
        </w:numPr>
        <w:ind w:left="840"/>
        <w:rPr>
          <w:rFonts w:hint="eastAsia" w:ascii="仿宋" w:hAnsi="仿宋" w:eastAsia="仿宋" w:cs="仿宋"/>
        </w:rPr>
      </w:pPr>
      <w:r>
        <w:rPr>
          <w:rFonts w:hint="eastAsia" w:ascii="仿宋" w:hAnsi="仿宋" w:eastAsia="仿宋" w:cs="仿宋"/>
        </w:rPr>
        <w:t>尺寸及容量：宽度不大于70cm；适合医院电梯上下使用</w:t>
      </w:r>
    </w:p>
    <w:p>
      <w:pPr>
        <w:numPr>
          <w:ilvl w:val="0"/>
          <w:numId w:val="14"/>
        </w:numPr>
        <w:ind w:left="840"/>
        <w:rPr>
          <w:rFonts w:hint="eastAsia" w:ascii="仿宋" w:hAnsi="仿宋" w:eastAsia="仿宋" w:cs="仿宋"/>
        </w:rPr>
      </w:pPr>
      <w:r>
        <w:rPr>
          <w:rFonts w:hint="eastAsia" w:ascii="仿宋" w:hAnsi="仿宋" w:eastAsia="仿宋" w:cs="仿宋"/>
        </w:rPr>
        <w:t>车体功能：操作区、医废放置区、称重区、消毒区、耗材收纳区；</w:t>
      </w:r>
    </w:p>
    <w:p>
      <w:pPr>
        <w:numPr>
          <w:ilvl w:val="0"/>
          <w:numId w:val="14"/>
        </w:numPr>
        <w:ind w:left="840"/>
        <w:rPr>
          <w:rFonts w:hint="eastAsia" w:ascii="仿宋" w:hAnsi="仿宋" w:eastAsia="仿宋" w:cs="仿宋"/>
        </w:rPr>
      </w:pPr>
      <w:r>
        <w:rPr>
          <w:rFonts w:hint="eastAsia" w:ascii="仿宋" w:hAnsi="仿宋" w:eastAsia="仿宋" w:cs="仿宋"/>
        </w:rPr>
        <w:t>耐酸、耐碱、耐高温，密闭处理；</w:t>
      </w:r>
    </w:p>
    <w:p>
      <w:pPr>
        <w:numPr>
          <w:ilvl w:val="0"/>
          <w:numId w:val="14"/>
        </w:numPr>
        <w:ind w:left="840"/>
        <w:rPr>
          <w:rFonts w:hint="eastAsia" w:ascii="仿宋" w:hAnsi="仿宋" w:eastAsia="仿宋" w:cs="仿宋"/>
        </w:rPr>
      </w:pPr>
      <w:r>
        <w:rPr>
          <w:rFonts w:hint="eastAsia" w:ascii="仿宋" w:hAnsi="仿宋" w:eastAsia="仿宋" w:cs="仿宋"/>
        </w:rPr>
        <w:t>有明显的医废标识；</w:t>
      </w:r>
    </w:p>
    <w:p>
      <w:pPr>
        <w:numPr>
          <w:ilvl w:val="0"/>
          <w:numId w:val="14"/>
        </w:numPr>
        <w:ind w:left="840"/>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rPr>
        <w:t>车体集成：含扫码枪、语音模块、室内定位模块、称重模块、打印模块、4G通信模块、科室信息自动识别模块</w:t>
      </w:r>
    </w:p>
    <w:p>
      <w:pPr>
        <w:numPr>
          <w:ilvl w:val="0"/>
          <w:numId w:val="14"/>
        </w:numPr>
        <w:ind w:left="840"/>
        <w:rPr>
          <w:rFonts w:hint="eastAsia" w:ascii="仿宋" w:hAnsi="仿宋" w:eastAsia="仿宋" w:cs="仿宋"/>
        </w:rPr>
      </w:pPr>
      <w:r>
        <w:rPr>
          <w:rFonts w:hint="eastAsia" w:ascii="仿宋" w:hAnsi="仿宋" w:eastAsia="仿宋" w:cs="仿宋"/>
        </w:rPr>
        <w:t>操作简便，医废收集效率高，节省收集工人工作时间</w:t>
      </w:r>
    </w:p>
    <w:p>
      <w:pPr>
        <w:pStyle w:val="6"/>
        <w:numPr>
          <w:ilvl w:val="0"/>
          <w:numId w:val="12"/>
        </w:numPr>
        <w:rPr>
          <w:rFonts w:hint="eastAsia" w:ascii="仿宋" w:hAnsi="仿宋" w:eastAsia="仿宋" w:cs="仿宋"/>
        </w:rPr>
      </w:pPr>
      <w:r>
        <w:rPr>
          <w:rFonts w:hint="eastAsia" w:ascii="仿宋" w:hAnsi="仿宋" w:eastAsia="仿宋" w:cs="仿宋"/>
        </w:rPr>
        <w:t>一体化出入库终端（台秤）</w:t>
      </w:r>
    </w:p>
    <w:p>
      <w:pPr>
        <w:numPr>
          <w:ilvl w:val="0"/>
          <w:numId w:val="14"/>
        </w:numPr>
        <w:ind w:left="840"/>
        <w:rPr>
          <w:rFonts w:hint="eastAsia" w:ascii="仿宋" w:hAnsi="仿宋" w:eastAsia="仿宋" w:cs="仿宋"/>
        </w:rPr>
      </w:pPr>
      <w:r>
        <w:rPr>
          <w:rFonts w:hint="eastAsia" w:ascii="仿宋" w:hAnsi="仿宋" w:eastAsia="仿宋" w:cs="仿宋"/>
        </w:rPr>
        <w:t>扫码功能：集成一体；打印功能：内置无线打印机；称重功能：集成一体</w:t>
      </w:r>
    </w:p>
    <w:p>
      <w:pPr>
        <w:numPr>
          <w:ilvl w:val="0"/>
          <w:numId w:val="14"/>
        </w:numPr>
        <w:ind w:left="840"/>
        <w:rPr>
          <w:rFonts w:hint="eastAsia" w:ascii="仿宋" w:hAnsi="仿宋" w:eastAsia="仿宋" w:cs="仿宋"/>
        </w:rPr>
      </w:pPr>
      <w:r>
        <w:rPr>
          <w:rFonts w:hint="eastAsia" w:ascii="仿宋" w:hAnsi="仿宋" w:eastAsia="仿宋" w:cs="仿宋"/>
        </w:rPr>
        <w:t>通信支持：4G cat.1 LTE-FDD:B1/B3/B5/B8,LTE-TDD:B34/B38/B39/B40/B41；</w:t>
      </w:r>
    </w:p>
    <w:p>
      <w:pPr>
        <w:numPr>
          <w:ilvl w:val="0"/>
          <w:numId w:val="14"/>
        </w:numPr>
        <w:ind w:left="840"/>
        <w:rPr>
          <w:rFonts w:hint="eastAsia" w:ascii="仿宋" w:hAnsi="仿宋" w:eastAsia="仿宋" w:cs="仿宋"/>
        </w:rPr>
      </w:pPr>
      <w:r>
        <w:rPr>
          <w:rFonts w:hint="eastAsia" w:ascii="仿宋" w:hAnsi="仿宋" w:eastAsia="仿宋" w:cs="仿宋"/>
        </w:rPr>
        <w:t>蓝牙参数：私有无线协议；</w:t>
      </w:r>
    </w:p>
    <w:p>
      <w:pPr>
        <w:numPr>
          <w:ilvl w:val="0"/>
          <w:numId w:val="14"/>
        </w:numPr>
        <w:ind w:left="840"/>
        <w:rPr>
          <w:rFonts w:hint="eastAsia" w:ascii="仿宋" w:hAnsi="仿宋" w:eastAsia="仿宋" w:cs="仿宋"/>
        </w:rPr>
      </w:pPr>
      <w:r>
        <w:rPr>
          <w:rFonts w:hint="eastAsia" w:ascii="仿宋" w:hAnsi="仿宋" w:eastAsia="仿宋" w:cs="仿宋"/>
        </w:rPr>
        <w:t>语音助手：支持，操作过程语音播报</w:t>
      </w:r>
    </w:p>
    <w:p>
      <w:pPr>
        <w:numPr>
          <w:ilvl w:val="0"/>
          <w:numId w:val="14"/>
        </w:numPr>
        <w:ind w:left="840"/>
        <w:rPr>
          <w:rFonts w:hint="eastAsia" w:ascii="仿宋" w:hAnsi="仿宋" w:eastAsia="仿宋" w:cs="仿宋"/>
        </w:rPr>
      </w:pPr>
      <w:r>
        <w:rPr>
          <w:rFonts w:hint="eastAsia" w:ascii="仿宋" w:hAnsi="仿宋" w:eastAsia="仿宋" w:cs="仿宋"/>
        </w:rPr>
        <w:t>类型选择：物理按键；</w:t>
      </w:r>
    </w:p>
    <w:p>
      <w:pPr>
        <w:numPr>
          <w:ilvl w:val="0"/>
          <w:numId w:val="15"/>
        </w:numPr>
        <w:rPr>
          <w:rFonts w:hint="eastAsia" w:ascii="仿宋" w:hAnsi="仿宋" w:eastAsia="仿宋" w:cs="仿宋"/>
        </w:rPr>
      </w:pPr>
      <w:r>
        <w:rPr>
          <w:rFonts w:hint="eastAsia" w:ascii="仿宋" w:hAnsi="仿宋" w:eastAsia="仿宋" w:cs="仿宋"/>
        </w:rPr>
        <w:t>蓝牙参数：私有无线协议</w:t>
      </w:r>
    </w:p>
    <w:p>
      <w:pPr>
        <w:numPr>
          <w:ilvl w:val="0"/>
          <w:numId w:val="15"/>
        </w:numPr>
        <w:rPr>
          <w:rFonts w:hint="eastAsia" w:ascii="仿宋" w:hAnsi="仿宋" w:eastAsia="仿宋" w:cs="仿宋"/>
        </w:rPr>
      </w:pPr>
      <w:r>
        <w:rPr>
          <w:rFonts w:hint="eastAsia" w:ascii="仿宋" w:hAnsi="仿宋" w:eastAsia="仿宋" w:cs="仿宋"/>
        </w:rPr>
        <w:t>语音助手：支持，操作过程语音播报</w:t>
      </w:r>
    </w:p>
    <w:p>
      <w:pPr>
        <w:numPr>
          <w:ilvl w:val="0"/>
          <w:numId w:val="15"/>
        </w:numPr>
        <w:rPr>
          <w:rFonts w:hint="eastAsia" w:ascii="仿宋" w:hAnsi="仿宋" w:eastAsia="仿宋" w:cs="仿宋"/>
        </w:rPr>
      </w:pPr>
      <w:r>
        <w:rPr>
          <w:rFonts w:hint="eastAsia" w:ascii="仿宋" w:hAnsi="仿宋" w:eastAsia="仿宋" w:cs="仿宋"/>
        </w:rPr>
        <w:t>类型选择：物理按键</w:t>
      </w:r>
    </w:p>
    <w:p>
      <w:pPr>
        <w:pStyle w:val="6"/>
        <w:numPr>
          <w:ilvl w:val="0"/>
          <w:numId w:val="0"/>
        </w:numPr>
        <w:ind w:leftChars="0"/>
        <w:rPr>
          <w:rFonts w:hint="eastAsia" w:ascii="仿宋" w:hAnsi="仿宋" w:eastAsia="仿宋" w:cs="仿宋"/>
          <w:color w:val="000000"/>
          <w:kern w:val="0"/>
          <w:szCs w:val="28"/>
          <w:lang w:bidi="ar"/>
        </w:rPr>
      </w:pPr>
      <w:r>
        <w:rPr>
          <w:rFonts w:hint="eastAsia" w:ascii="仿宋" w:hAnsi="仿宋" w:eastAsia="仿宋" w:cs="仿宋"/>
          <w:color w:val="000000"/>
          <w:kern w:val="0"/>
          <w:szCs w:val="28"/>
          <w:lang w:val="en-US" w:eastAsia="zh-CN" w:bidi="ar"/>
        </w:rPr>
        <w:t>4）</w:t>
      </w:r>
      <w:r>
        <w:rPr>
          <w:rFonts w:hint="eastAsia" w:ascii="仿宋" w:hAnsi="仿宋" w:eastAsia="仿宋" w:cs="仿宋"/>
          <w:color w:val="000000"/>
          <w:kern w:val="0"/>
          <w:szCs w:val="28"/>
          <w:lang w:bidi="ar"/>
        </w:rPr>
        <w:t>三防不干胶</w:t>
      </w:r>
    </w:p>
    <w:p>
      <w:pPr>
        <w:numPr>
          <w:ilvl w:val="0"/>
          <w:numId w:val="16"/>
        </w:numPr>
        <w:rPr>
          <w:rFonts w:hint="eastAsia" w:ascii="仿宋" w:hAnsi="仿宋" w:eastAsia="仿宋" w:cs="仿宋"/>
        </w:rPr>
      </w:pPr>
      <w:r>
        <w:rPr>
          <w:rFonts w:hint="eastAsia" w:ascii="仿宋" w:hAnsi="仿宋" w:eastAsia="仿宋" w:cs="仿宋"/>
        </w:rPr>
        <w:t>支持医废信息打印，用于粘贴在医废袋上和科室登记本上。</w:t>
      </w:r>
    </w:p>
    <w:p>
      <w:pPr>
        <w:numPr>
          <w:ilvl w:val="0"/>
          <w:numId w:val="16"/>
        </w:numPr>
        <w:rPr>
          <w:rFonts w:hint="eastAsia" w:ascii="仿宋" w:hAnsi="仿宋" w:eastAsia="仿宋" w:cs="仿宋"/>
        </w:rPr>
      </w:pPr>
      <w:r>
        <w:rPr>
          <w:rFonts w:hint="eastAsia" w:ascii="仿宋" w:hAnsi="仿宋" w:eastAsia="仿宋" w:cs="仿宋"/>
        </w:rPr>
        <w:t>尺寸：57*40mm，每卷200粒</w:t>
      </w:r>
    </w:p>
    <w:p>
      <w:pPr>
        <w:numPr>
          <w:ilvl w:val="0"/>
          <w:numId w:val="16"/>
        </w:numPr>
        <w:rPr>
          <w:rFonts w:hint="eastAsia" w:ascii="仿宋" w:hAnsi="仿宋" w:eastAsia="仿宋" w:cs="仿宋"/>
        </w:rPr>
      </w:pPr>
      <w:r>
        <w:rPr>
          <w:rFonts w:hint="eastAsia" w:ascii="仿宋" w:hAnsi="仿宋" w:eastAsia="仿宋" w:cs="仿宋"/>
        </w:rPr>
        <w:t>三防：防水、防油、防酒精</w:t>
      </w:r>
    </w:p>
    <w:p>
      <w:pPr>
        <w:numPr>
          <w:ilvl w:val="0"/>
          <w:numId w:val="16"/>
        </w:numPr>
        <w:rPr>
          <w:rFonts w:hint="eastAsia" w:ascii="仿宋" w:hAnsi="仿宋" w:eastAsia="仿宋" w:cs="仿宋"/>
        </w:rPr>
      </w:pPr>
      <w:r>
        <w:rPr>
          <w:rFonts w:hint="eastAsia" w:ascii="仿宋" w:hAnsi="仿宋" w:eastAsia="仿宋" w:cs="仿宋"/>
        </w:rPr>
        <w:t>贴于登记本上的、常温可保存3年，字迹清晰；</w:t>
      </w:r>
    </w:p>
    <w:p>
      <w:pPr>
        <w:spacing w:before="240" w:beforeLines="100" w:after="240" w:afterLines="100"/>
        <w:jc w:val="center"/>
        <w:rPr>
          <w:rFonts w:hint="eastAsia" w:ascii="仿宋" w:hAnsi="仿宋" w:eastAsia="仿宋" w:cs="仿宋"/>
          <w:b/>
          <w:bCs/>
          <w:sz w:val="28"/>
          <w:szCs w:val="28"/>
          <w:lang w:val="zh-CN"/>
        </w:rPr>
      </w:pPr>
    </w:p>
    <w:p>
      <w:pPr>
        <w:spacing w:before="240" w:beforeLines="100" w:after="240" w:afterLines="100"/>
        <w:jc w:val="center"/>
        <w:rPr>
          <w:rFonts w:hint="eastAsia" w:ascii="仿宋" w:hAnsi="仿宋" w:eastAsia="仿宋" w:cs="仿宋"/>
          <w:b/>
          <w:bCs/>
          <w:sz w:val="28"/>
          <w:szCs w:val="28"/>
          <w:lang w:val="zh-CN"/>
        </w:rPr>
      </w:pPr>
    </w:p>
    <w:p>
      <w:pPr>
        <w:spacing w:before="240" w:beforeLines="100" w:after="240" w:afterLines="100"/>
        <w:jc w:val="center"/>
        <w:rPr>
          <w:rFonts w:hint="eastAsia" w:ascii="仿宋" w:hAnsi="仿宋" w:eastAsia="仿宋" w:cs="仿宋"/>
          <w:b/>
          <w:bCs/>
          <w:sz w:val="28"/>
          <w:szCs w:val="28"/>
          <w:lang w:val="zh-CN"/>
        </w:rPr>
      </w:pPr>
    </w:p>
    <w:p>
      <w:pPr>
        <w:spacing w:before="240" w:beforeLines="100" w:after="240" w:afterLines="100"/>
        <w:jc w:val="center"/>
        <w:rPr>
          <w:rFonts w:hint="eastAsia" w:ascii="仿宋" w:hAnsi="仿宋" w:eastAsia="仿宋" w:cs="仿宋"/>
          <w:b/>
          <w:bCs/>
          <w:sz w:val="28"/>
          <w:szCs w:val="28"/>
          <w:lang w:val="zh-CN"/>
        </w:rPr>
      </w:pPr>
    </w:p>
    <w:p>
      <w:pPr>
        <w:spacing w:before="240" w:beforeLines="100" w:after="240" w:afterLines="100"/>
        <w:jc w:val="center"/>
        <w:rPr>
          <w:rFonts w:hint="eastAsia" w:ascii="仿宋" w:hAnsi="仿宋" w:eastAsia="仿宋" w:cs="仿宋"/>
          <w:b/>
          <w:bCs/>
          <w:sz w:val="28"/>
          <w:szCs w:val="28"/>
          <w:lang w:val="zh-CN"/>
        </w:rPr>
      </w:pPr>
    </w:p>
    <w:p>
      <w:pPr>
        <w:spacing w:before="240" w:beforeLines="100" w:after="240" w:afterLines="100"/>
        <w:jc w:val="center"/>
        <w:rPr>
          <w:rFonts w:hint="eastAsia" w:ascii="仿宋" w:hAnsi="仿宋" w:eastAsia="仿宋" w:cs="仿宋"/>
          <w:b/>
          <w:bCs/>
          <w:sz w:val="28"/>
          <w:szCs w:val="28"/>
          <w:lang w:val="zh-CN"/>
        </w:rPr>
      </w:pPr>
    </w:p>
    <w:p>
      <w:pPr>
        <w:spacing w:before="240" w:beforeLines="100" w:after="240" w:afterLines="100"/>
        <w:jc w:val="center"/>
        <w:rPr>
          <w:rFonts w:hint="eastAsia" w:ascii="仿宋" w:hAnsi="仿宋" w:eastAsia="仿宋" w:cs="仿宋"/>
          <w:b/>
          <w:bCs/>
          <w:sz w:val="28"/>
          <w:szCs w:val="28"/>
          <w:lang w:val="zh-CN"/>
        </w:rPr>
      </w:pPr>
    </w:p>
    <w:p>
      <w:pPr>
        <w:spacing w:before="240" w:beforeLines="100" w:after="240" w:afterLines="100"/>
        <w:jc w:val="center"/>
        <w:rPr>
          <w:rFonts w:hint="eastAsia" w:ascii="仿宋" w:hAnsi="仿宋" w:eastAsia="仿宋" w:cs="仿宋"/>
          <w:b/>
          <w:bCs/>
          <w:sz w:val="28"/>
          <w:szCs w:val="28"/>
          <w:lang w:val="zh-CN"/>
        </w:rPr>
      </w:pPr>
    </w:p>
    <w:p>
      <w:pPr>
        <w:pStyle w:val="31"/>
        <w:widowControl/>
        <w:numPr>
          <w:ilvl w:val="0"/>
          <w:numId w:val="0"/>
        </w:numPr>
        <w:spacing w:line="360" w:lineRule="auto"/>
        <w:jc w:val="both"/>
        <w:rPr>
          <w:rFonts w:hint="eastAsia" w:ascii="仿宋" w:hAnsi="仿宋" w:eastAsia="仿宋" w:cs="仿宋"/>
          <w:color w:val="auto"/>
          <w:kern w:val="2"/>
          <w:sz w:val="48"/>
          <w:szCs w:val="48"/>
        </w:rPr>
      </w:pPr>
      <w:bookmarkStart w:id="120" w:name="_Toc130180843"/>
      <w:bookmarkStart w:id="121" w:name="_Toc130180924"/>
      <w:bookmarkStart w:id="122" w:name="_Toc130180738"/>
      <w:bookmarkStart w:id="123" w:name="_Toc31409"/>
    </w:p>
    <w:p>
      <w:pPr>
        <w:pStyle w:val="3"/>
        <w:keepLines w:val="0"/>
        <w:numPr>
          <w:ilvl w:val="0"/>
          <w:numId w:val="2"/>
        </w:numPr>
        <w:spacing w:before="0" w:after="0" w:line="360" w:lineRule="auto"/>
        <w:ind w:left="0" w:leftChars="0" w:right="-441" w:rightChars="-210" w:firstLine="0" w:firstLineChars="0"/>
        <w:jc w:val="center"/>
        <w:rPr>
          <w:rFonts w:hint="eastAsia" w:ascii="仿宋" w:hAnsi="仿宋" w:eastAsia="仿宋" w:cs="仿宋"/>
          <w:color w:val="auto"/>
          <w:kern w:val="2"/>
          <w:sz w:val="48"/>
          <w:szCs w:val="48"/>
        </w:rPr>
      </w:pPr>
      <w:r>
        <w:rPr>
          <w:rFonts w:hint="eastAsia" w:ascii="仿宋" w:hAnsi="仿宋" w:eastAsia="仿宋" w:cs="仿宋"/>
          <w:color w:val="auto"/>
          <w:kern w:val="2"/>
          <w:sz w:val="48"/>
          <w:szCs w:val="48"/>
        </w:rPr>
        <w:t xml:space="preserve"> 采购合同</w:t>
      </w:r>
      <w:bookmarkEnd w:id="120"/>
      <w:bookmarkEnd w:id="121"/>
      <w:bookmarkEnd w:id="122"/>
      <w:bookmarkEnd w:id="123"/>
    </w:p>
    <w:p>
      <w:pPr>
        <w:spacing w:line="360" w:lineRule="auto"/>
        <w:jc w:val="center"/>
        <w:rPr>
          <w:rFonts w:hint="eastAsia" w:ascii="仿宋" w:hAnsi="仿宋" w:eastAsia="仿宋" w:cs="仿宋"/>
          <w:b/>
          <w:bCs/>
          <w:color w:val="auto"/>
          <w:lang w:eastAsia="zh-CN"/>
        </w:rPr>
      </w:pP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 xml:space="preserve">仅供参考 </w:t>
      </w:r>
      <w:r>
        <w:rPr>
          <w:rFonts w:hint="eastAsia" w:ascii="仿宋" w:hAnsi="仿宋" w:eastAsia="仿宋" w:cs="仿宋"/>
          <w:b/>
          <w:bCs/>
          <w:color w:val="auto"/>
          <w:lang w:eastAsia="zh-CN"/>
        </w:rPr>
        <w:t>）</w:t>
      </w:r>
    </w:p>
    <w:p>
      <w:pPr>
        <w:adjustRightInd w:val="0"/>
        <w:snapToGrid w:val="0"/>
        <w:spacing w:line="360" w:lineRule="auto"/>
        <w:jc w:val="center"/>
        <w:rPr>
          <w:rFonts w:hint="eastAsia" w:ascii="仿宋" w:hAnsi="仿宋" w:eastAsia="仿宋" w:cs="仿宋"/>
          <w:color w:val="auto"/>
          <w:sz w:val="44"/>
          <w:szCs w:val="44"/>
          <w:lang w:eastAsia="zh-CN"/>
        </w:rPr>
      </w:pPr>
      <w:bookmarkStart w:id="124" w:name="_Toc130180844"/>
      <w:bookmarkStart w:id="125" w:name="_Toc130180739"/>
      <w:bookmarkStart w:id="126" w:name="_Toc31345"/>
      <w:bookmarkStart w:id="127" w:name="_Toc130180925"/>
      <w:r>
        <w:rPr>
          <w:rFonts w:hint="eastAsia" w:ascii="仿宋" w:hAnsi="仿宋" w:eastAsia="仿宋" w:cs="仿宋"/>
          <w:color w:val="auto"/>
          <w:sz w:val="44"/>
          <w:szCs w:val="44"/>
          <w:lang w:eastAsia="zh-CN"/>
        </w:rPr>
        <w:t>特克斯县中医医院</w:t>
      </w:r>
    </w:p>
    <w:p>
      <w:pPr>
        <w:tabs>
          <w:tab w:val="center" w:pos="4536"/>
          <w:tab w:val="left" w:pos="7560"/>
        </w:tabs>
        <w:adjustRightInd w:val="0"/>
        <w:snapToGrid w:val="0"/>
        <w:spacing w:line="360" w:lineRule="auto"/>
        <w:jc w:val="left"/>
        <w:rPr>
          <w:rFonts w:hint="eastAsia" w:ascii="仿宋" w:hAnsi="仿宋" w:eastAsia="仿宋" w:cs="仿宋"/>
          <w:color w:val="auto"/>
          <w:sz w:val="30"/>
          <w:szCs w:val="30"/>
        </w:rPr>
      </w:pPr>
      <w:r>
        <w:rPr>
          <w:rFonts w:hint="eastAsia" w:ascii="仿宋" w:hAnsi="仿宋" w:eastAsia="仿宋" w:cs="仿宋"/>
          <w:color w:val="auto"/>
          <w:w w:val="110"/>
          <w:sz w:val="44"/>
          <w:szCs w:val="44"/>
        </w:rPr>
        <w:tab/>
      </w:r>
      <w:r>
        <w:rPr>
          <w:rFonts w:hint="eastAsia" w:ascii="仿宋" w:hAnsi="仿宋" w:eastAsia="仿宋" w:cs="仿宋"/>
          <w:color w:val="auto"/>
          <w:w w:val="110"/>
          <w:sz w:val="44"/>
          <w:szCs w:val="44"/>
        </w:rPr>
        <w:t xml:space="preserve">采 购 </w:t>
      </w:r>
      <w:r>
        <w:rPr>
          <w:rFonts w:hint="eastAsia" w:ascii="仿宋" w:hAnsi="仿宋" w:eastAsia="仿宋" w:cs="仿宋"/>
          <w:color w:val="auto"/>
          <w:sz w:val="44"/>
          <w:szCs w:val="44"/>
        </w:rPr>
        <w:t>合 同</w:t>
      </w:r>
      <w:r>
        <w:rPr>
          <w:rFonts w:hint="eastAsia" w:ascii="仿宋" w:hAnsi="仿宋" w:eastAsia="仿宋" w:cs="仿宋"/>
          <w:color w:val="auto"/>
          <w:sz w:val="30"/>
          <w:szCs w:val="30"/>
        </w:rPr>
        <w:tab/>
      </w:r>
    </w:p>
    <w:p>
      <w:pPr>
        <w:adjustRightInd w:val="0"/>
        <w:snapToGrid w:val="0"/>
        <w:spacing w:line="360" w:lineRule="auto"/>
        <w:ind w:firstLine="1050" w:firstLineChars="500"/>
        <w:rPr>
          <w:rFonts w:hint="eastAsia" w:ascii="仿宋" w:hAnsi="仿宋" w:eastAsia="仿宋" w:cs="仿宋"/>
          <w:color w:val="auto"/>
          <w:szCs w:val="21"/>
        </w:rPr>
      </w:pPr>
    </w:p>
    <w:p>
      <w:pPr>
        <w:adjustRightInd w:val="0"/>
        <w:snapToGrid w:val="0"/>
        <w:spacing w:line="360" w:lineRule="auto"/>
        <w:ind w:firstLine="1500" w:firstLineChars="500"/>
        <w:rPr>
          <w:rFonts w:hint="eastAsia" w:ascii="仿宋" w:hAnsi="仿宋" w:eastAsia="仿宋" w:cs="仿宋"/>
          <w:color w:val="auto"/>
          <w:sz w:val="30"/>
          <w:szCs w:val="30"/>
        </w:rPr>
      </w:pPr>
      <w:r>
        <w:rPr>
          <w:rFonts w:hint="eastAsia" w:ascii="仿宋" w:hAnsi="仿宋" w:eastAsia="仿宋" w:cs="仿宋"/>
          <w:color w:val="auto"/>
          <w:sz w:val="30"/>
          <w:szCs w:val="30"/>
        </w:rPr>
        <w:t>项目编号：</w:t>
      </w:r>
    </w:p>
    <w:p>
      <w:pPr>
        <w:adjustRightInd w:val="0"/>
        <w:snapToGrid w:val="0"/>
        <w:spacing w:line="360" w:lineRule="auto"/>
        <w:ind w:firstLine="1500" w:firstLineChars="500"/>
        <w:rPr>
          <w:rFonts w:hint="eastAsia" w:ascii="仿宋" w:hAnsi="仿宋" w:eastAsia="仿宋" w:cs="仿宋"/>
          <w:color w:val="auto"/>
          <w:sz w:val="30"/>
          <w:szCs w:val="30"/>
        </w:rPr>
      </w:pPr>
      <w:r>
        <w:rPr>
          <w:rFonts w:hint="eastAsia" w:ascii="仿宋" w:hAnsi="仿宋" w:eastAsia="仿宋" w:cs="仿宋"/>
          <w:color w:val="auto"/>
          <w:sz w:val="30"/>
          <w:szCs w:val="30"/>
        </w:rPr>
        <w:t>合同编号：</w:t>
      </w:r>
    </w:p>
    <w:p>
      <w:pPr>
        <w:adjustRightInd w:val="0"/>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      年度）</w:t>
      </w:r>
    </w:p>
    <w:p>
      <w:pPr>
        <w:widowControl/>
        <w:adjustRightInd w:val="0"/>
        <w:snapToGrid w:val="0"/>
        <w:spacing w:line="360" w:lineRule="auto"/>
        <w:jc w:val="center"/>
        <w:rPr>
          <w:rFonts w:hint="eastAsia" w:ascii="仿宋" w:hAnsi="仿宋" w:eastAsia="仿宋" w:cs="仿宋"/>
          <w:color w:val="auto"/>
          <w:kern w:val="0"/>
          <w:szCs w:val="21"/>
        </w:rPr>
      </w:pPr>
      <w:r>
        <w:rPr>
          <w:rFonts w:hint="eastAsia" w:ascii="仿宋" w:hAnsi="仿宋" w:eastAsia="仿宋" w:cs="仿宋"/>
          <w:color w:val="auto"/>
          <w:szCs w:val="21"/>
        </w:rPr>
        <w:t xml:space="preserve">      </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p>
    <w:p>
      <w:pPr>
        <w:adjustRightInd w:val="0"/>
        <w:snapToGrid w:val="0"/>
        <w:spacing w:line="360" w:lineRule="auto"/>
        <w:rPr>
          <w:rFonts w:hint="eastAsia" w:ascii="仿宋" w:hAnsi="仿宋" w:eastAsia="仿宋" w:cs="仿宋"/>
          <w:color w:val="auto"/>
          <w:szCs w:val="21"/>
        </w:rPr>
      </w:pPr>
    </w:p>
    <w:p>
      <w:pPr>
        <w:adjustRightInd w:val="0"/>
        <w:snapToGrid w:val="0"/>
        <w:spacing w:line="360" w:lineRule="auto"/>
        <w:rPr>
          <w:rFonts w:hint="eastAsia" w:ascii="仿宋" w:hAnsi="仿宋" w:eastAsia="仿宋" w:cs="仿宋"/>
          <w:color w:val="auto"/>
          <w:szCs w:val="21"/>
        </w:rPr>
      </w:pPr>
    </w:p>
    <w:p>
      <w:pPr>
        <w:adjustRightInd w:val="0"/>
        <w:snapToGrid w:val="0"/>
        <w:spacing w:line="360" w:lineRule="auto"/>
        <w:ind w:firstLine="966" w:firstLineChars="345"/>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甲  方：</w:t>
      </w:r>
      <w:r>
        <w:rPr>
          <w:rFonts w:hint="eastAsia" w:ascii="仿宋" w:hAnsi="仿宋" w:eastAsia="仿宋" w:cs="仿宋"/>
          <w:color w:val="auto"/>
          <w:sz w:val="28"/>
          <w:szCs w:val="28"/>
          <w:lang w:eastAsia="zh-CN"/>
        </w:rPr>
        <w:t>特克斯县中医医院</w:t>
      </w:r>
    </w:p>
    <w:p>
      <w:pPr>
        <w:adjustRightInd w:val="0"/>
        <w:snapToGrid w:val="0"/>
        <w:spacing w:line="360" w:lineRule="auto"/>
        <w:ind w:firstLine="966" w:firstLineChars="345"/>
        <w:rPr>
          <w:rFonts w:hint="eastAsia" w:ascii="仿宋" w:hAnsi="仿宋" w:eastAsia="仿宋" w:cs="仿宋"/>
          <w:color w:val="auto"/>
          <w:sz w:val="28"/>
          <w:szCs w:val="28"/>
        </w:rPr>
      </w:pPr>
      <w:r>
        <w:rPr>
          <w:rFonts w:hint="eastAsia" w:ascii="仿宋" w:hAnsi="仿宋" w:eastAsia="仿宋" w:cs="仿宋"/>
          <w:color w:val="auto"/>
          <w:sz w:val="28"/>
          <w:szCs w:val="28"/>
        </w:rPr>
        <w:t xml:space="preserve">乙  方： </w:t>
      </w:r>
    </w:p>
    <w:p>
      <w:pPr>
        <w:adjustRightInd w:val="0"/>
        <w:snapToGrid w:val="0"/>
        <w:spacing w:line="360" w:lineRule="auto"/>
        <w:jc w:val="center"/>
        <w:rPr>
          <w:rFonts w:hint="eastAsia" w:ascii="仿宋" w:hAnsi="仿宋" w:eastAsia="仿宋" w:cs="仿宋"/>
          <w:color w:val="auto"/>
          <w:sz w:val="28"/>
          <w:szCs w:val="28"/>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 xml:space="preserve">合同签订地点：                             </w:t>
      </w:r>
    </w:p>
    <w:p>
      <w:pPr>
        <w:adjustRightInd w:val="0"/>
        <w:snapToGrid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二O二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p>
    <w:p>
      <w:pPr>
        <w:adjustRightInd w:val="0"/>
        <w:snapToGrid w:val="0"/>
        <w:spacing w:line="360" w:lineRule="auto"/>
        <w:jc w:val="center"/>
        <w:rPr>
          <w:rFonts w:hint="eastAsia" w:ascii="仿宋" w:hAnsi="仿宋" w:eastAsia="仿宋" w:cs="仿宋"/>
          <w:color w:val="auto"/>
          <w:sz w:val="28"/>
          <w:szCs w:val="28"/>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jc w:val="center"/>
        <w:rPr>
          <w:rFonts w:hint="eastAsia" w:ascii="仿宋" w:hAnsi="仿宋" w:eastAsia="仿宋" w:cs="仿宋"/>
          <w:color w:val="auto"/>
          <w:szCs w:val="21"/>
        </w:rPr>
      </w:pPr>
    </w:p>
    <w:p>
      <w:pPr>
        <w:adjustRightInd w:val="0"/>
        <w:snapToGrid w:val="0"/>
        <w:spacing w:line="360" w:lineRule="auto"/>
        <w:rPr>
          <w:rFonts w:hint="eastAsia" w:ascii="仿宋" w:hAnsi="仿宋" w:eastAsia="仿宋" w:cs="仿宋"/>
          <w:color w:val="auto"/>
          <w:szCs w:val="21"/>
        </w:rPr>
      </w:pPr>
    </w:p>
    <w:p>
      <w:pPr>
        <w:pStyle w:val="20"/>
        <w:rPr>
          <w:rFonts w:hint="eastAsia" w:ascii="仿宋" w:hAnsi="仿宋" w:eastAsia="仿宋" w:cs="仿宋"/>
          <w:color w:val="auto"/>
        </w:rPr>
      </w:pPr>
    </w:p>
    <w:p>
      <w:pPr>
        <w:adjustRightInd w:val="0"/>
        <w:snapToGrid w:val="0"/>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采 购 （专 用） 合 同</w:t>
      </w:r>
    </w:p>
    <w:p>
      <w:pPr>
        <w:adjustRightInd w:val="0"/>
        <w:snapToGrid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甲方：</w:t>
      </w:r>
      <w:r>
        <w:rPr>
          <w:rFonts w:hint="eastAsia" w:ascii="仿宋" w:hAnsi="仿宋" w:eastAsia="仿宋" w:cs="仿宋"/>
          <w:color w:val="auto"/>
          <w:sz w:val="24"/>
          <w:szCs w:val="24"/>
          <w:lang w:eastAsia="zh-CN"/>
        </w:rPr>
        <w:t>特克斯县中医医院</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pPr>
        <w:widowControl/>
        <w:adjustRightInd w:val="0"/>
        <w:snapToGrid w:val="0"/>
        <w:spacing w:line="360" w:lineRule="auto"/>
        <w:ind w:left="181" w:leftChars="86" w:firstLine="376" w:firstLineChars="171"/>
        <w:rPr>
          <w:rFonts w:hint="eastAsia" w:ascii="仿宋" w:hAnsi="仿宋" w:eastAsia="仿宋" w:cs="仿宋"/>
          <w:color w:val="auto"/>
          <w:sz w:val="22"/>
          <w:szCs w:val="22"/>
        </w:rPr>
      </w:pPr>
      <w:r>
        <w:rPr>
          <w:rFonts w:hint="eastAsia" w:ascii="仿宋" w:hAnsi="仿宋" w:eastAsia="仿宋" w:cs="仿宋"/>
          <w:color w:val="auto"/>
          <w:sz w:val="22"/>
          <w:szCs w:val="22"/>
          <w:lang w:eastAsia="zh-CN"/>
        </w:rPr>
        <w:t>特克斯县中医医院</w:t>
      </w:r>
      <w:r>
        <w:rPr>
          <w:rFonts w:hint="eastAsia" w:ascii="仿宋" w:hAnsi="仿宋" w:eastAsia="仿宋" w:cs="仿宋"/>
          <w:color w:val="auto"/>
          <w:sz w:val="22"/>
          <w:szCs w:val="22"/>
        </w:rPr>
        <w:t>（以下简称甲方）经</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组织的招标采购，选定</w:t>
      </w:r>
      <w:r>
        <w:rPr>
          <w:rFonts w:hint="eastAsia" w:ascii="仿宋" w:hAnsi="仿宋" w:eastAsia="仿宋" w:cs="仿宋"/>
          <w:color w:val="auto"/>
          <w:sz w:val="22"/>
          <w:szCs w:val="22"/>
          <w:u w:val="single"/>
        </w:rPr>
        <w:t xml:space="preserve">                                                                                    （                  （</w:t>
      </w:r>
      <w:r>
        <w:rPr>
          <w:rFonts w:hint="eastAsia" w:ascii="仿宋" w:hAnsi="仿宋" w:eastAsia="仿宋" w:cs="仿宋"/>
          <w:color w:val="auto"/>
          <w:sz w:val="22"/>
          <w:szCs w:val="22"/>
        </w:rPr>
        <w:t>以下简称乙方</w:t>
      </w:r>
      <w:r>
        <w:rPr>
          <w:rFonts w:hint="eastAsia" w:ascii="仿宋" w:hAnsi="仿宋" w:eastAsia="仿宋" w:cs="仿宋"/>
          <w:color w:val="auto"/>
          <w:sz w:val="22"/>
          <w:szCs w:val="22"/>
          <w:u w:val="single"/>
        </w:rPr>
        <w:t>）</w:t>
      </w:r>
      <w:r>
        <w:rPr>
          <w:rFonts w:hint="eastAsia" w:ascii="仿宋" w:hAnsi="仿宋" w:eastAsia="仿宋" w:cs="仿宋"/>
          <w:color w:val="auto"/>
          <w:sz w:val="22"/>
          <w:szCs w:val="22"/>
        </w:rPr>
        <w:t>：为提供</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产品的</w:t>
      </w:r>
      <w:r>
        <w:rPr>
          <w:rFonts w:hint="eastAsia" w:ascii="仿宋" w:hAnsi="仿宋" w:eastAsia="仿宋" w:cs="仿宋"/>
          <w:color w:val="auto"/>
          <w:sz w:val="22"/>
          <w:szCs w:val="22"/>
          <w:u w:val="single"/>
        </w:rPr>
        <w:t>中标单位</w:t>
      </w:r>
      <w:r>
        <w:rPr>
          <w:rFonts w:hint="eastAsia" w:ascii="仿宋" w:hAnsi="仿宋" w:eastAsia="仿宋" w:cs="仿宋"/>
          <w:color w:val="auto"/>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一、合同标的、规格、数量、单价 </w:t>
      </w:r>
    </w:p>
    <w:tbl>
      <w:tblPr>
        <w:tblStyle w:val="22"/>
        <w:tblW w:w="10419" w:type="dxa"/>
        <w:jc w:val="center"/>
        <w:tblLayout w:type="fixed"/>
        <w:tblCellMar>
          <w:top w:w="0" w:type="dxa"/>
          <w:left w:w="108" w:type="dxa"/>
          <w:bottom w:w="0" w:type="dxa"/>
          <w:right w:w="108" w:type="dxa"/>
        </w:tblCellMar>
      </w:tblPr>
      <w:tblGrid>
        <w:gridCol w:w="855"/>
        <w:gridCol w:w="1266"/>
        <w:gridCol w:w="851"/>
        <w:gridCol w:w="728"/>
        <w:gridCol w:w="974"/>
        <w:gridCol w:w="850"/>
        <w:gridCol w:w="1559"/>
        <w:gridCol w:w="1276"/>
        <w:gridCol w:w="996"/>
        <w:gridCol w:w="1064"/>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名   称</w:t>
            </w:r>
          </w:p>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国产/进口</w:t>
            </w:r>
          </w:p>
        </w:tc>
        <w:tc>
          <w:tcPr>
            <w:tcW w:w="728"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品名型号</w:t>
            </w:r>
          </w:p>
        </w:tc>
        <w:tc>
          <w:tcPr>
            <w:tcW w:w="974"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技术参 数</w:t>
            </w:r>
          </w:p>
        </w:tc>
        <w:tc>
          <w:tcPr>
            <w:tcW w:w="850"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金额大写</w:t>
            </w:r>
          </w:p>
        </w:tc>
        <w:tc>
          <w:tcPr>
            <w:tcW w:w="1064" w:type="dxa"/>
            <w:vMerge w:val="restart"/>
            <w:tcBorders>
              <w:top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color w:val="auto"/>
                <w:sz w:val="22"/>
                <w:szCs w:val="22"/>
              </w:rPr>
            </w:pPr>
          </w:p>
          <w:p>
            <w:pPr>
              <w:widowControl/>
              <w:adjustRightInd w:val="0"/>
              <w:snapToGrid w:val="0"/>
              <w:jc w:val="center"/>
              <w:rPr>
                <w:rFonts w:hint="eastAsia" w:ascii="仿宋" w:hAnsi="仿宋" w:eastAsia="仿宋" w:cs="仿宋"/>
                <w:color w:val="auto"/>
                <w:sz w:val="22"/>
                <w:szCs w:val="22"/>
              </w:rPr>
            </w:pPr>
          </w:p>
          <w:p>
            <w:pPr>
              <w:widowControl/>
              <w:adjustRightInd w:val="0"/>
              <w:snapToGrid w:val="0"/>
              <w:jc w:val="center"/>
              <w:rPr>
                <w:rFonts w:hint="eastAsia" w:ascii="仿宋" w:hAnsi="仿宋" w:eastAsia="仿宋" w:cs="仿宋"/>
                <w:color w:val="auto"/>
                <w:sz w:val="22"/>
                <w:szCs w:val="22"/>
              </w:rPr>
            </w:pPr>
          </w:p>
          <w:p>
            <w:pPr>
              <w:widowControl/>
              <w:adjustRightInd w:val="0"/>
              <w:snapToGri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728" w:type="dxa"/>
            <w:vMerge w:val="continue"/>
            <w:tcBorders>
              <w:left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color w:val="auto"/>
                <w:sz w:val="22"/>
                <w:szCs w:val="22"/>
              </w:rPr>
            </w:pPr>
          </w:p>
        </w:tc>
        <w:tc>
          <w:tcPr>
            <w:tcW w:w="974"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850" w:type="dxa"/>
            <w:vMerge w:val="continue"/>
            <w:tcBorders>
              <w:left w:val="single" w:color="auto" w:sz="4" w:space="0"/>
              <w:right w:val="single" w:color="auto" w:sz="4" w:space="0"/>
            </w:tcBorders>
            <w:noWrap w:val="0"/>
            <w:vAlign w:val="top"/>
          </w:tcPr>
          <w:p>
            <w:pPr>
              <w:adjustRightInd w:val="0"/>
              <w:snapToGrid w:val="0"/>
              <w:spacing w:line="360" w:lineRule="auto"/>
              <w:jc w:val="center"/>
              <w:rPr>
                <w:rFonts w:hint="eastAsia" w:ascii="仿宋" w:hAnsi="仿宋" w:eastAsia="仿宋" w:cs="仿宋"/>
                <w:color w:val="auto"/>
                <w:sz w:val="22"/>
                <w:szCs w:val="22"/>
              </w:rPr>
            </w:pP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both"/>
              <w:rPr>
                <w:rFonts w:hint="eastAsia" w:ascii="仿宋" w:hAnsi="仿宋" w:eastAsia="仿宋" w:cs="仿宋"/>
                <w:color w:val="auto"/>
                <w:sz w:val="22"/>
                <w:szCs w:val="22"/>
              </w:rPr>
            </w:pPr>
            <w:r>
              <w:rPr>
                <w:rFonts w:hint="eastAsia" w:ascii="仿宋" w:hAnsi="仿宋" w:eastAsia="仿宋" w:cs="仿宋"/>
                <w:color w:val="auto"/>
                <w:sz w:val="22"/>
                <w:szCs w:val="22"/>
              </w:rPr>
              <w:t>单价（元/支）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1064" w:type="dxa"/>
            <w:vMerge w:val="continue"/>
            <w:tcBorders>
              <w:bottom w:val="single" w:color="auto" w:sz="4" w:space="0"/>
              <w:right w:val="single" w:color="auto" w:sz="4" w:space="0"/>
            </w:tcBorders>
            <w:noWrap w:val="0"/>
            <w:vAlign w:val="top"/>
          </w:tcPr>
          <w:p>
            <w:pPr>
              <w:widowControl/>
              <w:adjustRightInd w:val="0"/>
              <w:snapToGrid w:val="0"/>
              <w:jc w:val="left"/>
              <w:rPr>
                <w:rFonts w:hint="eastAsia" w:ascii="仿宋" w:hAnsi="仿宋" w:eastAsia="仿宋" w:cs="仿宋"/>
                <w:color w:val="auto"/>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仿宋" w:hAnsi="仿宋" w:eastAsia="仿宋" w:cs="仿宋"/>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仿宋" w:hAnsi="仿宋" w:eastAsia="仿宋" w:cs="仿宋"/>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1064" w:type="dxa"/>
            <w:tcBorders>
              <w:top w:val="single" w:color="auto" w:sz="4" w:space="0"/>
              <w:left w:val="single" w:color="auto" w:sz="4" w:space="0"/>
              <w:right w:val="single" w:color="auto" w:sz="4" w:space="0"/>
            </w:tcBorders>
            <w:noWrap w:val="0"/>
            <w:vAlign w:val="top"/>
          </w:tcPr>
          <w:p>
            <w:pPr>
              <w:widowControl/>
              <w:adjustRightInd w:val="0"/>
              <w:snapToGrid w:val="0"/>
              <w:jc w:val="left"/>
              <w:rPr>
                <w:rFonts w:hint="eastAsia" w:ascii="仿宋" w:hAnsi="仿宋" w:eastAsia="仿宋" w:cs="仿宋"/>
                <w:color w:val="auto"/>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仿宋" w:hAnsi="仿宋" w:eastAsia="仿宋" w:cs="仿宋"/>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仿宋" w:hAnsi="仿宋" w:eastAsia="仿宋" w:cs="仿宋"/>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仿宋" w:hAnsi="仿宋" w:eastAsia="仿宋" w:cs="仿宋"/>
                <w:color w:val="auto"/>
                <w:sz w:val="22"/>
                <w:szCs w:val="2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 w:hAnsi="仿宋" w:eastAsia="仿宋" w:cs="仿宋"/>
                <w:color w:val="auto"/>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仿宋" w:hAnsi="仿宋" w:eastAsia="仿宋" w:cs="仿宋"/>
                <w:color w:val="auto"/>
                <w:sz w:val="22"/>
                <w:szCs w:val="22"/>
              </w:rPr>
            </w:pPr>
          </w:p>
        </w:tc>
        <w:tc>
          <w:tcPr>
            <w:tcW w:w="7447" w:type="dxa"/>
            <w:gridSpan w:val="7"/>
            <w:tcBorders>
              <w:top w:val="single" w:color="auto" w:sz="4" w:space="0"/>
              <w:left w:val="single" w:color="auto" w:sz="6"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color w:val="auto"/>
                <w:kern w:val="0"/>
                <w:sz w:val="22"/>
                <w:szCs w:val="22"/>
              </w:rPr>
            </w:pPr>
          </w:p>
          <w:p>
            <w:pPr>
              <w:adjustRightInd w:val="0"/>
              <w:snapToGrid w:val="0"/>
              <w:spacing w:line="360" w:lineRule="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人民币大写</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sz w:val="22"/>
                <w:szCs w:val="22"/>
              </w:rPr>
              <w:t xml:space="preserve"> </w:t>
            </w:r>
            <w:r>
              <w:rPr>
                <w:rFonts w:hint="eastAsia" w:ascii="仿宋" w:hAnsi="仿宋" w:eastAsia="仿宋" w:cs="仿宋"/>
                <w:color w:val="auto"/>
                <w:kern w:val="0"/>
                <w:sz w:val="22"/>
                <w:szCs w:val="22"/>
              </w:rPr>
              <w:t>（小写￥</w:t>
            </w:r>
            <w:r>
              <w:rPr>
                <w:rFonts w:hint="eastAsia" w:ascii="仿宋" w:hAnsi="仿宋" w:eastAsia="仿宋" w:cs="仿宋"/>
                <w:color w:val="auto"/>
                <w:sz w:val="22"/>
                <w:szCs w:val="22"/>
              </w:rPr>
              <w:t xml:space="preserve">      </w:t>
            </w:r>
            <w:r>
              <w:rPr>
                <w:rFonts w:hint="eastAsia" w:ascii="仿宋" w:hAnsi="仿宋" w:eastAsia="仿宋" w:cs="仿宋"/>
                <w:color w:val="auto"/>
                <w:kern w:val="0"/>
                <w:sz w:val="22"/>
                <w:szCs w:val="22"/>
              </w:rPr>
              <w:t>元）</w:t>
            </w:r>
          </w:p>
          <w:p>
            <w:pPr>
              <w:widowControl/>
              <w:adjustRightInd w:val="0"/>
              <w:snapToGrid w:val="0"/>
              <w:jc w:val="left"/>
              <w:rPr>
                <w:rFonts w:hint="eastAsia" w:ascii="仿宋" w:hAnsi="仿宋" w:eastAsia="仿宋" w:cs="仿宋"/>
                <w:color w:val="auto"/>
                <w:sz w:val="22"/>
                <w:szCs w:val="22"/>
              </w:rPr>
            </w:pPr>
          </w:p>
        </w:tc>
      </w:tr>
    </w:tbl>
    <w:p>
      <w:pPr>
        <w:adjustRightInd w:val="0"/>
        <w:snapToGrid w:val="0"/>
        <w:spacing w:line="360" w:lineRule="auto"/>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说      明：</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 合同总价包含到达交货地点的运杂费、技术服务（相关技术指导）、运输费、保险费、培训及其他各项费用。</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（二）合同总价包括乙方销售本合同产品，国家根据现行税法向乙方征收的与履行合同有关的一切税费。</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（三） 合同总价一次包死，不受市场价格变化的影响，并作为结算的唯一依据。</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二、产品质量要求</w:t>
      </w:r>
    </w:p>
    <w:p>
      <w:pPr>
        <w:adjustRightInd w:val="0"/>
        <w:snapToGrid w:val="0"/>
        <w:spacing w:line="360" w:lineRule="auto"/>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（一） 国家标准：</w:t>
      </w:r>
      <w:r>
        <w:rPr>
          <w:rFonts w:hint="eastAsia" w:ascii="仿宋" w:hAnsi="仿宋" w:eastAsia="仿宋" w:cs="仿宋"/>
          <w:color w:val="auto"/>
          <w:sz w:val="22"/>
          <w:szCs w:val="22"/>
          <w:u w:val="single"/>
        </w:rPr>
        <w:t xml:space="preserve">                            </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（二）行业标准：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pPr>
        <w:adjustRightInd w:val="0"/>
        <w:snapToGrid w:val="0"/>
        <w:spacing w:line="360" w:lineRule="auto"/>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（三） 样品标准：</w:t>
      </w:r>
      <w:r>
        <w:rPr>
          <w:rFonts w:hint="eastAsia" w:ascii="仿宋" w:hAnsi="仿宋" w:eastAsia="仿宋" w:cs="仿宋"/>
          <w:color w:val="auto"/>
          <w:sz w:val="22"/>
          <w:szCs w:val="22"/>
          <w:u w:val="single"/>
        </w:rPr>
        <w:t xml:space="preserve">  乙方按甲方要求制作样品，该样品由甲乙双方封样，由甲方保存 </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color w:val="auto"/>
          <w:sz w:val="22"/>
          <w:szCs w:val="22"/>
          <w:highlight w:val="none"/>
          <w:u w:val="single"/>
        </w:rPr>
        <w:t>7</w:t>
      </w:r>
      <w:r>
        <w:rPr>
          <w:rFonts w:hint="eastAsia" w:ascii="仿宋" w:hAnsi="仿宋" w:eastAsia="仿宋" w:cs="仿宋"/>
          <w:color w:val="auto"/>
          <w:sz w:val="22"/>
          <w:szCs w:val="22"/>
          <w:highlight w:val="none"/>
        </w:rPr>
        <w:t>天</w:t>
      </w:r>
      <w:r>
        <w:rPr>
          <w:rFonts w:hint="eastAsia" w:ascii="仿宋" w:hAnsi="仿宋" w:eastAsia="仿宋" w:cs="仿宋"/>
          <w:color w:val="auto"/>
          <w:sz w:val="22"/>
          <w:szCs w:val="22"/>
        </w:rPr>
        <w:t>内，免费负责更换新的产品。对造成的损失甲方保留索赔的权利。</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三、包装方式及包装品处理</w:t>
      </w:r>
    </w:p>
    <w:p>
      <w:pPr>
        <w:adjustRightInd w:val="0"/>
        <w:snapToGrid w:val="0"/>
        <w:spacing w:line="360" w:lineRule="auto"/>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（一）包装方式：</w:t>
      </w:r>
      <w:r>
        <w:rPr>
          <w:rFonts w:hint="eastAsia" w:ascii="仿宋" w:hAnsi="仿宋" w:eastAsia="仿宋" w:cs="仿宋"/>
          <w:color w:val="auto"/>
          <w:sz w:val="22"/>
          <w:szCs w:val="22"/>
          <w:u w:val="single"/>
        </w:rPr>
        <w:t xml:space="preserve">                           </w:t>
      </w:r>
    </w:p>
    <w:p>
      <w:pPr>
        <w:adjustRightInd w:val="0"/>
        <w:snapToGrid w:val="0"/>
        <w:spacing w:line="360" w:lineRule="auto"/>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（二）包装品处理：</w:t>
      </w:r>
      <w:r>
        <w:rPr>
          <w:rFonts w:hint="eastAsia" w:ascii="仿宋" w:hAnsi="仿宋" w:eastAsia="仿宋" w:cs="仿宋"/>
          <w:color w:val="auto"/>
          <w:sz w:val="22"/>
          <w:szCs w:val="22"/>
          <w:u w:val="single"/>
        </w:rPr>
        <w:t xml:space="preserve">                         </w:t>
      </w:r>
    </w:p>
    <w:p>
      <w:pPr>
        <w:numPr>
          <w:ilvl w:val="0"/>
          <w:numId w:val="17"/>
        </w:num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交货方式</w:t>
      </w:r>
    </w:p>
    <w:p>
      <w:pPr>
        <w:adjustRightInd w:val="0"/>
        <w:snapToGrid w:val="0"/>
        <w:spacing w:line="360" w:lineRule="auto"/>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（一）交货期限：</w:t>
      </w:r>
      <w:r>
        <w:rPr>
          <w:rFonts w:hint="eastAsia" w:ascii="仿宋" w:hAnsi="仿宋" w:eastAsia="仿宋" w:cs="仿宋"/>
          <w:color w:val="auto"/>
          <w:sz w:val="22"/>
          <w:szCs w:val="22"/>
          <w:u w:val="single"/>
        </w:rPr>
        <w:t xml:space="preserve">                                </w:t>
      </w:r>
    </w:p>
    <w:p>
      <w:pPr>
        <w:adjustRightInd w:val="0"/>
        <w:snapToGrid w:val="0"/>
        <w:spacing w:line="360" w:lineRule="auto"/>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（二）交货地点： </w:t>
      </w:r>
      <w:r>
        <w:rPr>
          <w:rFonts w:hint="eastAsia" w:ascii="仿宋" w:hAnsi="仿宋" w:eastAsia="仿宋" w:cs="仿宋"/>
          <w:color w:val="auto"/>
          <w:sz w:val="22"/>
          <w:szCs w:val="22"/>
          <w:u w:val="single"/>
        </w:rPr>
        <w:t xml:space="preserve">  甲方指定地点。 </w:t>
      </w:r>
    </w:p>
    <w:p>
      <w:pPr>
        <w:adjustRightInd w:val="0"/>
        <w:snapToGrid w:val="0"/>
        <w:spacing w:line="360" w:lineRule="auto"/>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（三）运输方式：</w:t>
      </w:r>
      <w:r>
        <w:rPr>
          <w:rFonts w:hint="eastAsia" w:ascii="仿宋" w:hAnsi="仿宋" w:eastAsia="仿宋" w:cs="仿宋"/>
          <w:color w:val="auto"/>
          <w:sz w:val="22"/>
          <w:szCs w:val="22"/>
          <w:u w:val="single"/>
        </w:rPr>
        <w:t xml:space="preserve">  乙方负责运输到甲方指定地点               </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0"/>
        <w:adjustRightInd w:val="0"/>
        <w:snapToGrid w:val="0"/>
        <w:rPr>
          <w:rFonts w:hint="eastAsia" w:ascii="仿宋" w:hAnsi="仿宋" w:eastAsia="仿宋" w:cs="仿宋"/>
          <w:color w:val="auto"/>
          <w:sz w:val="22"/>
          <w:szCs w:val="22"/>
        </w:rPr>
      </w:pPr>
      <w:r>
        <w:rPr>
          <w:rFonts w:hint="eastAsia" w:ascii="仿宋" w:hAnsi="仿宋" w:eastAsia="仿宋" w:cs="仿宋"/>
          <w:color w:val="auto"/>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7"/>
        </w:num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验收</w:t>
      </w:r>
    </w:p>
    <w:p>
      <w:pPr>
        <w:adjustRightInd w:val="0"/>
        <w:snapToGrid w:val="0"/>
        <w:spacing w:line="360" w:lineRule="auto"/>
        <w:ind w:left="420" w:left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 （一）验收时间：</w:t>
      </w:r>
      <w:r>
        <w:rPr>
          <w:rFonts w:hint="eastAsia" w:ascii="仿宋" w:hAnsi="仿宋" w:eastAsia="仿宋" w:cs="仿宋"/>
          <w:color w:val="auto"/>
          <w:sz w:val="22"/>
          <w:szCs w:val="22"/>
          <w:u w:val="single"/>
        </w:rPr>
        <w:t xml:space="preserve"> 货到现场验收 。   </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（二）验收方式：</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验收按照下列要求验收，如一项不合格，视同产品不合格：</w:t>
      </w:r>
    </w:p>
    <w:p>
      <w:pPr>
        <w:adjustRightInd w:val="0"/>
        <w:snapToGrid w:val="0"/>
        <w:spacing w:line="360" w:lineRule="auto"/>
        <w:ind w:firstLine="675" w:firstLineChars="307"/>
        <w:rPr>
          <w:rFonts w:hint="eastAsia" w:ascii="仿宋" w:hAnsi="仿宋" w:eastAsia="仿宋" w:cs="仿宋"/>
          <w:color w:val="auto"/>
          <w:sz w:val="22"/>
          <w:szCs w:val="22"/>
        </w:rPr>
      </w:pP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 1 \* GB2 </w:instrText>
      </w:r>
      <w:r>
        <w:rPr>
          <w:rFonts w:hint="eastAsia" w:ascii="仿宋" w:hAnsi="仿宋" w:eastAsia="仿宋" w:cs="仿宋"/>
          <w:color w:val="auto"/>
          <w:sz w:val="22"/>
          <w:szCs w:val="22"/>
        </w:rPr>
        <w:fldChar w:fldCharType="separate"/>
      </w:r>
      <w:r>
        <w:rPr>
          <w:rFonts w:hint="eastAsia" w:ascii="仿宋" w:hAnsi="仿宋" w:eastAsia="仿宋" w:cs="仿宋"/>
          <w:color w:val="auto"/>
          <w:sz w:val="22"/>
          <w:szCs w:val="22"/>
        </w:rPr>
        <w:t>⑴</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资料验收：供方交货前应按合同规定的要求，提供相关的技术资料。</w:t>
      </w:r>
    </w:p>
    <w:p>
      <w:pPr>
        <w:adjustRightInd w:val="0"/>
        <w:snapToGrid w:val="0"/>
        <w:spacing w:line="360" w:lineRule="auto"/>
        <w:ind w:left="210" w:leftChars="100" w:firstLine="455" w:firstLineChars="207"/>
        <w:rPr>
          <w:rFonts w:hint="eastAsia" w:ascii="仿宋" w:hAnsi="仿宋" w:eastAsia="仿宋" w:cs="仿宋"/>
          <w:color w:val="auto"/>
          <w:sz w:val="22"/>
          <w:szCs w:val="22"/>
        </w:rPr>
      </w:pP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 2 \* GB2 </w:instrText>
      </w:r>
      <w:r>
        <w:rPr>
          <w:rFonts w:hint="eastAsia" w:ascii="仿宋" w:hAnsi="仿宋" w:eastAsia="仿宋" w:cs="仿宋"/>
          <w:color w:val="auto"/>
          <w:sz w:val="22"/>
          <w:szCs w:val="22"/>
        </w:rPr>
        <w:fldChar w:fldCharType="separate"/>
      </w:r>
      <w:r>
        <w:rPr>
          <w:rFonts w:hint="eastAsia" w:ascii="仿宋" w:hAnsi="仿宋" w:eastAsia="仿宋" w:cs="仿宋"/>
          <w:color w:val="auto"/>
          <w:sz w:val="22"/>
          <w:szCs w:val="22"/>
        </w:rPr>
        <w:t>⑵</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 xml:space="preserve">实物验收：包括产品名称、数量、规格和包装等外观形态。质保期剩余期限不得低于该产品限定质保期的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w:t>
      </w:r>
    </w:p>
    <w:p>
      <w:pPr>
        <w:adjustRightInd w:val="0"/>
        <w:snapToGrid w:val="0"/>
        <w:spacing w:line="360" w:lineRule="auto"/>
        <w:ind w:firstLine="675" w:firstLineChars="307"/>
        <w:rPr>
          <w:rFonts w:hint="eastAsia" w:ascii="仿宋" w:hAnsi="仿宋" w:eastAsia="仿宋" w:cs="仿宋"/>
          <w:color w:val="auto"/>
          <w:sz w:val="22"/>
          <w:szCs w:val="22"/>
        </w:rPr>
      </w:pP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 3 \* GB2 </w:instrText>
      </w:r>
      <w:r>
        <w:rPr>
          <w:rFonts w:hint="eastAsia" w:ascii="仿宋" w:hAnsi="仿宋" w:eastAsia="仿宋" w:cs="仿宋"/>
          <w:color w:val="auto"/>
          <w:sz w:val="22"/>
          <w:szCs w:val="22"/>
        </w:rPr>
        <w:fldChar w:fldCharType="separate"/>
      </w:r>
      <w:r>
        <w:rPr>
          <w:rFonts w:hint="eastAsia" w:ascii="仿宋" w:hAnsi="仿宋" w:eastAsia="仿宋" w:cs="仿宋"/>
          <w:color w:val="auto"/>
          <w:sz w:val="22"/>
          <w:szCs w:val="22"/>
        </w:rPr>
        <w:t>⑶</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产品质量抽检复核。</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（三）安装验收：</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产品如需安装验收，自设备正常运转</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highlight w:val="none"/>
          <w:u w:val="single"/>
        </w:rPr>
        <w:t xml:space="preserve">7 </w:t>
      </w:r>
      <w:r>
        <w:rPr>
          <w:rFonts w:hint="eastAsia" w:ascii="仿宋" w:hAnsi="仿宋" w:eastAsia="仿宋" w:cs="仿宋"/>
          <w:color w:val="auto"/>
          <w:sz w:val="22"/>
          <w:szCs w:val="22"/>
        </w:rPr>
        <w:t>天后，视为验收合格。</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      （五）质量争议：对产品质量发生争议由</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检验机构进行检验，检验费由违约方承担。  </w:t>
      </w:r>
    </w:p>
    <w:p>
      <w:pPr>
        <w:adjustRightInd w:val="0"/>
        <w:snapToGrid w:val="0"/>
        <w:spacing w:line="360" w:lineRule="auto"/>
        <w:ind w:firstLine="660" w:firstLineChars="300"/>
        <w:rPr>
          <w:rFonts w:hint="eastAsia" w:ascii="仿宋" w:hAnsi="仿宋" w:eastAsia="仿宋" w:cs="仿宋"/>
          <w:color w:val="auto"/>
          <w:sz w:val="22"/>
          <w:szCs w:val="22"/>
        </w:rPr>
      </w:pPr>
      <w:r>
        <w:rPr>
          <w:rFonts w:hint="eastAsia" w:ascii="仿宋" w:hAnsi="仿宋" w:eastAsia="仿宋" w:cs="仿宋"/>
          <w:color w:val="auto"/>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0" w:firstLineChars="300"/>
        <w:rPr>
          <w:rFonts w:hint="eastAsia" w:ascii="仿宋" w:hAnsi="仿宋" w:eastAsia="仿宋" w:cs="仿宋"/>
          <w:color w:val="auto"/>
          <w:sz w:val="22"/>
          <w:szCs w:val="22"/>
        </w:rPr>
      </w:pPr>
      <w:r>
        <w:rPr>
          <w:rFonts w:hint="eastAsia" w:ascii="仿宋" w:hAnsi="仿宋" w:eastAsia="仿宋" w:cs="仿宋"/>
          <w:color w:val="auto"/>
          <w:sz w:val="22"/>
          <w:szCs w:val="22"/>
        </w:rPr>
        <w:t xml:space="preserve">（七）甲方因使用、保管、保养不善等造成产品质量下降的，不得提出异议。 </w:t>
      </w:r>
    </w:p>
    <w:p>
      <w:pPr>
        <w:adjustRightInd w:val="0"/>
        <w:snapToGrid w:val="0"/>
        <w:spacing w:line="360" w:lineRule="auto"/>
        <w:ind w:firstLine="660" w:firstLineChars="300"/>
        <w:rPr>
          <w:rFonts w:hint="eastAsia" w:ascii="仿宋" w:hAnsi="仿宋" w:eastAsia="仿宋" w:cs="仿宋"/>
          <w:color w:val="auto"/>
          <w:sz w:val="22"/>
          <w:szCs w:val="22"/>
        </w:rPr>
      </w:pPr>
      <w:r>
        <w:rPr>
          <w:rFonts w:hint="eastAsia" w:ascii="仿宋" w:hAnsi="仿宋" w:eastAsia="仿宋" w:cs="仿宋"/>
          <w:color w:val="auto"/>
          <w:sz w:val="22"/>
          <w:szCs w:val="22"/>
        </w:rPr>
        <w:t xml:space="preserve">（八）货物符合合同约定的技术规范要求和验收标准的，甲方签署验收合格证明 。                    </w:t>
      </w:r>
    </w:p>
    <w:p>
      <w:pPr>
        <w:adjustRightInd w:val="0"/>
        <w:snapToGrid w:val="0"/>
        <w:spacing w:line="360" w:lineRule="auto"/>
        <w:ind w:firstLine="440" w:firstLineChars="200"/>
        <w:outlineLvl w:val="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六、款项支付</w:t>
      </w:r>
    </w:p>
    <w:p>
      <w:pP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（一）履约保证金</w:t>
      </w:r>
    </w:p>
    <w:p>
      <w:pP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 xml:space="preserve">   为保证乙方能够按合同履约，乙方应交付10%履约保证金</w:t>
      </w:r>
      <w:r>
        <w:rPr>
          <w:rFonts w:hint="eastAsia" w:ascii="仿宋" w:hAnsi="仿宋" w:eastAsia="仿宋" w:cs="仿宋"/>
          <w:color w:val="auto"/>
          <w:sz w:val="22"/>
          <w:szCs w:val="22"/>
          <w:u w:val="single"/>
        </w:rPr>
        <w:t xml:space="preserve">           元。</w:t>
      </w:r>
      <w:r>
        <w:rPr>
          <w:rFonts w:hint="eastAsia" w:ascii="仿宋" w:hAnsi="仿宋" w:eastAsia="仿宋" w:cs="仿宋"/>
          <w:color w:val="auto"/>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（二）货款支付：</w:t>
      </w:r>
    </w:p>
    <w:p>
      <w:pP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合同总价包含到达交货地点的运杂费、技术服务（相关技术指导）、运输费、保险费、培训、税费及其他各项费用。</w:t>
      </w:r>
    </w:p>
    <w:p>
      <w:pPr>
        <w:numPr>
          <w:ilvl w:val="0"/>
          <w:numId w:val="18"/>
        </w:numP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双方约定，合同签订后，乙方向甲方交纳10%履约金</w:t>
      </w:r>
      <w:r>
        <w:rPr>
          <w:rFonts w:hint="eastAsia" w:ascii="仿宋" w:hAnsi="仿宋" w:eastAsia="仿宋" w:cs="仿宋"/>
          <w:color w:val="auto"/>
          <w:sz w:val="22"/>
          <w:szCs w:val="22"/>
          <w:u w:val="single"/>
        </w:rPr>
        <w:t xml:space="preserve">           元</w:t>
      </w:r>
      <w:r>
        <w:rPr>
          <w:rFonts w:hint="eastAsia" w:ascii="仿宋" w:hAnsi="仿宋" w:eastAsia="仿宋" w:cs="仿宋"/>
          <w:color w:val="auto"/>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仿宋" w:hAnsi="仿宋" w:eastAsia="仿宋" w:cs="仿宋"/>
          <w:color w:val="auto"/>
          <w:sz w:val="22"/>
          <w:szCs w:val="22"/>
          <w:u w:val="single"/>
        </w:rPr>
        <w:t xml:space="preserve">           元。</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（2）质保金为货款总额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元，质保期届满</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工作日返回。</w:t>
      </w:r>
    </w:p>
    <w:p>
      <w:pP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（3）双方约定，合同签订后，乙方按照甲方需求一次性供货，所有货物验收合格后，乙方向甲方开具合同全额发票，甲方收到发票后向乙方支付货款</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w:t>
      </w:r>
    </w:p>
    <w:p>
      <w:pP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sz w:val="22"/>
          <w:szCs w:val="22"/>
        </w:rPr>
        <w:t>（4）</w:t>
      </w:r>
      <w:r>
        <w:rPr>
          <w:rFonts w:hint="eastAsia" w:ascii="仿宋" w:hAnsi="仿宋" w:eastAsia="仿宋" w:cs="仿宋"/>
          <w:color w:val="auto"/>
          <w:kern w:val="0"/>
          <w:sz w:val="22"/>
          <w:szCs w:val="22"/>
        </w:rPr>
        <w:t>付款要求：甲方财务凭下列单据支付货款（按甲乙各方的义务提交）：</w:t>
      </w:r>
    </w:p>
    <w:p>
      <w:pPr>
        <w:widowControl/>
        <w:shd w:val="clear" w:color="auto" w:fill="FFFFFF"/>
        <w:adjustRightInd w:val="0"/>
        <w:snapToGrid w:val="0"/>
        <w:spacing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（三）付款信息:</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kern w:val="0"/>
          <w:sz w:val="22"/>
          <w:szCs w:val="22"/>
        </w:rPr>
        <w:t>甲方：</w:t>
      </w:r>
      <w:r>
        <w:rPr>
          <w:rFonts w:hint="eastAsia" w:ascii="仿宋" w:hAnsi="仿宋" w:eastAsia="仿宋" w:cs="仿宋"/>
          <w:color w:val="auto"/>
          <w:sz w:val="22"/>
          <w:szCs w:val="22"/>
        </w:rPr>
        <w:t xml:space="preserve">税号：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乙方：税号：           </w:t>
      </w:r>
    </w:p>
    <w:p>
      <w:pPr>
        <w:adjustRightInd w:val="0"/>
        <w:snapToGrid w:val="0"/>
        <w:spacing w:line="360" w:lineRule="exact"/>
        <w:ind w:firstLine="550" w:firstLineChars="250"/>
        <w:rPr>
          <w:rFonts w:hint="eastAsia" w:ascii="仿宋" w:hAnsi="仿宋" w:eastAsia="仿宋" w:cs="仿宋"/>
          <w:color w:val="auto"/>
          <w:sz w:val="22"/>
          <w:szCs w:val="22"/>
        </w:rPr>
      </w:pPr>
      <w:r>
        <w:rPr>
          <w:rFonts w:hint="eastAsia" w:ascii="仿宋" w:hAnsi="仿宋" w:eastAsia="仿宋" w:cs="仿宋"/>
          <w:color w:val="auto"/>
          <w:sz w:val="22"/>
          <w:szCs w:val="22"/>
        </w:rPr>
        <w:t xml:space="preserve">开 户 行：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开 户 行：</w:t>
      </w:r>
    </w:p>
    <w:p>
      <w:pPr>
        <w:tabs>
          <w:tab w:val="center" w:pos="5070"/>
        </w:tabs>
        <w:adjustRightInd w:val="0"/>
        <w:snapToGrid w:val="0"/>
        <w:spacing w:line="360" w:lineRule="exact"/>
        <w:ind w:firstLine="550" w:firstLineChars="250"/>
        <w:rPr>
          <w:rFonts w:hint="eastAsia" w:ascii="仿宋" w:hAnsi="仿宋" w:eastAsia="仿宋" w:cs="仿宋"/>
          <w:color w:val="auto"/>
          <w:sz w:val="22"/>
          <w:szCs w:val="22"/>
        </w:rPr>
      </w:pPr>
      <w:r>
        <w:rPr>
          <w:rFonts w:hint="eastAsia" w:ascii="仿宋" w:hAnsi="仿宋" w:eastAsia="仿宋" w:cs="仿宋"/>
          <w:color w:val="auto"/>
          <w:sz w:val="22"/>
          <w:szCs w:val="22"/>
        </w:rPr>
        <w:t xml:space="preserve">开户行号：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开户行号：</w:t>
      </w:r>
    </w:p>
    <w:p>
      <w:pPr>
        <w:widowControl/>
        <w:shd w:val="clear" w:color="auto" w:fill="FFFFFF"/>
        <w:adjustRightInd w:val="0"/>
        <w:snapToGrid w:val="0"/>
        <w:spacing w:line="360" w:lineRule="auto"/>
        <w:ind w:firstLine="440" w:firstLineChars="200"/>
        <w:jc w:val="left"/>
        <w:rPr>
          <w:rFonts w:hint="eastAsia" w:ascii="仿宋" w:hAnsi="仿宋" w:eastAsia="仿宋" w:cs="仿宋"/>
          <w:color w:val="auto"/>
          <w:kern w:val="0"/>
          <w:sz w:val="22"/>
          <w:szCs w:val="22"/>
        </w:rPr>
      </w:pPr>
      <w:r>
        <w:rPr>
          <w:rFonts w:hint="eastAsia" w:ascii="仿宋" w:hAnsi="仿宋" w:eastAsia="仿宋" w:cs="仿宋"/>
          <w:color w:val="auto"/>
          <w:sz w:val="22"/>
          <w:szCs w:val="22"/>
        </w:rPr>
        <w:t xml:space="preserve"> 帐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号: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帐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号：   </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七、延期交货与核定损失额</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w:t>
      </w:r>
      <w:r>
        <w:rPr>
          <w:rFonts w:hint="eastAsia" w:ascii="仿宋" w:hAnsi="仿宋" w:eastAsia="仿宋" w:cs="仿宋"/>
          <w:color w:val="auto"/>
          <w:sz w:val="22"/>
          <w:szCs w:val="22"/>
        </w:rPr>
        <w:t>。如果乙方</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u w:val="single"/>
        </w:rPr>
        <w:t>7</w:t>
      </w:r>
      <w:r>
        <w:rPr>
          <w:rFonts w:hint="eastAsia" w:ascii="仿宋" w:hAnsi="仿宋" w:eastAsia="仿宋" w:cs="仿宋"/>
          <w:color w:val="auto"/>
          <w:sz w:val="22"/>
          <w:szCs w:val="22"/>
          <w:highlight w:val="none"/>
        </w:rPr>
        <w:t>天</w:t>
      </w:r>
      <w:r>
        <w:rPr>
          <w:rFonts w:hint="eastAsia" w:ascii="仿宋" w:hAnsi="仿宋" w:eastAsia="仿宋" w:cs="仿宋"/>
          <w:color w:val="auto"/>
          <w:sz w:val="22"/>
          <w:szCs w:val="22"/>
        </w:rPr>
        <w:t>后仍不能交货，甲方有权因乙方违约终止合同，而乙方仍有义务支付上述迟交核定损失金额。</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八、保密</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九、保修与售后服务</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（一）、质保期为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（二）、接到甲方通知，乙方应在</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小时内派遣相关人员到达现场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次维修后仍不能稳定、可靠运行的，甲方有权要求乙方免费更换。</w:t>
      </w:r>
      <w:r>
        <w:rPr>
          <w:rStyle w:val="52"/>
          <w:rFonts w:hint="eastAsia" w:ascii="仿宋" w:hAnsi="仿宋" w:eastAsia="仿宋" w:cs="仿宋"/>
          <w:color w:val="auto"/>
          <w:sz w:val="22"/>
          <w:szCs w:val="22"/>
        </w:rPr>
        <w:t>返修或更换部件后的产品保修期应重新计算。</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（三）、在质保期内，乙方应对产品出现的质量及安全问题负责处理解决并承担一切费用。</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3" w:firstLineChars="147"/>
        <w:rPr>
          <w:rFonts w:hint="eastAsia" w:ascii="仿宋" w:hAnsi="仿宋" w:eastAsia="仿宋" w:cs="仿宋"/>
          <w:color w:val="auto"/>
          <w:sz w:val="22"/>
          <w:szCs w:val="22"/>
        </w:rPr>
      </w:pPr>
      <w:r>
        <w:rPr>
          <w:rFonts w:hint="eastAsia" w:ascii="仿宋" w:hAnsi="仿宋" w:eastAsia="仿宋" w:cs="仿宋"/>
          <w:color w:val="auto"/>
          <w:sz w:val="22"/>
          <w:szCs w:val="22"/>
        </w:rPr>
        <w:t>十、不可抗力</w:t>
      </w:r>
    </w:p>
    <w:p>
      <w:pPr>
        <w:adjustRightInd w:val="0"/>
        <w:snapToGrid w:val="0"/>
        <w:spacing w:line="360" w:lineRule="auto"/>
        <w:ind w:firstLine="323" w:firstLineChars="147"/>
        <w:rPr>
          <w:rFonts w:hint="eastAsia" w:ascii="仿宋" w:hAnsi="仿宋" w:eastAsia="仿宋" w:cs="仿宋"/>
          <w:color w:val="auto"/>
          <w:sz w:val="22"/>
          <w:szCs w:val="22"/>
        </w:rPr>
      </w:pPr>
      <w:r>
        <w:rPr>
          <w:rFonts w:hint="eastAsia" w:ascii="仿宋" w:hAnsi="仿宋" w:eastAsia="仿宋" w:cs="仿宋"/>
          <w:color w:val="auto"/>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3" w:firstLineChars="147"/>
        <w:rPr>
          <w:rFonts w:hint="eastAsia" w:ascii="仿宋" w:hAnsi="仿宋" w:eastAsia="仿宋" w:cs="仿宋"/>
          <w:color w:val="auto"/>
          <w:sz w:val="22"/>
          <w:szCs w:val="22"/>
        </w:rPr>
      </w:pPr>
      <w:r>
        <w:rPr>
          <w:rFonts w:hint="eastAsia" w:ascii="仿宋" w:hAnsi="仿宋" w:eastAsia="仿宋" w:cs="仿宋"/>
          <w:color w:val="auto"/>
          <w:sz w:val="22"/>
          <w:szCs w:val="22"/>
        </w:rPr>
        <w:t>如遇不可抗力事件的一方导致合同无法履行时，应立即将事故情况书面告知另一方，并在</w:t>
      </w:r>
      <w:r>
        <w:rPr>
          <w:rFonts w:hint="eastAsia" w:ascii="仿宋" w:hAnsi="仿宋" w:eastAsia="仿宋" w:cs="仿宋"/>
          <w:color w:val="auto"/>
          <w:sz w:val="22"/>
          <w:szCs w:val="22"/>
          <w:highlight w:val="none"/>
          <w:u w:val="single"/>
        </w:rPr>
        <w:t>3</w:t>
      </w:r>
      <w:r>
        <w:rPr>
          <w:rFonts w:hint="eastAsia" w:ascii="仿宋" w:hAnsi="仿宋" w:eastAsia="仿宋" w:cs="仿宋"/>
          <w:color w:val="auto"/>
          <w:sz w:val="22"/>
          <w:szCs w:val="22"/>
        </w:rPr>
        <w:t>天内，提供事故详情。</w:t>
      </w:r>
    </w:p>
    <w:p>
      <w:pPr>
        <w:adjustRightInd w:val="0"/>
        <w:snapToGrid w:val="0"/>
        <w:spacing w:line="360" w:lineRule="auto"/>
        <w:ind w:firstLine="323" w:firstLineChars="147"/>
        <w:rPr>
          <w:rFonts w:hint="eastAsia" w:ascii="仿宋" w:hAnsi="仿宋" w:eastAsia="仿宋" w:cs="仿宋"/>
          <w:color w:val="auto"/>
          <w:sz w:val="22"/>
          <w:szCs w:val="22"/>
        </w:rPr>
      </w:pPr>
      <w:r>
        <w:rPr>
          <w:rFonts w:hint="eastAsia" w:ascii="仿宋" w:hAnsi="仿宋" w:eastAsia="仿宋" w:cs="仿宋"/>
          <w:color w:val="auto"/>
          <w:sz w:val="22"/>
          <w:szCs w:val="22"/>
        </w:rPr>
        <w:t>十一、违约责任</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（一）、在补救违约而采取的任何其他措施未能实现的情况下，即在乙方收到甲方发出的违约整改通知后</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highlight w:val="none"/>
          <w:u w:val="single"/>
        </w:rPr>
        <w:t>3</w:t>
      </w:r>
      <w:r>
        <w:rPr>
          <w:rFonts w:hint="eastAsia" w:ascii="仿宋" w:hAnsi="仿宋" w:eastAsia="仿宋" w:cs="仿宋"/>
          <w:color w:val="auto"/>
          <w:sz w:val="22"/>
          <w:szCs w:val="22"/>
          <w:highlight w:val="none"/>
        </w:rPr>
        <w:t>天</w:t>
      </w:r>
      <w:r>
        <w:rPr>
          <w:rFonts w:hint="eastAsia" w:ascii="仿宋" w:hAnsi="仿宋" w:eastAsia="仿宋" w:cs="仿宋"/>
          <w:color w:val="auto"/>
          <w:sz w:val="22"/>
          <w:szCs w:val="22"/>
        </w:rPr>
        <w:t>内(或经甲方书面确认的更长时间内)仍未纠正其下述任何一种违约行为，甲方可向乙方发出书面解除通知，终止全部或部分合同条款：</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(1)如果乙方未能在合同规定的期限内或甲方准许的任何延期内交付部分或全部产品。</w:t>
      </w:r>
    </w:p>
    <w:p>
      <w:pPr>
        <w:adjustRightInd w:val="0"/>
        <w:snapToGrid w:val="0"/>
        <w:spacing w:line="360" w:lineRule="auto"/>
        <w:ind w:firstLine="110" w:firstLineChars="50"/>
        <w:rPr>
          <w:rFonts w:hint="eastAsia" w:ascii="仿宋" w:hAnsi="仿宋" w:eastAsia="仿宋" w:cs="仿宋"/>
          <w:color w:val="auto"/>
          <w:sz w:val="22"/>
          <w:szCs w:val="22"/>
        </w:rPr>
      </w:pPr>
      <w:r>
        <w:rPr>
          <w:rFonts w:hint="eastAsia" w:ascii="仿宋" w:hAnsi="仿宋" w:eastAsia="仿宋" w:cs="仿宋"/>
          <w:color w:val="auto"/>
          <w:sz w:val="22"/>
          <w:szCs w:val="22"/>
        </w:rPr>
        <w:t xml:space="preserve">   (2)乙方未能履行合同项下的其它义务。</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（三）、严禁乙方转让合同，若乙方违约，则甲方有权终止合同，乙方承担合同总价30%的违约金。</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十二、其它事项</w:t>
      </w:r>
    </w:p>
    <w:p>
      <w:pPr>
        <w:adjustRightInd w:val="0"/>
        <w:snapToGrid w:val="0"/>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（一）、招投标文件均作为合同不可分割的部分。解释顺序为招标文件、投标文件、合同、合同附件。</w:t>
      </w:r>
    </w:p>
    <w:p>
      <w:pPr>
        <w:adjustRightInd w:val="0"/>
        <w:snapToGrid w:val="0"/>
        <w:spacing w:line="360" w:lineRule="auto"/>
        <w:ind w:left="359" w:leftChars="171" w:firstLine="110" w:firstLineChars="50"/>
        <w:rPr>
          <w:rFonts w:hint="eastAsia" w:ascii="仿宋" w:hAnsi="仿宋" w:eastAsia="仿宋" w:cs="仿宋"/>
          <w:color w:val="auto"/>
          <w:sz w:val="22"/>
          <w:szCs w:val="22"/>
        </w:rPr>
      </w:pPr>
      <w:r>
        <w:rPr>
          <w:rFonts w:hint="eastAsia" w:ascii="仿宋" w:hAnsi="仿宋" w:eastAsia="仿宋" w:cs="仿宋"/>
          <w:color w:val="auto"/>
          <w:sz w:val="22"/>
          <w:szCs w:val="22"/>
        </w:rPr>
        <w:t>（二）、合同未尽事宜，由甲、乙双方协商，作为合同的补充与原合同具有同等法律效力。</w:t>
      </w:r>
    </w:p>
    <w:p>
      <w:pPr>
        <w:adjustRightInd w:val="0"/>
        <w:snapToGrid w:val="0"/>
        <w:spacing w:line="360" w:lineRule="auto"/>
        <w:ind w:left="359" w:leftChars="171" w:firstLine="110" w:firstLineChars="50"/>
        <w:rPr>
          <w:rFonts w:hint="eastAsia" w:ascii="仿宋" w:hAnsi="仿宋" w:eastAsia="仿宋" w:cs="仿宋"/>
          <w:color w:val="auto"/>
          <w:sz w:val="22"/>
          <w:szCs w:val="22"/>
        </w:rPr>
      </w:pPr>
      <w:r>
        <w:rPr>
          <w:rFonts w:hint="eastAsia" w:ascii="仿宋" w:hAnsi="仿宋" w:eastAsia="仿宋" w:cs="仿宋"/>
          <w:color w:val="auto"/>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十三、 通知和送达</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仿宋" w:hAnsi="仿宋" w:eastAsia="仿宋" w:cs="仿宋"/>
          <w:color w:val="auto"/>
          <w:sz w:val="22"/>
          <w:szCs w:val="22"/>
        </w:rPr>
      </w:pP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十四、本合同签订时间、地点、履行期限</w:t>
      </w:r>
    </w:p>
    <w:p>
      <w:pPr>
        <w:adjustRightInd w:val="0"/>
        <w:snapToGrid w:val="0"/>
        <w:spacing w:line="360" w:lineRule="auto"/>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      （一）签订时间：</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      （二）签订地点：</w:t>
      </w:r>
    </w:p>
    <w:p>
      <w:pPr>
        <w:adjustRightInd w:val="0"/>
        <w:snapToGrid w:val="0"/>
        <w:spacing w:line="360" w:lineRule="auto"/>
        <w:ind w:firstLine="646" w:firstLineChars="294"/>
        <w:rPr>
          <w:rFonts w:hint="eastAsia" w:ascii="仿宋" w:hAnsi="仿宋" w:eastAsia="仿宋" w:cs="仿宋"/>
          <w:color w:val="auto"/>
          <w:sz w:val="22"/>
          <w:szCs w:val="22"/>
        </w:rPr>
      </w:pPr>
      <w:r>
        <w:rPr>
          <w:rFonts w:hint="eastAsia" w:ascii="仿宋" w:hAnsi="仿宋" w:eastAsia="仿宋" w:cs="仿宋"/>
          <w:color w:val="auto"/>
          <w:sz w:val="22"/>
          <w:szCs w:val="22"/>
        </w:rPr>
        <w:t>（三）履行期限：本合同供求关系时间自二零二</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日起至二零二</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日，有效期限为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个月。</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十四、合同签订及生效：本合同一式四份，甲方执叁份、乙方执壹份，双方签字并盖章后生效。</w:t>
      </w:r>
    </w:p>
    <w:p>
      <w:pPr>
        <w:adjustRightInd w:val="0"/>
        <w:snapToGrid w:val="0"/>
        <w:spacing w:line="360" w:lineRule="auto"/>
        <w:rPr>
          <w:rFonts w:hint="eastAsia" w:ascii="仿宋" w:hAnsi="仿宋" w:eastAsia="仿宋" w:cs="仿宋"/>
          <w:color w:val="auto"/>
          <w:sz w:val="22"/>
          <w:szCs w:val="22"/>
        </w:rPr>
      </w:pPr>
    </w:p>
    <w:p>
      <w:pPr>
        <w:adjustRightInd w:val="0"/>
        <w:snapToGrid w:val="0"/>
        <w:spacing w:line="360" w:lineRule="auto"/>
        <w:ind w:left="-359" w:leftChars="-171" w:firstLine="1190" w:firstLineChars="541"/>
        <w:rPr>
          <w:rFonts w:hint="eastAsia" w:ascii="仿宋" w:hAnsi="仿宋" w:eastAsia="仿宋" w:cs="仿宋"/>
          <w:color w:val="auto"/>
          <w:sz w:val="22"/>
          <w:szCs w:val="22"/>
        </w:rPr>
      </w:pPr>
      <w:r>
        <w:rPr>
          <w:rFonts w:hint="eastAsia" w:ascii="仿宋" w:hAnsi="仿宋" w:eastAsia="仿宋" w:cs="仿宋"/>
          <w:color w:val="auto"/>
          <w:sz w:val="22"/>
          <w:szCs w:val="22"/>
        </w:rPr>
        <w:t>甲    方                                      乙    方</w:t>
      </w:r>
    </w:p>
    <w:p>
      <w:pPr>
        <w:adjustRightInd w:val="0"/>
        <w:snapToGrid w:val="0"/>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单位名称：                                  单位名称： </w:t>
      </w:r>
    </w:p>
    <w:p>
      <w:pPr>
        <w:adjustRightInd w:val="0"/>
        <w:snapToGrid w:val="0"/>
        <w:spacing w:line="360" w:lineRule="auto"/>
        <w:ind w:right="-506" w:rightChars="-241" w:firstLine="1210" w:firstLineChars="550"/>
        <w:jc w:val="left"/>
        <w:rPr>
          <w:rFonts w:hint="eastAsia" w:ascii="仿宋" w:hAnsi="仿宋" w:eastAsia="仿宋" w:cs="仿宋"/>
          <w:color w:val="auto"/>
          <w:sz w:val="22"/>
          <w:szCs w:val="22"/>
        </w:rPr>
      </w:pPr>
      <w:r>
        <w:rPr>
          <w:rFonts w:hint="eastAsia" w:ascii="仿宋" w:hAnsi="仿宋" w:eastAsia="仿宋" w:cs="仿宋"/>
          <w:color w:val="auto"/>
          <w:sz w:val="22"/>
          <w:szCs w:val="22"/>
        </w:rPr>
        <w:t>（盖章）                                （盖章）</w:t>
      </w:r>
    </w:p>
    <w:p>
      <w:pPr>
        <w:adjustRightInd w:val="0"/>
        <w:snapToGrid w:val="0"/>
        <w:spacing w:line="360" w:lineRule="auto"/>
        <w:ind w:left="6370" w:leftChars="-57" w:right="-506" w:rightChars="-241" w:hanging="6490" w:hangingChars="2950"/>
        <w:rPr>
          <w:rFonts w:hint="eastAsia" w:ascii="仿宋" w:hAnsi="仿宋" w:eastAsia="仿宋" w:cs="仿宋"/>
          <w:color w:val="auto"/>
          <w:sz w:val="22"/>
          <w:szCs w:val="22"/>
        </w:rPr>
      </w:pPr>
      <w:r>
        <w:rPr>
          <w:rFonts w:hint="eastAsia" w:ascii="仿宋" w:hAnsi="仿宋" w:eastAsia="仿宋" w:cs="仿宋"/>
          <w:color w:val="auto"/>
          <w:sz w:val="22"/>
          <w:szCs w:val="22"/>
        </w:rPr>
        <w:t xml:space="preserve">地    址：                                   地  址： </w:t>
      </w:r>
    </w:p>
    <w:p>
      <w:pPr>
        <w:adjustRightInd w:val="0"/>
        <w:snapToGrid w:val="0"/>
        <w:spacing w:line="360" w:lineRule="auto"/>
        <w:ind w:left="6904" w:leftChars="3078" w:right="-506" w:rightChars="-241" w:hanging="440" w:hangingChars="200"/>
        <w:rPr>
          <w:rFonts w:hint="eastAsia" w:ascii="仿宋" w:hAnsi="仿宋" w:eastAsia="仿宋" w:cs="仿宋"/>
          <w:color w:val="auto"/>
          <w:sz w:val="22"/>
          <w:szCs w:val="22"/>
        </w:rPr>
      </w:pPr>
    </w:p>
    <w:p>
      <w:pPr>
        <w:adjustRightInd w:val="0"/>
        <w:snapToGrid w:val="0"/>
        <w:spacing w:line="360" w:lineRule="auto"/>
        <w:ind w:left="-359" w:leftChars="-171" w:right="-506" w:rightChars="-241"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 xml:space="preserve">法定代表人：                                  法定代表人（签字）： </w:t>
      </w:r>
    </w:p>
    <w:p>
      <w:pPr>
        <w:adjustRightInd w:val="0"/>
        <w:snapToGrid w:val="0"/>
        <w:spacing w:line="360" w:lineRule="auto"/>
        <w:ind w:left="-359" w:leftChars="-171" w:right="-506" w:rightChars="-241"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代 理 人：                                    代 理 人（签字）：</w:t>
      </w:r>
    </w:p>
    <w:p>
      <w:pPr>
        <w:adjustRightInd w:val="0"/>
        <w:snapToGrid w:val="0"/>
        <w:spacing w:line="360" w:lineRule="auto"/>
        <w:ind w:left="-359" w:leftChars="-171" w:right="-506" w:rightChars="-241"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 xml:space="preserve">联系电话：                                   联系电话：            </w:t>
      </w:r>
    </w:p>
    <w:p>
      <w:pPr>
        <w:adjustRightInd w:val="0"/>
        <w:snapToGrid w:val="0"/>
        <w:spacing w:line="360" w:lineRule="auto"/>
        <w:ind w:left="-359" w:leftChars="-171" w:right="-506" w:rightChars="-241" w:firstLine="6380" w:firstLineChars="2900"/>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p>
    <w:p>
      <w:pPr>
        <w:tabs>
          <w:tab w:val="left" w:pos="6720"/>
        </w:tabs>
        <w:adjustRightInd w:val="0"/>
        <w:snapToGrid w:val="0"/>
        <w:spacing w:line="360" w:lineRule="auto"/>
        <w:ind w:left="-359" w:leftChars="-171" w:right="-506" w:rightChars="-241" w:firstLine="2640" w:firstLineChars="1200"/>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p>
    <w:p>
      <w:pPr>
        <w:widowControl/>
        <w:adjustRightInd w:val="0"/>
        <w:snapToGrid w:val="0"/>
        <w:spacing w:after="150" w:line="560" w:lineRule="exact"/>
        <w:jc w:val="left"/>
        <w:rPr>
          <w:rFonts w:hint="eastAsia" w:ascii="仿宋" w:hAnsi="仿宋" w:eastAsia="仿宋" w:cs="仿宋"/>
          <w:color w:val="auto"/>
          <w:kern w:val="0"/>
          <w:sz w:val="22"/>
          <w:szCs w:val="22"/>
        </w:rPr>
      </w:pPr>
    </w:p>
    <w:p>
      <w:pPr>
        <w:pStyle w:val="11"/>
        <w:rPr>
          <w:rFonts w:hint="eastAsia" w:ascii="仿宋" w:hAnsi="仿宋" w:eastAsia="仿宋" w:cs="仿宋"/>
          <w:color w:val="auto"/>
          <w:kern w:val="0"/>
          <w:sz w:val="22"/>
          <w:szCs w:val="22"/>
        </w:rPr>
      </w:pPr>
    </w:p>
    <w:p>
      <w:pPr>
        <w:pStyle w:val="12"/>
        <w:rPr>
          <w:rFonts w:hint="eastAsia" w:ascii="仿宋" w:hAnsi="仿宋" w:eastAsia="仿宋" w:cs="仿宋"/>
        </w:rPr>
      </w:pPr>
    </w:p>
    <w:p>
      <w:pPr>
        <w:widowControl/>
        <w:adjustRightInd w:val="0"/>
        <w:snapToGrid w:val="0"/>
        <w:spacing w:after="150" w:line="560" w:lineRule="exact"/>
        <w:jc w:val="left"/>
        <w:rPr>
          <w:rFonts w:hint="eastAsia" w:ascii="仿宋" w:hAnsi="仿宋" w:eastAsia="仿宋" w:cs="仿宋"/>
          <w:color w:val="auto"/>
          <w:kern w:val="0"/>
          <w:sz w:val="22"/>
          <w:szCs w:val="22"/>
        </w:rPr>
      </w:pPr>
    </w:p>
    <w:p>
      <w:pPr>
        <w:pStyle w:val="20"/>
        <w:rPr>
          <w:rFonts w:hint="eastAsia" w:ascii="仿宋" w:hAnsi="仿宋" w:eastAsia="仿宋" w:cs="仿宋"/>
          <w:color w:val="auto"/>
          <w:kern w:val="0"/>
          <w:sz w:val="22"/>
          <w:szCs w:val="22"/>
        </w:rPr>
      </w:pPr>
    </w:p>
    <w:p>
      <w:pPr>
        <w:pStyle w:val="20"/>
        <w:ind w:left="0" w:leftChars="0" w:firstLine="0" w:firstLineChars="0"/>
        <w:rPr>
          <w:rFonts w:hint="eastAsia" w:ascii="仿宋" w:hAnsi="仿宋" w:eastAsia="仿宋" w:cs="仿宋"/>
          <w:color w:val="auto"/>
          <w:kern w:val="0"/>
          <w:sz w:val="22"/>
          <w:szCs w:val="22"/>
        </w:rPr>
      </w:pPr>
    </w:p>
    <w:p>
      <w:pPr>
        <w:rPr>
          <w:rFonts w:hint="eastAsia" w:ascii="仿宋" w:hAnsi="仿宋" w:eastAsia="仿宋" w:cs="仿宋"/>
          <w:color w:val="auto"/>
        </w:rPr>
      </w:pPr>
    </w:p>
    <w:p>
      <w:pPr>
        <w:pStyle w:val="3"/>
        <w:keepLines w:val="0"/>
        <w:spacing w:before="0" w:after="0" w:line="360" w:lineRule="auto"/>
        <w:ind w:right="-441" w:rightChars="-210"/>
        <w:jc w:val="center"/>
        <w:rPr>
          <w:rFonts w:hint="eastAsia" w:ascii="仿宋" w:hAnsi="仿宋" w:eastAsia="仿宋" w:cs="仿宋"/>
          <w:color w:val="auto"/>
          <w:kern w:val="2"/>
          <w:sz w:val="48"/>
          <w:szCs w:val="48"/>
        </w:rPr>
      </w:pPr>
      <w:r>
        <w:rPr>
          <w:rFonts w:hint="eastAsia" w:ascii="仿宋" w:hAnsi="仿宋" w:eastAsia="仿宋" w:cs="仿宋"/>
          <w:color w:val="auto"/>
          <w:kern w:val="2"/>
          <w:sz w:val="48"/>
          <w:szCs w:val="48"/>
        </w:rPr>
        <w:t>第五章  投标文件格式</w:t>
      </w:r>
      <w:bookmarkEnd w:id="124"/>
      <w:bookmarkEnd w:id="125"/>
      <w:bookmarkEnd w:id="126"/>
      <w:bookmarkEnd w:id="127"/>
    </w:p>
    <w:p>
      <w:pPr>
        <w:pStyle w:val="4"/>
        <w:keepLines w:val="0"/>
        <w:spacing w:before="0" w:after="0" w:line="360" w:lineRule="auto"/>
        <w:ind w:right="-441" w:rightChars="-210"/>
        <w:rPr>
          <w:rFonts w:hint="eastAsia" w:ascii="仿宋" w:hAnsi="仿宋" w:eastAsia="仿宋" w:cs="仿宋"/>
          <w:color w:val="auto"/>
        </w:rPr>
      </w:pPr>
      <w:bookmarkStart w:id="128" w:name="_Toc130139083"/>
      <w:bookmarkStart w:id="129" w:name="_Toc9490"/>
      <w:bookmarkStart w:id="130" w:name="_Toc128466400"/>
      <w:r>
        <w:rPr>
          <w:rFonts w:hint="eastAsia" w:ascii="仿宋" w:hAnsi="仿宋" w:eastAsia="仿宋" w:cs="仿宋"/>
          <w:color w:val="auto"/>
          <w:sz w:val="28"/>
          <w:szCs w:val="28"/>
        </w:rPr>
        <w:t>格式1 投标</w:t>
      </w:r>
      <w:bookmarkEnd w:id="128"/>
      <w:r>
        <w:rPr>
          <w:rFonts w:hint="eastAsia" w:ascii="仿宋" w:hAnsi="仿宋" w:eastAsia="仿宋" w:cs="仿宋"/>
          <w:color w:val="auto"/>
          <w:sz w:val="28"/>
          <w:szCs w:val="28"/>
        </w:rPr>
        <w:t>书</w:t>
      </w:r>
      <w:bookmarkEnd w:id="129"/>
    </w:p>
    <w:p>
      <w:pPr>
        <w:spacing w:line="360" w:lineRule="auto"/>
        <w:rPr>
          <w:rFonts w:hint="eastAsia" w:ascii="仿宋" w:hAnsi="仿宋" w:eastAsia="仿宋" w:cs="仿宋"/>
          <w:color w:val="auto"/>
          <w:sz w:val="18"/>
          <w:szCs w:val="18"/>
        </w:rPr>
      </w:pPr>
      <w:r>
        <w:rPr>
          <w:rFonts w:hint="eastAsia" w:ascii="仿宋" w:hAnsi="仿宋" w:eastAsia="仿宋" w:cs="仿宋"/>
          <w:color w:val="auto"/>
          <w:sz w:val="24"/>
        </w:rPr>
        <w:t>致：</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w:t>
      </w:r>
    </w:p>
    <w:p>
      <w:pPr>
        <w:spacing w:line="360" w:lineRule="auto"/>
        <w:ind w:firstLine="480"/>
        <w:rPr>
          <w:rFonts w:hint="eastAsia" w:ascii="仿宋" w:hAnsi="仿宋" w:eastAsia="仿宋" w:cs="仿宋"/>
          <w:color w:val="auto"/>
          <w:sz w:val="24"/>
        </w:rPr>
      </w:pPr>
      <w:bookmarkStart w:id="131" w:name="_Toc64113040"/>
      <w:bookmarkStart w:id="132" w:name="_Toc130139084"/>
      <w:r>
        <w:rPr>
          <w:rFonts w:hint="eastAsia" w:ascii="仿宋" w:hAnsi="仿宋" w:eastAsia="仿宋" w:cs="仿宋"/>
          <w:color w:val="auto"/>
          <w:sz w:val="24"/>
        </w:rPr>
        <w:t>根据</w:t>
      </w:r>
      <w:r>
        <w:rPr>
          <w:rFonts w:hint="eastAsia" w:ascii="仿宋" w:hAnsi="仿宋" w:eastAsia="仿宋" w:cs="仿宋"/>
          <w:color w:val="auto"/>
          <w:sz w:val="24"/>
          <w:lang w:val="en-US" w:eastAsia="zh-CN"/>
        </w:rPr>
        <w:t>XXX</w:t>
      </w:r>
      <w:r>
        <w:rPr>
          <w:rFonts w:hint="eastAsia" w:ascii="仿宋" w:hAnsi="仿宋" w:eastAsia="仿宋" w:cs="仿宋"/>
          <w:color w:val="auto"/>
          <w:sz w:val="24"/>
          <w:lang w:eastAsia="zh-CN"/>
        </w:rPr>
        <w:t>项目</w:t>
      </w:r>
      <w:r>
        <w:rPr>
          <w:rFonts w:hint="eastAsia" w:ascii="仿宋" w:hAnsi="仿宋" w:eastAsia="仿宋" w:cs="仿宋"/>
          <w:color w:val="auto"/>
          <w:sz w:val="24"/>
        </w:rPr>
        <w:t>（招标编号：HY</w:t>
      </w:r>
      <w:r>
        <w:rPr>
          <w:rFonts w:hint="eastAsia" w:ascii="仿宋" w:hAnsi="仿宋" w:eastAsia="仿宋" w:cs="仿宋"/>
          <w:color w:val="auto"/>
          <w:sz w:val="24"/>
          <w:lang w:val="en-US" w:eastAsia="zh-CN"/>
        </w:rPr>
        <w:t>YL</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XX</w:t>
      </w:r>
      <w:r>
        <w:rPr>
          <w:rFonts w:hint="eastAsia" w:ascii="仿宋" w:hAnsi="仿宋" w:eastAsia="仿宋" w:cs="仿宋"/>
          <w:color w:val="auto"/>
          <w:sz w:val="24"/>
        </w:rPr>
        <w:t>号）的</w:t>
      </w:r>
      <w:r>
        <w:rPr>
          <w:rFonts w:hint="eastAsia" w:ascii="仿宋" w:hAnsi="仿宋" w:eastAsia="仿宋" w:cs="仿宋"/>
          <w:color w:val="auto"/>
          <w:sz w:val="24"/>
          <w:lang w:eastAsia="zh-CN"/>
        </w:rPr>
        <w:t>磋商</w:t>
      </w:r>
      <w:r>
        <w:rPr>
          <w:rFonts w:hint="eastAsia" w:ascii="仿宋" w:hAnsi="仿宋" w:eastAsia="仿宋" w:cs="仿宋"/>
          <w:color w:val="auto"/>
          <w:sz w:val="24"/>
        </w:rPr>
        <w:t>文件要求，</w:t>
      </w:r>
      <w:r>
        <w:rPr>
          <w:rFonts w:hint="eastAsia" w:ascii="仿宋" w:hAnsi="仿宋" w:eastAsia="仿宋" w:cs="仿宋"/>
          <w:color w:val="auto"/>
          <w:sz w:val="24"/>
          <w:u w:val="single"/>
        </w:rPr>
        <w:t>（全名及职务）</w:t>
      </w:r>
      <w:r>
        <w:rPr>
          <w:rFonts w:hint="eastAsia" w:ascii="仿宋" w:hAnsi="仿宋" w:eastAsia="仿宋" w:cs="仿宋"/>
          <w:color w:val="auto"/>
          <w:sz w:val="24"/>
        </w:rPr>
        <w:t>经正式授权并以投标人</w:t>
      </w:r>
      <w:r>
        <w:rPr>
          <w:rFonts w:hint="eastAsia" w:ascii="仿宋" w:hAnsi="仿宋" w:eastAsia="仿宋" w:cs="仿宋"/>
          <w:color w:val="auto"/>
          <w:sz w:val="24"/>
          <w:u w:val="single"/>
        </w:rPr>
        <w:t>（投标人名称、地址）</w:t>
      </w:r>
      <w:r>
        <w:rPr>
          <w:rFonts w:hint="eastAsia" w:ascii="仿宋" w:hAnsi="仿宋" w:eastAsia="仿宋" w:cs="仿宋"/>
          <w:color w:val="auto"/>
          <w:sz w:val="24"/>
        </w:rPr>
        <w:t>的名义投标。提交投标文件正本1份（内装投标文件正本1份，投标文件电子版1份，只限U盘，不留密码，无病毒</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投标一览表一份单独密封</w:t>
      </w:r>
      <w:r>
        <w:rPr>
          <w:rFonts w:hint="eastAsia" w:ascii="仿宋" w:hAnsi="仿宋" w:eastAsia="仿宋" w:cs="仿宋"/>
          <w:color w:val="auto"/>
          <w:sz w:val="24"/>
        </w:rPr>
        <w:t>），副本</w:t>
      </w:r>
      <w:r>
        <w:rPr>
          <w:rFonts w:hint="eastAsia" w:ascii="仿宋" w:hAnsi="仿宋" w:eastAsia="仿宋" w:cs="仿宋"/>
          <w:color w:val="auto"/>
          <w:sz w:val="24"/>
          <w:lang w:val="en-US" w:eastAsia="zh-CN"/>
        </w:rPr>
        <w:t>2</w:t>
      </w:r>
      <w:r>
        <w:rPr>
          <w:rFonts w:hint="eastAsia" w:ascii="仿宋" w:hAnsi="仿宋" w:eastAsia="仿宋" w:cs="仿宋"/>
          <w:color w:val="auto"/>
          <w:sz w:val="24"/>
        </w:rPr>
        <w:t>份。签字代表在此声明并同意：</w:t>
      </w:r>
    </w:p>
    <w:p>
      <w:pPr>
        <w:numPr>
          <w:ilvl w:val="0"/>
          <w:numId w:val="19"/>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我们愿意遵守</w:t>
      </w:r>
      <w:r>
        <w:rPr>
          <w:rFonts w:hint="eastAsia" w:ascii="仿宋" w:hAnsi="仿宋" w:eastAsia="仿宋" w:cs="仿宋"/>
          <w:color w:val="auto"/>
          <w:sz w:val="24"/>
          <w:lang w:eastAsia="zh-CN"/>
        </w:rPr>
        <w:t>磋商</w:t>
      </w:r>
      <w:r>
        <w:rPr>
          <w:rFonts w:hint="eastAsia" w:ascii="仿宋" w:hAnsi="仿宋" w:eastAsia="仿宋" w:cs="仿宋"/>
          <w:color w:val="auto"/>
          <w:sz w:val="24"/>
        </w:rPr>
        <w:t>文件的各项规定，自愿参加投标，并已清楚</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文件的要求及有关文件规定，并严格按照</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文件的规定履行全部责任和义务。</w:t>
      </w:r>
    </w:p>
    <w:p>
      <w:pPr>
        <w:numPr>
          <w:ilvl w:val="0"/>
          <w:numId w:val="19"/>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我们同意本投标自投标截止之日起</w:t>
      </w:r>
      <w:r>
        <w:rPr>
          <w:rFonts w:hint="eastAsia" w:ascii="仿宋" w:hAnsi="仿宋" w:eastAsia="仿宋" w:cs="仿宋"/>
          <w:color w:val="auto"/>
          <w:sz w:val="24"/>
          <w:lang w:val="en-US" w:eastAsia="zh-CN"/>
        </w:rPr>
        <w:t>6</w:t>
      </w:r>
      <w:r>
        <w:rPr>
          <w:rFonts w:hint="eastAsia" w:ascii="仿宋" w:hAnsi="仿宋" w:eastAsia="仿宋" w:cs="仿宋"/>
          <w:color w:val="auto"/>
          <w:sz w:val="24"/>
        </w:rPr>
        <w:t>0天内有效。如果我们的投标被接受，则直至合同生效时止，本投标始终有效。</w:t>
      </w:r>
    </w:p>
    <w:p>
      <w:pPr>
        <w:numPr>
          <w:ilvl w:val="0"/>
          <w:numId w:val="19"/>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我们已经详细地阅读并完全明白了全部</w:t>
      </w:r>
      <w:r>
        <w:rPr>
          <w:rFonts w:hint="eastAsia" w:ascii="仿宋" w:hAnsi="仿宋" w:eastAsia="仿宋" w:cs="仿宋"/>
          <w:color w:val="auto"/>
          <w:sz w:val="24"/>
          <w:lang w:eastAsia="zh-CN"/>
        </w:rPr>
        <w:t>磋商</w:t>
      </w:r>
      <w:r>
        <w:rPr>
          <w:rFonts w:hint="eastAsia" w:ascii="仿宋" w:hAnsi="仿宋" w:eastAsia="仿宋" w:cs="仿宋"/>
          <w:color w:val="auto"/>
          <w:sz w:val="24"/>
        </w:rPr>
        <w:t>文件及附件，包括澄清（如有）及参考文件，我们完全理解本</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文件的要求，我们同意放弃对</w:t>
      </w:r>
      <w:r>
        <w:rPr>
          <w:rFonts w:hint="eastAsia" w:ascii="仿宋" w:hAnsi="仿宋" w:eastAsia="仿宋" w:cs="仿宋"/>
          <w:color w:val="auto"/>
          <w:sz w:val="24"/>
          <w:lang w:eastAsia="zh-CN"/>
        </w:rPr>
        <w:t>磋商</w:t>
      </w:r>
      <w:r>
        <w:rPr>
          <w:rFonts w:hint="eastAsia" w:ascii="仿宋" w:hAnsi="仿宋" w:eastAsia="仿宋" w:cs="仿宋"/>
          <w:color w:val="auto"/>
          <w:sz w:val="24"/>
        </w:rPr>
        <w:t>文件提出不明或误解的一切权力。</w:t>
      </w:r>
    </w:p>
    <w:p>
      <w:pPr>
        <w:numPr>
          <w:ilvl w:val="0"/>
          <w:numId w:val="19"/>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我们同意提供招标代理机构与评标委员会要求的有关投标的一切数据或资料。</w:t>
      </w:r>
    </w:p>
    <w:p>
      <w:pPr>
        <w:numPr>
          <w:ilvl w:val="0"/>
          <w:numId w:val="19"/>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如果我们未对</w:t>
      </w:r>
      <w:r>
        <w:rPr>
          <w:rFonts w:hint="eastAsia" w:ascii="仿宋" w:hAnsi="仿宋" w:eastAsia="仿宋" w:cs="仿宋"/>
          <w:color w:val="auto"/>
          <w:sz w:val="24"/>
          <w:lang w:eastAsia="zh-CN"/>
        </w:rPr>
        <w:t>磋商</w:t>
      </w:r>
      <w:r>
        <w:rPr>
          <w:rFonts w:hint="eastAsia" w:ascii="仿宋" w:hAnsi="仿宋" w:eastAsia="仿宋" w:cs="仿宋"/>
          <w:color w:val="auto"/>
          <w:sz w:val="24"/>
        </w:rPr>
        <w:t>文件全部要求作出实质性响应，则完全同意并接受按无效投标处理。</w:t>
      </w:r>
    </w:p>
    <w:p>
      <w:pPr>
        <w:numPr>
          <w:ilvl w:val="0"/>
          <w:numId w:val="19"/>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我们在投标时已明确获知采购人有权根据实际情况，调整合同中规定的相关内容，在此我们承诺，如果我们获得中标资格，将无条件接受采购人的调整方案。</w:t>
      </w:r>
    </w:p>
    <w:p>
      <w:pPr>
        <w:numPr>
          <w:ilvl w:val="0"/>
          <w:numId w:val="19"/>
        </w:numPr>
        <w:tabs>
          <w:tab w:val="left" w:pos="840"/>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9"/>
        </w:numPr>
        <w:tabs>
          <w:tab w:val="left" w:pos="840"/>
          <w:tab w:val="left" w:pos="945"/>
          <w:tab w:val="clear" w:pos="420"/>
        </w:tabs>
        <w:spacing w:line="360" w:lineRule="auto"/>
        <w:ind w:left="840" w:hanging="315"/>
        <w:rPr>
          <w:rFonts w:hint="eastAsia" w:ascii="仿宋" w:hAnsi="仿宋" w:eastAsia="仿宋" w:cs="仿宋"/>
          <w:color w:val="auto"/>
          <w:sz w:val="24"/>
        </w:rPr>
      </w:pPr>
      <w:r>
        <w:rPr>
          <w:rFonts w:hint="eastAsia" w:ascii="仿宋" w:hAnsi="仿宋" w:eastAsia="仿宋" w:cs="仿宋"/>
          <w:color w:val="auto"/>
          <w:sz w:val="24"/>
        </w:rPr>
        <w:t>我们是依法注册的法人，在法律、财务及运作上完全独立于（采购人）和</w:t>
      </w: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（招标代理机构）。</w:t>
      </w:r>
    </w:p>
    <w:p>
      <w:pPr>
        <w:numPr>
          <w:ilvl w:val="0"/>
          <w:numId w:val="19"/>
        </w:numPr>
        <w:tabs>
          <w:tab w:val="left" w:pos="840"/>
          <w:tab w:val="left" w:pos="945"/>
          <w:tab w:val="clear" w:pos="420"/>
        </w:tabs>
        <w:spacing w:line="360" w:lineRule="auto"/>
        <w:ind w:left="840" w:hanging="315"/>
        <w:rPr>
          <w:rFonts w:hint="eastAsia" w:ascii="仿宋" w:hAnsi="仿宋" w:eastAsia="仿宋" w:cs="仿宋"/>
          <w:color w:val="auto"/>
        </w:rPr>
      </w:pPr>
      <w:r>
        <w:rPr>
          <w:rFonts w:hint="eastAsia" w:ascii="仿宋" w:hAnsi="仿宋" w:eastAsia="仿宋" w:cs="仿宋"/>
          <w:color w:val="auto"/>
          <w:sz w:val="24"/>
        </w:rPr>
        <w:t>所有有关本次投标的函电请寄：</w:t>
      </w:r>
      <w:r>
        <w:rPr>
          <w:rFonts w:hint="eastAsia" w:ascii="仿宋" w:hAnsi="仿宋" w:eastAsia="仿宋" w:cs="仿宋"/>
          <w:color w:val="auto"/>
          <w:sz w:val="24"/>
          <w:u w:val="single"/>
        </w:rPr>
        <w:t xml:space="preserve">  （投标人地址）    </w:t>
      </w:r>
      <w:r>
        <w:rPr>
          <w:rFonts w:hint="eastAsia" w:ascii="仿宋" w:hAnsi="仿宋" w:eastAsia="仿宋" w:cs="仿宋"/>
          <w:color w:val="auto"/>
          <w:sz w:val="24"/>
        </w:rPr>
        <w:t xml:space="preserve">  </w:t>
      </w:r>
    </w:p>
    <w:p>
      <w:pPr>
        <w:spacing w:line="480" w:lineRule="auto"/>
        <w:ind w:left="480"/>
        <w:rPr>
          <w:rFonts w:hint="eastAsia" w:ascii="仿宋" w:hAnsi="仿宋" w:eastAsia="仿宋" w:cs="仿宋"/>
          <w:color w:val="auto"/>
          <w:sz w:val="24"/>
        </w:rPr>
      </w:pPr>
      <w:r>
        <w:rPr>
          <w:rFonts w:hint="eastAsia" w:ascii="仿宋" w:hAnsi="仿宋" w:eastAsia="仿宋" w:cs="仿宋"/>
          <w:color w:val="auto"/>
          <w:sz w:val="24"/>
        </w:rPr>
        <w:t>授权代表（签名）：</w:t>
      </w:r>
    </w:p>
    <w:p>
      <w:pPr>
        <w:spacing w:line="480" w:lineRule="auto"/>
        <w:ind w:left="480"/>
        <w:rPr>
          <w:rFonts w:hint="eastAsia" w:ascii="仿宋" w:hAnsi="仿宋" w:eastAsia="仿宋" w:cs="仿宋"/>
          <w:color w:val="auto"/>
          <w:sz w:val="24"/>
        </w:rPr>
      </w:pPr>
      <w:r>
        <w:rPr>
          <w:rFonts w:hint="eastAsia" w:ascii="仿宋" w:hAnsi="仿宋" w:eastAsia="仿宋" w:cs="仿宋"/>
          <w:color w:val="auto"/>
          <w:sz w:val="24"/>
        </w:rPr>
        <w:t>职      务：</w:t>
      </w:r>
    </w:p>
    <w:p>
      <w:pPr>
        <w:spacing w:line="480" w:lineRule="auto"/>
        <w:ind w:left="480"/>
        <w:rPr>
          <w:rFonts w:hint="eastAsia" w:ascii="仿宋" w:hAnsi="仿宋" w:eastAsia="仿宋" w:cs="仿宋"/>
          <w:color w:val="auto"/>
          <w:sz w:val="24"/>
        </w:rPr>
      </w:pPr>
      <w:r>
        <w:rPr>
          <w:rFonts w:hint="eastAsia" w:ascii="仿宋" w:hAnsi="仿宋" w:eastAsia="仿宋" w:cs="仿宋"/>
          <w:color w:val="auto"/>
          <w:sz w:val="24"/>
        </w:rPr>
        <w:t>投标人名称：   投标人印章：  电话：        传真：              邮编：</w:t>
      </w:r>
      <w:r>
        <w:rPr>
          <w:rFonts w:hint="eastAsia" w:ascii="仿宋" w:hAnsi="仿宋" w:eastAsia="仿宋" w:cs="仿宋"/>
          <w:color w:val="auto"/>
          <w:sz w:val="24"/>
        </w:rPr>
        <w:br w:type="page"/>
      </w:r>
      <w:r>
        <w:rPr>
          <w:rFonts w:hint="eastAsia" w:ascii="仿宋" w:hAnsi="仿宋" w:eastAsia="仿宋" w:cs="仿宋"/>
          <w:b/>
          <w:color w:val="auto"/>
          <w:sz w:val="28"/>
          <w:szCs w:val="28"/>
        </w:rPr>
        <w:t>格式2 投标人基本情况表</w:t>
      </w:r>
      <w:bookmarkEnd w:id="131"/>
      <w:bookmarkEnd w:id="132"/>
    </w:p>
    <w:p>
      <w:pPr>
        <w:spacing w:line="360" w:lineRule="auto"/>
        <w:rPr>
          <w:rFonts w:hint="eastAsia" w:ascii="仿宋" w:hAnsi="仿宋" w:eastAsia="仿宋" w:cs="仿宋"/>
          <w:color w:val="auto"/>
          <w:sz w:val="24"/>
        </w:rPr>
      </w:pPr>
      <w:r>
        <w:rPr>
          <w:rFonts w:hint="eastAsia" w:ascii="仿宋" w:hAnsi="仿宋" w:eastAsia="仿宋" w:cs="仿宋"/>
          <w:color w:val="auto"/>
          <w:sz w:val="24"/>
        </w:rPr>
        <w:t>1、公司名称：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电话号码：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2、地    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 xml:space="preserve">  传    真：</w:t>
      </w:r>
      <w:r>
        <w:rPr>
          <w:rFonts w:hint="eastAsia" w:ascii="仿宋" w:hAnsi="仿宋" w:eastAsia="仿宋" w:cs="仿宋"/>
          <w:color w:val="auto"/>
          <w:sz w:val="24"/>
          <w:u w:val="single"/>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3、职工总人数：</w:t>
      </w:r>
      <w:r>
        <w:rPr>
          <w:rFonts w:hint="eastAsia" w:ascii="仿宋" w:hAnsi="仿宋" w:eastAsia="仿宋" w:cs="仿宋"/>
          <w:color w:val="auto"/>
          <w:sz w:val="24"/>
          <w:u w:val="single"/>
        </w:rPr>
        <w:t xml:space="preserve">              </w:t>
      </w:r>
      <w:r>
        <w:rPr>
          <w:rFonts w:hint="eastAsia" w:ascii="仿宋" w:hAnsi="仿宋" w:eastAsia="仿宋" w:cs="仿宋"/>
          <w:color w:val="auto"/>
          <w:sz w:val="24"/>
        </w:rPr>
        <w:t>人</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4、具有专业技术职称的人员占职工总人数</w:t>
      </w:r>
      <w:r>
        <w:rPr>
          <w:rFonts w:hint="eastAsia" w:ascii="仿宋" w:hAnsi="仿宋" w:eastAsia="仿宋" w:cs="仿宋"/>
          <w:color w:val="auto"/>
          <w:sz w:val="24"/>
          <w:u w:val="single"/>
        </w:rPr>
        <w:t xml:space="preserve">   </w:t>
      </w:r>
      <w:r>
        <w:rPr>
          <w:rFonts w:hint="eastAsia" w:ascii="仿宋" w:hAnsi="仿宋" w:eastAsia="仿宋" w:cs="仿宋"/>
          <w:color w:val="auto"/>
          <w:sz w:val="24"/>
        </w:rPr>
        <w:t>%，其中高级职称：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人，中级职称：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人。</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5、注册资金：</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6、经济性质：</w:t>
      </w:r>
      <w:r>
        <w:rPr>
          <w:rFonts w:hint="eastAsia" w:ascii="仿宋" w:hAnsi="仿宋" w:eastAsia="仿宋" w:cs="仿宋"/>
          <w:color w:val="auto"/>
          <w:sz w:val="24"/>
          <w:u w:val="single"/>
        </w:rPr>
        <w:t xml:space="preserve">                </w:t>
      </w:r>
    </w:p>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7、近期资产负债表（截止</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numPr>
          <w:ilvl w:val="4"/>
          <w:numId w:val="20"/>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 xml:space="preserve">固定资产:  </w:t>
      </w:r>
      <w:r>
        <w:rPr>
          <w:rFonts w:hint="eastAsia" w:ascii="仿宋" w:hAnsi="仿宋" w:eastAsia="仿宋" w:cs="仿宋"/>
          <w:color w:val="auto"/>
          <w:sz w:val="24"/>
          <w:u w:val="single"/>
        </w:rPr>
        <w:t xml:space="preserve">                        </w:t>
      </w:r>
    </w:p>
    <w:p>
      <w:pPr>
        <w:numPr>
          <w:ilvl w:val="4"/>
          <w:numId w:val="20"/>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流动资产:  </w:t>
      </w:r>
      <w:r>
        <w:rPr>
          <w:rFonts w:hint="eastAsia" w:ascii="仿宋" w:hAnsi="仿宋" w:eastAsia="仿宋" w:cs="仿宋"/>
          <w:color w:val="auto"/>
          <w:sz w:val="24"/>
          <w:u w:val="single"/>
        </w:rPr>
        <w:t xml:space="preserve">                        </w:t>
      </w:r>
    </w:p>
    <w:p>
      <w:pPr>
        <w:numPr>
          <w:ilvl w:val="4"/>
          <w:numId w:val="20"/>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 xml:space="preserve">长期负债:  </w:t>
      </w:r>
      <w:r>
        <w:rPr>
          <w:rFonts w:hint="eastAsia" w:ascii="仿宋" w:hAnsi="仿宋" w:eastAsia="仿宋" w:cs="仿宋"/>
          <w:color w:val="auto"/>
          <w:sz w:val="24"/>
          <w:u w:val="single"/>
        </w:rPr>
        <w:t xml:space="preserve">                        </w:t>
      </w:r>
    </w:p>
    <w:p>
      <w:pPr>
        <w:numPr>
          <w:ilvl w:val="4"/>
          <w:numId w:val="20"/>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 xml:space="preserve">流动负债:  </w:t>
      </w:r>
      <w:r>
        <w:rPr>
          <w:rFonts w:hint="eastAsia" w:ascii="仿宋" w:hAnsi="仿宋" w:eastAsia="仿宋" w:cs="仿宋"/>
          <w:color w:val="auto"/>
          <w:sz w:val="24"/>
          <w:u w:val="single"/>
        </w:rPr>
        <w:t xml:space="preserve">                        </w:t>
      </w:r>
    </w:p>
    <w:p>
      <w:pPr>
        <w:numPr>
          <w:ilvl w:val="4"/>
          <w:numId w:val="20"/>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净值:      </w:t>
      </w:r>
      <w:r>
        <w:rPr>
          <w:rFonts w:hint="eastAsia" w:ascii="仿宋" w:hAnsi="仿宋" w:eastAsia="仿宋" w:cs="仿宋"/>
          <w:color w:val="auto"/>
          <w:sz w:val="24"/>
          <w:u w:val="single"/>
        </w:rPr>
        <w:t xml:space="preserve">                        </w:t>
      </w:r>
    </w:p>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8、投标人财务状况</w:t>
      </w:r>
    </w:p>
    <w:tbl>
      <w:tblPr>
        <w:tblStyle w:val="22"/>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55"/>
        <w:gridCol w:w="1681"/>
        <w:gridCol w:w="1682"/>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9"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15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年份</w:t>
            </w:r>
          </w:p>
        </w:tc>
        <w:tc>
          <w:tcPr>
            <w:tcW w:w="1681" w:type="dxa"/>
            <w:noWrap w:val="0"/>
            <w:vAlign w:val="center"/>
          </w:tcPr>
          <w:p>
            <w:pPr>
              <w:pStyle w:val="35"/>
              <w:keepNext w:val="0"/>
              <w:adjustRightInd/>
              <w:spacing w:before="0" w:after="0" w:line="360" w:lineRule="auto"/>
              <w:textAlignment w:val="auto"/>
              <w:rPr>
                <w:rFonts w:hint="eastAsia" w:ascii="仿宋" w:hAnsi="仿宋" w:eastAsia="仿宋" w:cs="仿宋"/>
                <w:snapToGrid/>
                <w:color w:val="auto"/>
                <w:spacing w:val="0"/>
                <w:kern w:val="2"/>
                <w:szCs w:val="24"/>
                <w:lang w:val="en-US" w:eastAsia="zh-CN"/>
              </w:rPr>
            </w:pPr>
            <w:r>
              <w:rPr>
                <w:rFonts w:hint="eastAsia" w:ascii="仿宋" w:hAnsi="仿宋" w:eastAsia="仿宋" w:cs="仿宋"/>
                <w:snapToGrid/>
                <w:color w:val="auto"/>
                <w:spacing w:val="0"/>
                <w:kern w:val="2"/>
                <w:szCs w:val="24"/>
                <w:lang w:val="en-US" w:eastAsia="zh-CN"/>
              </w:rPr>
              <w:t>总资产</w:t>
            </w:r>
          </w:p>
        </w:tc>
        <w:tc>
          <w:tcPr>
            <w:tcW w:w="16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营业收入</w:t>
            </w:r>
          </w:p>
        </w:tc>
        <w:tc>
          <w:tcPr>
            <w:tcW w:w="16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净利润</w:t>
            </w:r>
          </w:p>
        </w:tc>
        <w:tc>
          <w:tcPr>
            <w:tcW w:w="16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9"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155" w:type="dxa"/>
            <w:noWrap w:val="0"/>
            <w:vAlign w:val="center"/>
          </w:tcPr>
          <w:p>
            <w:pPr>
              <w:spacing w:line="360" w:lineRule="auto"/>
              <w:jc w:val="center"/>
              <w:rPr>
                <w:rFonts w:hint="eastAsia" w:ascii="仿宋" w:hAnsi="仿宋" w:eastAsia="仿宋" w:cs="仿宋"/>
                <w:color w:val="auto"/>
                <w:sz w:val="24"/>
                <w:lang w:val="en-US" w:eastAsia="zh-CN"/>
              </w:rPr>
            </w:pPr>
          </w:p>
        </w:tc>
        <w:tc>
          <w:tcPr>
            <w:tcW w:w="1681" w:type="dxa"/>
            <w:noWrap w:val="0"/>
            <w:vAlign w:val="center"/>
          </w:tcPr>
          <w:p>
            <w:pPr>
              <w:spacing w:line="360" w:lineRule="auto"/>
              <w:jc w:val="center"/>
              <w:rPr>
                <w:rFonts w:hint="eastAsia" w:ascii="仿宋" w:hAnsi="仿宋" w:eastAsia="仿宋" w:cs="仿宋"/>
                <w:color w:val="auto"/>
                <w:sz w:val="24"/>
              </w:rPr>
            </w:pPr>
          </w:p>
        </w:tc>
        <w:tc>
          <w:tcPr>
            <w:tcW w:w="1682" w:type="dxa"/>
            <w:noWrap w:val="0"/>
            <w:vAlign w:val="center"/>
          </w:tcPr>
          <w:p>
            <w:pPr>
              <w:spacing w:line="360" w:lineRule="auto"/>
              <w:jc w:val="center"/>
              <w:rPr>
                <w:rFonts w:hint="eastAsia" w:ascii="仿宋" w:hAnsi="仿宋" w:eastAsia="仿宋" w:cs="仿宋"/>
                <w:color w:val="auto"/>
                <w:sz w:val="24"/>
              </w:rPr>
            </w:pPr>
          </w:p>
        </w:tc>
        <w:tc>
          <w:tcPr>
            <w:tcW w:w="1682" w:type="dxa"/>
            <w:noWrap w:val="0"/>
            <w:vAlign w:val="center"/>
          </w:tcPr>
          <w:p>
            <w:pPr>
              <w:spacing w:line="360" w:lineRule="auto"/>
              <w:jc w:val="center"/>
              <w:rPr>
                <w:rFonts w:hint="eastAsia" w:ascii="仿宋" w:hAnsi="仿宋" w:eastAsia="仿宋" w:cs="仿宋"/>
                <w:color w:val="auto"/>
                <w:sz w:val="24"/>
              </w:rPr>
            </w:pPr>
          </w:p>
        </w:tc>
        <w:tc>
          <w:tcPr>
            <w:tcW w:w="1682" w:type="dxa"/>
            <w:noWrap w:val="0"/>
            <w:vAlign w:val="center"/>
          </w:tcPr>
          <w:p>
            <w:pPr>
              <w:spacing w:line="360" w:lineRule="auto"/>
              <w:jc w:val="center"/>
              <w:rPr>
                <w:rFonts w:hint="eastAsia" w:ascii="仿宋" w:hAnsi="仿宋" w:eastAsia="仿宋" w:cs="仿宋"/>
                <w:color w:val="auto"/>
                <w:sz w:val="24"/>
              </w:rPr>
            </w:pPr>
          </w:p>
        </w:tc>
      </w:tr>
    </w:tbl>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9、公司开户银行名称及帐号：                       地     址：</w:t>
      </w:r>
    </w:p>
    <w:p>
      <w:pPr>
        <w:rPr>
          <w:rFonts w:hint="eastAsia" w:ascii="仿宋" w:hAnsi="仿宋" w:eastAsia="仿宋" w:cs="仿宋"/>
          <w:color w:val="auto"/>
          <w:sz w:val="24"/>
          <w:u w:val="single"/>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p>
    <w:p>
      <w:pPr>
        <w:rPr>
          <w:rFonts w:hint="eastAsia" w:ascii="仿宋" w:hAnsi="仿宋" w:eastAsia="仿宋" w:cs="仿宋"/>
          <w:color w:val="auto"/>
          <w:sz w:val="24"/>
          <w:u w:val="single"/>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10、投标人获得资质一览表</w:t>
      </w:r>
    </w:p>
    <w:tbl>
      <w:tblPr>
        <w:tblStyle w:val="22"/>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49"/>
        <w:gridCol w:w="2749"/>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74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证书名称</w:t>
            </w:r>
          </w:p>
        </w:tc>
        <w:tc>
          <w:tcPr>
            <w:tcW w:w="274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发证单位</w:t>
            </w:r>
          </w:p>
        </w:tc>
        <w:tc>
          <w:tcPr>
            <w:tcW w:w="2750"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证书有限期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50"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50"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0"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49" w:type="dxa"/>
            <w:noWrap w:val="0"/>
            <w:vAlign w:val="center"/>
          </w:tcPr>
          <w:p>
            <w:pPr>
              <w:jc w:val="center"/>
              <w:rPr>
                <w:rFonts w:hint="eastAsia" w:ascii="仿宋" w:hAnsi="仿宋" w:eastAsia="仿宋" w:cs="仿宋"/>
                <w:color w:val="auto"/>
                <w:sz w:val="24"/>
              </w:rPr>
            </w:pPr>
          </w:p>
        </w:tc>
        <w:tc>
          <w:tcPr>
            <w:tcW w:w="2750" w:type="dxa"/>
            <w:noWrap w:val="0"/>
            <w:vAlign w:val="center"/>
          </w:tcPr>
          <w:p>
            <w:pPr>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sz w:val="24"/>
        </w:rPr>
      </w:pPr>
      <w:r>
        <w:rPr>
          <w:rFonts w:hint="eastAsia" w:ascii="仿宋" w:hAnsi="仿宋" w:eastAsia="仿宋" w:cs="仿宋"/>
          <w:color w:val="auto"/>
          <w:sz w:val="24"/>
        </w:rPr>
        <w:t>11、营业执照注册号：</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12、其它投标人认为有必要附上的其他（含图片）资料：</w:t>
      </w:r>
    </w:p>
    <w:p>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我/我们声明以上所述是正确无误的，您有权进行您认为必要的所有调查。</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r>
        <w:rPr>
          <w:rFonts w:hint="eastAsia" w:ascii="仿宋" w:hAnsi="仿宋" w:eastAsia="仿宋" w:cs="仿宋"/>
          <w:color w:val="auto"/>
        </w:rPr>
        <w:br w:type="page"/>
      </w:r>
      <w:bookmarkStart w:id="133" w:name="_Toc130139085"/>
      <w:r>
        <w:rPr>
          <w:rFonts w:hint="eastAsia" w:ascii="仿宋" w:hAnsi="仿宋" w:eastAsia="仿宋" w:cs="仿宋"/>
          <w:b/>
          <w:color w:val="auto"/>
          <w:sz w:val="28"/>
          <w:szCs w:val="28"/>
        </w:rPr>
        <w:t>格式3 投标一览表</w:t>
      </w:r>
      <w:bookmarkEnd w:id="133"/>
    </w:p>
    <w:p>
      <w:pPr>
        <w:rPr>
          <w:rFonts w:hint="eastAsia" w:ascii="仿宋" w:hAnsi="仿宋" w:eastAsia="仿宋" w:cs="仿宋"/>
          <w:color w:val="auto"/>
        </w:rPr>
      </w:pPr>
    </w:p>
    <w:p>
      <w:pPr>
        <w:spacing w:line="360" w:lineRule="auto"/>
        <w:ind w:left="-2" w:leftChars="-1" w:firstLine="2"/>
        <w:rPr>
          <w:rFonts w:hint="eastAsia" w:ascii="仿宋" w:hAnsi="仿宋" w:eastAsia="仿宋" w:cs="仿宋"/>
          <w:b w:val="0"/>
          <w:bCs w:val="0"/>
          <w:color w:val="auto"/>
          <w:sz w:val="24"/>
          <w:lang w:eastAsia="zh-CN"/>
        </w:rPr>
      </w:pPr>
      <w:r>
        <w:rPr>
          <w:rFonts w:hint="eastAsia" w:ascii="仿宋" w:hAnsi="仿宋" w:eastAsia="仿宋" w:cs="仿宋"/>
          <w:b/>
          <w:bCs/>
          <w:color w:val="auto"/>
          <w:sz w:val="24"/>
        </w:rPr>
        <w:t>项目名称：</w:t>
      </w:r>
      <w:r>
        <w:rPr>
          <w:rFonts w:hint="eastAsia" w:ascii="仿宋" w:hAnsi="仿宋" w:eastAsia="仿宋" w:cs="仿宋"/>
          <w:b/>
          <w:bCs/>
          <w:color w:val="auto"/>
          <w:sz w:val="24"/>
          <w:lang w:val="en-US" w:eastAsia="zh-CN"/>
        </w:rPr>
        <w:t>XXX</w:t>
      </w:r>
      <w:r>
        <w:rPr>
          <w:rFonts w:hint="eastAsia" w:ascii="仿宋" w:hAnsi="仿宋" w:eastAsia="仿宋" w:cs="仿宋"/>
          <w:b/>
          <w:bCs/>
          <w:color w:val="auto"/>
          <w:sz w:val="24"/>
          <w:lang w:eastAsia="zh-CN"/>
        </w:rPr>
        <w:t>项目</w:t>
      </w:r>
    </w:p>
    <w:p>
      <w:pPr>
        <w:spacing w:line="360" w:lineRule="auto"/>
        <w:ind w:left="-2" w:leftChars="-1" w:firstLine="2"/>
        <w:rPr>
          <w:rFonts w:hint="eastAsia" w:ascii="仿宋" w:hAnsi="仿宋" w:eastAsia="仿宋" w:cs="仿宋"/>
          <w:color w:val="auto"/>
          <w:sz w:val="24"/>
        </w:rPr>
      </w:pPr>
    </w:p>
    <w:p>
      <w:pPr>
        <w:spacing w:line="360" w:lineRule="auto"/>
        <w:ind w:left="-2" w:leftChars="-1" w:firstLine="2"/>
        <w:rPr>
          <w:rFonts w:hint="eastAsia" w:ascii="仿宋" w:hAnsi="仿宋" w:eastAsia="仿宋" w:cs="仿宋"/>
          <w:color w:val="auto"/>
          <w:sz w:val="24"/>
          <w:lang w:eastAsia="zh-CN"/>
        </w:rPr>
      </w:pPr>
      <w:r>
        <w:rPr>
          <w:rFonts w:hint="eastAsia" w:ascii="仿宋" w:hAnsi="仿宋" w:eastAsia="仿宋" w:cs="仿宋"/>
          <w:color w:val="auto"/>
          <w:sz w:val="24"/>
        </w:rPr>
        <w:t>招标编号：HY</w:t>
      </w:r>
      <w:r>
        <w:rPr>
          <w:rFonts w:hint="eastAsia" w:ascii="仿宋" w:hAnsi="仿宋" w:eastAsia="仿宋" w:cs="仿宋"/>
          <w:color w:val="auto"/>
          <w:sz w:val="24"/>
          <w:lang w:val="en-US" w:eastAsia="zh-CN"/>
        </w:rPr>
        <w:t>YL</w:t>
      </w:r>
      <w:r>
        <w:rPr>
          <w:rFonts w:hint="eastAsia" w:ascii="仿宋" w:hAnsi="仿宋" w:eastAsia="仿宋" w:cs="仿宋"/>
          <w:color w:val="auto"/>
          <w:sz w:val="24"/>
        </w:rPr>
        <w:t>-202</w:t>
      </w:r>
      <w:r>
        <w:rPr>
          <w:rFonts w:hint="eastAsia" w:ascii="仿宋" w:hAnsi="仿宋" w:eastAsia="仿宋" w:cs="仿宋"/>
          <w:color w:val="auto"/>
          <w:sz w:val="24"/>
          <w:lang w:val="en-US" w:eastAsia="zh-CN"/>
        </w:rPr>
        <w:t>2-XXX号</w:t>
      </w:r>
    </w:p>
    <w:tbl>
      <w:tblPr>
        <w:tblStyle w:val="22"/>
        <w:tblW w:w="990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892"/>
        <w:gridCol w:w="2619"/>
        <w:gridCol w:w="1180"/>
        <w:gridCol w:w="1518"/>
        <w:gridCol w:w="10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662" w:type="dxa"/>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投标人名称</w:t>
            </w:r>
          </w:p>
        </w:tc>
        <w:tc>
          <w:tcPr>
            <w:tcW w:w="1892" w:type="dxa"/>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投标总价（元）</w:t>
            </w:r>
          </w:p>
        </w:tc>
        <w:tc>
          <w:tcPr>
            <w:tcW w:w="2619" w:type="dxa"/>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lang w:eastAsia="zh-CN"/>
              </w:rPr>
              <w:t>合同履约期限</w:t>
            </w:r>
          </w:p>
        </w:tc>
        <w:tc>
          <w:tcPr>
            <w:tcW w:w="1180" w:type="dxa"/>
            <w:noWrap w:val="0"/>
            <w:vAlign w:val="center"/>
          </w:tcPr>
          <w:p>
            <w:pPr>
              <w:spacing w:line="360" w:lineRule="auto"/>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付款方式</w:t>
            </w:r>
          </w:p>
        </w:tc>
        <w:tc>
          <w:tcPr>
            <w:tcW w:w="1518" w:type="dxa"/>
            <w:noWrap w:val="0"/>
            <w:vAlign w:val="center"/>
          </w:tcPr>
          <w:p>
            <w:pPr>
              <w:spacing w:line="360" w:lineRule="auto"/>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质保期</w:t>
            </w:r>
          </w:p>
        </w:tc>
        <w:tc>
          <w:tcPr>
            <w:tcW w:w="1037" w:type="dxa"/>
            <w:noWrap w:val="0"/>
            <w:vAlign w:val="center"/>
          </w:tcPr>
          <w:p>
            <w:pPr>
              <w:spacing w:line="360" w:lineRule="auto"/>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662" w:type="dxa"/>
            <w:noWrap w:val="0"/>
            <w:vAlign w:val="center"/>
          </w:tcPr>
          <w:p>
            <w:pPr>
              <w:spacing w:line="360" w:lineRule="auto"/>
              <w:rPr>
                <w:rFonts w:hint="eastAsia" w:ascii="仿宋" w:hAnsi="仿宋" w:eastAsia="仿宋" w:cs="仿宋"/>
                <w:bCs/>
                <w:color w:val="auto"/>
                <w:sz w:val="24"/>
              </w:rPr>
            </w:pPr>
          </w:p>
        </w:tc>
        <w:tc>
          <w:tcPr>
            <w:tcW w:w="1892" w:type="dxa"/>
            <w:noWrap w:val="0"/>
            <w:vAlign w:val="center"/>
          </w:tcPr>
          <w:p>
            <w:pPr>
              <w:rPr>
                <w:rFonts w:hint="eastAsia" w:ascii="仿宋" w:hAnsi="仿宋" w:eastAsia="仿宋" w:cs="仿宋"/>
                <w:color w:val="auto"/>
              </w:rPr>
            </w:pPr>
          </w:p>
        </w:tc>
        <w:tc>
          <w:tcPr>
            <w:tcW w:w="2619" w:type="dxa"/>
            <w:noWrap w:val="0"/>
            <w:vAlign w:val="center"/>
          </w:tcPr>
          <w:p>
            <w:pPr>
              <w:spacing w:line="360" w:lineRule="auto"/>
              <w:jc w:val="center"/>
              <w:rPr>
                <w:rFonts w:hint="eastAsia" w:ascii="仿宋" w:hAnsi="仿宋" w:eastAsia="仿宋" w:cs="仿宋"/>
                <w:bCs/>
                <w:color w:val="auto"/>
                <w:sz w:val="24"/>
              </w:rPr>
            </w:pPr>
          </w:p>
        </w:tc>
        <w:tc>
          <w:tcPr>
            <w:tcW w:w="1180" w:type="dxa"/>
            <w:noWrap w:val="0"/>
            <w:vAlign w:val="center"/>
          </w:tcPr>
          <w:p>
            <w:pPr>
              <w:spacing w:line="360" w:lineRule="auto"/>
              <w:jc w:val="center"/>
              <w:rPr>
                <w:rFonts w:hint="eastAsia" w:ascii="仿宋" w:hAnsi="仿宋" w:eastAsia="仿宋" w:cs="仿宋"/>
                <w:bCs/>
                <w:color w:val="auto"/>
                <w:sz w:val="24"/>
              </w:rPr>
            </w:pPr>
          </w:p>
        </w:tc>
        <w:tc>
          <w:tcPr>
            <w:tcW w:w="1518" w:type="dxa"/>
            <w:noWrap w:val="0"/>
            <w:vAlign w:val="center"/>
          </w:tcPr>
          <w:p>
            <w:pPr>
              <w:spacing w:line="360" w:lineRule="auto"/>
              <w:jc w:val="center"/>
              <w:rPr>
                <w:rFonts w:hint="eastAsia" w:ascii="仿宋" w:hAnsi="仿宋" w:eastAsia="仿宋" w:cs="仿宋"/>
                <w:bCs/>
                <w:color w:val="auto"/>
                <w:sz w:val="24"/>
              </w:rPr>
            </w:pPr>
          </w:p>
        </w:tc>
        <w:tc>
          <w:tcPr>
            <w:tcW w:w="1037" w:type="dxa"/>
            <w:noWrap w:val="0"/>
            <w:vAlign w:val="center"/>
          </w:tcPr>
          <w:p>
            <w:pPr>
              <w:spacing w:line="360" w:lineRule="auto"/>
              <w:jc w:val="center"/>
              <w:rPr>
                <w:rFonts w:hint="eastAsia" w:ascii="仿宋" w:hAnsi="仿宋" w:eastAsia="仿宋" w:cs="仿宋"/>
                <w:bCs/>
                <w:color w:val="auto"/>
                <w:sz w:val="24"/>
              </w:rPr>
            </w:pPr>
          </w:p>
        </w:tc>
      </w:tr>
    </w:tbl>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b/>
          <w:bCs w:val="0"/>
          <w:color w:val="auto"/>
          <w:sz w:val="24"/>
          <w:lang w:eastAsia="zh-CN"/>
        </w:rPr>
      </w:pPr>
      <w:r>
        <w:rPr>
          <w:rFonts w:hint="eastAsia" w:ascii="仿宋" w:hAnsi="仿宋" w:eastAsia="仿宋" w:cs="仿宋"/>
          <w:b/>
          <w:bCs w:val="0"/>
          <w:color w:val="auto"/>
          <w:sz w:val="24"/>
          <w:lang w:eastAsia="zh-CN"/>
        </w:rPr>
        <w:t>注明：以上条款请参考投标须知</w:t>
      </w:r>
    </w:p>
    <w:p>
      <w:pPr>
        <w:spacing w:line="36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p>
    <w:p>
      <w:pPr>
        <w:spacing w:line="360" w:lineRule="auto"/>
        <w:ind w:left="420" w:hanging="420"/>
        <w:rPr>
          <w:rFonts w:hint="eastAsia" w:ascii="仿宋" w:hAnsi="仿宋" w:eastAsia="仿宋" w:cs="仿宋"/>
          <w:color w:val="auto"/>
          <w:sz w:val="24"/>
        </w:rPr>
      </w:pPr>
    </w:p>
    <w:p>
      <w:pPr>
        <w:spacing w:line="360" w:lineRule="auto"/>
        <w:ind w:left="420" w:hanging="420"/>
        <w:rPr>
          <w:rFonts w:hint="eastAsia" w:ascii="仿宋" w:hAnsi="仿宋" w:eastAsia="仿宋" w:cs="仿宋"/>
          <w:color w:val="auto"/>
          <w:sz w:val="28"/>
          <w:szCs w:val="28"/>
        </w:rPr>
      </w:pPr>
    </w:p>
    <w:p>
      <w:pPr>
        <w:spacing w:line="360" w:lineRule="auto"/>
        <w:ind w:left="738" w:hanging="773" w:hangingChars="350"/>
        <w:rPr>
          <w:rFonts w:hint="eastAsia" w:ascii="仿宋" w:hAnsi="仿宋" w:eastAsia="仿宋" w:cs="仿宋"/>
          <w:b/>
          <w:color w:val="auto"/>
          <w:sz w:val="22"/>
          <w:szCs w:val="28"/>
        </w:rPr>
      </w:pPr>
      <w:r>
        <w:rPr>
          <w:rFonts w:hint="eastAsia" w:ascii="仿宋" w:hAnsi="仿宋" w:eastAsia="仿宋" w:cs="仿宋"/>
          <w:b/>
          <w:color w:val="auto"/>
          <w:sz w:val="22"/>
          <w:szCs w:val="28"/>
        </w:rPr>
        <w:t>注：</w:t>
      </w:r>
      <w:r>
        <w:rPr>
          <w:rFonts w:hint="eastAsia" w:ascii="仿宋" w:hAnsi="仿宋" w:eastAsia="仿宋" w:cs="仿宋"/>
          <w:color w:val="auto"/>
          <w:sz w:val="22"/>
          <w:szCs w:val="28"/>
        </w:rPr>
        <w:t>1、此表一式两份，一份装在单独的“</w:t>
      </w:r>
      <w:r>
        <w:rPr>
          <w:rFonts w:hint="eastAsia" w:ascii="仿宋" w:hAnsi="仿宋" w:eastAsia="仿宋" w:cs="仿宋"/>
          <w:color w:val="auto"/>
          <w:sz w:val="22"/>
          <w:szCs w:val="28"/>
          <w:lang w:val="en-US" w:eastAsia="zh-CN"/>
        </w:rPr>
        <w:t>投标一览表</w:t>
      </w:r>
      <w:r>
        <w:rPr>
          <w:rFonts w:hint="eastAsia" w:ascii="仿宋" w:hAnsi="仿宋" w:eastAsia="仿宋" w:cs="仿宋"/>
          <w:color w:val="auto"/>
          <w:sz w:val="22"/>
          <w:szCs w:val="28"/>
        </w:rPr>
        <w:t>信封”内密封，封口盖公章；另一份装订在投标文件正本中；</w:t>
      </w:r>
    </w:p>
    <w:p>
      <w:pPr>
        <w:spacing w:line="360" w:lineRule="auto"/>
        <w:ind w:left="747" w:leftChars="200" w:hanging="327" w:hangingChars="149"/>
        <w:rPr>
          <w:rFonts w:hint="eastAsia" w:ascii="仿宋" w:hAnsi="仿宋" w:eastAsia="仿宋" w:cs="仿宋"/>
          <w:color w:val="auto"/>
          <w:sz w:val="22"/>
          <w:szCs w:val="28"/>
        </w:rPr>
      </w:pPr>
      <w:r>
        <w:rPr>
          <w:rFonts w:hint="eastAsia" w:ascii="仿宋" w:hAnsi="仿宋" w:eastAsia="仿宋" w:cs="仿宋"/>
          <w:color w:val="auto"/>
          <w:sz w:val="22"/>
          <w:szCs w:val="28"/>
        </w:rPr>
        <w:t>2、投标总价为投标人最终报价，包含一切税费及相关费用</w:t>
      </w:r>
      <w:r>
        <w:rPr>
          <w:rFonts w:hint="eastAsia" w:ascii="仿宋" w:hAnsi="仿宋" w:eastAsia="仿宋" w:cs="仿宋"/>
          <w:b/>
          <w:color w:val="auto"/>
          <w:sz w:val="22"/>
          <w:szCs w:val="28"/>
        </w:rPr>
        <w:t>。</w:t>
      </w:r>
      <w:r>
        <w:rPr>
          <w:rFonts w:hint="eastAsia" w:ascii="仿宋" w:hAnsi="仿宋" w:eastAsia="仿宋" w:cs="仿宋"/>
          <w:color w:val="auto"/>
          <w:sz w:val="22"/>
          <w:szCs w:val="28"/>
        </w:rPr>
        <w:t>与详细报价表中相应包的投标总价一致；</w:t>
      </w:r>
    </w:p>
    <w:p>
      <w:pPr>
        <w:spacing w:line="360" w:lineRule="auto"/>
        <w:ind w:left="420" w:leftChars="200"/>
        <w:rPr>
          <w:rFonts w:hint="eastAsia" w:ascii="仿宋" w:hAnsi="仿宋" w:eastAsia="仿宋" w:cs="仿宋"/>
          <w:color w:val="auto"/>
          <w:sz w:val="22"/>
          <w:szCs w:val="28"/>
        </w:rPr>
      </w:pPr>
      <w:r>
        <w:rPr>
          <w:rFonts w:hint="eastAsia" w:ascii="仿宋" w:hAnsi="仿宋" w:eastAsia="仿宋" w:cs="仿宋"/>
          <w:color w:val="auto"/>
          <w:sz w:val="22"/>
          <w:szCs w:val="28"/>
        </w:rPr>
        <w:t>3、上述日期均以日历日为单位，包括法定节假日；</w:t>
      </w:r>
    </w:p>
    <w:p>
      <w:pPr>
        <w:spacing w:line="360" w:lineRule="auto"/>
        <w:ind w:left="420" w:leftChars="200"/>
        <w:rPr>
          <w:rFonts w:hint="eastAsia" w:ascii="仿宋" w:hAnsi="仿宋" w:eastAsia="仿宋" w:cs="仿宋"/>
          <w:b/>
          <w:color w:val="auto"/>
          <w:sz w:val="22"/>
          <w:szCs w:val="28"/>
        </w:rPr>
      </w:pPr>
      <w:r>
        <w:rPr>
          <w:rFonts w:hint="eastAsia" w:ascii="仿宋" w:hAnsi="仿宋" w:eastAsia="仿宋" w:cs="仿宋"/>
          <w:color w:val="auto"/>
          <w:sz w:val="22"/>
          <w:szCs w:val="28"/>
        </w:rPr>
        <w:t>4、对含糊不清或不确定的报价将视为无效报价</w:t>
      </w:r>
      <w:r>
        <w:rPr>
          <w:rFonts w:hint="eastAsia" w:ascii="仿宋" w:hAnsi="仿宋" w:eastAsia="仿宋" w:cs="仿宋"/>
          <w:b/>
          <w:color w:val="auto"/>
          <w:sz w:val="22"/>
          <w:szCs w:val="28"/>
        </w:rPr>
        <w:t>。</w:t>
      </w:r>
    </w:p>
    <w:p>
      <w:pPr>
        <w:spacing w:line="360" w:lineRule="auto"/>
        <w:rPr>
          <w:rFonts w:hint="eastAsia" w:ascii="仿宋" w:hAnsi="仿宋" w:eastAsia="仿宋" w:cs="仿宋"/>
          <w:color w:val="auto"/>
          <w:sz w:val="24"/>
        </w:rPr>
      </w:pPr>
      <w:bookmarkStart w:id="134" w:name="_Toc130139086"/>
    </w:p>
    <w:p>
      <w:pPr>
        <w:spacing w:line="360" w:lineRule="auto"/>
        <w:rPr>
          <w:rFonts w:hint="eastAsia" w:ascii="仿宋" w:hAnsi="仿宋" w:eastAsia="仿宋" w:cs="仿宋"/>
          <w:color w:val="auto"/>
          <w:sz w:val="24"/>
        </w:rPr>
        <w:sectPr>
          <w:footerReference r:id="rId7" w:type="first"/>
          <w:footerReference r:id="rId6" w:type="default"/>
          <w:type w:val="nextColumn"/>
          <w:pgSz w:w="11906" w:h="16838"/>
          <w:pgMar w:top="1191" w:right="1418" w:bottom="1191" w:left="1418" w:header="737" w:footer="737" w:gutter="0"/>
          <w:pgNumType w:fmt="decimal"/>
          <w:cols w:space="720" w:num="1"/>
          <w:docGrid w:linePitch="312" w:charSpace="0"/>
        </w:sectPr>
      </w:pPr>
    </w:p>
    <w:p>
      <w:pPr>
        <w:pStyle w:val="4"/>
        <w:spacing w:before="0" w:after="0" w:line="360" w:lineRule="auto"/>
        <w:rPr>
          <w:rFonts w:hint="eastAsia" w:ascii="仿宋" w:hAnsi="仿宋" w:eastAsia="仿宋" w:cs="仿宋"/>
          <w:color w:val="auto"/>
          <w:sz w:val="28"/>
          <w:szCs w:val="28"/>
        </w:rPr>
      </w:pPr>
      <w:bookmarkStart w:id="135" w:name="_Toc3281"/>
      <w:r>
        <w:rPr>
          <w:rFonts w:hint="eastAsia" w:ascii="仿宋" w:hAnsi="仿宋" w:eastAsia="仿宋" w:cs="仿宋"/>
          <w:color w:val="auto"/>
          <w:sz w:val="28"/>
          <w:szCs w:val="28"/>
        </w:rPr>
        <w:t xml:space="preserve">格式4 </w:t>
      </w:r>
      <w:bookmarkEnd w:id="134"/>
      <w:r>
        <w:rPr>
          <w:rFonts w:hint="eastAsia" w:ascii="仿宋" w:hAnsi="仿宋" w:eastAsia="仿宋" w:cs="仿宋"/>
          <w:color w:val="auto"/>
          <w:sz w:val="28"/>
          <w:szCs w:val="28"/>
        </w:rPr>
        <w:t>总体方案说明</w:t>
      </w:r>
      <w:bookmarkEnd w:id="135"/>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主要内容为本项目综合说明（含但不限于项目实施方案、进度计划、</w:t>
      </w:r>
      <w:r>
        <w:rPr>
          <w:rFonts w:hint="eastAsia" w:ascii="仿宋" w:hAnsi="仿宋" w:eastAsia="仿宋" w:cs="仿宋"/>
          <w:color w:val="auto"/>
          <w:sz w:val="24"/>
          <w:lang w:eastAsia="zh-CN"/>
        </w:rPr>
        <w:t>设备（货物）</w:t>
      </w:r>
      <w:r>
        <w:rPr>
          <w:rFonts w:hint="eastAsia" w:ascii="仿宋" w:hAnsi="仿宋" w:eastAsia="仿宋" w:cs="仿宋"/>
          <w:color w:val="auto"/>
          <w:sz w:val="24"/>
        </w:rPr>
        <w:t>人员投入等）、项目质量总体目标及质量保证措施、验收标准及方式、技术规范性文件说明等。</w:t>
      </w:r>
    </w:p>
    <w:p>
      <w:pPr>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br w:type="page"/>
      </w:r>
    </w:p>
    <w:p>
      <w:pPr>
        <w:pStyle w:val="4"/>
        <w:spacing w:before="0" w:after="0" w:line="360" w:lineRule="auto"/>
        <w:rPr>
          <w:rFonts w:hint="eastAsia" w:ascii="仿宋" w:hAnsi="仿宋" w:eastAsia="仿宋" w:cs="仿宋"/>
          <w:color w:val="auto"/>
          <w:sz w:val="24"/>
        </w:rPr>
      </w:pPr>
      <w:bookmarkStart w:id="136" w:name="_Toc24607"/>
      <w:r>
        <w:rPr>
          <w:rFonts w:hint="eastAsia" w:ascii="仿宋" w:hAnsi="仿宋" w:eastAsia="仿宋" w:cs="仿宋"/>
          <w:color w:val="auto"/>
        </w:rPr>
        <w:t>格式5 详细</w:t>
      </w:r>
      <w:r>
        <w:rPr>
          <w:rFonts w:hint="eastAsia" w:ascii="仿宋" w:hAnsi="仿宋" w:eastAsia="仿宋" w:cs="仿宋"/>
          <w:color w:val="auto"/>
          <w:sz w:val="28"/>
          <w:szCs w:val="28"/>
        </w:rPr>
        <w:t>报价</w:t>
      </w:r>
      <w:r>
        <w:rPr>
          <w:rFonts w:hint="eastAsia" w:ascii="仿宋" w:hAnsi="仿宋" w:eastAsia="仿宋" w:cs="仿宋"/>
          <w:color w:val="auto"/>
        </w:rPr>
        <w:t>清单</w:t>
      </w:r>
      <w:bookmarkEnd w:id="136"/>
    </w:p>
    <w:p>
      <w:pPr>
        <w:pStyle w:val="15"/>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项目编号：　</w:t>
      </w:r>
    </w:p>
    <w:p>
      <w:pPr>
        <w:pStyle w:val="15"/>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包号：</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金额单位：元</w:t>
      </w:r>
    </w:p>
    <w:tbl>
      <w:tblPr>
        <w:tblStyle w:val="2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78"/>
        <w:gridCol w:w="877"/>
        <w:gridCol w:w="878"/>
        <w:gridCol w:w="878"/>
        <w:gridCol w:w="200"/>
        <w:gridCol w:w="677"/>
        <w:gridCol w:w="333"/>
        <w:gridCol w:w="545"/>
        <w:gridCol w:w="877"/>
        <w:gridCol w:w="87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77"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878"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w:t>
            </w:r>
          </w:p>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877"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w:t>
            </w:r>
          </w:p>
        </w:tc>
        <w:tc>
          <w:tcPr>
            <w:tcW w:w="878"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生产</w:t>
            </w:r>
          </w:p>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厂家</w:t>
            </w:r>
          </w:p>
        </w:tc>
        <w:tc>
          <w:tcPr>
            <w:tcW w:w="878"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规格</w:t>
            </w:r>
          </w:p>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877"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878"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77"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878"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中小</w:t>
            </w:r>
          </w:p>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企业</w:t>
            </w:r>
          </w:p>
        </w:tc>
        <w:tc>
          <w:tcPr>
            <w:tcW w:w="1175" w:type="dxa"/>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78" w:type="dxa"/>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7" w:type="dxa"/>
            <w:gridSpan w:val="2"/>
            <w:vAlign w:val="center"/>
          </w:tcPr>
          <w:p>
            <w:pPr>
              <w:pStyle w:val="15"/>
              <w:jc w:val="center"/>
              <w:rPr>
                <w:rFonts w:hint="eastAsia" w:ascii="仿宋" w:hAnsi="仿宋" w:eastAsia="仿宋" w:cs="仿宋"/>
                <w:color w:val="auto"/>
                <w:sz w:val="24"/>
                <w:szCs w:val="24"/>
              </w:rPr>
            </w:pPr>
          </w:p>
        </w:tc>
        <w:tc>
          <w:tcPr>
            <w:tcW w:w="878" w:type="dxa"/>
            <w:gridSpan w:val="2"/>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1175" w:type="dxa"/>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878" w:type="dxa"/>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7" w:type="dxa"/>
            <w:gridSpan w:val="2"/>
            <w:vAlign w:val="center"/>
          </w:tcPr>
          <w:p>
            <w:pPr>
              <w:pStyle w:val="15"/>
              <w:jc w:val="center"/>
              <w:rPr>
                <w:rFonts w:hint="eastAsia" w:ascii="仿宋" w:hAnsi="仿宋" w:eastAsia="仿宋" w:cs="仿宋"/>
                <w:color w:val="auto"/>
                <w:sz w:val="24"/>
                <w:szCs w:val="24"/>
              </w:rPr>
            </w:pPr>
          </w:p>
        </w:tc>
        <w:tc>
          <w:tcPr>
            <w:tcW w:w="878" w:type="dxa"/>
            <w:gridSpan w:val="2"/>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1175" w:type="dxa"/>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878" w:type="dxa"/>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7" w:type="dxa"/>
            <w:gridSpan w:val="2"/>
            <w:vAlign w:val="center"/>
          </w:tcPr>
          <w:p>
            <w:pPr>
              <w:pStyle w:val="15"/>
              <w:jc w:val="center"/>
              <w:rPr>
                <w:rFonts w:hint="eastAsia" w:ascii="仿宋" w:hAnsi="仿宋" w:eastAsia="仿宋" w:cs="仿宋"/>
                <w:color w:val="auto"/>
                <w:sz w:val="24"/>
                <w:szCs w:val="24"/>
              </w:rPr>
            </w:pPr>
          </w:p>
        </w:tc>
        <w:tc>
          <w:tcPr>
            <w:tcW w:w="878" w:type="dxa"/>
            <w:gridSpan w:val="2"/>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1175" w:type="dxa"/>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7" w:type="dxa"/>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878" w:type="dxa"/>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7" w:type="dxa"/>
            <w:gridSpan w:val="2"/>
            <w:vAlign w:val="center"/>
          </w:tcPr>
          <w:p>
            <w:pPr>
              <w:pStyle w:val="15"/>
              <w:jc w:val="center"/>
              <w:rPr>
                <w:rFonts w:hint="eastAsia" w:ascii="仿宋" w:hAnsi="仿宋" w:eastAsia="仿宋" w:cs="仿宋"/>
                <w:color w:val="auto"/>
                <w:sz w:val="24"/>
                <w:szCs w:val="24"/>
              </w:rPr>
            </w:pPr>
          </w:p>
        </w:tc>
        <w:tc>
          <w:tcPr>
            <w:tcW w:w="878" w:type="dxa"/>
            <w:gridSpan w:val="2"/>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1175" w:type="dxa"/>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55" w:type="dxa"/>
            <w:gridSpan w:val="2"/>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备品备件(包括专用工具等)</w:t>
            </w: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7" w:type="dxa"/>
            <w:gridSpan w:val="2"/>
            <w:vAlign w:val="center"/>
          </w:tcPr>
          <w:p>
            <w:pPr>
              <w:pStyle w:val="15"/>
              <w:jc w:val="center"/>
              <w:rPr>
                <w:rFonts w:hint="eastAsia" w:ascii="仿宋" w:hAnsi="仿宋" w:eastAsia="仿宋" w:cs="仿宋"/>
                <w:color w:val="auto"/>
                <w:sz w:val="24"/>
                <w:szCs w:val="24"/>
              </w:rPr>
            </w:pPr>
          </w:p>
        </w:tc>
        <w:tc>
          <w:tcPr>
            <w:tcW w:w="878" w:type="dxa"/>
            <w:gridSpan w:val="2"/>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1175" w:type="dxa"/>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55" w:type="dxa"/>
            <w:gridSpan w:val="2"/>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耗材</w:t>
            </w: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877" w:type="dxa"/>
            <w:gridSpan w:val="2"/>
            <w:vAlign w:val="center"/>
          </w:tcPr>
          <w:p>
            <w:pPr>
              <w:pStyle w:val="15"/>
              <w:jc w:val="center"/>
              <w:rPr>
                <w:rFonts w:hint="eastAsia" w:ascii="仿宋" w:hAnsi="仿宋" w:eastAsia="仿宋" w:cs="仿宋"/>
                <w:color w:val="auto"/>
                <w:sz w:val="24"/>
                <w:szCs w:val="24"/>
              </w:rPr>
            </w:pPr>
          </w:p>
        </w:tc>
        <w:tc>
          <w:tcPr>
            <w:tcW w:w="878" w:type="dxa"/>
            <w:gridSpan w:val="2"/>
            <w:vAlign w:val="center"/>
          </w:tcPr>
          <w:p>
            <w:pPr>
              <w:pStyle w:val="15"/>
              <w:jc w:val="center"/>
              <w:rPr>
                <w:rFonts w:hint="eastAsia" w:ascii="仿宋" w:hAnsi="仿宋" w:eastAsia="仿宋" w:cs="仿宋"/>
                <w:color w:val="auto"/>
                <w:sz w:val="24"/>
                <w:szCs w:val="24"/>
              </w:rPr>
            </w:pPr>
          </w:p>
        </w:tc>
        <w:tc>
          <w:tcPr>
            <w:tcW w:w="877" w:type="dxa"/>
            <w:vAlign w:val="center"/>
          </w:tcPr>
          <w:p>
            <w:pPr>
              <w:pStyle w:val="15"/>
              <w:jc w:val="center"/>
              <w:rPr>
                <w:rFonts w:hint="eastAsia" w:ascii="仿宋" w:hAnsi="仿宋" w:eastAsia="仿宋" w:cs="仿宋"/>
                <w:color w:val="auto"/>
                <w:sz w:val="24"/>
                <w:szCs w:val="24"/>
              </w:rPr>
            </w:pPr>
          </w:p>
        </w:tc>
        <w:tc>
          <w:tcPr>
            <w:tcW w:w="878" w:type="dxa"/>
            <w:vAlign w:val="center"/>
          </w:tcPr>
          <w:p>
            <w:pPr>
              <w:pStyle w:val="15"/>
              <w:jc w:val="center"/>
              <w:rPr>
                <w:rFonts w:hint="eastAsia" w:ascii="仿宋" w:hAnsi="仿宋" w:eastAsia="仿宋" w:cs="仿宋"/>
                <w:color w:val="auto"/>
                <w:sz w:val="24"/>
                <w:szCs w:val="24"/>
              </w:rPr>
            </w:pPr>
          </w:p>
        </w:tc>
        <w:tc>
          <w:tcPr>
            <w:tcW w:w="1175" w:type="dxa"/>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货物费合计</w:t>
            </w:r>
          </w:p>
        </w:tc>
        <w:tc>
          <w:tcPr>
            <w:tcW w:w="7318" w:type="dxa"/>
            <w:gridSpan w:val="10"/>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restart"/>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包装运输费</w:t>
            </w: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包装费</w:t>
            </w:r>
          </w:p>
        </w:tc>
        <w:tc>
          <w:tcPr>
            <w:tcW w:w="1956" w:type="dxa"/>
            <w:gridSpan w:val="3"/>
            <w:vAlign w:val="center"/>
          </w:tcPr>
          <w:p>
            <w:pPr>
              <w:pStyle w:val="15"/>
              <w:jc w:val="center"/>
              <w:rPr>
                <w:rFonts w:hint="eastAsia" w:ascii="仿宋" w:hAnsi="仿宋" w:eastAsia="仿宋" w:cs="仿宋"/>
                <w:color w:val="auto"/>
                <w:sz w:val="24"/>
                <w:szCs w:val="24"/>
              </w:rPr>
            </w:pPr>
          </w:p>
        </w:tc>
        <w:tc>
          <w:tcPr>
            <w:tcW w:w="1010" w:type="dxa"/>
            <w:gridSpan w:val="2"/>
            <w:vMerge w:val="restart"/>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安装</w:t>
            </w:r>
          </w:p>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调试费</w:t>
            </w:r>
          </w:p>
        </w:tc>
        <w:tc>
          <w:tcPr>
            <w:tcW w:w="1422"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安装费</w:t>
            </w: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5"/>
              <w:jc w:val="center"/>
              <w:rPr>
                <w:rFonts w:hint="eastAsia" w:ascii="仿宋" w:hAnsi="仿宋" w:eastAsia="仿宋" w:cs="仿宋"/>
                <w:color w:val="auto"/>
                <w:sz w:val="24"/>
                <w:szCs w:val="24"/>
              </w:rPr>
            </w:pP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运输费</w:t>
            </w:r>
          </w:p>
        </w:tc>
        <w:tc>
          <w:tcPr>
            <w:tcW w:w="1956" w:type="dxa"/>
            <w:gridSpan w:val="3"/>
            <w:vAlign w:val="center"/>
          </w:tcPr>
          <w:p>
            <w:pPr>
              <w:pStyle w:val="15"/>
              <w:jc w:val="center"/>
              <w:rPr>
                <w:rFonts w:hint="eastAsia" w:ascii="仿宋" w:hAnsi="仿宋" w:eastAsia="仿宋" w:cs="仿宋"/>
                <w:color w:val="auto"/>
                <w:sz w:val="24"/>
                <w:szCs w:val="24"/>
              </w:rPr>
            </w:pPr>
          </w:p>
        </w:tc>
        <w:tc>
          <w:tcPr>
            <w:tcW w:w="1010" w:type="dxa"/>
            <w:gridSpan w:val="2"/>
            <w:vMerge w:val="continue"/>
            <w:vAlign w:val="center"/>
          </w:tcPr>
          <w:p>
            <w:pPr>
              <w:pStyle w:val="15"/>
              <w:jc w:val="center"/>
              <w:rPr>
                <w:rFonts w:hint="eastAsia" w:ascii="仿宋" w:hAnsi="仿宋" w:eastAsia="仿宋" w:cs="仿宋"/>
                <w:color w:val="auto"/>
                <w:sz w:val="24"/>
                <w:szCs w:val="24"/>
              </w:rPr>
            </w:pPr>
          </w:p>
        </w:tc>
        <w:tc>
          <w:tcPr>
            <w:tcW w:w="1422"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调试费</w:t>
            </w: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5"/>
              <w:jc w:val="center"/>
              <w:rPr>
                <w:rFonts w:hint="eastAsia" w:ascii="仿宋" w:hAnsi="仿宋" w:eastAsia="仿宋" w:cs="仿宋"/>
                <w:color w:val="auto"/>
                <w:sz w:val="24"/>
                <w:szCs w:val="24"/>
              </w:rPr>
            </w:pP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装卸费</w:t>
            </w:r>
          </w:p>
        </w:tc>
        <w:tc>
          <w:tcPr>
            <w:tcW w:w="1956" w:type="dxa"/>
            <w:gridSpan w:val="3"/>
            <w:vAlign w:val="center"/>
          </w:tcPr>
          <w:p>
            <w:pPr>
              <w:pStyle w:val="15"/>
              <w:jc w:val="center"/>
              <w:rPr>
                <w:rFonts w:hint="eastAsia" w:ascii="仿宋" w:hAnsi="仿宋" w:eastAsia="仿宋" w:cs="仿宋"/>
                <w:color w:val="auto"/>
                <w:sz w:val="24"/>
                <w:szCs w:val="24"/>
              </w:rPr>
            </w:pPr>
          </w:p>
        </w:tc>
        <w:tc>
          <w:tcPr>
            <w:tcW w:w="1010" w:type="dxa"/>
            <w:gridSpan w:val="2"/>
            <w:vMerge w:val="continue"/>
            <w:vAlign w:val="center"/>
          </w:tcPr>
          <w:p>
            <w:pPr>
              <w:pStyle w:val="15"/>
              <w:jc w:val="center"/>
              <w:rPr>
                <w:rFonts w:hint="eastAsia" w:ascii="仿宋" w:hAnsi="仿宋" w:eastAsia="仿宋" w:cs="仿宋"/>
                <w:color w:val="auto"/>
                <w:sz w:val="24"/>
                <w:szCs w:val="24"/>
              </w:rPr>
            </w:pPr>
          </w:p>
        </w:tc>
        <w:tc>
          <w:tcPr>
            <w:tcW w:w="1422" w:type="dxa"/>
            <w:gridSpan w:val="2"/>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continue"/>
            <w:vAlign w:val="center"/>
          </w:tcPr>
          <w:p>
            <w:pPr>
              <w:pStyle w:val="15"/>
              <w:jc w:val="center"/>
              <w:rPr>
                <w:rFonts w:hint="eastAsia" w:ascii="仿宋" w:hAnsi="仿宋" w:eastAsia="仿宋" w:cs="仿宋"/>
                <w:color w:val="auto"/>
                <w:sz w:val="24"/>
                <w:szCs w:val="24"/>
              </w:rPr>
            </w:pP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保险费</w:t>
            </w:r>
          </w:p>
        </w:tc>
        <w:tc>
          <w:tcPr>
            <w:tcW w:w="1956" w:type="dxa"/>
            <w:gridSpan w:val="3"/>
            <w:vAlign w:val="center"/>
          </w:tcPr>
          <w:p>
            <w:pPr>
              <w:pStyle w:val="15"/>
              <w:jc w:val="center"/>
              <w:rPr>
                <w:rFonts w:hint="eastAsia" w:ascii="仿宋" w:hAnsi="仿宋" w:eastAsia="仿宋" w:cs="仿宋"/>
                <w:color w:val="auto"/>
                <w:sz w:val="24"/>
                <w:szCs w:val="24"/>
              </w:rPr>
            </w:pPr>
          </w:p>
        </w:tc>
        <w:tc>
          <w:tcPr>
            <w:tcW w:w="1010" w:type="dxa"/>
            <w:gridSpan w:val="2"/>
            <w:vMerge w:val="continue"/>
            <w:vAlign w:val="center"/>
          </w:tcPr>
          <w:p>
            <w:pPr>
              <w:pStyle w:val="15"/>
              <w:jc w:val="center"/>
              <w:rPr>
                <w:rFonts w:hint="eastAsia" w:ascii="仿宋" w:hAnsi="仿宋" w:eastAsia="仿宋" w:cs="仿宋"/>
                <w:color w:val="auto"/>
                <w:sz w:val="24"/>
                <w:szCs w:val="24"/>
              </w:rPr>
            </w:pPr>
          </w:p>
        </w:tc>
        <w:tc>
          <w:tcPr>
            <w:tcW w:w="1422"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5"/>
              <w:jc w:val="center"/>
              <w:rPr>
                <w:rFonts w:hint="eastAsia" w:ascii="仿宋" w:hAnsi="仿宋" w:eastAsia="仿宋" w:cs="仿宋"/>
                <w:color w:val="auto"/>
                <w:sz w:val="24"/>
                <w:szCs w:val="24"/>
              </w:rPr>
            </w:pP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956" w:type="dxa"/>
            <w:gridSpan w:val="3"/>
            <w:vAlign w:val="center"/>
          </w:tcPr>
          <w:p>
            <w:pPr>
              <w:pStyle w:val="15"/>
              <w:jc w:val="center"/>
              <w:rPr>
                <w:rFonts w:hint="eastAsia" w:ascii="仿宋" w:hAnsi="仿宋" w:eastAsia="仿宋" w:cs="仿宋"/>
                <w:color w:val="auto"/>
                <w:sz w:val="24"/>
                <w:szCs w:val="24"/>
              </w:rPr>
            </w:pPr>
          </w:p>
        </w:tc>
        <w:tc>
          <w:tcPr>
            <w:tcW w:w="1010" w:type="dxa"/>
            <w:gridSpan w:val="2"/>
            <w:vMerge w:val="restart"/>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售后</w:t>
            </w:r>
          </w:p>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服务费</w:t>
            </w:r>
          </w:p>
        </w:tc>
        <w:tc>
          <w:tcPr>
            <w:tcW w:w="1422"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培训费</w:t>
            </w: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7" w:type="dxa"/>
            <w:vMerge w:val="continue"/>
            <w:vAlign w:val="center"/>
          </w:tcPr>
          <w:p>
            <w:pPr>
              <w:pStyle w:val="15"/>
              <w:jc w:val="center"/>
              <w:rPr>
                <w:rFonts w:hint="eastAsia" w:ascii="仿宋" w:hAnsi="仿宋" w:eastAsia="仿宋" w:cs="仿宋"/>
                <w:color w:val="auto"/>
                <w:sz w:val="24"/>
                <w:szCs w:val="24"/>
              </w:rPr>
            </w:pP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1956" w:type="dxa"/>
            <w:gridSpan w:val="3"/>
            <w:vAlign w:val="center"/>
          </w:tcPr>
          <w:p>
            <w:pPr>
              <w:pStyle w:val="15"/>
              <w:jc w:val="center"/>
              <w:rPr>
                <w:rFonts w:hint="eastAsia" w:ascii="仿宋" w:hAnsi="仿宋" w:eastAsia="仿宋" w:cs="仿宋"/>
                <w:color w:val="auto"/>
                <w:sz w:val="24"/>
                <w:szCs w:val="24"/>
              </w:rPr>
            </w:pPr>
          </w:p>
        </w:tc>
        <w:tc>
          <w:tcPr>
            <w:tcW w:w="1010" w:type="dxa"/>
            <w:gridSpan w:val="2"/>
            <w:vMerge w:val="continue"/>
            <w:vAlign w:val="center"/>
          </w:tcPr>
          <w:p>
            <w:pPr>
              <w:pStyle w:val="15"/>
              <w:jc w:val="center"/>
              <w:rPr>
                <w:rFonts w:hint="eastAsia" w:ascii="仿宋" w:hAnsi="仿宋" w:eastAsia="仿宋" w:cs="仿宋"/>
                <w:color w:val="auto"/>
                <w:sz w:val="24"/>
                <w:szCs w:val="24"/>
              </w:rPr>
            </w:pPr>
          </w:p>
        </w:tc>
        <w:tc>
          <w:tcPr>
            <w:tcW w:w="1422"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技术服务费</w:t>
            </w: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restart"/>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其他</w:t>
            </w:r>
          </w:p>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费用</w:t>
            </w: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代理费</w:t>
            </w:r>
          </w:p>
        </w:tc>
        <w:tc>
          <w:tcPr>
            <w:tcW w:w="878" w:type="dxa"/>
            <w:vAlign w:val="center"/>
          </w:tcPr>
          <w:p>
            <w:pPr>
              <w:pStyle w:val="15"/>
              <w:jc w:val="center"/>
              <w:rPr>
                <w:rFonts w:hint="eastAsia" w:ascii="仿宋" w:hAnsi="仿宋" w:eastAsia="仿宋" w:cs="仿宋"/>
                <w:color w:val="auto"/>
                <w:sz w:val="24"/>
                <w:szCs w:val="24"/>
              </w:rPr>
            </w:pPr>
          </w:p>
        </w:tc>
        <w:tc>
          <w:tcPr>
            <w:tcW w:w="1078" w:type="dxa"/>
            <w:gridSpan w:val="2"/>
            <w:vAlign w:val="center"/>
          </w:tcPr>
          <w:p>
            <w:pPr>
              <w:pStyle w:val="15"/>
              <w:jc w:val="center"/>
              <w:rPr>
                <w:rFonts w:hint="eastAsia" w:ascii="仿宋" w:hAnsi="仿宋" w:eastAsia="仿宋" w:cs="仿宋"/>
                <w:color w:val="auto"/>
                <w:sz w:val="24"/>
                <w:szCs w:val="24"/>
              </w:rPr>
            </w:pPr>
          </w:p>
        </w:tc>
        <w:tc>
          <w:tcPr>
            <w:tcW w:w="1010" w:type="dxa"/>
            <w:gridSpan w:val="2"/>
            <w:vMerge w:val="continue"/>
            <w:vAlign w:val="center"/>
          </w:tcPr>
          <w:p>
            <w:pPr>
              <w:pStyle w:val="15"/>
              <w:jc w:val="center"/>
              <w:rPr>
                <w:rFonts w:hint="eastAsia" w:ascii="仿宋" w:hAnsi="仿宋" w:eastAsia="仿宋" w:cs="仿宋"/>
                <w:color w:val="auto"/>
                <w:sz w:val="24"/>
                <w:szCs w:val="24"/>
              </w:rPr>
            </w:pPr>
          </w:p>
        </w:tc>
        <w:tc>
          <w:tcPr>
            <w:tcW w:w="1422" w:type="dxa"/>
            <w:gridSpan w:val="2"/>
            <w:vAlign w:val="center"/>
          </w:tcPr>
          <w:p>
            <w:pPr>
              <w:pStyle w:val="15"/>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5"/>
              <w:jc w:val="center"/>
              <w:rPr>
                <w:rFonts w:hint="eastAsia" w:ascii="仿宋" w:hAnsi="仿宋" w:eastAsia="仿宋" w:cs="仿宋"/>
                <w:color w:val="auto"/>
                <w:sz w:val="24"/>
                <w:szCs w:val="24"/>
              </w:rPr>
            </w:pP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878" w:type="dxa"/>
            <w:vAlign w:val="center"/>
          </w:tcPr>
          <w:p>
            <w:pPr>
              <w:pStyle w:val="15"/>
              <w:jc w:val="center"/>
              <w:rPr>
                <w:rFonts w:hint="eastAsia" w:ascii="仿宋" w:hAnsi="仿宋" w:eastAsia="仿宋" w:cs="仿宋"/>
                <w:color w:val="auto"/>
                <w:sz w:val="24"/>
                <w:szCs w:val="24"/>
              </w:rPr>
            </w:pPr>
          </w:p>
        </w:tc>
        <w:tc>
          <w:tcPr>
            <w:tcW w:w="1078" w:type="dxa"/>
            <w:gridSpan w:val="2"/>
            <w:vAlign w:val="center"/>
          </w:tcPr>
          <w:p>
            <w:pPr>
              <w:pStyle w:val="15"/>
              <w:jc w:val="center"/>
              <w:rPr>
                <w:rFonts w:hint="eastAsia" w:ascii="仿宋" w:hAnsi="仿宋" w:eastAsia="仿宋" w:cs="仿宋"/>
                <w:color w:val="auto"/>
                <w:sz w:val="24"/>
                <w:szCs w:val="24"/>
              </w:rPr>
            </w:pPr>
          </w:p>
        </w:tc>
        <w:tc>
          <w:tcPr>
            <w:tcW w:w="1010" w:type="dxa"/>
            <w:gridSpan w:val="2"/>
            <w:vMerge w:val="continue"/>
            <w:vAlign w:val="center"/>
          </w:tcPr>
          <w:p>
            <w:pPr>
              <w:pStyle w:val="15"/>
              <w:jc w:val="center"/>
              <w:rPr>
                <w:rFonts w:hint="eastAsia" w:ascii="仿宋" w:hAnsi="仿宋" w:eastAsia="仿宋" w:cs="仿宋"/>
                <w:color w:val="auto"/>
                <w:sz w:val="24"/>
                <w:szCs w:val="24"/>
              </w:rPr>
            </w:pPr>
          </w:p>
        </w:tc>
        <w:tc>
          <w:tcPr>
            <w:tcW w:w="1422" w:type="dxa"/>
            <w:gridSpan w:val="2"/>
            <w:vAlign w:val="center"/>
          </w:tcPr>
          <w:p>
            <w:pPr>
              <w:pStyle w:val="15"/>
              <w:jc w:val="center"/>
              <w:rPr>
                <w:rFonts w:hint="eastAsia" w:ascii="仿宋" w:hAnsi="仿宋" w:eastAsia="仿宋" w:cs="仿宋"/>
                <w:color w:val="auto"/>
                <w:sz w:val="24"/>
                <w:szCs w:val="24"/>
              </w:rPr>
            </w:pPr>
          </w:p>
        </w:tc>
        <w:tc>
          <w:tcPr>
            <w:tcW w:w="2053" w:type="dxa"/>
            <w:gridSpan w:val="2"/>
            <w:vAlign w:val="center"/>
          </w:tcPr>
          <w:p>
            <w:pPr>
              <w:pStyle w:val="15"/>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77" w:type="dxa"/>
            <w:vMerge w:val="continue"/>
            <w:vAlign w:val="center"/>
          </w:tcPr>
          <w:p>
            <w:pPr>
              <w:pStyle w:val="15"/>
              <w:jc w:val="center"/>
              <w:rPr>
                <w:rFonts w:hint="eastAsia" w:ascii="仿宋" w:hAnsi="仿宋" w:eastAsia="仿宋" w:cs="仿宋"/>
                <w:color w:val="auto"/>
                <w:sz w:val="24"/>
                <w:szCs w:val="24"/>
              </w:rPr>
            </w:pPr>
          </w:p>
        </w:tc>
        <w:tc>
          <w:tcPr>
            <w:tcW w:w="1755"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878" w:type="dxa"/>
            <w:vAlign w:val="center"/>
          </w:tcPr>
          <w:p>
            <w:pPr>
              <w:pStyle w:val="15"/>
              <w:jc w:val="center"/>
              <w:rPr>
                <w:rFonts w:hint="eastAsia" w:ascii="仿宋" w:hAnsi="仿宋" w:eastAsia="仿宋" w:cs="仿宋"/>
                <w:color w:val="auto"/>
                <w:sz w:val="24"/>
                <w:szCs w:val="24"/>
              </w:rPr>
            </w:pPr>
          </w:p>
        </w:tc>
        <w:tc>
          <w:tcPr>
            <w:tcW w:w="1078" w:type="dxa"/>
            <w:gridSpan w:val="2"/>
            <w:vAlign w:val="center"/>
          </w:tcPr>
          <w:p>
            <w:pPr>
              <w:pStyle w:val="15"/>
              <w:jc w:val="center"/>
              <w:rPr>
                <w:rFonts w:hint="eastAsia" w:ascii="仿宋" w:hAnsi="仿宋" w:eastAsia="仿宋" w:cs="仿宋"/>
                <w:color w:val="auto"/>
                <w:sz w:val="24"/>
                <w:szCs w:val="24"/>
              </w:rPr>
            </w:pPr>
          </w:p>
        </w:tc>
        <w:tc>
          <w:tcPr>
            <w:tcW w:w="1010" w:type="dxa"/>
            <w:gridSpan w:val="2"/>
            <w:vMerge w:val="continue"/>
            <w:vAlign w:val="center"/>
          </w:tcPr>
          <w:p>
            <w:pPr>
              <w:pStyle w:val="15"/>
              <w:jc w:val="center"/>
              <w:rPr>
                <w:rFonts w:hint="eastAsia" w:ascii="仿宋" w:hAnsi="仿宋" w:eastAsia="仿宋" w:cs="仿宋"/>
                <w:color w:val="auto"/>
                <w:sz w:val="24"/>
                <w:szCs w:val="24"/>
              </w:rPr>
            </w:pPr>
          </w:p>
        </w:tc>
        <w:tc>
          <w:tcPr>
            <w:tcW w:w="1422" w:type="dxa"/>
            <w:gridSpan w:val="2"/>
            <w:vAlign w:val="center"/>
          </w:tcPr>
          <w:p>
            <w:pPr>
              <w:pStyle w:val="15"/>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2053" w:type="dxa"/>
            <w:gridSpan w:val="2"/>
            <w:vAlign w:val="center"/>
          </w:tcPr>
          <w:p>
            <w:pPr>
              <w:pStyle w:val="15"/>
              <w:jc w:val="center"/>
              <w:rPr>
                <w:rFonts w:hint="eastAsia" w:ascii="仿宋" w:hAnsi="仿宋" w:eastAsia="仿宋" w:cs="仿宋"/>
                <w:color w:val="auto"/>
                <w:sz w:val="24"/>
                <w:szCs w:val="24"/>
              </w:rPr>
            </w:pPr>
          </w:p>
        </w:tc>
      </w:tr>
    </w:tbl>
    <w:p>
      <w:pPr>
        <w:pStyle w:val="15"/>
        <w:ind w:firstLine="480" w:firstLineChars="200"/>
        <w:rPr>
          <w:rFonts w:hint="eastAsia" w:ascii="仿宋" w:hAnsi="仿宋" w:eastAsia="仿宋" w:cs="仿宋"/>
          <w:b/>
          <w:bCs/>
          <w:color w:val="auto"/>
          <w:szCs w:val="24"/>
        </w:rPr>
      </w:pPr>
      <w:r>
        <w:rPr>
          <w:rFonts w:hint="eastAsia" w:ascii="仿宋" w:hAnsi="仿宋" w:eastAsia="仿宋" w:cs="仿宋"/>
          <w:color w:val="auto"/>
          <w:sz w:val="24"/>
          <w:szCs w:val="24"/>
        </w:rPr>
        <w:t>说明：本表中的政策功能类型及编号是指产品在最新一期节能、环保清单内的编号。</w:t>
      </w:r>
    </w:p>
    <w:p>
      <w:pPr>
        <w:adjustRightInd w:val="0"/>
        <w:snapToGrid w:val="0"/>
        <w:spacing w:line="360" w:lineRule="auto"/>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投标人（盖单位章）：</w:t>
      </w:r>
    </w:p>
    <w:p>
      <w:pPr>
        <w:adjustRightInd w:val="0"/>
        <w:snapToGrid w:val="0"/>
        <w:spacing w:line="360" w:lineRule="auto"/>
        <w:ind w:firstLine="240" w:firstLineChars="100"/>
        <w:rPr>
          <w:rFonts w:hint="eastAsia" w:ascii="仿宋" w:hAnsi="仿宋" w:eastAsia="仿宋" w:cs="仿宋"/>
          <w:color w:val="auto"/>
          <w:sz w:val="24"/>
          <w:szCs w:val="21"/>
        </w:rPr>
      </w:pPr>
      <w:r>
        <w:rPr>
          <w:rFonts w:hint="eastAsia" w:ascii="仿宋" w:hAnsi="仿宋" w:eastAsia="仿宋" w:cs="仿宋"/>
          <w:color w:val="auto"/>
          <w:sz w:val="24"/>
          <w:szCs w:val="21"/>
        </w:rPr>
        <w:t xml:space="preserve"> </w:t>
      </w:r>
      <w:r>
        <w:rPr>
          <w:rFonts w:hint="eastAsia" w:ascii="仿宋" w:hAnsi="仿宋" w:eastAsia="仿宋" w:cs="仿宋"/>
          <w:color w:val="auto"/>
          <w:sz w:val="24"/>
          <w:szCs w:val="21"/>
          <w:lang w:val="en-US" w:eastAsia="zh-CN"/>
        </w:rPr>
        <w:t xml:space="preserve"> </w:t>
      </w:r>
      <w:r>
        <w:rPr>
          <w:rFonts w:hint="eastAsia" w:ascii="仿宋" w:hAnsi="仿宋" w:eastAsia="仿宋" w:cs="仿宋"/>
          <w:color w:val="auto"/>
          <w:sz w:val="24"/>
          <w:szCs w:val="21"/>
        </w:rPr>
        <w:t>法定代表人或其委托代理人签字：</w:t>
      </w:r>
      <w:r>
        <w:rPr>
          <w:rFonts w:hint="eastAsia" w:ascii="仿宋" w:hAnsi="仿宋" w:eastAsia="仿宋" w:cs="仿宋"/>
          <w:color w:val="auto"/>
          <w:sz w:val="24"/>
          <w:szCs w:val="21"/>
          <w:u w:val="single"/>
        </w:rPr>
        <w:t xml:space="preserve">       </w:t>
      </w:r>
    </w:p>
    <w:p>
      <w:pPr>
        <w:adjustRightInd w:val="0"/>
        <w:snapToGrid w:val="0"/>
        <w:spacing w:line="360" w:lineRule="auto"/>
        <w:ind w:right="24" w:firstLine="240" w:firstLineChars="100"/>
        <w:rPr>
          <w:rFonts w:hint="eastAsia" w:ascii="仿宋" w:hAnsi="仿宋" w:eastAsia="仿宋" w:cs="仿宋"/>
          <w:bCs/>
          <w:color w:val="auto"/>
          <w:sz w:val="36"/>
          <w:szCs w:val="28"/>
        </w:rPr>
      </w:pPr>
      <w:r>
        <w:rPr>
          <w:rFonts w:hint="eastAsia" w:ascii="仿宋" w:hAnsi="仿宋" w:eastAsia="仿宋" w:cs="仿宋"/>
          <w:color w:val="auto"/>
          <w:sz w:val="24"/>
          <w:szCs w:val="21"/>
        </w:rPr>
        <w:t xml:space="preserve">  日期：</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年</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月</w:t>
      </w:r>
      <w:r>
        <w:rPr>
          <w:rFonts w:hint="eastAsia" w:ascii="仿宋" w:hAnsi="仿宋" w:eastAsia="仿宋" w:cs="仿宋"/>
          <w:color w:val="auto"/>
          <w:sz w:val="24"/>
          <w:szCs w:val="21"/>
          <w:u w:val="single"/>
        </w:rPr>
        <w:t xml:space="preserve">   </w:t>
      </w:r>
      <w:r>
        <w:rPr>
          <w:rFonts w:hint="eastAsia" w:ascii="仿宋" w:hAnsi="仿宋" w:eastAsia="仿宋" w:cs="仿宋"/>
          <w:color w:val="auto"/>
          <w:sz w:val="24"/>
          <w:szCs w:val="21"/>
        </w:rPr>
        <w:t>日</w:t>
      </w:r>
    </w:p>
    <w:p>
      <w:pPr>
        <w:spacing w:line="360" w:lineRule="auto"/>
        <w:ind w:left="379" w:leftChars="30" w:hanging="316" w:hangingChars="150"/>
        <w:rPr>
          <w:rFonts w:hint="eastAsia" w:ascii="仿宋" w:hAnsi="仿宋" w:eastAsia="仿宋" w:cs="仿宋"/>
          <w:b/>
          <w:color w:val="auto"/>
        </w:rPr>
      </w:pPr>
    </w:p>
    <w:p>
      <w:pPr>
        <w:pStyle w:val="4"/>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37" w:name="_Toc130139089"/>
      <w:bookmarkStart w:id="138" w:name="_Toc19569"/>
      <w:r>
        <w:rPr>
          <w:rFonts w:hint="eastAsia" w:ascii="仿宋" w:hAnsi="仿宋" w:eastAsia="仿宋" w:cs="仿宋"/>
          <w:color w:val="auto"/>
          <w:sz w:val="28"/>
          <w:szCs w:val="28"/>
        </w:rPr>
        <w:t>格式</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技术规格差异表</w:t>
      </w:r>
      <w:bookmarkEnd w:id="137"/>
      <w:bookmarkEnd w:id="138"/>
    </w:p>
    <w:p>
      <w:pPr>
        <w:rPr>
          <w:rFonts w:hint="eastAsia" w:ascii="仿宋" w:hAnsi="仿宋" w:eastAsia="仿宋" w:cs="仿宋"/>
          <w:color w:val="auto"/>
        </w:rPr>
      </w:pPr>
    </w:p>
    <w:p>
      <w:pPr>
        <w:spacing w:line="360" w:lineRule="auto"/>
        <w:ind w:left="-2" w:leftChars="-1" w:firstLine="2"/>
        <w:rPr>
          <w:rFonts w:hint="eastAsia" w:ascii="仿宋" w:hAnsi="仿宋" w:eastAsia="仿宋" w:cs="仿宋"/>
          <w:color w:val="auto"/>
          <w:sz w:val="24"/>
          <w:u w:val="single"/>
          <w:lang w:val="en-US" w:eastAsia="zh-CN"/>
        </w:rPr>
      </w:pPr>
      <w:r>
        <w:rPr>
          <w:rFonts w:hint="eastAsia" w:ascii="仿宋" w:hAnsi="仿宋" w:eastAsia="仿宋" w:cs="仿宋"/>
          <w:color w:val="auto"/>
          <w:sz w:val="24"/>
        </w:rPr>
        <w:t>项目名称：</w:t>
      </w:r>
      <w:r>
        <w:rPr>
          <w:rFonts w:hint="eastAsia" w:ascii="仿宋" w:hAnsi="仿宋" w:eastAsia="仿宋" w:cs="仿宋"/>
          <w:color w:val="auto"/>
          <w:sz w:val="24"/>
          <w:u w:val="single"/>
          <w:lang w:val="en-US" w:eastAsia="zh-CN"/>
        </w:rPr>
        <w:t xml:space="preserve">                            </w:t>
      </w:r>
    </w:p>
    <w:p>
      <w:pPr>
        <w:spacing w:line="360" w:lineRule="auto"/>
        <w:ind w:left="-2" w:leftChars="-1" w:firstLine="2"/>
        <w:rPr>
          <w:rFonts w:hint="eastAsia" w:ascii="仿宋" w:hAnsi="仿宋" w:eastAsia="仿宋" w:cs="仿宋"/>
          <w:color w:val="auto"/>
          <w:sz w:val="24"/>
          <w:lang w:eastAsia="zh-CN"/>
        </w:rPr>
      </w:pPr>
      <w:r>
        <w:rPr>
          <w:rFonts w:hint="eastAsia" w:ascii="仿宋" w:hAnsi="仿宋" w:eastAsia="仿宋" w:cs="仿宋"/>
          <w:color w:val="auto"/>
          <w:sz w:val="24"/>
        </w:rPr>
        <w:t>招标编号：</w:t>
      </w:r>
      <w:r>
        <w:rPr>
          <w:rFonts w:hint="eastAsia" w:ascii="仿宋" w:hAnsi="仿宋" w:eastAsia="仿宋" w:cs="仿宋"/>
          <w:color w:val="auto"/>
          <w:sz w:val="24"/>
          <w:u w:val="single"/>
          <w:lang w:val="en-US" w:eastAsia="zh-CN"/>
        </w:rPr>
        <w:t xml:space="preserve">                            </w:t>
      </w:r>
    </w:p>
    <w:tbl>
      <w:tblPr>
        <w:tblStyle w:val="22"/>
        <w:tblW w:w="916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241"/>
        <w:gridCol w:w="2344"/>
        <w:gridCol w:w="1628"/>
        <w:gridCol w:w="8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427"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名称</w:t>
            </w:r>
          </w:p>
        </w:tc>
        <w:tc>
          <w:tcPr>
            <w:tcW w:w="2241" w:type="dxa"/>
            <w:shd w:val="clear" w:color="auto" w:fill="E0E0E0"/>
            <w:noWrap w:val="0"/>
            <w:vAlign w:val="center"/>
          </w:tcPr>
          <w:p>
            <w:pPr>
              <w:snapToGrid w:val="0"/>
              <w:spacing w:line="360" w:lineRule="auto"/>
              <w:ind w:left="-112" w:leftChars="-54" w:right="-105" w:rightChars="-50" w:hanging="1"/>
              <w:jc w:val="center"/>
              <w:rPr>
                <w:rFonts w:hint="eastAsia" w:ascii="仿宋" w:hAnsi="仿宋" w:eastAsia="仿宋" w:cs="仿宋"/>
                <w:b/>
                <w:color w:val="auto"/>
                <w:sz w:val="24"/>
              </w:rPr>
            </w:pPr>
            <w:r>
              <w:rPr>
                <w:rFonts w:hint="eastAsia" w:ascii="仿宋" w:hAnsi="仿宋" w:eastAsia="仿宋" w:cs="仿宋"/>
                <w:b/>
                <w:color w:val="auto"/>
                <w:sz w:val="24"/>
              </w:rPr>
              <w:t>原技术规范主要条款描述</w:t>
            </w:r>
          </w:p>
        </w:tc>
        <w:tc>
          <w:tcPr>
            <w:tcW w:w="2344" w:type="dxa"/>
            <w:shd w:val="clear" w:color="auto" w:fill="E0E0E0"/>
            <w:noWrap w:val="0"/>
            <w:vAlign w:val="center"/>
          </w:tcPr>
          <w:p>
            <w:pPr>
              <w:snapToGrid w:val="0"/>
              <w:spacing w:line="360" w:lineRule="auto"/>
              <w:ind w:left="-111" w:leftChars="-53" w:right="-105" w:rightChars="-50"/>
              <w:jc w:val="center"/>
              <w:rPr>
                <w:rFonts w:hint="eastAsia" w:ascii="仿宋" w:hAnsi="仿宋" w:eastAsia="仿宋" w:cs="仿宋"/>
                <w:b/>
                <w:color w:val="auto"/>
                <w:sz w:val="24"/>
              </w:rPr>
            </w:pPr>
            <w:r>
              <w:rPr>
                <w:rFonts w:hint="eastAsia" w:ascii="仿宋" w:hAnsi="仿宋" w:eastAsia="仿宋" w:cs="仿宋"/>
                <w:b/>
                <w:color w:val="auto"/>
                <w:sz w:val="24"/>
              </w:rPr>
              <w:t>投标人技术规范描述</w:t>
            </w:r>
          </w:p>
        </w:tc>
        <w:tc>
          <w:tcPr>
            <w:tcW w:w="1628"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偏离情况</w:t>
            </w:r>
          </w:p>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说明</w:t>
            </w:r>
          </w:p>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w:t>
            </w:r>
          </w:p>
        </w:tc>
        <w:tc>
          <w:tcPr>
            <w:tcW w:w="814" w:type="dxa"/>
            <w:shd w:val="clear" w:color="auto" w:fill="D9D9D9"/>
            <w:noWrap w:val="0"/>
            <w:vAlign w:val="center"/>
          </w:tcPr>
          <w:p>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27" w:type="dxa"/>
            <w:noWrap w:val="0"/>
            <w:vAlign w:val="center"/>
          </w:tcPr>
          <w:p>
            <w:pPr>
              <w:snapToGrid w:val="0"/>
              <w:spacing w:line="360" w:lineRule="auto"/>
              <w:jc w:val="center"/>
              <w:rPr>
                <w:rFonts w:hint="eastAsia" w:ascii="仿宋" w:hAnsi="仿宋" w:eastAsia="仿宋" w:cs="仿宋"/>
                <w:color w:val="auto"/>
                <w:sz w:val="24"/>
              </w:rPr>
            </w:pPr>
          </w:p>
        </w:tc>
        <w:tc>
          <w:tcPr>
            <w:tcW w:w="2241" w:type="dxa"/>
            <w:noWrap w:val="0"/>
            <w:vAlign w:val="center"/>
          </w:tcPr>
          <w:p>
            <w:pPr>
              <w:snapToGrid w:val="0"/>
              <w:spacing w:line="360" w:lineRule="auto"/>
              <w:jc w:val="center"/>
              <w:rPr>
                <w:rFonts w:hint="eastAsia" w:ascii="仿宋" w:hAnsi="仿宋" w:eastAsia="仿宋" w:cs="仿宋"/>
                <w:color w:val="auto"/>
                <w:sz w:val="24"/>
              </w:rPr>
            </w:pPr>
          </w:p>
        </w:tc>
        <w:tc>
          <w:tcPr>
            <w:tcW w:w="2344" w:type="dxa"/>
            <w:noWrap w:val="0"/>
            <w:vAlign w:val="center"/>
          </w:tcPr>
          <w:p>
            <w:pPr>
              <w:snapToGrid w:val="0"/>
              <w:spacing w:line="360" w:lineRule="auto"/>
              <w:jc w:val="center"/>
              <w:rPr>
                <w:rFonts w:hint="eastAsia" w:ascii="仿宋" w:hAnsi="仿宋" w:eastAsia="仿宋" w:cs="仿宋"/>
                <w:color w:val="auto"/>
                <w:sz w:val="24"/>
              </w:rPr>
            </w:pPr>
          </w:p>
        </w:tc>
        <w:tc>
          <w:tcPr>
            <w:tcW w:w="1628" w:type="dxa"/>
            <w:noWrap w:val="0"/>
            <w:vAlign w:val="center"/>
          </w:tcPr>
          <w:p>
            <w:pPr>
              <w:snapToGrid w:val="0"/>
              <w:spacing w:line="360" w:lineRule="auto"/>
              <w:jc w:val="center"/>
              <w:rPr>
                <w:rFonts w:hint="eastAsia" w:ascii="仿宋" w:hAnsi="仿宋" w:eastAsia="仿宋" w:cs="仿宋"/>
                <w:color w:val="auto"/>
                <w:sz w:val="24"/>
              </w:rPr>
            </w:pPr>
          </w:p>
        </w:tc>
        <w:tc>
          <w:tcPr>
            <w:tcW w:w="814" w:type="dxa"/>
            <w:noWrap w:val="0"/>
            <w:vAlign w:val="center"/>
          </w:tcPr>
          <w:p>
            <w:pPr>
              <w:snapToGrid w:val="0"/>
              <w:spacing w:line="36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1427" w:type="dxa"/>
            <w:noWrap w:val="0"/>
            <w:vAlign w:val="center"/>
          </w:tcPr>
          <w:p>
            <w:pPr>
              <w:snapToGrid w:val="0"/>
              <w:spacing w:line="360" w:lineRule="auto"/>
              <w:jc w:val="center"/>
              <w:rPr>
                <w:rFonts w:hint="eastAsia" w:ascii="仿宋" w:hAnsi="仿宋" w:eastAsia="仿宋" w:cs="仿宋"/>
                <w:color w:val="auto"/>
                <w:sz w:val="24"/>
              </w:rPr>
            </w:pPr>
          </w:p>
        </w:tc>
        <w:tc>
          <w:tcPr>
            <w:tcW w:w="2241" w:type="dxa"/>
            <w:noWrap w:val="0"/>
            <w:vAlign w:val="center"/>
          </w:tcPr>
          <w:p>
            <w:pPr>
              <w:snapToGrid w:val="0"/>
              <w:spacing w:line="360" w:lineRule="auto"/>
              <w:jc w:val="center"/>
              <w:rPr>
                <w:rFonts w:hint="eastAsia" w:ascii="仿宋" w:hAnsi="仿宋" w:eastAsia="仿宋" w:cs="仿宋"/>
                <w:color w:val="auto"/>
                <w:sz w:val="24"/>
              </w:rPr>
            </w:pPr>
          </w:p>
        </w:tc>
        <w:tc>
          <w:tcPr>
            <w:tcW w:w="2344" w:type="dxa"/>
            <w:noWrap w:val="0"/>
            <w:vAlign w:val="center"/>
          </w:tcPr>
          <w:p>
            <w:pPr>
              <w:snapToGrid w:val="0"/>
              <w:spacing w:line="360" w:lineRule="auto"/>
              <w:jc w:val="center"/>
              <w:rPr>
                <w:rFonts w:hint="eastAsia" w:ascii="仿宋" w:hAnsi="仿宋" w:eastAsia="仿宋" w:cs="仿宋"/>
                <w:color w:val="auto"/>
                <w:sz w:val="24"/>
              </w:rPr>
            </w:pPr>
          </w:p>
        </w:tc>
        <w:tc>
          <w:tcPr>
            <w:tcW w:w="1628" w:type="dxa"/>
            <w:noWrap w:val="0"/>
            <w:vAlign w:val="center"/>
          </w:tcPr>
          <w:p>
            <w:pPr>
              <w:snapToGrid w:val="0"/>
              <w:spacing w:line="360" w:lineRule="auto"/>
              <w:jc w:val="center"/>
              <w:rPr>
                <w:rFonts w:hint="eastAsia" w:ascii="仿宋" w:hAnsi="仿宋" w:eastAsia="仿宋" w:cs="仿宋"/>
                <w:color w:val="auto"/>
                <w:sz w:val="24"/>
              </w:rPr>
            </w:pPr>
          </w:p>
        </w:tc>
        <w:tc>
          <w:tcPr>
            <w:tcW w:w="814" w:type="dxa"/>
            <w:noWrap w:val="0"/>
            <w:vAlign w:val="center"/>
          </w:tcPr>
          <w:p>
            <w:pPr>
              <w:snapToGrid w:val="0"/>
              <w:spacing w:line="360" w:lineRule="auto"/>
              <w:jc w:val="center"/>
              <w:rPr>
                <w:rFonts w:hint="eastAsia" w:ascii="仿宋" w:hAnsi="仿宋" w:eastAsia="仿宋" w:cs="仿宋"/>
                <w:color w:val="auto"/>
                <w:sz w:val="24"/>
              </w:rPr>
            </w:pPr>
          </w:p>
        </w:tc>
      </w:tr>
    </w:tbl>
    <w:p>
      <w:pPr>
        <w:snapToGrid w:val="0"/>
        <w:rPr>
          <w:rFonts w:hint="eastAsia" w:ascii="仿宋" w:hAnsi="仿宋" w:eastAsia="仿宋" w:cs="仿宋"/>
          <w:bCs/>
          <w:color w:val="auto"/>
          <w:sz w:val="24"/>
        </w:rPr>
      </w:pP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p>
    <w:p>
      <w:pPr>
        <w:tabs>
          <w:tab w:val="left" w:pos="11130"/>
        </w:tabs>
        <w:snapToGrid w:val="0"/>
        <w:rPr>
          <w:rFonts w:hint="eastAsia" w:ascii="仿宋" w:hAnsi="仿宋" w:eastAsia="仿宋" w:cs="仿宋"/>
          <w:bCs/>
          <w:color w:val="auto"/>
          <w:sz w:val="24"/>
        </w:rPr>
      </w:pPr>
    </w:p>
    <w:p>
      <w:pPr>
        <w:tabs>
          <w:tab w:val="left" w:pos="11130"/>
        </w:tabs>
        <w:snapToGrid w:val="0"/>
        <w:rPr>
          <w:rFonts w:hint="eastAsia" w:ascii="仿宋" w:hAnsi="仿宋" w:eastAsia="仿宋" w:cs="仿宋"/>
          <w:bCs/>
          <w:color w:val="auto"/>
          <w:sz w:val="24"/>
        </w:rPr>
      </w:pPr>
    </w:p>
    <w:p>
      <w:pPr>
        <w:tabs>
          <w:tab w:val="left" w:pos="11130"/>
        </w:tabs>
        <w:snapToGrid w:val="0"/>
        <w:rPr>
          <w:rFonts w:hint="eastAsia" w:ascii="仿宋" w:hAnsi="仿宋" w:eastAsia="仿宋" w:cs="仿宋"/>
          <w:bCs/>
          <w:color w:val="auto"/>
          <w:sz w:val="24"/>
        </w:rPr>
      </w:pPr>
    </w:p>
    <w:p>
      <w:pPr>
        <w:tabs>
          <w:tab w:val="left" w:pos="11130"/>
        </w:tabs>
        <w:snapToGrid w:val="0"/>
        <w:rPr>
          <w:rFonts w:hint="eastAsia" w:ascii="仿宋" w:hAnsi="仿宋" w:eastAsia="仿宋" w:cs="仿宋"/>
          <w:bCs/>
          <w:color w:val="auto"/>
          <w:sz w:val="24"/>
          <w:szCs w:val="24"/>
        </w:rPr>
      </w:pPr>
    </w:p>
    <w:p>
      <w:pPr>
        <w:tabs>
          <w:tab w:val="left" w:pos="11130"/>
        </w:tabs>
        <w:snapToGrid w:val="0"/>
        <w:spacing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注：1、此表为表样，行数可自行添加，但表式不变。</w:t>
      </w:r>
    </w:p>
    <w:p>
      <w:pPr>
        <w:tabs>
          <w:tab w:val="left" w:pos="11130"/>
        </w:tabs>
        <w:snapToGrid w:val="0"/>
        <w:spacing w:line="480" w:lineRule="auto"/>
        <w:ind w:firstLine="472" w:firstLineChars="196"/>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、请在“投标人技术规范描述” 中列出所投</w:t>
      </w:r>
      <w:r>
        <w:rPr>
          <w:rFonts w:hint="eastAsia" w:ascii="仿宋" w:hAnsi="仿宋" w:eastAsia="仿宋" w:cs="仿宋"/>
          <w:b/>
          <w:bCs/>
          <w:color w:val="auto"/>
          <w:sz w:val="24"/>
          <w:szCs w:val="24"/>
          <w:lang w:eastAsia="zh-CN"/>
        </w:rPr>
        <w:t>服务</w:t>
      </w:r>
      <w:r>
        <w:rPr>
          <w:rFonts w:hint="eastAsia" w:ascii="仿宋" w:hAnsi="仿宋" w:eastAsia="仿宋" w:cs="仿宋"/>
          <w:b/>
          <w:bCs/>
          <w:color w:val="auto"/>
          <w:sz w:val="24"/>
          <w:szCs w:val="24"/>
        </w:rPr>
        <w:t>的详细技术参数情况。</w:t>
      </w:r>
    </w:p>
    <w:p>
      <w:pPr>
        <w:tabs>
          <w:tab w:val="left" w:pos="11130"/>
        </w:tabs>
        <w:snapToGrid w:val="0"/>
        <w:spacing w:line="480" w:lineRule="auto"/>
        <w:ind w:firstLine="472" w:firstLineChars="196"/>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、是否偏离用符号“+、=、-”分别表示正偏离、完全响应、负偏离，必须逐次对应响应。</w:t>
      </w:r>
    </w:p>
    <w:bookmarkEnd w:id="130"/>
    <w:p>
      <w:pPr>
        <w:rPr>
          <w:rFonts w:hint="eastAsia" w:ascii="仿宋" w:hAnsi="仿宋" w:eastAsia="仿宋" w:cs="仿宋"/>
          <w:color w:val="auto"/>
          <w:sz w:val="28"/>
          <w:szCs w:val="28"/>
        </w:rPr>
      </w:pPr>
      <w:bookmarkStart w:id="139" w:name="_Toc130139091"/>
      <w:r>
        <w:rPr>
          <w:rFonts w:hint="eastAsia" w:ascii="仿宋" w:hAnsi="仿宋" w:eastAsia="仿宋" w:cs="仿宋"/>
          <w:color w:val="auto"/>
          <w:sz w:val="24"/>
        </w:rPr>
        <w:br w:type="page"/>
      </w:r>
      <w:bookmarkStart w:id="140" w:name="_Toc30506"/>
      <w:r>
        <w:rPr>
          <w:rFonts w:hint="eastAsia" w:ascii="仿宋" w:hAnsi="仿宋" w:eastAsia="仿宋" w:cs="仿宋"/>
          <w:b/>
          <w:bCs/>
          <w:color w:val="auto"/>
          <w:kern w:val="2"/>
          <w:sz w:val="28"/>
          <w:szCs w:val="28"/>
          <w:lang w:val="en-US" w:eastAsia="zh-CN" w:bidi="ar-SA"/>
        </w:rPr>
        <w:t>格式7法定代表人证明书</w:t>
      </w:r>
      <w:bookmarkEnd w:id="139"/>
      <w:bookmarkEnd w:id="140"/>
    </w:p>
    <w:p>
      <w:pPr>
        <w:spacing w:line="360" w:lineRule="auto"/>
        <w:rPr>
          <w:rFonts w:hint="eastAsia" w:ascii="仿宋" w:hAnsi="仿宋" w:eastAsia="仿宋" w:cs="仿宋"/>
          <w:b/>
          <w:bCs/>
          <w:color w:val="auto"/>
          <w:sz w:val="28"/>
          <w:u w:val="single"/>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u w:val="single"/>
        </w:rPr>
        <w:t xml:space="preserve">          </w:t>
      </w:r>
      <w:r>
        <w:rPr>
          <w:rFonts w:hint="eastAsia" w:ascii="仿宋" w:hAnsi="仿宋" w:eastAsia="仿宋" w:cs="仿宋"/>
          <w:color w:val="auto"/>
          <w:sz w:val="24"/>
          <w:szCs w:val="24"/>
        </w:rPr>
        <w:t>同志，现任我单位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职务，为法定代表人，特此证明。</w:t>
      </w:r>
    </w:p>
    <w:p>
      <w:pPr>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有效日期：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签发日期：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单位（盖章）：</w:t>
      </w:r>
    </w:p>
    <w:p>
      <w:pPr>
        <w:spacing w:line="360" w:lineRule="auto"/>
        <w:rPr>
          <w:rFonts w:hint="eastAsia" w:ascii="仿宋" w:hAnsi="仿宋" w:eastAsia="仿宋" w:cs="仿宋"/>
          <w:color w:val="auto"/>
          <w:sz w:val="24"/>
          <w:szCs w:val="24"/>
        </w:rPr>
      </w:pP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附：</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代表人性别：</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年龄：</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营业执照（注册号）：</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经济性质：</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主营（产）：</w:t>
      </w:r>
    </w:p>
    <w:tbl>
      <w:tblPr>
        <w:tblStyle w:val="22"/>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w:t>
            </w:r>
            <w:r>
              <w:rPr>
                <w:rFonts w:hint="eastAsia" w:ascii="仿宋" w:hAnsi="仿宋" w:eastAsia="仿宋" w:cs="仿宋"/>
                <w:color w:val="auto"/>
                <w:sz w:val="24"/>
                <w:szCs w:val="24"/>
                <w:lang w:eastAsia="zh-CN"/>
              </w:rPr>
              <w:t>件正面</w:t>
            </w:r>
          </w:p>
        </w:tc>
      </w:tr>
    </w:tbl>
    <w:tbl>
      <w:tblPr>
        <w:tblStyle w:val="22"/>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反面</w:t>
            </w:r>
          </w:p>
        </w:tc>
      </w:tr>
    </w:tbl>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pStyle w:val="4"/>
        <w:spacing w:before="0" w:after="0" w:line="360" w:lineRule="auto"/>
        <w:rPr>
          <w:rFonts w:hint="eastAsia" w:ascii="仿宋" w:hAnsi="仿宋" w:eastAsia="仿宋" w:cs="仿宋"/>
          <w:color w:val="auto"/>
          <w:sz w:val="28"/>
          <w:szCs w:val="28"/>
        </w:rPr>
      </w:pPr>
      <w:r>
        <w:rPr>
          <w:rFonts w:hint="eastAsia" w:ascii="仿宋" w:hAnsi="仿宋" w:eastAsia="仿宋" w:cs="仿宋"/>
          <w:color w:val="auto"/>
          <w:sz w:val="28"/>
        </w:rPr>
        <w:br w:type="page"/>
      </w:r>
      <w:bookmarkStart w:id="141" w:name="_Toc130139092"/>
      <w:bookmarkStart w:id="142" w:name="_Toc3544"/>
      <w:r>
        <w:rPr>
          <w:rFonts w:hint="eastAsia" w:ascii="仿宋" w:hAnsi="仿宋" w:eastAsia="仿宋" w:cs="仿宋"/>
          <w:color w:val="auto"/>
          <w:sz w:val="28"/>
          <w:szCs w:val="28"/>
        </w:rPr>
        <w:t>格式</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 xml:space="preserve"> 法定代表人授权委托书</w:t>
      </w:r>
      <w:bookmarkEnd w:id="141"/>
      <w:bookmarkEnd w:id="142"/>
    </w:p>
    <w:p>
      <w:pPr>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w:t>
      </w:r>
      <w:r>
        <w:rPr>
          <w:rFonts w:hint="eastAsia" w:ascii="仿宋" w:hAnsi="仿宋" w:eastAsia="仿宋" w:cs="仿宋"/>
          <w:color w:val="auto"/>
          <w:sz w:val="24"/>
          <w:szCs w:val="24"/>
          <w:u w:val="single"/>
        </w:rPr>
        <w:t>（国家或地区）</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（投标人名称）</w:t>
      </w:r>
      <w:r>
        <w:rPr>
          <w:rFonts w:hint="eastAsia" w:ascii="仿宋" w:hAnsi="仿宋" w:eastAsia="仿宋" w:cs="仿宋"/>
          <w:color w:val="auto"/>
          <w:sz w:val="24"/>
          <w:szCs w:val="24"/>
        </w:rPr>
        <w:t>在下面签字的（法定代表人姓名、职务）代表本公司授权</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的在下面签字的</w:t>
      </w:r>
      <w:r>
        <w:rPr>
          <w:rFonts w:hint="eastAsia" w:ascii="仿宋" w:hAnsi="仿宋" w:eastAsia="仿宋" w:cs="仿宋"/>
          <w:color w:val="auto"/>
          <w:sz w:val="24"/>
          <w:szCs w:val="24"/>
          <w:u w:val="single"/>
        </w:rPr>
        <w:t>（授权代表姓名、职务）</w:t>
      </w:r>
      <w:r>
        <w:rPr>
          <w:rFonts w:hint="eastAsia" w:ascii="仿宋" w:hAnsi="仿宋" w:eastAsia="仿宋" w:cs="仿宋"/>
          <w:color w:val="auto"/>
          <w:sz w:val="24"/>
          <w:szCs w:val="24"/>
        </w:rPr>
        <w:t>为本公司的合法代理人，就招标编号为“HY</w:t>
      </w:r>
      <w:r>
        <w:rPr>
          <w:rFonts w:hint="eastAsia" w:ascii="仿宋" w:hAnsi="仿宋" w:eastAsia="仿宋" w:cs="仿宋"/>
          <w:color w:val="auto"/>
          <w:sz w:val="24"/>
          <w:szCs w:val="24"/>
          <w:lang w:val="en-US" w:eastAsia="zh-CN"/>
        </w:rPr>
        <w:t>YL</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XX</w:t>
      </w:r>
      <w:r>
        <w:rPr>
          <w:rFonts w:hint="eastAsia" w:ascii="仿宋" w:hAnsi="仿宋" w:eastAsia="仿宋" w:cs="仿宋"/>
          <w:color w:val="auto"/>
          <w:sz w:val="24"/>
          <w:szCs w:val="24"/>
        </w:rPr>
        <w:t>号”</w:t>
      </w:r>
      <w:r>
        <w:rPr>
          <w:rFonts w:hint="eastAsia" w:ascii="仿宋" w:hAnsi="仿宋" w:eastAsia="仿宋" w:cs="仿宋"/>
          <w:color w:val="auto"/>
          <w:sz w:val="24"/>
          <w:szCs w:val="24"/>
          <w:lang w:val="en-US" w:eastAsia="zh-CN"/>
        </w:rPr>
        <w:t>的XXX项目的投标和合同执行，作为投标人代表以本公司的名义处理一切</w:t>
      </w:r>
      <w:r>
        <w:rPr>
          <w:rFonts w:hint="eastAsia" w:ascii="仿宋" w:hAnsi="仿宋" w:eastAsia="仿宋" w:cs="仿宋"/>
          <w:color w:val="auto"/>
          <w:sz w:val="24"/>
          <w:szCs w:val="24"/>
        </w:rPr>
        <w:t>与之有关的事宜。</w:t>
      </w:r>
    </w:p>
    <w:p>
      <w:pPr>
        <w:spacing w:line="360" w:lineRule="auto"/>
        <w:ind w:left="2" w:firstLine="460" w:firstLineChars="192"/>
        <w:rPr>
          <w:rFonts w:hint="eastAsia" w:ascii="仿宋" w:hAnsi="仿宋" w:eastAsia="仿宋" w:cs="仿宋"/>
          <w:color w:val="auto"/>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单位名称（加盖公章）：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投标代表人（被授权人）签字：</w:t>
      </w:r>
    </w:p>
    <w:p>
      <w:pPr>
        <w:tabs>
          <w:tab w:val="center" w:pos="4535"/>
        </w:tabs>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职务：</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职务：</w:t>
      </w:r>
    </w:p>
    <w:tbl>
      <w:tblPr>
        <w:tblStyle w:val="22"/>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w:t>
            </w:r>
            <w:r>
              <w:rPr>
                <w:rFonts w:hint="eastAsia" w:ascii="仿宋" w:hAnsi="仿宋" w:eastAsia="仿宋" w:cs="仿宋"/>
                <w:color w:val="auto"/>
                <w:sz w:val="24"/>
                <w:szCs w:val="24"/>
                <w:lang w:eastAsia="zh-CN"/>
              </w:rPr>
              <w:t>件正面</w:t>
            </w:r>
          </w:p>
        </w:tc>
      </w:tr>
    </w:tbl>
    <w:tbl>
      <w:tblPr>
        <w:tblStyle w:val="22"/>
        <w:tblpPr w:leftFromText="180" w:rightFromText="180" w:vertAnchor="text" w:horzAnchor="page" w:tblpX="6436" w:tblpY="2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pPr>
              <w:spacing w:line="48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反面</w:t>
            </w:r>
          </w:p>
        </w:tc>
      </w:tr>
    </w:tbl>
    <w:p>
      <w:pPr>
        <w:tabs>
          <w:tab w:val="center" w:pos="4535"/>
        </w:tabs>
        <w:spacing w:line="360" w:lineRule="auto"/>
        <w:ind w:firstLine="480" w:firstLineChars="200"/>
        <w:rPr>
          <w:rFonts w:hint="eastAsia" w:ascii="仿宋" w:hAnsi="仿宋" w:eastAsia="仿宋" w:cs="仿宋"/>
          <w:color w:val="auto"/>
          <w:sz w:val="24"/>
          <w:szCs w:val="24"/>
          <w:lang w:eastAsia="zh-CN"/>
        </w:rPr>
      </w:pPr>
    </w:p>
    <w:p>
      <w:pPr>
        <w:spacing w:line="360" w:lineRule="auto"/>
        <w:ind w:firstLine="480" w:firstLineChars="200"/>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bl>
      <w:tblPr>
        <w:tblStyle w:val="22"/>
        <w:tblpPr w:leftFromText="180" w:rightFromText="180" w:vertAnchor="text" w:horzAnchor="page" w:tblpX="1530" w:tblpY="81"/>
        <w:tblOverlap w:val="never"/>
        <w:tblW w:w="404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47" w:type="dxa"/>
            <w:noWrap w:val="0"/>
            <w:vAlign w:val="center"/>
          </w:tcPr>
          <w:p>
            <w:pPr>
              <w:pStyle w:val="36"/>
              <w:ind w:left="105"/>
              <w:jc w:val="center"/>
              <w:rPr>
                <w:rFonts w:hint="eastAsia" w:ascii="仿宋" w:hAnsi="仿宋" w:eastAsia="仿宋" w:cs="仿宋"/>
                <w:color w:val="auto"/>
                <w:sz w:val="24"/>
                <w:szCs w:val="24"/>
              </w:rPr>
            </w:pPr>
            <w:r>
              <w:rPr>
                <w:rFonts w:hint="eastAsia" w:ascii="仿宋" w:hAnsi="仿宋" w:eastAsia="仿宋" w:cs="仿宋"/>
                <w:color w:val="auto"/>
                <w:sz w:val="24"/>
                <w:szCs w:val="24"/>
              </w:rPr>
              <w:t>被授权人（授权代表）</w:t>
            </w:r>
          </w:p>
          <w:p>
            <w:pPr>
              <w:pStyle w:val="36"/>
              <w:ind w:left="10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正面</w:t>
            </w:r>
          </w:p>
        </w:tc>
      </w:tr>
    </w:tbl>
    <w:tbl>
      <w:tblPr>
        <w:tblStyle w:val="22"/>
        <w:tblpPr w:leftFromText="180" w:rightFromText="180" w:vertAnchor="text" w:horzAnchor="page" w:tblpX="6421" w:tblpY="162"/>
        <w:tblOverlap w:val="never"/>
        <w:tblW w:w="408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84" w:type="dxa"/>
            <w:noWrap w:val="0"/>
            <w:vAlign w:val="center"/>
          </w:tcPr>
          <w:p>
            <w:pPr>
              <w:pStyle w:val="36"/>
              <w:ind w:left="105"/>
              <w:jc w:val="center"/>
              <w:rPr>
                <w:rFonts w:hint="eastAsia" w:ascii="仿宋" w:hAnsi="仿宋" w:eastAsia="仿宋" w:cs="仿宋"/>
                <w:color w:val="auto"/>
                <w:sz w:val="24"/>
                <w:szCs w:val="24"/>
              </w:rPr>
            </w:pPr>
            <w:r>
              <w:rPr>
                <w:rFonts w:hint="eastAsia" w:ascii="仿宋" w:hAnsi="仿宋" w:eastAsia="仿宋" w:cs="仿宋"/>
                <w:color w:val="auto"/>
                <w:sz w:val="24"/>
                <w:szCs w:val="24"/>
              </w:rPr>
              <w:t>被授权人（授权代表）</w:t>
            </w:r>
          </w:p>
          <w:p>
            <w:pPr>
              <w:pStyle w:val="36"/>
              <w:ind w:left="10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居民身份证复印件</w:t>
            </w:r>
            <w:r>
              <w:rPr>
                <w:rFonts w:hint="eastAsia" w:ascii="仿宋" w:hAnsi="仿宋" w:eastAsia="仿宋" w:cs="仿宋"/>
                <w:color w:val="auto"/>
                <w:sz w:val="24"/>
                <w:szCs w:val="24"/>
                <w:lang w:eastAsia="zh-CN"/>
              </w:rPr>
              <w:t>反面</w:t>
            </w:r>
          </w:p>
        </w:tc>
      </w:tr>
    </w:tbl>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p>
    <w:p>
      <w:pPr>
        <w:spacing w:line="360" w:lineRule="auto"/>
        <w:rPr>
          <w:rFonts w:hint="eastAsia" w:ascii="仿宋" w:hAnsi="仿宋" w:eastAsia="仿宋" w:cs="仿宋"/>
          <w:b/>
          <w:color w:val="auto"/>
        </w:rPr>
      </w:pPr>
      <w:r>
        <w:rPr>
          <w:rFonts w:hint="eastAsia" w:ascii="仿宋" w:hAnsi="仿宋" w:eastAsia="仿宋" w:cs="仿宋"/>
          <w:b/>
          <w:color w:val="auto"/>
        </w:rPr>
        <w:t>注：此委托书一式两份，一份装订在投标文件正本内，另一份由授权代表携带出席开标会。</w:t>
      </w:r>
    </w:p>
    <w:p>
      <w:pPr>
        <w:pStyle w:val="4"/>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43" w:name="_Toc44"/>
      <w:bookmarkStart w:id="144" w:name="_Toc130139094"/>
      <w:r>
        <w:rPr>
          <w:rFonts w:hint="eastAsia" w:ascii="仿宋" w:hAnsi="仿宋" w:eastAsia="仿宋" w:cs="仿宋"/>
          <w:color w:val="auto"/>
          <w:sz w:val="28"/>
          <w:szCs w:val="28"/>
        </w:rPr>
        <w:t>格式</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 xml:space="preserve"> 拟派本项目负责人及主要人员情况表</w:t>
      </w:r>
      <w:bookmarkEnd w:id="143"/>
    </w:p>
    <w:p>
      <w:pPr>
        <w:rPr>
          <w:rFonts w:hint="eastAsia" w:ascii="仿宋" w:hAnsi="仿宋" w:eastAsia="仿宋" w:cs="仿宋"/>
          <w:color w:val="auto"/>
        </w:rPr>
      </w:pPr>
    </w:p>
    <w:tbl>
      <w:tblPr>
        <w:tblStyle w:val="2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0" w:type="dxa"/>
            <w:gridSpan w:val="16"/>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452" w:type="dxa"/>
            <w:gridSpan w:val="2"/>
            <w:noWrap w:val="0"/>
            <w:vAlign w:val="center"/>
          </w:tcPr>
          <w:p>
            <w:pPr>
              <w:jc w:val="center"/>
              <w:rPr>
                <w:rFonts w:hint="eastAsia" w:ascii="仿宋" w:hAnsi="仿宋" w:eastAsia="仿宋" w:cs="仿宋"/>
                <w:color w:val="auto"/>
                <w:sz w:val="24"/>
              </w:rPr>
            </w:pPr>
          </w:p>
        </w:tc>
        <w:tc>
          <w:tcPr>
            <w:tcW w:w="132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1697" w:type="dxa"/>
            <w:gridSpan w:val="3"/>
            <w:noWrap w:val="0"/>
            <w:vAlign w:val="center"/>
          </w:tcPr>
          <w:p>
            <w:pPr>
              <w:jc w:val="center"/>
              <w:rPr>
                <w:rFonts w:hint="eastAsia" w:ascii="仿宋" w:hAnsi="仿宋" w:eastAsia="仿宋" w:cs="仿宋"/>
                <w:color w:val="auto"/>
                <w:sz w:val="24"/>
              </w:rPr>
            </w:pPr>
          </w:p>
        </w:tc>
        <w:tc>
          <w:tcPr>
            <w:tcW w:w="1797"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2000" w:type="dxa"/>
            <w:gridSpan w:val="3"/>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职务</w:t>
            </w:r>
          </w:p>
        </w:tc>
        <w:tc>
          <w:tcPr>
            <w:tcW w:w="1452" w:type="dxa"/>
            <w:gridSpan w:val="2"/>
            <w:noWrap w:val="0"/>
            <w:vAlign w:val="center"/>
          </w:tcPr>
          <w:p>
            <w:pPr>
              <w:jc w:val="center"/>
              <w:rPr>
                <w:rFonts w:hint="eastAsia" w:ascii="仿宋" w:hAnsi="仿宋" w:eastAsia="仿宋" w:cs="仿宋"/>
                <w:color w:val="auto"/>
                <w:sz w:val="24"/>
              </w:rPr>
            </w:pPr>
          </w:p>
        </w:tc>
        <w:tc>
          <w:tcPr>
            <w:tcW w:w="132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1697" w:type="dxa"/>
            <w:gridSpan w:val="3"/>
            <w:noWrap w:val="0"/>
            <w:vAlign w:val="center"/>
          </w:tcPr>
          <w:p>
            <w:pPr>
              <w:jc w:val="center"/>
              <w:rPr>
                <w:rFonts w:hint="eastAsia" w:ascii="仿宋" w:hAnsi="仿宋" w:eastAsia="仿宋" w:cs="仿宋"/>
                <w:color w:val="auto"/>
                <w:sz w:val="24"/>
              </w:rPr>
            </w:pPr>
          </w:p>
        </w:tc>
        <w:tc>
          <w:tcPr>
            <w:tcW w:w="1797"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2000" w:type="dxa"/>
            <w:gridSpan w:val="3"/>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8271" w:type="dxa"/>
            <w:gridSpan w:val="14"/>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参加工作时间</w:t>
            </w:r>
          </w:p>
        </w:tc>
        <w:tc>
          <w:tcPr>
            <w:tcW w:w="1452" w:type="dxa"/>
            <w:gridSpan w:val="2"/>
            <w:noWrap w:val="0"/>
            <w:vAlign w:val="center"/>
          </w:tcPr>
          <w:p>
            <w:pPr>
              <w:jc w:val="center"/>
              <w:rPr>
                <w:rFonts w:hint="eastAsia" w:ascii="仿宋" w:hAnsi="仿宋" w:eastAsia="仿宋" w:cs="仿宋"/>
                <w:color w:val="auto"/>
                <w:sz w:val="24"/>
              </w:rPr>
            </w:pPr>
          </w:p>
        </w:tc>
        <w:tc>
          <w:tcPr>
            <w:tcW w:w="4819" w:type="dxa"/>
            <w:gridSpan w:val="9"/>
            <w:noWrap w:val="0"/>
            <w:vAlign w:val="center"/>
          </w:tcPr>
          <w:p>
            <w:pPr>
              <w:pStyle w:val="37"/>
              <w:widowControl w:val="0"/>
              <w:pBdr>
                <w:bottom w:val="none" w:color="auto" w:sz="0" w:space="0"/>
                <w:right w:val="none" w:color="auto" w:sz="0" w:space="0"/>
              </w:pBdr>
              <w:spacing w:before="0" w:beforeAutospacing="0" w:after="0" w:afterAutospacing="0"/>
              <w:jc w:val="both"/>
              <w:textAlignment w:val="auto"/>
              <w:rPr>
                <w:rFonts w:hint="eastAsia" w:ascii="仿宋" w:hAnsi="仿宋" w:eastAsia="仿宋" w:cs="仿宋"/>
                <w:color w:val="auto"/>
                <w:kern w:val="2"/>
              </w:rPr>
            </w:pPr>
            <w:r>
              <w:rPr>
                <w:rFonts w:hint="eastAsia" w:ascii="仿宋" w:hAnsi="仿宋" w:eastAsia="仿宋" w:cs="仿宋"/>
                <w:color w:val="auto"/>
                <w:kern w:val="2"/>
              </w:rPr>
              <w:t>从事</w:t>
            </w:r>
            <w:r>
              <w:rPr>
                <w:rFonts w:hint="eastAsia" w:ascii="仿宋" w:hAnsi="仿宋" w:eastAsia="仿宋" w:cs="仿宋"/>
                <w:color w:val="auto"/>
              </w:rPr>
              <w:t>同类</w:t>
            </w:r>
            <w:r>
              <w:rPr>
                <w:rFonts w:hint="eastAsia" w:ascii="仿宋" w:hAnsi="仿宋" w:eastAsia="仿宋" w:cs="仿宋"/>
                <w:color w:val="auto"/>
                <w:kern w:val="2"/>
              </w:rPr>
              <w:t>项目负责人年限</w:t>
            </w:r>
          </w:p>
        </w:tc>
        <w:tc>
          <w:tcPr>
            <w:tcW w:w="2000" w:type="dxa"/>
            <w:gridSpan w:val="3"/>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具有认证资质</w:t>
            </w:r>
          </w:p>
        </w:tc>
        <w:tc>
          <w:tcPr>
            <w:tcW w:w="8271" w:type="dxa"/>
            <w:gridSpan w:val="14"/>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360" w:type="dxa"/>
            <w:gridSpan w:val="16"/>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w:t>
            </w:r>
          </w:p>
          <w:p>
            <w:pPr>
              <w:jc w:val="center"/>
              <w:rPr>
                <w:rFonts w:hint="eastAsia" w:ascii="仿宋" w:hAnsi="仿宋" w:eastAsia="仿宋" w:cs="仿宋"/>
                <w:color w:val="auto"/>
                <w:sz w:val="24"/>
              </w:rPr>
            </w:pPr>
            <w:r>
              <w:rPr>
                <w:rFonts w:hint="eastAsia" w:ascii="仿宋" w:hAnsi="仿宋" w:eastAsia="仿宋" w:cs="仿宋"/>
                <w:color w:val="auto"/>
                <w:sz w:val="24"/>
              </w:rPr>
              <w:t>单位</w:t>
            </w:r>
          </w:p>
        </w:tc>
        <w:tc>
          <w:tcPr>
            <w:tcW w:w="2183" w:type="dxa"/>
            <w:gridSpan w:val="5"/>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217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主要工作内容</w:t>
            </w:r>
          </w:p>
        </w:tc>
        <w:tc>
          <w:tcPr>
            <w:tcW w:w="128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项目金额</w:t>
            </w:r>
          </w:p>
        </w:tc>
        <w:tc>
          <w:tcPr>
            <w:tcW w:w="118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完成日期</w:t>
            </w:r>
          </w:p>
        </w:tc>
        <w:tc>
          <w:tcPr>
            <w:tcW w:w="1506"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成果质量</w:t>
            </w:r>
          </w:p>
          <w:p>
            <w:pPr>
              <w:jc w:val="center"/>
              <w:rPr>
                <w:rFonts w:hint="eastAsia" w:ascii="仿宋" w:hAnsi="仿宋" w:eastAsia="仿宋" w:cs="仿宋"/>
                <w:color w:val="auto"/>
                <w:sz w:val="24"/>
              </w:rPr>
            </w:pPr>
            <w:r>
              <w:rPr>
                <w:rFonts w:hint="eastAsia" w:ascii="仿宋" w:hAnsi="仿宋" w:eastAsia="仿宋" w:cs="仿宋"/>
                <w:color w:val="auto"/>
                <w:sz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83" w:type="dxa"/>
            <w:gridSpan w:val="5"/>
            <w:noWrap w:val="0"/>
            <w:vAlign w:val="center"/>
          </w:tcPr>
          <w:p>
            <w:pPr>
              <w:jc w:val="center"/>
              <w:rPr>
                <w:rFonts w:hint="eastAsia" w:ascii="仿宋" w:hAnsi="仿宋" w:eastAsia="仿宋" w:cs="仿宋"/>
                <w:color w:val="auto"/>
                <w:sz w:val="24"/>
              </w:rPr>
            </w:pPr>
          </w:p>
        </w:tc>
        <w:tc>
          <w:tcPr>
            <w:tcW w:w="2178" w:type="dxa"/>
            <w:gridSpan w:val="3"/>
            <w:noWrap w:val="0"/>
            <w:vAlign w:val="center"/>
          </w:tcPr>
          <w:p>
            <w:pPr>
              <w:jc w:val="center"/>
              <w:rPr>
                <w:rFonts w:hint="eastAsia" w:ascii="仿宋" w:hAnsi="仿宋" w:eastAsia="仿宋" w:cs="仿宋"/>
                <w:color w:val="auto"/>
                <w:sz w:val="24"/>
              </w:rPr>
            </w:pPr>
          </w:p>
        </w:tc>
        <w:tc>
          <w:tcPr>
            <w:tcW w:w="1287" w:type="dxa"/>
            <w:gridSpan w:val="2"/>
            <w:noWrap w:val="0"/>
            <w:vAlign w:val="center"/>
          </w:tcPr>
          <w:p>
            <w:pPr>
              <w:jc w:val="center"/>
              <w:rPr>
                <w:rFonts w:hint="eastAsia" w:ascii="仿宋" w:hAnsi="仿宋" w:eastAsia="仿宋" w:cs="仿宋"/>
                <w:color w:val="auto"/>
                <w:sz w:val="24"/>
              </w:rPr>
            </w:pPr>
          </w:p>
        </w:tc>
        <w:tc>
          <w:tcPr>
            <w:tcW w:w="1188" w:type="dxa"/>
            <w:gridSpan w:val="3"/>
            <w:noWrap w:val="0"/>
            <w:vAlign w:val="center"/>
          </w:tcPr>
          <w:p>
            <w:pPr>
              <w:jc w:val="center"/>
              <w:rPr>
                <w:rFonts w:hint="eastAsia" w:ascii="仿宋" w:hAnsi="仿宋" w:eastAsia="仿宋" w:cs="仿宋"/>
                <w:color w:val="auto"/>
                <w:sz w:val="24"/>
              </w:rPr>
            </w:pPr>
          </w:p>
        </w:tc>
        <w:tc>
          <w:tcPr>
            <w:tcW w:w="1506" w:type="dxa"/>
            <w:gridSpan w:val="2"/>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83" w:type="dxa"/>
            <w:gridSpan w:val="5"/>
            <w:noWrap w:val="0"/>
            <w:vAlign w:val="center"/>
          </w:tcPr>
          <w:p>
            <w:pPr>
              <w:jc w:val="center"/>
              <w:rPr>
                <w:rFonts w:hint="eastAsia" w:ascii="仿宋" w:hAnsi="仿宋" w:eastAsia="仿宋" w:cs="仿宋"/>
                <w:color w:val="auto"/>
                <w:sz w:val="24"/>
              </w:rPr>
            </w:pPr>
          </w:p>
        </w:tc>
        <w:tc>
          <w:tcPr>
            <w:tcW w:w="2178" w:type="dxa"/>
            <w:gridSpan w:val="3"/>
            <w:noWrap w:val="0"/>
            <w:vAlign w:val="center"/>
          </w:tcPr>
          <w:p>
            <w:pPr>
              <w:jc w:val="center"/>
              <w:rPr>
                <w:rFonts w:hint="eastAsia" w:ascii="仿宋" w:hAnsi="仿宋" w:eastAsia="仿宋" w:cs="仿宋"/>
                <w:color w:val="auto"/>
                <w:sz w:val="24"/>
              </w:rPr>
            </w:pPr>
          </w:p>
        </w:tc>
        <w:tc>
          <w:tcPr>
            <w:tcW w:w="1287" w:type="dxa"/>
            <w:gridSpan w:val="2"/>
            <w:noWrap w:val="0"/>
            <w:vAlign w:val="center"/>
          </w:tcPr>
          <w:p>
            <w:pPr>
              <w:jc w:val="center"/>
              <w:rPr>
                <w:rFonts w:hint="eastAsia" w:ascii="仿宋" w:hAnsi="仿宋" w:eastAsia="仿宋" w:cs="仿宋"/>
                <w:color w:val="auto"/>
                <w:sz w:val="24"/>
              </w:rPr>
            </w:pPr>
          </w:p>
        </w:tc>
        <w:tc>
          <w:tcPr>
            <w:tcW w:w="1188" w:type="dxa"/>
            <w:gridSpan w:val="3"/>
            <w:noWrap w:val="0"/>
            <w:vAlign w:val="center"/>
          </w:tcPr>
          <w:p>
            <w:pPr>
              <w:jc w:val="center"/>
              <w:rPr>
                <w:rFonts w:hint="eastAsia" w:ascii="仿宋" w:hAnsi="仿宋" w:eastAsia="仿宋" w:cs="仿宋"/>
                <w:color w:val="auto"/>
                <w:sz w:val="24"/>
              </w:rPr>
            </w:pPr>
          </w:p>
        </w:tc>
        <w:tc>
          <w:tcPr>
            <w:tcW w:w="1506" w:type="dxa"/>
            <w:gridSpan w:val="2"/>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2183" w:type="dxa"/>
            <w:gridSpan w:val="5"/>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217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28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188"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506"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360" w:type="dxa"/>
            <w:gridSpan w:val="16"/>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891"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900"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160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1078"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127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1080"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经验年限</w:t>
            </w:r>
          </w:p>
        </w:tc>
        <w:tc>
          <w:tcPr>
            <w:tcW w:w="1440"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p>
        </w:tc>
        <w:tc>
          <w:tcPr>
            <w:tcW w:w="891" w:type="dxa"/>
            <w:noWrap w:val="0"/>
            <w:vAlign w:val="center"/>
          </w:tcPr>
          <w:p>
            <w:pPr>
              <w:jc w:val="center"/>
              <w:rPr>
                <w:rFonts w:hint="eastAsia" w:ascii="仿宋" w:hAnsi="仿宋" w:eastAsia="仿宋" w:cs="仿宋"/>
                <w:color w:val="auto"/>
                <w:sz w:val="24"/>
              </w:rPr>
            </w:pPr>
          </w:p>
        </w:tc>
        <w:tc>
          <w:tcPr>
            <w:tcW w:w="900" w:type="dxa"/>
            <w:gridSpan w:val="2"/>
            <w:noWrap w:val="0"/>
            <w:vAlign w:val="center"/>
          </w:tcPr>
          <w:p>
            <w:pPr>
              <w:jc w:val="center"/>
              <w:rPr>
                <w:rFonts w:hint="eastAsia" w:ascii="仿宋" w:hAnsi="仿宋" w:eastAsia="仿宋" w:cs="仿宋"/>
                <w:color w:val="auto"/>
                <w:sz w:val="24"/>
              </w:rPr>
            </w:pPr>
          </w:p>
        </w:tc>
        <w:tc>
          <w:tcPr>
            <w:tcW w:w="1605" w:type="dxa"/>
            <w:gridSpan w:val="3"/>
            <w:noWrap w:val="0"/>
            <w:vAlign w:val="center"/>
          </w:tcPr>
          <w:p>
            <w:pPr>
              <w:jc w:val="center"/>
              <w:rPr>
                <w:rFonts w:hint="eastAsia" w:ascii="仿宋" w:hAnsi="仿宋" w:eastAsia="仿宋" w:cs="仿宋"/>
                <w:color w:val="auto"/>
                <w:sz w:val="24"/>
              </w:rPr>
            </w:pPr>
          </w:p>
        </w:tc>
        <w:tc>
          <w:tcPr>
            <w:tcW w:w="1078" w:type="dxa"/>
            <w:gridSpan w:val="2"/>
            <w:noWrap w:val="0"/>
            <w:vAlign w:val="center"/>
          </w:tcPr>
          <w:p>
            <w:pPr>
              <w:jc w:val="center"/>
              <w:rPr>
                <w:rFonts w:hint="eastAsia" w:ascii="仿宋" w:hAnsi="仿宋" w:eastAsia="仿宋" w:cs="仿宋"/>
                <w:color w:val="auto"/>
                <w:sz w:val="24"/>
              </w:rPr>
            </w:pPr>
          </w:p>
        </w:tc>
        <w:tc>
          <w:tcPr>
            <w:tcW w:w="1277" w:type="dxa"/>
            <w:gridSpan w:val="2"/>
            <w:noWrap w:val="0"/>
            <w:vAlign w:val="center"/>
          </w:tcPr>
          <w:p>
            <w:pPr>
              <w:jc w:val="center"/>
              <w:rPr>
                <w:rFonts w:hint="eastAsia" w:ascii="仿宋" w:hAnsi="仿宋" w:eastAsia="仿宋" w:cs="仿宋"/>
                <w:color w:val="auto"/>
                <w:sz w:val="24"/>
              </w:rPr>
            </w:pPr>
          </w:p>
        </w:tc>
        <w:tc>
          <w:tcPr>
            <w:tcW w:w="1080" w:type="dxa"/>
            <w:gridSpan w:val="3"/>
            <w:noWrap w:val="0"/>
            <w:vAlign w:val="center"/>
          </w:tcPr>
          <w:p>
            <w:pPr>
              <w:jc w:val="center"/>
              <w:rPr>
                <w:rFonts w:hint="eastAsia" w:ascii="仿宋" w:hAnsi="仿宋" w:eastAsia="仿宋" w:cs="仿宋"/>
                <w:color w:val="auto"/>
                <w:sz w:val="24"/>
              </w:rPr>
            </w:pPr>
          </w:p>
        </w:tc>
        <w:tc>
          <w:tcPr>
            <w:tcW w:w="1440"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p>
        </w:tc>
        <w:tc>
          <w:tcPr>
            <w:tcW w:w="891" w:type="dxa"/>
            <w:noWrap w:val="0"/>
            <w:vAlign w:val="center"/>
          </w:tcPr>
          <w:p>
            <w:pPr>
              <w:jc w:val="center"/>
              <w:rPr>
                <w:rFonts w:hint="eastAsia" w:ascii="仿宋" w:hAnsi="仿宋" w:eastAsia="仿宋" w:cs="仿宋"/>
                <w:color w:val="auto"/>
                <w:sz w:val="24"/>
              </w:rPr>
            </w:pPr>
          </w:p>
        </w:tc>
        <w:tc>
          <w:tcPr>
            <w:tcW w:w="900" w:type="dxa"/>
            <w:gridSpan w:val="2"/>
            <w:noWrap w:val="0"/>
            <w:vAlign w:val="center"/>
          </w:tcPr>
          <w:p>
            <w:pPr>
              <w:jc w:val="center"/>
              <w:rPr>
                <w:rFonts w:hint="eastAsia" w:ascii="仿宋" w:hAnsi="仿宋" w:eastAsia="仿宋" w:cs="仿宋"/>
                <w:color w:val="auto"/>
                <w:sz w:val="24"/>
              </w:rPr>
            </w:pPr>
          </w:p>
        </w:tc>
        <w:tc>
          <w:tcPr>
            <w:tcW w:w="1605" w:type="dxa"/>
            <w:gridSpan w:val="3"/>
            <w:noWrap w:val="0"/>
            <w:vAlign w:val="center"/>
          </w:tcPr>
          <w:p>
            <w:pPr>
              <w:jc w:val="center"/>
              <w:rPr>
                <w:rFonts w:hint="eastAsia" w:ascii="仿宋" w:hAnsi="仿宋" w:eastAsia="仿宋" w:cs="仿宋"/>
                <w:color w:val="auto"/>
                <w:sz w:val="24"/>
              </w:rPr>
            </w:pPr>
          </w:p>
        </w:tc>
        <w:tc>
          <w:tcPr>
            <w:tcW w:w="1078" w:type="dxa"/>
            <w:gridSpan w:val="2"/>
            <w:noWrap w:val="0"/>
            <w:vAlign w:val="center"/>
          </w:tcPr>
          <w:p>
            <w:pPr>
              <w:jc w:val="center"/>
              <w:rPr>
                <w:rFonts w:hint="eastAsia" w:ascii="仿宋" w:hAnsi="仿宋" w:eastAsia="仿宋" w:cs="仿宋"/>
                <w:color w:val="auto"/>
                <w:sz w:val="24"/>
              </w:rPr>
            </w:pPr>
          </w:p>
        </w:tc>
        <w:tc>
          <w:tcPr>
            <w:tcW w:w="1277" w:type="dxa"/>
            <w:gridSpan w:val="2"/>
            <w:noWrap w:val="0"/>
            <w:vAlign w:val="center"/>
          </w:tcPr>
          <w:p>
            <w:pPr>
              <w:jc w:val="center"/>
              <w:rPr>
                <w:rFonts w:hint="eastAsia" w:ascii="仿宋" w:hAnsi="仿宋" w:eastAsia="仿宋" w:cs="仿宋"/>
                <w:color w:val="auto"/>
                <w:sz w:val="24"/>
              </w:rPr>
            </w:pPr>
          </w:p>
        </w:tc>
        <w:tc>
          <w:tcPr>
            <w:tcW w:w="1080" w:type="dxa"/>
            <w:gridSpan w:val="3"/>
            <w:noWrap w:val="0"/>
            <w:vAlign w:val="center"/>
          </w:tcPr>
          <w:p>
            <w:pPr>
              <w:jc w:val="center"/>
              <w:rPr>
                <w:rFonts w:hint="eastAsia" w:ascii="仿宋" w:hAnsi="仿宋" w:eastAsia="仿宋" w:cs="仿宋"/>
                <w:color w:val="auto"/>
                <w:sz w:val="24"/>
              </w:rPr>
            </w:pPr>
          </w:p>
        </w:tc>
        <w:tc>
          <w:tcPr>
            <w:tcW w:w="1440"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891"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900"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605"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078"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277" w:type="dxa"/>
            <w:gridSpan w:val="2"/>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080" w:type="dxa"/>
            <w:gridSpan w:val="3"/>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1440" w:type="dxa"/>
            <w:noWrap w:val="0"/>
            <w:vAlign w:val="center"/>
          </w:tcPr>
          <w:p>
            <w:pPr>
              <w:jc w:val="center"/>
              <w:rPr>
                <w:rFonts w:hint="eastAsia" w:ascii="仿宋" w:hAnsi="仿宋" w:eastAsia="仿宋" w:cs="仿宋"/>
                <w:color w:val="auto"/>
                <w:sz w:val="24"/>
              </w:rPr>
            </w:pPr>
          </w:p>
        </w:tc>
      </w:tr>
    </w:tbl>
    <w:p>
      <w:pPr>
        <w:rPr>
          <w:rFonts w:hint="eastAsia" w:ascii="仿宋" w:hAnsi="仿宋" w:eastAsia="仿宋" w:cs="仿宋"/>
          <w:color w:val="auto"/>
          <w:sz w:val="24"/>
        </w:rPr>
      </w:pPr>
      <w:r>
        <w:rPr>
          <w:rFonts w:hint="eastAsia" w:ascii="仿宋" w:hAnsi="仿宋" w:eastAsia="仿宋" w:cs="仿宋"/>
          <w:color w:val="auto"/>
          <w:sz w:val="24"/>
        </w:rPr>
        <w:t>（此表可延长）</w:t>
      </w:r>
    </w:p>
    <w:p>
      <w:pPr>
        <w:pStyle w:val="8"/>
        <w:rPr>
          <w:rFonts w:hint="eastAsia" w:ascii="仿宋" w:hAnsi="仿宋" w:eastAsia="仿宋" w:cs="仿宋"/>
          <w:color w:val="auto"/>
          <w:sz w:val="24"/>
        </w:rPr>
      </w:pPr>
    </w:p>
    <w:p>
      <w:pPr>
        <w:tabs>
          <w:tab w:val="left" w:pos="1050"/>
          <w:tab w:val="left" w:pos="1838"/>
        </w:tabs>
        <w:spacing w:line="360" w:lineRule="auto"/>
        <w:rPr>
          <w:rFonts w:hint="eastAsia" w:ascii="仿宋" w:hAnsi="仿宋" w:eastAsia="仿宋" w:cs="仿宋"/>
          <w:b/>
          <w:color w:val="auto"/>
          <w:sz w:val="22"/>
          <w:szCs w:val="22"/>
        </w:rPr>
      </w:pPr>
      <w:r>
        <w:rPr>
          <w:rFonts w:hint="eastAsia" w:ascii="仿宋" w:hAnsi="仿宋" w:eastAsia="仿宋" w:cs="仿宋"/>
          <w:b/>
          <w:color w:val="auto"/>
          <w:sz w:val="22"/>
          <w:szCs w:val="22"/>
        </w:rPr>
        <w:t>注： 1、上表列出的人员，须附其资质证书的复印件（身份证、学位证、职称证、其他相关认证等）；</w:t>
      </w:r>
    </w:p>
    <w:p>
      <w:pPr>
        <w:tabs>
          <w:tab w:val="left" w:pos="1050"/>
          <w:tab w:val="left" w:pos="1838"/>
        </w:tabs>
        <w:spacing w:line="360" w:lineRule="auto"/>
        <w:ind w:firstLine="563" w:firstLineChars="255"/>
        <w:rPr>
          <w:rFonts w:hint="eastAsia" w:ascii="仿宋" w:hAnsi="仿宋" w:eastAsia="仿宋" w:cs="仿宋"/>
          <w:b/>
          <w:color w:val="auto"/>
          <w:sz w:val="22"/>
          <w:szCs w:val="22"/>
        </w:rPr>
      </w:pPr>
      <w:r>
        <w:rPr>
          <w:rFonts w:hint="eastAsia" w:ascii="仿宋" w:hAnsi="仿宋" w:eastAsia="仿宋" w:cs="仿宋"/>
          <w:b/>
          <w:color w:val="auto"/>
          <w:sz w:val="22"/>
          <w:szCs w:val="22"/>
        </w:rPr>
        <w:t>2、须出具上述人员在本公司服务的外部证明，如：（如加盖社会保险基金管理中心印章的打印日期在本项目投标截止日之前</w:t>
      </w:r>
      <w:r>
        <w:rPr>
          <w:rFonts w:hint="eastAsia" w:ascii="仿宋" w:hAnsi="仿宋" w:eastAsia="仿宋" w:cs="仿宋"/>
          <w:b/>
          <w:color w:val="auto"/>
          <w:sz w:val="22"/>
          <w:szCs w:val="22"/>
          <w:lang w:eastAsia="zh-CN"/>
        </w:rPr>
        <w:t>近半年</w:t>
      </w:r>
      <w:r>
        <w:rPr>
          <w:rFonts w:hint="eastAsia" w:ascii="仿宋" w:hAnsi="仿宋" w:eastAsia="仿宋" w:cs="仿宋"/>
          <w:b/>
          <w:color w:val="auto"/>
          <w:sz w:val="22"/>
          <w:szCs w:val="22"/>
        </w:rPr>
        <w:t>以内的《投保单》或《社会保险参保人员证明》，或单位代缴个人所得税税单等）复印件。</w:t>
      </w:r>
    </w:p>
    <w:p>
      <w:pPr>
        <w:ind w:left="3360" w:leftChars="1600" w:firstLine="960" w:firstLineChars="400"/>
        <w:rPr>
          <w:rFonts w:hint="eastAsia" w:ascii="仿宋" w:hAnsi="仿宋" w:eastAsia="仿宋" w:cs="仿宋"/>
          <w:color w:val="auto"/>
          <w:sz w:val="24"/>
        </w:rPr>
      </w:pPr>
    </w:p>
    <w:p>
      <w:pPr>
        <w:ind w:left="3360" w:leftChars="1600" w:firstLine="960" w:firstLineChars="400"/>
        <w:rPr>
          <w:rFonts w:hint="eastAsia" w:ascii="仿宋" w:hAnsi="仿宋" w:eastAsia="仿宋" w:cs="仿宋"/>
          <w:color w:val="auto"/>
          <w:sz w:val="24"/>
        </w:rPr>
      </w:pPr>
    </w:p>
    <w:p>
      <w:pPr>
        <w:spacing w:line="480" w:lineRule="auto"/>
        <w:ind w:firstLine="4303" w:firstLineChars="1793"/>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ind w:firstLine="4303" w:firstLineChars="1793"/>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ind w:firstLine="4488" w:firstLineChars="2040"/>
        <w:rPr>
          <w:rFonts w:hint="eastAsia" w:ascii="仿宋" w:hAnsi="仿宋" w:eastAsia="仿宋" w:cs="仿宋"/>
          <w:color w:val="auto"/>
          <w:sz w:val="28"/>
          <w:szCs w:val="28"/>
        </w:rPr>
      </w:pPr>
      <w:r>
        <w:rPr>
          <w:rFonts w:hint="eastAsia" w:ascii="仿宋" w:hAnsi="仿宋" w:eastAsia="仿宋" w:cs="仿宋"/>
          <w:color w:val="auto"/>
          <w:sz w:val="22"/>
          <w:szCs w:val="28"/>
        </w:rPr>
        <w:t>日    期：     年   月   日</w:t>
      </w:r>
    </w:p>
    <w:p>
      <w:pPr>
        <w:pStyle w:val="4"/>
        <w:spacing w:before="0" w:after="0" w:line="360" w:lineRule="auto"/>
        <w:rPr>
          <w:rFonts w:hint="eastAsia" w:ascii="仿宋" w:hAnsi="仿宋" w:eastAsia="仿宋" w:cs="仿宋"/>
          <w:color w:val="auto"/>
          <w:sz w:val="28"/>
          <w:szCs w:val="28"/>
        </w:rPr>
      </w:pPr>
      <w:bookmarkStart w:id="145" w:name="_Toc7556"/>
      <w:r>
        <w:rPr>
          <w:rFonts w:hint="eastAsia" w:ascii="仿宋" w:hAnsi="仿宋" w:eastAsia="仿宋" w:cs="仿宋"/>
          <w:color w:val="auto"/>
          <w:sz w:val="28"/>
          <w:szCs w:val="28"/>
        </w:rPr>
        <w:t>格式1</w:t>
      </w:r>
      <w:r>
        <w:rPr>
          <w:rFonts w:hint="eastAsia" w:ascii="仿宋" w:hAnsi="仿宋" w:eastAsia="仿宋" w:cs="仿宋"/>
          <w:color w:val="auto"/>
          <w:sz w:val="28"/>
          <w:szCs w:val="28"/>
          <w:lang w:val="en-US" w:eastAsia="zh-CN"/>
        </w:rPr>
        <w:t>0  2019年1月至投标文件递交截止日前</w:t>
      </w:r>
      <w:bookmarkEnd w:id="144"/>
      <w:r>
        <w:rPr>
          <w:rFonts w:hint="eastAsia" w:ascii="仿宋" w:hAnsi="仿宋" w:eastAsia="仿宋" w:cs="仿宋"/>
          <w:color w:val="auto"/>
          <w:sz w:val="28"/>
          <w:szCs w:val="28"/>
        </w:rPr>
        <w:t>销售同类产品情况一览表</w:t>
      </w:r>
      <w:bookmarkEnd w:id="145"/>
    </w:p>
    <w:p>
      <w:pPr>
        <w:rPr>
          <w:rFonts w:hint="eastAsia" w:ascii="仿宋" w:hAnsi="仿宋" w:eastAsia="仿宋" w:cs="仿宋"/>
          <w:color w:val="auto"/>
        </w:rPr>
      </w:pPr>
    </w:p>
    <w:p>
      <w:pPr>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rPr>
        <w:t>项目名</w:t>
      </w:r>
      <w:r>
        <w:rPr>
          <w:rFonts w:hint="eastAsia" w:ascii="仿宋" w:hAnsi="仿宋" w:eastAsia="仿宋" w:cs="仿宋"/>
          <w:color w:val="auto"/>
          <w:sz w:val="24"/>
          <w:lang w:eastAsia="zh-CN"/>
        </w:rPr>
        <w:t>称：</w:t>
      </w:r>
      <w:r>
        <w:rPr>
          <w:rFonts w:hint="eastAsia" w:ascii="仿宋" w:hAnsi="仿宋" w:eastAsia="仿宋" w:cs="仿宋"/>
          <w:color w:val="auto"/>
          <w:sz w:val="24"/>
          <w:u w:val="single"/>
          <w:lang w:val="en-US" w:eastAsia="zh-CN"/>
        </w:rPr>
        <w:t xml:space="preserve">                                     </w:t>
      </w:r>
    </w:p>
    <w:p>
      <w:pPr>
        <w:spacing w:line="400" w:lineRule="exact"/>
        <w:rPr>
          <w:rFonts w:hint="eastAsia" w:ascii="仿宋" w:hAnsi="仿宋" w:eastAsia="仿宋" w:cs="仿宋"/>
          <w:color w:val="auto"/>
          <w:sz w:val="24"/>
          <w:lang w:eastAsia="zh-CN"/>
        </w:rPr>
      </w:pPr>
      <w:r>
        <w:rPr>
          <w:rFonts w:hint="eastAsia" w:ascii="仿宋" w:hAnsi="仿宋" w:eastAsia="仿宋" w:cs="仿宋"/>
          <w:color w:val="auto"/>
          <w:sz w:val="24"/>
        </w:rPr>
        <w:t>招标编号：</w:t>
      </w:r>
      <w:r>
        <w:rPr>
          <w:rFonts w:hint="eastAsia" w:ascii="仿宋" w:hAnsi="仿宋" w:eastAsia="仿宋" w:cs="仿宋"/>
          <w:color w:val="auto"/>
          <w:sz w:val="24"/>
          <w:u w:val="single"/>
          <w:lang w:val="en-US" w:eastAsia="zh-CN"/>
        </w:rPr>
        <w:t xml:space="preserve">                                     </w:t>
      </w:r>
    </w:p>
    <w:tbl>
      <w:tblPr>
        <w:tblStyle w:val="22"/>
        <w:tblW w:w="89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21"/>
        <w:gridCol w:w="1717"/>
        <w:gridCol w:w="1699"/>
        <w:gridCol w:w="1678"/>
        <w:gridCol w:w="1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1"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421"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业主名称</w:t>
            </w:r>
          </w:p>
        </w:tc>
        <w:tc>
          <w:tcPr>
            <w:tcW w:w="1717" w:type="dxa"/>
            <w:shd w:val="clear" w:color="auto" w:fill="E0E0E0"/>
            <w:noWrap w:val="0"/>
            <w:vAlign w:val="center"/>
          </w:tcPr>
          <w:p>
            <w:pPr>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服务</w:t>
            </w:r>
            <w:r>
              <w:rPr>
                <w:rFonts w:hint="eastAsia" w:ascii="仿宋" w:hAnsi="仿宋" w:eastAsia="仿宋" w:cs="仿宋"/>
                <w:b/>
                <w:color w:val="auto"/>
                <w:sz w:val="24"/>
                <w:lang w:val="en-US" w:eastAsia="zh-CN"/>
              </w:rPr>
              <w:t>内容</w:t>
            </w:r>
          </w:p>
        </w:tc>
        <w:tc>
          <w:tcPr>
            <w:tcW w:w="1699"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合同总价</w:t>
            </w:r>
          </w:p>
        </w:tc>
        <w:tc>
          <w:tcPr>
            <w:tcW w:w="1678"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完成时间</w:t>
            </w:r>
          </w:p>
        </w:tc>
        <w:tc>
          <w:tcPr>
            <w:tcW w:w="1699" w:type="dxa"/>
            <w:shd w:val="clear" w:color="auto" w:fill="E0E0E0"/>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业主联系人及电话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pStyle w:val="35"/>
              <w:keepNext w:val="0"/>
              <w:adjustRightInd/>
              <w:spacing w:before="0" w:after="0" w:line="480" w:lineRule="auto"/>
              <w:textAlignment w:val="auto"/>
              <w:rPr>
                <w:rFonts w:hint="eastAsia" w:ascii="仿宋" w:hAnsi="仿宋" w:eastAsia="仿宋" w:cs="仿宋"/>
                <w:snapToGrid/>
                <w:color w:val="auto"/>
                <w:spacing w:val="0"/>
                <w:kern w:val="2"/>
                <w:szCs w:val="24"/>
                <w:lang w:val="en-US" w:eastAsia="zh-CN"/>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rFonts w:hint="eastAsia" w:ascii="仿宋" w:hAnsi="仿宋" w:eastAsia="仿宋" w:cs="仿宋"/>
                <w:color w:val="auto"/>
                <w:sz w:val="24"/>
              </w:rPr>
            </w:pPr>
          </w:p>
        </w:tc>
        <w:tc>
          <w:tcPr>
            <w:tcW w:w="1421" w:type="dxa"/>
            <w:noWrap w:val="0"/>
            <w:vAlign w:val="center"/>
          </w:tcPr>
          <w:p>
            <w:pPr>
              <w:spacing w:line="480" w:lineRule="auto"/>
              <w:jc w:val="center"/>
              <w:rPr>
                <w:rFonts w:hint="eastAsia" w:ascii="仿宋" w:hAnsi="仿宋" w:eastAsia="仿宋" w:cs="仿宋"/>
                <w:color w:val="auto"/>
                <w:sz w:val="24"/>
              </w:rPr>
            </w:pPr>
          </w:p>
        </w:tc>
        <w:tc>
          <w:tcPr>
            <w:tcW w:w="1717"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c>
          <w:tcPr>
            <w:tcW w:w="1678" w:type="dxa"/>
            <w:noWrap w:val="0"/>
            <w:vAlign w:val="center"/>
          </w:tcPr>
          <w:p>
            <w:pPr>
              <w:spacing w:line="480" w:lineRule="auto"/>
              <w:jc w:val="center"/>
              <w:rPr>
                <w:rFonts w:hint="eastAsia" w:ascii="仿宋" w:hAnsi="仿宋" w:eastAsia="仿宋" w:cs="仿宋"/>
                <w:color w:val="auto"/>
                <w:sz w:val="24"/>
              </w:rPr>
            </w:pPr>
          </w:p>
        </w:tc>
        <w:tc>
          <w:tcPr>
            <w:tcW w:w="1699" w:type="dxa"/>
            <w:noWrap w:val="0"/>
            <w:vAlign w:val="center"/>
          </w:tcPr>
          <w:p>
            <w:pPr>
              <w:spacing w:line="480" w:lineRule="auto"/>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sz w:val="24"/>
        </w:rPr>
      </w:pP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投标人全称（盖公章）：</w:t>
      </w:r>
    </w:p>
    <w:p>
      <w:pPr>
        <w:spacing w:line="480" w:lineRule="auto"/>
        <w:rPr>
          <w:rFonts w:hint="eastAsia" w:ascii="仿宋" w:hAnsi="仿宋" w:eastAsia="仿宋" w:cs="仿宋"/>
          <w:bCs/>
          <w:color w:val="auto"/>
          <w:sz w:val="24"/>
        </w:rPr>
      </w:pPr>
      <w:r>
        <w:rPr>
          <w:rFonts w:hint="eastAsia" w:ascii="仿宋" w:hAnsi="仿宋" w:eastAsia="仿宋" w:cs="仿宋"/>
          <w:bCs/>
          <w:color w:val="auto"/>
          <w:sz w:val="24"/>
        </w:rPr>
        <w:t>法定代表人或授权代表（签名或盖章）：</w:t>
      </w:r>
    </w:p>
    <w:p>
      <w:pPr>
        <w:spacing w:line="480" w:lineRule="auto"/>
        <w:rPr>
          <w:rFonts w:hint="eastAsia" w:ascii="仿宋" w:hAnsi="仿宋" w:eastAsia="仿宋" w:cs="仿宋"/>
          <w:color w:val="auto"/>
          <w:sz w:val="24"/>
        </w:rPr>
      </w:pPr>
      <w:r>
        <w:rPr>
          <w:rFonts w:hint="eastAsia" w:ascii="仿宋" w:hAnsi="仿宋" w:eastAsia="仿宋" w:cs="仿宋"/>
          <w:bCs/>
          <w:color w:val="auto"/>
          <w:sz w:val="24"/>
        </w:rPr>
        <w:t>日    期：     年   月   日</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2"/>
          <w:szCs w:val="28"/>
        </w:rPr>
        <w:t>注：请附上相关合同</w:t>
      </w:r>
      <w:r>
        <w:rPr>
          <w:rFonts w:hint="eastAsia" w:ascii="仿宋" w:hAnsi="仿宋" w:eastAsia="仿宋" w:cs="仿宋"/>
          <w:b/>
          <w:color w:val="auto"/>
          <w:sz w:val="22"/>
          <w:szCs w:val="28"/>
          <w:lang w:eastAsia="zh-CN"/>
        </w:rPr>
        <w:t>或中标通知书</w:t>
      </w:r>
      <w:r>
        <w:rPr>
          <w:rFonts w:hint="eastAsia" w:ascii="仿宋" w:hAnsi="仿宋" w:eastAsia="仿宋" w:cs="仿宋"/>
          <w:b/>
          <w:color w:val="auto"/>
          <w:sz w:val="22"/>
          <w:szCs w:val="28"/>
        </w:rPr>
        <w:t>等复印件，否则该项业绩视为无效。</w:t>
      </w:r>
    </w:p>
    <w:p>
      <w:pPr>
        <w:rPr>
          <w:rFonts w:hint="eastAsia" w:ascii="仿宋" w:hAnsi="仿宋" w:eastAsia="仿宋" w:cs="仿宋"/>
          <w:color w:val="auto"/>
        </w:rPr>
      </w:pPr>
    </w:p>
    <w:p>
      <w:pPr>
        <w:pStyle w:val="4"/>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46" w:name="_Toc25141"/>
      <w:bookmarkStart w:id="147" w:name="_Toc130139095"/>
      <w:r>
        <w:rPr>
          <w:rFonts w:hint="eastAsia" w:ascii="仿宋" w:hAnsi="仿宋" w:eastAsia="仿宋" w:cs="仿宋"/>
          <w:color w:val="auto"/>
          <w:sz w:val="28"/>
          <w:szCs w:val="28"/>
        </w:rPr>
        <w:t>格式1</w:t>
      </w:r>
      <w:bookmarkStart w:id="148" w:name="_Toc271888140"/>
      <w:bookmarkStart w:id="149" w:name="_Toc170699953"/>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投标服务方案</w:t>
      </w:r>
      <w:bookmarkEnd w:id="146"/>
    </w:p>
    <w:p>
      <w:pPr>
        <w:spacing w:line="520" w:lineRule="exact"/>
        <w:rPr>
          <w:rFonts w:hint="eastAsia" w:ascii="仿宋" w:hAnsi="仿宋" w:eastAsia="仿宋" w:cs="仿宋"/>
          <w:b/>
          <w:color w:val="auto"/>
          <w:sz w:val="24"/>
        </w:rPr>
      </w:pPr>
    </w:p>
    <w:p>
      <w:pPr>
        <w:spacing w:line="520" w:lineRule="exact"/>
        <w:rPr>
          <w:rFonts w:hint="eastAsia" w:ascii="仿宋" w:hAnsi="仿宋" w:eastAsia="仿宋" w:cs="仿宋"/>
          <w:b/>
          <w:color w:val="auto"/>
          <w:sz w:val="24"/>
        </w:rPr>
      </w:pPr>
      <w:r>
        <w:rPr>
          <w:rFonts w:hint="eastAsia" w:ascii="仿宋" w:hAnsi="仿宋" w:eastAsia="仿宋" w:cs="仿宋"/>
          <w:b/>
          <w:color w:val="auto"/>
          <w:sz w:val="24"/>
        </w:rPr>
        <w:t>主要内容应包括但不限于以下内容（格式自定）：</w:t>
      </w:r>
    </w:p>
    <w:bookmarkEnd w:id="147"/>
    <w:bookmarkEnd w:id="148"/>
    <w:bookmarkEnd w:id="149"/>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(1) 项目实施方案、技术方案或服务方案；</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(2) 投标供应商必须提供投标设备的详细配置及参数说明；</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(3) 质量保证措施；</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(4) 针对本项目执行进度计划；</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(5) 技术服务偏离表；</w:t>
      </w:r>
    </w:p>
    <w:p>
      <w:pPr>
        <w:tabs>
          <w:tab w:val="left" w:pos="630"/>
        </w:tabs>
        <w:spacing w:line="360" w:lineRule="auto"/>
        <w:ind w:left="315" w:leftChars="150"/>
        <w:rPr>
          <w:rFonts w:hint="eastAsia" w:ascii="仿宋" w:hAnsi="仿宋" w:eastAsia="仿宋" w:cs="仿宋"/>
          <w:color w:val="auto"/>
          <w:sz w:val="24"/>
        </w:rPr>
      </w:pPr>
      <w:r>
        <w:rPr>
          <w:rFonts w:hint="eastAsia" w:ascii="仿宋" w:hAnsi="仿宋" w:eastAsia="仿宋" w:cs="仿宋"/>
          <w:color w:val="auto"/>
          <w:sz w:val="24"/>
        </w:rPr>
        <w:t>(7) 投标人售后服务方案；</w:t>
      </w:r>
    </w:p>
    <w:p>
      <w:pPr>
        <w:pStyle w:val="4"/>
        <w:spacing w:before="0" w:after="0" w:line="360" w:lineRule="auto"/>
        <w:rPr>
          <w:rFonts w:hint="eastAsia" w:ascii="仿宋" w:hAnsi="仿宋" w:eastAsia="仿宋" w:cs="仿宋"/>
          <w:color w:val="auto"/>
        </w:rPr>
      </w:pPr>
      <w:bookmarkStart w:id="150" w:name="_Toc130139097"/>
      <w:r>
        <w:rPr>
          <w:rFonts w:hint="eastAsia" w:ascii="仿宋" w:hAnsi="仿宋" w:eastAsia="仿宋" w:cs="仿宋"/>
          <w:color w:val="auto"/>
          <w:sz w:val="24"/>
        </w:rPr>
        <w:br w:type="page"/>
      </w:r>
      <w:bookmarkEnd w:id="150"/>
      <w:bookmarkStart w:id="151" w:name="_Toc243976061"/>
      <w:bookmarkStart w:id="152" w:name="_Toc32597"/>
      <w:bookmarkStart w:id="153" w:name="_Toc226860618"/>
      <w:r>
        <w:rPr>
          <w:rFonts w:hint="eastAsia" w:ascii="仿宋" w:hAnsi="仿宋" w:eastAsia="仿宋" w:cs="仿宋"/>
          <w:color w:val="auto"/>
          <w:sz w:val="28"/>
          <w:szCs w:val="28"/>
        </w:rPr>
        <w:t>格式1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投标人资格声明函</w:t>
      </w:r>
      <w:bookmarkEnd w:id="151"/>
      <w:bookmarkEnd w:id="152"/>
    </w:p>
    <w:p>
      <w:pPr>
        <w:jc w:val="center"/>
        <w:rPr>
          <w:rFonts w:hint="eastAsia" w:ascii="仿宋" w:hAnsi="仿宋" w:eastAsia="仿宋" w:cs="仿宋"/>
          <w:b/>
          <w:color w:val="auto"/>
          <w:sz w:val="24"/>
        </w:rPr>
      </w:pP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投标人资格声明函</w:t>
      </w:r>
      <w:bookmarkEnd w:id="153"/>
    </w:p>
    <w:p>
      <w:pPr>
        <w:jc w:val="cente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color w:val="auto"/>
          <w:sz w:val="24"/>
          <w:lang w:eastAsia="zh-CN"/>
        </w:rPr>
        <w:t>新疆华域建设工程项目管理咨询有限公司</w:t>
      </w:r>
      <w:r>
        <w:rPr>
          <w:rFonts w:hint="eastAsia" w:ascii="仿宋" w:hAnsi="仿宋" w:eastAsia="仿宋" w:cs="仿宋"/>
          <w:color w:val="auto"/>
          <w:sz w:val="24"/>
        </w:rPr>
        <w:t xml:space="preserve"> ：</w:t>
      </w:r>
    </w:p>
    <w:p>
      <w:pPr>
        <w:rPr>
          <w:rFonts w:hint="eastAsia" w:ascii="仿宋" w:hAnsi="仿宋" w:eastAsia="仿宋" w:cs="仿宋"/>
          <w:color w:val="auto"/>
          <w:sz w:val="24"/>
        </w:rPr>
      </w:pPr>
    </w:p>
    <w:p>
      <w:pPr>
        <w:snapToGrid w:val="0"/>
        <w:spacing w:before="120" w:beforeLines="50"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关于贵公司</w:t>
      </w:r>
      <w:r>
        <w:rPr>
          <w:rFonts w:hint="eastAsia" w:ascii="仿宋" w:hAnsi="仿宋" w:eastAsia="仿宋" w:cs="仿宋"/>
          <w:color w:val="auto"/>
          <w:sz w:val="24"/>
          <w:u w:val="single"/>
        </w:rPr>
        <w:t>　　　</w:t>
      </w:r>
      <w:r>
        <w:rPr>
          <w:rFonts w:hint="eastAsia" w:ascii="仿宋" w:hAnsi="仿宋" w:eastAsia="仿宋" w:cs="仿宋"/>
          <w:color w:val="auto"/>
          <w:sz w:val="24"/>
        </w:rPr>
        <w:t>年</w:t>
      </w:r>
      <w:r>
        <w:rPr>
          <w:rFonts w:hint="eastAsia" w:ascii="仿宋" w:hAnsi="仿宋" w:eastAsia="仿宋" w:cs="仿宋"/>
          <w:color w:val="auto"/>
          <w:sz w:val="24"/>
          <w:u w:val="single"/>
        </w:rPr>
        <w:t>　　</w:t>
      </w:r>
      <w:r>
        <w:rPr>
          <w:rFonts w:hint="eastAsia" w:ascii="仿宋" w:hAnsi="仿宋" w:eastAsia="仿宋" w:cs="仿宋"/>
          <w:color w:val="auto"/>
          <w:sz w:val="24"/>
        </w:rPr>
        <w:t>月</w:t>
      </w:r>
      <w:r>
        <w:rPr>
          <w:rFonts w:hint="eastAsia" w:ascii="仿宋" w:hAnsi="仿宋" w:eastAsia="仿宋" w:cs="仿宋"/>
          <w:color w:val="auto"/>
          <w:sz w:val="24"/>
          <w:u w:val="single"/>
        </w:rPr>
        <w:t>　　</w:t>
      </w:r>
      <w:r>
        <w:rPr>
          <w:rFonts w:hint="eastAsia" w:ascii="仿宋" w:hAnsi="仿宋" w:eastAsia="仿宋" w:cs="仿宋"/>
          <w:color w:val="auto"/>
          <w:sz w:val="24"/>
        </w:rPr>
        <w:t>日发</w:t>
      </w:r>
      <w:r>
        <w:rPr>
          <w:rFonts w:hint="eastAsia" w:ascii="仿宋" w:hAnsi="仿宋" w:eastAsia="仿宋" w:cs="仿宋"/>
          <w:color w:val="auto"/>
          <w:sz w:val="24"/>
          <w:highlight w:val="none"/>
        </w:rPr>
        <w:t>布</w:t>
      </w:r>
      <w:r>
        <w:rPr>
          <w:rFonts w:hint="eastAsia" w:ascii="仿宋" w:hAnsi="仿宋" w:eastAsia="仿宋" w:cs="仿宋"/>
          <w:color w:val="auto"/>
          <w:sz w:val="24"/>
          <w:highlight w:val="none"/>
          <w:u w:val="single"/>
          <w:lang w:val="en-US" w:eastAsia="zh-CN"/>
        </w:rPr>
        <w:t>XXXX项目</w:t>
      </w:r>
      <w:r>
        <w:rPr>
          <w:rFonts w:hint="eastAsia" w:ascii="仿宋" w:hAnsi="仿宋" w:eastAsia="仿宋" w:cs="仿宋"/>
          <w:color w:val="auto"/>
          <w:sz w:val="24"/>
          <w:highlight w:val="none"/>
        </w:rPr>
        <w:t>（招标编号</w:t>
      </w:r>
      <w:r>
        <w:rPr>
          <w:rFonts w:hint="eastAsia" w:ascii="仿宋" w:hAnsi="仿宋" w:eastAsia="仿宋" w:cs="仿宋"/>
          <w:color w:val="auto"/>
          <w:sz w:val="24"/>
        </w:rPr>
        <w:t>：HY</w:t>
      </w:r>
      <w:r>
        <w:rPr>
          <w:rFonts w:hint="eastAsia" w:ascii="仿宋" w:hAnsi="仿宋" w:eastAsia="仿宋" w:cs="仿宋"/>
          <w:color w:val="auto"/>
          <w:sz w:val="24"/>
          <w:lang w:val="en-US" w:eastAsia="zh-CN"/>
        </w:rPr>
        <w:t>YL</w:t>
      </w: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XXX</w:t>
      </w:r>
      <w:r>
        <w:rPr>
          <w:rFonts w:hint="eastAsia" w:ascii="仿宋" w:hAnsi="仿宋" w:eastAsia="仿宋" w:cs="仿宋"/>
          <w:color w:val="auto"/>
          <w:sz w:val="24"/>
        </w:rPr>
        <w:t>号</w:t>
      </w:r>
      <w:r>
        <w:rPr>
          <w:rFonts w:hint="eastAsia" w:ascii="仿宋" w:hAnsi="仿宋" w:eastAsia="仿宋" w:cs="仿宋"/>
          <w:color w:val="auto"/>
          <w:sz w:val="24"/>
          <w:highlight w:val="none"/>
        </w:rPr>
        <w:t>）的采购公</w:t>
      </w:r>
      <w:r>
        <w:rPr>
          <w:rFonts w:hint="eastAsia" w:ascii="仿宋" w:hAnsi="仿宋" w:eastAsia="仿宋" w:cs="仿宋"/>
          <w:color w:val="auto"/>
          <w:sz w:val="24"/>
        </w:rPr>
        <w:t>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文件的要求及有关文件规定。并承诺在本次招标采购活动中，如有违法、违规、弄虚作假行为，所造成的损失、不良后果及法律责任，一律由我公司（企业）承担。</w:t>
      </w:r>
    </w:p>
    <w:p>
      <w:pPr>
        <w:spacing w:line="360" w:lineRule="auto"/>
        <w:ind w:firstLine="420"/>
        <w:rPr>
          <w:rFonts w:hint="eastAsia" w:ascii="仿宋" w:hAnsi="仿宋" w:eastAsia="仿宋" w:cs="仿宋"/>
          <w:color w:val="auto"/>
          <w:sz w:val="24"/>
        </w:rPr>
      </w:pPr>
    </w:p>
    <w:p>
      <w:pPr>
        <w:spacing w:line="360" w:lineRule="auto"/>
        <w:ind w:firstLine="420"/>
        <w:rPr>
          <w:rFonts w:hint="eastAsia" w:ascii="仿宋" w:hAnsi="仿宋" w:eastAsia="仿宋" w:cs="仿宋"/>
          <w:color w:val="auto"/>
          <w:sz w:val="24"/>
        </w:rPr>
      </w:pPr>
    </w:p>
    <w:p>
      <w:pPr>
        <w:spacing w:line="360" w:lineRule="auto"/>
        <w:ind w:firstLine="420"/>
        <w:rPr>
          <w:rFonts w:hint="eastAsia" w:ascii="仿宋" w:hAnsi="仿宋" w:eastAsia="仿宋" w:cs="仿宋"/>
          <w:color w:val="auto"/>
          <w:sz w:val="24"/>
        </w:rPr>
      </w:pPr>
      <w:r>
        <w:rPr>
          <w:rFonts w:hint="eastAsia" w:ascii="仿宋" w:hAnsi="仿宋" w:eastAsia="仿宋" w:cs="仿宋"/>
          <w:color w:val="auto"/>
          <w:sz w:val="24"/>
        </w:rPr>
        <w:t>特此声明！</w:t>
      </w:r>
    </w:p>
    <w:p>
      <w:pPr>
        <w:spacing w:line="360" w:lineRule="auto"/>
        <w:ind w:firstLine="420"/>
        <w:rPr>
          <w:rFonts w:hint="eastAsia" w:ascii="仿宋" w:hAnsi="仿宋" w:eastAsia="仿宋" w:cs="仿宋"/>
          <w:color w:val="auto"/>
          <w:sz w:val="24"/>
        </w:rPr>
      </w:pPr>
    </w:p>
    <w:p>
      <w:pPr>
        <w:spacing w:line="360" w:lineRule="auto"/>
        <w:ind w:firstLine="420"/>
        <w:rPr>
          <w:rFonts w:hint="eastAsia" w:ascii="仿宋" w:hAnsi="仿宋" w:eastAsia="仿宋" w:cs="仿宋"/>
          <w:color w:val="auto"/>
          <w:sz w:val="24"/>
        </w:rPr>
      </w:pPr>
    </w:p>
    <w:p>
      <w:pPr>
        <w:spacing w:line="480" w:lineRule="auto"/>
        <w:ind w:firstLine="420"/>
        <w:rPr>
          <w:rFonts w:hint="eastAsia" w:ascii="仿宋" w:hAnsi="仿宋" w:eastAsia="仿宋" w:cs="仿宋"/>
          <w:color w:val="auto"/>
          <w:sz w:val="24"/>
        </w:rPr>
      </w:pPr>
      <w:r>
        <w:rPr>
          <w:rFonts w:hint="eastAsia" w:ascii="仿宋" w:hAnsi="仿宋" w:eastAsia="仿宋" w:cs="仿宋"/>
          <w:color w:val="auto"/>
          <w:sz w:val="24"/>
        </w:rPr>
        <w:t>单位名称：　　　　　　　　　　　　　　　　　　公司（企业）法定代表人签字：</w:t>
      </w:r>
    </w:p>
    <w:p>
      <w:pPr>
        <w:spacing w:line="480" w:lineRule="auto"/>
        <w:ind w:firstLine="420"/>
        <w:rPr>
          <w:rFonts w:hint="eastAsia" w:ascii="仿宋" w:hAnsi="仿宋" w:eastAsia="仿宋" w:cs="仿宋"/>
          <w:color w:val="auto"/>
          <w:sz w:val="24"/>
        </w:rPr>
      </w:pPr>
      <w:r>
        <w:rPr>
          <w:rFonts w:hint="eastAsia" w:ascii="仿宋" w:hAnsi="仿宋" w:eastAsia="仿宋" w:cs="仿宋"/>
          <w:color w:val="auto"/>
          <w:sz w:val="24"/>
        </w:rPr>
        <w:t>单位地址：　　　　　　　　　　　　　　　　　　单位公章：</w:t>
      </w:r>
    </w:p>
    <w:p>
      <w:pPr>
        <w:spacing w:line="480" w:lineRule="auto"/>
        <w:ind w:firstLine="420"/>
        <w:rPr>
          <w:rFonts w:hint="eastAsia" w:ascii="仿宋" w:hAnsi="仿宋" w:eastAsia="仿宋" w:cs="仿宋"/>
          <w:color w:val="auto"/>
          <w:sz w:val="24"/>
        </w:rPr>
      </w:pPr>
      <w:r>
        <w:rPr>
          <w:rFonts w:hint="eastAsia" w:ascii="仿宋" w:hAnsi="仿宋" w:eastAsia="仿宋" w:cs="仿宋"/>
          <w:color w:val="auto"/>
          <w:sz w:val="24"/>
        </w:rPr>
        <w:t>邮政编码：　　　　　　　　　　　　　　　　　　日期：</w:t>
      </w:r>
    </w:p>
    <w:p>
      <w:pPr>
        <w:spacing w:line="480" w:lineRule="auto"/>
        <w:ind w:firstLine="420" w:firstLineChars="175"/>
        <w:rPr>
          <w:rFonts w:hint="eastAsia" w:ascii="仿宋" w:hAnsi="仿宋" w:eastAsia="仿宋" w:cs="仿宋"/>
          <w:color w:val="auto"/>
          <w:sz w:val="24"/>
        </w:rPr>
      </w:pPr>
      <w:r>
        <w:rPr>
          <w:rFonts w:hint="eastAsia" w:ascii="仿宋" w:hAnsi="仿宋" w:eastAsia="仿宋" w:cs="仿宋"/>
          <w:color w:val="auto"/>
          <w:sz w:val="24"/>
        </w:rPr>
        <w:t>联系电话：</w:t>
      </w:r>
    </w:p>
    <w:p>
      <w:pPr>
        <w:pStyle w:val="4"/>
        <w:spacing w:before="0" w:after="0" w:line="360" w:lineRule="auto"/>
        <w:rPr>
          <w:rFonts w:hint="eastAsia" w:ascii="仿宋" w:hAnsi="仿宋" w:eastAsia="仿宋" w:cs="仿宋"/>
          <w:color w:val="auto"/>
          <w:sz w:val="28"/>
          <w:szCs w:val="28"/>
        </w:rPr>
      </w:pPr>
      <w:r>
        <w:rPr>
          <w:rFonts w:hint="eastAsia" w:ascii="仿宋" w:hAnsi="仿宋" w:eastAsia="仿宋" w:cs="仿宋"/>
          <w:color w:val="auto"/>
        </w:rPr>
        <w:br w:type="page"/>
      </w:r>
      <w:bookmarkStart w:id="154" w:name="_Toc6977"/>
      <w:bookmarkStart w:id="155" w:name="_Toc130139098"/>
      <w:r>
        <w:rPr>
          <w:rFonts w:hint="eastAsia" w:ascii="仿宋" w:hAnsi="仿宋" w:eastAsia="仿宋" w:cs="仿宋"/>
          <w:color w:val="auto"/>
          <w:sz w:val="28"/>
          <w:szCs w:val="28"/>
        </w:rPr>
        <w:t>格式1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资格文件</w:t>
      </w:r>
      <w:bookmarkEnd w:id="154"/>
      <w:bookmarkEnd w:id="155"/>
    </w:p>
    <w:p>
      <w:pPr>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投标人必须按下列要求提交资格文件：</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1、企业营业执照副本；</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信用中国”（www.creditchina.gov.cn）和“中国政府采购网”（www.ccgp.gov.cn）网站上未被列入失信被执行人、重大税收违法案件当事人名单以及政府采购严重违法失信行为记录名单的网页打印件（网页打印件须自磋商文件发布之日起至投标截止时间从上述网站中打印）（加盖公章）；</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3、法定代表人参加时提供：身份证原件，或委托代理人参加时提供：身份证原件、法定代表人身份证明、授权委托书；</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4、提供近三个月（2022年2月-2022年4月）缴纳税收证明及投标单位和被授权人的社保缴纳证明；</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5、投标保证金收据。</w:t>
      </w:r>
    </w:p>
    <w:p>
      <w:pPr>
        <w:numPr>
          <w:ilvl w:val="0"/>
          <w:numId w:val="0"/>
        </w:numPr>
        <w:spacing w:line="420" w:lineRule="exact"/>
        <w:ind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6、其他投标人认为有必要的资质文件。</w:t>
      </w:r>
    </w:p>
    <w:p>
      <w:pPr>
        <w:spacing w:line="360" w:lineRule="auto"/>
        <w:ind w:firstLine="525" w:firstLineChars="219"/>
        <w:rPr>
          <w:rFonts w:hint="eastAsia" w:ascii="仿宋" w:hAnsi="仿宋" w:eastAsia="仿宋" w:cs="仿宋"/>
          <w:color w:val="auto"/>
          <w:sz w:val="24"/>
        </w:rPr>
      </w:pPr>
    </w:p>
    <w:p>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2"/>
          <w:szCs w:val="28"/>
        </w:rPr>
        <w:t>注：投标人应自行承担所提供上述资料任何错漏而导致的一切后果。</w:t>
      </w:r>
    </w:p>
    <w:p>
      <w:pPr>
        <w:spacing w:line="500" w:lineRule="exact"/>
        <w:ind w:firstLine="960"/>
        <w:rPr>
          <w:rFonts w:hint="eastAsia" w:ascii="仿宋" w:hAnsi="仿宋" w:eastAsia="仿宋" w:cs="仿宋"/>
          <w:color w:val="auto"/>
          <w:sz w:val="24"/>
        </w:rPr>
      </w:pPr>
    </w:p>
    <w:p>
      <w:pPr>
        <w:tabs>
          <w:tab w:val="left" w:pos="1260"/>
        </w:tabs>
        <w:spacing w:before="40" w:after="40"/>
        <w:rPr>
          <w:rFonts w:hint="eastAsia" w:ascii="仿宋" w:hAnsi="仿宋" w:eastAsia="仿宋" w:cs="仿宋"/>
          <w:color w:val="auto"/>
          <w:sz w:val="22"/>
        </w:rPr>
        <w:sectPr>
          <w:type w:val="nextColumn"/>
          <w:pgSz w:w="11906" w:h="16838"/>
          <w:pgMar w:top="1191" w:right="1418" w:bottom="1191" w:left="1418" w:header="737" w:footer="737" w:gutter="0"/>
          <w:pgNumType w:fmt="decimal"/>
          <w:cols w:space="720" w:num="1"/>
          <w:docGrid w:linePitch="312" w:charSpace="0"/>
        </w:sectPr>
      </w:pPr>
    </w:p>
    <w:p>
      <w:pPr>
        <w:spacing w:line="360" w:lineRule="auto"/>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招标编号：</w:t>
      </w:r>
      <w:r>
        <w:rPr>
          <w:rFonts w:hint="eastAsia" w:ascii="仿宋" w:hAnsi="仿宋" w:eastAsia="仿宋" w:cs="仿宋"/>
          <w:b/>
          <w:color w:val="auto"/>
          <w:sz w:val="36"/>
          <w:szCs w:val="36"/>
          <w:lang w:eastAsia="zh-CN"/>
        </w:rPr>
        <w:t>HYYL-2022-046</w:t>
      </w:r>
    </w:p>
    <w:p>
      <w:pPr>
        <w:spacing w:line="360" w:lineRule="auto"/>
        <w:jc w:val="both"/>
        <w:rPr>
          <w:rFonts w:hint="eastAsia" w:ascii="仿宋" w:hAnsi="仿宋" w:eastAsia="仿宋" w:cs="仿宋"/>
          <w:b/>
          <w:color w:val="auto"/>
          <w:w w:val="150"/>
          <w:sz w:val="96"/>
        </w:rPr>
      </w:pP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评</w:t>
      </w: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标</w:t>
      </w: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文</w:t>
      </w:r>
    </w:p>
    <w:p>
      <w:pPr>
        <w:spacing w:line="360" w:lineRule="auto"/>
        <w:jc w:val="center"/>
        <w:rPr>
          <w:rFonts w:hint="eastAsia" w:ascii="仿宋" w:hAnsi="仿宋" w:eastAsia="仿宋" w:cs="仿宋"/>
          <w:b/>
          <w:color w:val="auto"/>
          <w:w w:val="150"/>
          <w:sz w:val="96"/>
        </w:rPr>
      </w:pPr>
      <w:r>
        <w:rPr>
          <w:rFonts w:hint="eastAsia" w:ascii="仿宋" w:hAnsi="仿宋" w:eastAsia="仿宋" w:cs="仿宋"/>
          <w:b/>
          <w:color w:val="auto"/>
          <w:w w:val="150"/>
          <w:sz w:val="96"/>
        </w:rPr>
        <w:t>件</w:t>
      </w:r>
    </w:p>
    <w:p>
      <w:pPr>
        <w:pStyle w:val="4"/>
        <w:rPr>
          <w:rFonts w:hint="eastAsia" w:ascii="仿宋" w:hAnsi="仿宋" w:eastAsia="仿宋" w:cs="仿宋"/>
          <w:color w:val="auto"/>
        </w:rPr>
      </w:pPr>
    </w:p>
    <w:p>
      <w:pPr>
        <w:spacing w:line="360" w:lineRule="auto"/>
        <w:jc w:val="center"/>
        <w:rPr>
          <w:rFonts w:hint="eastAsia" w:ascii="仿宋" w:hAnsi="仿宋" w:eastAsia="仿宋" w:cs="仿宋"/>
          <w:b/>
          <w:bCs w:val="0"/>
          <w:i w:val="0"/>
          <w:iCs w:val="0"/>
          <w:color w:val="auto"/>
          <w:w w:val="150"/>
          <w:sz w:val="24"/>
          <w:szCs w:val="24"/>
          <w:lang w:val="en-US" w:eastAsia="zh-CN"/>
        </w:rPr>
      </w:pPr>
      <w:r>
        <w:rPr>
          <w:rFonts w:hint="eastAsia" w:ascii="仿宋" w:hAnsi="仿宋" w:eastAsia="仿宋" w:cs="仿宋"/>
          <w:b/>
          <w:bCs w:val="0"/>
          <w:i w:val="0"/>
          <w:iCs w:val="0"/>
          <w:color w:val="auto"/>
          <w:w w:val="150"/>
          <w:sz w:val="24"/>
          <w:szCs w:val="24"/>
          <w:lang w:val="en-US" w:eastAsia="zh-CN"/>
        </w:rPr>
        <w:t>特克斯县中医医院</w:t>
      </w:r>
    </w:p>
    <w:p>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eastAsia="zh-CN"/>
        </w:rPr>
        <w:t>新疆华域建设工程项目管理咨询有限公司</w:t>
      </w:r>
      <w:r>
        <w:rPr>
          <w:rFonts w:hint="eastAsia" w:ascii="仿宋" w:hAnsi="仿宋" w:eastAsia="仿宋" w:cs="仿宋"/>
          <w:b/>
          <w:color w:val="auto"/>
          <w:sz w:val="36"/>
          <w:szCs w:val="36"/>
        </w:rPr>
        <w:t xml:space="preserve"> 编制</w:t>
      </w:r>
    </w:p>
    <w:p>
      <w:pPr>
        <w:spacing w:line="360" w:lineRule="auto"/>
        <w:jc w:val="center"/>
        <w:rPr>
          <w:rFonts w:hint="eastAsia" w:ascii="仿宋" w:hAnsi="仿宋" w:eastAsia="仿宋" w:cs="仿宋"/>
          <w:color w:val="auto"/>
        </w:rPr>
      </w:pPr>
      <w:r>
        <w:rPr>
          <w:rFonts w:hint="eastAsia" w:ascii="仿宋" w:hAnsi="仿宋" w:eastAsia="仿宋" w:cs="仿宋"/>
          <w:b/>
          <w:color w:val="auto"/>
          <w:sz w:val="36"/>
          <w:szCs w:val="36"/>
        </w:rPr>
        <w:t>二〇</w:t>
      </w:r>
      <w:r>
        <w:rPr>
          <w:rFonts w:hint="eastAsia" w:ascii="仿宋" w:hAnsi="仿宋" w:eastAsia="仿宋" w:cs="仿宋"/>
          <w:b/>
          <w:color w:val="auto"/>
          <w:sz w:val="36"/>
          <w:szCs w:val="36"/>
          <w:lang w:eastAsia="zh-CN"/>
        </w:rPr>
        <w:t>二二</w:t>
      </w:r>
      <w:r>
        <w:rPr>
          <w:rFonts w:hint="eastAsia" w:ascii="仿宋" w:hAnsi="仿宋" w:eastAsia="仿宋" w:cs="仿宋"/>
          <w:b/>
          <w:color w:val="auto"/>
          <w:sz w:val="36"/>
          <w:szCs w:val="36"/>
        </w:rPr>
        <w:t>年</w:t>
      </w:r>
      <w:r>
        <w:rPr>
          <w:rFonts w:hint="eastAsia" w:ascii="仿宋" w:hAnsi="仿宋" w:eastAsia="仿宋" w:cs="仿宋"/>
          <w:b/>
          <w:color w:val="auto"/>
          <w:sz w:val="36"/>
          <w:szCs w:val="36"/>
          <w:lang w:val="en-US" w:eastAsia="zh-CN"/>
        </w:rPr>
        <w:t>五</w:t>
      </w:r>
      <w:r>
        <w:rPr>
          <w:rFonts w:hint="eastAsia" w:ascii="仿宋" w:hAnsi="仿宋" w:eastAsia="仿宋" w:cs="仿宋"/>
          <w:b/>
          <w:color w:val="auto"/>
          <w:sz w:val="36"/>
          <w:szCs w:val="36"/>
        </w:rPr>
        <w:t>月</w:t>
      </w:r>
    </w:p>
    <w:p>
      <w:pPr>
        <w:pStyle w:val="4"/>
        <w:numPr>
          <w:ilvl w:val="0"/>
          <w:numId w:val="21"/>
        </w:numPr>
        <w:spacing w:before="0" w:after="0" w:line="360" w:lineRule="auto"/>
        <w:rPr>
          <w:rFonts w:hint="eastAsia" w:ascii="仿宋" w:hAnsi="仿宋" w:eastAsia="仿宋" w:cs="仿宋"/>
          <w:color w:val="auto"/>
          <w:sz w:val="28"/>
          <w:szCs w:val="28"/>
        </w:rPr>
      </w:pPr>
      <w:bookmarkStart w:id="156" w:name="_Toc130180931"/>
      <w:bookmarkStart w:id="157" w:name="_Toc226966736"/>
      <w:bookmarkStart w:id="158" w:name="_Toc130695636"/>
      <w:bookmarkStart w:id="159" w:name="_Toc279046915"/>
      <w:bookmarkStart w:id="160" w:name="_Toc2499"/>
      <w:bookmarkStart w:id="161" w:name="_Toc209258324"/>
      <w:bookmarkStart w:id="162" w:name="_Toc243743405"/>
      <w:bookmarkStart w:id="163" w:name="_Toc271105728"/>
      <w:bookmarkStart w:id="164" w:name="_Toc130180745"/>
      <w:bookmarkStart w:id="165" w:name="_Toc130180850"/>
      <w:bookmarkStart w:id="166" w:name="_Toc191353064"/>
      <w:bookmarkStart w:id="167" w:name="_Toc243923419"/>
      <w:bookmarkStart w:id="168" w:name="_Toc272350660"/>
      <w:bookmarkStart w:id="169" w:name="_Toc130697228"/>
      <w:bookmarkStart w:id="170" w:name="_Toc245203933"/>
      <w:r>
        <w:rPr>
          <w:rFonts w:hint="eastAsia" w:ascii="仿宋" w:hAnsi="仿宋" w:eastAsia="仿宋" w:cs="仿宋"/>
          <w:color w:val="auto"/>
          <w:sz w:val="28"/>
          <w:szCs w:val="28"/>
        </w:rPr>
        <w:t>说明</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5"/>
        <w:numPr>
          <w:ilvl w:val="0"/>
          <w:numId w:val="22"/>
        </w:numPr>
        <w:spacing w:before="120" w:beforeLines="50" w:line="360" w:lineRule="auto"/>
        <w:rPr>
          <w:rFonts w:hint="eastAsia" w:ascii="仿宋" w:hAnsi="仿宋" w:eastAsia="仿宋" w:cs="仿宋"/>
          <w:bCs w:val="0"/>
          <w:color w:val="auto"/>
          <w:sz w:val="24"/>
        </w:rPr>
      </w:pPr>
      <w:bookmarkStart w:id="171" w:name="_Toc16983"/>
      <w:bookmarkStart w:id="172" w:name="_Toc243743406"/>
      <w:bookmarkStart w:id="173" w:name="_Toc185747627"/>
      <w:bookmarkStart w:id="174" w:name="_Toc243923420"/>
      <w:bookmarkStart w:id="175" w:name="_Toc209258325"/>
      <w:bookmarkStart w:id="176" w:name="_Toc130695637"/>
      <w:bookmarkStart w:id="177" w:name="_Toc130697229"/>
      <w:bookmarkStart w:id="178" w:name="_Toc153615335"/>
      <w:bookmarkStart w:id="179" w:name="_Toc278958209"/>
      <w:bookmarkStart w:id="180" w:name="_Toc279046916"/>
      <w:bookmarkStart w:id="181" w:name="_Toc277758545"/>
      <w:bookmarkStart w:id="182" w:name="_Toc272350661"/>
      <w:bookmarkStart w:id="183" w:name="_Toc226966737"/>
      <w:bookmarkStart w:id="184" w:name="_Toc271105729"/>
      <w:bookmarkStart w:id="185" w:name="_Toc226521749"/>
      <w:bookmarkStart w:id="186" w:name="_Toc191353065"/>
      <w:bookmarkStart w:id="187" w:name="_Toc245203934"/>
      <w:r>
        <w:rPr>
          <w:rFonts w:hint="eastAsia" w:ascii="仿宋" w:hAnsi="仿宋" w:eastAsia="仿宋" w:cs="仿宋"/>
          <w:bCs w:val="0"/>
          <w:color w:val="auto"/>
          <w:sz w:val="24"/>
        </w:rPr>
        <w:t>概述</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ascii="仿宋" w:hAnsi="仿宋" w:eastAsia="仿宋" w:cs="仿宋"/>
          <w:bCs/>
          <w:color w:val="auto"/>
          <w:sz w:val="24"/>
          <w:lang w:eastAsia="zh-CN"/>
        </w:rPr>
        <w:t>新疆华域建设工程项目管理咨询有限公司</w:t>
      </w:r>
      <w:r>
        <w:rPr>
          <w:rFonts w:hint="eastAsia" w:ascii="仿宋" w:hAnsi="仿宋" w:eastAsia="仿宋" w:cs="仿宋"/>
          <w:bCs/>
          <w:color w:val="auto"/>
          <w:sz w:val="24"/>
        </w:rPr>
        <w:t xml:space="preserve"> 制定本评标文件，并经评标委员会确认。内容包括本次评标的评审过程和方法。</w:t>
      </w:r>
    </w:p>
    <w:p>
      <w:pPr>
        <w:pStyle w:val="5"/>
        <w:numPr>
          <w:ilvl w:val="0"/>
          <w:numId w:val="22"/>
        </w:numPr>
        <w:spacing w:before="120" w:beforeLines="50" w:line="360" w:lineRule="auto"/>
        <w:rPr>
          <w:rFonts w:hint="eastAsia" w:ascii="仿宋" w:hAnsi="仿宋" w:eastAsia="仿宋" w:cs="仿宋"/>
          <w:bCs w:val="0"/>
          <w:color w:val="auto"/>
          <w:sz w:val="24"/>
        </w:rPr>
      </w:pPr>
      <w:bookmarkStart w:id="188" w:name="_Toc272350662"/>
      <w:bookmarkStart w:id="189" w:name="_Toc243743407"/>
      <w:bookmarkStart w:id="190" w:name="_Toc226966738"/>
      <w:bookmarkStart w:id="191" w:name="_Toc130697230"/>
      <w:bookmarkStart w:id="192" w:name="_Toc185747628"/>
      <w:bookmarkStart w:id="193" w:name="_Toc245203935"/>
      <w:bookmarkStart w:id="194" w:name="_Toc209258326"/>
      <w:bookmarkStart w:id="195" w:name="_Toc277758546"/>
      <w:bookmarkStart w:id="196" w:name="_Toc279046917"/>
      <w:bookmarkStart w:id="197" w:name="_Toc153615336"/>
      <w:bookmarkStart w:id="198" w:name="_Toc191353066"/>
      <w:bookmarkStart w:id="199" w:name="_Toc271105730"/>
      <w:bookmarkStart w:id="200" w:name="_Toc278958210"/>
      <w:bookmarkStart w:id="201" w:name="_Toc130695638"/>
      <w:bookmarkStart w:id="202" w:name="_Toc243923421"/>
      <w:bookmarkStart w:id="203" w:name="_Toc226521750"/>
      <w:bookmarkStart w:id="204" w:name="_Toc23918"/>
      <w:r>
        <w:rPr>
          <w:rFonts w:hint="eastAsia" w:ascii="仿宋" w:hAnsi="仿宋" w:eastAsia="仿宋" w:cs="仿宋"/>
          <w:bCs w:val="0"/>
          <w:color w:val="auto"/>
          <w:sz w:val="24"/>
        </w:rPr>
        <w:t>定义</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numPr>
          <w:ilvl w:val="0"/>
          <w:numId w:val="23"/>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“采购人”系指依法进行政府采购的国家机关、事业单位、团体组织，本项目的采购人是</w:t>
      </w:r>
      <w:r>
        <w:rPr>
          <w:rFonts w:hint="eastAsia" w:ascii="仿宋" w:hAnsi="仿宋" w:eastAsia="仿宋" w:cs="仿宋"/>
          <w:bCs/>
          <w:color w:val="auto"/>
          <w:sz w:val="24"/>
          <w:lang w:eastAsia="zh-CN"/>
        </w:rPr>
        <w:t>特克斯县中医医院</w:t>
      </w:r>
      <w:r>
        <w:rPr>
          <w:rFonts w:hint="eastAsia" w:ascii="仿宋" w:hAnsi="仿宋" w:eastAsia="仿宋" w:cs="仿宋"/>
          <w:bCs/>
          <w:color w:val="auto"/>
          <w:sz w:val="24"/>
        </w:rPr>
        <w:t>。</w:t>
      </w:r>
    </w:p>
    <w:p>
      <w:pPr>
        <w:numPr>
          <w:ilvl w:val="0"/>
          <w:numId w:val="23"/>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“业主/用户”系指本采购项目的最终使用单位，本项目的业主/用户是</w:t>
      </w:r>
      <w:r>
        <w:rPr>
          <w:rFonts w:hint="eastAsia" w:ascii="仿宋" w:hAnsi="仿宋" w:eastAsia="仿宋" w:cs="仿宋"/>
          <w:bCs/>
          <w:color w:val="auto"/>
          <w:sz w:val="24"/>
          <w:lang w:eastAsia="zh-CN"/>
        </w:rPr>
        <w:t>特克斯县中医医院</w:t>
      </w:r>
      <w:r>
        <w:rPr>
          <w:rFonts w:hint="eastAsia" w:ascii="仿宋" w:hAnsi="仿宋" w:eastAsia="仿宋" w:cs="仿宋"/>
          <w:bCs/>
          <w:color w:val="auto"/>
          <w:sz w:val="24"/>
        </w:rPr>
        <w:t>。</w:t>
      </w:r>
    </w:p>
    <w:p>
      <w:pPr>
        <w:numPr>
          <w:ilvl w:val="0"/>
          <w:numId w:val="23"/>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“招标代理机构”系指</w:t>
      </w:r>
      <w:r>
        <w:rPr>
          <w:rFonts w:hint="eastAsia" w:ascii="仿宋" w:hAnsi="仿宋" w:eastAsia="仿宋" w:cs="仿宋"/>
          <w:bCs/>
          <w:color w:val="auto"/>
          <w:sz w:val="24"/>
          <w:lang w:eastAsia="zh-CN"/>
        </w:rPr>
        <w:t>新疆华域建设工程项目管理咨询有限公司</w:t>
      </w:r>
      <w:r>
        <w:rPr>
          <w:rFonts w:hint="eastAsia" w:ascii="仿宋" w:hAnsi="仿宋" w:eastAsia="仿宋" w:cs="仿宋"/>
          <w:bCs/>
          <w:color w:val="auto"/>
          <w:sz w:val="24"/>
        </w:rPr>
        <w:t xml:space="preserve"> 。</w:t>
      </w:r>
    </w:p>
    <w:p>
      <w:pPr>
        <w:numPr>
          <w:ilvl w:val="0"/>
          <w:numId w:val="23"/>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“投标人”系指向招标代理机构提交投标文件的合格供应商。</w:t>
      </w:r>
    </w:p>
    <w:p>
      <w:pPr>
        <w:numPr>
          <w:ilvl w:val="0"/>
          <w:numId w:val="23"/>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“中标人”系指经评标委员会评审推荐、采购人确认的获得本项目中标资格的投标人。</w:t>
      </w:r>
    </w:p>
    <w:p>
      <w:pPr>
        <w:numPr>
          <w:ilvl w:val="0"/>
          <w:numId w:val="23"/>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“实质性响应”系指符合</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文件的所有要求、条款、条件和规定，且没有不利于项目实施质量效果和服务保障的重大偏离或保留。</w:t>
      </w:r>
    </w:p>
    <w:p>
      <w:pPr>
        <w:numPr>
          <w:ilvl w:val="0"/>
          <w:numId w:val="23"/>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“重大偏离或保留”系指影响到</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文件规定的范围、质量和性能或限制了采购人的权力和投标人义务的规定，而纠正这些偏离将影响到其它投标人的公平竞争地位。</w:t>
      </w:r>
    </w:p>
    <w:p>
      <w:pPr>
        <w:pStyle w:val="5"/>
        <w:numPr>
          <w:ilvl w:val="0"/>
          <w:numId w:val="22"/>
        </w:numPr>
        <w:spacing w:before="120" w:beforeLines="50" w:line="360" w:lineRule="auto"/>
        <w:rPr>
          <w:rFonts w:hint="eastAsia" w:ascii="仿宋" w:hAnsi="仿宋" w:eastAsia="仿宋" w:cs="仿宋"/>
          <w:bCs w:val="0"/>
          <w:color w:val="auto"/>
          <w:sz w:val="24"/>
        </w:rPr>
      </w:pPr>
      <w:bookmarkStart w:id="205" w:name="_Toc226521751"/>
      <w:bookmarkStart w:id="206" w:name="_Toc209258327"/>
      <w:bookmarkStart w:id="207" w:name="_Toc278958211"/>
      <w:bookmarkStart w:id="208" w:name="_Toc130697231"/>
      <w:bookmarkStart w:id="209" w:name="_Toc226966739"/>
      <w:bookmarkStart w:id="210" w:name="_Toc243743408"/>
      <w:bookmarkStart w:id="211" w:name="_Toc272350663"/>
      <w:bookmarkStart w:id="212" w:name="_Toc185747629"/>
      <w:bookmarkStart w:id="213" w:name="_Toc22182"/>
      <w:bookmarkStart w:id="214" w:name="_Toc153615337"/>
      <w:bookmarkStart w:id="215" w:name="_Toc243923422"/>
      <w:bookmarkStart w:id="216" w:name="_Toc245203936"/>
      <w:bookmarkStart w:id="217" w:name="_Toc279046918"/>
      <w:bookmarkStart w:id="218" w:name="_Toc191353067"/>
      <w:bookmarkStart w:id="219" w:name="_Toc271105731"/>
      <w:bookmarkStart w:id="220" w:name="_Toc130695639"/>
      <w:bookmarkStart w:id="221" w:name="_Toc277758547"/>
      <w:r>
        <w:rPr>
          <w:rFonts w:hint="eastAsia" w:ascii="仿宋" w:hAnsi="仿宋" w:eastAsia="仿宋" w:cs="仿宋"/>
          <w:bCs w:val="0"/>
          <w:color w:val="auto"/>
          <w:sz w:val="24"/>
        </w:rPr>
        <w:t>评标委员会组成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Style w:val="13"/>
        <w:spacing w:line="360" w:lineRule="auto"/>
        <w:rPr>
          <w:rFonts w:hint="eastAsia" w:ascii="仿宋" w:hAnsi="仿宋" w:eastAsia="仿宋" w:cs="仿宋"/>
          <w:color w:val="auto"/>
          <w:sz w:val="24"/>
        </w:rPr>
      </w:pPr>
      <w:r>
        <w:rPr>
          <w:rFonts w:hint="eastAsia" w:ascii="仿宋" w:hAnsi="仿宋" w:eastAsia="仿宋" w:cs="仿宋"/>
          <w:color w:val="auto"/>
          <w:sz w:val="24"/>
        </w:rPr>
        <w:t>全部评标过程由依法组建的评标委员会负责完成，</w:t>
      </w:r>
      <w:r>
        <w:rPr>
          <w:rFonts w:hint="eastAsia" w:ascii="仿宋" w:hAnsi="仿宋" w:eastAsia="仿宋" w:cs="仿宋"/>
          <w:bCs/>
          <w:color w:val="auto"/>
          <w:sz w:val="24"/>
        </w:rPr>
        <w:t>评标委员会由</w:t>
      </w:r>
      <w:r>
        <w:rPr>
          <w:rFonts w:hint="eastAsia" w:ascii="仿宋" w:hAnsi="仿宋" w:eastAsia="仿宋" w:cs="仿宋"/>
          <w:bCs/>
          <w:color w:val="auto"/>
          <w:sz w:val="24"/>
          <w:lang w:val="en-US" w:eastAsia="zh-CN"/>
        </w:rPr>
        <w:t>3</w:t>
      </w:r>
      <w:r>
        <w:rPr>
          <w:rFonts w:hint="eastAsia" w:ascii="仿宋" w:hAnsi="仿宋" w:eastAsia="仿宋" w:cs="仿宋"/>
          <w:b/>
          <w:bCs/>
          <w:color w:val="auto"/>
          <w:sz w:val="24"/>
          <w:u w:val="single"/>
        </w:rPr>
        <w:t>人</w:t>
      </w:r>
      <w:r>
        <w:rPr>
          <w:rFonts w:hint="eastAsia" w:ascii="仿宋" w:hAnsi="仿宋" w:eastAsia="仿宋" w:cs="仿宋"/>
          <w:bCs/>
          <w:color w:val="auto"/>
          <w:sz w:val="24"/>
        </w:rPr>
        <w:t>组成，其中采购人代表</w:t>
      </w:r>
      <w:r>
        <w:rPr>
          <w:rFonts w:hint="eastAsia" w:ascii="仿宋" w:hAnsi="仿宋" w:eastAsia="仿宋" w:cs="仿宋"/>
          <w:b/>
          <w:bCs/>
          <w:color w:val="auto"/>
          <w:sz w:val="24"/>
          <w:u w:val="single"/>
        </w:rPr>
        <w:t>1名</w:t>
      </w:r>
      <w:r>
        <w:rPr>
          <w:rFonts w:hint="eastAsia" w:ascii="仿宋" w:hAnsi="仿宋" w:eastAsia="仿宋" w:cs="仿宋"/>
          <w:bCs/>
          <w:color w:val="auto"/>
          <w:sz w:val="24"/>
        </w:rPr>
        <w:t>，其余</w:t>
      </w:r>
      <w:r>
        <w:rPr>
          <w:rFonts w:hint="eastAsia" w:ascii="仿宋" w:hAnsi="仿宋" w:eastAsia="仿宋" w:cs="仿宋"/>
          <w:b/>
          <w:bCs/>
          <w:color w:val="auto"/>
          <w:sz w:val="24"/>
          <w:u w:val="single"/>
          <w:lang w:val="en-US" w:eastAsia="zh-CN"/>
        </w:rPr>
        <w:t>2</w:t>
      </w:r>
      <w:r>
        <w:rPr>
          <w:rFonts w:hint="eastAsia" w:ascii="仿宋" w:hAnsi="仿宋" w:eastAsia="仿宋" w:cs="仿宋"/>
          <w:b/>
          <w:bCs/>
          <w:color w:val="auto"/>
          <w:sz w:val="24"/>
          <w:u w:val="single"/>
        </w:rPr>
        <w:t>名</w:t>
      </w:r>
      <w:r>
        <w:rPr>
          <w:rFonts w:hint="eastAsia" w:ascii="仿宋" w:hAnsi="仿宋" w:eastAsia="仿宋" w:cs="仿宋"/>
          <w:bCs/>
          <w:color w:val="auto"/>
          <w:sz w:val="24"/>
        </w:rPr>
        <w:t>均从</w:t>
      </w:r>
      <w:r>
        <w:rPr>
          <w:rFonts w:hint="eastAsia" w:ascii="仿宋" w:hAnsi="仿宋" w:eastAsia="仿宋" w:cs="仿宋"/>
          <w:b/>
          <w:bCs w:val="0"/>
          <w:color w:val="auto"/>
          <w:sz w:val="24"/>
        </w:rPr>
        <w:t>政府采购专家库</w:t>
      </w:r>
      <w:r>
        <w:rPr>
          <w:rFonts w:hint="eastAsia" w:ascii="仿宋" w:hAnsi="仿宋" w:eastAsia="仿宋" w:cs="仿宋"/>
          <w:bCs/>
          <w:color w:val="auto"/>
          <w:sz w:val="24"/>
        </w:rPr>
        <w:t>中随机抽取产生。</w:t>
      </w:r>
      <w:r>
        <w:rPr>
          <w:rFonts w:hint="eastAsia" w:ascii="仿宋" w:hAnsi="仿宋" w:eastAsia="仿宋" w:cs="仿宋"/>
          <w:color w:val="auto"/>
          <w:sz w:val="24"/>
        </w:rPr>
        <w:t>评标委员会下设评标工作小组，主要由招标代理机构工作人员组成，负责整理投标文件、统计评分等工作。</w:t>
      </w:r>
    </w:p>
    <w:p>
      <w:pPr>
        <w:pStyle w:val="4"/>
        <w:numPr>
          <w:ilvl w:val="0"/>
          <w:numId w:val="21"/>
        </w:numPr>
        <w:spacing w:before="0" w:after="0" w:line="360" w:lineRule="auto"/>
        <w:rPr>
          <w:rFonts w:hint="eastAsia" w:ascii="仿宋" w:hAnsi="仿宋" w:eastAsia="仿宋" w:cs="仿宋"/>
          <w:color w:val="auto"/>
          <w:sz w:val="28"/>
          <w:szCs w:val="28"/>
        </w:rPr>
      </w:pPr>
      <w:bookmarkStart w:id="222" w:name="_Toc130697232"/>
      <w:bookmarkStart w:id="223" w:name="_Toc130180932"/>
      <w:bookmarkStart w:id="224" w:name="_Toc272350664"/>
      <w:bookmarkStart w:id="225" w:name="_Toc243923423"/>
      <w:bookmarkStart w:id="226" w:name="_Toc191353068"/>
      <w:bookmarkStart w:id="227" w:name="_Toc243743409"/>
      <w:bookmarkStart w:id="228" w:name="_Toc130180746"/>
      <w:bookmarkStart w:id="229" w:name="_Toc271105732"/>
      <w:bookmarkStart w:id="230" w:name="_Toc209258328"/>
      <w:bookmarkStart w:id="231" w:name="_Toc226966740"/>
      <w:bookmarkStart w:id="232" w:name="_Toc245203937"/>
      <w:bookmarkStart w:id="233" w:name="_Toc186"/>
      <w:bookmarkStart w:id="234" w:name="_Toc130180851"/>
      <w:bookmarkStart w:id="235" w:name="_Toc130695640"/>
      <w:bookmarkStart w:id="236" w:name="_Toc279046919"/>
      <w:r>
        <w:rPr>
          <w:rFonts w:hint="eastAsia" w:ascii="仿宋" w:hAnsi="仿宋" w:eastAsia="仿宋" w:cs="仿宋"/>
          <w:color w:val="auto"/>
          <w:sz w:val="28"/>
          <w:szCs w:val="28"/>
        </w:rPr>
        <w:t>评标须知</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5"/>
        <w:numPr>
          <w:ilvl w:val="0"/>
          <w:numId w:val="24"/>
        </w:numPr>
        <w:spacing w:before="120" w:beforeLines="50" w:line="360" w:lineRule="auto"/>
        <w:ind w:left="357" w:hanging="357"/>
        <w:rPr>
          <w:rFonts w:hint="eastAsia" w:ascii="仿宋" w:hAnsi="仿宋" w:eastAsia="仿宋" w:cs="仿宋"/>
          <w:bCs w:val="0"/>
          <w:color w:val="auto"/>
          <w:sz w:val="24"/>
        </w:rPr>
      </w:pPr>
      <w:bookmarkStart w:id="237" w:name="_Toc185747631"/>
      <w:bookmarkStart w:id="238" w:name="_Toc279046920"/>
      <w:bookmarkStart w:id="239" w:name="_Toc226521753"/>
      <w:bookmarkStart w:id="240" w:name="_Toc191353069"/>
      <w:bookmarkStart w:id="241" w:name="_Toc130695641"/>
      <w:bookmarkStart w:id="242" w:name="_Toc243923424"/>
      <w:bookmarkStart w:id="243" w:name="_Toc8628"/>
      <w:bookmarkStart w:id="244" w:name="_Toc271105733"/>
      <w:bookmarkStart w:id="245" w:name="_Toc277758549"/>
      <w:bookmarkStart w:id="246" w:name="_Toc226966741"/>
      <w:bookmarkStart w:id="247" w:name="_Toc272350665"/>
      <w:bookmarkStart w:id="248" w:name="_Toc243743410"/>
      <w:bookmarkStart w:id="249" w:name="_Toc278958213"/>
      <w:bookmarkStart w:id="250" w:name="_Toc130697233"/>
      <w:bookmarkStart w:id="251" w:name="_Toc245203938"/>
      <w:bookmarkStart w:id="252" w:name="_Toc153615339"/>
      <w:bookmarkStart w:id="253" w:name="_Toc209258329"/>
      <w:r>
        <w:rPr>
          <w:rFonts w:hint="eastAsia" w:ascii="仿宋" w:hAnsi="仿宋" w:eastAsia="仿宋" w:cs="仿宋"/>
          <w:bCs w:val="0"/>
          <w:color w:val="auto"/>
          <w:sz w:val="24"/>
        </w:rPr>
        <w:t>关于评标方案</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numPr>
          <w:ilvl w:val="0"/>
          <w:numId w:val="25"/>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评标委员会的每位成员（简称评委，下同）应认真地阅读并确认已经正确理解了评标方案；</w:t>
      </w:r>
    </w:p>
    <w:p>
      <w:pPr>
        <w:numPr>
          <w:ilvl w:val="0"/>
          <w:numId w:val="25"/>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评委如对评标方案有异议，应在评标开始前提出。</w:t>
      </w:r>
    </w:p>
    <w:p>
      <w:pPr>
        <w:pStyle w:val="5"/>
        <w:numPr>
          <w:ilvl w:val="0"/>
          <w:numId w:val="24"/>
        </w:numPr>
        <w:spacing w:before="120" w:beforeLines="50" w:line="360" w:lineRule="auto"/>
        <w:ind w:left="357" w:hanging="357"/>
        <w:rPr>
          <w:rFonts w:hint="eastAsia" w:ascii="仿宋" w:hAnsi="仿宋" w:eastAsia="仿宋" w:cs="仿宋"/>
          <w:bCs w:val="0"/>
          <w:color w:val="auto"/>
          <w:sz w:val="24"/>
        </w:rPr>
      </w:pPr>
      <w:bookmarkStart w:id="254" w:name="_Toc130697234"/>
      <w:bookmarkStart w:id="255" w:name="_Toc271105734"/>
      <w:bookmarkStart w:id="256" w:name="_Toc272350666"/>
      <w:bookmarkStart w:id="257" w:name="_Toc279046921"/>
      <w:bookmarkStart w:id="258" w:name="_Toc153615340"/>
      <w:bookmarkStart w:id="259" w:name="_Toc277758550"/>
      <w:bookmarkStart w:id="260" w:name="_Toc130695642"/>
      <w:bookmarkStart w:id="261" w:name="_Toc226521754"/>
      <w:bookmarkStart w:id="262" w:name="_Toc209258330"/>
      <w:bookmarkStart w:id="263" w:name="_Toc243743411"/>
      <w:bookmarkStart w:id="264" w:name="_Toc278958214"/>
      <w:bookmarkStart w:id="265" w:name="_Toc185747632"/>
      <w:bookmarkStart w:id="266" w:name="_Toc191353070"/>
      <w:bookmarkStart w:id="267" w:name="_Toc226966742"/>
      <w:bookmarkStart w:id="268" w:name="_Toc32719"/>
      <w:bookmarkStart w:id="269" w:name="_Toc245203939"/>
      <w:bookmarkStart w:id="270" w:name="_Toc243923425"/>
      <w:r>
        <w:rPr>
          <w:rFonts w:hint="eastAsia" w:ascii="仿宋" w:hAnsi="仿宋" w:eastAsia="仿宋" w:cs="仿宋"/>
          <w:bCs w:val="0"/>
          <w:color w:val="auto"/>
          <w:sz w:val="24"/>
        </w:rPr>
        <w:t>关于评标纪律</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numPr>
          <w:ilvl w:val="0"/>
          <w:numId w:val="26"/>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评标委员会成员不得与任何投标人或者与招标结果有利害关系的人进行私下接触，不得收受投标人、中介人、其他利害关系人的财物或者其他好处；</w:t>
      </w:r>
    </w:p>
    <w:p>
      <w:pPr>
        <w:numPr>
          <w:ilvl w:val="0"/>
          <w:numId w:val="26"/>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评委应本着客观、公正的原则独立给出评价意见；</w:t>
      </w:r>
    </w:p>
    <w:p>
      <w:pPr>
        <w:numPr>
          <w:ilvl w:val="0"/>
          <w:numId w:val="26"/>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评委之间不得相互串通进行评分；</w:t>
      </w:r>
    </w:p>
    <w:p>
      <w:pPr>
        <w:numPr>
          <w:ilvl w:val="0"/>
          <w:numId w:val="26"/>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评委不得试图影响其他评委的评价意见；</w:t>
      </w:r>
    </w:p>
    <w:p>
      <w:pPr>
        <w:numPr>
          <w:ilvl w:val="0"/>
          <w:numId w:val="26"/>
        </w:numPr>
        <w:tabs>
          <w:tab w:val="left" w:pos="105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评委应关闭通讯工具或设置为振动状态，并统一交由工作人员保管。</w:t>
      </w:r>
    </w:p>
    <w:p>
      <w:pPr>
        <w:pStyle w:val="5"/>
        <w:numPr>
          <w:ilvl w:val="0"/>
          <w:numId w:val="24"/>
        </w:numPr>
        <w:spacing w:before="120" w:beforeLines="50" w:line="360" w:lineRule="auto"/>
        <w:ind w:left="357" w:hanging="357"/>
        <w:rPr>
          <w:rFonts w:hint="eastAsia" w:ascii="仿宋" w:hAnsi="仿宋" w:eastAsia="仿宋" w:cs="仿宋"/>
          <w:bCs w:val="0"/>
          <w:color w:val="auto"/>
          <w:sz w:val="24"/>
        </w:rPr>
      </w:pPr>
      <w:bookmarkStart w:id="271" w:name="_Toc209258331"/>
      <w:bookmarkStart w:id="272" w:name="_Toc1622"/>
      <w:bookmarkStart w:id="273" w:name="_Toc130697235"/>
      <w:bookmarkStart w:id="274" w:name="_Toc153615341"/>
      <w:bookmarkStart w:id="275" w:name="_Toc243923426"/>
      <w:bookmarkStart w:id="276" w:name="_Toc130695643"/>
      <w:bookmarkStart w:id="277" w:name="_Toc191353071"/>
      <w:bookmarkStart w:id="278" w:name="_Toc243743412"/>
      <w:bookmarkStart w:id="279" w:name="_Toc271105735"/>
      <w:bookmarkStart w:id="280" w:name="_Toc185747633"/>
      <w:bookmarkStart w:id="281" w:name="_Toc226966743"/>
      <w:bookmarkStart w:id="282" w:name="_Toc279046922"/>
      <w:bookmarkStart w:id="283" w:name="_Toc245203940"/>
      <w:bookmarkStart w:id="284" w:name="_Toc272350667"/>
      <w:bookmarkStart w:id="285" w:name="_Toc277758551"/>
      <w:bookmarkStart w:id="286" w:name="_Toc278958215"/>
      <w:bookmarkStart w:id="287" w:name="_Toc226521755"/>
      <w:r>
        <w:rPr>
          <w:rFonts w:hint="eastAsia" w:ascii="仿宋" w:hAnsi="仿宋" w:eastAsia="仿宋" w:cs="仿宋"/>
          <w:bCs w:val="0"/>
          <w:color w:val="auto"/>
          <w:sz w:val="24"/>
        </w:rPr>
        <w:t>关于评标责任</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numPr>
          <w:ilvl w:val="0"/>
          <w:numId w:val="27"/>
        </w:numPr>
        <w:tabs>
          <w:tab w:val="left" w:pos="1050"/>
        </w:tabs>
        <w:spacing w:line="360" w:lineRule="auto"/>
        <w:ind w:hanging="300"/>
        <w:rPr>
          <w:rFonts w:hint="eastAsia" w:ascii="仿宋" w:hAnsi="仿宋" w:eastAsia="仿宋" w:cs="仿宋"/>
          <w:bCs/>
          <w:color w:val="auto"/>
          <w:sz w:val="24"/>
        </w:rPr>
      </w:pPr>
      <w:r>
        <w:rPr>
          <w:rFonts w:hint="eastAsia" w:ascii="仿宋" w:hAnsi="仿宋" w:eastAsia="仿宋" w:cs="仿宋"/>
          <w:bCs/>
          <w:color w:val="auto"/>
          <w:sz w:val="24"/>
        </w:rPr>
        <w:t>评委应在其书面评审意见上签字确认；</w:t>
      </w:r>
    </w:p>
    <w:p>
      <w:pPr>
        <w:numPr>
          <w:ilvl w:val="0"/>
          <w:numId w:val="27"/>
        </w:numPr>
        <w:tabs>
          <w:tab w:val="left" w:pos="1050"/>
        </w:tabs>
        <w:spacing w:line="360" w:lineRule="auto"/>
        <w:ind w:hanging="300"/>
        <w:rPr>
          <w:rFonts w:hint="eastAsia" w:ascii="仿宋" w:hAnsi="仿宋" w:eastAsia="仿宋" w:cs="仿宋"/>
          <w:bCs/>
          <w:color w:val="auto"/>
          <w:sz w:val="24"/>
        </w:rPr>
      </w:pPr>
      <w:r>
        <w:rPr>
          <w:rFonts w:hint="eastAsia" w:ascii="仿宋" w:hAnsi="仿宋" w:eastAsia="仿宋" w:cs="仿宋"/>
          <w:bCs/>
          <w:color w:val="auto"/>
          <w:sz w:val="24"/>
        </w:rPr>
        <w:t>评委对其所提出的评审意见承担个人责任。</w:t>
      </w:r>
    </w:p>
    <w:p>
      <w:pPr>
        <w:pStyle w:val="5"/>
        <w:numPr>
          <w:ilvl w:val="0"/>
          <w:numId w:val="24"/>
        </w:numPr>
        <w:spacing w:before="120" w:beforeLines="50" w:line="360" w:lineRule="auto"/>
        <w:ind w:left="357" w:hanging="357"/>
        <w:rPr>
          <w:rFonts w:hint="eastAsia" w:ascii="仿宋" w:hAnsi="仿宋" w:eastAsia="仿宋" w:cs="仿宋"/>
          <w:bCs w:val="0"/>
          <w:color w:val="auto"/>
          <w:sz w:val="24"/>
        </w:rPr>
      </w:pPr>
      <w:bookmarkStart w:id="288" w:name="_Toc245203941"/>
      <w:bookmarkStart w:id="289" w:name="_Toc272350668"/>
      <w:bookmarkStart w:id="290" w:name="_Toc226966744"/>
      <w:bookmarkStart w:id="291" w:name="_Toc130697236"/>
      <w:bookmarkStart w:id="292" w:name="_Toc271105736"/>
      <w:bookmarkStart w:id="293" w:name="_Toc130695644"/>
      <w:bookmarkStart w:id="294" w:name="_Toc191353072"/>
      <w:bookmarkStart w:id="295" w:name="_Toc243743413"/>
      <w:bookmarkStart w:id="296" w:name="_Toc185747634"/>
      <w:bookmarkStart w:id="297" w:name="_Toc243923427"/>
      <w:bookmarkStart w:id="298" w:name="_Toc226521756"/>
      <w:bookmarkStart w:id="299" w:name="_Toc9324"/>
      <w:bookmarkStart w:id="300" w:name="_Toc278958216"/>
      <w:bookmarkStart w:id="301" w:name="_Toc277758552"/>
      <w:bookmarkStart w:id="302" w:name="_Toc209258332"/>
      <w:bookmarkStart w:id="303" w:name="_Toc153615342"/>
      <w:bookmarkStart w:id="304" w:name="_Toc279046923"/>
      <w:r>
        <w:rPr>
          <w:rFonts w:hint="eastAsia" w:ascii="仿宋" w:hAnsi="仿宋" w:eastAsia="仿宋" w:cs="仿宋"/>
          <w:bCs w:val="0"/>
          <w:color w:val="auto"/>
          <w:sz w:val="24"/>
        </w:rPr>
        <w:t>关于回避</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有下列情形之一的，不得担任评标委员会成员，如事先不知情的，应在宣读投标人名单及评标纪律后主动提出回避：</w:t>
      </w:r>
    </w:p>
    <w:p>
      <w:pPr>
        <w:numPr>
          <w:ilvl w:val="0"/>
          <w:numId w:val="28"/>
        </w:numPr>
        <w:tabs>
          <w:tab w:val="left" w:pos="945"/>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是投标人或者投标人主要负责人的近亲属；</w:t>
      </w:r>
    </w:p>
    <w:p>
      <w:pPr>
        <w:numPr>
          <w:ilvl w:val="0"/>
          <w:numId w:val="28"/>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是投标项目的上级单位人员；</w:t>
      </w:r>
    </w:p>
    <w:p>
      <w:pPr>
        <w:numPr>
          <w:ilvl w:val="0"/>
          <w:numId w:val="28"/>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是某投标人的项目主管部门或是某投标人的行政监督部门的人员；</w:t>
      </w:r>
    </w:p>
    <w:p>
      <w:pPr>
        <w:numPr>
          <w:ilvl w:val="0"/>
          <w:numId w:val="28"/>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与投标人有经济利益关系，可能影响对投标公正评审的；</w:t>
      </w:r>
    </w:p>
    <w:p>
      <w:pPr>
        <w:numPr>
          <w:ilvl w:val="0"/>
          <w:numId w:val="28"/>
        </w:numPr>
        <w:tabs>
          <w:tab w:val="left" w:pos="945"/>
          <w:tab w:val="left" w:pos="1050"/>
          <w:tab w:val="clear" w:pos="720"/>
        </w:tabs>
        <w:spacing w:line="360" w:lineRule="auto"/>
        <w:ind w:left="1050" w:hanging="630"/>
        <w:rPr>
          <w:rFonts w:hint="eastAsia" w:ascii="仿宋" w:hAnsi="仿宋" w:eastAsia="仿宋" w:cs="仿宋"/>
          <w:bCs/>
          <w:color w:val="auto"/>
          <w:sz w:val="24"/>
        </w:rPr>
      </w:pPr>
      <w:r>
        <w:rPr>
          <w:rFonts w:hint="eastAsia" w:ascii="仿宋" w:hAnsi="仿宋" w:eastAsia="仿宋" w:cs="仿宋"/>
          <w:bCs/>
          <w:color w:val="auto"/>
          <w:sz w:val="24"/>
        </w:rPr>
        <w:t>曾因在招标、评标以及其他与招标投标有关活动中从事违法行为而受过行政处罚或刑事处罚的。</w:t>
      </w:r>
    </w:p>
    <w:p>
      <w:pPr>
        <w:pStyle w:val="5"/>
        <w:numPr>
          <w:ilvl w:val="0"/>
          <w:numId w:val="24"/>
        </w:numPr>
        <w:spacing w:before="120" w:beforeLines="50" w:line="360" w:lineRule="auto"/>
        <w:ind w:left="357" w:hanging="357"/>
        <w:rPr>
          <w:rFonts w:hint="eastAsia" w:ascii="仿宋" w:hAnsi="仿宋" w:eastAsia="仿宋" w:cs="仿宋"/>
          <w:bCs w:val="0"/>
          <w:color w:val="auto"/>
          <w:sz w:val="24"/>
        </w:rPr>
      </w:pPr>
      <w:bookmarkStart w:id="305" w:name="_Toc243923428"/>
      <w:bookmarkStart w:id="306" w:name="_Toc130695645"/>
      <w:bookmarkStart w:id="307" w:name="_Toc130697237"/>
      <w:bookmarkStart w:id="308" w:name="_Toc271105737"/>
      <w:bookmarkStart w:id="309" w:name="_Toc278958217"/>
      <w:bookmarkStart w:id="310" w:name="_Toc185747635"/>
      <w:bookmarkStart w:id="311" w:name="_Toc277758553"/>
      <w:bookmarkStart w:id="312" w:name="_Toc191353073"/>
      <w:bookmarkStart w:id="313" w:name="_Toc14492"/>
      <w:bookmarkStart w:id="314" w:name="_Toc272350669"/>
      <w:bookmarkStart w:id="315" w:name="_Toc226966745"/>
      <w:bookmarkStart w:id="316" w:name="_Toc243743414"/>
      <w:bookmarkStart w:id="317" w:name="_Toc209258333"/>
      <w:bookmarkStart w:id="318" w:name="_Toc153615343"/>
      <w:bookmarkStart w:id="319" w:name="_Toc279046924"/>
      <w:bookmarkStart w:id="320" w:name="_Toc245203942"/>
      <w:bookmarkStart w:id="321" w:name="_Toc226521757"/>
      <w:r>
        <w:rPr>
          <w:rFonts w:hint="eastAsia" w:ascii="仿宋" w:hAnsi="仿宋" w:eastAsia="仿宋" w:cs="仿宋"/>
          <w:bCs w:val="0"/>
          <w:color w:val="auto"/>
          <w:sz w:val="24"/>
        </w:rPr>
        <w:t>关于保密</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前款所称与评标活动有关的工作人员，是指评标委员会成员以外的因参与评标监督工作或者事务性工作而知悉有关评标情况的所有人员。</w:t>
      </w:r>
    </w:p>
    <w:p>
      <w:pPr>
        <w:pStyle w:val="4"/>
        <w:numPr>
          <w:ilvl w:val="0"/>
          <w:numId w:val="21"/>
        </w:numPr>
        <w:spacing w:before="0" w:after="0" w:line="360" w:lineRule="auto"/>
        <w:rPr>
          <w:rFonts w:hint="eastAsia" w:ascii="仿宋" w:hAnsi="仿宋" w:eastAsia="仿宋" w:cs="仿宋"/>
          <w:color w:val="auto"/>
          <w:sz w:val="28"/>
          <w:szCs w:val="28"/>
        </w:rPr>
      </w:pPr>
      <w:bookmarkStart w:id="322" w:name="_Toc191353074"/>
      <w:bookmarkStart w:id="323" w:name="_Toc130697238"/>
      <w:bookmarkStart w:id="324" w:name="_Toc130180852"/>
      <w:bookmarkStart w:id="325" w:name="_Toc243743415"/>
      <w:bookmarkStart w:id="326" w:name="_Toc130180933"/>
      <w:bookmarkStart w:id="327" w:name="_Toc130180747"/>
      <w:bookmarkStart w:id="328" w:name="_Toc272350670"/>
      <w:bookmarkStart w:id="329" w:name="_Toc243923429"/>
      <w:bookmarkStart w:id="330" w:name="_Toc226966746"/>
      <w:bookmarkStart w:id="331" w:name="_Toc279046925"/>
      <w:bookmarkStart w:id="332" w:name="_Toc271105738"/>
      <w:bookmarkStart w:id="333" w:name="_Toc245203943"/>
      <w:bookmarkStart w:id="334" w:name="_Toc130695646"/>
      <w:bookmarkStart w:id="335" w:name="_Toc26214"/>
      <w:bookmarkStart w:id="336" w:name="_Toc209258334"/>
      <w:r>
        <w:rPr>
          <w:rFonts w:hint="eastAsia" w:ascii="仿宋" w:hAnsi="仿宋" w:eastAsia="仿宋" w:cs="仿宋"/>
          <w:color w:val="auto"/>
          <w:sz w:val="28"/>
          <w:szCs w:val="28"/>
        </w:rPr>
        <w:t>评标原则</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4"/>
        <w:numPr>
          <w:ilvl w:val="0"/>
          <w:numId w:val="21"/>
        </w:numPr>
        <w:spacing w:before="0" w:after="0" w:line="360" w:lineRule="auto"/>
        <w:rPr>
          <w:rFonts w:hint="eastAsia" w:ascii="仿宋" w:hAnsi="仿宋" w:eastAsia="仿宋" w:cs="仿宋"/>
          <w:color w:val="auto"/>
          <w:sz w:val="28"/>
          <w:szCs w:val="28"/>
        </w:rPr>
      </w:pPr>
      <w:bookmarkStart w:id="337" w:name="_Toc130180853"/>
      <w:bookmarkStart w:id="338" w:name="_Toc271105739"/>
      <w:bookmarkStart w:id="339" w:name="_Toc243923430"/>
      <w:bookmarkStart w:id="340" w:name="_Toc130695647"/>
      <w:bookmarkStart w:id="341" w:name="_Toc226966747"/>
      <w:bookmarkStart w:id="342" w:name="_Toc130180748"/>
      <w:bookmarkStart w:id="343" w:name="_Toc15592"/>
      <w:bookmarkStart w:id="344" w:name="_Toc191353075"/>
      <w:bookmarkStart w:id="345" w:name="_Toc245203944"/>
      <w:bookmarkStart w:id="346" w:name="_Toc130697239"/>
      <w:bookmarkStart w:id="347" w:name="_Toc279046926"/>
      <w:bookmarkStart w:id="348" w:name="_Toc272350671"/>
      <w:bookmarkStart w:id="349" w:name="_Toc130180934"/>
      <w:bookmarkStart w:id="350" w:name="_Toc209258335"/>
      <w:bookmarkStart w:id="351" w:name="_Toc243743416"/>
      <w:r>
        <w:rPr>
          <w:rFonts w:hint="eastAsia" w:ascii="仿宋" w:hAnsi="仿宋" w:eastAsia="仿宋" w:cs="仿宋"/>
          <w:color w:val="auto"/>
          <w:sz w:val="28"/>
          <w:szCs w:val="28"/>
        </w:rPr>
        <w:t>评标方法及流程</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pStyle w:val="5"/>
        <w:numPr>
          <w:ilvl w:val="0"/>
          <w:numId w:val="29"/>
        </w:numPr>
        <w:spacing w:before="120" w:beforeLines="50" w:line="360" w:lineRule="auto"/>
        <w:ind w:left="357" w:hanging="357"/>
        <w:rPr>
          <w:rFonts w:hint="eastAsia" w:ascii="仿宋" w:hAnsi="仿宋" w:eastAsia="仿宋" w:cs="仿宋"/>
          <w:bCs w:val="0"/>
          <w:color w:val="auto"/>
          <w:sz w:val="24"/>
        </w:rPr>
      </w:pPr>
      <w:bookmarkStart w:id="352" w:name="_Toc272350672"/>
      <w:bookmarkStart w:id="353" w:name="_Toc209258336"/>
      <w:bookmarkStart w:id="354" w:name="_Toc245203945"/>
      <w:bookmarkStart w:id="355" w:name="_Toc226966748"/>
      <w:bookmarkStart w:id="356" w:name="_Toc153615346"/>
      <w:bookmarkStart w:id="357" w:name="_Toc279046927"/>
      <w:bookmarkStart w:id="358" w:name="_Toc191353076"/>
      <w:bookmarkStart w:id="359" w:name="_Toc278958220"/>
      <w:bookmarkStart w:id="360" w:name="_Toc243743417"/>
      <w:bookmarkStart w:id="361" w:name="_Toc185747638"/>
      <w:bookmarkStart w:id="362" w:name="_Toc31987"/>
      <w:bookmarkStart w:id="363" w:name="_Toc130695648"/>
      <w:bookmarkStart w:id="364" w:name="_Toc130697240"/>
      <w:bookmarkStart w:id="365" w:name="_Toc226521760"/>
      <w:bookmarkStart w:id="366" w:name="_Toc277758556"/>
      <w:bookmarkStart w:id="367" w:name="_Toc243923431"/>
      <w:bookmarkStart w:id="368" w:name="_Toc271105740"/>
      <w:r>
        <w:rPr>
          <w:rFonts w:hint="eastAsia" w:ascii="仿宋" w:hAnsi="仿宋" w:eastAsia="仿宋" w:cs="仿宋"/>
          <w:bCs w:val="0"/>
          <w:color w:val="auto"/>
          <w:sz w:val="24"/>
        </w:rPr>
        <w:t>评标方法</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本次招标的评标方法采用综合评分方法。</w:t>
      </w:r>
    </w:p>
    <w:p>
      <w:pPr>
        <w:pStyle w:val="5"/>
        <w:numPr>
          <w:ilvl w:val="0"/>
          <w:numId w:val="29"/>
        </w:numPr>
        <w:spacing w:before="120" w:beforeLines="50" w:line="360" w:lineRule="auto"/>
        <w:ind w:left="357" w:hanging="357"/>
        <w:rPr>
          <w:rFonts w:hint="eastAsia" w:ascii="仿宋" w:hAnsi="仿宋" w:eastAsia="仿宋" w:cs="仿宋"/>
          <w:bCs w:val="0"/>
          <w:color w:val="auto"/>
          <w:sz w:val="24"/>
        </w:rPr>
      </w:pPr>
      <w:bookmarkStart w:id="369" w:name="_Toc243923432"/>
      <w:bookmarkStart w:id="370" w:name="_Toc226966749"/>
      <w:bookmarkStart w:id="371" w:name="_Toc2186"/>
      <w:bookmarkStart w:id="372" w:name="_Toc278958221"/>
      <w:bookmarkStart w:id="373" w:name="_Toc271105741"/>
      <w:bookmarkStart w:id="374" w:name="_Toc153615347"/>
      <w:bookmarkStart w:id="375" w:name="_Toc279046928"/>
      <w:bookmarkStart w:id="376" w:name="_Toc185747639"/>
      <w:bookmarkStart w:id="377" w:name="_Toc226521761"/>
      <w:bookmarkStart w:id="378" w:name="_Toc130697241"/>
      <w:bookmarkStart w:id="379" w:name="_Toc277758557"/>
      <w:bookmarkStart w:id="380" w:name="_Toc243743418"/>
      <w:bookmarkStart w:id="381" w:name="_Toc245203946"/>
      <w:bookmarkStart w:id="382" w:name="_Toc209258337"/>
      <w:bookmarkStart w:id="383" w:name="_Toc191353077"/>
      <w:bookmarkStart w:id="384" w:name="_Toc272350673"/>
      <w:bookmarkStart w:id="385" w:name="_Toc130695649"/>
      <w:r>
        <w:rPr>
          <w:rFonts w:hint="eastAsia" w:ascii="仿宋" w:hAnsi="仿宋" w:eastAsia="仿宋" w:cs="仿宋"/>
          <w:bCs w:val="0"/>
          <w:color w:val="auto"/>
          <w:sz w:val="24"/>
        </w:rPr>
        <w:t>评标流程</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评标分两个阶段进行：投标文件符合性审查和投标文件详细评审。具体方法及流程如下：</w:t>
      </w:r>
    </w:p>
    <w:p>
      <w:pPr>
        <w:spacing w:line="360" w:lineRule="auto"/>
        <w:rPr>
          <w:rFonts w:hint="eastAsia" w:ascii="仿宋" w:hAnsi="仿宋" w:eastAsia="仿宋" w:cs="仿宋"/>
          <w:bCs/>
          <w:color w:val="auto"/>
          <w:sz w:val="24"/>
        </w:rPr>
      </w:pPr>
      <w:r>
        <w:rPr>
          <w:rFonts w:hint="eastAsia" w:ascii="仿宋" w:hAnsi="仿宋" w:eastAsia="仿宋" w:cs="仿宋"/>
          <w:bCs/>
          <w:color w:val="auto"/>
          <w:sz w:val="24"/>
        </w:rPr>
        <w:t>（1）投标文件符合性审查</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各评委对各投标文件按照</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文件要求的响应情况进行符合性审查。符合性审查必须根据</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文件中对投标人的要求和投标文件中的响应进行。</w:t>
      </w:r>
    </w:p>
    <w:p>
      <w:pPr>
        <w:spacing w:line="360" w:lineRule="auto"/>
        <w:ind w:left="-2" w:leftChars="-1"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在评审中发现关键指标/参数/货物/功能等未能达到</w:t>
      </w:r>
      <w:r>
        <w:rPr>
          <w:rFonts w:hint="eastAsia" w:ascii="仿宋" w:hAnsi="仿宋" w:eastAsia="仿宋" w:cs="仿宋"/>
          <w:bCs/>
          <w:color w:val="auto"/>
          <w:sz w:val="24"/>
          <w:lang w:eastAsia="zh-CN"/>
        </w:rPr>
        <w:t>磋商</w:t>
      </w:r>
      <w:r>
        <w:rPr>
          <w:rFonts w:hint="eastAsia" w:ascii="仿宋" w:hAnsi="仿宋" w:eastAsia="仿宋" w:cs="仿宋"/>
          <w:bCs/>
          <w:color w:val="auto"/>
          <w:sz w:val="24"/>
        </w:rPr>
        <w:t>文件中的规定或有虚假情况时，评标委员会有权取消其投标资格。</w:t>
      </w:r>
    </w:p>
    <w:p>
      <w:pPr>
        <w:spacing w:line="500" w:lineRule="exact"/>
        <w:ind w:firstLine="240" w:firstLineChars="100"/>
        <w:rPr>
          <w:rFonts w:hint="eastAsia" w:ascii="仿宋" w:hAnsi="仿宋" w:eastAsia="仿宋" w:cs="仿宋"/>
          <w:color w:val="auto"/>
          <w:kern w:val="0"/>
          <w:sz w:val="24"/>
          <w:szCs w:val="24"/>
        </w:rPr>
      </w:pPr>
      <w:r>
        <w:rPr>
          <w:rFonts w:hint="eastAsia" w:ascii="仿宋" w:hAnsi="仿宋" w:eastAsia="仿宋" w:cs="仿宋"/>
          <w:bCs/>
          <w:color w:val="auto"/>
          <w:sz w:val="24"/>
        </w:rPr>
        <w:t>投标人只有完全通过符合性审查，才能进入下一阶段的详细评审，否则视为无效投标。</w:t>
      </w:r>
      <w:r>
        <w:rPr>
          <w:rFonts w:hint="eastAsia" w:ascii="仿宋" w:hAnsi="仿宋" w:eastAsia="仿宋" w:cs="仿宋"/>
          <w:color w:val="auto"/>
          <w:kern w:val="0"/>
          <w:sz w:val="24"/>
          <w:szCs w:val="24"/>
        </w:rPr>
        <w:t xml:space="preserve"> </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(一)未按照招标文件的规定提交投标保证金的;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(二)投标文件未按招标文件要求签署、盖章的;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(三)不具备招标文件中规定的资格要求的;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(四)报价超过招标文件中规定的预算金额或者最高限价的;</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(五)投标文件含有采购人不能接受的附加条件的;</w:t>
      </w:r>
    </w:p>
    <w:p>
      <w:pPr>
        <w:spacing w:line="500" w:lineRule="exact"/>
        <w:ind w:firstLine="480" w:firstLineChars="200"/>
        <w:rPr>
          <w:rFonts w:hint="eastAsia" w:ascii="仿宋" w:hAnsi="仿宋" w:eastAsia="仿宋" w:cs="仿宋"/>
          <w:bCs/>
          <w:color w:val="auto"/>
          <w:sz w:val="24"/>
        </w:rPr>
      </w:pPr>
      <w:r>
        <w:rPr>
          <w:rFonts w:hint="eastAsia" w:ascii="仿宋" w:hAnsi="仿宋" w:eastAsia="仿宋" w:cs="仿宋"/>
          <w:color w:val="auto"/>
          <w:kern w:val="0"/>
          <w:sz w:val="24"/>
          <w:szCs w:val="24"/>
        </w:rPr>
        <w:t>(六)法律、法规和招标文件规定的其他无效情形。</w:t>
      </w:r>
    </w:p>
    <w:p>
      <w:pPr>
        <w:spacing w:line="360" w:lineRule="auto"/>
        <w:rPr>
          <w:rFonts w:hint="eastAsia" w:ascii="仿宋" w:hAnsi="仿宋" w:eastAsia="仿宋" w:cs="仿宋"/>
          <w:bCs/>
          <w:color w:val="auto"/>
          <w:sz w:val="24"/>
        </w:rPr>
      </w:pPr>
      <w:r>
        <w:rPr>
          <w:rFonts w:hint="eastAsia" w:ascii="仿宋" w:hAnsi="仿宋" w:eastAsia="仿宋" w:cs="仿宋"/>
          <w:bCs/>
          <w:color w:val="auto"/>
          <w:sz w:val="24"/>
        </w:rPr>
        <w:t>（2）投标文件详细评审</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w:t>
      </w:r>
      <w:r>
        <w:rPr>
          <w:rFonts w:hint="eastAsia" w:ascii="仿宋" w:hAnsi="仿宋" w:eastAsia="仿宋" w:cs="仿宋"/>
          <w:bCs/>
          <w:color w:val="auto"/>
          <w:sz w:val="24"/>
          <w:lang w:eastAsia="zh-CN"/>
        </w:rPr>
        <w:t>，</w:t>
      </w:r>
      <w:r>
        <w:rPr>
          <w:rFonts w:hint="eastAsia" w:ascii="仿宋" w:hAnsi="仿宋" w:eastAsia="仿宋" w:cs="仿宋"/>
          <w:bCs/>
          <w:color w:val="auto"/>
          <w:sz w:val="24"/>
        </w:rPr>
        <w:t>第</w:t>
      </w:r>
      <w:r>
        <w:rPr>
          <w:rFonts w:hint="eastAsia" w:ascii="仿宋" w:hAnsi="仿宋" w:eastAsia="仿宋" w:cs="仿宋"/>
          <w:bCs/>
          <w:color w:val="auto"/>
          <w:sz w:val="24"/>
          <w:lang w:val="en-US" w:eastAsia="zh-CN"/>
        </w:rPr>
        <w:t>三</w:t>
      </w:r>
      <w:r>
        <w:rPr>
          <w:rFonts w:hint="eastAsia" w:ascii="仿宋" w:hAnsi="仿宋" w:eastAsia="仿宋" w:cs="仿宋"/>
          <w:bCs/>
          <w:color w:val="auto"/>
          <w:sz w:val="24"/>
        </w:rPr>
        <w:t>中标候选单位一名。</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当通过符合性审查的投标人少于三家时，评标委员会否决所有投标文件，提请依法重新招标。</w:t>
      </w:r>
    </w:p>
    <w:p>
      <w:pPr>
        <w:pStyle w:val="5"/>
        <w:numPr>
          <w:ilvl w:val="0"/>
          <w:numId w:val="29"/>
        </w:numPr>
        <w:spacing w:before="120" w:beforeLines="50" w:line="360" w:lineRule="auto"/>
        <w:ind w:left="357" w:hanging="357"/>
        <w:rPr>
          <w:rFonts w:hint="eastAsia" w:ascii="仿宋" w:hAnsi="仿宋" w:eastAsia="仿宋" w:cs="仿宋"/>
          <w:bCs w:val="0"/>
          <w:color w:val="auto"/>
          <w:sz w:val="24"/>
        </w:rPr>
      </w:pPr>
      <w:bookmarkStart w:id="386" w:name="_Toc245203947"/>
      <w:bookmarkStart w:id="387" w:name="_Toc185747640"/>
      <w:bookmarkStart w:id="388" w:name="_Toc209258338"/>
      <w:bookmarkStart w:id="389" w:name="_Toc279046929"/>
      <w:bookmarkStart w:id="390" w:name="_Toc243923433"/>
      <w:bookmarkStart w:id="391" w:name="_Toc278958222"/>
      <w:bookmarkStart w:id="392" w:name="_Toc272350674"/>
      <w:bookmarkStart w:id="393" w:name="_Toc243743419"/>
      <w:bookmarkStart w:id="394" w:name="_Toc32591"/>
      <w:bookmarkStart w:id="395" w:name="_Toc153615348"/>
      <w:bookmarkStart w:id="396" w:name="_Toc130695650"/>
      <w:bookmarkStart w:id="397" w:name="_Toc130697242"/>
      <w:bookmarkStart w:id="398" w:name="_Toc191353078"/>
      <w:bookmarkStart w:id="399" w:name="_Toc226966750"/>
      <w:bookmarkStart w:id="400" w:name="_Toc271105742"/>
      <w:bookmarkStart w:id="401" w:name="_Toc226521762"/>
      <w:bookmarkStart w:id="402" w:name="_Toc277758558"/>
      <w:r>
        <w:rPr>
          <w:rFonts w:hint="eastAsia" w:ascii="仿宋" w:hAnsi="仿宋" w:eastAsia="仿宋" w:cs="仿宋"/>
          <w:bCs w:val="0"/>
          <w:color w:val="auto"/>
          <w:sz w:val="24"/>
        </w:rPr>
        <w:t>投标文件的澄清</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numPr>
          <w:ilvl w:val="0"/>
          <w:numId w:val="30"/>
        </w:numPr>
        <w:tabs>
          <w:tab w:val="left" w:pos="1155"/>
        </w:tabs>
        <w:spacing w:line="360" w:lineRule="auto"/>
        <w:ind w:left="0" w:firstLine="525"/>
        <w:rPr>
          <w:rFonts w:hint="eastAsia" w:ascii="仿宋" w:hAnsi="仿宋" w:eastAsia="仿宋" w:cs="仿宋"/>
          <w:color w:val="auto"/>
          <w:sz w:val="24"/>
        </w:rPr>
      </w:pPr>
      <w:r>
        <w:rPr>
          <w:rFonts w:hint="eastAsia" w:ascii="仿宋" w:hAnsi="仿宋" w:eastAsia="仿宋" w:cs="仿宋"/>
          <w:color w:val="auto"/>
          <w:sz w:val="24"/>
        </w:rPr>
        <w:t>对投标文件中含义不明确、同类问题表述不一致或者有明显文字和计算错误的内容，评标委员会可以书面形式要求投标人作出必要的澄清和说明。</w:t>
      </w:r>
    </w:p>
    <w:p>
      <w:pPr>
        <w:numPr>
          <w:ilvl w:val="0"/>
          <w:numId w:val="30"/>
        </w:numPr>
        <w:tabs>
          <w:tab w:val="left" w:pos="1155"/>
        </w:tabs>
        <w:spacing w:line="360" w:lineRule="auto"/>
        <w:ind w:left="0" w:firstLine="525"/>
        <w:rPr>
          <w:rFonts w:hint="eastAsia" w:ascii="仿宋" w:hAnsi="仿宋" w:eastAsia="仿宋" w:cs="仿宋"/>
          <w:color w:val="auto"/>
          <w:sz w:val="24"/>
        </w:rPr>
      </w:pPr>
      <w:r>
        <w:rPr>
          <w:rFonts w:hint="eastAsia" w:ascii="仿宋" w:hAnsi="仿宋" w:eastAsia="仿宋" w:cs="仿宋"/>
          <w:color w:val="auto"/>
          <w:sz w:val="24"/>
        </w:rPr>
        <w:t>投标人的澄清和说明应当采用书面形式，由其授权的代表签字，并不得超出投标文件的范围或者改变投标文件的实质性内容。</w:t>
      </w:r>
    </w:p>
    <w:p>
      <w:pPr>
        <w:numPr>
          <w:ilvl w:val="0"/>
          <w:numId w:val="30"/>
        </w:numPr>
        <w:tabs>
          <w:tab w:val="left" w:pos="1155"/>
        </w:tabs>
        <w:spacing w:line="360" w:lineRule="auto"/>
        <w:ind w:left="0" w:firstLine="525"/>
        <w:rPr>
          <w:rFonts w:hint="eastAsia" w:ascii="仿宋" w:hAnsi="仿宋" w:eastAsia="仿宋" w:cs="仿宋"/>
          <w:color w:val="auto"/>
          <w:sz w:val="24"/>
        </w:rPr>
      </w:pPr>
      <w:r>
        <w:rPr>
          <w:rFonts w:hint="eastAsia" w:ascii="仿宋" w:hAnsi="仿宋" w:eastAsia="仿宋" w:cs="仿宋"/>
          <w:color w:val="auto"/>
          <w:sz w:val="24"/>
        </w:rPr>
        <w:t>除上述规定的情形之外，评标委员会在评审过程中，不得接收来自评审现场以外的任何形式的文件资料。</w:t>
      </w:r>
    </w:p>
    <w:p>
      <w:pPr>
        <w:pStyle w:val="4"/>
        <w:numPr>
          <w:ilvl w:val="0"/>
          <w:numId w:val="21"/>
        </w:numPr>
        <w:spacing w:before="0" w:after="0" w:line="360" w:lineRule="auto"/>
        <w:rPr>
          <w:rFonts w:hint="eastAsia" w:ascii="仿宋" w:hAnsi="仿宋" w:eastAsia="仿宋" w:cs="仿宋"/>
          <w:color w:val="auto"/>
          <w:sz w:val="28"/>
          <w:szCs w:val="28"/>
        </w:rPr>
      </w:pPr>
      <w:bookmarkStart w:id="403" w:name="_Toc130695651"/>
      <w:bookmarkStart w:id="404" w:name="_Toc279046930"/>
      <w:bookmarkStart w:id="405" w:name="_Toc130180749"/>
      <w:bookmarkStart w:id="406" w:name="_Toc209258339"/>
      <w:bookmarkStart w:id="407" w:name="_Toc272350675"/>
      <w:bookmarkStart w:id="408" w:name="_Toc243743420"/>
      <w:bookmarkStart w:id="409" w:name="_Toc243923434"/>
      <w:bookmarkStart w:id="410" w:name="_Toc130180935"/>
      <w:bookmarkStart w:id="411" w:name="_Toc130180854"/>
      <w:bookmarkStart w:id="412" w:name="_Toc245203948"/>
      <w:bookmarkStart w:id="413" w:name="_Toc226966751"/>
      <w:bookmarkStart w:id="414" w:name="_Toc271105743"/>
      <w:bookmarkStart w:id="415" w:name="_Toc6227"/>
      <w:bookmarkStart w:id="416" w:name="_Toc191353079"/>
      <w:bookmarkStart w:id="417" w:name="_Toc130697243"/>
      <w:r>
        <w:rPr>
          <w:rFonts w:hint="eastAsia" w:ascii="仿宋" w:hAnsi="仿宋" w:eastAsia="仿宋" w:cs="仿宋"/>
          <w:color w:val="auto"/>
          <w:sz w:val="28"/>
          <w:szCs w:val="28"/>
        </w:rPr>
        <w:t>废标处理</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下列情况出现将视为招标失败，即废标：</w:t>
      </w:r>
    </w:p>
    <w:p>
      <w:pPr>
        <w:pStyle w:val="15"/>
        <w:numPr>
          <w:ilvl w:val="0"/>
          <w:numId w:val="31"/>
        </w:numPr>
        <w:rPr>
          <w:rFonts w:hint="eastAsia" w:ascii="仿宋" w:hAnsi="仿宋" w:eastAsia="仿宋" w:cs="仿宋"/>
          <w:color w:val="auto"/>
        </w:rPr>
      </w:pPr>
      <w:r>
        <w:rPr>
          <w:rFonts w:hint="eastAsia" w:ascii="仿宋" w:hAnsi="仿宋" w:eastAsia="仿宋" w:cs="仿宋"/>
          <w:color w:val="auto"/>
        </w:rPr>
        <w:t>符合专业条件的投标人或者对</w:t>
      </w:r>
      <w:r>
        <w:rPr>
          <w:rFonts w:hint="eastAsia" w:ascii="仿宋" w:hAnsi="仿宋" w:eastAsia="仿宋" w:cs="仿宋"/>
          <w:color w:val="auto"/>
          <w:lang w:eastAsia="zh-CN"/>
        </w:rPr>
        <w:t>磋商</w:t>
      </w:r>
      <w:r>
        <w:rPr>
          <w:rFonts w:hint="eastAsia" w:ascii="仿宋" w:hAnsi="仿宋" w:eastAsia="仿宋" w:cs="仿宋"/>
          <w:color w:val="auto"/>
        </w:rPr>
        <w:t>文件作实质响应的投标人不足三家的；</w:t>
      </w:r>
    </w:p>
    <w:p>
      <w:pPr>
        <w:spacing w:line="360" w:lineRule="auto"/>
        <w:ind w:left="840" w:leftChars="400"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特别说明：</w:t>
      </w:r>
      <w:r>
        <w:rPr>
          <w:rFonts w:hint="eastAsia" w:ascii="仿宋" w:hAnsi="仿宋" w:eastAsia="仿宋" w:cs="仿宋"/>
          <w:color w:val="auto"/>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5"/>
        <w:numPr>
          <w:ilvl w:val="0"/>
          <w:numId w:val="31"/>
        </w:numPr>
        <w:rPr>
          <w:rFonts w:hint="eastAsia" w:ascii="仿宋" w:hAnsi="仿宋" w:eastAsia="仿宋" w:cs="仿宋"/>
          <w:color w:val="auto"/>
        </w:rPr>
      </w:pPr>
      <w:r>
        <w:rPr>
          <w:rFonts w:hint="eastAsia" w:ascii="仿宋" w:hAnsi="仿宋" w:eastAsia="仿宋" w:cs="仿宋"/>
          <w:color w:val="auto"/>
        </w:rPr>
        <w:t>出现影响采购公正的违法、违规行为的；</w:t>
      </w:r>
    </w:p>
    <w:p>
      <w:pPr>
        <w:pStyle w:val="15"/>
        <w:numPr>
          <w:ilvl w:val="0"/>
          <w:numId w:val="31"/>
        </w:numPr>
        <w:rPr>
          <w:rFonts w:hint="eastAsia" w:ascii="仿宋" w:hAnsi="仿宋" w:eastAsia="仿宋" w:cs="仿宋"/>
          <w:color w:val="auto"/>
        </w:rPr>
      </w:pPr>
      <w:r>
        <w:rPr>
          <w:rFonts w:hint="eastAsia" w:ascii="仿宋" w:hAnsi="仿宋" w:eastAsia="仿宋" w:cs="仿宋"/>
          <w:color w:val="auto"/>
        </w:rPr>
        <w:t>投标人的报价均超过了采购预算，采购人不能支付的；</w:t>
      </w:r>
    </w:p>
    <w:p>
      <w:pPr>
        <w:pStyle w:val="15"/>
        <w:numPr>
          <w:ilvl w:val="0"/>
          <w:numId w:val="31"/>
        </w:numPr>
        <w:rPr>
          <w:rFonts w:hint="eastAsia" w:ascii="仿宋" w:hAnsi="仿宋" w:eastAsia="仿宋" w:cs="仿宋"/>
          <w:color w:val="auto"/>
        </w:rPr>
      </w:pPr>
      <w:r>
        <w:rPr>
          <w:rFonts w:hint="eastAsia" w:ascii="仿宋" w:hAnsi="仿宋" w:eastAsia="仿宋" w:cs="仿宋"/>
          <w:color w:val="auto"/>
        </w:rPr>
        <w:t>因重大变故，采购任务取消的。</w:t>
      </w:r>
    </w:p>
    <w:p>
      <w:pPr>
        <w:pStyle w:val="4"/>
        <w:numPr>
          <w:ilvl w:val="0"/>
          <w:numId w:val="21"/>
        </w:numPr>
        <w:spacing w:before="0" w:after="0" w:line="360" w:lineRule="auto"/>
        <w:rPr>
          <w:rFonts w:hint="eastAsia" w:ascii="仿宋" w:hAnsi="仿宋" w:eastAsia="仿宋" w:cs="仿宋"/>
          <w:color w:val="auto"/>
          <w:sz w:val="28"/>
          <w:szCs w:val="28"/>
          <w:highlight w:val="none"/>
        </w:rPr>
      </w:pPr>
      <w:bookmarkStart w:id="418" w:name="附表1"/>
      <w:bookmarkEnd w:id="418"/>
      <w:bookmarkStart w:id="419" w:name="_Toc272350676"/>
      <w:bookmarkStart w:id="420" w:name="_Toc209258340"/>
      <w:bookmarkStart w:id="421" w:name="_Toc226966752"/>
      <w:bookmarkStart w:id="422" w:name="_Toc243743421"/>
      <w:bookmarkStart w:id="423" w:name="_Toc130695652"/>
      <w:bookmarkStart w:id="424" w:name="_Toc130180750"/>
      <w:bookmarkStart w:id="425" w:name="_Toc279046931"/>
      <w:bookmarkStart w:id="426" w:name="_Toc130697244"/>
      <w:bookmarkStart w:id="427" w:name="_Toc271105744"/>
      <w:bookmarkStart w:id="428" w:name="_Toc130180855"/>
      <w:bookmarkStart w:id="429" w:name="_Toc191353080"/>
      <w:bookmarkStart w:id="430" w:name="_Toc14205"/>
      <w:bookmarkStart w:id="431" w:name="_Toc243923435"/>
      <w:bookmarkStart w:id="432" w:name="_Toc245203949"/>
      <w:bookmarkStart w:id="433" w:name="_Toc130180936"/>
      <w:r>
        <w:rPr>
          <w:rFonts w:hint="eastAsia" w:ascii="仿宋" w:hAnsi="仿宋" w:eastAsia="仿宋" w:cs="仿宋"/>
          <w:color w:val="auto"/>
          <w:sz w:val="28"/>
          <w:szCs w:val="28"/>
          <w:highlight w:val="none"/>
        </w:rPr>
        <w:t>评分标准</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bl>
      <w:tblPr>
        <w:tblStyle w:val="22"/>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993"/>
        <w:gridCol w:w="1207"/>
        <w:gridCol w:w="5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bookmarkStart w:id="434" w:name="_Toc153615353"/>
            <w:bookmarkStart w:id="435" w:name="_Toc277758563"/>
            <w:bookmarkStart w:id="436" w:name="_Toc226521767"/>
            <w:bookmarkStart w:id="437" w:name="_Toc130697247"/>
            <w:bookmarkStart w:id="438" w:name="_Toc130695655"/>
            <w:bookmarkStart w:id="439" w:name="_Toc226966755"/>
            <w:bookmarkStart w:id="440" w:name="_Toc245203952"/>
            <w:bookmarkStart w:id="441" w:name="_Toc278958227"/>
            <w:bookmarkStart w:id="442" w:name="_Toc185747645"/>
            <w:bookmarkStart w:id="443" w:name="_Toc209258343"/>
            <w:bookmarkStart w:id="444" w:name="_Toc191353083"/>
            <w:bookmarkStart w:id="445" w:name="_Toc6359"/>
            <w:bookmarkStart w:id="446" w:name="_Toc243923438"/>
            <w:bookmarkStart w:id="447" w:name="_Toc271105747"/>
            <w:bookmarkStart w:id="448" w:name="_Toc272350679"/>
            <w:bookmarkStart w:id="449" w:name="_Toc243743424"/>
            <w:bookmarkStart w:id="450" w:name="_Toc279046934"/>
            <w:r>
              <w:rPr>
                <w:rFonts w:hint="eastAsia" w:ascii="仿宋" w:hAnsi="仿宋" w:eastAsia="仿宋" w:cs="仿宋"/>
                <w:color w:val="auto"/>
                <w:sz w:val="24"/>
                <w:szCs w:val="24"/>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评分内容</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6"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商务部分(报价得分)</w:t>
            </w:r>
          </w:p>
          <w:p>
            <w:pPr>
              <w:spacing w:line="440" w:lineRule="exact"/>
              <w:jc w:val="center"/>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0分</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报价得分=(评标基准价/投标报价)×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0%×100</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5"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属于中小企业评审优惠内容及价格扣除幅度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（一）中小企业（含中型、小型、微型企业）应当同时符合以下条件：</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①符合中小企业划分标准（按《关于印发中小企业划型标准规定的通知》（工信部联企业〔2011〕300号）执行）；</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③小型、微型企业提供中型企业制造的货物的，视同为中型企业。</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（二）价格扣除办法：</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（三）小型和微型企业适用价格扣除办法时应提供的相关资料：</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①、《中小企业声明函》；</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②、提供投标人工商行政登记所在地管理部门出具的小微企业证明文件。</w:t>
            </w:r>
          </w:p>
          <w:p>
            <w:pPr>
              <w:pStyle w:val="15"/>
              <w:snapToGrid w:val="0"/>
              <w:spacing w:line="440" w:lineRule="exac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③、提供所代理产品生产厂家的属地主管部门出具的小微企业证明文件；</w:t>
            </w:r>
          </w:p>
          <w:p>
            <w:pPr>
              <w:pStyle w:val="15"/>
              <w:snapToGrid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color w:val="auto"/>
                <w:sz w:val="24"/>
                <w:szCs w:val="24"/>
              </w:rPr>
            </w:pPr>
            <w:r>
              <w:rPr>
                <w:rFonts w:hint="eastAsia" w:ascii="仿宋" w:hAnsi="仿宋" w:eastAsia="仿宋" w:cs="仿宋"/>
                <w:b/>
                <w:color w:val="auto"/>
                <w:sz w:val="24"/>
              </w:rPr>
              <w:t>节能、环境标志产品评审优惠内容及加分幅度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pStyle w:val="15"/>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价格项</w:t>
            </w:r>
          </w:p>
        </w:tc>
        <w:tc>
          <w:tcPr>
            <w:tcW w:w="5175" w:type="dxa"/>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1、（节能清单部分产品的价格/投标报价）×3%×价格项满分值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2、（环境清单部分产品的价格/投标报价）×3%×价格项满分值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注：1、提供最新《节能产品政府采购清单》关于投标产品当前页的打印件；</w:t>
            </w:r>
          </w:p>
          <w:p>
            <w:pPr>
              <w:pStyle w:val="15"/>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2、提供最新《环境标志产品政府采购清单》关于投标产品当前页的打印件。</w:t>
            </w:r>
          </w:p>
        </w:tc>
      </w:tr>
    </w:tbl>
    <w:p>
      <w:pPr>
        <w:pStyle w:val="15"/>
        <w:snapToGrid w:val="0"/>
        <w:spacing w:line="440" w:lineRule="exact"/>
        <w:ind w:left="0" w:leftChars="0" w:firstLine="0" w:firstLineChars="0"/>
        <w:rPr>
          <w:rFonts w:hint="eastAsia" w:ascii="仿宋" w:hAnsi="仿宋" w:eastAsia="仿宋" w:cs="仿宋"/>
          <w:color w:val="auto"/>
          <w:sz w:val="24"/>
          <w:szCs w:val="24"/>
        </w:rPr>
      </w:pPr>
    </w:p>
    <w:p>
      <w:pPr>
        <w:rPr>
          <w:rFonts w:hint="eastAsia" w:ascii="仿宋" w:hAnsi="仿宋" w:eastAsia="仿宋" w:cs="仿宋"/>
          <w:color w:val="auto"/>
        </w:rPr>
      </w:pPr>
    </w:p>
    <w:tbl>
      <w:tblPr>
        <w:tblStyle w:val="23"/>
        <w:tblpPr w:leftFromText="180" w:rightFromText="180" w:vertAnchor="text" w:tblpX="10880" w:tblpY="-9269"/>
        <w:tblOverlap w:val="never"/>
        <w:tblW w:w="2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9" w:type="dxa"/>
          <w:trHeight w:val="30" w:hRule="atLeast"/>
        </w:trPr>
        <w:tc>
          <w:tcPr>
            <w:tcW w:w="1970"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仿宋" w:hAnsi="仿宋" w:eastAsia="仿宋" w:cs="仿宋"/>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0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仿宋" w:hAnsi="仿宋" w:eastAsia="仿宋" w:cs="仿宋"/>
                <w:color w:val="auto"/>
                <w:sz w:val="24"/>
                <w:vertAlign w:val="baseline"/>
              </w:rPr>
            </w:pPr>
          </w:p>
        </w:tc>
      </w:t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tbl>
    <w:p>
      <w:pPr>
        <w:pStyle w:val="15"/>
        <w:snapToGrid w:val="0"/>
        <w:spacing w:line="440" w:lineRule="exact"/>
        <w:rPr>
          <w:rFonts w:hint="eastAsia" w:ascii="仿宋" w:hAnsi="仿宋" w:eastAsia="仿宋" w:cs="仿宋"/>
          <w:color w:val="auto"/>
          <w:sz w:val="24"/>
          <w:szCs w:val="24"/>
        </w:rPr>
      </w:pPr>
    </w:p>
    <w:p>
      <w:pPr>
        <w:pStyle w:val="15"/>
        <w:snapToGrid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商务、技术部分评分表</w:t>
      </w:r>
    </w:p>
    <w:tbl>
      <w:tblPr>
        <w:tblStyle w:val="22"/>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450"/>
        <w:gridCol w:w="992"/>
        <w:gridCol w:w="855"/>
        <w:gridCol w:w="73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jc w:val="center"/>
        </w:trPr>
        <w:tc>
          <w:tcPr>
            <w:tcW w:w="78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商务技术部分（70分）</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1</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标书制作</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0-2</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装订牢固，目录清楚，逐页编码，页码准确。完全响应招标文件要求提供相关资料，表格等。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2</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业绩</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0-3</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投标供应商提供近二年（2019年</w:t>
            </w:r>
            <w:r>
              <w:rPr>
                <w:rFonts w:hint="eastAsia" w:ascii="仿宋" w:hAnsi="仿宋" w:eastAsia="仿宋" w:cs="仿宋"/>
                <w:bCs/>
                <w:color w:val="auto"/>
                <w:sz w:val="22"/>
                <w:szCs w:val="22"/>
                <w:lang w:val="en-US" w:eastAsia="zh-CN"/>
              </w:rPr>
              <w:t>12月</w:t>
            </w:r>
            <w:r>
              <w:rPr>
                <w:rFonts w:hint="eastAsia" w:ascii="仿宋" w:hAnsi="仿宋" w:eastAsia="仿宋" w:cs="仿宋"/>
                <w:bCs/>
                <w:color w:val="auto"/>
                <w:sz w:val="22"/>
                <w:szCs w:val="22"/>
              </w:rPr>
              <w:t>01日至今）类似业绩（须提供合同或中标通知书或成交通知书复印件）。提供一个得1分，满分3分。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bookmarkStart w:id="451" w:name="OLE_LINK2"/>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技术参数</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rPr>
              <w:t>0-</w:t>
            </w:r>
            <w:r>
              <w:rPr>
                <w:rFonts w:hint="eastAsia" w:ascii="仿宋" w:hAnsi="仿宋" w:eastAsia="仿宋" w:cs="仿宋"/>
                <w:bCs/>
                <w:color w:val="auto"/>
                <w:sz w:val="22"/>
                <w:szCs w:val="22"/>
                <w:lang w:val="en-US" w:eastAsia="zh-CN"/>
              </w:rPr>
              <w:t>20</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“★”号条款不满足每条扣</w:t>
            </w:r>
            <w:r>
              <w:rPr>
                <w:rFonts w:hint="eastAsia" w:ascii="仿宋" w:hAnsi="仿宋" w:eastAsia="仿宋" w:cs="仿宋"/>
                <w:bCs/>
                <w:color w:val="auto"/>
                <w:sz w:val="22"/>
                <w:szCs w:val="22"/>
                <w:lang w:val="en-US" w:eastAsia="zh-CN"/>
              </w:rPr>
              <w:t>5</w:t>
            </w:r>
            <w:r>
              <w:rPr>
                <w:rFonts w:hint="eastAsia" w:ascii="仿宋" w:hAnsi="仿宋" w:eastAsia="仿宋" w:cs="仿宋"/>
                <w:bCs/>
                <w:color w:val="auto"/>
                <w:sz w:val="22"/>
                <w:szCs w:val="22"/>
              </w:rPr>
              <w:t>分，直至0分；</w:t>
            </w:r>
          </w:p>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一般条款不满足每条扣</w:t>
            </w:r>
            <w:r>
              <w:rPr>
                <w:rFonts w:hint="eastAsia" w:ascii="仿宋" w:hAnsi="仿宋" w:eastAsia="仿宋" w:cs="仿宋"/>
                <w:bCs/>
                <w:color w:val="auto"/>
                <w:sz w:val="22"/>
                <w:szCs w:val="22"/>
                <w:lang w:val="en-US" w:eastAsia="zh-CN"/>
              </w:rPr>
              <w:t>3</w:t>
            </w:r>
            <w:r>
              <w:rPr>
                <w:rFonts w:hint="eastAsia" w:ascii="仿宋" w:hAnsi="仿宋" w:eastAsia="仿宋" w:cs="仿宋"/>
                <w:bCs/>
                <w:color w:val="auto"/>
                <w:sz w:val="22"/>
                <w:szCs w:val="22"/>
              </w:rPr>
              <w:t>分，直至0分；</w:t>
            </w:r>
          </w:p>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漏报技术条款视为该条不满足。</w:t>
            </w:r>
          </w:p>
          <w:p>
            <w:pPr>
              <w:adjustRightInd w:val="0"/>
              <w:snapToGrid w:val="0"/>
              <w:spacing w:line="420" w:lineRule="exact"/>
              <w:jc w:val="left"/>
              <w:rPr>
                <w:rFonts w:hint="eastAsia" w:ascii="仿宋" w:hAnsi="仿宋" w:eastAsia="仿宋" w:cs="仿宋"/>
                <w:color w:val="auto"/>
                <w:sz w:val="20"/>
                <w:szCs w:val="18"/>
              </w:rPr>
            </w:pPr>
            <w:r>
              <w:rPr>
                <w:rFonts w:hint="eastAsia" w:ascii="仿宋" w:hAnsi="仿宋" w:eastAsia="仿宋" w:cs="仿宋"/>
                <w:bCs/>
                <w:color w:val="auto"/>
                <w:sz w:val="22"/>
                <w:szCs w:val="22"/>
              </w:rPr>
              <w:t>（“★”为重要条款，未加“★”为一般条款）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6"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4</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产品质量性能、配置</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eastAsia="zh-CN"/>
              </w:rPr>
            </w:pPr>
            <w:r>
              <w:rPr>
                <w:rFonts w:hint="eastAsia" w:ascii="仿宋" w:hAnsi="仿宋" w:eastAsia="仿宋" w:cs="仿宋"/>
                <w:bCs/>
                <w:color w:val="auto"/>
                <w:sz w:val="22"/>
                <w:szCs w:val="22"/>
              </w:rPr>
              <w:t>0-1</w:t>
            </w:r>
            <w:r>
              <w:rPr>
                <w:rFonts w:hint="eastAsia" w:ascii="仿宋" w:hAnsi="仿宋" w:eastAsia="仿宋" w:cs="仿宋"/>
                <w:bCs/>
                <w:color w:val="auto"/>
                <w:sz w:val="22"/>
                <w:szCs w:val="22"/>
                <w:lang w:val="en-US" w:eastAsia="zh-CN"/>
              </w:rPr>
              <w:t>5</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lang w:val="en-US" w:eastAsia="zh-CN"/>
              </w:rPr>
              <w:t>产品</w:t>
            </w:r>
            <w:r>
              <w:rPr>
                <w:rFonts w:hint="eastAsia" w:ascii="仿宋" w:hAnsi="仿宋" w:eastAsia="仿宋" w:cs="仿宋"/>
                <w:bCs/>
                <w:color w:val="auto"/>
                <w:sz w:val="22"/>
                <w:szCs w:val="22"/>
              </w:rPr>
              <w:t>的功能性、整体配套性、经济性、先进性、稳定性是否最佳化。</w:t>
            </w:r>
            <w:r>
              <w:rPr>
                <w:rFonts w:hint="eastAsia" w:ascii="仿宋" w:hAnsi="仿宋" w:eastAsia="仿宋" w:cs="仿宋"/>
                <w:bCs/>
                <w:color w:val="auto"/>
                <w:sz w:val="22"/>
                <w:szCs w:val="22"/>
                <w:lang w:val="en-US" w:eastAsia="zh-CN"/>
              </w:rPr>
              <w:t>产品</w:t>
            </w:r>
            <w:r>
              <w:rPr>
                <w:rFonts w:hint="eastAsia" w:ascii="仿宋" w:hAnsi="仿宋" w:eastAsia="仿宋" w:cs="仿宋"/>
                <w:bCs/>
                <w:color w:val="auto"/>
                <w:sz w:val="22"/>
                <w:szCs w:val="22"/>
              </w:rPr>
              <w:t>的选材是否优质、合理，质量是否可靠。充分体现技术功能性能：优得：</w:t>
            </w:r>
            <w:r>
              <w:rPr>
                <w:rFonts w:hint="eastAsia" w:ascii="仿宋" w:hAnsi="仿宋" w:eastAsia="仿宋" w:cs="仿宋"/>
                <w:bCs/>
                <w:color w:val="auto"/>
                <w:sz w:val="22"/>
                <w:szCs w:val="22"/>
                <w:lang w:val="en-US" w:eastAsia="zh-CN"/>
              </w:rPr>
              <w:t>11</w:t>
            </w:r>
            <w:r>
              <w:rPr>
                <w:rFonts w:hint="eastAsia" w:ascii="仿宋" w:hAnsi="仿宋" w:eastAsia="仿宋" w:cs="仿宋"/>
                <w:bCs/>
                <w:color w:val="auto"/>
                <w:sz w:val="22"/>
                <w:szCs w:val="22"/>
              </w:rPr>
              <w:t>-1</w:t>
            </w:r>
            <w:r>
              <w:rPr>
                <w:rFonts w:hint="eastAsia" w:ascii="仿宋" w:hAnsi="仿宋" w:eastAsia="仿宋" w:cs="仿宋"/>
                <w:bCs/>
                <w:color w:val="auto"/>
                <w:sz w:val="22"/>
                <w:szCs w:val="22"/>
                <w:lang w:val="en-US" w:eastAsia="zh-CN"/>
              </w:rPr>
              <w:t>5</w:t>
            </w:r>
            <w:r>
              <w:rPr>
                <w:rFonts w:hint="eastAsia" w:ascii="仿宋" w:hAnsi="仿宋" w:eastAsia="仿宋" w:cs="仿宋"/>
                <w:bCs/>
                <w:color w:val="auto"/>
                <w:sz w:val="22"/>
                <w:szCs w:val="22"/>
              </w:rPr>
              <w:t>分；良得：</w:t>
            </w:r>
            <w:r>
              <w:rPr>
                <w:rFonts w:hint="eastAsia" w:ascii="仿宋" w:hAnsi="仿宋" w:eastAsia="仿宋" w:cs="仿宋"/>
                <w:bCs/>
                <w:color w:val="auto"/>
                <w:sz w:val="22"/>
                <w:szCs w:val="22"/>
                <w:lang w:val="en-US" w:eastAsia="zh-CN"/>
              </w:rPr>
              <w:t>6</w:t>
            </w:r>
            <w:r>
              <w:rPr>
                <w:rFonts w:hint="eastAsia" w:ascii="仿宋" w:hAnsi="仿宋" w:eastAsia="仿宋" w:cs="仿宋"/>
                <w:bCs/>
                <w:color w:val="auto"/>
                <w:sz w:val="22"/>
                <w:szCs w:val="22"/>
              </w:rPr>
              <w:t>-</w:t>
            </w:r>
            <w:r>
              <w:rPr>
                <w:rFonts w:hint="eastAsia" w:ascii="仿宋" w:hAnsi="仿宋" w:eastAsia="仿宋" w:cs="仿宋"/>
                <w:bCs/>
                <w:color w:val="auto"/>
                <w:sz w:val="22"/>
                <w:szCs w:val="22"/>
                <w:lang w:val="en-US" w:eastAsia="zh-CN"/>
              </w:rPr>
              <w:t>10</w:t>
            </w:r>
            <w:r>
              <w:rPr>
                <w:rFonts w:hint="eastAsia" w:ascii="仿宋" w:hAnsi="仿宋" w:eastAsia="仿宋" w:cs="仿宋"/>
                <w:bCs/>
                <w:color w:val="auto"/>
                <w:sz w:val="22"/>
                <w:szCs w:val="22"/>
              </w:rPr>
              <w:t>分；一般：1-</w:t>
            </w:r>
            <w:r>
              <w:rPr>
                <w:rFonts w:hint="eastAsia" w:ascii="仿宋" w:hAnsi="仿宋" w:eastAsia="仿宋" w:cs="仿宋"/>
                <w:bCs/>
                <w:color w:val="auto"/>
                <w:sz w:val="22"/>
                <w:szCs w:val="22"/>
                <w:lang w:val="en-US" w:eastAsia="zh-CN"/>
              </w:rPr>
              <w:t>5</w:t>
            </w:r>
            <w:r>
              <w:rPr>
                <w:rFonts w:hint="eastAsia" w:ascii="仿宋" w:hAnsi="仿宋" w:eastAsia="仿宋" w:cs="仿宋"/>
                <w:bCs/>
                <w:color w:val="auto"/>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9"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5</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保证措施 </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rPr>
              <w:t>0-1</w:t>
            </w:r>
            <w:r>
              <w:rPr>
                <w:rFonts w:hint="eastAsia" w:ascii="仿宋" w:hAnsi="仿宋" w:eastAsia="仿宋" w:cs="仿宋"/>
                <w:bCs/>
                <w:color w:val="auto"/>
                <w:sz w:val="22"/>
                <w:szCs w:val="22"/>
                <w:lang w:val="en-US" w:eastAsia="zh-CN"/>
              </w:rPr>
              <w:t>5</w:t>
            </w:r>
          </w:p>
        </w:tc>
        <w:tc>
          <w:tcPr>
            <w:tcW w:w="7323"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结合项目实施的实际情况，考察本项目难点重点分析和相应措施、质量保证措施是否有针对性。对本项目的复杂性针对性好，措施具体、成熟。要求能列出项目关键点和难点的预见及处理办法等。</w:t>
            </w:r>
          </w:p>
          <w:p>
            <w:pPr>
              <w:spacing w:line="500" w:lineRule="exact"/>
              <w:ind w:firstLine="220" w:firstLineChars="10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1）重点、难点突出，针对性强、有具体详细可行的解决方案或措施得</w:t>
            </w:r>
            <w:r>
              <w:rPr>
                <w:rFonts w:hint="eastAsia" w:ascii="仿宋" w:hAnsi="仿宋" w:eastAsia="仿宋" w:cs="仿宋"/>
                <w:color w:val="auto"/>
                <w:kern w:val="0"/>
                <w:sz w:val="22"/>
                <w:szCs w:val="22"/>
                <w:lang w:val="en-US" w:eastAsia="zh-CN"/>
              </w:rPr>
              <w:t>11</w:t>
            </w:r>
            <w:r>
              <w:rPr>
                <w:rFonts w:hint="eastAsia" w:ascii="仿宋" w:hAnsi="仿宋" w:eastAsia="仿宋" w:cs="仿宋"/>
                <w:color w:val="auto"/>
                <w:kern w:val="0"/>
                <w:sz w:val="22"/>
                <w:szCs w:val="22"/>
              </w:rPr>
              <w:t>-1</w:t>
            </w:r>
            <w:r>
              <w:rPr>
                <w:rFonts w:hint="eastAsia" w:ascii="仿宋" w:hAnsi="仿宋" w:eastAsia="仿宋" w:cs="仿宋"/>
                <w:color w:val="auto"/>
                <w:kern w:val="0"/>
                <w:sz w:val="22"/>
                <w:szCs w:val="22"/>
                <w:lang w:val="en-US" w:eastAsia="zh-CN"/>
              </w:rPr>
              <w:t>5</w:t>
            </w:r>
            <w:r>
              <w:rPr>
                <w:rFonts w:hint="eastAsia" w:ascii="仿宋" w:hAnsi="仿宋" w:eastAsia="仿宋" w:cs="仿宋"/>
                <w:color w:val="auto"/>
                <w:kern w:val="0"/>
                <w:sz w:val="22"/>
                <w:szCs w:val="22"/>
              </w:rPr>
              <w:t>分；</w:t>
            </w:r>
          </w:p>
          <w:p>
            <w:pPr>
              <w:spacing w:line="500" w:lineRule="exact"/>
              <w:ind w:firstLine="220" w:firstLineChars="10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2）重点、难点突出，针对性一般，解决方案或措施较具体详细、可行得选择和对难点的解决方案上措施一般得</w:t>
            </w:r>
            <w:r>
              <w:rPr>
                <w:rFonts w:hint="eastAsia" w:ascii="仿宋" w:hAnsi="仿宋" w:eastAsia="仿宋" w:cs="仿宋"/>
                <w:color w:val="auto"/>
                <w:kern w:val="0"/>
                <w:sz w:val="22"/>
                <w:szCs w:val="22"/>
                <w:lang w:val="en-US" w:eastAsia="zh-CN"/>
              </w:rPr>
              <w:t>6</w:t>
            </w:r>
            <w:r>
              <w:rPr>
                <w:rFonts w:hint="eastAsia" w:ascii="仿宋" w:hAnsi="仿宋" w:eastAsia="仿宋" w:cs="仿宋"/>
                <w:color w:val="auto"/>
                <w:kern w:val="0"/>
                <w:sz w:val="22"/>
                <w:szCs w:val="22"/>
              </w:rPr>
              <w:t>-</w:t>
            </w:r>
            <w:r>
              <w:rPr>
                <w:rFonts w:hint="eastAsia" w:ascii="仿宋" w:hAnsi="仿宋" w:eastAsia="仿宋" w:cs="仿宋"/>
                <w:color w:val="auto"/>
                <w:kern w:val="0"/>
                <w:sz w:val="22"/>
                <w:szCs w:val="22"/>
                <w:lang w:val="en-US" w:eastAsia="zh-CN"/>
              </w:rPr>
              <w:t>10</w:t>
            </w:r>
            <w:r>
              <w:rPr>
                <w:rFonts w:hint="eastAsia" w:ascii="仿宋" w:hAnsi="仿宋" w:eastAsia="仿宋" w:cs="仿宋"/>
                <w:color w:val="auto"/>
                <w:kern w:val="0"/>
                <w:sz w:val="22"/>
                <w:szCs w:val="22"/>
              </w:rPr>
              <w:t>分；</w:t>
            </w:r>
          </w:p>
          <w:p>
            <w:pPr>
              <w:spacing w:line="500" w:lineRule="exact"/>
              <w:ind w:firstLine="220" w:firstLineChars="100"/>
              <w:rPr>
                <w:rFonts w:hint="eastAsia" w:ascii="仿宋" w:hAnsi="仿宋" w:eastAsia="仿宋" w:cs="仿宋"/>
                <w:bCs/>
                <w:color w:val="auto"/>
                <w:sz w:val="22"/>
                <w:szCs w:val="22"/>
              </w:rPr>
            </w:pPr>
            <w:r>
              <w:rPr>
                <w:rFonts w:hint="eastAsia" w:ascii="仿宋" w:hAnsi="仿宋" w:eastAsia="仿宋" w:cs="仿宋"/>
                <w:color w:val="auto"/>
                <w:kern w:val="0"/>
                <w:sz w:val="22"/>
                <w:szCs w:val="22"/>
              </w:rPr>
              <w:t>3）重点、难点不突出，针对性不强，无解决方案或措施</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rPr>
              <w:t>或者方案或措施不具体得1-</w:t>
            </w:r>
            <w:r>
              <w:rPr>
                <w:rFonts w:hint="eastAsia" w:ascii="仿宋" w:hAnsi="仿宋" w:eastAsia="仿宋" w:cs="仿宋"/>
                <w:color w:val="auto"/>
                <w:kern w:val="0"/>
                <w:sz w:val="22"/>
                <w:szCs w:val="22"/>
                <w:lang w:val="en-US" w:eastAsia="zh-CN"/>
              </w:rPr>
              <w:t>5</w:t>
            </w:r>
            <w:r>
              <w:rPr>
                <w:rFonts w:hint="eastAsia" w:ascii="仿宋" w:hAnsi="仿宋" w:eastAsia="仿宋" w:cs="仿宋"/>
                <w:color w:val="auto"/>
                <w:kern w:val="0"/>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6</w:t>
            </w:r>
          </w:p>
        </w:tc>
        <w:tc>
          <w:tcPr>
            <w:tcW w:w="992" w:type="dxa"/>
            <w:tcBorders>
              <w:top w:val="single" w:color="auto" w:sz="4" w:space="0"/>
              <w:left w:val="single" w:color="auto" w:sz="4" w:space="0"/>
              <w:bottom w:val="single" w:color="auto" w:sz="4" w:space="0"/>
              <w:right w:val="single" w:color="auto" w:sz="4" w:space="0"/>
            </w:tcBorders>
            <w:vAlign w:val="center"/>
          </w:tcPr>
          <w:p>
            <w:pPr>
              <w:pStyle w:val="15"/>
              <w:snapToGrid w:val="0"/>
              <w:spacing w:line="420" w:lineRule="exact"/>
              <w:ind w:left="0" w:leftChars="0" w:firstLine="0" w:firstLineChars="0"/>
              <w:jc w:val="both"/>
              <w:rPr>
                <w:rFonts w:hint="eastAsia" w:ascii="仿宋" w:hAnsi="仿宋" w:eastAsia="仿宋" w:cs="仿宋"/>
                <w:bCs/>
                <w:color w:val="auto"/>
                <w:sz w:val="22"/>
                <w:szCs w:val="22"/>
              </w:rPr>
            </w:pPr>
            <w:r>
              <w:rPr>
                <w:rFonts w:hint="eastAsia" w:ascii="仿宋" w:hAnsi="仿宋" w:eastAsia="仿宋" w:cs="仿宋"/>
                <w:bCs/>
                <w:color w:val="auto"/>
                <w:sz w:val="22"/>
                <w:szCs w:val="22"/>
              </w:rPr>
              <w:t>售后服务</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0-10</w:t>
            </w:r>
          </w:p>
        </w:tc>
        <w:tc>
          <w:tcPr>
            <w:tcW w:w="7323" w:type="dxa"/>
            <w:tcBorders>
              <w:top w:val="single" w:color="auto" w:sz="4" w:space="0"/>
              <w:left w:val="single" w:color="auto" w:sz="4" w:space="0"/>
              <w:bottom w:val="single" w:color="auto" w:sz="4" w:space="0"/>
              <w:right w:val="single" w:color="auto" w:sz="4" w:space="0"/>
            </w:tcBorders>
            <w:vAlign w:val="center"/>
          </w:tcPr>
          <w:p>
            <w:pPr>
              <w:pStyle w:val="15"/>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售后服务说明：保修、售后服务方案，服务响应时间、修复时间、应急处理等售后计划措施符合本项目情况的、供应商售后机构健全、人员齐全。</w:t>
            </w:r>
          </w:p>
          <w:p>
            <w:pPr>
              <w:pStyle w:val="15"/>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售后服务保证措施优得8-10分；良得5-7分 ，一般得1-4分；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7"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rPr>
            </w:pPr>
          </w:p>
        </w:tc>
        <w:tc>
          <w:tcPr>
            <w:tcW w:w="45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仿宋"/>
                <w:bCs/>
                <w:color w:val="auto"/>
                <w:sz w:val="22"/>
                <w:szCs w:val="22"/>
                <w:lang w:val="en-US" w:eastAsia="zh-CN"/>
              </w:rPr>
            </w:pPr>
            <w:r>
              <w:rPr>
                <w:rFonts w:hint="eastAsia" w:ascii="仿宋" w:hAnsi="仿宋" w:eastAsia="仿宋" w:cs="仿宋"/>
                <w:bCs/>
                <w:color w:val="auto"/>
                <w:sz w:val="22"/>
                <w:szCs w:val="22"/>
                <w:lang w:val="en-US" w:eastAsia="zh-CN"/>
              </w:rPr>
              <w:t>7</w:t>
            </w:r>
          </w:p>
        </w:tc>
        <w:tc>
          <w:tcPr>
            <w:tcW w:w="992" w:type="dxa"/>
            <w:tcBorders>
              <w:top w:val="single" w:color="auto" w:sz="4" w:space="0"/>
              <w:left w:val="single" w:color="auto" w:sz="4" w:space="0"/>
              <w:right w:val="single" w:color="auto" w:sz="4" w:space="0"/>
            </w:tcBorders>
            <w:vAlign w:val="center"/>
          </w:tcPr>
          <w:p>
            <w:pPr>
              <w:pStyle w:val="15"/>
              <w:snapToGrid w:val="0"/>
              <w:spacing w:line="420" w:lineRule="exact"/>
              <w:ind w:left="0" w:leftChars="0" w:firstLine="0" w:firstLineChars="0"/>
              <w:jc w:val="both"/>
              <w:rPr>
                <w:rFonts w:hint="eastAsia" w:ascii="仿宋" w:hAnsi="仿宋" w:eastAsia="仿宋" w:cs="仿宋"/>
                <w:bCs/>
                <w:color w:val="auto"/>
                <w:sz w:val="22"/>
                <w:szCs w:val="22"/>
              </w:rPr>
            </w:pPr>
            <w:r>
              <w:rPr>
                <w:rFonts w:hint="eastAsia" w:ascii="仿宋" w:hAnsi="仿宋" w:eastAsia="仿宋" w:cs="仿宋"/>
                <w:bCs/>
                <w:color w:val="auto"/>
                <w:sz w:val="22"/>
                <w:szCs w:val="22"/>
              </w:rPr>
              <w:t>人员培训</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0-5</w:t>
            </w:r>
          </w:p>
        </w:tc>
        <w:tc>
          <w:tcPr>
            <w:tcW w:w="7323" w:type="dxa"/>
            <w:tcBorders>
              <w:top w:val="single" w:color="auto" w:sz="4" w:space="0"/>
              <w:left w:val="single" w:color="auto" w:sz="4" w:space="0"/>
              <w:bottom w:val="single" w:color="auto" w:sz="4" w:space="0"/>
              <w:right w:val="single" w:color="auto" w:sz="4" w:space="0"/>
            </w:tcBorders>
            <w:vAlign w:val="center"/>
          </w:tcPr>
          <w:p>
            <w:pPr>
              <w:pStyle w:val="15"/>
              <w:snapToGrid w:val="0"/>
              <w:spacing w:line="420" w:lineRule="exact"/>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提供的培训计划完善合理的，得3-5分；培训计划欠合理的或一般的，得0-2分。</w:t>
            </w:r>
          </w:p>
        </w:tc>
      </w:tr>
      <w:bookmarkEnd w:id="451"/>
    </w:tbl>
    <w:p>
      <w:pPr>
        <w:pStyle w:val="21"/>
        <w:ind w:left="0" w:leftChars="0" w:firstLine="0" w:firstLineChars="0"/>
        <w:rPr>
          <w:rFonts w:hint="eastAsia" w:ascii="仿宋" w:hAnsi="仿宋" w:eastAsia="仿宋" w:cs="仿宋"/>
          <w:color w:val="auto"/>
        </w:rPr>
      </w:pPr>
    </w:p>
    <w:sectPr>
      <w:headerReference r:id="rId9" w:type="first"/>
      <w:headerReference r:id="rId8" w:type="default"/>
      <w:footerReference r:id="rId10" w:type="default"/>
      <w:type w:val="nextColumn"/>
      <w:pgSz w:w="11906" w:h="16838"/>
      <w:pgMar w:top="1418" w:right="1191" w:bottom="1418" w:left="1191" w:header="468" w:footer="59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5KL+z8gBAACZAwAADgAAAAAAAAABACAAAAAgAQAAZHJzL2Uyb0Rv&#10;Yy54bWxQSwUGAAAAAAYABgBZAQAAWgUAAAAA&#10;">
              <v:fill on="f" focussize="0,0"/>
              <v:stroke on="f"/>
              <v:imagedata o:title=""/>
              <o:lock v:ext="edit" aspectratio="f"/>
              <v:textbox inset="0mm,0mm,0mm,0mm" style="mso-fit-shape-to-text:t;">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21</w:t>
                    </w:r>
                    <w:r>
                      <w:fldChar w:fldCharType="end"/>
                    </w:r>
                  </w:p>
                </w:txbxContent>
              </v:textbox>
            </v:shape>
          </w:pict>
        </mc:Fallback>
      </mc:AlternateContent>
    </w:r>
    <w:r>
      <w:t xml:space="preserve">        </w:t>
    </w:r>
    <w:r>
      <w:rPr>
        <w:rStyle w:val="40"/>
      </w:rPr>
      <w:t xml:space="preserve">                      </w:t>
    </w:r>
    <w:r>
      <w:rPr>
        <w:rFonts w:hint="eastAsia" w:ascii="Times New Roman" w:hAnsi="Times New Roman"/>
      </w:rPr>
      <w:t xml:space="preserve">   </w:t>
    </w:r>
    <w:r>
      <w:rPr>
        <w:rStyle w:val="40"/>
      </w:rPr>
      <w:t xml:space="preserve"> </w:t>
    </w:r>
    <w:r>
      <w:rPr>
        <w:rStyle w:val="40"/>
        <w:rFonts w:hint="eastAsia"/>
      </w:rPr>
      <w:t xml:space="preserve"> </w:t>
    </w:r>
    <w:r>
      <w:rPr>
        <w:rStyle w:val="4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 xml:space="preserve">第二章 投标人须知           </w:t>
    </w:r>
    <w:r>
      <w:rPr>
        <w:rStyle w:val="40"/>
      </w:rPr>
      <w:t xml:space="preserve">                      </w:t>
    </w:r>
    <w:r>
      <w:rPr>
        <w:rFonts w:hint="eastAsia"/>
      </w:rPr>
      <w:t>2-</w:t>
    </w:r>
    <w:r>
      <w:fldChar w:fldCharType="begin"/>
    </w:r>
    <w:r>
      <w:rPr>
        <w:rStyle w:val="27"/>
        <w:rFonts w:eastAsia="宋体"/>
      </w:rPr>
      <w:instrText xml:space="preserve"> PAGE </w:instrText>
    </w:r>
    <w:r>
      <w:fldChar w:fldCharType="separate"/>
    </w:r>
    <w:r>
      <w:rPr>
        <w:rStyle w:val="27"/>
        <w:rFonts w:eastAsia="宋体"/>
      </w:rPr>
      <w:t>4</w:t>
    </w:r>
    <w:r>
      <w:fldChar w:fldCharType="end"/>
    </w:r>
    <w:r>
      <w:rPr>
        <w:rStyle w:val="40"/>
      </w:rPr>
      <w:t xml:space="preserve">                          </w:t>
    </w:r>
    <w:r>
      <w:rPr>
        <w:rFonts w:hint="eastAsia"/>
        <w:lang w:eastAsia="zh-CN"/>
      </w:rPr>
      <w:t>新疆华域建设工程项目管理咨询有限公司</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Eb5CgyQEAAJk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4cQ9b4rS5TrQbg9JGyi9JYrjLBTYZxYYTdtV16Jx/eS9fBH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ublLdEAAAAGAQAADwAAAAAAAAABACAAAAAiAAAAZHJzL2Rvd25yZXYu&#10;eG1sUEsBAhQAFAAAAAgAh07iQARvkKDJAQAAmQMAAA4AAAAAAAAAAQAgAAAAIAEAAGRycy9lMm9E&#10;b2MueG1sUEsFBgAAAAAGAAYAWQEAAFsFAAAAAA==&#10;">
              <v:fill on="f" focussize="0,0"/>
              <v:stroke on="f"/>
              <v:imagedata o:title=""/>
              <o:lock v:ext="edit" aspectratio="f"/>
              <v:textbox inset="0mm,0mm,0mm,0mm" style="mso-fit-shape-to-text:t;">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50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eastAsia="zh-CN"/>
      </w:rPr>
      <w:t>新疆华域建设工程项目管理咨询有限公司</w:t>
    </w:r>
    <w:r>
      <w:rPr>
        <w:rFonts w:hint="eastAsia"/>
      </w:rPr>
      <w:t xml:space="preserve">                                                                            5-</w:t>
    </w:r>
    <w:r>
      <w:fldChar w:fldCharType="begin"/>
    </w:r>
    <w:r>
      <w:rPr>
        <w:rStyle w:val="27"/>
        <w:rFonts w:ascii="Times New Roman" w:hAnsi="Times New Roman" w:eastAsia="宋体"/>
      </w:rPr>
      <w:instrText xml:space="preserve"> PAGE </w:instrText>
    </w:r>
    <w:r>
      <w:fldChar w:fldCharType="separate"/>
    </w:r>
    <w:r>
      <w:rPr>
        <w:rStyle w:val="27"/>
        <w:rFonts w:ascii="Times New Roman" w:hAnsi="Times New Roman" w:eastAsia="宋体"/>
      </w:rP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Bdr>
                              <w:top w:val="none" w:color="auto" w:sz="0" w:space="0"/>
                            </w:pBdr>
                            <w:tabs>
                              <w:tab w:val="left" w:pos="1785"/>
                            </w:tabs>
                            <w:rPr>
                              <w:rStyle w:val="27"/>
                              <w:rFonts w:eastAsia="宋体"/>
                            </w:rPr>
                          </w:pPr>
                          <w:r>
                            <w:fldChar w:fldCharType="begin"/>
                          </w:r>
                          <w:r>
                            <w:rPr>
                              <w:rStyle w:val="27"/>
                              <w:rFonts w:eastAsia="宋体"/>
                            </w:rPr>
                            <w:instrText xml:space="preserve">PAGE  </w:instrText>
                          </w:r>
                          <w:r>
                            <w:fldChar w:fldCharType="separate"/>
                          </w:r>
                          <w:r>
                            <w:rPr>
                              <w:rStyle w:val="27"/>
                              <w:rFonts w:eastAsia="宋体"/>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0kvpJyAEAAJk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NJL6ScgBAACZAwAADgAAAAAAAAABACAAAAAgAQAAZHJzL2Uyb0Rv&#10;Yy54bWxQSwUGAAAAAAYABgBZAQAAWgUAAAAA&#10;">
              <v:fill on="f" focussize="0,0"/>
              <v:stroke on="f"/>
              <v:imagedata o:title=""/>
              <o:lock v:ext="edit" aspectratio="f"/>
              <v:textbox inset="0mm,0mm,0mm,0mm" style="mso-fit-shape-to-text:t;">
                <w:txbxContent>
                  <w:p>
                    <w:pPr>
                      <w:pStyle w:val="16"/>
                      <w:pBdr>
                        <w:top w:val="none" w:color="auto" w:sz="0" w:space="0"/>
                      </w:pBdr>
                      <w:tabs>
                        <w:tab w:val="left" w:pos="1785"/>
                      </w:tabs>
                      <w:rPr>
                        <w:rStyle w:val="27"/>
                        <w:rFonts w:eastAsia="宋体"/>
                      </w:rPr>
                    </w:pPr>
                    <w:r>
                      <w:fldChar w:fldCharType="begin"/>
                    </w:r>
                    <w:r>
                      <w:rPr>
                        <w:rStyle w:val="27"/>
                        <w:rFonts w:eastAsia="宋体"/>
                      </w:rPr>
                      <w:instrText xml:space="preserve">PAGE  </w:instrText>
                    </w:r>
                    <w:r>
                      <w:fldChar w:fldCharType="separate"/>
                    </w:r>
                    <w:r>
                      <w:rPr>
                        <w:rStyle w:val="27"/>
                        <w:rFonts w:eastAsia="宋体"/>
                      </w:rPr>
                      <w:t>63</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textAlignment w:val="auto"/>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A475D"/>
    <w:multiLevelType w:val="singleLevel"/>
    <w:tmpl w:val="855A475D"/>
    <w:lvl w:ilvl="0" w:tentative="0">
      <w:start w:val="1"/>
      <w:numFmt w:val="decimal"/>
      <w:lvlText w:val="%1)"/>
      <w:lvlJc w:val="left"/>
      <w:pPr>
        <w:ind w:left="425" w:hanging="425"/>
      </w:pPr>
      <w:rPr>
        <w:rFonts w:hint="default"/>
      </w:rPr>
    </w:lvl>
  </w:abstractNum>
  <w:abstractNum w:abstractNumId="1">
    <w:nsid w:val="BBCCB3CA"/>
    <w:multiLevelType w:val="singleLevel"/>
    <w:tmpl w:val="BBCCB3CA"/>
    <w:lvl w:ilvl="0" w:tentative="0">
      <w:start w:val="1"/>
      <w:numFmt w:val="decimal"/>
      <w:suff w:val="nothing"/>
      <w:lvlText w:val="（%1）"/>
      <w:lvlJc w:val="left"/>
    </w:lvl>
  </w:abstractNum>
  <w:abstractNum w:abstractNumId="2">
    <w:nsid w:val="BD2442D7"/>
    <w:multiLevelType w:val="singleLevel"/>
    <w:tmpl w:val="BD2442D7"/>
    <w:lvl w:ilvl="0" w:tentative="0">
      <w:start w:val="1"/>
      <w:numFmt w:val="chineseCounting"/>
      <w:suff w:val="space"/>
      <w:lvlText w:val="第%1章"/>
      <w:lvlJc w:val="left"/>
      <w:rPr>
        <w:rFonts w:hint="eastAsia"/>
      </w:rPr>
    </w:lvl>
  </w:abstractNum>
  <w:abstractNum w:abstractNumId="3">
    <w:nsid w:val="CEA8D850"/>
    <w:multiLevelType w:val="singleLevel"/>
    <w:tmpl w:val="CEA8D850"/>
    <w:lvl w:ilvl="0" w:tentative="0">
      <w:start w:val="1"/>
      <w:numFmt w:val="bullet"/>
      <w:lvlText w:val=""/>
      <w:lvlJc w:val="left"/>
      <w:pPr>
        <w:tabs>
          <w:tab w:val="left" w:pos="420"/>
        </w:tabs>
        <w:ind w:left="840" w:hanging="420"/>
      </w:pPr>
      <w:rPr>
        <w:rFonts w:hint="default" w:ascii="Wingdings" w:hAnsi="Wingdings"/>
      </w:rPr>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FBB8BCE4"/>
    <w:multiLevelType w:val="singleLevel"/>
    <w:tmpl w:val="FBB8BCE4"/>
    <w:lvl w:ilvl="0" w:tentative="0">
      <w:start w:val="1"/>
      <w:numFmt w:val="chineseCounting"/>
      <w:suff w:val="nothing"/>
      <w:lvlText w:val="（%1）"/>
      <w:lvlJc w:val="left"/>
      <w:rPr>
        <w:rFonts w:hint="eastAsia"/>
      </w:rPr>
    </w:lvl>
  </w:abstractNum>
  <w:abstractNum w:abstractNumId="6">
    <w:nsid w:val="FC2FF117"/>
    <w:multiLevelType w:val="singleLevel"/>
    <w:tmpl w:val="FC2FF117"/>
    <w:lvl w:ilvl="0" w:tentative="0">
      <w:start w:val="1"/>
      <w:numFmt w:val="bullet"/>
      <w:lvlText w:val=""/>
      <w:lvlJc w:val="left"/>
      <w:pPr>
        <w:tabs>
          <w:tab w:val="left" w:pos="420"/>
        </w:tabs>
        <w:ind w:left="840" w:hanging="420"/>
      </w:pPr>
      <w:rPr>
        <w:rFonts w:hint="default" w:ascii="Wingdings" w:hAnsi="Wingdings"/>
      </w:rPr>
    </w:lvl>
  </w:abstractNum>
  <w:abstractNum w:abstractNumId="7">
    <w:nsid w:val="00000004"/>
    <w:multiLevelType w:val="multilevel"/>
    <w:tmpl w:val="00000004"/>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8">
    <w:nsid w:val="00000009"/>
    <w:multiLevelType w:val="multilevel"/>
    <w:tmpl w:val="00000009"/>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A"/>
    <w:multiLevelType w:val="multilevel"/>
    <w:tmpl w:val="0000000A"/>
    <w:lvl w:ilvl="0" w:tentative="0">
      <w:start w:val="1"/>
      <w:numFmt w:val="decimal"/>
      <w:lvlText w:val="（%1）"/>
      <w:lvlJc w:val="left"/>
      <w:pPr>
        <w:tabs>
          <w:tab w:val="left" w:pos="1182"/>
        </w:tabs>
        <w:ind w:left="1182" w:hanging="720"/>
      </w:pPr>
      <w:rPr>
        <w:rFonts w:hint="default"/>
        <w:b w:val="0"/>
        <w:bCs w:val="0"/>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10">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3">
    <w:nsid w:val="0000001B"/>
    <w:multiLevelType w:val="multilevel"/>
    <w:tmpl w:val="0000001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610"/>
        </w:tabs>
        <w:ind w:left="2610" w:hanging="720"/>
      </w:pPr>
      <w:rPr>
        <w:rFonts w:hint="eastAsia"/>
        <w:u w:val="none"/>
      </w:rPr>
    </w:lvl>
    <w:lvl w:ilvl="4" w:tentative="0">
      <w:start w:val="1"/>
      <w:numFmt w:val="decimalEnclosedCircle"/>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7">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9">
    <w:nsid w:val="00000029"/>
    <w:multiLevelType w:val="multilevel"/>
    <w:tmpl w:val="0000002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A"/>
    <w:multiLevelType w:val="multilevel"/>
    <w:tmpl w:val="0000002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21">
    <w:nsid w:val="0000002D"/>
    <w:multiLevelType w:val="multilevel"/>
    <w:tmpl w:val="0000002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2E"/>
    <w:multiLevelType w:val="multilevel"/>
    <w:tmpl w:val="0000002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24">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0000003C"/>
    <w:multiLevelType w:val="multilevel"/>
    <w:tmpl w:val="0000003C"/>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6">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1D5B18D2"/>
    <w:multiLevelType w:val="multilevel"/>
    <w:tmpl w:val="1D5B18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24E409BB"/>
    <w:multiLevelType w:val="multilevel"/>
    <w:tmpl w:val="24E409BB"/>
    <w:lvl w:ilvl="0" w:tentative="0">
      <w:start w:val="1"/>
      <w:numFmt w:val="decimal"/>
      <w:pStyle w:val="3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6B500E89"/>
    <w:multiLevelType w:val="singleLevel"/>
    <w:tmpl w:val="6B500E89"/>
    <w:lvl w:ilvl="0" w:tentative="0">
      <w:start w:val="1"/>
      <w:numFmt w:val="decimal"/>
      <w:suff w:val="nothing"/>
      <w:lvlText w:val="%1、"/>
      <w:lvlJc w:val="left"/>
    </w:lvl>
  </w:abstractNum>
  <w:abstractNum w:abstractNumId="30">
    <w:nsid w:val="74CBA81E"/>
    <w:multiLevelType w:val="singleLevel"/>
    <w:tmpl w:val="74CBA81E"/>
    <w:lvl w:ilvl="0" w:tentative="0">
      <w:start w:val="1"/>
      <w:numFmt w:val="bullet"/>
      <w:lvlText w:val=""/>
      <w:lvlJc w:val="left"/>
      <w:pPr>
        <w:ind w:left="420" w:hanging="420"/>
      </w:pPr>
      <w:rPr>
        <w:rFonts w:hint="default" w:ascii="Wingdings" w:hAnsi="Wingdings"/>
      </w:rPr>
    </w:lvl>
  </w:abstractNum>
  <w:num w:numId="1">
    <w:abstractNumId w:val="28"/>
  </w:num>
  <w:num w:numId="2">
    <w:abstractNumId w:val="2"/>
  </w:num>
  <w:num w:numId="3">
    <w:abstractNumId w:val="5"/>
  </w:num>
  <w:num w:numId="4">
    <w:abstractNumId w:val="29"/>
  </w:num>
  <w:num w:numId="5">
    <w:abstractNumId w:val="21"/>
  </w:num>
  <w:num w:numId="6">
    <w:abstractNumId w:val="22"/>
  </w:num>
  <w:num w:numId="7">
    <w:abstractNumId w:val="13"/>
  </w:num>
  <w:num w:numId="8">
    <w:abstractNumId w:val="8"/>
  </w:num>
  <w:num w:numId="9">
    <w:abstractNumId w:val="7"/>
  </w:num>
  <w:num w:numId="10">
    <w:abstractNumId w:val="25"/>
  </w:num>
  <w:num w:numId="11">
    <w:abstractNumId w:val="9"/>
  </w:num>
  <w:num w:numId="12">
    <w:abstractNumId w:val="0"/>
  </w:num>
  <w:num w:numId="13">
    <w:abstractNumId w:val="30"/>
  </w:num>
  <w:num w:numId="14">
    <w:abstractNumId w:val="27"/>
  </w:num>
  <w:num w:numId="15">
    <w:abstractNumId w:val="3"/>
  </w:num>
  <w:num w:numId="16">
    <w:abstractNumId w:val="6"/>
  </w:num>
  <w:num w:numId="17">
    <w:abstractNumId w:val="4"/>
  </w:num>
  <w:num w:numId="18">
    <w:abstractNumId w:val="1"/>
  </w:num>
  <w:num w:numId="19">
    <w:abstractNumId w:val="19"/>
  </w:num>
  <w:num w:numId="20">
    <w:abstractNumId w:val="14"/>
  </w:num>
  <w:num w:numId="21">
    <w:abstractNumId w:val="20"/>
  </w:num>
  <w:num w:numId="22">
    <w:abstractNumId w:val="12"/>
  </w:num>
  <w:num w:numId="23">
    <w:abstractNumId w:val="11"/>
    <w:lvlOverride w:ilvl="0">
      <w:startOverride w:val="1"/>
    </w:lvlOverride>
  </w:num>
  <w:num w:numId="24">
    <w:abstractNumId w:val="18"/>
  </w:num>
  <w:num w:numId="25">
    <w:abstractNumId w:val="17"/>
    <w:lvlOverride w:ilvl="0">
      <w:startOverride w:val="1"/>
    </w:lvlOverride>
  </w:num>
  <w:num w:numId="26">
    <w:abstractNumId w:val="26"/>
    <w:lvlOverride w:ilvl="0">
      <w:startOverride w:val="1"/>
    </w:lvlOverride>
  </w:num>
  <w:num w:numId="27">
    <w:abstractNumId w:val="24"/>
    <w:lvlOverride w:ilvl="0">
      <w:startOverride w:val="1"/>
    </w:lvlOverride>
  </w:num>
  <w:num w:numId="28">
    <w:abstractNumId w:val="15"/>
  </w:num>
  <w:num w:numId="29">
    <w:abstractNumId w:val="23"/>
  </w:num>
  <w:num w:numId="30">
    <w:abstractNumId w:val="10"/>
    <w:lvlOverride w:ilvl="0">
      <w:startOverride w:val="1"/>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14E80064"/>
    <w:rsid w:val="000B2BDF"/>
    <w:rsid w:val="002F5F6D"/>
    <w:rsid w:val="003E41E3"/>
    <w:rsid w:val="006304C5"/>
    <w:rsid w:val="00A92AB0"/>
    <w:rsid w:val="00CB7983"/>
    <w:rsid w:val="0149387F"/>
    <w:rsid w:val="015B1711"/>
    <w:rsid w:val="01913F2E"/>
    <w:rsid w:val="01E01396"/>
    <w:rsid w:val="0201024B"/>
    <w:rsid w:val="020A582B"/>
    <w:rsid w:val="02307626"/>
    <w:rsid w:val="02424C63"/>
    <w:rsid w:val="025261A4"/>
    <w:rsid w:val="0253501B"/>
    <w:rsid w:val="02711675"/>
    <w:rsid w:val="02C77FF1"/>
    <w:rsid w:val="02ED4FFA"/>
    <w:rsid w:val="03051614"/>
    <w:rsid w:val="03304250"/>
    <w:rsid w:val="03583042"/>
    <w:rsid w:val="03D96696"/>
    <w:rsid w:val="043F6B5C"/>
    <w:rsid w:val="0442248D"/>
    <w:rsid w:val="04B56119"/>
    <w:rsid w:val="04D97739"/>
    <w:rsid w:val="05071939"/>
    <w:rsid w:val="051D4ABC"/>
    <w:rsid w:val="051E6A56"/>
    <w:rsid w:val="055C7DBF"/>
    <w:rsid w:val="05AD2A4A"/>
    <w:rsid w:val="05BC4C88"/>
    <w:rsid w:val="05D2498E"/>
    <w:rsid w:val="05E8024A"/>
    <w:rsid w:val="06194C1F"/>
    <w:rsid w:val="06730A58"/>
    <w:rsid w:val="070944A2"/>
    <w:rsid w:val="07111D16"/>
    <w:rsid w:val="07DD405D"/>
    <w:rsid w:val="08080B38"/>
    <w:rsid w:val="0824537E"/>
    <w:rsid w:val="08862889"/>
    <w:rsid w:val="08C761C3"/>
    <w:rsid w:val="08EB6363"/>
    <w:rsid w:val="09005079"/>
    <w:rsid w:val="09491769"/>
    <w:rsid w:val="0949606C"/>
    <w:rsid w:val="096D5ED4"/>
    <w:rsid w:val="0974577D"/>
    <w:rsid w:val="099217C1"/>
    <w:rsid w:val="09B47989"/>
    <w:rsid w:val="09B57722"/>
    <w:rsid w:val="09D973F0"/>
    <w:rsid w:val="09DC5D64"/>
    <w:rsid w:val="0A2419F4"/>
    <w:rsid w:val="0A544707"/>
    <w:rsid w:val="0A670558"/>
    <w:rsid w:val="0A856C30"/>
    <w:rsid w:val="0AE0655C"/>
    <w:rsid w:val="0AF27D49"/>
    <w:rsid w:val="0B2B1E84"/>
    <w:rsid w:val="0B463A69"/>
    <w:rsid w:val="0B5D2C83"/>
    <w:rsid w:val="0B8C1A60"/>
    <w:rsid w:val="0BA51CE9"/>
    <w:rsid w:val="0BD779A0"/>
    <w:rsid w:val="0BEF25E8"/>
    <w:rsid w:val="0C071593"/>
    <w:rsid w:val="0C2F1549"/>
    <w:rsid w:val="0C61058B"/>
    <w:rsid w:val="0C986E0F"/>
    <w:rsid w:val="0CBE6BB8"/>
    <w:rsid w:val="0CEF0CD8"/>
    <w:rsid w:val="0CEF778A"/>
    <w:rsid w:val="0D5F633D"/>
    <w:rsid w:val="0DB372EB"/>
    <w:rsid w:val="0DBE0BAB"/>
    <w:rsid w:val="0EA21020"/>
    <w:rsid w:val="0EA868AD"/>
    <w:rsid w:val="0EEA34ED"/>
    <w:rsid w:val="0EEC00F8"/>
    <w:rsid w:val="0F296723"/>
    <w:rsid w:val="0F9F0794"/>
    <w:rsid w:val="0FA83572"/>
    <w:rsid w:val="0FD33393"/>
    <w:rsid w:val="10004C14"/>
    <w:rsid w:val="101200E7"/>
    <w:rsid w:val="10233173"/>
    <w:rsid w:val="10294227"/>
    <w:rsid w:val="10825F80"/>
    <w:rsid w:val="10E05EE0"/>
    <w:rsid w:val="10FB41BF"/>
    <w:rsid w:val="11086FF2"/>
    <w:rsid w:val="11261D15"/>
    <w:rsid w:val="119B4F8B"/>
    <w:rsid w:val="11BC70DF"/>
    <w:rsid w:val="11D66BD3"/>
    <w:rsid w:val="11F50B3F"/>
    <w:rsid w:val="122116AA"/>
    <w:rsid w:val="12215409"/>
    <w:rsid w:val="124D44D7"/>
    <w:rsid w:val="127C65AA"/>
    <w:rsid w:val="12897F91"/>
    <w:rsid w:val="12BE5C3A"/>
    <w:rsid w:val="13005E30"/>
    <w:rsid w:val="130415A7"/>
    <w:rsid w:val="13342BBC"/>
    <w:rsid w:val="13397AB9"/>
    <w:rsid w:val="136B39E7"/>
    <w:rsid w:val="13776035"/>
    <w:rsid w:val="13851B4B"/>
    <w:rsid w:val="13935F69"/>
    <w:rsid w:val="13DE32F5"/>
    <w:rsid w:val="14214D47"/>
    <w:rsid w:val="1460693B"/>
    <w:rsid w:val="148C5CE3"/>
    <w:rsid w:val="14D7710F"/>
    <w:rsid w:val="14E80064"/>
    <w:rsid w:val="14E84005"/>
    <w:rsid w:val="15C40F54"/>
    <w:rsid w:val="15DB116D"/>
    <w:rsid w:val="15E62ABE"/>
    <w:rsid w:val="15FC1289"/>
    <w:rsid w:val="165A3814"/>
    <w:rsid w:val="167124B1"/>
    <w:rsid w:val="16CB1E6E"/>
    <w:rsid w:val="17563E2E"/>
    <w:rsid w:val="17A9609E"/>
    <w:rsid w:val="17C16375"/>
    <w:rsid w:val="17DE6FE5"/>
    <w:rsid w:val="17E0107E"/>
    <w:rsid w:val="18182FC2"/>
    <w:rsid w:val="18194D00"/>
    <w:rsid w:val="183B1275"/>
    <w:rsid w:val="18457DC0"/>
    <w:rsid w:val="18624A54"/>
    <w:rsid w:val="1876405C"/>
    <w:rsid w:val="1891222E"/>
    <w:rsid w:val="18E522DC"/>
    <w:rsid w:val="18F71640"/>
    <w:rsid w:val="194F12DF"/>
    <w:rsid w:val="199D69EC"/>
    <w:rsid w:val="19BD250E"/>
    <w:rsid w:val="19DD25B8"/>
    <w:rsid w:val="1A0F6516"/>
    <w:rsid w:val="1A181FF9"/>
    <w:rsid w:val="1A1F5FD3"/>
    <w:rsid w:val="1A530AF8"/>
    <w:rsid w:val="1A822AEC"/>
    <w:rsid w:val="1AEB51C6"/>
    <w:rsid w:val="1B3D192B"/>
    <w:rsid w:val="1B5669EE"/>
    <w:rsid w:val="1B89378A"/>
    <w:rsid w:val="1C1C39B3"/>
    <w:rsid w:val="1C3A5C48"/>
    <w:rsid w:val="1C3D0B31"/>
    <w:rsid w:val="1C4306F9"/>
    <w:rsid w:val="1CA03045"/>
    <w:rsid w:val="1CCF5801"/>
    <w:rsid w:val="1CD34A17"/>
    <w:rsid w:val="1D571E93"/>
    <w:rsid w:val="1D9751A0"/>
    <w:rsid w:val="1DCC3099"/>
    <w:rsid w:val="1DD12460"/>
    <w:rsid w:val="1DD5539C"/>
    <w:rsid w:val="1E01438A"/>
    <w:rsid w:val="1E085B47"/>
    <w:rsid w:val="1E3D7AF5"/>
    <w:rsid w:val="1E4F5A7B"/>
    <w:rsid w:val="1EA943EC"/>
    <w:rsid w:val="1ED61694"/>
    <w:rsid w:val="1F152835"/>
    <w:rsid w:val="1F2D6B9F"/>
    <w:rsid w:val="1F3F789D"/>
    <w:rsid w:val="1FE8399B"/>
    <w:rsid w:val="1FF97A7C"/>
    <w:rsid w:val="200B3CEB"/>
    <w:rsid w:val="203B617F"/>
    <w:rsid w:val="206766B3"/>
    <w:rsid w:val="20786A36"/>
    <w:rsid w:val="20E61817"/>
    <w:rsid w:val="20EB3CB9"/>
    <w:rsid w:val="20EF0E4F"/>
    <w:rsid w:val="21253DCE"/>
    <w:rsid w:val="21257669"/>
    <w:rsid w:val="21815F4B"/>
    <w:rsid w:val="21A90DFC"/>
    <w:rsid w:val="21EA7F94"/>
    <w:rsid w:val="221C7F7A"/>
    <w:rsid w:val="225B1A18"/>
    <w:rsid w:val="22A86407"/>
    <w:rsid w:val="2358370B"/>
    <w:rsid w:val="23705A35"/>
    <w:rsid w:val="238064DA"/>
    <w:rsid w:val="23B07D9F"/>
    <w:rsid w:val="2412563A"/>
    <w:rsid w:val="24F63006"/>
    <w:rsid w:val="252B2B76"/>
    <w:rsid w:val="254A7B63"/>
    <w:rsid w:val="258B7677"/>
    <w:rsid w:val="25977383"/>
    <w:rsid w:val="25BA1451"/>
    <w:rsid w:val="25C96BD9"/>
    <w:rsid w:val="25CC18FD"/>
    <w:rsid w:val="25DF6D25"/>
    <w:rsid w:val="25EF7EB4"/>
    <w:rsid w:val="26017199"/>
    <w:rsid w:val="26EC048E"/>
    <w:rsid w:val="274365E7"/>
    <w:rsid w:val="27710810"/>
    <w:rsid w:val="27816401"/>
    <w:rsid w:val="27A24E6D"/>
    <w:rsid w:val="27AB7F0C"/>
    <w:rsid w:val="27C14EAB"/>
    <w:rsid w:val="281270DF"/>
    <w:rsid w:val="281A4A03"/>
    <w:rsid w:val="28793E20"/>
    <w:rsid w:val="28915073"/>
    <w:rsid w:val="28915A91"/>
    <w:rsid w:val="289353F5"/>
    <w:rsid w:val="28D430FD"/>
    <w:rsid w:val="28D92B11"/>
    <w:rsid w:val="28E10DCA"/>
    <w:rsid w:val="28EB6431"/>
    <w:rsid w:val="298D3A93"/>
    <w:rsid w:val="29A75D96"/>
    <w:rsid w:val="29EC44EC"/>
    <w:rsid w:val="2A085940"/>
    <w:rsid w:val="2A0B4A72"/>
    <w:rsid w:val="2A211240"/>
    <w:rsid w:val="2A235F6B"/>
    <w:rsid w:val="2A866EFF"/>
    <w:rsid w:val="2A93214D"/>
    <w:rsid w:val="2AB12710"/>
    <w:rsid w:val="2ABA1ABD"/>
    <w:rsid w:val="2ABC0600"/>
    <w:rsid w:val="2B144FF9"/>
    <w:rsid w:val="2B775256"/>
    <w:rsid w:val="2B8D1764"/>
    <w:rsid w:val="2BBB474F"/>
    <w:rsid w:val="2BC82CD1"/>
    <w:rsid w:val="2C0C4FAB"/>
    <w:rsid w:val="2C1A544E"/>
    <w:rsid w:val="2C634FD8"/>
    <w:rsid w:val="2CA945A8"/>
    <w:rsid w:val="2CB87278"/>
    <w:rsid w:val="2CFF48FC"/>
    <w:rsid w:val="2D045C82"/>
    <w:rsid w:val="2D60482A"/>
    <w:rsid w:val="2D650C74"/>
    <w:rsid w:val="2D73689F"/>
    <w:rsid w:val="2D8D4316"/>
    <w:rsid w:val="2E047BD9"/>
    <w:rsid w:val="2E073604"/>
    <w:rsid w:val="2E727C09"/>
    <w:rsid w:val="2E8207CF"/>
    <w:rsid w:val="2EC6256C"/>
    <w:rsid w:val="2ED74269"/>
    <w:rsid w:val="2EEC383E"/>
    <w:rsid w:val="2EF867DC"/>
    <w:rsid w:val="2F3E191F"/>
    <w:rsid w:val="2F3F343D"/>
    <w:rsid w:val="2F45568A"/>
    <w:rsid w:val="2F7B66D0"/>
    <w:rsid w:val="2F847F27"/>
    <w:rsid w:val="2FC242FE"/>
    <w:rsid w:val="2FD72582"/>
    <w:rsid w:val="2FE72824"/>
    <w:rsid w:val="30754171"/>
    <w:rsid w:val="309970A5"/>
    <w:rsid w:val="31094153"/>
    <w:rsid w:val="31344D88"/>
    <w:rsid w:val="3152227B"/>
    <w:rsid w:val="315B1113"/>
    <w:rsid w:val="317A5B1B"/>
    <w:rsid w:val="31A17F1D"/>
    <w:rsid w:val="31B509DA"/>
    <w:rsid w:val="31DE6E9B"/>
    <w:rsid w:val="31EF65C4"/>
    <w:rsid w:val="31F864CD"/>
    <w:rsid w:val="32224CF4"/>
    <w:rsid w:val="322E3AE0"/>
    <w:rsid w:val="32384B7E"/>
    <w:rsid w:val="325D50EF"/>
    <w:rsid w:val="328533C1"/>
    <w:rsid w:val="32D00AE0"/>
    <w:rsid w:val="32D700C1"/>
    <w:rsid w:val="334A7EA4"/>
    <w:rsid w:val="337F7260"/>
    <w:rsid w:val="3381002D"/>
    <w:rsid w:val="33941D8B"/>
    <w:rsid w:val="33E25A21"/>
    <w:rsid w:val="33F71CB6"/>
    <w:rsid w:val="34382E6A"/>
    <w:rsid w:val="34692F9B"/>
    <w:rsid w:val="347708B6"/>
    <w:rsid w:val="34AF5BBF"/>
    <w:rsid w:val="35152562"/>
    <w:rsid w:val="351C7EC1"/>
    <w:rsid w:val="351F18AB"/>
    <w:rsid w:val="35634DCD"/>
    <w:rsid w:val="357B6FFD"/>
    <w:rsid w:val="359953D6"/>
    <w:rsid w:val="35DC5D64"/>
    <w:rsid w:val="3607238A"/>
    <w:rsid w:val="364D1BC2"/>
    <w:rsid w:val="365F4A1C"/>
    <w:rsid w:val="366652B8"/>
    <w:rsid w:val="36CF005F"/>
    <w:rsid w:val="36FB3175"/>
    <w:rsid w:val="37690328"/>
    <w:rsid w:val="3770184A"/>
    <w:rsid w:val="378C298F"/>
    <w:rsid w:val="37A93C63"/>
    <w:rsid w:val="37FE1C4C"/>
    <w:rsid w:val="38874A6D"/>
    <w:rsid w:val="38892B0F"/>
    <w:rsid w:val="38AC5690"/>
    <w:rsid w:val="38BE0AC7"/>
    <w:rsid w:val="38CA31D2"/>
    <w:rsid w:val="394C157B"/>
    <w:rsid w:val="396A50BF"/>
    <w:rsid w:val="399A1E48"/>
    <w:rsid w:val="39D97827"/>
    <w:rsid w:val="39E6090E"/>
    <w:rsid w:val="3A1B045D"/>
    <w:rsid w:val="3A563FC1"/>
    <w:rsid w:val="3AAB3C48"/>
    <w:rsid w:val="3B2732F2"/>
    <w:rsid w:val="3B6C0E00"/>
    <w:rsid w:val="3B73443D"/>
    <w:rsid w:val="3BCE5DD9"/>
    <w:rsid w:val="3C1C326E"/>
    <w:rsid w:val="3C6F5772"/>
    <w:rsid w:val="3C9B34CE"/>
    <w:rsid w:val="3D1037AC"/>
    <w:rsid w:val="3D2441A7"/>
    <w:rsid w:val="3D2F3321"/>
    <w:rsid w:val="3D5578FF"/>
    <w:rsid w:val="3E0529A7"/>
    <w:rsid w:val="3E44789A"/>
    <w:rsid w:val="3E702C2C"/>
    <w:rsid w:val="3E726EF0"/>
    <w:rsid w:val="3EBE3373"/>
    <w:rsid w:val="3ECE7A25"/>
    <w:rsid w:val="3F0B5CB4"/>
    <w:rsid w:val="3F2C52F0"/>
    <w:rsid w:val="3FAE26EB"/>
    <w:rsid w:val="3FB63989"/>
    <w:rsid w:val="400A22B3"/>
    <w:rsid w:val="40D425EF"/>
    <w:rsid w:val="410455F8"/>
    <w:rsid w:val="412913B3"/>
    <w:rsid w:val="413F2208"/>
    <w:rsid w:val="42196DDF"/>
    <w:rsid w:val="421A1D78"/>
    <w:rsid w:val="42470697"/>
    <w:rsid w:val="42486FCB"/>
    <w:rsid w:val="424D246F"/>
    <w:rsid w:val="4254039B"/>
    <w:rsid w:val="42582607"/>
    <w:rsid w:val="428D386D"/>
    <w:rsid w:val="42DC236B"/>
    <w:rsid w:val="430B1EA2"/>
    <w:rsid w:val="431C742A"/>
    <w:rsid w:val="43A14668"/>
    <w:rsid w:val="43A242EA"/>
    <w:rsid w:val="43B361C0"/>
    <w:rsid w:val="44153F75"/>
    <w:rsid w:val="442422ED"/>
    <w:rsid w:val="44315D0E"/>
    <w:rsid w:val="44D004BB"/>
    <w:rsid w:val="44DA35C7"/>
    <w:rsid w:val="44FC5E43"/>
    <w:rsid w:val="45331274"/>
    <w:rsid w:val="453D5985"/>
    <w:rsid w:val="458911AC"/>
    <w:rsid w:val="458C71F1"/>
    <w:rsid w:val="45A8769B"/>
    <w:rsid w:val="45E02D1E"/>
    <w:rsid w:val="45E532CF"/>
    <w:rsid w:val="45EE38F9"/>
    <w:rsid w:val="461D0077"/>
    <w:rsid w:val="46241386"/>
    <w:rsid w:val="46573CAF"/>
    <w:rsid w:val="46A31ED0"/>
    <w:rsid w:val="46BA58D8"/>
    <w:rsid w:val="46BB6628"/>
    <w:rsid w:val="46E87790"/>
    <w:rsid w:val="47643C7B"/>
    <w:rsid w:val="476D3550"/>
    <w:rsid w:val="478C3746"/>
    <w:rsid w:val="47E524E0"/>
    <w:rsid w:val="47F60B91"/>
    <w:rsid w:val="47F73673"/>
    <w:rsid w:val="480601DB"/>
    <w:rsid w:val="489B34E7"/>
    <w:rsid w:val="492406B9"/>
    <w:rsid w:val="49422E32"/>
    <w:rsid w:val="498F36CA"/>
    <w:rsid w:val="49F11DE2"/>
    <w:rsid w:val="4A235BFF"/>
    <w:rsid w:val="4A253068"/>
    <w:rsid w:val="4A514E26"/>
    <w:rsid w:val="4A71274F"/>
    <w:rsid w:val="4A977748"/>
    <w:rsid w:val="4AC76C4F"/>
    <w:rsid w:val="4B5D6199"/>
    <w:rsid w:val="4B6107AF"/>
    <w:rsid w:val="4B907299"/>
    <w:rsid w:val="4C4B65A9"/>
    <w:rsid w:val="4C582E1C"/>
    <w:rsid w:val="4CBC3179"/>
    <w:rsid w:val="4CC13EB5"/>
    <w:rsid w:val="4CC17DB9"/>
    <w:rsid w:val="4D7847DB"/>
    <w:rsid w:val="4D8545D5"/>
    <w:rsid w:val="4D917728"/>
    <w:rsid w:val="4DA5785B"/>
    <w:rsid w:val="4E0B6BF7"/>
    <w:rsid w:val="4E2C1C98"/>
    <w:rsid w:val="4E705801"/>
    <w:rsid w:val="4E857A95"/>
    <w:rsid w:val="4EB32FAB"/>
    <w:rsid w:val="4EB83768"/>
    <w:rsid w:val="4F712DB5"/>
    <w:rsid w:val="4FCC64EB"/>
    <w:rsid w:val="502D1505"/>
    <w:rsid w:val="50501542"/>
    <w:rsid w:val="50556BD9"/>
    <w:rsid w:val="507A71C3"/>
    <w:rsid w:val="51316887"/>
    <w:rsid w:val="51B82697"/>
    <w:rsid w:val="52233BB7"/>
    <w:rsid w:val="522C7020"/>
    <w:rsid w:val="52447115"/>
    <w:rsid w:val="524B5A4F"/>
    <w:rsid w:val="52D57040"/>
    <w:rsid w:val="52DE3784"/>
    <w:rsid w:val="52F23789"/>
    <w:rsid w:val="52FA7B7D"/>
    <w:rsid w:val="5306304F"/>
    <w:rsid w:val="531E277F"/>
    <w:rsid w:val="5335367D"/>
    <w:rsid w:val="5374613B"/>
    <w:rsid w:val="537617D2"/>
    <w:rsid w:val="537A5F69"/>
    <w:rsid w:val="53A54913"/>
    <w:rsid w:val="53C01368"/>
    <w:rsid w:val="53C637A4"/>
    <w:rsid w:val="53E43AF4"/>
    <w:rsid w:val="53F93F95"/>
    <w:rsid w:val="54037803"/>
    <w:rsid w:val="546772D8"/>
    <w:rsid w:val="546876C3"/>
    <w:rsid w:val="5495796A"/>
    <w:rsid w:val="54B27BEE"/>
    <w:rsid w:val="54DF470C"/>
    <w:rsid w:val="551A3848"/>
    <w:rsid w:val="556C2528"/>
    <w:rsid w:val="556E0DAD"/>
    <w:rsid w:val="557F2C14"/>
    <w:rsid w:val="558E4CFF"/>
    <w:rsid w:val="559612BE"/>
    <w:rsid w:val="55BF4163"/>
    <w:rsid w:val="563E0835"/>
    <w:rsid w:val="564938B9"/>
    <w:rsid w:val="567C4300"/>
    <w:rsid w:val="56C907A9"/>
    <w:rsid w:val="56E541F9"/>
    <w:rsid w:val="57256D9D"/>
    <w:rsid w:val="581A42F7"/>
    <w:rsid w:val="58612945"/>
    <w:rsid w:val="58886B28"/>
    <w:rsid w:val="58C07D7B"/>
    <w:rsid w:val="59154BEF"/>
    <w:rsid w:val="59254EBA"/>
    <w:rsid w:val="59465F32"/>
    <w:rsid w:val="598633F7"/>
    <w:rsid w:val="59870090"/>
    <w:rsid w:val="5992781E"/>
    <w:rsid w:val="59CC1752"/>
    <w:rsid w:val="59FD190B"/>
    <w:rsid w:val="5AA03AB8"/>
    <w:rsid w:val="5B0F69FF"/>
    <w:rsid w:val="5B2829B8"/>
    <w:rsid w:val="5B4104F6"/>
    <w:rsid w:val="5BA5289C"/>
    <w:rsid w:val="5BB00A38"/>
    <w:rsid w:val="5BD13460"/>
    <w:rsid w:val="5BD448EE"/>
    <w:rsid w:val="5BF07652"/>
    <w:rsid w:val="5C760D2C"/>
    <w:rsid w:val="5CB9024A"/>
    <w:rsid w:val="5CD079AF"/>
    <w:rsid w:val="5CD728E8"/>
    <w:rsid w:val="5CE14FD6"/>
    <w:rsid w:val="5D2B228A"/>
    <w:rsid w:val="5D941B94"/>
    <w:rsid w:val="5D9B14E3"/>
    <w:rsid w:val="5DA1700F"/>
    <w:rsid w:val="5DFC012C"/>
    <w:rsid w:val="5E404B80"/>
    <w:rsid w:val="5E431BF9"/>
    <w:rsid w:val="5E8369F8"/>
    <w:rsid w:val="5F1576F7"/>
    <w:rsid w:val="5F4A7286"/>
    <w:rsid w:val="5F55078D"/>
    <w:rsid w:val="5F950838"/>
    <w:rsid w:val="5F9B3732"/>
    <w:rsid w:val="5FB23D44"/>
    <w:rsid w:val="5FE72AD7"/>
    <w:rsid w:val="60236AFD"/>
    <w:rsid w:val="607D5554"/>
    <w:rsid w:val="609D0D91"/>
    <w:rsid w:val="60A71AB0"/>
    <w:rsid w:val="60B979CF"/>
    <w:rsid w:val="60CE7B5E"/>
    <w:rsid w:val="60D360FA"/>
    <w:rsid w:val="610C4CFA"/>
    <w:rsid w:val="617C19B7"/>
    <w:rsid w:val="618C769B"/>
    <w:rsid w:val="61A92A12"/>
    <w:rsid w:val="62943D5E"/>
    <w:rsid w:val="62A36648"/>
    <w:rsid w:val="62C43E0A"/>
    <w:rsid w:val="62C96A53"/>
    <w:rsid w:val="62E76825"/>
    <w:rsid w:val="6308085A"/>
    <w:rsid w:val="631D29BD"/>
    <w:rsid w:val="633657AF"/>
    <w:rsid w:val="63545317"/>
    <w:rsid w:val="63C215AA"/>
    <w:rsid w:val="64122457"/>
    <w:rsid w:val="641727BB"/>
    <w:rsid w:val="641C6E32"/>
    <w:rsid w:val="64AE324D"/>
    <w:rsid w:val="65255D4F"/>
    <w:rsid w:val="656A5E0D"/>
    <w:rsid w:val="657B11CD"/>
    <w:rsid w:val="658406C7"/>
    <w:rsid w:val="65C15EE3"/>
    <w:rsid w:val="65EB7228"/>
    <w:rsid w:val="66405755"/>
    <w:rsid w:val="66AA2EA6"/>
    <w:rsid w:val="66B23126"/>
    <w:rsid w:val="6711345A"/>
    <w:rsid w:val="675E7762"/>
    <w:rsid w:val="6802621D"/>
    <w:rsid w:val="68CF45AF"/>
    <w:rsid w:val="694B21B9"/>
    <w:rsid w:val="695F5FF7"/>
    <w:rsid w:val="699409E2"/>
    <w:rsid w:val="69A03790"/>
    <w:rsid w:val="69B0692E"/>
    <w:rsid w:val="69C96AEC"/>
    <w:rsid w:val="6A031450"/>
    <w:rsid w:val="6A044069"/>
    <w:rsid w:val="6A2D7FEB"/>
    <w:rsid w:val="6A374C7D"/>
    <w:rsid w:val="6ABC2401"/>
    <w:rsid w:val="6BB12556"/>
    <w:rsid w:val="6BBB033E"/>
    <w:rsid w:val="6BC6036C"/>
    <w:rsid w:val="6BD81F61"/>
    <w:rsid w:val="6BE31224"/>
    <w:rsid w:val="6C325783"/>
    <w:rsid w:val="6C4877AE"/>
    <w:rsid w:val="6C4B29AA"/>
    <w:rsid w:val="6CD206FF"/>
    <w:rsid w:val="6D58035D"/>
    <w:rsid w:val="6D623B4B"/>
    <w:rsid w:val="6E1D75A0"/>
    <w:rsid w:val="6E90142A"/>
    <w:rsid w:val="6EBC193D"/>
    <w:rsid w:val="6EE848B2"/>
    <w:rsid w:val="6EF16FA6"/>
    <w:rsid w:val="6F35373C"/>
    <w:rsid w:val="6F700FB0"/>
    <w:rsid w:val="6F8E6027"/>
    <w:rsid w:val="6FD9651F"/>
    <w:rsid w:val="703B19BD"/>
    <w:rsid w:val="704B1EF7"/>
    <w:rsid w:val="70536956"/>
    <w:rsid w:val="70D144B9"/>
    <w:rsid w:val="70E64F62"/>
    <w:rsid w:val="71247CD8"/>
    <w:rsid w:val="712F200C"/>
    <w:rsid w:val="71851022"/>
    <w:rsid w:val="71AE518F"/>
    <w:rsid w:val="71C33F7F"/>
    <w:rsid w:val="71D90F33"/>
    <w:rsid w:val="725833BF"/>
    <w:rsid w:val="726F7452"/>
    <w:rsid w:val="7271087F"/>
    <w:rsid w:val="729D2F29"/>
    <w:rsid w:val="73203DF6"/>
    <w:rsid w:val="73502676"/>
    <w:rsid w:val="736D76AA"/>
    <w:rsid w:val="739B6425"/>
    <w:rsid w:val="73F6597E"/>
    <w:rsid w:val="740D6797"/>
    <w:rsid w:val="74583EB6"/>
    <w:rsid w:val="745C7348"/>
    <w:rsid w:val="74616F16"/>
    <w:rsid w:val="746B346A"/>
    <w:rsid w:val="746C2597"/>
    <w:rsid w:val="74AB6580"/>
    <w:rsid w:val="74BA14F0"/>
    <w:rsid w:val="74C54EC2"/>
    <w:rsid w:val="74C612E8"/>
    <w:rsid w:val="74FB761D"/>
    <w:rsid w:val="750A7951"/>
    <w:rsid w:val="753A7BC5"/>
    <w:rsid w:val="7548026C"/>
    <w:rsid w:val="754A7064"/>
    <w:rsid w:val="757A7E5C"/>
    <w:rsid w:val="75840CDB"/>
    <w:rsid w:val="758962F1"/>
    <w:rsid w:val="75D24941"/>
    <w:rsid w:val="76056631"/>
    <w:rsid w:val="761A17D3"/>
    <w:rsid w:val="76223555"/>
    <w:rsid w:val="76597F55"/>
    <w:rsid w:val="76900D15"/>
    <w:rsid w:val="76BA3D3B"/>
    <w:rsid w:val="76BD6F5B"/>
    <w:rsid w:val="770E47C2"/>
    <w:rsid w:val="77356731"/>
    <w:rsid w:val="774122F4"/>
    <w:rsid w:val="774B1AB0"/>
    <w:rsid w:val="7753216C"/>
    <w:rsid w:val="77684BC7"/>
    <w:rsid w:val="779D2FE5"/>
    <w:rsid w:val="783C484E"/>
    <w:rsid w:val="78583582"/>
    <w:rsid w:val="785D4155"/>
    <w:rsid w:val="78730EE9"/>
    <w:rsid w:val="789C56AB"/>
    <w:rsid w:val="789F19A6"/>
    <w:rsid w:val="78D5378B"/>
    <w:rsid w:val="79075E27"/>
    <w:rsid w:val="7931117A"/>
    <w:rsid w:val="7966477A"/>
    <w:rsid w:val="79BF1E65"/>
    <w:rsid w:val="7A276FAC"/>
    <w:rsid w:val="7A6B08D1"/>
    <w:rsid w:val="7A85352B"/>
    <w:rsid w:val="7AAF505E"/>
    <w:rsid w:val="7AB8735B"/>
    <w:rsid w:val="7B115F09"/>
    <w:rsid w:val="7B3D128D"/>
    <w:rsid w:val="7B4A235B"/>
    <w:rsid w:val="7B4F58E7"/>
    <w:rsid w:val="7BA55DC6"/>
    <w:rsid w:val="7BDB36D3"/>
    <w:rsid w:val="7C05223E"/>
    <w:rsid w:val="7C1E59E5"/>
    <w:rsid w:val="7C207A72"/>
    <w:rsid w:val="7CAA4D9F"/>
    <w:rsid w:val="7CF10A8B"/>
    <w:rsid w:val="7CF95B0B"/>
    <w:rsid w:val="7D106983"/>
    <w:rsid w:val="7D3E3E65"/>
    <w:rsid w:val="7D4B48DE"/>
    <w:rsid w:val="7DBC3708"/>
    <w:rsid w:val="7DC169BF"/>
    <w:rsid w:val="7DD633BF"/>
    <w:rsid w:val="7E0B20A3"/>
    <w:rsid w:val="7E2B2C36"/>
    <w:rsid w:val="7E3E5DFF"/>
    <w:rsid w:val="7E6D5049"/>
    <w:rsid w:val="7E7F7EB6"/>
    <w:rsid w:val="7EB73E9A"/>
    <w:rsid w:val="7EB97C47"/>
    <w:rsid w:val="7EC56B4A"/>
    <w:rsid w:val="7F0B3A8B"/>
    <w:rsid w:val="7F0B44E9"/>
    <w:rsid w:val="7F1C7029"/>
    <w:rsid w:val="7F2A28D2"/>
    <w:rsid w:val="7F713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spacing w:line="460" w:lineRule="exact"/>
      <w:outlineLvl w:val="2"/>
    </w:pPr>
    <w:rPr>
      <w:rFonts w:ascii="宋体" w:hAnsi="宋体"/>
      <w:b/>
      <w:bCs/>
      <w:sz w:val="30"/>
    </w:rPr>
  </w:style>
  <w:style w:type="paragraph" w:styleId="6">
    <w:name w:val="heading 4"/>
    <w:basedOn w:val="1"/>
    <w:next w:val="1"/>
    <w:qFormat/>
    <w:uiPriority w:val="0"/>
    <w:pPr>
      <w:keepNext/>
      <w:tabs>
        <w:tab w:val="left" w:pos="435"/>
      </w:tabs>
      <w:ind w:left="435" w:hanging="435"/>
      <w:outlineLvl w:val="3"/>
    </w:pPr>
    <w:rPr>
      <w:b/>
      <w:color w:val="000000"/>
      <w:sz w:val="28"/>
      <w:szCs w:val="24"/>
      <w:u w:val="single"/>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link w:val="25"/>
    <w:semiHidden/>
    <w:qFormat/>
    <w:uiPriority w:val="0"/>
    <w:rPr>
      <w:rFonts w:ascii="Tahoma" w:hAnsi="Tahoma" w:cs="仿宋_GB2312"/>
      <w:sz w:val="24"/>
      <w:szCs w:val="28"/>
    </w:rPr>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8">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qFormat/>
    <w:uiPriority w:val="0"/>
    <w:pPr>
      <w:jc w:val="left"/>
    </w:pPr>
    <w:rPr>
      <w:szCs w:val="24"/>
    </w:rPr>
  </w:style>
  <w:style w:type="paragraph" w:styleId="11">
    <w:name w:val="Body Text"/>
    <w:basedOn w:val="1"/>
    <w:next w:val="12"/>
    <w:unhideWhenUsed/>
    <w:qFormat/>
    <w:uiPriority w:val="99"/>
    <w:pPr>
      <w:spacing w:before="100" w:beforeAutospacing="1" w:after="100" w:afterAutospacing="1"/>
      <w:ind w:left="102"/>
    </w:pPr>
    <w:rPr>
      <w:rFonts w:ascii="宋体" w:hAnsi="宋体" w:cs="宋体"/>
      <w:szCs w:val="21"/>
    </w:rPr>
  </w:style>
  <w:style w:type="paragraph" w:styleId="12">
    <w:name w:val="Date"/>
    <w:basedOn w:val="1"/>
    <w:next w:val="1"/>
    <w:qFormat/>
    <w:uiPriority w:val="0"/>
    <w:rPr>
      <w:color w:val="000000"/>
      <w:kern w:val="0"/>
      <w:sz w:val="30"/>
    </w:rPr>
  </w:style>
  <w:style w:type="paragraph" w:styleId="13">
    <w:name w:val="Body Text Indent"/>
    <w:basedOn w:val="1"/>
    <w:next w:val="6"/>
    <w:qFormat/>
    <w:uiPriority w:val="0"/>
    <w:pPr>
      <w:ind w:firstLine="570"/>
    </w:pPr>
    <w:rPr>
      <w:rFonts w:ascii="宋体" w:hAnsi="宋体"/>
      <w:sz w:val="28"/>
      <w:szCs w:val="20"/>
    </w:rPr>
  </w:style>
  <w:style w:type="paragraph" w:styleId="14">
    <w:name w:val="toc 3"/>
    <w:basedOn w:val="1"/>
    <w:next w:val="1"/>
    <w:qFormat/>
    <w:uiPriority w:val="39"/>
    <w:pPr>
      <w:ind w:left="420"/>
      <w:jc w:val="left"/>
    </w:pPr>
    <w:rPr>
      <w:i/>
      <w:iCs/>
    </w:rPr>
  </w:style>
  <w:style w:type="paragraph" w:styleId="15">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16">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7">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8">
    <w:name w:val="footnote text"/>
    <w:basedOn w:val="1"/>
    <w:qFormat/>
    <w:uiPriority w:val="0"/>
    <w:pPr>
      <w:snapToGrid w:val="0"/>
      <w:jc w:val="left"/>
    </w:pPr>
    <w:rPr>
      <w:sz w:val="18"/>
    </w:rPr>
  </w:style>
  <w:style w:type="paragraph" w:styleId="19">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20">
    <w:name w:val="Body Text First Indent"/>
    <w:basedOn w:val="11"/>
    <w:qFormat/>
    <w:uiPriority w:val="0"/>
    <w:pPr>
      <w:autoSpaceDE w:val="0"/>
      <w:autoSpaceDN w:val="0"/>
      <w:adjustRightInd w:val="0"/>
      <w:spacing w:after="120" w:line="312" w:lineRule="atLeast"/>
      <w:ind w:firstLine="420"/>
    </w:pPr>
    <w:rPr>
      <w:rFonts w:ascii="宋体"/>
      <w:kern w:val="0"/>
    </w:rPr>
  </w:style>
  <w:style w:type="paragraph" w:styleId="21">
    <w:name w:val="Body Text First Indent 2"/>
    <w:basedOn w:val="13"/>
    <w:next w:val="1"/>
    <w:qFormat/>
    <w:uiPriority w:val="99"/>
    <w:pPr>
      <w:spacing w:after="120" w:line="312" w:lineRule="auto"/>
      <w:ind w:left="420" w:leftChars="200" w:firstLine="420"/>
      <w:jc w:val="both"/>
    </w:pPr>
    <w:rPr>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har"/>
    <w:basedOn w:val="1"/>
    <w:link w:val="24"/>
    <w:qFormat/>
    <w:uiPriority w:val="0"/>
    <w:rPr>
      <w:rFonts w:ascii="Tahoma" w:hAnsi="Tahoma" w:cs="仿宋_GB2312"/>
      <w:sz w:val="24"/>
      <w:szCs w:val="28"/>
    </w:rPr>
  </w:style>
  <w:style w:type="character" w:styleId="26">
    <w:name w:val="Strong"/>
    <w:basedOn w:val="24"/>
    <w:qFormat/>
    <w:uiPriority w:val="0"/>
    <w:rPr>
      <w:b/>
    </w:rPr>
  </w:style>
  <w:style w:type="character" w:styleId="27">
    <w:name w:val="page number"/>
    <w:basedOn w:val="24"/>
    <w:qFormat/>
    <w:uiPriority w:val="0"/>
    <w:rPr>
      <w:rFonts w:ascii="宋体" w:hAnsi="宋体" w:eastAsia="Times New Roman"/>
      <w:spacing w:val="0"/>
      <w:kern w:val="18"/>
      <w:position w:val="0"/>
      <w:sz w:val="18"/>
      <w:szCs w:val="18"/>
    </w:rPr>
  </w:style>
  <w:style w:type="character" w:styleId="28">
    <w:name w:val="Hyperlink"/>
    <w:basedOn w:val="24"/>
    <w:qFormat/>
    <w:uiPriority w:val="99"/>
    <w:rPr>
      <w:color w:val="0000FF"/>
      <w:u w:val="single"/>
    </w:rPr>
  </w:style>
  <w:style w:type="character" w:styleId="29">
    <w:name w:val="HTML Sample"/>
    <w:basedOn w:val="24"/>
    <w:qFormat/>
    <w:uiPriority w:val="0"/>
    <w:rPr>
      <w:rFonts w:ascii="Courier New" w:hAnsi="Courier New"/>
    </w:r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表名称"/>
    <w:basedOn w:val="8"/>
    <w:qFormat/>
    <w:uiPriority w:val="0"/>
    <w:pPr>
      <w:numPr>
        <w:ilvl w:val="0"/>
        <w:numId w:val="1"/>
      </w:numPr>
      <w:ind w:firstLine="0" w:firstLineChars="0"/>
      <w:jc w:val="center"/>
    </w:pPr>
  </w:style>
  <w:style w:type="character" w:customStyle="1" w:styleId="32">
    <w:name w:val="font131"/>
    <w:basedOn w:val="24"/>
    <w:qFormat/>
    <w:uiPriority w:val="99"/>
    <w:rPr>
      <w:rFonts w:ascii="宋体" w:hAnsi="宋体" w:eastAsia="宋体" w:cs="宋体"/>
      <w:color w:val="000000"/>
      <w:sz w:val="20"/>
      <w:szCs w:val="20"/>
      <w:u w:val="none"/>
    </w:rPr>
  </w:style>
  <w:style w:type="paragraph" w:styleId="33">
    <w:name w:val="List Paragraph"/>
    <w:basedOn w:val="1"/>
    <w:qFormat/>
    <w:uiPriority w:val="99"/>
    <w:pPr>
      <w:ind w:firstLine="420" w:firstLineChars="200"/>
    </w:pPr>
  </w:style>
  <w:style w:type="character" w:customStyle="1" w:styleId="34">
    <w:name w:val="font181"/>
    <w:basedOn w:val="24"/>
    <w:qFormat/>
    <w:uiPriority w:val="99"/>
    <w:rPr>
      <w:rFonts w:ascii="宋体" w:hAnsi="宋体" w:eastAsia="宋体" w:cs="宋体"/>
      <w:color w:val="000000"/>
      <w:sz w:val="18"/>
      <w:szCs w:val="18"/>
      <w:u w:val="none"/>
    </w:rPr>
  </w:style>
  <w:style w:type="paragraph" w:customStyle="1" w:styleId="3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6">
    <w:name w:val="样式 小四 段前: 5 磅 段后: 5 磅 首行缩进:  2 字符"/>
    <w:basedOn w:val="1"/>
    <w:qFormat/>
    <w:uiPriority w:val="0"/>
    <w:pPr>
      <w:spacing w:line="400" w:lineRule="exact"/>
    </w:pPr>
    <w:rPr>
      <w:rFonts w:ascii="宋体" w:hAnsi="宋体"/>
      <w:sz w:val="24"/>
    </w:rPr>
  </w:style>
  <w:style w:type="paragraph" w:customStyle="1" w:styleId="3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8">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9">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character" w:customStyle="1" w:styleId="40">
    <w:name w:val="页脚2 Char"/>
    <w:basedOn w:val="24"/>
    <w:qFormat/>
    <w:uiPriority w:val="0"/>
    <w:rPr>
      <w:rFonts w:ascii="宋体" w:hAnsi="宋体" w:eastAsia="宋体"/>
      <w:sz w:val="18"/>
      <w:szCs w:val="18"/>
      <w:lang w:val="en-US" w:eastAsia="zh-CN" w:bidi="ar-SA"/>
    </w:rPr>
  </w:style>
  <w:style w:type="paragraph" w:customStyle="1" w:styleId="41">
    <w:name w:val="列表段落2"/>
    <w:basedOn w:val="1"/>
    <w:qFormat/>
    <w:uiPriority w:val="99"/>
    <w:pPr>
      <w:ind w:firstLine="420" w:firstLineChars="200"/>
    </w:pPr>
    <w:rPr>
      <w:rFonts w:ascii="Times New Roman" w:hAnsi="Times New Roman"/>
    </w:rPr>
  </w:style>
  <w:style w:type="character" w:customStyle="1" w:styleId="42">
    <w:name w:val="font41"/>
    <w:qFormat/>
    <w:uiPriority w:val="0"/>
    <w:rPr>
      <w:rFonts w:hint="eastAsia" w:ascii="宋体" w:hAnsi="宋体" w:eastAsia="宋体" w:cs="宋体"/>
      <w:color w:val="000000"/>
      <w:sz w:val="22"/>
      <w:szCs w:val="22"/>
      <w:u w:val="none"/>
    </w:rPr>
  </w:style>
  <w:style w:type="paragraph" w:customStyle="1" w:styleId="43">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4">
    <w:name w:val="列表段落1"/>
    <w:basedOn w:val="1"/>
    <w:qFormat/>
    <w:uiPriority w:val="34"/>
    <w:pPr>
      <w:ind w:firstLine="420" w:firstLineChars="200"/>
    </w:pPr>
  </w:style>
  <w:style w:type="paragraph" w:customStyle="1" w:styleId="45">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È±Ê¡ÎÄ±¾"/>
    <w:basedOn w:val="1"/>
    <w:qFormat/>
    <w:uiPriority w:val="0"/>
    <w:pPr>
      <w:widowControl/>
      <w:overflowPunct w:val="0"/>
      <w:autoSpaceDE w:val="0"/>
      <w:autoSpaceDN w:val="0"/>
      <w:adjustRightInd w:val="0"/>
      <w:jc w:val="left"/>
    </w:pPr>
    <w:rPr>
      <w:kern w:val="0"/>
      <w:sz w:val="24"/>
    </w:rPr>
  </w:style>
  <w:style w:type="character" w:customStyle="1" w:styleId="48">
    <w:name w:val="font51"/>
    <w:basedOn w:val="24"/>
    <w:qFormat/>
    <w:uiPriority w:val="0"/>
    <w:rPr>
      <w:rFonts w:hint="eastAsia" w:ascii="宋体" w:hAnsi="宋体" w:eastAsia="宋体" w:cs="宋体"/>
      <w:color w:val="000000"/>
      <w:sz w:val="20"/>
      <w:szCs w:val="20"/>
      <w:u w:val="none"/>
    </w:rPr>
  </w:style>
  <w:style w:type="character" w:customStyle="1" w:styleId="49">
    <w:name w:val="font21"/>
    <w:basedOn w:val="24"/>
    <w:qFormat/>
    <w:uiPriority w:val="0"/>
    <w:rPr>
      <w:rFonts w:hint="default" w:ascii="Times New Roman" w:hAnsi="Times New Roman" w:cs="Times New Roman"/>
      <w:color w:val="000000"/>
      <w:sz w:val="20"/>
      <w:szCs w:val="20"/>
      <w:u w:val="none"/>
    </w:rPr>
  </w:style>
  <w:style w:type="character" w:customStyle="1" w:styleId="50">
    <w:name w:val="font11"/>
    <w:basedOn w:val="24"/>
    <w:qFormat/>
    <w:uiPriority w:val="0"/>
    <w:rPr>
      <w:rFonts w:hint="eastAsia" w:ascii="宋体" w:hAnsi="宋体" w:eastAsia="宋体" w:cs="宋体"/>
      <w:color w:val="000000"/>
      <w:sz w:val="20"/>
      <w:szCs w:val="20"/>
      <w:u w:val="none"/>
    </w:rPr>
  </w:style>
  <w:style w:type="character" w:customStyle="1" w:styleId="51">
    <w:name w:val="font71"/>
    <w:basedOn w:val="24"/>
    <w:qFormat/>
    <w:uiPriority w:val="0"/>
    <w:rPr>
      <w:rFonts w:ascii="Arial" w:hAnsi="Arial" w:cs="Arial"/>
      <w:color w:val="000000"/>
      <w:sz w:val="20"/>
      <w:szCs w:val="20"/>
      <w:u w:val="none"/>
    </w:rPr>
  </w:style>
  <w:style w:type="character" w:customStyle="1" w:styleId="5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25342</Words>
  <Characters>26177</Characters>
  <Lines>0</Lines>
  <Paragraphs>0</Paragraphs>
  <TotalTime>0</TotalTime>
  <ScaleCrop>false</ScaleCrop>
  <LinksUpToDate>false</LinksUpToDate>
  <CharactersWithSpaces>28498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 </cp:lastModifiedBy>
  <cp:lastPrinted>2019-10-31T02:12:00Z</cp:lastPrinted>
  <dcterms:modified xsi:type="dcterms:W3CDTF">2022-05-25T09:38:57Z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DEB2C363A1DE4895A5C22D73F52BE56A</vt:lpwstr>
  </property>
</Properties>
</file>