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64" w:line="500" w:lineRule="exact"/>
        <w:jc w:val="both"/>
        <w:outlineLvl w:val="5"/>
        <w:rPr>
          <w:rFonts w:ascii="宋体" w:hAnsi="宋体" w:eastAsia="宋体" w:cs="宋体"/>
          <w:b/>
          <w:bCs/>
          <w:sz w:val="36"/>
          <w:szCs w:val="36"/>
        </w:rPr>
      </w:pPr>
    </w:p>
    <w:p>
      <w:pPr>
        <w:jc w:val="center"/>
        <w:rPr>
          <w:rFonts w:hint="eastAsia" w:ascii="宋体" w:hAnsi="宋体" w:eastAsia="宋体" w:cs="宋体"/>
          <w:b/>
          <w:color w:val="auto"/>
          <w:sz w:val="56"/>
          <w:szCs w:val="56"/>
          <w:lang w:val="en-US" w:eastAsia="zh-CN"/>
        </w:rPr>
      </w:pPr>
      <w:r>
        <w:rPr>
          <w:rFonts w:hint="eastAsia" w:ascii="宋体" w:hAnsi="宋体" w:eastAsia="宋体" w:cs="宋体"/>
          <w:b/>
          <w:color w:val="auto"/>
          <w:sz w:val="56"/>
          <w:szCs w:val="56"/>
          <w:lang w:val="en-US" w:eastAsia="zh-CN"/>
        </w:rPr>
        <w:t>阿勒泰市物流园片区集中供热热源点建设项目—监理</w:t>
      </w:r>
    </w:p>
    <w:p>
      <w:pPr>
        <w:pStyle w:val="48"/>
        <w:jc w:val="center"/>
        <w:rPr>
          <w:rFonts w:hint="eastAsia"/>
          <w:color w:val="auto"/>
          <w:lang w:val="en-US" w:eastAsia="zh-CN"/>
        </w:rPr>
      </w:pPr>
    </w:p>
    <w:p>
      <w:pPr>
        <w:jc w:val="center"/>
        <w:rPr>
          <w:rFonts w:hint="eastAsia" w:ascii="仿宋_GB2312" w:eastAsia="仿宋_GB2312"/>
          <w:b/>
          <w:color w:val="auto"/>
          <w:sz w:val="48"/>
          <w:szCs w:val="48"/>
        </w:rPr>
      </w:pPr>
    </w:p>
    <w:p>
      <w:pPr>
        <w:jc w:val="center"/>
        <w:rPr>
          <w:rFonts w:ascii="仿宋_GB2312" w:eastAsia="仿宋_GB2312"/>
          <w:b/>
          <w:color w:val="auto"/>
          <w:sz w:val="48"/>
          <w:szCs w:val="48"/>
        </w:rPr>
      </w:pPr>
      <w:r>
        <w:rPr>
          <w:rFonts w:hint="eastAsia" w:ascii="仿宋_GB2312" w:eastAsia="仿宋_GB2312"/>
          <w:b/>
          <w:color w:val="auto"/>
          <w:sz w:val="48"/>
          <w:szCs w:val="48"/>
        </w:rPr>
        <w:t>竞</w:t>
      </w:r>
    </w:p>
    <w:p>
      <w:pPr>
        <w:jc w:val="center"/>
        <w:rPr>
          <w:rFonts w:ascii="仿宋_GB2312" w:eastAsia="仿宋_GB2312"/>
          <w:b/>
          <w:color w:val="auto"/>
          <w:sz w:val="48"/>
          <w:szCs w:val="48"/>
        </w:rPr>
      </w:pPr>
      <w:r>
        <w:rPr>
          <w:rFonts w:hint="eastAsia" w:ascii="仿宋_GB2312" w:eastAsia="仿宋_GB2312"/>
          <w:b/>
          <w:color w:val="auto"/>
          <w:sz w:val="48"/>
          <w:szCs w:val="48"/>
        </w:rPr>
        <w:t>争</w:t>
      </w:r>
    </w:p>
    <w:p>
      <w:pPr>
        <w:jc w:val="center"/>
        <w:rPr>
          <w:rFonts w:hint="eastAsia" w:ascii="仿宋_GB2312" w:eastAsia="仿宋_GB2312"/>
          <w:b/>
          <w:color w:val="auto"/>
          <w:sz w:val="48"/>
          <w:szCs w:val="48"/>
        </w:rPr>
      </w:pPr>
      <w:r>
        <w:rPr>
          <w:rFonts w:hint="eastAsia" w:ascii="仿宋_GB2312" w:eastAsia="仿宋_GB2312"/>
          <w:b/>
          <w:color w:val="auto"/>
          <w:sz w:val="48"/>
          <w:szCs w:val="48"/>
        </w:rPr>
        <w:t>性</w:t>
      </w:r>
    </w:p>
    <w:p>
      <w:pPr>
        <w:jc w:val="center"/>
        <w:rPr>
          <w:rFonts w:hint="eastAsia" w:ascii="仿宋_GB2312" w:eastAsia="仿宋_GB2312"/>
          <w:b/>
          <w:color w:val="auto"/>
          <w:sz w:val="48"/>
          <w:szCs w:val="48"/>
          <w:lang w:eastAsia="zh-CN"/>
        </w:rPr>
      </w:pPr>
      <w:r>
        <w:rPr>
          <w:rFonts w:hint="eastAsia" w:ascii="仿宋_GB2312" w:eastAsia="仿宋_GB2312"/>
          <w:b/>
          <w:color w:val="auto"/>
          <w:sz w:val="48"/>
          <w:szCs w:val="48"/>
          <w:lang w:eastAsia="zh-CN"/>
        </w:rPr>
        <w:t>磋</w:t>
      </w:r>
    </w:p>
    <w:p>
      <w:pPr>
        <w:jc w:val="center"/>
        <w:rPr>
          <w:rFonts w:ascii="仿宋_GB2312" w:eastAsia="仿宋_GB2312"/>
          <w:b/>
          <w:color w:val="auto"/>
          <w:sz w:val="48"/>
          <w:szCs w:val="48"/>
        </w:rPr>
      </w:pPr>
      <w:r>
        <w:rPr>
          <w:rFonts w:hint="eastAsia" w:ascii="仿宋_GB2312" w:eastAsia="仿宋_GB2312"/>
          <w:b/>
          <w:color w:val="auto"/>
          <w:sz w:val="48"/>
          <w:szCs w:val="48"/>
          <w:lang w:eastAsia="zh-CN"/>
        </w:rPr>
        <w:t>商</w:t>
      </w:r>
    </w:p>
    <w:p>
      <w:pPr>
        <w:jc w:val="center"/>
        <w:rPr>
          <w:rFonts w:ascii="仿宋_GB2312" w:eastAsia="仿宋_GB2312"/>
          <w:b/>
          <w:color w:val="auto"/>
          <w:sz w:val="48"/>
          <w:szCs w:val="48"/>
        </w:rPr>
      </w:pPr>
      <w:r>
        <w:rPr>
          <w:rFonts w:hint="eastAsia" w:ascii="仿宋_GB2312" w:eastAsia="仿宋_GB2312"/>
          <w:b/>
          <w:color w:val="auto"/>
          <w:sz w:val="48"/>
          <w:szCs w:val="48"/>
        </w:rPr>
        <w:t>文</w:t>
      </w:r>
    </w:p>
    <w:p>
      <w:pPr>
        <w:jc w:val="center"/>
        <w:rPr>
          <w:rFonts w:hint="eastAsia" w:ascii="仿宋_GB2312" w:eastAsia="仿宋_GB2312"/>
          <w:b/>
          <w:color w:val="auto"/>
          <w:sz w:val="36"/>
          <w:szCs w:val="36"/>
        </w:rPr>
      </w:pPr>
      <w:r>
        <w:rPr>
          <w:rFonts w:hint="eastAsia" w:ascii="仿宋_GB2312" w:eastAsia="仿宋_GB2312"/>
          <w:b/>
          <w:color w:val="auto"/>
          <w:sz w:val="48"/>
          <w:szCs w:val="48"/>
        </w:rPr>
        <w:t>件</w:t>
      </w:r>
    </w:p>
    <w:p>
      <w:pPr>
        <w:jc w:val="center"/>
        <w:rPr>
          <w:rFonts w:hint="eastAsia" w:ascii="仿宋_GB2312" w:eastAsia="仿宋_GB2312"/>
          <w:b/>
          <w:color w:val="auto"/>
          <w:sz w:val="72"/>
          <w:szCs w:val="72"/>
        </w:rPr>
      </w:pPr>
    </w:p>
    <w:p>
      <w:pPr>
        <w:ind w:firstLine="840" w:firstLineChars="300"/>
        <w:rPr>
          <w:rFonts w:ascii="宋体"/>
          <w:bCs/>
          <w:color w:val="auto"/>
          <w:sz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招标单位：</w:t>
      </w:r>
      <w:r>
        <w:rPr>
          <w:rFonts w:hint="eastAsia" w:ascii="仿宋_GB2312" w:hAnsi="宋体" w:eastAsia="仿宋_GB2312"/>
          <w:b/>
          <w:color w:val="auto"/>
          <w:sz w:val="28"/>
          <w:szCs w:val="28"/>
          <w:lang w:val="en-US" w:eastAsia="zh-CN"/>
        </w:rPr>
        <w:t>阿勒泰市住房和城乡建设局</w:t>
      </w:r>
      <w:r>
        <w:rPr>
          <w:rFonts w:hint="eastAsia" w:ascii="仿宋_GB2312" w:hAnsi="宋体" w:eastAsia="仿宋_GB2312"/>
          <w:b/>
          <w:color w:val="auto"/>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val="en-US" w:eastAsia="zh-CN"/>
        </w:rPr>
      </w:pPr>
      <w:r>
        <w:rPr>
          <w:rFonts w:hint="eastAsia" w:ascii="仿宋_GB2312" w:hAnsi="宋体" w:eastAsia="仿宋_GB2312"/>
          <w:b/>
          <w:color w:val="auto"/>
          <w:sz w:val="28"/>
          <w:szCs w:val="28"/>
        </w:rPr>
        <w:t>文件编号：</w:t>
      </w:r>
      <w:r>
        <w:rPr>
          <w:rFonts w:hint="eastAsia" w:ascii="仿宋_GB2312" w:hAnsi="宋体" w:eastAsia="仿宋_GB2312"/>
          <w:b/>
          <w:color w:val="auto"/>
          <w:sz w:val="28"/>
          <w:szCs w:val="28"/>
          <w:lang w:val="en-US" w:eastAsia="zh-CN"/>
        </w:rPr>
        <w:t>ZFCGA-JTSZZB2022-008</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rPr>
      </w:pPr>
      <w:r>
        <w:rPr>
          <w:rFonts w:hint="eastAsia" w:ascii="仿宋_GB2312" w:hAnsi="宋体" w:eastAsia="仿宋_GB2312"/>
          <w:b/>
          <w:color w:val="auto"/>
          <w:sz w:val="28"/>
          <w:szCs w:val="28"/>
        </w:rPr>
        <w:t xml:space="preserve">招标代理公司: </w:t>
      </w:r>
      <w:r>
        <w:rPr>
          <w:rFonts w:hint="eastAsia" w:ascii="仿宋_GB2312" w:hAnsi="宋体" w:eastAsia="仿宋_GB2312"/>
          <w:b/>
          <w:color w:val="auto"/>
          <w:sz w:val="28"/>
          <w:szCs w:val="28"/>
          <w:lang w:val="en-US" w:eastAsia="zh-CN"/>
        </w:rPr>
        <w:t>新疆金泰首致项目管理咨询有限公司</w:t>
      </w:r>
      <w:r>
        <w:rPr>
          <w:rFonts w:hint="eastAsia" w:ascii="仿宋_GB2312" w:hAnsi="宋体" w:eastAsia="仿宋_GB2312"/>
          <w:b/>
          <w:color w:val="auto"/>
          <w:sz w:val="28"/>
          <w:szCs w:val="28"/>
        </w:rPr>
        <w:t>(</w:t>
      </w:r>
      <w:r>
        <w:rPr>
          <w:rFonts w:hint="eastAsia" w:ascii="仿宋_GB2312" w:hAnsi="宋体" w:eastAsia="仿宋_GB2312"/>
          <w:b/>
          <w:color w:val="auto"/>
          <w:sz w:val="28"/>
          <w:szCs w:val="28"/>
          <w:lang w:eastAsia="zh-CN"/>
        </w:rPr>
        <w:t>盖章</w:t>
      </w:r>
      <w:r>
        <w:rPr>
          <w:rFonts w:hint="eastAsia" w:ascii="仿宋_GB2312" w:hAnsi="宋体" w:eastAsia="仿宋_GB2312"/>
          <w:b/>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法定代表人(签</w:t>
      </w:r>
      <w:r>
        <w:rPr>
          <w:rFonts w:hint="eastAsia" w:ascii="仿宋_GB2312" w:hAnsi="宋体" w:eastAsia="仿宋_GB2312"/>
          <w:b/>
          <w:color w:val="auto"/>
          <w:sz w:val="28"/>
          <w:szCs w:val="28"/>
          <w:lang w:eastAsia="zh-CN"/>
        </w:rPr>
        <w:t>字或盖</w:t>
      </w:r>
      <w:r>
        <w:rPr>
          <w:rFonts w:hint="eastAsia" w:ascii="仿宋_GB2312" w:hAnsi="宋体" w:eastAsia="仿宋_GB2312"/>
          <w:b/>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 xml:space="preserve">项目联系人: </w:t>
      </w:r>
      <w:r>
        <w:rPr>
          <w:rFonts w:hint="eastAsia" w:ascii="仿宋_GB2312" w:hAnsi="宋体" w:eastAsia="仿宋_GB2312"/>
          <w:b/>
          <w:color w:val="auto"/>
          <w:sz w:val="28"/>
          <w:szCs w:val="28"/>
          <w:lang w:eastAsia="zh-CN"/>
        </w:rPr>
        <w:t>张晶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rPr>
        <w:t>联系电话:</w:t>
      </w:r>
      <w:r>
        <w:rPr>
          <w:rFonts w:hint="eastAsia" w:ascii="仿宋_GB2312" w:hAnsi="宋体" w:eastAsia="仿宋_GB2312"/>
          <w:b/>
          <w:color w:val="auto"/>
          <w:sz w:val="28"/>
          <w:szCs w:val="28"/>
          <w:lang w:val="en-US" w:eastAsia="zh-CN"/>
        </w:rPr>
        <w:t>13095016175</w:t>
      </w:r>
    </w:p>
    <w:p>
      <w:pPr>
        <w:widowControl/>
        <w:jc w:val="left"/>
        <w:rPr>
          <w:rFonts w:ascii="宋体" w:hAnsi="宋体" w:eastAsia="宋体" w:cs="宋体"/>
          <w:sz w:val="28"/>
          <w:szCs w:val="28"/>
        </w:rPr>
      </w:pPr>
      <w:r>
        <w:rPr>
          <w:rFonts w:ascii="宋体" w:hAnsi="宋体" w:eastAsia="宋体" w:cs="宋体"/>
          <w:sz w:val="28"/>
          <w:szCs w:val="28"/>
        </w:rPr>
        <w:br w:type="page"/>
      </w:r>
    </w:p>
    <w:p>
      <w:pPr>
        <w:jc w:val="center"/>
      </w:pPr>
      <w:sdt>
        <w:sdtPr>
          <w:rPr>
            <w:rFonts w:ascii="宋体" w:hAnsi="宋体" w:eastAsia="宋体" w:cs="Times New Roman"/>
            <w:kern w:val="0"/>
            <w:sz w:val="28"/>
            <w:szCs w:val="32"/>
          </w:rPr>
          <w:id w:val="147467812"/>
          <w:showingPlcHdr/>
          <w:docPartObj>
            <w:docPartGallery w:val="Table of Contents"/>
            <w:docPartUnique/>
          </w:docPartObj>
        </w:sdtPr>
        <w:sdtEndPr>
          <w:rPr>
            <w:rFonts w:ascii="宋体" w:hAnsi="宋体" w:eastAsia="宋体" w:cs="Times New Roman"/>
            <w:kern w:val="0"/>
            <w:sz w:val="24"/>
            <w:szCs w:val="24"/>
          </w:rPr>
        </w:sdtEndPr>
        <w:sdtContent/>
      </w:sdt>
    </w:p>
    <w:p>
      <w:pPr>
        <w:spacing w:line="500" w:lineRule="exact"/>
        <w:ind w:firstLine="560" w:firstLineChars="200"/>
        <w:rPr>
          <w:rFonts w:ascii="宋体" w:hAnsi="宋体" w:eastAsia="宋体" w:cs="宋体"/>
          <w:sz w:val="28"/>
          <w:szCs w:val="28"/>
        </w:rPr>
        <w:sectPr>
          <w:headerReference r:id="rId3" w:type="default"/>
          <w:footerReference r:id="rId4" w:type="default"/>
          <w:pgSz w:w="11907" w:h="16840"/>
          <w:pgMar w:top="1440" w:right="1400" w:bottom="1440" w:left="1559" w:header="851" w:footer="624" w:gutter="0"/>
          <w:cols w:space="720" w:num="1"/>
          <w:docGrid w:linePitch="312" w:charSpace="0"/>
        </w:sectPr>
      </w:pPr>
      <w:r>
        <w:rPr>
          <w:rFonts w:hint="eastAsia" w:ascii="宋体" w:hAnsi="宋体" w:eastAsia="宋体" w:cs="宋体"/>
          <w:sz w:val="28"/>
          <w:szCs w:val="28"/>
        </w:rPr>
        <w:br w:type="page"/>
      </w:r>
    </w:p>
    <w:p>
      <w:pPr>
        <w:spacing w:line="500" w:lineRule="exact"/>
        <w:ind w:firstLine="640" w:firstLineChars="200"/>
        <w:jc w:val="center"/>
        <w:rPr>
          <w:rFonts w:ascii="宋体" w:hAnsi="宋体" w:eastAsia="宋体" w:cs="宋体"/>
          <w:sz w:val="32"/>
          <w:szCs w:val="32"/>
        </w:rPr>
      </w:pPr>
      <w:r>
        <w:rPr>
          <w:rFonts w:hint="eastAsia" w:ascii="宋体" w:hAnsi="宋体" w:eastAsia="宋体" w:cs="宋体"/>
          <w:sz w:val="32"/>
          <w:szCs w:val="32"/>
        </w:rPr>
        <w:t>第一部分　商务部分</w:t>
      </w:r>
    </w:p>
    <w:p>
      <w:pPr>
        <w:keepNext/>
        <w:keepLines/>
        <w:spacing w:before="240" w:after="64" w:line="500" w:lineRule="exact"/>
        <w:jc w:val="center"/>
        <w:outlineLvl w:val="6"/>
        <w:rPr>
          <w:rFonts w:ascii="宋体" w:hAnsi="宋体" w:eastAsia="宋体" w:cs="宋体"/>
          <w:b/>
          <w:bCs/>
          <w:sz w:val="30"/>
          <w:szCs w:val="30"/>
        </w:rPr>
      </w:pPr>
      <w:r>
        <w:rPr>
          <w:rFonts w:hint="eastAsia" w:ascii="宋体" w:hAnsi="宋体" w:eastAsia="宋体" w:cs="宋体"/>
          <w:b/>
          <w:bCs/>
          <w:sz w:val="30"/>
          <w:szCs w:val="30"/>
        </w:rPr>
        <w:t>第一章　竞争性磋商公告</w:t>
      </w:r>
    </w:p>
    <w:p>
      <w:pPr>
        <w:spacing w:line="400" w:lineRule="exact"/>
        <w:jc w:val="center"/>
        <w:rPr>
          <w:rFonts w:hint="eastAsia" w:ascii="宋体" w:hAnsi="宋体" w:eastAsia="宋体" w:cs="宋体"/>
          <w:b/>
          <w:bCs/>
          <w:kern w:val="44"/>
          <w:sz w:val="32"/>
          <w:szCs w:val="32"/>
          <w:highlight w:val="none"/>
          <w:lang w:val="en-US" w:eastAsia="zh-CN" w:bidi="ar-SA"/>
        </w:rPr>
      </w:pPr>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竞争性磋商</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cs="Times New Roman"/>
          <w:sz w:val="28"/>
          <w:szCs w:val="28"/>
          <w:highlight w:val="none"/>
          <w:u w:val="single"/>
          <w:lang w:val="en-US" w:eastAsia="zh-CN"/>
        </w:rPr>
        <w:t>阿勒泰市物流园片区集中供热热源点建设项目—监理</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val="en-US" w:eastAsia="zh-CN"/>
        </w:rPr>
        <w:t>新疆金泰首致项目管理咨询有限公司（阿勒泰地区阿勒泰市御华园小区2栋4单元3楼）</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5</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27</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0" w:name="_Toc35393629"/>
      <w:bookmarkStart w:id="1" w:name="_Toc35393798"/>
      <w:bookmarkStart w:id="2" w:name="_Toc28359089"/>
      <w:bookmarkStart w:id="3" w:name="_Toc28359012"/>
      <w:r>
        <w:rPr>
          <w:rFonts w:hint="eastAsia" w:ascii="黑体" w:hAnsi="黑体" w:cs="宋体"/>
          <w:b w:val="0"/>
          <w:sz w:val="28"/>
          <w:szCs w:val="28"/>
          <w:highlight w:val="none"/>
        </w:rPr>
        <w:t>一、项目基本情况</w:t>
      </w:r>
      <w:bookmarkEnd w:id="0"/>
      <w:bookmarkEnd w:id="1"/>
      <w:bookmarkEnd w:id="2"/>
      <w:bookmarkEnd w:id="3"/>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项目编号：</w:t>
      </w:r>
      <w:r>
        <w:rPr>
          <w:rFonts w:hint="eastAsia" w:ascii="仿宋" w:hAnsi="仿宋" w:eastAsia="仿宋"/>
          <w:sz w:val="28"/>
          <w:szCs w:val="28"/>
          <w:highlight w:val="none"/>
          <w:u w:val="none"/>
          <w:lang w:val="en-US" w:eastAsia="zh-CN"/>
        </w:rPr>
        <w:t>ZFCGA-JTSZZB2022-008</w:t>
      </w:r>
    </w:p>
    <w:p>
      <w:pPr>
        <w:ind w:left="1958"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cs="Times New Roman"/>
          <w:sz w:val="28"/>
          <w:szCs w:val="28"/>
          <w:highlight w:val="none"/>
          <w:lang w:val="en-US" w:eastAsia="zh-CN"/>
        </w:rPr>
        <w:t>阿勒泰市物流园片区集中供热热源点建设项目—监理</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320000元</w:t>
      </w:r>
    </w:p>
    <w:p>
      <w:pPr>
        <w:ind w:left="1958"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4" w:name="_Toc35393799"/>
      <w:bookmarkStart w:id="5" w:name="_Toc35393630"/>
      <w:bookmarkStart w:id="6" w:name="_Toc28359013"/>
      <w:bookmarkStart w:id="7" w:name="_Toc28359090"/>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4"/>
      <w:bookmarkEnd w:id="5"/>
      <w:bookmarkEnd w:id="6"/>
      <w:bookmarkEnd w:id="7"/>
      <w:bookmarkStart w:id="8" w:name="_Toc35393800"/>
      <w:bookmarkStart w:id="9" w:name="_Toc35393631"/>
      <w:bookmarkStart w:id="10" w:name="_Toc28359014"/>
      <w:bookmarkStart w:id="11" w:name="_Toc28359091"/>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numPr>
          <w:ilvl w:val="0"/>
          <w:numId w:val="1"/>
        </w:num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资质条件： 投标人须具备建筑工程专业监理乙级及以上（含乙级）的资质，并在有效期内；项目负责人：拟派的总监理工程师须在投标人本单位注册，具有建筑工程专业注册监理工程师资格证书；疆外单位必须是在新疆维吾尔自治区区外进疆企业信息报送的单位。</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3、投标人参加本次政府采购活动应具备下列条标要求投标人须提供有效的营业执照、并在人员、设备、资金等方面具有相应的能力；</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 需提供“信用中国”网站(www.creditchina.gov.cn).“中国政府采购网”(www. ccgp. gov.cn)、“国家企业信用信息公示系统”网站(www. gsxt.gov.cn)、“中国裁判文书网”(http://wenshu. coert.gov.cn)，在以上4个网站中任何一个网站查询出现对列入失信被执行人名单、重大税收违法案件当事人名单，政府采购严重违法失信行为记录名单，行政处罚记录名单的投标企业，采购人、采购代理机构有权拒绝其参与本项目采购活动，(查询时间必须在公告时间之内)；</w:t>
      </w:r>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三、获取采购文件</w:t>
      </w:r>
      <w:bookmarkEnd w:id="8"/>
      <w:bookmarkEnd w:id="9"/>
      <w:bookmarkEnd w:id="10"/>
      <w:bookmarkEnd w:id="11"/>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17</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新疆金泰首致项目管理咨询有限公司（阿勒泰地区阿勒泰市御华园小区2栋4单元3楼）</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300元/份，售后不退。</w:t>
      </w:r>
      <w:bookmarkStart w:id="12" w:name="_Toc35393801"/>
      <w:bookmarkStart w:id="13" w:name="_Toc28359092"/>
      <w:bookmarkStart w:id="14" w:name="_Toc35393632"/>
      <w:bookmarkStart w:id="15" w:name="_Toc28359015"/>
    </w:p>
    <w:p>
      <w:pPr>
        <w:spacing w:line="360" w:lineRule="auto"/>
        <w:rPr>
          <w:rFonts w:hint="eastAsia" w:ascii="黑体" w:hAnsi="黑体" w:eastAsia="黑体" w:cs="宋体"/>
          <w:b w:val="0"/>
          <w:sz w:val="28"/>
          <w:szCs w:val="28"/>
          <w:highlight w:val="none"/>
          <w:lang w:val="en-US" w:eastAsia="zh-CN"/>
        </w:rPr>
      </w:pPr>
      <w:r>
        <w:rPr>
          <w:rFonts w:hint="eastAsia" w:ascii="黑体" w:hAnsi="黑体" w:cs="宋体"/>
          <w:b w:val="0"/>
          <w:sz w:val="28"/>
          <w:szCs w:val="28"/>
          <w:highlight w:val="none"/>
        </w:rPr>
        <w:t>四、响应文件提交</w:t>
      </w:r>
      <w:bookmarkEnd w:id="12"/>
      <w:bookmarkEnd w:id="13"/>
      <w:bookmarkEnd w:id="14"/>
      <w:bookmarkEnd w:id="15"/>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sz w:val="28"/>
          <w:szCs w:val="28"/>
          <w:highlight w:val="none"/>
        </w:rPr>
        <w:t>（北京时间）</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新疆金泰首致项目管理咨询有限公司（阿勒泰地区阿勒泰市御华园小区2栋4单元3楼）</w:t>
      </w:r>
    </w:p>
    <w:p>
      <w:pPr>
        <w:pStyle w:val="4"/>
        <w:spacing w:line="360" w:lineRule="auto"/>
        <w:rPr>
          <w:rFonts w:ascii="黑体" w:hAnsi="黑体" w:cs="宋体"/>
          <w:b w:val="0"/>
          <w:sz w:val="28"/>
          <w:szCs w:val="28"/>
          <w:highlight w:val="none"/>
        </w:rPr>
      </w:pPr>
      <w:bookmarkStart w:id="16" w:name="_Toc35393634"/>
      <w:bookmarkStart w:id="17" w:name="_Toc28359094"/>
      <w:bookmarkStart w:id="18" w:name="_Toc28359017"/>
      <w:bookmarkStart w:id="19" w:name="_Toc35393803"/>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16"/>
      <w:bookmarkEnd w:id="17"/>
      <w:bookmarkEnd w:id="18"/>
      <w:bookmarkEnd w:id="19"/>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4"/>
        <w:numPr>
          <w:ilvl w:val="0"/>
          <w:numId w:val="2"/>
        </w:numPr>
        <w:spacing w:line="360" w:lineRule="auto"/>
        <w:rPr>
          <w:rFonts w:hint="eastAsia" w:ascii="黑体" w:hAnsi="黑体" w:cs="宋体"/>
          <w:b w:val="0"/>
          <w:sz w:val="28"/>
          <w:szCs w:val="28"/>
          <w:highlight w:val="none"/>
        </w:rPr>
      </w:pPr>
      <w:bookmarkStart w:id="20" w:name="_Toc35393804"/>
      <w:bookmarkStart w:id="21" w:name="_Toc35393635"/>
      <w:r>
        <w:rPr>
          <w:rFonts w:hint="eastAsia" w:ascii="黑体" w:hAnsi="黑体" w:cs="宋体"/>
          <w:b w:val="0"/>
          <w:sz w:val="28"/>
          <w:szCs w:val="28"/>
          <w:highlight w:val="none"/>
        </w:rPr>
        <w:t>其他补充事宜</w:t>
      </w:r>
      <w:bookmarkEnd w:id="20"/>
      <w:bookmarkEnd w:id="21"/>
    </w:p>
    <w:p>
      <w:pPr>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报名资料：</w:t>
      </w:r>
    </w:p>
    <w:p>
      <w:pPr>
        <w:ind w:firstLine="0" w:firstLineChars="0"/>
        <w:rPr>
          <w:rFonts w:hint="eastAsia"/>
          <w:highlight w:val="none"/>
          <w:lang w:val="en-US" w:eastAsia="zh-CN"/>
        </w:rPr>
      </w:pP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企业法人证明和法定代表人授权委托书及委托代理人身份证、营业执照副本、资质证书副本、项目总监证书、网上信用记录证明打印件加盖公章：含“信用中国”网站（www.creditchina.gov.cn ）中企业信用信息查询结果；“中国政府采购网”（ www.ccgp.gov.cn ）中“政府采购严重违法失信行为信息记录”查询结果，</w:t>
      </w:r>
      <w:r>
        <w:rPr>
          <w:rFonts w:hint="eastAsia" w:ascii="仿宋" w:hAnsi="仿宋" w:eastAsia="仿宋" w:cs="Times New Roman"/>
          <w:sz w:val="28"/>
          <w:szCs w:val="28"/>
          <w:highlight w:val="none"/>
          <w:lang w:val="en-US" w:eastAsia="zh-CN"/>
        </w:rPr>
        <w:t>“</w:t>
      </w:r>
      <w:r>
        <w:rPr>
          <w:rFonts w:hint="eastAsia" w:ascii="仿宋" w:hAnsi="仿宋" w:eastAsia="仿宋" w:cs="宋体"/>
          <w:sz w:val="28"/>
          <w:szCs w:val="28"/>
          <w:highlight w:val="none"/>
          <w:lang w:val="en-US" w:eastAsia="zh-CN"/>
        </w:rPr>
        <w:t>国家企业信用信息公示系统”网站(www. gsxt.gov.cn)、“中国裁判文书网”(http://wenshu. coert.gov.cn)。（提供“信用中国”、“中国政府采购网”、</w:t>
      </w:r>
      <w:r>
        <w:rPr>
          <w:rFonts w:hint="eastAsia" w:ascii="仿宋" w:hAnsi="仿宋" w:eastAsia="仿宋" w:cs="Times New Roman"/>
          <w:sz w:val="28"/>
          <w:szCs w:val="28"/>
          <w:highlight w:val="none"/>
          <w:lang w:val="en-US" w:eastAsia="zh-CN"/>
        </w:rPr>
        <w:t>“</w:t>
      </w:r>
      <w:r>
        <w:rPr>
          <w:rFonts w:hint="eastAsia" w:ascii="仿宋" w:hAnsi="仿宋" w:eastAsia="仿宋" w:cs="宋体"/>
          <w:sz w:val="28"/>
          <w:szCs w:val="28"/>
          <w:highlight w:val="none"/>
          <w:lang w:val="en-US" w:eastAsia="zh-CN"/>
        </w:rPr>
        <w:t>国家企业信用信息公示系统”、“中国裁判文书网”官网网站的查询页面打印件，页面无法打印的可以截图打印，打印件须体现投标人单位全称、查询时间和查询网址，查询时间不能早于本项目采购公告发布之日）、外省企业需提供进疆企业信息报送手续原件，以上资料需提供原件查验，复印件两份均应在有效期内加盖公章作为报名资料留存</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，交至</w:t>
      </w:r>
      <w:r>
        <w:rPr>
          <w:rFonts w:hint="eastAsia" w:ascii="仿宋" w:hAnsi="仿宋" w:eastAsia="仿宋"/>
          <w:sz w:val="28"/>
          <w:szCs w:val="28"/>
          <w:highlight w:val="none"/>
          <w:lang w:val="en-US" w:eastAsia="zh-CN"/>
        </w:rPr>
        <w:t>新疆金泰首致项目管理咨询有限公司</w:t>
      </w:r>
      <w:r>
        <w:rPr>
          <w:rFonts w:hint="eastAsia" w:ascii="仿宋" w:hAnsi="仿宋" w:eastAsia="仿宋" w:cs="宋体"/>
          <w:sz w:val="28"/>
          <w:szCs w:val="28"/>
          <w:highlight w:val="none"/>
          <w:lang w:val="en-US" w:eastAsia="zh-CN"/>
        </w:rPr>
        <w:t>（</w:t>
      </w:r>
      <w:r>
        <w:rPr>
          <w:rFonts w:hint="eastAsia" w:ascii="仿宋" w:hAnsi="仿宋" w:eastAsia="仿宋" w:cs="宋体"/>
          <w:sz w:val="28"/>
          <w:szCs w:val="28"/>
          <w:highlight w:val="none"/>
        </w:rPr>
        <w:t>阿勒泰地区阿勒泰市</w:t>
      </w:r>
      <w:r>
        <w:rPr>
          <w:rFonts w:hint="eastAsia" w:ascii="仿宋" w:hAnsi="仿宋" w:eastAsia="仿宋" w:cs="宋体"/>
          <w:sz w:val="28"/>
          <w:szCs w:val="28"/>
          <w:highlight w:val="none"/>
          <w:lang w:eastAsia="zh-CN"/>
        </w:rPr>
        <w:t>御花园小区</w:t>
      </w:r>
      <w:r>
        <w:rPr>
          <w:rFonts w:hint="eastAsia" w:ascii="仿宋" w:hAnsi="仿宋" w:eastAsia="仿宋" w:cs="宋体"/>
          <w:sz w:val="28"/>
          <w:szCs w:val="28"/>
          <w:highlight w:val="none"/>
          <w:lang w:val="en-US" w:eastAsia="zh-CN"/>
        </w:rPr>
        <w:t>2栋4单元2楼）</w:t>
      </w:r>
      <w:r>
        <w:rPr>
          <w:rFonts w:hint="eastAsia"/>
          <w:highlight w:val="none"/>
          <w:lang w:val="en-US" w:eastAsia="zh-CN"/>
        </w:rPr>
        <w:t>。</w:t>
      </w:r>
    </w:p>
    <w:p>
      <w:pPr>
        <w:pStyle w:val="4"/>
        <w:spacing w:line="360" w:lineRule="auto"/>
        <w:rPr>
          <w:rFonts w:ascii="黑体" w:hAnsi="黑体" w:cs="宋体"/>
          <w:b w:val="0"/>
          <w:sz w:val="28"/>
          <w:szCs w:val="28"/>
          <w:highlight w:val="none"/>
        </w:rPr>
      </w:pPr>
      <w:bookmarkStart w:id="22" w:name="_Toc35393636"/>
      <w:bookmarkStart w:id="23" w:name="_Toc28359018"/>
      <w:bookmarkStart w:id="24" w:name="_Toc28359095"/>
      <w:bookmarkStart w:id="25" w:name="_Toc35393805"/>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2"/>
      <w:bookmarkEnd w:id="23"/>
      <w:bookmarkEnd w:id="24"/>
      <w:bookmarkEnd w:id="25"/>
    </w:p>
    <w:p>
      <w:pPr>
        <w:pStyle w:val="4"/>
        <w:spacing w:line="360" w:lineRule="auto"/>
        <w:ind w:firstLine="840" w:firstLineChars="300"/>
        <w:rPr>
          <w:rFonts w:ascii="仿宋" w:hAnsi="仿宋" w:eastAsia="仿宋" w:cs="宋体"/>
          <w:b w:val="0"/>
          <w:sz w:val="28"/>
          <w:szCs w:val="28"/>
          <w:highlight w:val="none"/>
        </w:rPr>
      </w:pPr>
      <w:bookmarkStart w:id="26" w:name="_Toc28359096"/>
      <w:bookmarkStart w:id="27" w:name="_Toc28359019"/>
      <w:bookmarkStart w:id="28" w:name="_Toc35393806"/>
      <w:bookmarkStart w:id="29" w:name="_Toc35393637"/>
      <w:r>
        <w:rPr>
          <w:rFonts w:hint="eastAsia" w:ascii="仿宋" w:hAnsi="仿宋" w:eastAsia="仿宋" w:cs="宋体"/>
          <w:b w:val="0"/>
          <w:sz w:val="28"/>
          <w:szCs w:val="28"/>
          <w:highlight w:val="none"/>
        </w:rPr>
        <w:t>1.采购人信息</w:t>
      </w:r>
      <w:bookmarkEnd w:id="26"/>
      <w:bookmarkEnd w:id="27"/>
      <w:bookmarkEnd w:id="28"/>
      <w:bookmarkEnd w:id="29"/>
    </w:p>
    <w:p>
      <w:pPr>
        <w:spacing w:line="360" w:lineRule="auto"/>
        <w:ind w:left="1129" w:leftChars="371" w:hanging="350" w:hangingChars="125"/>
        <w:jc w:val="left"/>
        <w:rPr>
          <w:rFonts w:hint="eastAsia" w:ascii="仿宋" w:hAnsi="仿宋" w:eastAsia="仿宋"/>
          <w:sz w:val="28"/>
          <w:szCs w:val="28"/>
          <w:highlight w:val="none"/>
          <w:u w:val="single"/>
          <w:lang w:eastAsia="zh-CN"/>
        </w:rPr>
      </w:pPr>
      <w:bookmarkStart w:id="30" w:name="_Toc28359097"/>
      <w:bookmarkStart w:id="31" w:name="_Toc35393638"/>
      <w:bookmarkStart w:id="32" w:name="_Toc28359020"/>
      <w:bookmarkStart w:id="33" w:name="_Toc35393807"/>
      <w:r>
        <w:rPr>
          <w:rFonts w:hint="eastAsia" w:ascii="仿宋" w:hAnsi="仿宋" w:eastAsia="仿宋"/>
          <w:sz w:val="28"/>
          <w:szCs w:val="28"/>
          <w:highlight w:val="none"/>
        </w:rPr>
        <w:t>名    称：</w:t>
      </w:r>
      <w:r>
        <w:rPr>
          <w:rFonts w:hint="eastAsia" w:ascii="仿宋" w:hAnsi="仿宋" w:eastAsia="仿宋" w:cs="Times New Roman"/>
          <w:sz w:val="28"/>
          <w:szCs w:val="28"/>
          <w:highlight w:val="none"/>
          <w:u w:val="single"/>
          <w:lang w:val="en-US" w:eastAsia="zh-CN"/>
        </w:rPr>
        <w:t>阿勒泰市住房和城乡建设局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董梦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18099290436</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pStyle w:val="4"/>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0"/>
      <w:bookmarkEnd w:id="31"/>
      <w:bookmarkEnd w:id="32"/>
      <w:bookmarkEnd w:id="33"/>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张晶  　　　　　　　　   　　</w:t>
      </w:r>
    </w:p>
    <w:p>
      <w:pPr>
        <w:spacing w:line="360" w:lineRule="auto"/>
        <w:ind w:left="1129" w:leftChars="371" w:hanging="350" w:hangingChars="125"/>
        <w:jc w:val="left"/>
        <w:rPr>
          <w:highlight w:val="none"/>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13095016175　　　　　　　  </w:t>
      </w:r>
      <w:r>
        <w:rPr>
          <w:rFonts w:hint="eastAsia" w:ascii="仿宋" w:hAnsi="仿宋" w:eastAsia="仿宋"/>
          <w:sz w:val="28"/>
          <w:szCs w:val="28"/>
          <w:highlight w:val="none"/>
          <w:u w:val="single"/>
        </w:rPr>
        <w:t>　</w:t>
      </w:r>
    </w:p>
    <w:p>
      <w:pPr>
        <w:spacing w:line="500" w:lineRule="exact"/>
        <w:ind w:right="420"/>
        <w:rPr>
          <w:rFonts w:ascii="宋体" w:hAnsi="宋体" w:eastAsia="宋体" w:cs="宋体"/>
          <w:szCs w:val="21"/>
        </w:rPr>
      </w:pPr>
    </w:p>
    <w:p>
      <w:pPr>
        <w:keepNext/>
        <w:keepLines/>
        <w:spacing w:before="240" w:after="64" w:line="500" w:lineRule="exact"/>
        <w:jc w:val="center"/>
        <w:outlineLvl w:val="6"/>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keepNext/>
        <w:keepLines/>
        <w:spacing w:before="240" w:after="64" w:line="500" w:lineRule="exact"/>
        <w:jc w:val="center"/>
        <w:outlineLvl w:val="6"/>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pStyle w:val="2"/>
        <w:rPr>
          <w:rFonts w:hint="eastAsia" w:ascii="宋体" w:hAnsi="宋体" w:eastAsia="宋体" w:cs="宋体"/>
          <w:b/>
          <w:bCs/>
          <w:sz w:val="30"/>
          <w:szCs w:val="30"/>
        </w:rPr>
      </w:pPr>
    </w:p>
    <w:p>
      <w:pPr>
        <w:keepNext/>
        <w:keepLines/>
        <w:spacing w:before="240" w:after="64" w:line="500" w:lineRule="exact"/>
        <w:jc w:val="center"/>
        <w:outlineLvl w:val="6"/>
        <w:rPr>
          <w:rFonts w:ascii="宋体" w:hAnsi="宋体" w:eastAsia="宋体" w:cs="宋体"/>
          <w:b/>
          <w:bCs/>
          <w:sz w:val="30"/>
          <w:szCs w:val="30"/>
        </w:rPr>
      </w:pPr>
      <w:r>
        <w:rPr>
          <w:rFonts w:hint="eastAsia" w:ascii="宋体" w:hAnsi="宋体" w:eastAsia="宋体" w:cs="宋体"/>
          <w:b/>
          <w:bCs/>
          <w:sz w:val="30"/>
          <w:szCs w:val="30"/>
        </w:rPr>
        <w:t>第二章　投标人须知前附表</w:t>
      </w:r>
    </w:p>
    <w:tbl>
      <w:tblPr>
        <w:tblStyle w:val="20"/>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288"/>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88" w:type="dxa"/>
            <w:vAlign w:val="bottom"/>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c>
          <w:tcPr>
            <w:tcW w:w="6700" w:type="dxa"/>
            <w:vAlign w:val="bottom"/>
          </w:tcPr>
          <w:p>
            <w:pPr>
              <w:autoSpaceDE w:val="0"/>
              <w:autoSpaceDN w:val="0"/>
              <w:spacing w:line="30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88" w:type="dxa"/>
            <w:vAlign w:val="bottom"/>
          </w:tcPr>
          <w:p>
            <w:pPr>
              <w:autoSpaceDE w:val="0"/>
              <w:autoSpaceDN w:val="0"/>
              <w:spacing w:line="48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招标项目名称</w:t>
            </w:r>
          </w:p>
        </w:tc>
        <w:tc>
          <w:tcPr>
            <w:tcW w:w="6700" w:type="dxa"/>
            <w:vAlign w:val="center"/>
          </w:tcPr>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阿勒泰市物流园片区集中供热热源点建设项目—监理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0" w:type="dxa"/>
            <w:vAlign w:val="center"/>
          </w:tcPr>
          <w:p>
            <w:pPr>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88" w:type="dxa"/>
            <w:vAlign w:val="center"/>
          </w:tcPr>
          <w:p>
            <w:pPr>
              <w:autoSpaceDE w:val="0"/>
              <w:autoSpaceDN w:val="0"/>
              <w:spacing w:line="300" w:lineRule="auto"/>
              <w:textAlignment w:val="bottom"/>
              <w:rPr>
                <w:rFonts w:hint="eastAsia" w:ascii="宋体" w:hAnsi="宋体" w:eastAsia="宋体" w:cs="宋体"/>
                <w:color w:val="00B0F0"/>
                <w:sz w:val="24"/>
                <w:szCs w:val="24"/>
                <w:highlight w:val="none"/>
              </w:rPr>
            </w:pPr>
            <w:r>
              <w:rPr>
                <w:rFonts w:hint="eastAsia" w:ascii="宋体" w:hAnsi="宋体" w:eastAsia="宋体" w:cs="宋体"/>
                <w:sz w:val="24"/>
                <w:szCs w:val="24"/>
                <w:highlight w:val="none"/>
              </w:rPr>
              <w:t>招标人联系人及电话</w:t>
            </w:r>
          </w:p>
        </w:tc>
        <w:tc>
          <w:tcPr>
            <w:tcW w:w="6700" w:type="dxa"/>
            <w:vAlign w:val="center"/>
          </w:tcPr>
          <w:p>
            <w:pPr>
              <w:pStyle w:val="4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    称：阿勒泰市住房和城乡建设局</w:t>
            </w:r>
          </w:p>
          <w:p>
            <w:pPr>
              <w:pStyle w:val="4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 系 人：董梦                    </w:t>
            </w:r>
          </w:p>
          <w:p>
            <w:pPr>
              <w:pStyle w:val="4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联系方式：18099290436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88" w:type="dxa"/>
            <w:vAlign w:val="center"/>
          </w:tcPr>
          <w:p>
            <w:pPr>
              <w:autoSpaceDE w:val="0"/>
              <w:autoSpaceDN w:val="0"/>
              <w:spacing w:line="30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招标方式</w:t>
            </w:r>
          </w:p>
        </w:tc>
        <w:tc>
          <w:tcPr>
            <w:tcW w:w="6700" w:type="dxa"/>
            <w:vAlign w:val="center"/>
          </w:tcPr>
          <w:p>
            <w:pPr>
              <w:autoSpaceDE w:val="0"/>
              <w:autoSpaceDN w:val="0"/>
              <w:spacing w:line="300" w:lineRule="auto"/>
              <w:textAlignment w:val="bottom"/>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竞争性</w:t>
            </w:r>
            <w:r>
              <w:rPr>
                <w:rFonts w:hint="eastAsia" w:ascii="宋体" w:hAnsi="宋体" w:eastAsia="宋体" w:cs="宋体"/>
                <w:sz w:val="24"/>
                <w:szCs w:val="24"/>
                <w:highlight w:val="none"/>
                <w:lang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00" w:type="dxa"/>
            <w:vAlign w:val="center"/>
          </w:tcPr>
          <w:p>
            <w:pPr>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288" w:type="dxa"/>
            <w:vAlign w:val="center"/>
          </w:tcPr>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招标代理机构联系人及电话</w:t>
            </w:r>
          </w:p>
        </w:tc>
        <w:tc>
          <w:tcPr>
            <w:tcW w:w="6700" w:type="dxa"/>
            <w:vAlign w:val="center"/>
          </w:tcPr>
          <w:p>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招标代理机构：</w:t>
            </w:r>
            <w:r>
              <w:rPr>
                <w:rFonts w:hint="eastAsia" w:ascii="宋体" w:hAnsi="宋体" w:eastAsia="宋体" w:cs="宋体"/>
                <w:sz w:val="24"/>
                <w:szCs w:val="24"/>
                <w:highlight w:val="none"/>
                <w:lang w:eastAsia="zh-CN"/>
              </w:rPr>
              <w:t>新疆金泰首致项目管理咨询有限公司</w:t>
            </w:r>
          </w:p>
          <w:p>
            <w:pPr>
              <w:pStyle w:val="4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联系人：</w:t>
            </w:r>
            <w:r>
              <w:rPr>
                <w:rFonts w:hint="eastAsia" w:ascii="宋体" w:hAnsi="宋体" w:eastAsia="宋体" w:cs="宋体"/>
                <w:snapToGrid w:val="0"/>
                <w:kern w:val="0"/>
                <w:sz w:val="24"/>
                <w:szCs w:val="24"/>
                <w:highlight w:val="none"/>
                <w:lang w:eastAsia="zh-CN"/>
              </w:rPr>
              <w:t>张晶</w:t>
            </w:r>
          </w:p>
          <w:p>
            <w:pPr>
              <w:pStyle w:val="4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snapToGrid w:val="0"/>
                <w:kern w:val="0"/>
                <w:sz w:val="24"/>
                <w:szCs w:val="24"/>
                <w:highlight w:val="none"/>
                <w:lang w:val="en-US" w:eastAsia="zh-CN"/>
              </w:rPr>
              <w:t>13095016175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00" w:type="dxa"/>
            <w:vAlign w:val="center"/>
          </w:tcPr>
          <w:p>
            <w:pPr>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88" w:type="dxa"/>
            <w:vAlign w:val="center"/>
          </w:tcPr>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招标项目内容</w:t>
            </w:r>
          </w:p>
        </w:tc>
        <w:tc>
          <w:tcPr>
            <w:tcW w:w="6700" w:type="dxa"/>
            <w:vAlign w:val="center"/>
          </w:tcPr>
          <w:p>
            <w:pPr>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本项目施工所含全过程监理</w:t>
            </w:r>
          </w:p>
          <w:p>
            <w:pPr>
              <w:pStyle w:val="4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施工建设规模：新建1×7WM+1×8WM固体蓄热锅炉；新建供热厂房及配套附属设施等。</w:t>
            </w:r>
          </w:p>
          <w:p>
            <w:pPr>
              <w:pStyle w:val="4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投资额：2814.56万元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288" w:type="dxa"/>
            <w:vAlign w:val="center"/>
          </w:tcPr>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p>
        </w:tc>
        <w:tc>
          <w:tcPr>
            <w:tcW w:w="6700" w:type="dxa"/>
            <w:vAlign w:val="center"/>
          </w:tcPr>
          <w:p>
            <w:pPr>
              <w:autoSpaceDE w:val="0"/>
              <w:autoSpaceDN w:val="0"/>
              <w:spacing w:line="30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r>
              <w:rPr>
                <w:rFonts w:hint="eastAsia" w:ascii="宋体" w:hAnsi="宋体" w:eastAsia="宋体" w:cs="宋体"/>
                <w:sz w:val="24"/>
                <w:szCs w:val="24"/>
                <w:highlight w:val="none"/>
                <w:lang w:val="en-US" w:eastAsia="zh-CN"/>
              </w:rPr>
              <w:t>32万元</w:t>
            </w:r>
            <w:r>
              <w:rPr>
                <w:rFonts w:hint="eastAsia" w:ascii="宋体" w:hAnsi="宋体" w:eastAsia="宋体" w:cs="宋体"/>
                <w:sz w:val="24"/>
                <w:szCs w:val="24"/>
                <w:highlight w:val="none"/>
              </w:rPr>
              <w:t xml:space="preserve">  </w:t>
            </w:r>
          </w:p>
          <w:p>
            <w:pPr>
              <w:autoSpaceDE w:val="0"/>
              <w:autoSpaceDN w:val="0"/>
              <w:spacing w:line="30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val="en-US" w:eastAsia="zh-CN"/>
              </w:rPr>
              <w:t>叁拾贰万元整（投标报价超过本价格即为废标）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288" w:type="dxa"/>
            <w:vAlign w:val="center"/>
          </w:tcPr>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资质要求</w:t>
            </w:r>
          </w:p>
        </w:tc>
        <w:tc>
          <w:tcPr>
            <w:tcW w:w="6700" w:type="dxa"/>
            <w:vAlign w:val="center"/>
          </w:tcPr>
          <w:p>
            <w:pPr>
              <w:autoSpaceDE w:val="0"/>
              <w:autoSpaceDN w:val="0"/>
              <w:spacing w:line="360" w:lineRule="auto"/>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1、投标人必须符合《中华人民共和国政府采购法》第二十二条规定。</w:t>
            </w:r>
          </w:p>
          <w:p>
            <w:pPr>
              <w:autoSpaceDE w:val="0"/>
              <w:autoSpaceDN w:val="0"/>
              <w:spacing w:line="360" w:lineRule="auto"/>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2、资质条件： 投标人须具备建筑工程专业监理乙级及以上（含乙级）的资质，并在有效期内；项目负责人：拟派的总监理工程师须在投标人本单位注册，具有建筑工程专业注册监理工程师资格证书；疆外单位必须是在新疆维吾尔自治区区外进疆企业信息报送的单位。</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3、投标人参加本次政府采购活动应具备下列条标要求投标人须提供有效的营业执照、并在人员、设备、资金等方面具有相应的能力；</w:t>
            </w:r>
          </w:p>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 需提供“信用中国”网站(www.creditchina.gov.cn).“中国政府采购网”(www. ccgp. gov.cn)、“国家企业信用信息公示系统”网站(www. gsxt.gov.cn)、“中国裁判文书网”(http://wenshu. coert.gov.cn)，在以上4个网站中任何一个网站查询出现对列入失信被执行人名单、重大税收违法案件当事人名单，政府采购严重违法失信行为记录名单，行政处罚记录名单的投标企业，采购人、采购代理机构有权拒绝其参与本项目采购活动，(查询时间必须在公告时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288" w:type="dxa"/>
            <w:vAlign w:val="center"/>
          </w:tcPr>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700" w:type="dxa"/>
            <w:vAlign w:val="center"/>
          </w:tcPr>
          <w:p>
            <w:pPr>
              <w:autoSpaceDE w:val="0"/>
              <w:autoSpaceDN w:val="0"/>
              <w:ind w:right="964"/>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达到国家相关规定质量标准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288" w:type="dxa"/>
            <w:vAlign w:val="center"/>
          </w:tcPr>
          <w:p>
            <w:pPr>
              <w:autoSpaceDE w:val="0"/>
              <w:autoSpaceDN w:val="0"/>
              <w:spacing w:line="30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700" w:type="dxa"/>
            <w:vAlign w:val="center"/>
          </w:tcPr>
          <w:p>
            <w:pPr>
              <w:autoSpaceDE w:val="0"/>
              <w:autoSpaceDN w:val="0"/>
              <w:spacing w:line="30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投标截止时间起</w:t>
            </w:r>
            <w:r>
              <w:rPr>
                <w:rFonts w:hint="eastAsia" w:ascii="宋体" w:hAnsi="宋体" w:eastAsia="宋体" w:cs="宋体"/>
                <w:sz w:val="24"/>
                <w:szCs w:val="24"/>
                <w:highlight w:val="none"/>
                <w:u w:val="single"/>
                <w:lang w:val="en-US" w:eastAsia="zh-CN"/>
              </w:rPr>
              <w:t>45</w:t>
            </w:r>
            <w:r>
              <w:rPr>
                <w:rFonts w:hint="eastAsia" w:ascii="宋体" w:hAnsi="宋体" w:eastAsia="宋体" w:cs="宋体"/>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288" w:type="dxa"/>
            <w:vAlign w:val="center"/>
          </w:tcPr>
          <w:p>
            <w:pPr>
              <w:autoSpaceDE w:val="0"/>
              <w:autoSpaceDN w:val="0"/>
              <w:spacing w:line="30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6700" w:type="dxa"/>
            <w:vAlign w:val="center"/>
          </w:tcPr>
          <w:p>
            <w:pPr>
              <w:autoSpaceDE w:val="0"/>
              <w:autoSpaceDN w:val="0"/>
              <w:spacing w:line="300" w:lineRule="auto"/>
              <w:textAlignment w:val="bottom"/>
              <w:rPr>
                <w:rFonts w:hint="eastAsia" w:ascii="宋体" w:hAnsi="宋体" w:eastAsia="宋体" w:cs="宋体"/>
                <w:sz w:val="24"/>
                <w:szCs w:val="24"/>
                <w:highlight w:val="none"/>
              </w:rPr>
            </w:pPr>
            <w:r>
              <w:rPr>
                <w:rFonts w:hint="eastAsia" w:ascii="宋体" w:hAnsi="宋体" w:eastAsia="宋体" w:cs="宋体"/>
                <w:bCs/>
                <w:color w:val="auto"/>
                <w:kern w:val="0"/>
                <w:sz w:val="24"/>
                <w:szCs w:val="24"/>
                <w:highlight w:val="none"/>
                <w:lang w:eastAsia="zh-CN"/>
              </w:rPr>
              <w:t>叁</w:t>
            </w:r>
            <w:r>
              <w:rPr>
                <w:rFonts w:hint="eastAsia" w:ascii="宋体" w:hAnsi="宋体" w:eastAsia="宋体" w:cs="宋体"/>
                <w:bCs/>
                <w:color w:val="auto"/>
                <w:kern w:val="0"/>
                <w:sz w:val="24"/>
                <w:szCs w:val="24"/>
                <w:highlight w:val="none"/>
              </w:rPr>
              <w:t>份，正本</w:t>
            </w:r>
            <w:r>
              <w:rPr>
                <w:rFonts w:hint="eastAsia" w:ascii="宋体" w:hAnsi="宋体" w:eastAsia="宋体" w:cs="宋体"/>
                <w:bCs/>
                <w:color w:val="auto"/>
                <w:kern w:val="0"/>
                <w:sz w:val="24"/>
                <w:szCs w:val="24"/>
                <w:highlight w:val="none"/>
                <w:u w:val="single"/>
              </w:rPr>
              <w:t xml:space="preserve"> 壹 </w:t>
            </w:r>
            <w:r>
              <w:rPr>
                <w:rFonts w:hint="eastAsia" w:ascii="宋体" w:hAnsi="宋体" w:eastAsia="宋体" w:cs="宋体"/>
                <w:bCs/>
                <w:color w:val="auto"/>
                <w:kern w:val="0"/>
                <w:sz w:val="24"/>
                <w:szCs w:val="24"/>
                <w:highlight w:val="none"/>
              </w:rPr>
              <w:t>份，副本</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eastAsia="zh-CN"/>
              </w:rPr>
              <w:t>贰</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份</w:t>
            </w:r>
            <w:r>
              <w:rPr>
                <w:rFonts w:hint="eastAsia" w:ascii="宋体" w:hAnsi="宋体" w:eastAsia="宋体" w:cs="宋体"/>
                <w:bCs/>
                <w:color w:val="auto"/>
                <w:kern w:val="0"/>
                <w:sz w:val="24"/>
                <w:szCs w:val="24"/>
                <w:highlight w:val="none"/>
                <w:lang w:eastAsia="zh-CN"/>
              </w:rPr>
              <w:t>，电子光盘</w:t>
            </w:r>
            <w:r>
              <w:rPr>
                <w:rFonts w:hint="eastAsia" w:ascii="宋体" w:hAnsi="宋体" w:eastAsia="宋体" w:cs="宋体"/>
                <w:bCs/>
                <w:color w:val="auto"/>
                <w:kern w:val="0"/>
                <w:sz w:val="24"/>
                <w:szCs w:val="24"/>
                <w:highlight w:val="none"/>
                <w:lang w:val="en-US" w:eastAsia="zh-CN"/>
              </w:rPr>
              <w:t>3份（光盘2份，U盘1份，含商务、报价及技术）</w:t>
            </w:r>
            <w:r>
              <w:rPr>
                <w:rFonts w:hint="eastAsia" w:ascii="宋体" w:hAnsi="宋体" w:eastAsia="宋体" w:cs="宋体"/>
                <w:bCs/>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pPr>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288" w:type="dxa"/>
            <w:vAlign w:val="center"/>
          </w:tcPr>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p>
          <w:p>
            <w:pPr>
              <w:autoSpaceDE w:val="0"/>
              <w:autoSpaceDN w:val="0"/>
              <w:spacing w:line="360" w:lineRule="auto"/>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递交方式</w:t>
            </w:r>
          </w:p>
        </w:tc>
        <w:tc>
          <w:tcPr>
            <w:tcW w:w="6700" w:type="dxa"/>
            <w:vAlign w:val="center"/>
          </w:tcPr>
          <w:p>
            <w:pPr>
              <w:autoSpaceDE w:val="0"/>
              <w:autoSpaceDN w:val="0"/>
              <w:spacing w:line="400" w:lineRule="exact"/>
              <w:textAlignment w:val="bottom"/>
              <w:rPr>
                <w:rFonts w:hint="eastAsia" w:ascii="宋体" w:hAnsi="宋体" w:eastAsia="宋体" w:cs="宋体"/>
                <w:b/>
                <w:color w:val="auto"/>
                <w:sz w:val="24"/>
                <w:szCs w:val="24"/>
                <w:highlight w:val="none"/>
                <w:lang w:val="en-US"/>
              </w:rPr>
            </w:pPr>
            <w:r>
              <w:rPr>
                <w:rFonts w:hint="eastAsia" w:ascii="宋体" w:hAnsi="宋体" w:eastAsia="宋体" w:cs="宋体"/>
                <w:color w:val="auto"/>
                <w:sz w:val="24"/>
                <w:szCs w:val="24"/>
                <w:highlight w:val="none"/>
              </w:rPr>
              <w:t>递交至：</w:t>
            </w:r>
            <w:r>
              <w:rPr>
                <w:rFonts w:hint="eastAsia" w:ascii="宋体" w:hAnsi="宋体" w:eastAsia="宋体" w:cs="宋体"/>
                <w:color w:val="auto"/>
                <w:sz w:val="24"/>
                <w:szCs w:val="24"/>
                <w:highlight w:val="none"/>
                <w:lang w:eastAsia="zh-CN"/>
              </w:rPr>
              <w:t>新疆金泰首致项目管理咨询有限公司</w:t>
            </w:r>
            <w:r>
              <w:rPr>
                <w:rFonts w:hint="eastAsia" w:ascii="宋体" w:hAnsi="宋体" w:eastAsia="宋体" w:cs="宋体"/>
                <w:color w:val="auto"/>
                <w:sz w:val="24"/>
                <w:szCs w:val="24"/>
                <w:highlight w:val="none"/>
                <w:lang w:val="en-US" w:eastAsia="zh-CN"/>
              </w:rPr>
              <w:t>开标厅</w:t>
            </w:r>
          </w:p>
          <w:p>
            <w:pPr>
              <w:autoSpaceDE w:val="0"/>
              <w:autoSpaceDN w:val="0"/>
              <w:spacing w:line="400" w:lineRule="exact"/>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bCs/>
                <w:color w:val="auto"/>
                <w:kern w:val="0"/>
                <w:sz w:val="24"/>
                <w:szCs w:val="24"/>
                <w:highlight w:val="none"/>
                <w:lang w:val="en-US" w:eastAsia="zh-CN"/>
              </w:rPr>
              <w:t>阿勒泰地区阿勒泰市御华园小区2栋4单元3楼</w:t>
            </w:r>
            <w:r>
              <w:rPr>
                <w:rFonts w:hint="eastAsia" w:ascii="宋体" w:hAnsi="宋体" w:eastAsia="宋体" w:cs="宋体"/>
                <w:color w:val="auto"/>
                <w:sz w:val="24"/>
                <w:szCs w:val="24"/>
                <w:highlight w:val="none"/>
              </w:rPr>
              <w:t xml:space="preserve"> </w:t>
            </w:r>
          </w:p>
          <w:p>
            <w:pP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递交截止时间：20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日1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点30分（北京时间）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288" w:type="dxa"/>
            <w:vAlign w:val="center"/>
          </w:tcPr>
          <w:p>
            <w:pPr>
              <w:autoSpaceDE w:val="0"/>
              <w:autoSpaceDN w:val="0"/>
              <w:spacing w:line="360" w:lineRule="auto"/>
              <w:textAlignment w:val="bottom"/>
              <w:rPr>
                <w:rFonts w:hint="eastAsia" w:ascii="宋体" w:hAnsi="宋体" w:eastAsia="宋体" w:cs="宋体"/>
                <w:color w:val="00B0F0"/>
                <w:sz w:val="24"/>
                <w:szCs w:val="24"/>
                <w:highlight w:val="none"/>
              </w:rPr>
            </w:pPr>
            <w:r>
              <w:rPr>
                <w:rFonts w:hint="eastAsia" w:ascii="宋体" w:hAnsi="宋体" w:eastAsia="宋体" w:cs="宋体"/>
                <w:sz w:val="24"/>
                <w:szCs w:val="24"/>
                <w:highlight w:val="none"/>
              </w:rPr>
              <w:t>招标时间</w:t>
            </w:r>
          </w:p>
        </w:tc>
        <w:tc>
          <w:tcPr>
            <w:tcW w:w="6700" w:type="dxa"/>
            <w:vAlign w:val="center"/>
          </w:tcPr>
          <w:p>
            <w:pPr>
              <w:autoSpaceDE w:val="0"/>
              <w:autoSpaceDN w:val="0"/>
              <w:spacing w:line="400" w:lineRule="exact"/>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时</w:t>
            </w:r>
            <w:r>
              <w:rPr>
                <w:rFonts w:hint="eastAsia" w:ascii="宋体" w:hAnsi="宋体" w:eastAsia="宋体" w:cs="宋体"/>
                <w:sz w:val="24"/>
                <w:szCs w:val="24"/>
                <w:highlight w:val="none"/>
                <w:lang w:eastAsia="zh-CN"/>
              </w:rPr>
              <w:t>间：同投标文件递交截止时间</w:t>
            </w:r>
          </w:p>
          <w:p>
            <w:pPr>
              <w:autoSpaceDE w:val="0"/>
              <w:autoSpaceDN w:val="0"/>
              <w:spacing w:line="400" w:lineRule="exact"/>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新疆金泰首致项目管理咨询有限公司</w:t>
            </w:r>
            <w:r>
              <w:rPr>
                <w:rFonts w:hint="eastAsia" w:ascii="宋体" w:hAnsi="宋体" w:eastAsia="宋体" w:cs="宋体"/>
                <w:sz w:val="24"/>
                <w:szCs w:val="24"/>
                <w:highlight w:val="none"/>
                <w:lang w:val="en-US" w:eastAsia="zh-CN"/>
              </w:rPr>
              <w:t>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6"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288"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700" w:type="dxa"/>
            <w:vAlign w:val="center"/>
          </w:tcPr>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□不</w:t>
            </w:r>
            <w:r>
              <w:rPr>
                <w:rFonts w:hint="eastAsia" w:ascii="宋体" w:hAnsi="宋体" w:eastAsia="宋体" w:cs="宋体"/>
                <w:sz w:val="24"/>
                <w:szCs w:val="24"/>
                <w:highlight w:val="none"/>
                <w:lang w:val="en-US" w:eastAsia="zh-CN"/>
              </w:rPr>
              <w:t>要求递交投标保证金</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eq \o\ac(</w:instrText>
            </w:r>
            <w:r>
              <w:rPr>
                <w:rFonts w:hint="eastAsia" w:ascii="宋体" w:hAnsi="宋体" w:eastAsia="宋体" w:cs="宋体"/>
                <w:position w:val="-4"/>
                <w:sz w:val="36"/>
                <w:szCs w:val="24"/>
                <w:highlight w:val="none"/>
                <w:lang w:val="en-US" w:eastAsia="zh-CN"/>
              </w:rPr>
              <w:instrText xml:space="preserve">□</w:instrText>
            </w:r>
            <w:r>
              <w:rPr>
                <w:rFonts w:hint="eastAsia" w:ascii="宋体" w:hAnsi="宋体" w:eastAsia="宋体" w:cs="宋体"/>
                <w:position w:val="0"/>
                <w:sz w:val="24"/>
                <w:szCs w:val="24"/>
                <w:highlight w:val="none"/>
                <w:lang w:val="en-US" w:eastAsia="zh-CN"/>
              </w:rPr>
              <w:instrText xml:space="preserve">,√)</w:instrTex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要求递交投标保证金</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投标保证金的形式：开具银行保函或电汇保证金</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投标保证金的金额：6000元（陆仟元整）</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接受电汇投标保证金的银行及帐号：</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开户名称：新疆金泰首致项目管理咨询有限公司</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开户银行：中国农业银行股份有限公司阿勒泰市支行</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    号：30150801040007147</w:t>
            </w:r>
          </w:p>
          <w:p>
            <w:pPr>
              <w:spacing w:line="40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注：投标保证金须在2022年05月27日16：30前到帐。投标人按上述要求从基本户递交磋商保证金后，请携带银行电汇或转账凭据到阿勒泰地区阿勒泰市御华园小区2栋4单元3楼领取招标代理机构开具的磋商保证金收款收据，联系电话：13095016175。递交磋商保证金时请注明项目编号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b/>
                <w:sz w:val="24"/>
                <w:szCs w:val="24"/>
                <w:highlight w:val="none"/>
              </w:rPr>
            </w:pPr>
            <w:r>
              <w:rPr>
                <w:rFonts w:hint="eastAsia" w:ascii="宋体" w:hAnsi="宋体" w:eastAsia="宋体" w:cs="宋体"/>
                <w:b/>
                <w:sz w:val="24"/>
                <w:szCs w:val="24"/>
                <w:highlight w:val="none"/>
              </w:rPr>
              <w:t>14</w:t>
            </w:r>
          </w:p>
        </w:tc>
        <w:tc>
          <w:tcPr>
            <w:tcW w:w="2288" w:type="dxa"/>
            <w:vAlign w:val="center"/>
          </w:tcPr>
          <w:p>
            <w:pPr>
              <w:autoSpaceDE w:val="0"/>
              <w:autoSpaceDN w:val="0"/>
              <w:spacing w:line="480" w:lineRule="auto"/>
              <w:ind w:left="217" w:hanging="216" w:hangingChars="100"/>
              <w:textAlignment w:val="bottom"/>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评审现场查验证件</w:t>
            </w:r>
          </w:p>
          <w:p>
            <w:pPr>
              <w:autoSpaceDE w:val="0"/>
              <w:autoSpaceDN w:val="0"/>
              <w:spacing w:line="480" w:lineRule="auto"/>
              <w:ind w:left="217" w:hanging="216" w:hangingChars="100"/>
              <w:jc w:val="both"/>
              <w:textAlignment w:val="bottom"/>
              <w:rPr>
                <w:rFonts w:hint="eastAsia" w:ascii="宋体" w:hAnsi="宋体" w:eastAsia="宋体" w:cs="宋体"/>
                <w:b/>
                <w:color w:val="FF0000"/>
                <w:spacing w:val="-12"/>
                <w:sz w:val="24"/>
                <w:szCs w:val="24"/>
                <w:highlight w:val="none"/>
              </w:rPr>
            </w:pPr>
            <w:r>
              <w:rPr>
                <w:rFonts w:hint="eastAsia" w:ascii="宋体" w:hAnsi="宋体" w:eastAsia="宋体" w:cs="宋体"/>
                <w:b/>
                <w:spacing w:val="-12"/>
                <w:sz w:val="24"/>
                <w:szCs w:val="24"/>
                <w:highlight w:val="none"/>
              </w:rPr>
              <w:t>(单独提交)</w:t>
            </w:r>
          </w:p>
        </w:tc>
        <w:tc>
          <w:tcPr>
            <w:tcW w:w="6700" w:type="dxa"/>
            <w:vAlign w:val="center"/>
          </w:tcPr>
          <w:p>
            <w:pPr>
              <w:spacing w:line="35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开标前，请各投标人随身携带下列有效证件以备随时查验：</w:t>
            </w:r>
          </w:p>
          <w:p>
            <w:pPr>
              <w:spacing w:line="35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企业法人证明和法定代表人授权委托书及委托代理人身份证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法定代表人授权委托书应当单独提供，并与投标文件中所提供的相一致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以上证件均应当为原件</w:t>
            </w:r>
            <w:r>
              <w:rPr>
                <w:rFonts w:hint="eastAsia" w:ascii="宋体" w:hAnsi="宋体" w:eastAsia="宋体" w:cs="宋体"/>
                <w:b/>
                <w:bCs/>
                <w:color w:val="auto"/>
                <w:sz w:val="24"/>
                <w:szCs w:val="24"/>
                <w:highlight w:val="none"/>
                <w:lang w:eastAsia="zh-CN"/>
              </w:rPr>
              <w:t>；</w:t>
            </w:r>
          </w:p>
          <w:p>
            <w:pPr>
              <w:spacing w:line="35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 、企业有效营业执照副本原件</w:t>
            </w:r>
            <w:r>
              <w:rPr>
                <w:rFonts w:hint="eastAsia" w:ascii="宋体" w:hAnsi="宋体" w:eastAsia="宋体" w:cs="宋体"/>
                <w:b/>
                <w:bCs/>
                <w:color w:val="auto"/>
                <w:sz w:val="24"/>
                <w:szCs w:val="24"/>
                <w:highlight w:val="none"/>
                <w:lang w:eastAsia="zh-CN"/>
              </w:rPr>
              <w:t>、有效的资质证书原件；</w:t>
            </w:r>
          </w:p>
          <w:p>
            <w:pPr>
              <w:spacing w:line="35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w:t>
            </w:r>
            <w:r>
              <w:rPr>
                <w:rFonts w:hint="eastAsia" w:ascii="宋体" w:hAnsi="宋体" w:eastAsia="宋体" w:cs="宋体"/>
                <w:b/>
                <w:bCs/>
                <w:color w:val="auto"/>
                <w:sz w:val="24"/>
                <w:szCs w:val="24"/>
                <w:highlight w:val="none"/>
                <w:lang w:val="en-US" w:eastAsia="zh-CN"/>
              </w:rPr>
              <w:t>本工程拟派总监的证书原件；</w:t>
            </w:r>
          </w:p>
          <w:p>
            <w:pPr>
              <w:numPr>
                <w:ilvl w:val="0"/>
                <w:numId w:val="3"/>
              </w:numPr>
              <w:spacing w:line="35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“信用中国”网站、“中国政府采购网”、</w:t>
            </w:r>
            <w:r>
              <w:rPr>
                <w:rFonts w:hint="eastAsia" w:ascii="宋体" w:hAnsi="宋体" w:eastAsia="宋体" w:cs="宋体"/>
                <w:b/>
                <w:bCs/>
                <w:color w:val="auto"/>
                <w:sz w:val="24"/>
                <w:szCs w:val="24"/>
                <w:highlight w:val="none"/>
                <w:lang w:val="en-US" w:eastAsia="zh-CN"/>
              </w:rPr>
              <w:t>“国家企业信用信息公示系统”及“中国裁判文书网”</w:t>
            </w:r>
            <w:r>
              <w:rPr>
                <w:rFonts w:hint="eastAsia" w:ascii="宋体" w:hAnsi="宋体" w:eastAsia="宋体" w:cs="宋体"/>
                <w:b/>
                <w:bCs/>
                <w:color w:val="auto"/>
                <w:sz w:val="24"/>
                <w:szCs w:val="24"/>
                <w:highlight w:val="none"/>
                <w:lang w:eastAsia="zh-CN"/>
              </w:rPr>
              <w:t>无不良记录查询页面打印件加盖公章；</w:t>
            </w:r>
          </w:p>
          <w:p>
            <w:pPr>
              <w:numPr>
                <w:ilvl w:val="0"/>
                <w:numId w:val="3"/>
              </w:numPr>
              <w:spacing w:line="350" w:lineRule="exact"/>
              <w:rPr>
                <w:rFonts w:hint="eastAsia" w:ascii="宋体" w:hAnsi="宋体" w:eastAsia="宋体" w:cs="宋体"/>
                <w:color w:val="0070C0"/>
                <w:sz w:val="24"/>
                <w:szCs w:val="24"/>
                <w:highlight w:val="none"/>
              </w:rPr>
            </w:pPr>
            <w:r>
              <w:rPr>
                <w:rFonts w:hint="eastAsia" w:ascii="宋体" w:hAnsi="宋体" w:eastAsia="宋体" w:cs="宋体"/>
                <w:b/>
                <w:bCs/>
                <w:color w:val="auto"/>
                <w:sz w:val="24"/>
                <w:szCs w:val="24"/>
                <w:highlight w:val="none"/>
                <w:lang w:eastAsia="zh-CN"/>
              </w:rPr>
              <w:t>保证金收据原件；</w:t>
            </w:r>
          </w:p>
          <w:p>
            <w:pPr>
              <w:numPr>
                <w:ilvl w:val="0"/>
                <w:numId w:val="0"/>
              </w:numPr>
              <w:spacing w:line="350" w:lineRule="exact"/>
              <w:rPr>
                <w:rFonts w:hint="eastAsia" w:ascii="宋体" w:hAnsi="宋体" w:eastAsia="宋体" w:cs="宋体"/>
                <w:color w:val="0070C0"/>
                <w:sz w:val="24"/>
                <w:szCs w:val="24"/>
                <w:highlight w:val="none"/>
              </w:rPr>
            </w:pPr>
            <w:r>
              <w:rPr>
                <w:rFonts w:hint="eastAsia" w:ascii="宋体" w:hAnsi="宋体" w:eastAsia="宋体" w:cs="宋体"/>
                <w:b w:val="0"/>
                <w:bCs w:val="0"/>
                <w:color w:val="auto"/>
                <w:sz w:val="24"/>
                <w:szCs w:val="24"/>
                <w:highlight w:val="none"/>
                <w:lang w:eastAsia="zh-CN"/>
              </w:rPr>
              <w:t>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00" w:type="dxa"/>
            <w:vAlign w:val="center"/>
          </w:tcPr>
          <w:p>
            <w:pPr>
              <w:autoSpaceDE w:val="0"/>
              <w:autoSpaceDN w:val="0"/>
              <w:spacing w:line="480" w:lineRule="auto"/>
              <w:jc w:val="center"/>
              <w:textAlignment w:val="bottom"/>
              <w:rPr>
                <w:rFonts w:hint="eastAsia" w:ascii="宋体" w:hAnsi="宋体" w:eastAsia="宋体" w:cs="宋体"/>
                <w:b/>
                <w:sz w:val="24"/>
                <w:szCs w:val="24"/>
                <w:highlight w:val="none"/>
              </w:rPr>
            </w:pPr>
            <w:r>
              <w:rPr>
                <w:rFonts w:hint="eastAsia" w:ascii="宋体" w:hAnsi="宋体" w:eastAsia="宋体" w:cs="宋体"/>
                <w:bCs/>
                <w:sz w:val="24"/>
                <w:szCs w:val="24"/>
                <w:highlight w:val="none"/>
              </w:rPr>
              <w:t>15</w:t>
            </w:r>
          </w:p>
        </w:tc>
        <w:tc>
          <w:tcPr>
            <w:tcW w:w="2288" w:type="dxa"/>
            <w:vAlign w:val="center"/>
          </w:tcPr>
          <w:p>
            <w:pPr>
              <w:autoSpaceDE w:val="0"/>
              <w:autoSpaceDN w:val="0"/>
              <w:spacing w:line="480" w:lineRule="auto"/>
              <w:ind w:left="216" w:hanging="216" w:hangingChars="100"/>
              <w:jc w:val="both"/>
              <w:textAlignment w:val="bottom"/>
              <w:rPr>
                <w:rFonts w:hint="eastAsia" w:ascii="宋体" w:hAnsi="宋体" w:eastAsia="宋体" w:cs="宋体"/>
                <w:b/>
                <w:spacing w:val="-12"/>
                <w:sz w:val="24"/>
                <w:szCs w:val="24"/>
                <w:highlight w:val="none"/>
              </w:rPr>
            </w:pPr>
            <w:r>
              <w:rPr>
                <w:rFonts w:hint="eastAsia" w:ascii="宋体" w:hAnsi="宋体" w:eastAsia="宋体" w:cs="宋体"/>
                <w:bCs/>
                <w:spacing w:val="-12"/>
                <w:sz w:val="24"/>
                <w:szCs w:val="24"/>
                <w:highlight w:val="none"/>
              </w:rPr>
              <w:t>工期</w:t>
            </w:r>
          </w:p>
        </w:tc>
        <w:tc>
          <w:tcPr>
            <w:tcW w:w="6700" w:type="dxa"/>
            <w:vAlign w:val="center"/>
          </w:tcPr>
          <w:p>
            <w:pPr>
              <w:pStyle w:val="4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同施工工期，从项目施工开工之日起直至工程竣工。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jc w:val="center"/>
        </w:trPr>
        <w:tc>
          <w:tcPr>
            <w:tcW w:w="700" w:type="dxa"/>
            <w:vAlign w:val="center"/>
          </w:tcPr>
          <w:p>
            <w:pPr>
              <w:autoSpaceDE w:val="0"/>
              <w:autoSpaceDN w:val="0"/>
              <w:spacing w:line="480" w:lineRule="auto"/>
              <w:jc w:val="center"/>
              <w:textAlignment w:val="bottom"/>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w:t>
            </w:r>
          </w:p>
        </w:tc>
        <w:tc>
          <w:tcPr>
            <w:tcW w:w="2288" w:type="dxa"/>
            <w:vAlign w:val="center"/>
          </w:tcPr>
          <w:p>
            <w:pPr>
              <w:autoSpaceDE w:val="0"/>
              <w:autoSpaceDN w:val="0"/>
              <w:spacing w:line="480" w:lineRule="auto"/>
              <w:ind w:left="216" w:hanging="240" w:hangingChars="100"/>
              <w:jc w:val="both"/>
              <w:textAlignment w:val="bottom"/>
              <w:rPr>
                <w:rFonts w:hint="eastAsia" w:ascii="宋体" w:hAnsi="宋体" w:eastAsia="宋体" w:cs="宋体"/>
                <w:bCs/>
                <w:spacing w:val="-12"/>
                <w:sz w:val="24"/>
                <w:szCs w:val="24"/>
                <w:highlight w:val="none"/>
              </w:rPr>
            </w:pPr>
            <w:r>
              <w:rPr>
                <w:rFonts w:ascii="宋体" w:hAnsi="宋体" w:eastAsia="宋体" w:cs="宋体"/>
                <w:sz w:val="24"/>
                <w:szCs w:val="24"/>
              </w:rPr>
              <w:t>政府采购政策</w:t>
            </w:r>
          </w:p>
        </w:tc>
        <w:tc>
          <w:tcPr>
            <w:tcW w:w="6700" w:type="dxa"/>
            <w:vAlign w:val="center"/>
          </w:tcPr>
          <w:p>
            <w:pPr>
              <w:pStyle w:val="48"/>
              <w:rPr>
                <w:rFonts w:hint="eastAsia" w:ascii="宋体" w:hAnsi="宋体" w:eastAsia="宋体" w:cs="宋体"/>
                <w:sz w:val="24"/>
                <w:szCs w:val="24"/>
                <w:highlight w:val="none"/>
                <w:lang w:val="en-US" w:eastAsia="zh-CN"/>
              </w:rPr>
            </w:pPr>
            <w:r>
              <w:rPr>
                <w:rFonts w:ascii="宋体" w:hAnsi="宋体" w:eastAsia="宋体" w:cs="宋体"/>
                <w:sz w:val="24"/>
                <w:szCs w:val="24"/>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按规定对报价给予评审优惠（注：1、以上政策不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00" w:type="dxa"/>
            <w:vAlign w:val="center"/>
          </w:tcPr>
          <w:p>
            <w:pPr>
              <w:autoSpaceDE w:val="0"/>
              <w:autoSpaceDN w:val="0"/>
              <w:spacing w:line="480" w:lineRule="auto"/>
              <w:jc w:val="center"/>
              <w:textAlignment w:val="bottom"/>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w:t>
            </w:r>
          </w:p>
        </w:tc>
        <w:tc>
          <w:tcPr>
            <w:tcW w:w="2288" w:type="dxa"/>
            <w:vAlign w:val="center"/>
          </w:tcPr>
          <w:p>
            <w:pPr>
              <w:autoSpaceDE w:val="0"/>
              <w:autoSpaceDN w:val="0"/>
              <w:spacing w:line="480" w:lineRule="auto"/>
              <w:ind w:left="216" w:leftChars="0" w:hanging="216" w:hangingChars="100"/>
              <w:jc w:val="both"/>
              <w:textAlignment w:val="bottom"/>
              <w:rPr>
                <w:rFonts w:hint="eastAsia" w:ascii="宋体" w:hAnsi="宋体" w:eastAsia="宋体" w:cs="宋体"/>
                <w:b/>
                <w:spacing w:val="-12"/>
                <w:sz w:val="24"/>
                <w:szCs w:val="24"/>
                <w:highlight w:val="none"/>
                <w:lang w:val="en-US" w:eastAsia="zh-CN" w:bidi="ar-SA"/>
              </w:rPr>
            </w:pPr>
            <w:r>
              <w:rPr>
                <w:rFonts w:hint="eastAsia" w:ascii="宋体" w:hAnsi="宋体" w:eastAsia="宋体" w:cs="宋体"/>
                <w:b/>
                <w:spacing w:val="-12"/>
                <w:sz w:val="24"/>
                <w:szCs w:val="24"/>
                <w:highlight w:val="none"/>
              </w:rPr>
              <w:t>招标代理服务费</w:t>
            </w:r>
          </w:p>
        </w:tc>
        <w:tc>
          <w:tcPr>
            <w:tcW w:w="6700" w:type="dxa"/>
            <w:vAlign w:val="center"/>
          </w:tcPr>
          <w:p>
            <w:pPr>
              <w:pStyle w:val="12"/>
              <w:tabs>
                <w:tab w:val="left" w:pos="720"/>
                <w:tab w:val="left" w:pos="900"/>
                <w:tab w:val="left" w:pos="1260"/>
              </w:tabs>
              <w:adjustRightInd w:val="0"/>
              <w:spacing w:line="40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以中标金额参照新计价房【2002】1980号文计算，由中标单位支付。</w:t>
            </w:r>
          </w:p>
        </w:tc>
      </w:tr>
    </w:tbl>
    <w:p>
      <w:pPr>
        <w:spacing w:line="500" w:lineRule="exact"/>
        <w:ind w:firstLine="420" w:firstLineChars="200"/>
        <w:rPr>
          <w:rFonts w:ascii="宋体" w:hAnsi="宋体" w:eastAsia="宋体" w:cs="宋体"/>
          <w:szCs w:val="21"/>
        </w:rPr>
      </w:pPr>
    </w:p>
    <w:p>
      <w:pPr>
        <w:spacing w:line="500" w:lineRule="exact"/>
        <w:ind w:firstLine="420" w:firstLineChars="200"/>
        <w:rPr>
          <w:rFonts w:ascii="宋体" w:hAnsi="宋体" w:eastAsia="宋体" w:cs="宋体"/>
          <w:szCs w:val="21"/>
        </w:rPr>
      </w:pPr>
      <w:r>
        <w:rPr>
          <w:rFonts w:hint="eastAsia" w:ascii="宋体" w:hAnsi="宋体" w:eastAsia="宋体" w:cs="宋体"/>
          <w:szCs w:val="21"/>
        </w:rPr>
        <w:br w:type="page"/>
      </w:r>
    </w:p>
    <w:p>
      <w:pPr>
        <w:keepNext/>
        <w:keepLines/>
        <w:spacing w:before="240" w:after="64" w:line="500" w:lineRule="exact"/>
        <w:jc w:val="center"/>
        <w:outlineLvl w:val="5"/>
        <w:rPr>
          <w:rFonts w:ascii="宋体" w:hAnsi="宋体" w:eastAsia="宋体" w:cs="宋体"/>
          <w:b/>
          <w:bCs/>
          <w:sz w:val="24"/>
          <w:szCs w:val="24"/>
        </w:rPr>
      </w:pPr>
      <w:r>
        <w:rPr>
          <w:rFonts w:hint="eastAsia" w:ascii="宋体" w:hAnsi="宋体" w:eastAsia="宋体" w:cs="宋体"/>
          <w:b/>
          <w:bCs/>
          <w:sz w:val="24"/>
          <w:szCs w:val="24"/>
        </w:rPr>
        <w:t>磋商须知正文</w:t>
      </w:r>
    </w:p>
    <w:p>
      <w:pPr>
        <w:spacing w:line="500" w:lineRule="exact"/>
        <w:ind w:firstLine="420" w:firstLineChars="200"/>
        <w:rPr>
          <w:rFonts w:ascii="宋体" w:hAnsi="宋体" w:eastAsia="宋体" w:cs="宋体"/>
          <w:szCs w:val="21"/>
        </w:rPr>
      </w:pPr>
      <w:r>
        <w:rPr>
          <w:rFonts w:hint="eastAsia" w:ascii="宋体" w:hAnsi="宋体" w:eastAsia="宋体" w:cs="宋体"/>
          <w:szCs w:val="21"/>
        </w:rPr>
        <w:t>一、总则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1.定义</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　“采购人”是指依法进行政府采购的国家机关、事业单位、团体组织。本次政府采购的采购人名称、地址、电话、联系人见磋商须知前附表。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　“采购代理机构”是指接受采购人委托，代理采购项目的集中采购机构和其他采购代理机构。本次政府采购的采购代理机构名称、地址、电话、联系人见磋商须知前附表。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　“供应商”是指响应磋商文件要求、参加磋商采购的法人、其他组织或者自然人。本次政府采购项目邀请的供应商通过磋商须知前附表所述方式产生。</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　“磋商小组”是依据《政府采购磋商采购方式管理暂行办法》有关规定组建，依法履行磋商采购活动职责的3人以上单数的磋商成员。</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　“货物”是指各种形态和种类的物品，包括原材料、燃料、设备、产品等。</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　“服务”是指除货物和工程以外的其他政府采购对象。</w:t>
      </w:r>
    </w:p>
    <w:p>
      <w:pPr>
        <w:spacing w:line="500" w:lineRule="exact"/>
        <w:ind w:firstLine="420" w:firstLineChars="200"/>
        <w:rPr>
          <w:rFonts w:ascii="宋体" w:hAnsi="宋体" w:eastAsia="宋体" w:cs="宋体"/>
          <w:szCs w:val="21"/>
        </w:rPr>
      </w:pPr>
      <w:r>
        <w:rPr>
          <w:rFonts w:hint="eastAsia" w:ascii="宋体" w:hAnsi="宋体" w:eastAsia="宋体" w:cs="宋体"/>
          <w:szCs w:val="21"/>
        </w:rPr>
        <w:t>1.7　“节能产品”或者“环保产品”是指国务院有关部门发布的《节能产品政府采购清单》或者《环境标志产品政府采购清单》的产品。</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　“进口产品”是指通过中国海关报关验放进入中国境内且产自关境外的产品。</w:t>
      </w:r>
    </w:p>
    <w:p>
      <w:pPr>
        <w:spacing w:line="500" w:lineRule="exact"/>
        <w:ind w:firstLine="420" w:firstLineChars="200"/>
        <w:rPr>
          <w:rFonts w:ascii="宋体" w:hAnsi="宋体" w:eastAsia="宋体" w:cs="宋体"/>
          <w:szCs w:val="21"/>
        </w:rPr>
      </w:pPr>
      <w:r>
        <w:rPr>
          <w:rFonts w:hint="eastAsia" w:ascii="宋体" w:hAnsi="宋体" w:eastAsia="宋体" w:cs="宋体"/>
          <w:szCs w:val="21"/>
        </w:rPr>
        <w:t>2.采购项目预算</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　本项目采购资金已列入政府采购预算，预算金额见磋商须知前附表。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3.供应商的资格要求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　供应商应当符合磋商须知前附表中规定的下列资格条件要求：</w:t>
      </w:r>
    </w:p>
    <w:p>
      <w:pPr>
        <w:shd w:val="clear" w:color="auto" w:fill="FFFFFF"/>
        <w:spacing w:line="360" w:lineRule="auto"/>
        <w:ind w:firstLine="480"/>
        <w:rPr>
          <w:rFonts w:hint="eastAsia" w:asciiTheme="minorEastAsia" w:hAnsiTheme="minorEastAsia"/>
          <w:color w:val="000000"/>
          <w:szCs w:val="21"/>
          <w:lang w:val="en-US" w:eastAsia="zh-CN"/>
        </w:rPr>
      </w:pPr>
      <w:r>
        <w:rPr>
          <w:rFonts w:hint="eastAsia" w:asciiTheme="minorEastAsia" w:hAnsiTheme="minorEastAsia"/>
          <w:color w:val="000000"/>
          <w:szCs w:val="21"/>
          <w:lang w:val="en-US" w:eastAsia="zh-CN"/>
        </w:rPr>
        <w:t>①、投标人必须符合《中华人民共和国政府采购法》第二十二条规定。</w:t>
      </w:r>
    </w:p>
    <w:p>
      <w:pPr>
        <w:shd w:val="clear" w:color="auto" w:fill="FFFFFF"/>
        <w:spacing w:line="360" w:lineRule="auto"/>
        <w:ind w:firstLine="480"/>
        <w:rPr>
          <w:rFonts w:hint="eastAsia" w:asciiTheme="minorEastAsia" w:hAnsiTheme="minorEastAsia"/>
          <w:color w:val="000000"/>
          <w:szCs w:val="21"/>
          <w:lang w:val="en-US" w:eastAsia="zh-CN"/>
        </w:rPr>
      </w:pPr>
      <w:r>
        <w:rPr>
          <w:rFonts w:hint="eastAsia" w:asciiTheme="minorEastAsia" w:hAnsiTheme="minorEastAsia"/>
          <w:color w:val="000000"/>
          <w:szCs w:val="21"/>
          <w:lang w:val="en-US" w:eastAsia="zh-CN"/>
        </w:rPr>
        <w:t>②、资质条件： 投标人须具备建筑工程专业监理乙级及以上（含乙级）的资质，并在有效期内；项目负责人：拟派的总监理工程师须在投标人本单位注册，具有建筑工程专业注册监理工程师资格证书；疆外单位必须是在新疆维吾尔自治区区外进疆企业信息报送的单位。</w:t>
      </w:r>
      <w:r>
        <w:rPr>
          <w:rFonts w:hint="eastAsia" w:asciiTheme="minorEastAsia" w:hAnsiTheme="minorEastAsia"/>
          <w:color w:val="000000"/>
          <w:szCs w:val="21"/>
          <w:lang w:val="en-US" w:eastAsia="zh-CN"/>
        </w:rPr>
        <w:br w:type="textWrapping"/>
      </w:r>
      <w:r>
        <w:rPr>
          <w:rFonts w:hint="eastAsia" w:asciiTheme="minorEastAsia" w:hAnsiTheme="minorEastAsia"/>
          <w:color w:val="000000"/>
          <w:szCs w:val="21"/>
          <w:lang w:val="en-US" w:eastAsia="zh-CN"/>
        </w:rPr>
        <w:t>③、投标人参加本次政府采购活动应具备下列条标要求投标人须提供有效的营业执照、并在人员、设备、资金等方面具有相应的能力；</w:t>
      </w:r>
    </w:p>
    <w:p>
      <w:pPr>
        <w:shd w:val="clear" w:color="auto" w:fill="FFFFFF"/>
        <w:spacing w:line="360" w:lineRule="auto"/>
        <w:ind w:firstLine="480"/>
        <w:rPr>
          <w:rFonts w:hint="eastAsia" w:asciiTheme="minorEastAsia" w:hAnsiTheme="minorEastAsia"/>
          <w:color w:val="000000"/>
          <w:szCs w:val="21"/>
          <w:lang w:val="en-US" w:eastAsia="zh-CN"/>
        </w:rPr>
      </w:pPr>
      <w:r>
        <w:rPr>
          <w:rFonts w:hint="eastAsia" w:asciiTheme="minorEastAsia" w:hAnsiTheme="minorEastAsia"/>
          <w:color w:val="000000"/>
          <w:szCs w:val="21"/>
          <w:lang w:val="en-US" w:eastAsia="zh-CN"/>
        </w:rPr>
        <w:t xml:space="preserve"> 需提供“信用中国”网站(www.creditchina.gov.cn).“中国政府采购网”(www. ccgp. gov.cn)、“国家企业信用信息公示系统”网站(www. gsxt.gov.cn)、“中国裁判文书网”(http://wenshu. coert.gov.cn)，在以上4个网站中任何一个网站查询出现对列入失信被执行人名单、重大税收违法案件当事人名单，政府采购严重违法失信行为记录名单，行政处罚记录名单的投标企业，采购人、采购代理机构有权拒绝其参与本项目采购活动，(查询时间必须在公告时间之内)；</w:t>
      </w:r>
    </w:p>
    <w:p>
      <w:pPr>
        <w:shd w:val="clear" w:color="auto" w:fill="FFFFFF"/>
        <w:spacing w:line="360" w:lineRule="auto"/>
        <w:ind w:firstLine="480"/>
        <w:rPr>
          <w:rFonts w:asciiTheme="minorEastAsia" w:hAnsiTheme="minorEastAsia"/>
          <w:color w:val="000000"/>
          <w:szCs w:val="21"/>
        </w:rPr>
      </w:pPr>
      <w:r>
        <w:rPr>
          <w:rFonts w:hint="eastAsia" w:asciiTheme="minorEastAsia" w:hAnsiTheme="minorEastAsia"/>
          <w:color w:val="000000"/>
          <w:szCs w:val="21"/>
          <w:lang w:eastAsia="zh-CN"/>
        </w:rPr>
        <w:t>④、</w:t>
      </w:r>
      <w:r>
        <w:rPr>
          <w:rFonts w:hint="eastAsia" w:asciiTheme="minorEastAsia" w:hAnsiTheme="minorEastAsia"/>
          <w:color w:val="000000"/>
          <w:szCs w:val="21"/>
        </w:rPr>
        <w:t>本项目不接受联合体投标。</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3.1.2　政府强制采购资格条件。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3.1.3　其他特定资格条件。(详见磋商须知前附表)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　供应商存在下列情形之一的不得参加磋商：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4.参与磋商的费用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4.1　无论磋商的结果如何，供应商应自行承担所有与磋商采购活动有关的全部费用。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5.授权委托</w:t>
      </w:r>
    </w:p>
    <w:p>
      <w:pPr>
        <w:spacing w:line="500" w:lineRule="exact"/>
        <w:ind w:firstLine="420" w:firstLineChars="200"/>
        <w:rPr>
          <w:rFonts w:ascii="宋体" w:hAnsi="宋体" w:eastAsia="宋体" w:cs="宋体"/>
          <w:szCs w:val="21"/>
        </w:rPr>
      </w:pPr>
      <w:r>
        <w:rPr>
          <w:rFonts w:hint="eastAsia" w:ascii="宋体" w:hAnsi="宋体" w:eastAsia="宋体" w:cs="宋体"/>
          <w:szCs w:val="21"/>
        </w:rPr>
        <w:t>5.1　供应商代表为供应商法定代表人的，应持有法定代表人身份证明。供应商代表不是供应商法定代表人的，应持有法定代表人授权书，并附授权代表的身份证明。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6.联合体形式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6.1　本项目是否接受联合体参与及相关要求见磋商须知前附表。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6.2　供应商为联合体形式的，应同时遵守以下规定：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(1)联合体各方必须签订联合体协议书，明确联合体牵头人和各方权利、义务及分工、合同工作量比例；</w:t>
      </w:r>
    </w:p>
    <w:p>
      <w:pPr>
        <w:spacing w:line="500" w:lineRule="exact"/>
        <w:ind w:firstLine="420" w:firstLineChars="200"/>
        <w:rPr>
          <w:rFonts w:ascii="宋体" w:hAnsi="宋体" w:eastAsia="宋体" w:cs="宋体"/>
          <w:szCs w:val="21"/>
        </w:rPr>
      </w:pPr>
      <w:r>
        <w:rPr>
          <w:rFonts w:hint="eastAsia" w:ascii="宋体" w:hAnsi="宋体" w:eastAsia="宋体" w:cs="宋体"/>
          <w:szCs w:val="21"/>
        </w:rPr>
        <w:t>(2)联合体各方均应当符合本章第3.1款规定的供应商基本资格条件；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(3)除磋商须知前附表中另有规定，联合体各方中至少有一方应当符合本章第3.1款规定的供应商特定资格条件；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(4)联合体中有同类资质的供应商按照联合体分工承担相同工作的，应当按照资质等级较低的供应商确定资质等级；</w:t>
      </w:r>
    </w:p>
    <w:p>
      <w:pPr>
        <w:spacing w:line="500" w:lineRule="exact"/>
        <w:ind w:firstLine="420" w:firstLineChars="200"/>
        <w:rPr>
          <w:rFonts w:ascii="宋体" w:hAnsi="宋体" w:eastAsia="宋体" w:cs="宋体"/>
          <w:szCs w:val="21"/>
        </w:rPr>
      </w:pPr>
      <w:r>
        <w:rPr>
          <w:rFonts w:hint="eastAsia" w:ascii="宋体" w:hAnsi="宋体" w:eastAsia="宋体" w:cs="宋体"/>
          <w:szCs w:val="21"/>
        </w:rPr>
        <w:t>(5)联合体各方不得再单独或与其他供应商组成新的联合体参加同一项目的采购活动。</w:t>
      </w:r>
    </w:p>
    <w:p>
      <w:pPr>
        <w:spacing w:line="500" w:lineRule="exact"/>
        <w:ind w:firstLine="420" w:firstLineChars="200"/>
        <w:rPr>
          <w:rFonts w:ascii="宋体" w:hAnsi="宋体" w:eastAsia="宋体" w:cs="宋体"/>
          <w:szCs w:val="21"/>
        </w:rPr>
      </w:pPr>
      <w:r>
        <w:rPr>
          <w:rFonts w:hint="eastAsia" w:ascii="宋体" w:hAnsi="宋体" w:eastAsia="宋体" w:cs="宋体"/>
          <w:szCs w:val="21"/>
        </w:rPr>
        <w:t>7.项目现场勘察</w:t>
      </w:r>
    </w:p>
    <w:p>
      <w:pPr>
        <w:spacing w:line="500" w:lineRule="exact"/>
        <w:ind w:firstLine="420" w:firstLineChars="200"/>
        <w:rPr>
          <w:rFonts w:ascii="宋体" w:hAnsi="宋体" w:eastAsia="宋体" w:cs="宋体"/>
          <w:szCs w:val="21"/>
        </w:rPr>
      </w:pPr>
      <w:r>
        <w:rPr>
          <w:rFonts w:hint="eastAsia" w:ascii="宋体" w:hAnsi="宋体" w:eastAsia="宋体" w:cs="宋体"/>
          <w:szCs w:val="21"/>
        </w:rPr>
        <w:t>7.1　本项目是否组织现场勘察见磋商须知前附表。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7.2　供应商应按磋商须知前附表中规定对采购项目现场和周围环境的现场考察。供应商未在指定时间进行勘察的，采购人不再另行组织。</w:t>
      </w:r>
    </w:p>
    <w:p>
      <w:pPr>
        <w:spacing w:line="500" w:lineRule="exact"/>
        <w:ind w:firstLine="420" w:firstLineChars="200"/>
        <w:rPr>
          <w:rFonts w:ascii="宋体" w:hAnsi="宋体" w:eastAsia="宋体" w:cs="宋体"/>
          <w:szCs w:val="21"/>
        </w:rPr>
      </w:pPr>
      <w:r>
        <w:rPr>
          <w:rFonts w:hint="eastAsia" w:ascii="宋体" w:hAnsi="宋体" w:eastAsia="宋体" w:cs="宋体"/>
          <w:szCs w:val="21"/>
        </w:rPr>
        <w:t>7.3　勘察现场的费用由供应商自己承担，勘察期间所发生的人身伤害及财产损失由供应商自己负责。</w:t>
      </w:r>
    </w:p>
    <w:p>
      <w:pPr>
        <w:spacing w:line="500" w:lineRule="exact"/>
        <w:ind w:firstLine="420" w:firstLineChars="200"/>
        <w:rPr>
          <w:rFonts w:ascii="宋体" w:hAnsi="宋体" w:eastAsia="宋体" w:cs="宋体"/>
          <w:szCs w:val="21"/>
        </w:rPr>
      </w:pPr>
      <w:r>
        <w:rPr>
          <w:rFonts w:hint="eastAsia" w:ascii="宋体" w:hAnsi="宋体" w:eastAsia="宋体" w:cs="宋体"/>
          <w:szCs w:val="21"/>
        </w:rPr>
        <w:t>7.4　采购人不对供应商据此而做出的推论、理解和结论负责。一旦成交，供应商不得以任何借口，提出额外补偿，或延长合同期限的要求。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8.采购进口产品</w:t>
      </w:r>
    </w:p>
    <w:p>
      <w:pPr>
        <w:spacing w:line="500" w:lineRule="exact"/>
        <w:ind w:firstLine="420" w:firstLineChars="200"/>
        <w:rPr>
          <w:rFonts w:ascii="宋体" w:hAnsi="宋体" w:eastAsia="宋体" w:cs="宋体"/>
          <w:szCs w:val="21"/>
        </w:rPr>
      </w:pPr>
      <w:r>
        <w:rPr>
          <w:rFonts w:hint="eastAsia" w:ascii="宋体" w:hAnsi="宋体" w:eastAsia="宋体" w:cs="宋体"/>
          <w:szCs w:val="21"/>
        </w:rPr>
        <w:t>8.1　本项目是否采购进口产品及相关要求见磋商须知前附表。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9.政府采购政策支持与其他规定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9.1　产品属于政府强制采购节能产品范围，必须将是否列入最新一期节能清单作为采购产品的资格条件。本项目的详细要求见磋商须知前附表。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9.2　对列入最新一期节能清单(非强制类)、环保清单内的产品，应分别予以相应的加分或价格扣除；对于同时列入“两个清单”的产品，应当优先于只获得其中一项认证的产品。本项目的详细要求见磋商须知前附表。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9.3　供应商享受支持中小企业发展政策优惠的，可用扣除后的最后报价参与价格比较。本项目价格扣除比例及相关要求见磋商须知前附表。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9.4　监狱企业视同小型、微型企业，享受促进中小企业发展政策优惠，可用扣除后的最后报价参与价格比较。本项目价格扣除比例及相关要求见磋商须知前附表。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9.6　其他法律法规强制性规定。本项目的详细要求见磋商须知前附表。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二、磋商文件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10.1磋商文件的组成</w:t>
      </w:r>
    </w:p>
    <w:p>
      <w:pPr>
        <w:spacing w:line="500" w:lineRule="exact"/>
        <w:ind w:firstLine="420" w:firstLineChars="200"/>
        <w:jc w:val="left"/>
        <w:rPr>
          <w:rFonts w:ascii="宋体" w:hAnsi="宋体" w:eastAsia="宋体" w:cs="宋体"/>
          <w:szCs w:val="21"/>
        </w:rPr>
      </w:pPr>
      <w:r>
        <w:rPr>
          <w:rFonts w:hint="eastAsia" w:ascii="宋体" w:hAnsi="宋体" w:eastAsia="宋体" w:cs="宋体"/>
          <w:szCs w:val="21"/>
        </w:rPr>
        <w:t>第一部分　商务部分</w:t>
      </w:r>
    </w:p>
    <w:p>
      <w:pPr>
        <w:numPr>
          <w:ilvl w:val="0"/>
          <w:numId w:val="4"/>
        </w:numPr>
        <w:spacing w:line="500" w:lineRule="exact"/>
        <w:rPr>
          <w:rFonts w:ascii="宋体" w:hAnsi="宋体" w:eastAsia="宋体" w:cs="宋体"/>
          <w:szCs w:val="21"/>
        </w:rPr>
      </w:pPr>
      <w:r>
        <w:rPr>
          <w:rFonts w:hint="eastAsia" w:ascii="宋体" w:hAnsi="宋体" w:eastAsia="宋体" w:cs="宋体"/>
          <w:szCs w:val="21"/>
        </w:rPr>
        <w:t>竞争性磋商公告</w:t>
      </w:r>
    </w:p>
    <w:p>
      <w:pPr>
        <w:numPr>
          <w:ilvl w:val="0"/>
          <w:numId w:val="4"/>
        </w:numPr>
        <w:spacing w:line="500" w:lineRule="exact"/>
        <w:rPr>
          <w:rFonts w:ascii="宋体" w:hAnsi="宋体" w:eastAsia="宋体" w:cs="宋体"/>
          <w:szCs w:val="21"/>
        </w:rPr>
      </w:pPr>
      <w:r>
        <w:rPr>
          <w:rFonts w:hint="eastAsia" w:ascii="宋体" w:hAnsi="宋体" w:eastAsia="宋体" w:cs="宋体"/>
          <w:szCs w:val="21"/>
        </w:rPr>
        <w:t>磋商须知</w:t>
      </w:r>
    </w:p>
    <w:p>
      <w:pPr>
        <w:numPr>
          <w:ilvl w:val="0"/>
          <w:numId w:val="4"/>
        </w:numPr>
        <w:spacing w:line="500" w:lineRule="exact"/>
        <w:rPr>
          <w:rFonts w:ascii="宋体" w:hAnsi="宋体" w:eastAsia="宋体" w:cs="宋体"/>
          <w:szCs w:val="21"/>
        </w:rPr>
      </w:pPr>
      <w:r>
        <w:rPr>
          <w:rFonts w:hint="eastAsia" w:ascii="宋体" w:hAnsi="宋体" w:eastAsia="宋体" w:cs="宋体"/>
          <w:szCs w:val="21"/>
        </w:rPr>
        <w:t>评审方法及标准</w:t>
      </w:r>
    </w:p>
    <w:p>
      <w:pPr>
        <w:numPr>
          <w:ilvl w:val="0"/>
          <w:numId w:val="4"/>
        </w:numPr>
        <w:spacing w:line="500" w:lineRule="exact"/>
        <w:rPr>
          <w:rFonts w:ascii="宋体" w:hAnsi="宋体" w:eastAsia="宋体" w:cs="宋体"/>
          <w:szCs w:val="21"/>
        </w:rPr>
      </w:pPr>
      <w:r>
        <w:rPr>
          <w:rFonts w:hint="eastAsia" w:ascii="宋体" w:hAnsi="宋体" w:eastAsia="宋体" w:cs="宋体"/>
          <w:szCs w:val="21"/>
        </w:rPr>
        <w:t>合同草案条款</w:t>
      </w:r>
    </w:p>
    <w:p>
      <w:pPr>
        <w:numPr>
          <w:ilvl w:val="0"/>
          <w:numId w:val="4"/>
        </w:numPr>
        <w:spacing w:line="500" w:lineRule="exact"/>
        <w:rPr>
          <w:rFonts w:ascii="宋体" w:hAnsi="宋体" w:eastAsia="宋体" w:cs="宋体"/>
          <w:szCs w:val="21"/>
        </w:rPr>
      </w:pPr>
      <w:r>
        <w:rPr>
          <w:rFonts w:hint="eastAsia" w:ascii="宋体" w:hAnsi="宋体" w:eastAsia="宋体" w:cs="宋体"/>
          <w:szCs w:val="21"/>
        </w:rPr>
        <w:t>响应文件组成</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第二部分　技术部分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　第六章　项目采购需求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10.2　磋商须知前附表规定的提交首次响应文件截止时间前，对磋商文件进行澄清或者修改的内容，为磋商文件的组成部分。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10.3　磋商小组根据与供应商磋商情况可能实质性变动的内容，包括采购需求中的技术、服务要求以及合同草案条款，对磋商文件作出的实质性变动是磋商文件的有效组成部分。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10.4　供应商应仔细阅读磋商文件的全部内容，按照磋商文件要求编制响应文件。任何对磋商文件的忽略或误解不能作为响应文件存在缺陷或瑕疵的理由，其风险由供应商承担。</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11.磋商文件的澄清或者修改</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11.1　在磋商须知前附表规定的提交首次响应文件截止之日前，采购人、采购代理机构或者磋商小组可以对已发出的磋商文件进行必要的澄清或者修改。</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12.偏离</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12.1　本条所称偏离为响应文件对磋商文件的偏离，即不满足或不响应磋商文件的要求。偏离分为实质性和非实质性要求条款偏离。</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12.2　除政府采购法律法规相关规定外，磋商文件中用“拒绝”“不接受”“无效”“不得”“必须”“应当”等文字规定或标注“★”符号的条款为实质性要求条款(即重要条款)，对其中任何一条的偏离，在评审时将其视为无效响应。</w:t>
      </w:r>
    </w:p>
    <w:p>
      <w:pPr>
        <w:spacing w:line="500" w:lineRule="exact"/>
        <w:ind w:firstLine="420" w:firstLineChars="200"/>
        <w:rPr>
          <w:rFonts w:ascii="宋体" w:hAnsi="宋体" w:eastAsia="宋体" w:cs="宋体"/>
          <w:b/>
          <w:szCs w:val="21"/>
        </w:rPr>
      </w:pPr>
      <w:r>
        <w:rPr>
          <w:rFonts w:hint="eastAsia" w:ascii="宋体" w:hAnsi="宋体" w:eastAsia="宋体" w:cs="宋体"/>
          <w:b/>
          <w:szCs w:val="21"/>
        </w:rPr>
        <w:t>三、响应文件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13.一般要求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13.1　供应商应仔细阅读磋商文件的所有内容，按磋商文件的要求编制响应文件，并保证所提供的全部资料的真实性，以使其响应文件对磋商文件做出实质性的响应。</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13.2　供应商提交的响应文件及供应商与采购人或采购代理机构、磋商小组就有关磋商的所有来往函电必须使用中文。供应商可以提交其他语言的资料，但应附中文注释，在有差异时以中文为准。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13.3　除技术要求另有规定外，本文件所要求使用的计量单位均采用国家法定的度、量、衡标准单位计量。未列明时亦默认为我国法定计量单位。</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13.4　供应商应按磋商文件中提供的响应文件格式填写。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13.5　磋商响应文件应采用书面形式，磋商文件中要求提供电子版的，必须按要求提供。</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14.响应文件的组成(采购人可根据实际情况对以下项目标注★)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14.1　响应文件应包括但不限于下列内容：</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14.1.1商务部分 </w:t>
      </w:r>
    </w:p>
    <w:p>
      <w:pPr>
        <w:spacing w:line="360" w:lineRule="auto"/>
        <w:ind w:firstLine="630" w:firstLineChars="300"/>
        <w:jc w:val="left"/>
        <w:outlineLvl w:val="1"/>
        <w:rPr>
          <w:rFonts w:ascii="宋体" w:hAnsi="宋体" w:eastAsia="宋体" w:cs="宋体"/>
          <w:szCs w:val="21"/>
        </w:rPr>
      </w:pPr>
      <w:r>
        <w:rPr>
          <w:rFonts w:hint="eastAsia" w:ascii="宋体" w:hAnsi="宋体" w:eastAsia="宋体" w:cs="宋体"/>
          <w:szCs w:val="21"/>
        </w:rPr>
        <w:t>1、磋商承诺函</w:t>
      </w:r>
    </w:p>
    <w:p>
      <w:pPr>
        <w:spacing w:line="360" w:lineRule="auto"/>
        <w:ind w:firstLine="630" w:firstLineChars="300"/>
        <w:rPr>
          <w:rFonts w:ascii="宋体" w:hAnsi="宋体" w:eastAsia="宋体" w:cs="宋体"/>
          <w:szCs w:val="21"/>
        </w:rPr>
      </w:pPr>
      <w:r>
        <w:rPr>
          <w:rFonts w:hint="eastAsia" w:ascii="宋体" w:hAnsi="宋体" w:eastAsia="宋体" w:cs="宋体"/>
          <w:szCs w:val="21"/>
        </w:rPr>
        <w:t>2、磋商报价明细表</w:t>
      </w:r>
    </w:p>
    <w:p>
      <w:pPr>
        <w:spacing w:line="360" w:lineRule="auto"/>
        <w:ind w:firstLine="630" w:firstLineChars="300"/>
        <w:rPr>
          <w:rFonts w:ascii="宋体" w:hAnsi="宋体" w:eastAsia="宋体" w:cs="宋体"/>
          <w:szCs w:val="21"/>
        </w:rPr>
      </w:pPr>
      <w:r>
        <w:rPr>
          <w:rFonts w:hint="eastAsia" w:ascii="宋体" w:hAnsi="宋体" w:eastAsia="宋体" w:cs="宋体"/>
          <w:szCs w:val="21"/>
        </w:rPr>
        <w:t>3、磋商保证金凭证</w:t>
      </w:r>
    </w:p>
    <w:p>
      <w:pPr>
        <w:spacing w:line="360" w:lineRule="auto"/>
        <w:ind w:firstLine="630" w:firstLineChars="300"/>
        <w:rPr>
          <w:rFonts w:ascii="宋体" w:hAnsi="宋体" w:eastAsia="宋体" w:cs="宋体"/>
          <w:szCs w:val="21"/>
        </w:rPr>
      </w:pPr>
      <w:r>
        <w:rPr>
          <w:rFonts w:hint="eastAsia" w:ascii="宋体" w:hAnsi="宋体" w:eastAsia="宋体" w:cs="宋体"/>
          <w:szCs w:val="21"/>
        </w:rPr>
        <w:t>4、 技术条款偏离表</w:t>
      </w:r>
    </w:p>
    <w:p>
      <w:pPr>
        <w:spacing w:line="360" w:lineRule="auto"/>
        <w:ind w:firstLine="630" w:firstLineChars="300"/>
        <w:rPr>
          <w:rFonts w:ascii="宋体" w:hAnsi="宋体" w:eastAsia="宋体" w:cs="宋体"/>
          <w:szCs w:val="21"/>
        </w:rPr>
      </w:pPr>
      <w:r>
        <w:rPr>
          <w:rFonts w:hint="eastAsia" w:ascii="宋体" w:hAnsi="宋体" w:eastAsia="宋体" w:cs="宋体"/>
          <w:szCs w:val="21"/>
        </w:rPr>
        <w:t>5、 商务条款偏离表</w:t>
      </w:r>
    </w:p>
    <w:p>
      <w:pPr>
        <w:spacing w:line="360" w:lineRule="auto"/>
        <w:ind w:firstLine="630" w:firstLineChars="300"/>
        <w:rPr>
          <w:rFonts w:ascii="宋体" w:hAnsi="宋体" w:eastAsia="宋体" w:cs="宋体"/>
          <w:szCs w:val="21"/>
        </w:rPr>
      </w:pPr>
      <w:r>
        <w:rPr>
          <w:rFonts w:hint="eastAsia" w:ascii="宋体" w:hAnsi="宋体" w:eastAsia="宋体" w:cs="宋体"/>
          <w:szCs w:val="21"/>
        </w:rPr>
        <w:t>6、 法定代表人身份证明书</w:t>
      </w:r>
    </w:p>
    <w:p>
      <w:pPr>
        <w:spacing w:line="360" w:lineRule="auto"/>
        <w:ind w:firstLine="630" w:firstLineChars="300"/>
        <w:rPr>
          <w:rFonts w:ascii="宋体" w:hAnsi="宋体" w:eastAsia="宋体" w:cs="宋体"/>
          <w:szCs w:val="21"/>
        </w:rPr>
      </w:pPr>
      <w:r>
        <w:rPr>
          <w:rFonts w:hint="eastAsia" w:ascii="宋体" w:hAnsi="宋体" w:eastAsia="宋体" w:cs="宋体"/>
          <w:szCs w:val="21"/>
        </w:rPr>
        <w:t>7、法定代表人授权委托书</w:t>
      </w:r>
    </w:p>
    <w:p>
      <w:pPr>
        <w:spacing w:line="360" w:lineRule="auto"/>
        <w:ind w:firstLine="630" w:firstLineChars="300"/>
        <w:rPr>
          <w:rFonts w:ascii="宋体" w:hAnsi="宋体" w:eastAsia="宋体" w:cs="宋体"/>
          <w:szCs w:val="21"/>
        </w:rPr>
      </w:pPr>
      <w:r>
        <w:rPr>
          <w:rFonts w:hint="eastAsia" w:ascii="宋体" w:hAnsi="宋体" w:eastAsia="宋体" w:cs="宋体"/>
          <w:szCs w:val="21"/>
        </w:rPr>
        <w:t>8、服务承诺书</w:t>
      </w:r>
    </w:p>
    <w:p>
      <w:pPr>
        <w:spacing w:line="360" w:lineRule="auto"/>
        <w:ind w:firstLine="630" w:firstLineChars="300"/>
        <w:rPr>
          <w:rFonts w:ascii="宋体" w:hAnsi="宋体" w:eastAsia="宋体" w:cs="宋体"/>
          <w:szCs w:val="21"/>
        </w:rPr>
      </w:pPr>
      <w:r>
        <w:rPr>
          <w:rFonts w:hint="eastAsia" w:ascii="宋体" w:hAnsi="宋体" w:eastAsia="宋体" w:cs="宋体"/>
          <w:szCs w:val="21"/>
        </w:rPr>
        <w:t>9、服务方案</w:t>
      </w:r>
    </w:p>
    <w:p>
      <w:pPr>
        <w:spacing w:line="360" w:lineRule="auto"/>
        <w:ind w:firstLine="630" w:firstLineChars="300"/>
        <w:rPr>
          <w:rFonts w:ascii="宋体" w:hAnsi="宋体" w:eastAsia="宋体" w:cs="宋体"/>
          <w:szCs w:val="21"/>
        </w:rPr>
      </w:pPr>
      <w:r>
        <w:rPr>
          <w:rFonts w:hint="eastAsia" w:ascii="宋体" w:hAnsi="宋体" w:eastAsia="宋体" w:cs="宋体"/>
          <w:szCs w:val="21"/>
        </w:rPr>
        <w:t>10、其它相关资料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14.2 本项目是否要求提供样品的见磋商须知前附表。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14.3磋商须知前附表规定供应商在磋商时提供样品的，供应商有以下情形之一的，在磋商时将其视为无效响应文件。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（1）未在磋商须知前附表规定的提交时间、地点提交的；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（2）供应商提供的样品与响应文件中型号、规格不一致的。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14.4　在磋商过程中，供应商根据磋商小组书面形式要求提交的最后报价(或者重新提交的响应文件和最后报价)是响应文件的有效组成部分。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14.5　磋商文件规定可能发生实质性变动的，供应商应当在《技术/商务响应与偏离表》中的对应内容处注明。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14.6　供应商无论成交与否，其响应文件不予退还。</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15.1　供应商应按磋商文件规定的服务要求、责任范围和合同条件，以人民币进行报价。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15.3　供应商的最终报价不得超过采购项目预算。本次采购项目的预算见磋商须知前附表。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16.磋商保证金</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16.1　本项目是否交纳磋商保证金要求见磋商须知前附表。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16.2　磋商须知前附表规定交纳磋商保证金的，应以支票、汇票、本票、网上银行或金融机构、担保机构出具的保函等非现金形式，在磋商须知前附表规定的提交首次响应文件截止时间前，向采购人或采购代理机构交纳不超过采购项目预算2%的</w:t>
      </w:r>
      <w:r>
        <w:rPr>
          <w:rFonts w:hint="eastAsia" w:ascii="宋体" w:hAnsi="宋体" w:eastAsia="宋体" w:cs="宋体"/>
          <w:szCs w:val="21"/>
          <w:lang w:eastAsia="zh-CN"/>
        </w:rPr>
        <w:t>磋商</w:t>
      </w:r>
      <w:r>
        <w:rPr>
          <w:rFonts w:hint="eastAsia" w:ascii="宋体" w:hAnsi="宋体" w:eastAsia="宋体" w:cs="宋体"/>
          <w:szCs w:val="21"/>
        </w:rPr>
        <w:t>保证金(数额采用四舍五入，计算至元)。磋商保证金有效期应当与本章磋商须知前附表规定的磋商响应有效期一致。未按磋商文件规定提交保证金的，采购人或采购代理机构应当拒绝接收供应商的响应文件。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16.3　供应商为联合体的，可以由联合体中的一方或者共同交纳保证金，其交纳的保证金，对联合体各方均具有约束力。</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16.4　未成交供应商的保证金，在成交通知书发出后5个工作日内退还；成交供应商的保证金，在采购合同签订后5个工作日内退还，但因供应商自身原因导致无法及时退还的除外。</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16.5　有下列情形之一的，保证金不予退还：</w:t>
      </w:r>
    </w:p>
    <w:p>
      <w:pPr>
        <w:spacing w:line="500" w:lineRule="exact"/>
        <w:ind w:firstLine="420" w:firstLineChars="200"/>
        <w:rPr>
          <w:rFonts w:ascii="宋体" w:hAnsi="宋体" w:eastAsia="宋体" w:cs="宋体"/>
          <w:szCs w:val="21"/>
        </w:rPr>
      </w:pPr>
      <w:r>
        <w:rPr>
          <w:rFonts w:hint="eastAsia" w:ascii="宋体" w:hAnsi="宋体" w:eastAsia="宋体" w:cs="宋体"/>
          <w:szCs w:val="21"/>
        </w:rPr>
        <w:t>(1)供应商在磋商须知前附表规定的提交首次响应文件截止时间后撤回响应文件的；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(2)供应商在响应文件中提供虚假材料的；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(3)除因不可抗力或磋商文件认可的情形以外，成交供应商不与采购人签订合同的；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(4)供应商与采购人、其他供应商或者采购代理机构恶意串通的；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(5)磋商文件规定的其他情形。</w:t>
      </w:r>
    </w:p>
    <w:p>
      <w:pPr>
        <w:spacing w:line="500" w:lineRule="exact"/>
        <w:ind w:firstLine="420" w:firstLineChars="200"/>
        <w:rPr>
          <w:rFonts w:ascii="宋体" w:hAnsi="宋体" w:eastAsia="宋体" w:cs="宋体"/>
          <w:b/>
          <w:szCs w:val="21"/>
        </w:rPr>
      </w:pPr>
      <w:r>
        <w:rPr>
          <w:rFonts w:hint="eastAsia" w:ascii="宋体" w:hAnsi="宋体" w:eastAsia="宋体" w:cs="宋体"/>
          <w:b/>
          <w:szCs w:val="21"/>
        </w:rPr>
        <w:t>17.磋商响应有效期</w:t>
      </w:r>
    </w:p>
    <w:p>
      <w:pPr>
        <w:spacing w:line="500" w:lineRule="exact"/>
        <w:ind w:firstLine="420" w:firstLineChars="200"/>
        <w:rPr>
          <w:rFonts w:ascii="宋体" w:hAnsi="宋体" w:eastAsia="宋体" w:cs="宋体"/>
          <w:szCs w:val="21"/>
        </w:rPr>
      </w:pPr>
      <w:r>
        <w:rPr>
          <w:rFonts w:hint="eastAsia" w:ascii="宋体" w:hAnsi="宋体" w:eastAsia="宋体" w:cs="宋体"/>
          <w:szCs w:val="21"/>
        </w:rPr>
        <w:t>17.1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18.响应文件的签署及规定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18.1　供应商应根据磋商须知前附表规定提交响应文件。纸质文件的正本和副本应装订成册。正本和副本的封面上应标记“正本”或“副本”的字样，当正本和副本有差异时，以正本为准。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18.3　在磋商过程中，供应商按磋商文件规定和磋商小组要求重新提交的响应文件和最后报价，应打印或用不褪色墨水书写，并由法定代表人或其授权代表签字，加盖单位公章。否则，将导致响应文件无效。</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19.响应文件的密封和标记</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19.1　响应文件按正本和副本分别包装，注明“正本”或“副本”，加贴封条，并在封套的封口处加盖供应商单位公章或由法定代表人或其授权代表签字。</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19.2　响应文件封套或外包装上应写明的内容见磋商须知前附表。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19.3　响应文件如果未按上述规定密封和标记，采购人或采购代理机构应当拒绝接收。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20.响应文件的递交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20.1　响应文件应在磋商须知前附表规定的提交时间和指定地点提交。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20.2　在截止时间后送达的响应文件为无效文件，采购人、采购代理机构或磋商小组应当拒收。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21.响应文件的补充、修改或者撤回</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21.1　供应商在磋商须知前附表规定的提交首次响应文件截止时间前，可以对所提交的首次响应文件进行补充、修改或者撤回，并书面通知采购人或采购代理机构。该通知应有供应商法定代表人或其授权代表签字。</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21.2　补充、修改的内容与响应文件不一致时，以补充、修改的内容为准。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四、磋商与评审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22.磋商小组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22.1　磋商与评审由依法组建的磋商小组负责，磋商小组由采购人代表和评审专家组成。</w:t>
      </w:r>
    </w:p>
    <w:p>
      <w:pPr>
        <w:spacing w:line="500" w:lineRule="exact"/>
        <w:ind w:firstLine="420" w:firstLineChars="200"/>
        <w:rPr>
          <w:rFonts w:ascii="宋体" w:hAnsi="宋体" w:eastAsia="宋体" w:cs="宋体"/>
          <w:szCs w:val="21"/>
        </w:rPr>
      </w:pPr>
      <w:r>
        <w:rPr>
          <w:rFonts w:hint="eastAsia" w:ascii="宋体" w:hAnsi="宋体" w:eastAsia="宋体" w:cs="宋体"/>
          <w:szCs w:val="21"/>
        </w:rPr>
        <w:t>23.初步审查</w:t>
      </w:r>
    </w:p>
    <w:p>
      <w:pPr>
        <w:spacing w:line="500" w:lineRule="exact"/>
        <w:ind w:firstLine="420" w:firstLineChars="200"/>
        <w:rPr>
          <w:rFonts w:ascii="宋体" w:hAnsi="宋体" w:eastAsia="宋体" w:cs="宋体"/>
          <w:szCs w:val="21"/>
        </w:rPr>
      </w:pPr>
      <w:r>
        <w:rPr>
          <w:rFonts w:hint="eastAsia" w:ascii="宋体" w:hAnsi="宋体" w:eastAsia="宋体" w:cs="宋体"/>
          <w:szCs w:val="21"/>
        </w:rPr>
        <w:t>23.1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rPr>
        <w:t xml:space="preserve"> 磋商报价文件要求加盖供应商章、法定代表人章处未加盖印章的；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(2) </w:t>
      </w:r>
      <w:r>
        <w:rPr>
          <w:rFonts w:ascii="宋体" w:hAnsi="宋体"/>
          <w:szCs w:val="21"/>
        </w:rPr>
        <w:t>供应商的法定代表人授权他人进行</w:t>
      </w:r>
      <w:r>
        <w:rPr>
          <w:rFonts w:hint="eastAsia" w:ascii="宋体" w:hAnsi="宋体"/>
          <w:szCs w:val="21"/>
        </w:rPr>
        <w:t>磋商</w:t>
      </w:r>
      <w:r>
        <w:rPr>
          <w:rFonts w:ascii="宋体" w:hAnsi="宋体"/>
          <w:szCs w:val="21"/>
        </w:rPr>
        <w:t>时，其授权委托书无效的；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(3) </w:t>
      </w:r>
      <w:r>
        <w:rPr>
          <w:rFonts w:ascii="宋体" w:hAnsi="宋体"/>
          <w:szCs w:val="21"/>
        </w:rPr>
        <w:t>竞争性</w:t>
      </w:r>
      <w:r>
        <w:rPr>
          <w:rFonts w:hint="eastAsia" w:ascii="宋体" w:hAnsi="宋体"/>
          <w:szCs w:val="21"/>
        </w:rPr>
        <w:t>磋商</w:t>
      </w:r>
      <w:r>
        <w:rPr>
          <w:rFonts w:ascii="宋体" w:hAnsi="宋体"/>
          <w:szCs w:val="21"/>
        </w:rPr>
        <w:t>报价文件与竞争性</w:t>
      </w:r>
      <w:r>
        <w:rPr>
          <w:rFonts w:hint="eastAsia" w:ascii="宋体" w:hAnsi="宋体"/>
          <w:szCs w:val="21"/>
        </w:rPr>
        <w:t>磋商</w:t>
      </w:r>
      <w:r>
        <w:rPr>
          <w:rFonts w:ascii="宋体" w:hAnsi="宋体"/>
          <w:szCs w:val="21"/>
        </w:rPr>
        <w:t>文件要求存在重大偏离的，特别在</w:t>
      </w:r>
      <w:r>
        <w:rPr>
          <w:rFonts w:hint="eastAsia" w:ascii="宋体" w:hAnsi="宋体"/>
          <w:szCs w:val="21"/>
        </w:rPr>
        <w:t>采购</w:t>
      </w:r>
      <w:r>
        <w:rPr>
          <w:rFonts w:ascii="宋体" w:hAnsi="宋体"/>
          <w:szCs w:val="21"/>
        </w:rPr>
        <w:t>范围、</w:t>
      </w:r>
      <w:r>
        <w:rPr>
          <w:rFonts w:hint="eastAsia" w:ascii="宋体" w:hAnsi="宋体"/>
          <w:szCs w:val="21"/>
        </w:rPr>
        <w:t>服务周期</w:t>
      </w:r>
      <w:r>
        <w:rPr>
          <w:rFonts w:ascii="宋体" w:hAnsi="宋体"/>
          <w:szCs w:val="21"/>
        </w:rPr>
        <w:t>等方面有重大改变的；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(4) </w:t>
      </w:r>
      <w:r>
        <w:rPr>
          <w:rFonts w:ascii="宋体" w:hAnsi="宋体"/>
          <w:szCs w:val="21"/>
        </w:rPr>
        <w:t>竞争性</w:t>
      </w:r>
      <w:r>
        <w:rPr>
          <w:rFonts w:hint="eastAsia" w:ascii="宋体" w:hAnsi="宋体"/>
          <w:szCs w:val="21"/>
        </w:rPr>
        <w:t>磋商</w:t>
      </w:r>
      <w:r>
        <w:rPr>
          <w:rFonts w:ascii="宋体" w:hAnsi="宋体"/>
          <w:szCs w:val="21"/>
        </w:rPr>
        <w:t>报价文件未按规定的格式填写，内容不全或关键字迹模糊无法辨认的；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(5) </w:t>
      </w:r>
      <w:r>
        <w:rPr>
          <w:rFonts w:ascii="宋体" w:hAnsi="宋体"/>
          <w:szCs w:val="21"/>
        </w:rPr>
        <w:t>供应商递交多份内容不同的竞争性</w:t>
      </w:r>
      <w:r>
        <w:rPr>
          <w:rFonts w:hint="eastAsia" w:ascii="宋体" w:hAnsi="宋体"/>
          <w:szCs w:val="21"/>
          <w:lang w:eastAsia="zh-CN"/>
        </w:rPr>
        <w:t>磋商</w:t>
      </w:r>
      <w:r>
        <w:rPr>
          <w:rFonts w:ascii="宋体" w:hAnsi="宋体"/>
          <w:szCs w:val="21"/>
        </w:rPr>
        <w:t>报价文件，或存在多份报价；</w:t>
      </w:r>
    </w:p>
    <w:p>
      <w:pPr>
        <w:spacing w:line="500" w:lineRule="exact"/>
        <w:ind w:firstLine="420" w:firstLineChars="200"/>
        <w:rPr>
          <w:rFonts w:ascii="宋体" w:hAnsi="宋体"/>
        </w:rPr>
      </w:pPr>
      <w:r>
        <w:rPr>
          <w:rFonts w:hint="eastAsia" w:ascii="宋体" w:hAnsi="宋体" w:eastAsia="宋体" w:cs="宋体"/>
          <w:szCs w:val="21"/>
        </w:rPr>
        <w:t xml:space="preserve">(6) </w:t>
      </w:r>
      <w:r>
        <w:rPr>
          <w:rFonts w:hint="eastAsia" w:ascii="宋体" w:hAnsi="宋体"/>
        </w:rPr>
        <w:t>服务要求不满足磋商文件要求的；</w:t>
      </w:r>
    </w:p>
    <w:p>
      <w:pPr>
        <w:spacing w:line="500" w:lineRule="exact"/>
        <w:ind w:firstLine="420" w:firstLineChars="200"/>
        <w:rPr>
          <w:rFonts w:ascii="宋体" w:hAnsi="宋体"/>
        </w:rPr>
      </w:pPr>
      <w:r>
        <w:rPr>
          <w:rFonts w:hint="eastAsia" w:ascii="宋体" w:hAnsi="宋体" w:eastAsia="宋体" w:cs="宋体"/>
          <w:szCs w:val="21"/>
        </w:rPr>
        <w:t xml:space="preserve"> (7)</w:t>
      </w:r>
      <w:r>
        <w:rPr>
          <w:rFonts w:hint="eastAsia" w:ascii="宋体" w:hAnsi="宋体"/>
        </w:rPr>
        <w:t>服务承诺未提供的；</w:t>
      </w:r>
    </w:p>
    <w:p>
      <w:pPr>
        <w:spacing w:line="500" w:lineRule="exact"/>
        <w:ind w:firstLine="420" w:firstLineChars="200"/>
        <w:rPr>
          <w:rFonts w:ascii="宋体" w:hAnsi="宋体"/>
        </w:rPr>
      </w:pPr>
      <w:r>
        <w:rPr>
          <w:rFonts w:hint="eastAsia" w:ascii="宋体" w:hAnsi="宋体" w:eastAsia="宋体" w:cs="Times New Roman"/>
          <w:szCs w:val="21"/>
        </w:rPr>
        <w:t>（8）</w:t>
      </w:r>
      <w:r>
        <w:rPr>
          <w:rFonts w:hint="eastAsia" w:ascii="宋体" w:hAnsi="宋体"/>
        </w:rPr>
        <w:t>磋商报价文件不符合磋商文件实质性要求的；</w:t>
      </w:r>
    </w:p>
    <w:p>
      <w:pPr>
        <w:spacing w:line="500" w:lineRule="exact"/>
        <w:ind w:firstLine="420" w:firstLineChars="200"/>
        <w:rPr>
          <w:rFonts w:ascii="宋体" w:hAnsi="宋体"/>
          <w:szCs w:val="21"/>
        </w:rPr>
      </w:pPr>
      <w:r>
        <w:rPr>
          <w:rFonts w:hint="eastAsia" w:ascii="宋体" w:hAnsi="宋体"/>
        </w:rPr>
        <w:t>（9）</w:t>
      </w:r>
      <w:r>
        <w:rPr>
          <w:rFonts w:ascii="宋体" w:hAnsi="宋体"/>
          <w:szCs w:val="21"/>
        </w:rPr>
        <w:t>供应商的</w:t>
      </w:r>
      <w:r>
        <w:rPr>
          <w:rFonts w:hint="eastAsia" w:ascii="宋体" w:hAnsi="宋体"/>
          <w:szCs w:val="21"/>
          <w:lang w:eastAsia="zh-CN"/>
        </w:rPr>
        <w:t>磋商</w:t>
      </w:r>
      <w:r>
        <w:rPr>
          <w:rFonts w:ascii="宋体" w:hAnsi="宋体"/>
          <w:szCs w:val="21"/>
        </w:rPr>
        <w:t>报价经</w:t>
      </w:r>
      <w:r>
        <w:rPr>
          <w:rFonts w:hint="eastAsia" w:ascii="宋体" w:hAnsi="宋体"/>
          <w:szCs w:val="21"/>
          <w:lang w:eastAsia="zh-CN"/>
        </w:rPr>
        <w:t>磋商</w:t>
      </w:r>
      <w:r>
        <w:rPr>
          <w:rFonts w:hint="eastAsia" w:ascii="宋体" w:hAnsi="宋体"/>
          <w:szCs w:val="21"/>
        </w:rPr>
        <w:t>小组</w:t>
      </w:r>
      <w:r>
        <w:rPr>
          <w:rFonts w:ascii="宋体" w:hAnsi="宋体"/>
          <w:szCs w:val="21"/>
        </w:rPr>
        <w:t>认定低于成本竞价的；</w:t>
      </w:r>
    </w:p>
    <w:p>
      <w:pPr>
        <w:spacing w:line="500" w:lineRule="exact"/>
        <w:ind w:firstLine="420" w:firstLineChars="200"/>
        <w:rPr>
          <w:rFonts w:ascii="宋体" w:hAnsi="宋体" w:eastAsia="宋体" w:cs="宋体"/>
          <w:szCs w:val="21"/>
        </w:rPr>
      </w:pPr>
      <w:r>
        <w:rPr>
          <w:rFonts w:hint="eastAsia" w:ascii="宋体" w:hAnsi="宋体"/>
          <w:szCs w:val="21"/>
        </w:rPr>
        <w:t>（10）</w:t>
      </w:r>
      <w:r>
        <w:rPr>
          <w:rFonts w:hint="eastAsia"/>
        </w:rPr>
        <w:t>磋商保证金缴纳凭证未提供的；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24.澄清</w:t>
      </w:r>
    </w:p>
    <w:p>
      <w:pPr>
        <w:spacing w:line="500" w:lineRule="exact"/>
        <w:ind w:firstLine="420" w:firstLineChars="200"/>
        <w:rPr>
          <w:rFonts w:ascii="宋体" w:hAnsi="宋体" w:eastAsia="宋体" w:cs="宋体"/>
          <w:szCs w:val="21"/>
        </w:rPr>
      </w:pPr>
      <w:r>
        <w:rPr>
          <w:rFonts w:hint="eastAsia" w:ascii="宋体" w:hAnsi="宋体" w:eastAsia="宋体" w:cs="宋体"/>
          <w:szCs w:val="21"/>
        </w:rPr>
        <w:t>24.1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25.磋商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25.1　初审结束后，磋商小组所有成员集中与单一供应商分别进行磋商，并给予所有参加磋商的供应商平等的磋商机会。供应商应派其法定代表人或授权代表参加磋商。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25.2　在磋商过程中，磋商小组可以根据磋商文件和磋商情况实质性变动采购需求中的技术、服务要求以及合同草案条款，但不得变动磋商文件中的其他内容。实质性变动的内容，须经采购人代表确认。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25.3　对磋商文件作出的实质性变动是磋商文件的有效组成部分，磋商小组应当及时以书面形式同时通知所有参加磋商的供应商。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25.5　磋商文件不能详细列明采购标的技术、服务要求，需经磋商由供应商提供最终设计方案或解决方案的，磋商结束后，磋商小组应当按照少数服从多数的原则投票推荐3家以上供应商的设计方案或者解决方案。</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25.6　磋商小组应当根据实际情况与供应商进行磋商，并确定磋商的轮次。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25.7　已提交响应文件的供应商，在提交最后报价之前，可以根据磋商情况退出磋商。采购人或采购代理机构应当退还退出磋商的供应商的磋商保证金。</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25.8　磋商结束后，供应商按照磋商小组要求重新提交的响应文件，不满足磋商文件及变动后的技术、服务要求以及合同草案条款的实质性要求的，将视为无效响应文件。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26.最后报价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26.1　磋商结束后，磋商小组应当要求所有实质性响应的供应商在规定时间内提交最后报价，提交最后报价的供应商不得少于3家。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26.3　最后报价是供应商响应文件的有效组成部分。如磋商小组没有对磋商文件作实质性变动或增加新的需求，最后报价不得高于首轮报价。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27.最后报价评审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27.1　最后报价计算错误修正的原则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(1)最后报价的大写金额和小写金额不一致的，以大写金额为准。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(2)总价金额与按分项报价汇总金额不一致的，以分项报价金额计算结果为准。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(3)分项报价金额小数点有明显错位的，应以总价为准，并修改分项报价。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(4)如果供应商不接受对其错误的更正，其最后报价将被视为无效报价或确定为无效响应。</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27.2　最后报价的价格扣除原则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(1)节能产品(视具体项目适用)：供应商所投产品中，如有符合政策的节能产品的，对节能产品在评审时按磋商须知前附表的规定对其最终报价给予价格扣除或在评审时予以加分。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(2)环境标志产品(视具体项目适用)：供应商所投产品中，如有符合政策的环境标志产品的，对环境标志产品在评审时按磋商须知前附表的规定对其最终报价给予价格扣除或在评审时予以加分。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(3)对小型或微型企业以及监狱企业，在评审时按磋商须知前附表的规定对其最终报价给予价格扣除。</w:t>
      </w:r>
    </w:p>
    <w:p>
      <w:pPr>
        <w:spacing w:line="500" w:lineRule="exact"/>
        <w:ind w:firstLine="420" w:firstLineChars="200"/>
        <w:rPr>
          <w:rFonts w:ascii="宋体" w:hAnsi="宋体" w:eastAsia="宋体" w:cs="宋体"/>
          <w:szCs w:val="21"/>
        </w:rPr>
      </w:pPr>
      <w:r>
        <w:rPr>
          <w:rFonts w:hint="eastAsia" w:ascii="宋体" w:hAnsi="宋体" w:eastAsia="宋体" w:cs="宋体"/>
          <w:szCs w:val="21"/>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27.3  价格得分：以供应商的最后报价作为价格评分依据。供应商的评审价为按上述条款修正并给予价格扣除优惠后的价格。</w:t>
      </w:r>
    </w:p>
    <w:p>
      <w:pPr>
        <w:spacing w:line="500" w:lineRule="exact"/>
        <w:ind w:firstLine="420" w:firstLineChars="200"/>
        <w:rPr>
          <w:rFonts w:ascii="宋体" w:hAnsi="宋体" w:eastAsia="宋体" w:cs="宋体"/>
          <w:szCs w:val="21"/>
        </w:rPr>
      </w:pPr>
      <w:r>
        <w:rPr>
          <w:rFonts w:hint="eastAsia" w:ascii="宋体" w:hAnsi="宋体" w:eastAsia="宋体" w:cs="宋体"/>
          <w:szCs w:val="21"/>
        </w:rPr>
        <w:t>价格评分统一采用低价优先法计算，即满足磋商文件要求且价格最低的评审价为评审基准价，其价格分为满分。其他供应商的价格分统一按照下列公式计算：</w:t>
      </w:r>
    </w:p>
    <w:p>
      <w:pPr>
        <w:spacing w:line="500" w:lineRule="exact"/>
        <w:ind w:firstLine="420" w:firstLineChars="200"/>
        <w:rPr>
          <w:rFonts w:ascii="宋体" w:hAnsi="宋体" w:eastAsia="宋体" w:cs="宋体"/>
          <w:szCs w:val="21"/>
        </w:rPr>
      </w:pPr>
      <w:r>
        <w:rPr>
          <w:rFonts w:hint="eastAsia" w:ascii="宋体" w:hAnsi="宋体" w:eastAsia="宋体" w:cs="宋体"/>
          <w:szCs w:val="21"/>
        </w:rPr>
        <w:t>价格评分＝(评审基准价/评审价)×价格分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价格低于市场成本价，经磋商小组讨论须其提供低价说明；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28.综合评审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28.1　经磋商确定最终采购需求和提交最后报价的供应商后，由磋商小组采用综合评分法对提交最后报价的供应商的响应文件和最后报价进行综合评分。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28.2　评审办法及标准见第三章。</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28.3　评审时，磋商小组成员应当独立对每个有效响应的文件进行评价、打分，然后汇总每个供应商每项评分因素的得分。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29.提出成交供应商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29.1　磋商小组应当按照综合评分由高到低的顺序提出3名以上成交候选供应商，并编写评审报告。市场竞争不充分的科研项目、需要扶持的科技成果转化项目，以及政府购买服务项目，可以推荐2家成交候选供应商。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29.2　评审得分相同的，按照最后报价由低到高的顺序推荐。评审得分且最后报价相同的，按照技术指标优劣顺序推荐。</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30.确定成交供应商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30.1　采购代理机构应当在评审结束之日起2个工作日内将评审报告送采购人确认。</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30.2　采购人应当在收到评审报告之日起5个工作日内，从评审报告提出的成交候选供应商中，按照排序由低到高的原则确定成交供应商，也可以书面授权磋商小组直接确定成交供应商。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30.3　采购人自行组织磋商的，应当在评审结束之日起5个工作日内确定成交供应商。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31.磋商终止</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31.1　出现下列情形之一的，采购人或者采购代理机构应当终止磋商采购活动，在财政部指定的媒体上发布项目终止公告并说明原因，重新开展采购活动：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(1)因情况变化，不再符合规定的磋商采购方式适用情形的；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(2)出现影响采购公正的违法、违规行为的；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(4)因重大变故，采购任务取消的。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32.重新评审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32.1　除资格性检查认定错误、分值汇总计算错误、分项评分超出评分标准范围、客观分评分不一致、经磋商小组一致认定评分畸高、畸低的情形外，采购人或者采购代理机构不得以任何理由组织重新评审。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33.保密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33.1　磋商小组成员以及与评审工作有关的人员不得泄露评审情况以及评审过程中获悉的国家秘密、商业秘密。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34.禁止行为</w:t>
      </w:r>
    </w:p>
    <w:p>
      <w:pPr>
        <w:spacing w:line="500" w:lineRule="exact"/>
        <w:ind w:firstLine="420" w:firstLineChars="200"/>
        <w:rPr>
          <w:rFonts w:ascii="宋体" w:hAnsi="宋体" w:eastAsia="宋体" w:cs="宋体"/>
          <w:szCs w:val="21"/>
        </w:rPr>
      </w:pPr>
      <w:r>
        <w:rPr>
          <w:rFonts w:hint="eastAsia" w:ascii="宋体" w:hAnsi="宋体" w:eastAsia="宋体" w:cs="宋体"/>
          <w:szCs w:val="21"/>
        </w:rPr>
        <w:t>34.1　供应商不得与采购人、采购代理机构、其他供应商恶意串通；不得向采购人、采购代理机构或者磋商小组成员行贿或者提供其他不正当利益；不得提供虚假材料谋取成交；不得以任何方式干扰、影响采购工作。</w:t>
      </w:r>
    </w:p>
    <w:p>
      <w:pPr>
        <w:spacing w:line="500" w:lineRule="exact"/>
        <w:ind w:firstLine="420" w:firstLineChars="200"/>
        <w:rPr>
          <w:rFonts w:ascii="宋体" w:hAnsi="宋体" w:eastAsia="宋体" w:cs="宋体"/>
          <w:szCs w:val="21"/>
        </w:rPr>
      </w:pPr>
      <w:r>
        <w:rPr>
          <w:rFonts w:hint="eastAsia" w:ascii="宋体" w:hAnsi="宋体" w:eastAsia="宋体" w:cs="宋体"/>
          <w:szCs w:val="21"/>
        </w:rPr>
        <w:t>五、成交结果信息公布与签订合同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35.成交信息的公布</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35.1　成交供应商确定之日起2个工作日内，采购人或者采购代理机构应在磋商须知前附表中规定的公告媒体上公布成交结果信息。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35.2　磋商文件随成交结果同时公告。但成交结果公告前磋商文件已公告的，不再重复公告。</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35.3　采用书面推荐供应商参加采购活动的，在公告结果同时公告采购人和评审专家的推荐意见。</w:t>
      </w:r>
    </w:p>
    <w:p>
      <w:pPr>
        <w:spacing w:line="500" w:lineRule="exact"/>
        <w:ind w:firstLine="420" w:firstLineChars="200"/>
        <w:rPr>
          <w:rFonts w:ascii="宋体" w:hAnsi="宋体" w:eastAsia="宋体" w:cs="宋体"/>
          <w:szCs w:val="21"/>
        </w:rPr>
      </w:pPr>
      <w:r>
        <w:rPr>
          <w:rFonts w:hint="eastAsia" w:ascii="宋体" w:hAnsi="宋体" w:eastAsia="宋体" w:cs="宋体"/>
          <w:szCs w:val="21"/>
        </w:rPr>
        <w:t>36.成交通知</w:t>
      </w:r>
    </w:p>
    <w:p>
      <w:pPr>
        <w:spacing w:line="500" w:lineRule="exact"/>
        <w:ind w:firstLine="420" w:firstLineChars="200"/>
        <w:rPr>
          <w:rFonts w:ascii="宋体" w:hAnsi="宋体" w:eastAsia="宋体" w:cs="宋体"/>
          <w:szCs w:val="21"/>
        </w:rPr>
      </w:pPr>
      <w:r>
        <w:rPr>
          <w:rFonts w:hint="eastAsia" w:ascii="宋体" w:hAnsi="宋体" w:eastAsia="宋体" w:cs="宋体"/>
          <w:szCs w:val="21"/>
        </w:rPr>
        <w:t>36.1　成交供应商确定后，采购人或采购代理机构在发布成交公告的同时以书面形式向成交供应商发出成交通知书。成交通知书对采购人和成交供应商具有同等法律效力。</w:t>
      </w:r>
    </w:p>
    <w:p>
      <w:pPr>
        <w:spacing w:line="500" w:lineRule="exact"/>
        <w:ind w:firstLine="420" w:firstLineChars="200"/>
        <w:rPr>
          <w:rFonts w:ascii="宋体" w:hAnsi="宋体" w:eastAsia="宋体" w:cs="宋体"/>
          <w:szCs w:val="21"/>
        </w:rPr>
      </w:pPr>
      <w:r>
        <w:rPr>
          <w:rFonts w:hint="eastAsia" w:ascii="宋体" w:hAnsi="宋体" w:eastAsia="宋体" w:cs="宋体"/>
          <w:szCs w:val="21"/>
        </w:rPr>
        <w:t>37.履约保证金</w:t>
      </w:r>
    </w:p>
    <w:p>
      <w:pPr>
        <w:spacing w:line="500" w:lineRule="exact"/>
        <w:ind w:firstLine="420" w:firstLineChars="200"/>
        <w:rPr>
          <w:rFonts w:ascii="宋体" w:hAnsi="宋体" w:eastAsia="宋体" w:cs="宋体"/>
          <w:szCs w:val="21"/>
        </w:rPr>
      </w:pPr>
      <w:r>
        <w:rPr>
          <w:rFonts w:hint="eastAsia" w:ascii="宋体" w:hAnsi="宋体" w:eastAsia="宋体" w:cs="宋体"/>
          <w:szCs w:val="21"/>
        </w:rPr>
        <w:t>37.1　成交供应商按照磋商须知前附表的规定，在签订采购合同前，向采购人提交履约保证金。联合体成交的，履约保证金以联合体各方或联合体中牵头人的名义提交。</w:t>
      </w:r>
    </w:p>
    <w:p>
      <w:pPr>
        <w:spacing w:line="500" w:lineRule="exact"/>
        <w:ind w:firstLine="420" w:firstLineChars="200"/>
        <w:rPr>
          <w:rFonts w:ascii="宋体" w:hAnsi="宋体" w:eastAsia="宋体" w:cs="宋体"/>
          <w:szCs w:val="21"/>
        </w:rPr>
      </w:pPr>
      <w:r>
        <w:rPr>
          <w:rFonts w:hint="eastAsia" w:ascii="宋体" w:hAnsi="宋体" w:eastAsia="宋体" w:cs="宋体"/>
          <w:szCs w:val="21"/>
        </w:rPr>
        <w:t>37.2　成交供应商没有按照磋商须知前附表的规定提交履约保证金的，视为放弃成交资格，其磋商保证金不予退还。</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38.签订合同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38.1　磋商文件、成交供应商的响应文件及补充文件等均为签订政府采购合同的依据。</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38.2　成交供应商应当在成交通知书发出之日起30日内与采购人签订政府采购合同。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38.4　自政府采购合同签订之日起2个工作日内，本项目政府采购合同在磋商须知前附表规定的媒体上公告，但政府采购合同中涉及国家秘密、商业秘密的内容除外。</w:t>
      </w:r>
    </w:p>
    <w:p>
      <w:pPr>
        <w:spacing w:line="500" w:lineRule="exact"/>
        <w:ind w:firstLine="420" w:firstLineChars="200"/>
        <w:rPr>
          <w:rFonts w:ascii="宋体" w:hAnsi="宋体" w:eastAsia="宋体" w:cs="宋体"/>
          <w:szCs w:val="21"/>
        </w:rPr>
      </w:pPr>
      <w:r>
        <w:rPr>
          <w:rFonts w:hint="eastAsia" w:ascii="宋体" w:hAnsi="宋体" w:eastAsia="宋体" w:cs="宋体"/>
          <w:szCs w:val="21"/>
        </w:rPr>
        <w:t>六、其他规定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39.采购代理服务费</w:t>
      </w:r>
    </w:p>
    <w:p>
      <w:pPr>
        <w:spacing w:line="500" w:lineRule="exact"/>
        <w:ind w:firstLine="420" w:firstLineChars="200"/>
        <w:rPr>
          <w:rFonts w:ascii="宋体" w:hAnsi="宋体" w:eastAsia="宋体" w:cs="宋体"/>
          <w:szCs w:val="21"/>
        </w:rPr>
      </w:pPr>
      <w:r>
        <w:rPr>
          <w:rFonts w:hint="eastAsia" w:ascii="宋体" w:hAnsi="宋体" w:eastAsia="宋体" w:cs="宋体"/>
          <w:szCs w:val="21"/>
        </w:rPr>
        <w:t>39.1　成交供应商是否交纳采购代理服务费及相关要求见磋商须知前附表。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40.询问、质疑、投诉</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40.1　供应商对政府采购活动事项有疑问的，可以向采购人提出询问，采购人应当及时作出答复，但答复的内容不得涉及商业秘密。</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40.2　供应商认为磋商文件、磋商过程和成交结果使自己的权益受到损害的，可以在知道或者应知其权益受到损害之日起7个工作日内，以书面形式向采购人提出质疑。</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40.3　供应商对采购人或采购代理机构的答复不满意，或采购人或采购代理机构未在规定的期限作出答复的，可在答复期满后15个工作日内，按政府采购法律法规规定及程序，向财政部提出投诉。</w:t>
      </w:r>
    </w:p>
    <w:p>
      <w:pPr>
        <w:spacing w:line="500" w:lineRule="exact"/>
        <w:ind w:firstLine="420" w:firstLineChars="200"/>
        <w:rPr>
          <w:rFonts w:ascii="宋体" w:hAnsi="宋体" w:eastAsia="宋体" w:cs="宋体"/>
          <w:szCs w:val="21"/>
        </w:rPr>
      </w:pPr>
      <w:r>
        <w:rPr>
          <w:rFonts w:hint="eastAsia" w:ascii="宋体" w:hAnsi="宋体" w:eastAsia="宋体" w:cs="宋体"/>
          <w:szCs w:val="21"/>
        </w:rPr>
        <w:t>41.成交供应商有下列情形之一的，将被列入不良行为记录名单，在1～3年内禁止参加政府采购活动，并予以通报：</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(1)成交后无正当理由不与采购人签订合同的；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(2)未按照采购文件确定的事项签订政府采购合同，或者与采购人另行订立背离合同实质性内容的协议的；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(3)拒绝履行合同义务的；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(4)《政府采购法》第七十七条和《政府采购法实施条例》第七十二条规定的其他情形；</w:t>
      </w:r>
    </w:p>
    <w:p>
      <w:pPr>
        <w:spacing w:line="500" w:lineRule="exact"/>
        <w:ind w:firstLine="420" w:firstLineChars="200"/>
        <w:rPr>
          <w:rFonts w:ascii="宋体" w:hAnsi="宋体" w:eastAsia="宋体" w:cs="宋体"/>
          <w:szCs w:val="21"/>
        </w:rPr>
      </w:pPr>
      <w:r>
        <w:rPr>
          <w:rFonts w:hint="eastAsia" w:ascii="宋体" w:hAnsi="宋体" w:eastAsia="宋体" w:cs="宋体"/>
          <w:szCs w:val="21"/>
        </w:rPr>
        <w:t>(5)其他违反法律法规相关规定的情形。</w:t>
      </w:r>
    </w:p>
    <w:p>
      <w:pPr>
        <w:spacing w:line="500" w:lineRule="exact"/>
        <w:ind w:firstLine="420" w:firstLineChars="200"/>
        <w:rPr>
          <w:rFonts w:ascii="宋体" w:hAnsi="宋体" w:eastAsia="宋体" w:cs="宋体"/>
          <w:szCs w:val="21"/>
        </w:rPr>
      </w:pPr>
      <w:r>
        <w:rPr>
          <w:rFonts w:hint="eastAsia" w:ascii="宋体" w:hAnsi="宋体" w:eastAsia="宋体" w:cs="宋体"/>
          <w:szCs w:val="21"/>
        </w:rPr>
        <w:t>42.其他规定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42.1　磋商文件的其他规定见磋商须知前附表。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43.未尽事宜</w:t>
      </w:r>
    </w:p>
    <w:p>
      <w:pPr>
        <w:spacing w:line="500" w:lineRule="exact"/>
        <w:ind w:firstLine="420" w:firstLineChars="200"/>
        <w:rPr>
          <w:rFonts w:ascii="宋体" w:hAnsi="宋体" w:eastAsia="宋体" w:cs="宋体"/>
          <w:szCs w:val="21"/>
        </w:rPr>
      </w:pPr>
      <w:r>
        <w:rPr>
          <w:rFonts w:hint="eastAsia" w:ascii="宋体" w:hAnsi="宋体" w:eastAsia="宋体" w:cs="宋体"/>
          <w:szCs w:val="21"/>
        </w:rPr>
        <w:t>43.1　其他未尽事宜按政府采购法律法规的规定执行。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44.文件解释权</w:t>
      </w:r>
    </w:p>
    <w:p>
      <w:pPr>
        <w:spacing w:line="500" w:lineRule="exact"/>
        <w:ind w:firstLine="420" w:firstLineChars="200"/>
        <w:rPr>
          <w:rFonts w:ascii="宋体" w:hAnsi="宋体" w:eastAsia="宋体" w:cs="宋体"/>
          <w:szCs w:val="21"/>
        </w:rPr>
      </w:pPr>
      <w:r>
        <w:rPr>
          <w:rFonts w:hint="eastAsia" w:ascii="宋体" w:hAnsi="宋体" w:eastAsia="宋体" w:cs="宋体"/>
          <w:szCs w:val="21"/>
        </w:rPr>
        <w:t>44.1　本磋商文件的解释权归采购人(或采购代理机构)所有。</w:t>
      </w:r>
    </w:p>
    <w:p>
      <w:pPr>
        <w:widowControl/>
        <w:spacing w:line="360" w:lineRule="auto"/>
        <w:ind w:firstLine="420" w:firstLineChars="200"/>
        <w:jc w:val="left"/>
        <w:rPr>
          <w:rFonts w:cs="宋体" w:asciiTheme="minorEastAsia" w:hAnsiTheme="minorEastAsia"/>
          <w:kern w:val="0"/>
          <w:sz w:val="24"/>
          <w:szCs w:val="24"/>
        </w:rPr>
      </w:pPr>
      <w:r>
        <w:rPr>
          <w:rFonts w:hint="eastAsia" w:ascii="宋体" w:hAnsi="宋体" w:eastAsia="宋体" w:cs="宋体"/>
          <w:szCs w:val="21"/>
        </w:rPr>
        <w:br w:type="page"/>
      </w:r>
    </w:p>
    <w:p>
      <w:pPr>
        <w:keepNext/>
        <w:keepLines/>
        <w:spacing w:before="240" w:after="64" w:line="500" w:lineRule="exact"/>
        <w:jc w:val="center"/>
        <w:outlineLvl w:val="6"/>
        <w:rPr>
          <w:rFonts w:ascii="宋体" w:hAnsi="宋体" w:eastAsia="宋体" w:cs="宋体"/>
          <w:b/>
          <w:bCs/>
          <w:sz w:val="30"/>
          <w:szCs w:val="30"/>
        </w:rPr>
      </w:pPr>
      <w:r>
        <w:rPr>
          <w:rFonts w:hint="eastAsia" w:ascii="宋体" w:hAnsi="宋体" w:eastAsia="宋体" w:cs="宋体"/>
          <w:b/>
          <w:bCs/>
          <w:sz w:val="30"/>
          <w:szCs w:val="30"/>
        </w:rPr>
        <w:t>第三章　评审方法及标准</w:t>
      </w:r>
    </w:p>
    <w:p>
      <w:pPr>
        <w:ind w:firstLine="420" w:firstLineChars="200"/>
        <w:rPr>
          <w:rFonts w:ascii="宋体" w:hAnsi="宋体" w:eastAsia="宋体" w:cs="宋体"/>
          <w:szCs w:val="21"/>
        </w:rPr>
      </w:pPr>
      <w:r>
        <w:rPr>
          <w:rFonts w:hint="eastAsia" w:ascii="宋体" w:hAnsi="宋体" w:eastAsia="宋体" w:cs="宋体"/>
          <w:szCs w:val="21"/>
        </w:rPr>
        <w:t>1.评审方法</w:t>
      </w:r>
    </w:p>
    <w:p>
      <w:pPr>
        <w:ind w:firstLine="420" w:firstLineChars="200"/>
        <w:rPr>
          <w:rFonts w:ascii="宋体" w:hAnsi="宋体" w:eastAsia="宋体" w:cs="宋体"/>
          <w:szCs w:val="21"/>
        </w:rPr>
      </w:pPr>
      <w:r>
        <w:rPr>
          <w:rFonts w:hint="eastAsia" w:ascii="宋体" w:hAnsi="宋体" w:eastAsia="宋体" w:cs="宋体"/>
          <w:szCs w:val="21"/>
        </w:rPr>
        <w:t>1.1评审方法：综合评分法，是指响应文件满足磋商文件全部实质性要求且按评审因素的量化指标评审得分最高的供应商为成交候选供应商的评审方法。</w:t>
      </w:r>
    </w:p>
    <w:p>
      <w:pPr>
        <w:ind w:firstLine="420" w:firstLineChars="200"/>
        <w:rPr>
          <w:rFonts w:hint="eastAsia" w:ascii="宋体" w:hAnsi="宋体" w:eastAsia="宋体" w:cs="宋体"/>
          <w:szCs w:val="21"/>
        </w:rPr>
      </w:pPr>
      <w:r>
        <w:rPr>
          <w:rFonts w:hint="eastAsia" w:ascii="宋体" w:hAnsi="宋体" w:eastAsia="宋体" w:cs="宋体"/>
          <w:szCs w:val="21"/>
        </w:rPr>
        <w:t>2.资格审查</w:t>
      </w:r>
      <w:r>
        <w:rPr>
          <w:rFonts w:ascii="宋体" w:hAnsi="宋体" w:eastAsia="宋体" w:cs="宋体"/>
          <w:szCs w:val="21"/>
        </w:rPr>
        <w:t>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序号</w:t>
            </w:r>
          </w:p>
        </w:tc>
        <w:tc>
          <w:tcPr>
            <w:tcW w:w="85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c>
          <w:tcPr>
            <w:tcW w:w="85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1</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Theme="minorEastAsia" w:hAnsiTheme="minorEastAsia"/>
                <w:color w:val="000000"/>
                <w:szCs w:val="21"/>
              </w:rPr>
              <w:t>提供有效的营业执照</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2</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color w:val="FF0000"/>
                <w:szCs w:val="24"/>
              </w:rPr>
            </w:pPr>
            <w:r>
              <w:rPr>
                <w:rFonts w:hint="eastAsia" w:asciiTheme="minorEastAsia" w:hAnsiTheme="minorEastAsia"/>
                <w:color w:val="000000"/>
                <w:szCs w:val="21"/>
              </w:rPr>
              <w:t>健全的财务制度，能够提供近三年（201</w:t>
            </w:r>
            <w:r>
              <w:rPr>
                <w:rFonts w:asciiTheme="minorEastAsia" w:hAnsiTheme="minorEastAsia"/>
                <w:color w:val="000000"/>
                <w:szCs w:val="21"/>
              </w:rPr>
              <w:t>8</w:t>
            </w:r>
            <w:r>
              <w:rPr>
                <w:rFonts w:hint="eastAsia" w:asciiTheme="minorEastAsia" w:hAnsiTheme="minorEastAsia"/>
                <w:color w:val="000000"/>
                <w:szCs w:val="21"/>
              </w:rPr>
              <w:t xml:space="preserve"> 年-20</w:t>
            </w:r>
            <w:r>
              <w:rPr>
                <w:rFonts w:asciiTheme="minorEastAsia" w:hAnsiTheme="minorEastAsia"/>
                <w:color w:val="000000"/>
                <w:szCs w:val="21"/>
              </w:rPr>
              <w:t>20</w:t>
            </w:r>
            <w:r>
              <w:rPr>
                <w:rFonts w:hint="eastAsia" w:asciiTheme="minorEastAsia" w:hAnsiTheme="minorEastAsia"/>
                <w:color w:val="000000"/>
                <w:szCs w:val="21"/>
              </w:rPr>
              <w:t xml:space="preserve"> 年或 201</w:t>
            </w:r>
            <w:r>
              <w:rPr>
                <w:rFonts w:asciiTheme="minorEastAsia" w:hAnsiTheme="minorEastAsia"/>
                <w:color w:val="000000"/>
                <w:szCs w:val="21"/>
              </w:rPr>
              <w:t>9</w:t>
            </w:r>
            <w:r>
              <w:rPr>
                <w:rFonts w:hint="eastAsia" w:asciiTheme="minorEastAsia" w:hAnsiTheme="minorEastAsia"/>
                <w:color w:val="000000"/>
                <w:szCs w:val="21"/>
              </w:rPr>
              <w:t xml:space="preserve"> 年-202</w:t>
            </w:r>
            <w:r>
              <w:rPr>
                <w:rFonts w:asciiTheme="minorEastAsia" w:hAnsiTheme="minorEastAsia"/>
                <w:color w:val="000000"/>
                <w:szCs w:val="21"/>
              </w:rPr>
              <w:t>1</w:t>
            </w:r>
            <w:r>
              <w:rPr>
                <w:rFonts w:hint="eastAsia" w:asciiTheme="minorEastAsia" w:hAnsiTheme="minorEastAsia"/>
                <w:color w:val="000000"/>
                <w:szCs w:val="21"/>
              </w:rPr>
              <w:t xml:space="preserve"> 年）财务审计报告；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Cs/>
                <w:szCs w:val="24"/>
              </w:rPr>
            </w:pPr>
            <w:r>
              <w:rPr>
                <w:rFonts w:hint="eastAsia" w:ascii="宋体" w:hAnsi="宋体" w:eastAsia="宋体" w:cs="Times New Roman"/>
                <w:bCs/>
                <w:szCs w:val="24"/>
              </w:rPr>
              <w:t>3</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color w:val="000000"/>
                <w:szCs w:val="21"/>
              </w:rPr>
            </w:pPr>
            <w:r>
              <w:rPr>
                <w:rFonts w:hint="eastAsia" w:asciiTheme="minorEastAsia" w:hAnsiTheme="minorEastAsia"/>
                <w:color w:val="000000"/>
                <w:szCs w:val="21"/>
              </w:rPr>
              <w:t>近</w:t>
            </w:r>
            <w:r>
              <w:rPr>
                <w:rFonts w:hint="eastAsia" w:asciiTheme="minorEastAsia" w:hAnsiTheme="minorEastAsia"/>
                <w:color w:val="000000"/>
                <w:szCs w:val="21"/>
                <w:lang w:eastAsia="zh-CN"/>
              </w:rPr>
              <w:t>三</w:t>
            </w:r>
            <w:r>
              <w:rPr>
                <w:rFonts w:hint="eastAsia" w:asciiTheme="minorEastAsia" w:hAnsiTheme="minorEastAsia"/>
                <w:color w:val="000000"/>
                <w:szCs w:val="21"/>
              </w:rPr>
              <w:t>年（20</w:t>
            </w:r>
            <w:r>
              <w:rPr>
                <w:rFonts w:asciiTheme="minorEastAsia" w:hAnsiTheme="minorEastAsia"/>
                <w:color w:val="000000"/>
                <w:szCs w:val="21"/>
              </w:rPr>
              <w:t>19</w:t>
            </w:r>
            <w:r>
              <w:rPr>
                <w:rFonts w:hint="eastAsia" w:asciiTheme="minorEastAsia" w:hAnsiTheme="minorEastAsia"/>
                <w:color w:val="000000"/>
                <w:szCs w:val="21"/>
              </w:rPr>
              <w:t xml:space="preserve"> 年</w:t>
            </w:r>
            <w:r>
              <w:rPr>
                <w:rFonts w:asciiTheme="minorEastAsia" w:hAnsiTheme="minorEastAsia"/>
                <w:color w:val="000000"/>
                <w:szCs w:val="21"/>
              </w:rPr>
              <w:t>5</w:t>
            </w:r>
            <w:r>
              <w:rPr>
                <w:rFonts w:hint="eastAsia" w:asciiTheme="minorEastAsia" w:hAnsiTheme="minorEastAsia"/>
                <w:color w:val="000000"/>
                <w:szCs w:val="21"/>
              </w:rPr>
              <w:t>月1日至今）内承接并完成不少于一项类似监理业绩；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4</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highlight w:val="none"/>
              </w:rPr>
            </w:pPr>
            <w:r>
              <w:rPr>
                <w:rFonts w:hint="eastAsia" w:asciiTheme="minorEastAsia" w:hAnsiTheme="minorEastAsia"/>
                <w:color w:val="000000"/>
                <w:szCs w:val="21"/>
                <w:highlight w:val="none"/>
              </w:rPr>
              <w:t>项目总监理工程师要求具有</w:t>
            </w:r>
            <w:r>
              <w:rPr>
                <w:rFonts w:hint="eastAsia" w:asciiTheme="minorEastAsia" w:hAnsiTheme="minorEastAsia"/>
                <w:color w:val="000000"/>
                <w:szCs w:val="21"/>
                <w:highlight w:val="none"/>
                <w:lang w:val="en-US" w:eastAsia="zh-CN"/>
              </w:rPr>
              <w:t>建筑工程专业注册监理工程师资格证书</w:t>
            </w:r>
            <w:r>
              <w:rPr>
                <w:rFonts w:hint="eastAsia" w:asciiTheme="minorEastAsia" w:hAnsiTheme="minorEastAsia"/>
                <w:color w:val="000000"/>
                <w:szCs w:val="21"/>
                <w:highlight w:val="none"/>
              </w:rPr>
              <w:t>，本单位注册且在有效期内；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5</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ascii="宋体" w:hAnsi="宋体"/>
                <w:kern w:val="0"/>
                <w:szCs w:val="21"/>
              </w:rPr>
              <w:t>在</w:t>
            </w:r>
            <w:r>
              <w:rPr>
                <w:rFonts w:hint="eastAsia" w:ascii="宋体" w:hAnsi="宋体" w:cs="宋体"/>
                <w:kern w:val="0"/>
                <w:szCs w:val="21"/>
              </w:rPr>
              <w:t>“信用中国”</w:t>
            </w:r>
            <w:r>
              <w:rPr>
                <w:rFonts w:hint="eastAsia" w:ascii="宋体" w:hAnsi="宋体" w:cs="宋体"/>
                <w:kern w:val="0"/>
                <w:szCs w:val="21"/>
                <w:lang w:eastAsia="zh-CN"/>
              </w:rPr>
              <w:t>、</w:t>
            </w:r>
            <w:r>
              <w:rPr>
                <w:rFonts w:hint="eastAsia" w:ascii="宋体" w:hAnsi="宋体" w:cs="宋体"/>
                <w:kern w:val="0"/>
                <w:szCs w:val="21"/>
              </w:rPr>
              <w:t>“中国政府采购网”</w:t>
            </w:r>
            <w:r>
              <w:rPr>
                <w:rFonts w:hint="eastAsia" w:ascii="宋体" w:hAnsi="宋体" w:cs="宋体"/>
                <w:kern w:val="0"/>
                <w:szCs w:val="21"/>
                <w:lang w:eastAsia="zh-CN"/>
              </w:rPr>
              <w:t>、</w:t>
            </w:r>
            <w:r>
              <w:rPr>
                <w:rFonts w:hint="eastAsia" w:ascii="宋体" w:hAnsi="宋体" w:cs="宋体"/>
                <w:kern w:val="0"/>
                <w:szCs w:val="21"/>
                <w:lang w:val="en-US" w:eastAsia="zh-CN"/>
              </w:rPr>
              <w:t>“国家企业信用信息公示系统”及“中国裁判文书网”</w:t>
            </w:r>
            <w:r>
              <w:rPr>
                <w:rFonts w:ascii="宋体" w:hAnsi="宋体"/>
                <w:kern w:val="0"/>
                <w:szCs w:val="21"/>
              </w:rPr>
              <w:t>上未被列入失信被执行人、重大税收违法案件当事人名单以及政府采购严重违法失信行为记录名单的供应商</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6</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Theme="minorEastAsia" w:hAnsiTheme="minorEastAsia"/>
                <w:color w:val="000000"/>
                <w:szCs w:val="21"/>
              </w:rPr>
              <w:t>法人代表或其委托代理人应携带本人身份证原件及复印件，委托代理人还应携带《法人代表授权委托书》原件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7</w:t>
            </w:r>
          </w:p>
        </w:tc>
        <w:tc>
          <w:tcPr>
            <w:tcW w:w="85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Times New Roman"/>
                <w:bCs/>
                <w:szCs w:val="24"/>
              </w:rPr>
              <w:t>本项目不接受联合体</w:t>
            </w:r>
            <w:r>
              <w:rPr>
                <w:rFonts w:ascii="宋体" w:hAnsi="宋体" w:eastAsia="宋体" w:cs="Times New Roman"/>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8</w:t>
            </w:r>
          </w:p>
        </w:tc>
        <w:tc>
          <w:tcPr>
            <w:tcW w:w="85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Cs/>
                <w:szCs w:val="24"/>
              </w:rPr>
            </w:pPr>
            <w:r>
              <w:rPr>
                <w:rFonts w:ascii="宋体" w:hAnsi="宋体"/>
                <w:kern w:val="0"/>
                <w:szCs w:val="21"/>
              </w:rPr>
              <w:t>投标人须在招标文件规定时间内按照投标人须知前附表规定缴纳投标保证金，投标人若未按招标文件要求缴纳投标保证金的，其投标文件将被拒绝。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备注</w:t>
            </w:r>
          </w:p>
        </w:tc>
        <w:tc>
          <w:tcPr>
            <w:tcW w:w="85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Cs w:val="24"/>
              </w:rPr>
            </w:pPr>
            <w:r>
              <w:rPr>
                <w:rFonts w:hint="eastAsia" w:ascii="宋体" w:hAnsi="宋体" w:eastAsia="宋体" w:cs="Times New Roman"/>
                <w:bCs/>
                <w:szCs w:val="24"/>
              </w:rPr>
              <w:t>再次重申：投标人请认真阅读和理解上述内容，避免投标文件中有违背上述审查标准之一的情况发生而造成废标。</w:t>
            </w:r>
          </w:p>
        </w:tc>
      </w:tr>
    </w:tbl>
    <w:p>
      <w:pPr>
        <w:ind w:firstLine="420" w:firstLineChars="200"/>
        <w:rPr>
          <w:rFonts w:hint="eastAsia" w:ascii="宋体" w:hAnsi="宋体"/>
          <w:bCs/>
        </w:rPr>
      </w:pPr>
    </w:p>
    <w:p>
      <w:pPr>
        <w:ind w:firstLine="420" w:firstLineChars="200"/>
        <w:rPr>
          <w:rFonts w:ascii="宋体" w:hAnsi="宋体" w:eastAsia="宋体" w:cs="宋体"/>
          <w:szCs w:val="21"/>
        </w:rPr>
      </w:pPr>
      <w:r>
        <w:rPr>
          <w:rFonts w:hint="eastAsia" w:ascii="宋体" w:hAnsi="宋体"/>
          <w:bCs/>
        </w:rPr>
        <w:t>备注：如果投标文件中有一项未通过审查标准，评标委员会将认定整个投标文件不响应磋商文件而予以废标，并且不允许投标人通过修改或撤销其不符合要求的差异或保留，使之成为具有响应性的投标。</w:t>
      </w: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ind w:firstLine="420" w:firstLineChars="200"/>
        <w:jc w:val="left"/>
        <w:rPr>
          <w:rFonts w:hint="eastAsia" w:ascii="宋体" w:hAnsi="宋体" w:eastAsia="宋体" w:cs="Times New Roman"/>
          <w:bCs/>
          <w:szCs w:val="24"/>
        </w:rPr>
      </w:pPr>
    </w:p>
    <w:p>
      <w:pPr>
        <w:spacing w:line="440" w:lineRule="exact"/>
        <w:jc w:val="left"/>
        <w:rPr>
          <w:rFonts w:hint="eastAsia" w:ascii="宋体" w:hAnsi="宋体" w:eastAsia="宋体" w:cs="Times New Roman"/>
          <w:bCs/>
          <w:szCs w:val="24"/>
        </w:rPr>
      </w:pPr>
    </w:p>
    <w:p>
      <w:pPr>
        <w:pStyle w:val="2"/>
        <w:rPr>
          <w:rFonts w:hint="eastAsia"/>
        </w:rPr>
      </w:pPr>
    </w:p>
    <w:p>
      <w:pPr>
        <w:spacing w:line="440" w:lineRule="exact"/>
        <w:ind w:firstLine="420" w:firstLineChars="200"/>
        <w:jc w:val="left"/>
        <w:rPr>
          <w:rFonts w:ascii="宋体" w:hAnsi="宋体" w:eastAsia="宋体" w:cs="Times New Roman"/>
          <w:bCs/>
          <w:szCs w:val="24"/>
        </w:rPr>
      </w:pPr>
      <w:r>
        <w:rPr>
          <w:rFonts w:hint="eastAsia" w:ascii="宋体" w:hAnsi="宋体" w:eastAsia="宋体" w:cs="Times New Roman"/>
          <w:bCs/>
          <w:szCs w:val="24"/>
        </w:rPr>
        <w:t>3.初步审查标准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序号</w:t>
            </w:r>
          </w:p>
        </w:tc>
        <w:tc>
          <w:tcPr>
            <w:tcW w:w="77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c>
          <w:tcPr>
            <w:tcW w:w="77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1</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宋体" w:hAnsi="宋体"/>
              </w:rPr>
              <w:t>磋商报价文件要求加盖供应商章、法定代表人章处未加盖印章的；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2</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color w:val="FF0000"/>
                <w:szCs w:val="24"/>
              </w:rPr>
            </w:pPr>
            <w:r>
              <w:rPr>
                <w:rFonts w:ascii="宋体" w:hAnsi="宋体"/>
                <w:szCs w:val="21"/>
              </w:rPr>
              <w:t>供应商的法定代表人授权他人进行</w:t>
            </w:r>
            <w:r>
              <w:rPr>
                <w:rFonts w:hint="eastAsia" w:ascii="宋体" w:hAnsi="宋体"/>
                <w:szCs w:val="21"/>
              </w:rPr>
              <w:t>磋商</w:t>
            </w:r>
            <w:r>
              <w:rPr>
                <w:rFonts w:ascii="宋体" w:hAnsi="宋体"/>
                <w:szCs w:val="21"/>
              </w:rPr>
              <w:t>时，其授权委托书无效的；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3</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ascii="宋体" w:hAnsi="宋体"/>
                <w:szCs w:val="21"/>
              </w:rPr>
              <w:t>竞争性</w:t>
            </w:r>
            <w:r>
              <w:rPr>
                <w:rFonts w:hint="eastAsia" w:ascii="宋体" w:hAnsi="宋体"/>
                <w:szCs w:val="21"/>
              </w:rPr>
              <w:t>磋商</w:t>
            </w:r>
            <w:r>
              <w:rPr>
                <w:rFonts w:ascii="宋体" w:hAnsi="宋体"/>
                <w:szCs w:val="21"/>
              </w:rPr>
              <w:t>报价文件与竞争性</w:t>
            </w:r>
            <w:r>
              <w:rPr>
                <w:rFonts w:hint="eastAsia" w:ascii="宋体" w:hAnsi="宋体"/>
                <w:szCs w:val="21"/>
              </w:rPr>
              <w:t>磋商</w:t>
            </w:r>
            <w:r>
              <w:rPr>
                <w:rFonts w:ascii="宋体" w:hAnsi="宋体"/>
                <w:szCs w:val="21"/>
              </w:rPr>
              <w:t>文件要求存在重大偏离的，特别在</w:t>
            </w:r>
            <w:r>
              <w:rPr>
                <w:rFonts w:hint="eastAsia" w:ascii="宋体" w:hAnsi="宋体"/>
                <w:szCs w:val="21"/>
              </w:rPr>
              <w:t>采购</w:t>
            </w:r>
            <w:r>
              <w:rPr>
                <w:rFonts w:ascii="宋体" w:hAnsi="宋体"/>
                <w:szCs w:val="21"/>
              </w:rPr>
              <w:t>范围、</w:t>
            </w:r>
            <w:r>
              <w:rPr>
                <w:rFonts w:hint="eastAsia" w:ascii="宋体" w:hAnsi="宋体"/>
                <w:szCs w:val="21"/>
              </w:rPr>
              <w:t>服务周期</w:t>
            </w:r>
            <w:r>
              <w:rPr>
                <w:rFonts w:ascii="宋体" w:hAnsi="宋体"/>
                <w:szCs w:val="21"/>
              </w:rPr>
              <w:t>等方面有重大改变的；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4</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ascii="宋体" w:hAnsi="宋体"/>
                <w:szCs w:val="21"/>
              </w:rPr>
              <w:t>竞争性</w:t>
            </w:r>
            <w:r>
              <w:rPr>
                <w:rFonts w:hint="eastAsia" w:ascii="宋体" w:hAnsi="宋体"/>
                <w:szCs w:val="21"/>
              </w:rPr>
              <w:t>磋商</w:t>
            </w:r>
            <w:r>
              <w:rPr>
                <w:rFonts w:ascii="宋体" w:hAnsi="宋体"/>
                <w:szCs w:val="21"/>
              </w:rPr>
              <w:t>报价文件未按规定的格式填写，内容不全或关键字迹模糊无法辨认的；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5</w:t>
            </w:r>
          </w:p>
        </w:tc>
        <w:tc>
          <w:tcPr>
            <w:tcW w:w="77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ascii="宋体" w:hAnsi="宋体"/>
                <w:szCs w:val="21"/>
              </w:rPr>
              <w:t>供应商递交多份内容不同的竞争性</w:t>
            </w:r>
            <w:r>
              <w:rPr>
                <w:rFonts w:hint="eastAsia" w:ascii="宋体" w:hAnsi="宋体"/>
                <w:szCs w:val="21"/>
                <w:lang w:eastAsia="zh-CN"/>
              </w:rPr>
              <w:t>磋商</w:t>
            </w:r>
            <w:r>
              <w:rPr>
                <w:rFonts w:ascii="宋体" w:hAnsi="宋体"/>
                <w:szCs w:val="21"/>
              </w:rPr>
              <w:t>报价文件，或存在多份报价；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6</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宋体" w:hAnsi="宋体"/>
              </w:rPr>
              <w:t>服务承诺未提供的；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7</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宋体" w:hAnsi="宋体"/>
              </w:rPr>
              <w:t>磋商报价文件不符合磋商文件实质性要求的；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8</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ascii="宋体" w:hAnsi="宋体"/>
                <w:szCs w:val="21"/>
              </w:rPr>
              <w:t>供应商的</w:t>
            </w:r>
            <w:r>
              <w:rPr>
                <w:rFonts w:hint="eastAsia" w:ascii="宋体" w:hAnsi="宋体"/>
                <w:szCs w:val="21"/>
              </w:rPr>
              <w:t>磋商</w:t>
            </w:r>
            <w:r>
              <w:rPr>
                <w:rFonts w:ascii="宋体" w:hAnsi="宋体"/>
                <w:szCs w:val="21"/>
              </w:rPr>
              <w:t>报价经</w:t>
            </w:r>
            <w:r>
              <w:rPr>
                <w:rFonts w:hint="eastAsia" w:ascii="宋体" w:hAnsi="宋体"/>
                <w:szCs w:val="21"/>
                <w:lang w:eastAsia="zh-CN"/>
              </w:rPr>
              <w:t>磋商</w:t>
            </w:r>
            <w:r>
              <w:rPr>
                <w:rFonts w:hint="eastAsia" w:ascii="宋体" w:hAnsi="宋体"/>
                <w:szCs w:val="21"/>
              </w:rPr>
              <w:t>小组</w:t>
            </w:r>
            <w:r>
              <w:rPr>
                <w:rFonts w:ascii="宋体" w:hAnsi="宋体"/>
                <w:szCs w:val="21"/>
              </w:rPr>
              <w:t>认定低于成本竞价的；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9</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rPr>
              <w:t>磋商保证金缴纳凭证未提供的；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备注</w:t>
            </w:r>
          </w:p>
        </w:tc>
        <w:tc>
          <w:tcPr>
            <w:tcW w:w="77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Cs w:val="24"/>
              </w:rPr>
            </w:pPr>
            <w:r>
              <w:rPr>
                <w:rFonts w:hint="eastAsia" w:ascii="宋体" w:hAnsi="宋体" w:eastAsia="宋体" w:cs="Times New Roman"/>
                <w:bCs/>
                <w:szCs w:val="24"/>
              </w:rPr>
              <w:t>再次重申：投标人请认真阅读和理解上述内容，避免投标文件中有违背上述审查标准之一的情况发生而造成废标。</w:t>
            </w:r>
          </w:p>
        </w:tc>
      </w:tr>
    </w:tbl>
    <w:p>
      <w:pPr>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b/>
        </w:rPr>
        <w:t>　</w:t>
      </w:r>
      <w:r>
        <w:rPr>
          <w:rFonts w:hint="eastAsia" w:ascii="宋体" w:hAnsi="宋体"/>
          <w:bCs/>
        </w:rPr>
        <w:t>备注：如果投标文件中有一项未通过审查标准，评标委员会将认定整个投标文件不响应磋商文件而予以废标，并且不允许投标人通过修改或撤销其不符合要求的差异或保留，使之成为具有响应性的投标。</w:t>
      </w:r>
    </w:p>
    <w:p>
      <w:pPr>
        <w:ind w:firstLine="420" w:firstLineChars="200"/>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4.评分标准</w:t>
      </w:r>
    </w:p>
    <w:p>
      <w:pPr>
        <w:ind w:firstLine="420" w:firstLineChars="200"/>
        <w:rPr>
          <w:rFonts w:ascii="宋体" w:hAnsi="宋体" w:eastAsia="宋体" w:cs="宋体"/>
          <w:szCs w:val="21"/>
        </w:rPr>
      </w:pPr>
    </w:p>
    <w:tbl>
      <w:tblPr>
        <w:tblStyle w:val="20"/>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14"/>
        <w:gridCol w:w="5567"/>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rPr>
                <w:rFonts w:ascii="宋体" w:hAnsi="宋体" w:eastAsia="宋体" w:cs="宋体"/>
                <w:szCs w:val="21"/>
              </w:rPr>
            </w:pPr>
            <w:r>
              <w:rPr>
                <w:rFonts w:hint="eastAsia" w:ascii="宋体" w:hAnsi="宋体" w:eastAsia="宋体" w:cs="宋体"/>
                <w:szCs w:val="21"/>
              </w:rPr>
              <w:t>序号</w:t>
            </w:r>
          </w:p>
        </w:tc>
        <w:tc>
          <w:tcPr>
            <w:tcW w:w="1414" w:type="dxa"/>
            <w:vAlign w:val="center"/>
          </w:tcPr>
          <w:p>
            <w:pPr>
              <w:rPr>
                <w:rFonts w:ascii="宋体" w:hAnsi="宋体" w:eastAsia="宋体" w:cs="宋体"/>
                <w:szCs w:val="21"/>
              </w:rPr>
            </w:pPr>
            <w:r>
              <w:rPr>
                <w:rFonts w:hint="eastAsia" w:ascii="宋体" w:hAnsi="宋体" w:eastAsia="宋体" w:cs="宋体"/>
                <w:szCs w:val="21"/>
              </w:rPr>
              <w:t>评分因素</w:t>
            </w:r>
          </w:p>
        </w:tc>
        <w:tc>
          <w:tcPr>
            <w:tcW w:w="5567" w:type="dxa"/>
            <w:vAlign w:val="center"/>
          </w:tcPr>
          <w:p>
            <w:pPr>
              <w:rPr>
                <w:rFonts w:ascii="宋体" w:hAnsi="宋体" w:eastAsia="宋体" w:cs="宋体"/>
                <w:szCs w:val="21"/>
              </w:rPr>
            </w:pPr>
            <w:r>
              <w:rPr>
                <w:rFonts w:hint="eastAsia" w:ascii="宋体" w:hAnsi="宋体" w:eastAsia="宋体" w:cs="宋体"/>
                <w:szCs w:val="21"/>
              </w:rPr>
              <w:t>评审内容</w:t>
            </w:r>
          </w:p>
        </w:tc>
        <w:tc>
          <w:tcPr>
            <w:tcW w:w="923" w:type="dxa"/>
            <w:vAlign w:val="center"/>
          </w:tcPr>
          <w:p>
            <w:pPr>
              <w:rPr>
                <w:rFonts w:ascii="宋体" w:hAnsi="宋体" w:eastAsia="宋体" w:cs="宋体"/>
                <w:szCs w:val="21"/>
              </w:rPr>
            </w:pPr>
            <w:r>
              <w:rPr>
                <w:rFonts w:hint="eastAsia" w:ascii="宋体" w:hAnsi="宋体" w:eastAsia="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076" w:type="dxa"/>
            <w:vAlign w:val="center"/>
          </w:tcPr>
          <w:p>
            <w:pPr>
              <w:rPr>
                <w:rFonts w:ascii="宋体" w:hAnsi="宋体" w:eastAsia="宋体" w:cs="宋体"/>
                <w:szCs w:val="21"/>
              </w:rPr>
            </w:pPr>
            <w:r>
              <w:rPr>
                <w:rFonts w:hint="eastAsia" w:ascii="宋体" w:hAnsi="宋体" w:eastAsia="宋体" w:cs="宋体"/>
                <w:szCs w:val="21"/>
              </w:rPr>
              <w:t>价格部分</w:t>
            </w:r>
          </w:p>
          <w:p>
            <w:pPr>
              <w:rPr>
                <w:rFonts w:ascii="宋体" w:hAnsi="宋体" w:eastAsia="宋体" w:cs="宋体"/>
                <w:szCs w:val="21"/>
              </w:rPr>
            </w:pPr>
            <w:r>
              <w:rPr>
                <w:rFonts w:hint="eastAsia" w:ascii="宋体" w:hAnsi="宋体" w:eastAsia="宋体" w:cs="宋体"/>
                <w:szCs w:val="21"/>
              </w:rPr>
              <w:t>（10分）</w:t>
            </w:r>
          </w:p>
        </w:tc>
        <w:tc>
          <w:tcPr>
            <w:tcW w:w="1414" w:type="dxa"/>
            <w:vAlign w:val="center"/>
          </w:tcPr>
          <w:p>
            <w:pPr>
              <w:ind w:firstLine="315" w:firstLineChars="150"/>
              <w:jc w:val="center"/>
              <w:rPr>
                <w:rFonts w:ascii="宋体" w:hAnsi="宋体" w:eastAsia="宋体" w:cs="宋体"/>
                <w:szCs w:val="21"/>
              </w:rPr>
            </w:pPr>
            <w:r>
              <w:rPr>
                <w:rFonts w:hint="eastAsia" w:ascii="宋体" w:hAnsi="宋体" w:eastAsia="宋体" w:cs="宋体"/>
                <w:szCs w:val="21"/>
              </w:rPr>
              <w:t>价格</w:t>
            </w:r>
          </w:p>
        </w:tc>
        <w:tc>
          <w:tcPr>
            <w:tcW w:w="5567" w:type="dxa"/>
            <w:vAlign w:val="center"/>
          </w:tcPr>
          <w:p>
            <w:pPr>
              <w:rPr>
                <w:rFonts w:ascii="宋体" w:hAnsi="宋体" w:eastAsia="宋体" w:cs="宋体"/>
                <w:szCs w:val="21"/>
              </w:rPr>
            </w:pPr>
            <w:r>
              <w:rPr>
                <w:rFonts w:hint="eastAsia" w:ascii="宋体" w:hAnsi="宋体" w:eastAsia="宋体" w:cs="宋体"/>
                <w:szCs w:val="21"/>
              </w:rPr>
              <w:t>磋商报价得分＝(磋商基准价/最后磋商报价)×价格分值</w:t>
            </w:r>
          </w:p>
          <w:p>
            <w:pPr>
              <w:rPr>
                <w:rFonts w:ascii="宋体" w:hAnsi="宋体" w:eastAsia="宋体" w:cs="宋体"/>
                <w:szCs w:val="21"/>
                <w:highlight w:val="yellow"/>
              </w:rPr>
            </w:pPr>
            <w:r>
              <w:rPr>
                <w:rFonts w:hint="eastAsia" w:ascii="宋体" w:hAnsi="宋体" w:eastAsia="宋体" w:cs="宋体"/>
                <w:szCs w:val="21"/>
              </w:rPr>
              <w:t>磋商基准价为满足磋商文件要求且最后报价最低的供应商的价格</w:t>
            </w:r>
          </w:p>
        </w:tc>
        <w:tc>
          <w:tcPr>
            <w:tcW w:w="923" w:type="dxa"/>
            <w:vAlign w:val="center"/>
          </w:tcPr>
          <w:p>
            <w:pPr>
              <w:jc w:val="center"/>
              <w:rPr>
                <w:rFonts w:ascii="宋体" w:hAnsi="宋体" w:eastAsia="宋体" w:cs="宋体"/>
                <w:szCs w:val="21"/>
              </w:rPr>
            </w:pPr>
            <w:r>
              <w:rPr>
                <w:rFonts w:hint="eastAsia" w:ascii="宋体" w:hAnsi="宋体" w:eastAsia="宋体" w:cs="宋体"/>
                <w:szCs w:val="21"/>
              </w:rPr>
              <w:t>10</w:t>
            </w:r>
          </w:p>
        </w:tc>
      </w:tr>
    </w:tbl>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hint="eastAsia" w:ascii="宋体" w:hAnsi="宋体" w:eastAsia="宋体" w:cs="Times New Roman"/>
          <w:b/>
          <w:bCs/>
          <w:sz w:val="24"/>
          <w:szCs w:val="24"/>
          <w:shd w:val="clear" w:color="auto" w:fill="FFFFFF"/>
        </w:rPr>
      </w:pPr>
    </w:p>
    <w:p>
      <w:pPr>
        <w:spacing w:line="500" w:lineRule="exact"/>
        <w:jc w:val="center"/>
        <w:rPr>
          <w:rFonts w:ascii="宋体" w:hAnsi="宋体" w:eastAsia="宋体" w:cs="Times New Roman"/>
          <w:b/>
          <w:bCs/>
          <w:sz w:val="24"/>
          <w:szCs w:val="24"/>
          <w:shd w:val="clear" w:color="auto" w:fill="FFFFFF"/>
        </w:rPr>
      </w:pPr>
      <w:r>
        <w:rPr>
          <w:rFonts w:hint="eastAsia" w:ascii="宋体" w:hAnsi="宋体" w:eastAsia="宋体" w:cs="Times New Roman"/>
          <w:b/>
          <w:bCs/>
          <w:sz w:val="24"/>
          <w:szCs w:val="24"/>
          <w:shd w:val="clear" w:color="auto" w:fill="FFFFFF"/>
        </w:rPr>
        <w:t>商务、</w:t>
      </w:r>
      <w:r>
        <w:rPr>
          <w:rFonts w:ascii="宋体" w:hAnsi="宋体" w:eastAsia="宋体" w:cs="Times New Roman"/>
          <w:b/>
          <w:bCs/>
          <w:sz w:val="24"/>
          <w:szCs w:val="24"/>
          <w:shd w:val="clear" w:color="auto" w:fill="FFFFFF"/>
        </w:rPr>
        <w:t>技术部分评分</w:t>
      </w:r>
      <w:r>
        <w:rPr>
          <w:rFonts w:hint="eastAsia" w:ascii="宋体" w:hAnsi="宋体" w:eastAsia="宋体" w:cs="Times New Roman"/>
          <w:b/>
          <w:bCs/>
          <w:sz w:val="24"/>
          <w:szCs w:val="24"/>
          <w:shd w:val="clear" w:color="auto" w:fill="FFFFFF"/>
        </w:rPr>
        <w:t>标准（90分）</w:t>
      </w:r>
    </w:p>
    <w:tbl>
      <w:tblPr>
        <w:tblStyle w:val="20"/>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10"/>
        <w:gridCol w:w="652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098" w:type="dxa"/>
            <w:vAlign w:val="center"/>
          </w:tcPr>
          <w:p>
            <w:pPr>
              <w:adjustRightInd w:val="0"/>
              <w:snapToGrid w:val="0"/>
              <w:spacing w:line="440" w:lineRule="exact"/>
              <w:jc w:val="center"/>
              <w:rPr>
                <w:rFonts w:ascii="宋体" w:hAnsi="宋体" w:eastAsia="宋体" w:cs="Times New Roman"/>
                <w:sz w:val="24"/>
                <w:szCs w:val="24"/>
              </w:rPr>
            </w:pPr>
            <w:bookmarkStart w:id="34" w:name="OLE_LINK2"/>
            <w:r>
              <w:rPr>
                <w:rFonts w:hint="eastAsia" w:ascii="宋体" w:hAnsi="宋体" w:eastAsia="宋体" w:cs="Times New Roman"/>
                <w:sz w:val="24"/>
                <w:szCs w:val="24"/>
              </w:rPr>
              <w:t>评分项目</w:t>
            </w:r>
          </w:p>
        </w:tc>
        <w:tc>
          <w:tcPr>
            <w:tcW w:w="1210" w:type="dxa"/>
            <w:vAlign w:val="center"/>
          </w:tcPr>
          <w:p>
            <w:pPr>
              <w:widowControl/>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评分内容</w:t>
            </w:r>
          </w:p>
        </w:tc>
        <w:tc>
          <w:tcPr>
            <w:tcW w:w="6520" w:type="dxa"/>
            <w:vAlign w:val="center"/>
          </w:tcPr>
          <w:p>
            <w:pPr>
              <w:adjustRightInd w:val="0"/>
              <w:snapToGrid w:val="0"/>
              <w:spacing w:line="440" w:lineRule="exact"/>
              <w:jc w:val="center"/>
              <w:rPr>
                <w:rFonts w:ascii="宋体" w:hAnsi="宋体" w:eastAsia="宋体" w:cs="Times New Roman"/>
                <w:sz w:val="24"/>
                <w:szCs w:val="24"/>
              </w:rPr>
            </w:pPr>
            <w:r>
              <w:rPr>
                <w:rFonts w:hint="eastAsia" w:ascii="宋体" w:hAnsi="宋体" w:eastAsia="宋体" w:cs="Times New Roman"/>
                <w:sz w:val="24"/>
                <w:szCs w:val="24"/>
              </w:rPr>
              <w:t>评分标准</w:t>
            </w:r>
          </w:p>
        </w:tc>
        <w:tc>
          <w:tcPr>
            <w:tcW w:w="1059" w:type="dxa"/>
          </w:tcPr>
          <w:p>
            <w:pPr>
              <w:adjustRightInd w:val="0"/>
              <w:snapToGrid w:val="0"/>
              <w:spacing w:line="440" w:lineRule="exact"/>
              <w:jc w:val="center"/>
              <w:rPr>
                <w:rFonts w:ascii="宋体" w:hAnsi="宋体" w:eastAsia="宋体" w:cs="Times New Roman"/>
                <w:sz w:val="24"/>
                <w:szCs w:val="24"/>
              </w:rPr>
            </w:pPr>
            <w:r>
              <w:rPr>
                <w:rFonts w:hint="eastAsia" w:ascii="宋体" w:hAnsi="宋体" w:eastAsia="宋体" w:cs="Times New Roman"/>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1098" w:type="dxa"/>
            <w:vMerge w:val="restart"/>
            <w:vAlign w:val="center"/>
          </w:tcPr>
          <w:p>
            <w:pPr>
              <w:rPr>
                <w:rFonts w:ascii="宋体" w:hAnsi="宋体" w:eastAsia="宋体" w:cs="宋体"/>
                <w:szCs w:val="21"/>
              </w:rPr>
            </w:pPr>
            <w:bookmarkStart w:id="55" w:name="_GoBack"/>
            <w:r>
              <w:rPr>
                <w:rFonts w:hint="eastAsia" w:ascii="宋体" w:hAnsi="宋体" w:eastAsia="宋体" w:cs="宋体"/>
                <w:szCs w:val="21"/>
              </w:rPr>
              <w:t>商务、</w:t>
            </w:r>
            <w:r>
              <w:rPr>
                <w:rFonts w:hint="eastAsia" w:ascii="宋体" w:hAnsi="宋体" w:eastAsia="宋体" w:cs="Times New Roman"/>
                <w:szCs w:val="21"/>
              </w:rPr>
              <w:t>技</w:t>
            </w:r>
            <w:bookmarkEnd w:id="55"/>
            <w:r>
              <w:rPr>
                <w:rFonts w:hint="eastAsia" w:ascii="宋体" w:hAnsi="宋体" w:eastAsia="宋体" w:cs="Times New Roman"/>
                <w:szCs w:val="21"/>
              </w:rPr>
              <w:t>术</w:t>
            </w:r>
            <w:r>
              <w:rPr>
                <w:rFonts w:hint="eastAsia" w:ascii="宋体" w:hAnsi="宋体" w:eastAsia="宋体" w:cs="宋体"/>
                <w:szCs w:val="21"/>
              </w:rPr>
              <w:t>部分（90分）</w:t>
            </w:r>
          </w:p>
          <w:p>
            <w:pPr>
              <w:adjustRightInd w:val="0"/>
              <w:snapToGrid w:val="0"/>
              <w:spacing w:line="360" w:lineRule="exact"/>
              <w:jc w:val="left"/>
              <w:rPr>
                <w:rFonts w:ascii="宋体" w:hAnsi="宋体" w:eastAsia="宋体" w:cs="宋体"/>
                <w:szCs w:val="21"/>
              </w:rPr>
            </w:pPr>
          </w:p>
        </w:tc>
        <w:tc>
          <w:tcPr>
            <w:tcW w:w="1210" w:type="dxa"/>
            <w:vAlign w:val="center"/>
          </w:tcPr>
          <w:p>
            <w:pPr>
              <w:jc w:val="center"/>
              <w:rPr>
                <w:rFonts w:asciiTheme="minorEastAsia" w:hAnsiTheme="minorEastAsia"/>
                <w:spacing w:val="-2"/>
                <w:szCs w:val="21"/>
              </w:rPr>
            </w:pPr>
            <w:r>
              <w:rPr>
                <w:rFonts w:hint="eastAsia" w:asciiTheme="minorEastAsia" w:hAnsiTheme="minorEastAsia"/>
                <w:spacing w:val="-2"/>
                <w:szCs w:val="21"/>
              </w:rPr>
              <w:t>本项目的总监理工程师的业绩（12 分）</w:t>
            </w:r>
          </w:p>
        </w:tc>
        <w:tc>
          <w:tcPr>
            <w:tcW w:w="6520" w:type="dxa"/>
          </w:tcPr>
          <w:p>
            <w:pPr>
              <w:rPr>
                <w:rFonts w:asciiTheme="minorEastAsia" w:hAnsiTheme="minorEastAsia"/>
                <w:spacing w:val="-2"/>
                <w:szCs w:val="21"/>
              </w:rPr>
            </w:pPr>
            <w:r>
              <w:rPr>
                <w:rFonts w:hint="eastAsia" w:asciiTheme="minorEastAsia" w:hAnsiTheme="minorEastAsia"/>
                <w:spacing w:val="-2"/>
                <w:szCs w:val="21"/>
              </w:rPr>
              <w:t>项目总监近三年（201</w:t>
            </w:r>
            <w:r>
              <w:rPr>
                <w:rFonts w:asciiTheme="minorEastAsia" w:hAnsiTheme="minorEastAsia"/>
                <w:spacing w:val="-2"/>
                <w:szCs w:val="21"/>
              </w:rPr>
              <w:t>9</w:t>
            </w:r>
            <w:r>
              <w:rPr>
                <w:rFonts w:hint="eastAsia" w:asciiTheme="minorEastAsia" w:hAnsiTheme="minorEastAsia"/>
                <w:spacing w:val="-2"/>
                <w:szCs w:val="21"/>
              </w:rPr>
              <w:t>年</w:t>
            </w:r>
            <w:r>
              <w:rPr>
                <w:rFonts w:asciiTheme="minorEastAsia" w:hAnsiTheme="minorEastAsia"/>
                <w:spacing w:val="-2"/>
                <w:szCs w:val="21"/>
              </w:rPr>
              <w:t>5</w:t>
            </w:r>
            <w:r>
              <w:rPr>
                <w:rFonts w:hint="eastAsia" w:asciiTheme="minorEastAsia" w:hAnsiTheme="minorEastAsia"/>
                <w:spacing w:val="-2"/>
                <w:szCs w:val="21"/>
              </w:rPr>
              <w:t>月</w:t>
            </w:r>
            <w:r>
              <w:rPr>
                <w:rFonts w:asciiTheme="minorEastAsia" w:hAnsiTheme="minorEastAsia"/>
                <w:spacing w:val="-2"/>
                <w:szCs w:val="21"/>
              </w:rPr>
              <w:t>1</w:t>
            </w:r>
            <w:r>
              <w:rPr>
                <w:rFonts w:hint="eastAsia" w:asciiTheme="minorEastAsia" w:hAnsiTheme="minorEastAsia"/>
                <w:spacing w:val="-2"/>
                <w:szCs w:val="21"/>
              </w:rPr>
              <w:t>日-至今）担任过的工程监理项目总监理工程师，每提供一项类似工程监理业绩证明材料的得</w:t>
            </w:r>
            <w:r>
              <w:rPr>
                <w:rFonts w:asciiTheme="minorEastAsia" w:hAnsiTheme="minorEastAsia"/>
                <w:spacing w:val="-2"/>
                <w:szCs w:val="21"/>
              </w:rPr>
              <w:t>3</w:t>
            </w:r>
            <w:r>
              <w:rPr>
                <w:rFonts w:hint="eastAsia" w:asciiTheme="minorEastAsia" w:hAnsiTheme="minorEastAsia"/>
                <w:spacing w:val="-2"/>
                <w:szCs w:val="21"/>
              </w:rPr>
              <w:t>分（投资额</w:t>
            </w:r>
            <w:r>
              <w:rPr>
                <w:rFonts w:asciiTheme="minorEastAsia" w:hAnsiTheme="minorEastAsia"/>
                <w:spacing w:val="-2"/>
                <w:szCs w:val="21"/>
              </w:rPr>
              <w:t>1000</w:t>
            </w:r>
            <w:r>
              <w:rPr>
                <w:rFonts w:hint="eastAsia" w:asciiTheme="minorEastAsia" w:hAnsiTheme="minorEastAsia"/>
                <w:spacing w:val="-2"/>
                <w:szCs w:val="21"/>
              </w:rPr>
              <w:t>万以上业绩每项得</w:t>
            </w:r>
            <w:r>
              <w:rPr>
                <w:rFonts w:asciiTheme="minorEastAsia" w:hAnsiTheme="minorEastAsia"/>
                <w:spacing w:val="-2"/>
                <w:szCs w:val="21"/>
              </w:rPr>
              <w:t>6</w:t>
            </w:r>
            <w:r>
              <w:rPr>
                <w:rFonts w:hint="eastAsia" w:asciiTheme="minorEastAsia" w:hAnsiTheme="minorEastAsia"/>
                <w:spacing w:val="-2"/>
                <w:szCs w:val="21"/>
              </w:rPr>
              <w:t>分），最多得12分。</w:t>
            </w:r>
          </w:p>
          <w:p>
            <w:pPr>
              <w:rPr>
                <w:rFonts w:asciiTheme="minorEastAsia" w:hAnsiTheme="minorEastAsia"/>
                <w:spacing w:val="-2"/>
                <w:szCs w:val="21"/>
              </w:rPr>
            </w:pPr>
            <w:r>
              <w:rPr>
                <w:rFonts w:hint="eastAsia" w:asciiTheme="minorEastAsia" w:hAnsiTheme="minorEastAsia"/>
                <w:spacing w:val="-2"/>
                <w:szCs w:val="21"/>
              </w:rPr>
              <w:t>注：业绩证明材料须提供中标通知书及监理合同清晰版扫描件，且材料须反应项目总监理工程师信息，提供不全或内容不清晰或未提供者不予计算，提供近半年内连续三个月社保证明。</w:t>
            </w:r>
          </w:p>
        </w:tc>
        <w:tc>
          <w:tcPr>
            <w:tcW w:w="1059" w:type="dxa"/>
            <w:vAlign w:val="center"/>
          </w:tcPr>
          <w:p>
            <w:pPr>
              <w:jc w:val="center"/>
              <w:rPr>
                <w:rFonts w:cs="宋体" w:asciiTheme="minorEastAsia" w:hAnsiTheme="minorEastAsia"/>
                <w:szCs w:val="21"/>
              </w:rPr>
            </w:pPr>
            <w:r>
              <w:rPr>
                <w:rFonts w:cs="宋体" w:asciiTheme="minorEastAsia" w:hAnsiTheme="minorEastAsia"/>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1098" w:type="dxa"/>
            <w:vMerge w:val="continue"/>
            <w:vAlign w:val="center"/>
          </w:tcPr>
          <w:p>
            <w:pPr>
              <w:adjustRightInd w:val="0"/>
              <w:snapToGrid w:val="0"/>
              <w:spacing w:line="360" w:lineRule="exact"/>
              <w:jc w:val="left"/>
              <w:rPr>
                <w:rFonts w:ascii="宋体" w:hAnsi="宋体"/>
                <w:b/>
                <w:color w:val="000000"/>
                <w:sz w:val="18"/>
                <w:szCs w:val="18"/>
              </w:rPr>
            </w:pPr>
          </w:p>
        </w:tc>
        <w:tc>
          <w:tcPr>
            <w:tcW w:w="1210" w:type="dxa"/>
            <w:vAlign w:val="center"/>
          </w:tcPr>
          <w:p>
            <w:pPr>
              <w:widowControl/>
              <w:jc w:val="center"/>
              <w:rPr>
                <w:rFonts w:asciiTheme="minorEastAsia" w:hAnsiTheme="minorEastAsia"/>
                <w:spacing w:val="-2"/>
                <w:szCs w:val="21"/>
              </w:rPr>
            </w:pPr>
            <w:r>
              <w:rPr>
                <w:rFonts w:hint="eastAsia" w:asciiTheme="minorEastAsia" w:hAnsiTheme="minorEastAsia"/>
                <w:spacing w:val="-2"/>
                <w:szCs w:val="21"/>
              </w:rPr>
              <w:t>企业综合实力</w:t>
            </w:r>
          </w:p>
          <w:p>
            <w:pPr>
              <w:widowControl/>
              <w:jc w:val="center"/>
              <w:rPr>
                <w:rFonts w:asciiTheme="minorEastAsia" w:hAnsiTheme="minorEastAsia"/>
                <w:spacing w:val="-2"/>
                <w:szCs w:val="21"/>
              </w:rPr>
            </w:pPr>
            <w:r>
              <w:rPr>
                <w:rFonts w:hint="eastAsia" w:asciiTheme="minorEastAsia" w:hAnsiTheme="minorEastAsia"/>
                <w:spacing w:val="-2"/>
                <w:szCs w:val="21"/>
              </w:rPr>
              <w:t>（</w:t>
            </w:r>
            <w:r>
              <w:rPr>
                <w:rFonts w:hint="eastAsia" w:asciiTheme="minorEastAsia" w:hAnsiTheme="minorEastAsia"/>
                <w:spacing w:val="-2"/>
                <w:szCs w:val="21"/>
                <w:lang w:val="en-US" w:eastAsia="zh-CN"/>
              </w:rPr>
              <w:t>20</w:t>
            </w:r>
            <w:r>
              <w:rPr>
                <w:rFonts w:hint="eastAsia" w:asciiTheme="minorEastAsia" w:hAnsiTheme="minorEastAsia"/>
                <w:spacing w:val="-2"/>
                <w:szCs w:val="21"/>
              </w:rPr>
              <w:t>分）</w:t>
            </w:r>
          </w:p>
        </w:tc>
        <w:tc>
          <w:tcPr>
            <w:tcW w:w="6520" w:type="dxa"/>
            <w:vAlign w:val="center"/>
          </w:tcPr>
          <w:p>
            <w:pPr>
              <w:widowControl/>
              <w:jc w:val="left"/>
              <w:rPr>
                <w:rFonts w:asciiTheme="minorEastAsia" w:hAnsiTheme="minorEastAsia"/>
                <w:spacing w:val="-2"/>
                <w:szCs w:val="21"/>
              </w:rPr>
            </w:pPr>
            <w:r>
              <w:rPr>
                <w:rFonts w:hint="eastAsia" w:asciiTheme="minorEastAsia" w:hAnsiTheme="minorEastAsia"/>
                <w:spacing w:val="-2"/>
                <w:szCs w:val="21"/>
              </w:rPr>
              <w:t>提供近年（20</w:t>
            </w:r>
            <w:r>
              <w:rPr>
                <w:rFonts w:asciiTheme="minorEastAsia" w:hAnsiTheme="minorEastAsia"/>
                <w:spacing w:val="-2"/>
                <w:szCs w:val="21"/>
              </w:rPr>
              <w:t>19</w:t>
            </w:r>
            <w:r>
              <w:rPr>
                <w:rFonts w:hint="eastAsia" w:asciiTheme="minorEastAsia" w:hAnsiTheme="minorEastAsia"/>
                <w:spacing w:val="-2"/>
                <w:szCs w:val="21"/>
              </w:rPr>
              <w:t>年</w:t>
            </w:r>
            <w:r>
              <w:rPr>
                <w:rFonts w:asciiTheme="minorEastAsia" w:hAnsiTheme="minorEastAsia"/>
                <w:spacing w:val="-2"/>
                <w:szCs w:val="21"/>
              </w:rPr>
              <w:t>5</w:t>
            </w:r>
            <w:r>
              <w:rPr>
                <w:rFonts w:hint="eastAsia" w:asciiTheme="minorEastAsia" w:hAnsiTheme="minorEastAsia"/>
                <w:spacing w:val="-2"/>
                <w:szCs w:val="21"/>
              </w:rPr>
              <w:t>月1日至投标截止时间）承担过投资额</w:t>
            </w:r>
            <w:r>
              <w:rPr>
                <w:rFonts w:asciiTheme="minorEastAsia" w:hAnsiTheme="minorEastAsia"/>
                <w:spacing w:val="-2"/>
                <w:szCs w:val="21"/>
              </w:rPr>
              <w:t>1000</w:t>
            </w:r>
            <w:r>
              <w:rPr>
                <w:rFonts w:hint="eastAsia" w:asciiTheme="minorEastAsia" w:hAnsiTheme="minorEastAsia"/>
                <w:spacing w:val="-2"/>
                <w:szCs w:val="21"/>
              </w:rPr>
              <w:t>万以上类似工程监理项目业绩，每提供一项有效业绩证明材料的得</w:t>
            </w:r>
            <w:r>
              <w:rPr>
                <w:rFonts w:asciiTheme="minorEastAsia" w:hAnsiTheme="minorEastAsia"/>
                <w:spacing w:val="-2"/>
                <w:szCs w:val="21"/>
              </w:rPr>
              <w:t>4</w:t>
            </w:r>
            <w:r>
              <w:rPr>
                <w:rFonts w:hint="eastAsia" w:asciiTheme="minorEastAsia" w:hAnsiTheme="minorEastAsia"/>
                <w:spacing w:val="-2"/>
                <w:szCs w:val="21"/>
              </w:rPr>
              <w:t>分，最多得</w:t>
            </w:r>
            <w:r>
              <w:rPr>
                <w:rFonts w:hint="eastAsia" w:asciiTheme="minorEastAsia" w:hAnsiTheme="minorEastAsia"/>
                <w:spacing w:val="-2"/>
                <w:szCs w:val="21"/>
                <w:lang w:val="en-US" w:eastAsia="zh-CN"/>
              </w:rPr>
              <w:t>20</w:t>
            </w:r>
            <w:r>
              <w:rPr>
                <w:rFonts w:hint="eastAsia" w:asciiTheme="minorEastAsia" w:hAnsiTheme="minorEastAsia"/>
                <w:spacing w:val="-2"/>
                <w:szCs w:val="21"/>
              </w:rPr>
              <w:t>分。</w:t>
            </w:r>
          </w:p>
          <w:p>
            <w:pPr>
              <w:widowControl/>
              <w:jc w:val="left"/>
              <w:rPr>
                <w:rFonts w:asciiTheme="minorEastAsia" w:hAnsiTheme="minorEastAsia"/>
                <w:spacing w:val="-2"/>
                <w:szCs w:val="21"/>
              </w:rPr>
            </w:pPr>
            <w:r>
              <w:rPr>
                <w:rFonts w:hint="eastAsia" w:asciiTheme="minorEastAsia" w:hAnsiTheme="minorEastAsia"/>
                <w:spacing w:val="-2"/>
                <w:szCs w:val="21"/>
              </w:rPr>
              <w:t>注：业绩证明材料须提供中标通知书及监理合同清晰版扫描件，且材须反应项目投资金额、建设内容及监理内容，提供不全或内容不清晰完整或未提供者不予计算。</w:t>
            </w:r>
          </w:p>
        </w:tc>
        <w:tc>
          <w:tcPr>
            <w:tcW w:w="1059" w:type="dxa"/>
            <w:vAlign w:val="center"/>
          </w:tcPr>
          <w:p>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1098" w:type="dxa"/>
            <w:vMerge w:val="continue"/>
            <w:vAlign w:val="center"/>
          </w:tcPr>
          <w:p>
            <w:pPr>
              <w:adjustRightInd w:val="0"/>
              <w:snapToGrid w:val="0"/>
              <w:spacing w:line="360" w:lineRule="exact"/>
              <w:jc w:val="left"/>
              <w:rPr>
                <w:rFonts w:ascii="宋体" w:hAnsi="宋体"/>
                <w:b/>
                <w:color w:val="000000"/>
                <w:sz w:val="18"/>
                <w:szCs w:val="18"/>
              </w:rPr>
            </w:pPr>
          </w:p>
        </w:tc>
        <w:tc>
          <w:tcPr>
            <w:tcW w:w="1210" w:type="dxa"/>
            <w:vAlign w:val="center"/>
          </w:tcPr>
          <w:p>
            <w:pPr>
              <w:widowControl/>
              <w:jc w:val="center"/>
              <w:rPr>
                <w:rFonts w:asciiTheme="minorEastAsia" w:hAnsiTheme="minorEastAsia"/>
                <w:spacing w:val="-2"/>
                <w:szCs w:val="21"/>
              </w:rPr>
            </w:pPr>
            <w:r>
              <w:rPr>
                <w:rFonts w:hint="eastAsia" w:asciiTheme="minorEastAsia" w:hAnsiTheme="minorEastAsia"/>
                <w:spacing w:val="-2"/>
                <w:szCs w:val="21"/>
              </w:rPr>
              <w:t>监理承诺（</w:t>
            </w:r>
            <w:r>
              <w:rPr>
                <w:rFonts w:hint="eastAsia" w:asciiTheme="minorEastAsia" w:hAnsiTheme="minorEastAsia"/>
                <w:spacing w:val="-2"/>
                <w:szCs w:val="21"/>
                <w:lang w:val="en-US" w:eastAsia="zh-CN"/>
              </w:rPr>
              <w:t>8</w:t>
            </w:r>
            <w:r>
              <w:rPr>
                <w:rFonts w:hint="eastAsia" w:asciiTheme="minorEastAsia" w:hAnsiTheme="minorEastAsia"/>
                <w:spacing w:val="-2"/>
                <w:szCs w:val="21"/>
              </w:rPr>
              <w:t>分）</w:t>
            </w:r>
          </w:p>
        </w:tc>
        <w:tc>
          <w:tcPr>
            <w:tcW w:w="6520" w:type="dxa"/>
            <w:vAlign w:val="center"/>
          </w:tcPr>
          <w:p>
            <w:pPr>
              <w:widowControl/>
              <w:jc w:val="left"/>
              <w:rPr>
                <w:rFonts w:asciiTheme="minorEastAsia" w:hAnsiTheme="minorEastAsia"/>
                <w:spacing w:val="-2"/>
                <w:szCs w:val="21"/>
              </w:rPr>
            </w:pPr>
            <w:r>
              <w:rPr>
                <w:rFonts w:hint="eastAsia" w:asciiTheme="minorEastAsia" w:hAnsiTheme="minorEastAsia"/>
                <w:spacing w:val="-2"/>
                <w:szCs w:val="21"/>
              </w:rPr>
              <w:t>提供人员驻场监理服务承诺，承诺内容包括：项目总监及其他主要人员能够根据项目进度及招标人（委托人）要求随时提供驻场监理服务、提供人员如经验能力不足或不符合实际监理工作需求或不能达到招标人（委托人）考核时必须按不低于招标时要求标准进行更换直至符合要求、按照招标文件要求提供备选人员信息及应急增加人员信息（仅需提供姓名、性别、专业、从业（监理）年限、职称等信息，不需提供证明材料）、平台建设周期增加时监理承诺、其他监理承诺等。提供承诺清</w:t>
            </w:r>
          </w:p>
          <w:p>
            <w:pPr>
              <w:widowControl/>
              <w:jc w:val="left"/>
              <w:rPr>
                <w:rFonts w:asciiTheme="minorEastAsia" w:hAnsiTheme="minorEastAsia"/>
                <w:spacing w:val="-2"/>
                <w:szCs w:val="21"/>
              </w:rPr>
            </w:pPr>
            <w:r>
              <w:rPr>
                <w:rFonts w:hint="eastAsia" w:asciiTheme="minorEastAsia" w:hAnsiTheme="minorEastAsia"/>
                <w:spacing w:val="-2"/>
                <w:szCs w:val="21"/>
              </w:rPr>
              <w:t>晰完整的得</w:t>
            </w:r>
            <w:r>
              <w:rPr>
                <w:rFonts w:hint="eastAsia" w:asciiTheme="minorEastAsia" w:hAnsiTheme="minorEastAsia"/>
                <w:spacing w:val="-2"/>
                <w:szCs w:val="21"/>
                <w:lang w:val="en-US" w:eastAsia="zh-CN"/>
              </w:rPr>
              <w:t>8</w:t>
            </w:r>
            <w:r>
              <w:rPr>
                <w:rFonts w:hint="eastAsia" w:asciiTheme="minorEastAsia" w:hAnsiTheme="minorEastAsia"/>
                <w:spacing w:val="-2"/>
                <w:szCs w:val="21"/>
              </w:rPr>
              <w:t>分，每缺失一项（或不清晰明确）的扣1分，扣完为止。</w:t>
            </w:r>
          </w:p>
        </w:tc>
        <w:tc>
          <w:tcPr>
            <w:tcW w:w="1059" w:type="dxa"/>
            <w:vAlign w:val="center"/>
          </w:tcPr>
          <w:p>
            <w:pPr>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98" w:type="dxa"/>
            <w:vMerge w:val="continue"/>
            <w:vAlign w:val="center"/>
          </w:tcPr>
          <w:p>
            <w:pPr>
              <w:adjustRightInd w:val="0"/>
              <w:snapToGrid w:val="0"/>
              <w:spacing w:line="360" w:lineRule="exact"/>
              <w:jc w:val="left"/>
              <w:rPr>
                <w:rFonts w:ascii="宋体" w:hAnsi="宋体"/>
                <w:b/>
                <w:color w:val="000000"/>
                <w:sz w:val="18"/>
                <w:szCs w:val="18"/>
              </w:rPr>
            </w:pPr>
          </w:p>
        </w:tc>
        <w:tc>
          <w:tcPr>
            <w:tcW w:w="1210" w:type="dxa"/>
            <w:vMerge w:val="restart"/>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服务方案</w:t>
            </w:r>
          </w:p>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50</w:t>
            </w:r>
            <w:r>
              <w:rPr>
                <w:rFonts w:hint="eastAsia" w:asciiTheme="majorEastAsia" w:hAnsiTheme="majorEastAsia" w:eastAsiaTheme="majorEastAsia"/>
                <w:szCs w:val="21"/>
              </w:rPr>
              <w:t>）</w:t>
            </w: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项目理解：监理工作目标明确；项目认识到位；对项目建设背景、相关技术情况理解准确；具有科学合理的监理实施方案等。对投标人根据项目的实际情况提供的总体服务方案进行综合评审。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ind w:right="84" w:rightChars="40"/>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质量控制：提出的质量控制措施科学、合理，有针对性；针对本招标项目的重点和难点提出确保工程质量的建议及采取的强化监理措施</w:t>
            </w:r>
          </w:p>
          <w:p>
            <w:pPr>
              <w:widowControl/>
              <w:rPr>
                <w:rFonts w:asciiTheme="minorEastAsia" w:hAnsiTheme="minorEastAsia"/>
                <w:spacing w:val="-2"/>
                <w:szCs w:val="21"/>
              </w:rPr>
            </w:pPr>
            <w:r>
              <w:rPr>
                <w:rFonts w:hint="eastAsia" w:asciiTheme="minorEastAsia" w:hAnsiTheme="minorEastAsia"/>
                <w:spacing w:val="-2"/>
                <w:szCs w:val="21"/>
              </w:rPr>
              <w:t>合理。对投标人根据项目的实际情况提供的总体质量控制方案进行综合评审。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安全控制：安全控制措施科学、合理，有针对性；应对突发事件有应急措施与响应方案；提出安全文明施工措施。对投标人根据项目的实际情况提供安全控制措施进行综合评审。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进度控制：进度控制措施科学、合理，有针对性；建立工程监理日志制度；能提出组织工程进度协调的方案,根据建设单位进度计划严格督促施工进度。对投标人根据本项目的实际情况制定的进度控制方案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投资控制：控制投资措施科学、合理，有针对性；具有项目投资控制经验；对工程用款计划及结算资料审核，能提出有效的控制措施和合理化建议。对投标人根据本项目提供的投资控制方案进行综合评审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合同管理：对投标人根据本项目提供的合同管理的方法和措施，合同文本的提供、关键条款的预警、执行过程的管理、风险管理的方法和措施进行综合评审。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tcPr>
          <w:p>
            <w:pPr>
              <w:snapToGrid w:val="0"/>
              <w:jc w:val="center"/>
              <w:rPr>
                <w:rFonts w:ascii="宋体" w:hAnsi="宋体" w:eastAsia="宋体" w:cs="Times New Roman"/>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信息安全管理：对投标人根据本项目提供的信息安全及管理的方法和措施，信息资料的收集存储、整理移交、过程资料管理、配置管理的方法和措施进行综合评审。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tcPr>
          <w:p>
            <w:pPr>
              <w:snapToGrid w:val="0"/>
              <w:jc w:val="center"/>
              <w:rPr>
                <w:rFonts w:ascii="宋体" w:hAnsi="宋体" w:eastAsia="宋体" w:cs="Times New Roman"/>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工程组织协调：对投标人根据本项目提供的工程组织协调的方法和措施（对项目管理和项目涉及的各种关系有较好的协调措施，促进项目顺</w:t>
            </w:r>
          </w:p>
          <w:p>
            <w:pPr>
              <w:widowControl/>
              <w:rPr>
                <w:rFonts w:asciiTheme="minorEastAsia" w:hAnsiTheme="minorEastAsia"/>
                <w:spacing w:val="-2"/>
                <w:szCs w:val="21"/>
              </w:rPr>
            </w:pPr>
            <w:r>
              <w:rPr>
                <w:rFonts w:hint="eastAsia" w:asciiTheme="minorEastAsia" w:hAnsiTheme="minorEastAsia"/>
                <w:spacing w:val="-2"/>
                <w:szCs w:val="21"/>
              </w:rPr>
              <w:t>利进行）进行综合评审。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tcPr>
          <w:p>
            <w:pPr>
              <w:snapToGrid w:val="0"/>
              <w:jc w:val="center"/>
              <w:rPr>
                <w:rFonts w:ascii="宋体" w:hAnsi="宋体" w:eastAsia="宋体" w:cs="Times New Roman"/>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工程验收管理：对投标人根据本项目提供的验收标准和实施方法（对系统建设各阶段的验收和总体验收的进行详细说明）进行综合评审。</w:t>
            </w:r>
          </w:p>
        </w:tc>
        <w:tc>
          <w:tcPr>
            <w:tcW w:w="1059" w:type="dxa"/>
            <w:vAlign w:val="center"/>
          </w:tcPr>
          <w:p>
            <w:pPr>
              <w:widowControl/>
              <w:jc w:val="center"/>
              <w:rPr>
                <w:rFonts w:hint="eastAsia" w:asciiTheme="minorEastAsia" w:hAnsiTheme="minorEastAsia" w:eastAsiaTheme="minorEastAsia"/>
                <w:spacing w:val="-2"/>
                <w:szCs w:val="21"/>
                <w:lang w:eastAsia="zh-CN"/>
              </w:rPr>
            </w:pPr>
            <w:r>
              <w:rPr>
                <w:rFonts w:hint="eastAsia" w:asciiTheme="minorEastAsia" w:hAnsiTheme="minorEastAsia"/>
                <w:spacing w:val="-2"/>
                <w:szCs w:val="21"/>
                <w:lang w:val="en-US" w:eastAsia="zh-CN"/>
              </w:rPr>
              <w:t>5</w:t>
            </w:r>
          </w:p>
        </w:tc>
      </w:tr>
      <w:bookmarkEnd w:id="34"/>
    </w:tbl>
    <w:p>
      <w:pPr>
        <w:tabs>
          <w:tab w:val="left" w:pos="2880"/>
        </w:tabs>
        <w:snapToGrid w:val="0"/>
        <w:spacing w:line="500" w:lineRule="exact"/>
        <w:rPr>
          <w:rFonts w:ascii="宋体" w:hAnsi="宋体" w:eastAsia="宋体" w:cs="Times New Roman"/>
          <w:b/>
          <w:sz w:val="30"/>
          <w:szCs w:val="30"/>
        </w:rPr>
      </w:pPr>
    </w:p>
    <w:p>
      <w:pPr>
        <w:pageBreakBefore/>
        <w:tabs>
          <w:tab w:val="left" w:pos="2880"/>
        </w:tabs>
        <w:snapToGrid w:val="0"/>
        <w:spacing w:line="500" w:lineRule="exact"/>
        <w:jc w:val="center"/>
        <w:rPr>
          <w:rFonts w:ascii="宋体" w:hAnsi="宋体" w:eastAsia="宋体" w:cs="Times New Roman"/>
          <w:b/>
          <w:sz w:val="30"/>
          <w:szCs w:val="30"/>
        </w:rPr>
      </w:pPr>
      <w:r>
        <w:rPr>
          <w:rFonts w:hint="eastAsia" w:ascii="宋体" w:hAnsi="宋体" w:eastAsia="宋体" w:cs="Times New Roman"/>
          <w:b/>
          <w:sz w:val="30"/>
          <w:szCs w:val="30"/>
        </w:rPr>
        <w:t>第四章　合同条款</w:t>
      </w:r>
    </w:p>
    <w:p>
      <w:pPr>
        <w:keepNext/>
        <w:jc w:val="center"/>
        <w:outlineLvl w:val="0"/>
        <w:rPr>
          <w:rFonts w:ascii="黑体" w:hAnsi="宋体" w:eastAsia="黑体" w:cs="Times New Roman"/>
          <w:sz w:val="30"/>
          <w:szCs w:val="30"/>
        </w:rPr>
      </w:pPr>
      <w:bookmarkStart w:id="35" w:name="_Toc30087"/>
    </w:p>
    <w:p>
      <w:pPr>
        <w:keepNext/>
        <w:jc w:val="center"/>
        <w:outlineLvl w:val="0"/>
        <w:rPr>
          <w:rFonts w:ascii="黑体" w:hAnsi="宋体" w:eastAsia="黑体" w:cs="Times New Roman"/>
          <w:sz w:val="30"/>
          <w:szCs w:val="30"/>
        </w:rPr>
      </w:pPr>
    </w:p>
    <w:p>
      <w:pPr>
        <w:keepNext/>
        <w:jc w:val="center"/>
        <w:outlineLvl w:val="0"/>
        <w:rPr>
          <w:rFonts w:ascii="黑体" w:hAnsi="宋体" w:eastAsia="黑体" w:cs="Times New Roman"/>
          <w:sz w:val="30"/>
          <w:szCs w:val="30"/>
        </w:rPr>
      </w:pPr>
    </w:p>
    <w:p>
      <w:pPr>
        <w:spacing w:line="360" w:lineRule="auto"/>
        <w:jc w:val="center"/>
        <w:rPr>
          <w:rFonts w:cs="Times New Roman" w:asciiTheme="minorEastAsia" w:hAnsiTheme="minorEastAsia"/>
          <w:bCs/>
          <w:sz w:val="72"/>
          <w:szCs w:val="72"/>
        </w:rPr>
      </w:pPr>
      <w:r>
        <w:rPr>
          <w:rFonts w:hint="eastAsia" w:cs="Times New Roman" w:asciiTheme="minorEastAsia" w:hAnsiTheme="minorEastAsia"/>
          <w:bCs/>
          <w:sz w:val="72"/>
          <w:szCs w:val="72"/>
        </w:rPr>
        <w:t>建设工程监理合同</w:t>
      </w:r>
    </w:p>
    <w:p>
      <w:pPr>
        <w:spacing w:line="360" w:lineRule="auto"/>
        <w:ind w:firstLine="960" w:firstLineChars="200"/>
        <w:jc w:val="center"/>
        <w:rPr>
          <w:rFonts w:cs="Times New Roman" w:asciiTheme="minorEastAsia" w:hAnsiTheme="minorEastAsia"/>
          <w:bCs/>
          <w:sz w:val="48"/>
          <w:szCs w:val="48"/>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480" w:firstLineChars="200"/>
        <w:jc w:val="center"/>
        <w:rPr>
          <w:rFonts w:cs="Times New Roman" w:asciiTheme="minorEastAsia" w:hAnsiTheme="minorEastAsia"/>
          <w:b/>
          <w:bCs/>
          <w:sz w:val="24"/>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2800" w:firstLineChars="700"/>
        <w:jc w:val="left"/>
        <w:rPr>
          <w:rFonts w:cs="Times New Roman" w:asciiTheme="minorEastAsia" w:hAnsiTheme="minorEastAsia"/>
          <w:w w:val="125"/>
          <w:sz w:val="32"/>
          <w:szCs w:val="32"/>
        </w:rPr>
      </w:pPr>
      <w:r>
        <w:rPr>
          <w:rFonts w:hint="eastAsia" w:cs="Times New Roman" w:asciiTheme="minorEastAsia" w:hAnsiTheme="minorEastAsia"/>
          <w:bCs/>
          <w:w w:val="125"/>
          <w:sz w:val="32"/>
          <w:szCs w:val="32"/>
        </w:rPr>
        <w:t>住房和城乡建设部</w:t>
      </w:r>
    </w:p>
    <w:p>
      <w:pPr>
        <w:spacing w:line="360" w:lineRule="auto"/>
        <w:ind w:firstLine="2640" w:firstLineChars="1100"/>
        <w:jc w:val="left"/>
        <w:rPr>
          <w:rFonts w:cs="Times New Roman" w:asciiTheme="minorEastAsia" w:hAnsiTheme="minorEastAsia"/>
          <w:bCs/>
          <w:sz w:val="32"/>
          <w:szCs w:val="32"/>
        </w:rPr>
      </w:pPr>
      <w:r>
        <w:rPr>
          <w:rFonts w:cs="Times New Roman" w:asciiTheme="minorEastAsia" w:hAnsiTheme="minorEastAsia"/>
          <w:sz w:val="24"/>
          <w:szCs w:val="24"/>
        </w:rPr>
        <w:pict>
          <v:shape id="文本框 4" o:spid="_x0000_s2051" o:spt="202" type="#_x0000_t202" style="position:absolute;left:0pt;margin-left:335.45pt;margin-top:1.8pt;height:38.4pt;width:50.7pt;mso-wrap-distance-bottom:0pt;mso-wrap-distance-left:9pt;mso-wrap-distance-right:9pt;mso-wrap-distance-top:0pt;z-index:251659264;mso-width-relative:page;mso-height-relative:page;" stroked="f" coordsize="21600,21600">
            <v:path/>
            <v:fill focussize="0,0"/>
            <v:stroke on="f" joinstyle="miter"/>
            <v:imagedata o:title=""/>
            <o:lock v:ext="edit"/>
            <v:textbox>
              <w:txbxContent>
                <w:p>
                  <w:pPr>
                    <w:spacing w:line="360" w:lineRule="auto"/>
                    <w:jc w:val="center"/>
                    <w:rPr>
                      <w:rFonts w:asciiTheme="minorEastAsia" w:hAnsiTheme="minorEastAsia"/>
                      <w:bCs/>
                      <w:sz w:val="32"/>
                      <w:szCs w:val="32"/>
                    </w:rPr>
                  </w:pPr>
                  <w:r>
                    <w:rPr>
                      <w:rFonts w:hint="eastAsia" w:asciiTheme="minorEastAsia" w:hAnsiTheme="minorEastAsia"/>
                      <w:sz w:val="32"/>
                      <w:szCs w:val="32"/>
                    </w:rPr>
                    <w:t>制定</w:t>
                  </w:r>
                </w:p>
              </w:txbxContent>
            </v:textbox>
            <w10:wrap type="square"/>
          </v:shape>
        </w:pict>
      </w:r>
    </w:p>
    <w:p>
      <w:pPr>
        <w:spacing w:line="360" w:lineRule="auto"/>
        <w:ind w:firstLine="2880" w:firstLineChars="900"/>
        <w:jc w:val="left"/>
        <w:rPr>
          <w:rFonts w:cs="Times New Roman" w:asciiTheme="minorEastAsia" w:hAnsiTheme="minorEastAsia"/>
          <w:sz w:val="24"/>
          <w:szCs w:val="24"/>
        </w:rPr>
      </w:pPr>
      <w:r>
        <w:rPr>
          <w:rFonts w:hint="eastAsia" w:cs="Times New Roman" w:asciiTheme="minorEastAsia" w:hAnsiTheme="minorEastAsia"/>
          <w:bCs/>
          <w:sz w:val="32"/>
          <w:szCs w:val="32"/>
        </w:rPr>
        <w:t>国家工商行政管理总局</w:t>
      </w:r>
    </w:p>
    <w:p>
      <w:pPr>
        <w:spacing w:line="360" w:lineRule="auto"/>
        <w:jc w:val="center"/>
        <w:rPr>
          <w:rFonts w:ascii="Times New Roman" w:hAnsi="Times New Roman" w:eastAsia="华文中宋" w:cs="Times New Roman"/>
          <w:bCs/>
          <w:kern w:val="44"/>
          <w:sz w:val="32"/>
          <w:szCs w:val="44"/>
        </w:rPr>
      </w:pPr>
      <w:r>
        <w:rPr>
          <w:rFonts w:hint="eastAsia" w:cs="Times New Roman" w:asciiTheme="minorEastAsia" w:hAnsiTheme="minorEastAsia"/>
          <w:bCs/>
          <w:sz w:val="32"/>
          <w:szCs w:val="24"/>
        </w:rPr>
        <w:t>二〇二一年十一月</w:t>
      </w:r>
    </w:p>
    <w:p>
      <w:pPr>
        <w:keepNext/>
        <w:keepLines/>
        <w:spacing w:line="360" w:lineRule="auto"/>
        <w:jc w:val="center"/>
        <w:outlineLvl w:val="0"/>
        <w:rPr>
          <w:rFonts w:cs="Times New Roman" w:asciiTheme="minorEastAsia" w:hAnsiTheme="minorEastAsia"/>
          <w:bCs/>
          <w:kern w:val="44"/>
          <w:sz w:val="32"/>
          <w:szCs w:val="44"/>
        </w:rPr>
      </w:pPr>
      <w:r>
        <w:rPr>
          <w:rFonts w:hint="eastAsia" w:cs="Times New Roman" w:asciiTheme="minorEastAsia" w:hAnsiTheme="minorEastAsia"/>
          <w:bCs/>
          <w:kern w:val="44"/>
          <w:sz w:val="32"/>
          <w:szCs w:val="44"/>
        </w:rPr>
        <w:t>第一部分  协议书</w:t>
      </w:r>
    </w:p>
    <w:p>
      <w:pPr>
        <w:keepNext/>
        <w:keepLines/>
        <w:spacing w:line="360" w:lineRule="auto"/>
        <w:jc w:val="center"/>
        <w:outlineLvl w:val="0"/>
        <w:rPr>
          <w:rFonts w:ascii="Times New Roman" w:hAnsi="Times New Roman" w:eastAsia="华文中宋" w:cs="Times New Roman"/>
          <w:bCs/>
          <w:kern w:val="44"/>
          <w:sz w:val="32"/>
          <w:szCs w:val="44"/>
        </w:rPr>
      </w:pPr>
    </w:p>
    <w:p>
      <w:pPr>
        <w:adjustRightInd w:val="0"/>
        <w:snapToGrid w:val="0"/>
        <w:spacing w:line="520" w:lineRule="exact"/>
        <w:ind w:firstLine="275" w:firstLineChars="250"/>
        <w:rPr>
          <w:rFonts w:ascii="仿宋_GB2312" w:hAnsi="宋体" w:eastAsia="仿宋_GB2312" w:cs="Times New Roman"/>
          <w:b/>
          <w:sz w:val="11"/>
          <w:szCs w:val="13"/>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委托人（全称）：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监理人（全称）：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w:t>
      </w:r>
      <w:r>
        <w:rPr>
          <w:rFonts w:ascii="宋体" w:hAnsi="宋体" w:eastAsia="宋体" w:cs="Times New Roman"/>
          <w:sz w:val="24"/>
          <w:szCs w:val="24"/>
        </w:rPr>
        <w:t>《中华人民共和国民法典》</w:t>
      </w:r>
      <w:r>
        <w:rPr>
          <w:rFonts w:hint="eastAsia" w:ascii="宋体" w:hAnsi="宋体" w:eastAsia="宋体" w:cs="Times New Roman"/>
          <w:sz w:val="24"/>
          <w:szCs w:val="24"/>
        </w:rPr>
        <w:t>、《中华人民共和国建筑法》及其他有关法律、法规，遵循平等、自愿、公平和诚信的原则，双方就下述工程委托监理与相关服务事项协商一致，签立本合同。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一、工程概况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1.工程名称：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2.工程地点：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3.工程规模：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4.工程概算投资额：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二、词语限定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协议书中相关词语的含义与通用条件中的定义与解释相同。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三、组成本合同的文件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协议书；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中标通知书；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 投标文件；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 专用条件；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 通用条件；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 附录，即：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本合同签订后，双方依法签订的补充协议也是本合同文件的组成部分。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四、总监理工程师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总监理工程师姓名：   ，身份证号码：    ，资格证号码：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五、签约酬金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签约酬金（大写）：    。</w:t>
      </w:r>
    </w:p>
    <w:p>
      <w:pPr>
        <w:numPr>
          <w:ilvl w:val="0"/>
          <w:numId w:val="5"/>
        </w:num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监理期限</w:t>
      </w:r>
    </w:p>
    <w:p>
      <w:pPr>
        <w:spacing w:after="120"/>
        <w:ind w:left="840" w:leftChars="400"/>
        <w:rPr>
          <w:rFonts w:ascii="Times New Roman" w:hAnsi="Times New Roman" w:eastAsia="仿宋" w:cs="Times New Roman"/>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签订监理合同至所承担监理任务的工程建设项目竣工验收后结束。</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七、双方承诺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监理人向委托人承诺，按照本合同规定，承担本合同专用条件中议定范围内的监理业务。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委托人向监理人承诺，按照本合同约定派遣相应的人员，提供房屋、资料、设备，并按本合同约定支付酬金。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八、合同订立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订立地点：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本合同一式 六 份，具有同等法律效力，双方各执 三 份。</w:t>
      </w:r>
    </w:p>
    <w:p>
      <w:pPr>
        <w:spacing w:line="360" w:lineRule="auto"/>
        <w:ind w:firstLine="480" w:firstLineChars="200"/>
        <w:rPr>
          <w:rFonts w:ascii="宋体" w:hAnsi="宋体" w:eastAsia="宋体" w:cs="Times New Roman"/>
          <w:sz w:val="24"/>
          <w:szCs w:val="24"/>
        </w:rPr>
      </w:pPr>
    </w:p>
    <w:tbl>
      <w:tblPr>
        <w:tblStyle w:val="20"/>
        <w:tblW w:w="5000" w:type="pct"/>
        <w:tblCellSpacing w:w="15" w:type="dxa"/>
        <w:tblInd w:w="0" w:type="dxa"/>
        <w:tblLayout w:type="autofit"/>
        <w:tblCellMar>
          <w:top w:w="0" w:type="dxa"/>
          <w:left w:w="0" w:type="dxa"/>
          <w:bottom w:w="0" w:type="dxa"/>
          <w:right w:w="0" w:type="dxa"/>
        </w:tblCellMar>
      </w:tblPr>
      <w:tblGrid>
        <w:gridCol w:w="4651"/>
        <w:gridCol w:w="4651"/>
      </w:tblGrid>
      <w:tr>
        <w:tblPrEx>
          <w:tblCellMar>
            <w:top w:w="0" w:type="dxa"/>
            <w:left w:w="0" w:type="dxa"/>
            <w:bottom w:w="0" w:type="dxa"/>
            <w:right w:w="0" w:type="dxa"/>
          </w:tblCellMar>
        </w:tblPrEx>
        <w:trPr>
          <w:trHeight w:val="1310" w:hRule="atLeast"/>
          <w:tblCellSpacing w:w="15" w:type="dxa"/>
        </w:trPr>
        <w:tc>
          <w:tcPr>
            <w:tcW w:w="2474" w:type="pct"/>
          </w:tcPr>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委托人：（盖章） </w:t>
            </w:r>
          </w:p>
          <w:p>
            <w:pPr>
              <w:spacing w:line="360" w:lineRule="auto"/>
              <w:rPr>
                <w:rFonts w:ascii="宋体" w:hAnsi="宋体" w:eastAsia="宋体" w:cs="Times New Roman"/>
                <w:sz w:val="24"/>
                <w:szCs w:val="24"/>
              </w:rPr>
            </w:pPr>
          </w:p>
        </w:tc>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监理人：（盖章）</w:t>
            </w:r>
          </w:p>
        </w:tc>
      </w:tr>
      <w:tr>
        <w:tblPrEx>
          <w:tblCellMar>
            <w:top w:w="0" w:type="dxa"/>
            <w:left w:w="0" w:type="dxa"/>
            <w:bottom w:w="0" w:type="dxa"/>
            <w:right w:w="0" w:type="dxa"/>
          </w:tblCellMar>
        </w:tblPrEx>
        <w:trPr>
          <w:tblCellSpacing w:w="15" w:type="dxa"/>
        </w:trPr>
        <w:tc>
          <w:tcPr>
            <w:tcW w:w="2474" w:type="pct"/>
          </w:tcPr>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住所： </w:t>
            </w:r>
          </w:p>
          <w:p>
            <w:pPr>
              <w:spacing w:line="360" w:lineRule="auto"/>
              <w:ind w:firstLine="480" w:firstLineChars="200"/>
              <w:rPr>
                <w:rFonts w:ascii="宋体" w:hAnsi="宋体" w:eastAsia="宋体" w:cs="Times New Roman"/>
                <w:sz w:val="24"/>
                <w:szCs w:val="24"/>
              </w:rPr>
            </w:pPr>
          </w:p>
        </w:tc>
        <w:tc>
          <w:tcPr>
            <w:tcW w:w="2474" w:type="pct"/>
          </w:tcPr>
          <w:p>
            <w:pPr>
              <w:spacing w:line="360" w:lineRule="auto"/>
              <w:ind w:left="1140" w:leftChars="200" w:hanging="720" w:hangingChars="300"/>
              <w:rPr>
                <w:rFonts w:ascii="宋体" w:hAnsi="宋体" w:eastAsia="宋体" w:cs="Times New Roman"/>
                <w:sz w:val="24"/>
                <w:szCs w:val="24"/>
              </w:rPr>
            </w:pPr>
            <w:r>
              <w:rPr>
                <w:rFonts w:hint="eastAsia" w:ascii="宋体" w:hAnsi="宋体" w:eastAsia="宋体" w:cs="Times New Roman"/>
                <w:sz w:val="24"/>
                <w:szCs w:val="24"/>
              </w:rPr>
              <w:t xml:space="preserve">住所： </w:t>
            </w:r>
          </w:p>
        </w:tc>
      </w:tr>
      <w:tr>
        <w:tblPrEx>
          <w:tblCellMar>
            <w:top w:w="0" w:type="dxa"/>
            <w:left w:w="0" w:type="dxa"/>
            <w:bottom w:w="0" w:type="dxa"/>
            <w:right w:w="0" w:type="dxa"/>
          </w:tblCellMar>
        </w:tblPrEx>
        <w:trPr>
          <w:tblCellSpacing w:w="15" w:type="dxa"/>
        </w:trPr>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法定代表人或其授权的代理人：</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（签字）</w:t>
            </w:r>
          </w:p>
        </w:tc>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法定代表人或其授权的代理人：</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（签字）</w:t>
            </w:r>
          </w:p>
        </w:tc>
      </w:tr>
      <w:tr>
        <w:tblPrEx>
          <w:tblCellMar>
            <w:top w:w="0" w:type="dxa"/>
            <w:left w:w="0" w:type="dxa"/>
            <w:bottom w:w="0" w:type="dxa"/>
            <w:right w:w="0" w:type="dxa"/>
          </w:tblCellMar>
        </w:tblPrEx>
        <w:trPr>
          <w:tblCellSpacing w:w="15" w:type="dxa"/>
        </w:trPr>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开户银行：</w:t>
            </w:r>
          </w:p>
        </w:tc>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开户银行： </w:t>
            </w:r>
          </w:p>
        </w:tc>
      </w:tr>
      <w:tr>
        <w:tblPrEx>
          <w:tblCellMar>
            <w:top w:w="0" w:type="dxa"/>
            <w:left w:w="0" w:type="dxa"/>
            <w:bottom w:w="0" w:type="dxa"/>
            <w:right w:w="0" w:type="dxa"/>
          </w:tblCellMar>
        </w:tblPrEx>
        <w:trPr>
          <w:trHeight w:val="405" w:hRule="atLeast"/>
          <w:tblCellSpacing w:w="15" w:type="dxa"/>
        </w:trPr>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账号：</w:t>
            </w:r>
          </w:p>
        </w:tc>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账号： </w:t>
            </w:r>
          </w:p>
        </w:tc>
      </w:tr>
      <w:tr>
        <w:tblPrEx>
          <w:tblCellMar>
            <w:top w:w="0" w:type="dxa"/>
            <w:left w:w="0" w:type="dxa"/>
            <w:bottom w:w="0" w:type="dxa"/>
            <w:right w:w="0" w:type="dxa"/>
          </w:tblCellMar>
        </w:tblPrEx>
        <w:trPr>
          <w:trHeight w:val="1148" w:hRule="atLeast"/>
          <w:tblCellSpacing w:w="15" w:type="dxa"/>
        </w:trPr>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电话：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传真：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电子邮箱：</w:t>
            </w:r>
          </w:p>
        </w:tc>
        <w:tc>
          <w:tcPr>
            <w:tcW w:w="2474" w:type="pct"/>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电话：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传真：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电子邮箱：</w:t>
            </w:r>
          </w:p>
        </w:tc>
      </w:tr>
    </w:tbl>
    <w:p>
      <w:pPr>
        <w:spacing w:line="360" w:lineRule="auto"/>
        <w:ind w:firstLine="1200" w:firstLineChars="500"/>
        <w:rPr>
          <w:rFonts w:ascii="宋体" w:hAnsi="宋体" w:eastAsia="宋体" w:cs="Times New Roman"/>
          <w:sz w:val="24"/>
          <w:szCs w:val="24"/>
        </w:rPr>
      </w:pPr>
      <w:r>
        <w:rPr>
          <w:rFonts w:hint="eastAsia" w:ascii="宋体" w:hAnsi="宋体" w:eastAsia="宋体" w:cs="Times New Roman"/>
          <w:sz w:val="24"/>
          <w:szCs w:val="24"/>
        </w:rPr>
        <w:t>本合同签订于：      年     月     日。</w:t>
      </w:r>
    </w:p>
    <w:p>
      <w:pPr>
        <w:adjustRightInd w:val="0"/>
        <w:snapToGrid w:val="0"/>
        <w:spacing w:line="300" w:lineRule="auto"/>
        <w:ind w:left="632" w:leftChars="301" w:firstLine="480" w:firstLineChars="200"/>
        <w:rPr>
          <w:rFonts w:ascii="仿宋_GB2312" w:hAnsi="宋体" w:eastAsia="仿宋_GB2312" w:cs="Times New Roman"/>
          <w:sz w:val="24"/>
          <w:szCs w:val="32"/>
        </w:rPr>
      </w:pPr>
    </w:p>
    <w:p>
      <w:pPr>
        <w:adjustRightInd w:val="0"/>
        <w:snapToGrid w:val="0"/>
        <w:spacing w:line="300" w:lineRule="auto"/>
        <w:ind w:left="632" w:leftChars="301" w:firstLine="480" w:firstLineChars="200"/>
        <w:rPr>
          <w:rFonts w:ascii="仿宋_GB2312" w:hAnsi="宋体" w:eastAsia="仿宋_GB2312" w:cs="Times New Roman"/>
          <w:sz w:val="24"/>
          <w:szCs w:val="32"/>
        </w:rPr>
      </w:pPr>
      <w:r>
        <w:rPr>
          <w:rFonts w:ascii="仿宋_GB2312" w:hAnsi="宋体" w:eastAsia="仿宋_GB2312" w:cs="Times New Roman"/>
          <w:sz w:val="24"/>
          <w:szCs w:val="32"/>
        </w:rPr>
        <w:br w:type="page"/>
      </w:r>
    </w:p>
    <w:p>
      <w:pPr>
        <w:keepNext/>
        <w:keepLines/>
        <w:spacing w:line="360" w:lineRule="auto"/>
        <w:jc w:val="center"/>
        <w:outlineLvl w:val="0"/>
        <w:rPr>
          <w:rFonts w:cs="Times New Roman" w:asciiTheme="minorEastAsia" w:hAnsiTheme="minorEastAsia"/>
          <w:bCs/>
          <w:kern w:val="44"/>
          <w:sz w:val="32"/>
          <w:szCs w:val="44"/>
        </w:rPr>
      </w:pPr>
      <w:r>
        <w:rPr>
          <w:rFonts w:hint="eastAsia" w:cs="Times New Roman" w:asciiTheme="minorEastAsia" w:hAnsiTheme="minorEastAsia"/>
          <w:bCs/>
          <w:kern w:val="44"/>
          <w:sz w:val="32"/>
          <w:szCs w:val="44"/>
        </w:rPr>
        <w:t>第二部分  通用条件</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1. 定义与解释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 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除根据上下文另有其意义外，组成本合同的全部文件中的下列名词和用语应具有本款所赋予的含义：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 “工程”是指按照本合同约定实施监理与相关服务的建设工程。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 “委托人”是指本合同中委托监理与相关服务的一方，及其合法的继承人或受让人。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1.1.3 “监理人”是指本合同中提供监理与相关服务的一方，及其合法的继承人。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1.1.4 “承包人”是指在工程范围内与委托人签订勘察、设计、施工等有关合同的当事人，及其合法的继承人。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1.1.6 “相关服务”是指监理人受委托人的委托 ，按照本合同约定，在勘察、设计、保修等阶段提供的服务活动。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1.1.7 “正常工作”指本合同订立时通用条件和专用条件中约定的监理人的工作。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1.1.8 “附加工作”是指本合同约定的正常工作以外监理人的工作。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1.1.9 “项目监理机构”是指监理人派驻工程负责履行本合同的组织机构。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1.1.10 “总监理工程师”是指由监理人的法定代表人书面授权，全面负责履行本合同、主持项目监理机构工作的注册监理工程师。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1.1.11 “酬金”是指监理人履行本合同义务，委托人按照本合同约定给付监理人的金额。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1.1.12 “正常工作酬金”是指监理人完成正常工作，委托人应给付监理人并在协议书中载明的签约酬金额。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1.1.13 “附加工作酬金”是指监理人完成附加工作，委托人应给付监理人的金额。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1.1.14 “一方”是指委托人或监理人；“双方”是指委托人和监理人；“第三方”是指除委托人和监理人以外的有关方。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1.1.15 “书面形式”是指合同书、信件和数据电文（包括电报、电传、传真、电子数据交换和电子邮件）等可以有形地表现所载内容的形式。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1.1.16 “天”是指第一天零时至第二天零时的时间。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1.1.17“月”是指按公历从一个月中任何一天开始的一个公历月时间。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 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1.2.1本合同使用中文书写、解释和说明。如专用条件约定使用两种及以上语言文字时，应以中文为准。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1.2.2 组成本合同的下列文件彼此应能相互解释、互为说明。除专用条件另有约定外，本合同文件的解释顺序如下：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（1）协议书；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（2）中标通知书（适用于招标工程）或委托书（适用于非招标工程）；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（3）专用条件及附录A、附录B；</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（4）通用条件；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（5）投标文件（适用于招标工程）或监理与相关服务建议书（适用于非招标工程）。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双方签订的补充协议与其他文件发生矛盾或歧义时，属于同一类内容的文件，应以最新签署的为准。</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2. 监理人的义务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 监理的范围和工作内容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2.1.1 监理范围在专用条件中约定。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2.1.2 除专用条件另有约定外，监理工作内容包括：</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（1）收到工程设计文件后编制监理规划，并在第一次工地会议7天前报委托人。根据有关规定和监理工作需要，编制监理实施细则；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（2）熟悉工程设计文件，并参加由委托人主持的图纸会审和设计交底会议；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（3）参加由委托人主持的第一次工地会议；主持监理例会并根据工程需要主持或参加专题会议；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（4）审查施工承包人提交的施工组织设计，重点审查其中的质量安全技术措施、专项施工方案与工程建设强制性标准的符合性；</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（5）检查施工承包人工程质量、安全生产管理制度及组织机构和人员资格；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（6）检查施工承包人专职安全生产管理人员的配备情况；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（7）审查施工承包人提交的施工进度计划，核查承包人对施工进度计划的调整；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（8）检查施工承包人的试验室；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（9）审核施工分包人资质条件；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（10）查验施工承包人的施工测量放线成果；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（11）审查工程开工条件，对条件具备的签发开工令；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（12）审查施工承包人报送的工程材料、构配件、设备质量证明文件的有效性和符合性，并按规定对用于工程的材料采取平行检验或见证取样方式进行抽检；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（13）审核施工承包人提交的工程款支付申请，签发或出具工程款支付证书，并报委托人审核、批准；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（14）在巡视、旁站和检验过程中，发现工程质量、施工安全存在事故隐患的，要求施工承包人整改并报委托人；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（15）经委托人同意，签发工程暂停令和复工令；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（16）审查施工承包人提交的采用新材料、新工艺、新技术、新设备的论证材料及相关验收标准；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（17）验收隐蔽工程、分部分项工程；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（18）审查施工承包人提交的工程变更申请，协调处理施工进度调整、费用索赔、合同争议等事项；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（19）审查施工承包人提交的竣工验收申请，编写工程质量评估报告；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（20）参加工程竣工验收，签署竣工验收意见；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（21）审查施工承包人提交的竣工结算申请并报委托人；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（22）编制、整理工程监理归档文件并报委托人。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2.1.3 相关服务的范围和内容在附录A中约定。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 监理与相关服务依据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2.2.1 监理依据包括：</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（1）适用的法律、行政法规及部门规章；</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（2）与工程有关的标准；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（3）工程设计及有关文件；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（4）本合同及委托人与第三方签订的与实施工程有关的其他合同。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双方根据工程的行业和地域特点，在专用条件中具体约定监理依据。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2.2.2 相关服务依据在专用条件中约定。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 项目监理机构和人员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2.3.1 监理人应组建满足工作需要的项目监理机构，配备必要的检测设备。项目监理机构的主要人员应具有相应的资格条件。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2.3.2本合同履行过程中，总监理工程师及重要岗位监理人员应保持相对稳定，以保证监理工作正常进行。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2.3.4 监理人应及时更换有下列情形之一的监理人员：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（1）严重过失行为的；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（2）有违法行为不能履行职责的；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（3）涉嫌犯罪的；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（4）不能胜任岗位职责的；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（5）严重违反职业道德的；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（6）专用条件约定的其他情形。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2.3.5 委托人可要求监理人更换不能胜任本职工作的项目监理机构人员。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 履行职责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监理人应遵循职业道德准则和行为规范，严格按照法律法规、工程建设有关标准及本合同履行职责。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2.4.1 在监理与相关服务范围内，委托人和承包人提出的意见和要求，监理人应及时提出处置意见。当委托人与承包人之间发生合同争议时，监理人应协助委托人、承包人协商解决。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2.4.2 当委托人与承包人之间的合同争议提交仲裁机构仲裁或人民法院审理时，监理人应提供必要的证明资料。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2.4.3 监理人应在专用条件约定的授权范围内，处理委托人与承包人所签订合同的变更事宜。如果变更超过授权范围，应以书面形式报委托人批准。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在紧急情况下，为了保护财产和人身安全，监理人所发出的指令未能事先报委托人批准时，应在发出指令后的24小时内以书面形式报委托人。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2.4.4 除专用条件另有约定外，监理人发现承包人的人员不能胜任本职工作的，有权要求承包人予以调换。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2.5 提交报告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监理人应按专用条件约定的种类、时间和份数向委托人提交监理与相关服务的报告。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2.6 文件资料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在本合同履行期内，监理人应在现场保留工作所用的图纸、报告及记录监理工作的相关文件。工程竣工后，应当按照档案管理规定将监理有关文件归档。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2.7 使用委托人的财产</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b/>
          <w:bCs/>
          <w:sz w:val="24"/>
          <w:szCs w:val="24"/>
        </w:rPr>
        <w:t>3．委托人的义务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3.1 告知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委托人应在委托人与承包人签订的合同中明确监理人、总监理工程师和授予项目监理机构的权限。如有变更，应及时通知承包人。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 提供资料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委托人应按照附录B约定，无偿向监理人提供工程有关的资料。在本合同履行过程中，委托人应及时向监理人提供最新的与工程有关的资料。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 提供工作条件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委托人应为监理人完成监理与相关服务提供必要的条件。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3.3.1 委托人应按照附录B约定，派遣相应的人员，提供房屋、设备，供监理人无偿使用。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3.3.2 委托人应负责协调工程建设中所有外部关系，为监理人履行本合同提供必要的外部条件。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3.4 委托人代表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3.5 委托人意见或要求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在本合同约定的监理与相关服务工作范围内，委托人对承包人的任何意见或要求应通知监理人，由监理人向承包人发出相应指令。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3.6 答复</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委托人应在专用条件约定的时间内，对监理人以书面形式提交并要求作出决定的事宜，给予书面答复。逾期未答复的，视为委托人认可。</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3.7 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委托人应按本合同约定，向监理人支付酬金。</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4. 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 监理人的违约责任</w:t>
      </w:r>
    </w:p>
    <w:p>
      <w:pPr>
        <w:spacing w:after="120"/>
        <w:ind w:left="420" w:leftChars="200"/>
        <w:rPr>
          <w:rFonts w:ascii="Times New Roman" w:hAnsi="Times New Roman" w:eastAsia="仿宋" w:cs="Times New Roman"/>
          <w:szCs w:val="24"/>
        </w:rPr>
      </w:pPr>
      <w:r>
        <w:rPr>
          <w:rFonts w:hint="eastAsia" w:ascii="宋体" w:hAnsi="宋体" w:eastAsia="宋体" w:cs="Times New Roman"/>
          <w:sz w:val="24"/>
          <w:szCs w:val="24"/>
        </w:rPr>
        <w:t>4.1.1监理人未履行本合同义务的，应承担委托人全部责任。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4.1.2 因监理人违反本合同约定给委托人造成损失的，监理人应当赔偿委托人损失。赔偿金额的确定方法在专用条件中约定。监理人承担部分赔偿责任的，其承担赔偿金额由双方协商确定。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4.1.3 监理人向委托人的索赔不成立时，监理人应赔偿委托人由此发生的费用。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 委托人的违约责任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委托人未履行本合同义务的，应承担相应的责任。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4.2.1 委托人违反本合同约定造成监理人损失的，委托人应予以赔偿。</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4.2.2 委托人向监理人的索赔不成立时，应赔偿监理人由此引起的费用。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4.2.3 委托人未能按期支付酬金超过28天，应按专用条件约定支付逾期付款利息。</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4.3 除外责任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因非监理人的原因，且监理人无过错，发生工程质量事故、安全事故、工期延误等造成的损失，监理人不承担赔偿责任。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因不可抗力导致本合同全部或部分不能履行时，双方各自承担其因此而造成的损失、损害。</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5. 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5.1 支付货币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除专用条件另有约定外，酬金均以人民币支付。涉及外币支付的，所采用的货币种类、比例和汇率在专用条件中约定。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5.2 支付申请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监理人应在本合同约定的每次应付款时间的7天前，向委托人提交支付申请书。支付申请书应当说明当期应付款总额，并列出当期应支付的款项及其金额。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5.3 支付酬金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支付的酬金包括正常工作酬金、附加工作酬金、合理化建议奖励金额及费用。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5.4 有争议部分的付款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6. 合同生效、变更、暂停、解除与终止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6.1生效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除法律另有规定或者专用条件另有约定外，委托人和监理人的法定代表人或其授权代理人在协议书上签字并盖单位章后本合同生效。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6.2变更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6.2.1 任何一方提出变更请求时，双方经协商一致后可进行变更。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6.2.4合同签订后，遇有与工程相关的法律法规、标准颁布或修订的，双方应遵照执行。由此引起监理与相关服务的范围、时间、酬金变化的，双方应通过协商进行相应调整。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6.2.5 因非监理人原因造成工程概算投资额或建筑安装工程费增加时，正常工作酬金应作相应调整。调整方法在专用条件中约定。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6.2.6 因工程规模、监理范围的变化导致监理人的正常工作量减少时，正常工作酬金应作相应调整。调整方法在专用条件中约定。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 暂停与解除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除双方协商一致可以解除本合同外，当一方无正当理由未履行本合同约定的义务时，另一方可以根据本合同约定暂停履行本合同直至解除本合同。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因解除本合同或解除监理人的部分义务导致监理人遭受的损失，除依法可以免除责任的情况外，应由委托人予以补偿，补偿金额由双方协商确定。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解除本合同的协议必须采取书面形式，协议未达成之前，本合同仍然有效。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6.3.5 因不可抗力致使本合同部分或全部不能履行时，一方应立即通知另一方，可暂停或解除本合同。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6.3.6 本合同解除后，本合同约定的有关结算、清理、争议解决方式的条件仍然有效。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6.4 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以下条件全部满足时，本合同即告终止：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（1）监理人完成本合同约定的全部工作；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（2）委托人与监理人结清并支付全部酬金。</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7. 争议解决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7.1协商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双方应本着诚信原则协商解决彼此间的争议。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7.2调解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如果双方不能在14天内或双方商定的其他时间内解决本合同争议，可以将其提交给专用条件约定的或事后达成协议的调解人进行调解。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7.3仲裁或诉讼</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双方均有权不经调解直接向专用条件约定的仲裁机构申请仲裁或向有管辖权的人民法院提起诉讼。</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8. 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8.1 外出考察费用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经委托人同意，监理人员外出考察发生的费用由委托人审核后支付。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8.2 检测费用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委托人要求监理人进行的材料和设备检测所发生的费用，由委托人支付，支付时间在专用条件中约定。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8.3 咨询费用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经委托人同意，根据工程需要由监理人组织的相关咨询论证会以及聘请相关专家等发生的费用由委托人支付，支付时间在专用条件中约定。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8.4 奖励</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8.5 守法诚信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监理人及其工作人员不得从与实施工程有关的第三方处获得任何经济利益。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8.6 保密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双方不得泄露对方申明的保密资料，亦不得泄露与实施工程有关的第三方所提供的保密资料，保密事项在专用条件中约定。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8.7 通知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本合同涉及的通知均应当采用书面形式，并在送达对方时生效，收件人应书面签收。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8.8 著作权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监理人对其编制的文件拥有著作权。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360" w:lineRule="auto"/>
        <w:rPr>
          <w:rFonts w:ascii="宋体" w:hAnsi="宋体" w:eastAsia="宋体" w:cs="Times New Roman"/>
          <w:sz w:val="24"/>
          <w:szCs w:val="24"/>
        </w:rPr>
      </w:pPr>
    </w:p>
    <w:p>
      <w:pPr>
        <w:spacing w:after="120"/>
        <w:ind w:left="420" w:leftChars="200" w:firstLine="480" w:firstLineChars="200"/>
        <w:rPr>
          <w:rFonts w:ascii="宋体" w:hAnsi="宋体" w:eastAsia="宋体" w:cs="Times New Roman"/>
          <w:sz w:val="24"/>
          <w:szCs w:val="24"/>
        </w:rPr>
      </w:pPr>
    </w:p>
    <w:p>
      <w:pPr>
        <w:spacing w:after="120"/>
        <w:ind w:left="420" w:leftChars="200" w:firstLine="480" w:firstLineChars="200"/>
        <w:rPr>
          <w:rFonts w:ascii="宋体" w:hAnsi="宋体" w:eastAsia="宋体" w:cs="Times New Roman"/>
          <w:sz w:val="24"/>
          <w:szCs w:val="24"/>
        </w:rPr>
      </w:pPr>
    </w:p>
    <w:p>
      <w:pPr>
        <w:spacing w:after="120"/>
        <w:ind w:left="420" w:leftChars="200" w:firstLine="480" w:firstLineChars="200"/>
        <w:rPr>
          <w:rFonts w:ascii="宋体" w:hAnsi="宋体" w:eastAsia="宋体" w:cs="Times New Roman"/>
          <w:sz w:val="24"/>
          <w:szCs w:val="24"/>
        </w:rPr>
      </w:pPr>
    </w:p>
    <w:p>
      <w:pPr>
        <w:spacing w:line="360" w:lineRule="auto"/>
        <w:ind w:firstLine="560" w:firstLineChars="20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第三部分专用条件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定义与解释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  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1.2.1 本合同文件除使用中文外，还可用 无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1.2.2 约定本合同文件的解释顺序为：执行通用条款1.2.2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监理人义务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 监理的范围和内容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2.1.1 监理范围包括： 根据招标文件要求，承担本工程施工准备阶段，施工阶段和验收阶段的监理工作。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 监理与相关服务依据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2.2.1 监理依据包括： 《中华人民共和国民法典》、《信息技术服务监理(GB/T19668系列)》，自治区及兵团工程监理有关规定、规章及有关政策性文件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2.2.2 相关服务依据包括：</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（1）《中华人民共和国民法典》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（2）《项目承建合同》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（3）现行国家有关信息系统工程建设的标准和规定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（4）现行国家有关信息系统工程监理工作的规范条文和法规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（5）现行地方有关信息系统工程建设的标准和规定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2.3项目监理机构和人员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2.3.4 更换监理人员的其他情形：   /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 履行职责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2.4.3 对监理人的授权范围：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（1）选择工程分包人的认可权。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（2）对工程建设有关事项包括设计标准、生产工艺设计和使用功能要求，向委托人的建议权。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对工程设计中的技术问题，按照安全和优化的原则，向设计人提出建议；如果拟提出的建议可能会提高工程造价，或延长工期，应当事先征得委托人的同意。当发现工程设计不符合国家现行的建设工程质量标准时，监理人应当书面报告委托人要求设计人更正。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（4）审批工程施工组织设计和技术方案，按照保质量、保工期和降低成本的原则，向承包人提出建议，并向委托人提出书面报告。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（5）征得委托人同意，监理人有权发布开工令、停工令、复工令，但事先向委托人报告。如在紧急情况下未能事先报告时，则应在24小时内向委托人作出书面报告。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工程上使用的材料和施工质量的检验权。对于不符合设计要求和合同约定及国家质量标准的材料、构配件、设备，有权通知承包人停止使用；对于不符合规范质量标准的工序、分项分部工程和不安全施工作业有权通知承包人停工整改、返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（7）工程施工进度的检查、监督权，以及工程实际竣工日期提前或超过工程施工合同规定的竣工期限的签认权。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（8）在工程施工合同约定的工程价格范围内，工程款支付的审核和签认权。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2.4.4 监理人有权要求承包人调换其人员的限制条件：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（1）监理人要求承包人调换项目经理的，应事先和委托人协商，委托人同意后提前7天向承包人发出调换项目经理通知；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（2）监理人要求承包人调换其他管理人员的，应提前7天通知委托人 。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2.5 提交报告</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监理人应提交报告的种类(包括监理规划、监理月报及约定的专项报告)、时间和份数：</w:t>
      </w:r>
      <w:r>
        <w:rPr>
          <w:rFonts w:hint="eastAsia" w:ascii="宋体" w:hAnsi="宋体" w:eastAsia="宋体" w:cs="Times New Roman"/>
          <w:sz w:val="24"/>
          <w:szCs w:val="24"/>
          <w:u w:val="single"/>
        </w:rPr>
        <w:t>监理人应在项目整体验收通过后十五日内，向委托人提供一份装订完成的监理资料（含监理各阶段文档，随工所产生的承建单位提交报审文档、影像照片。</w:t>
      </w:r>
    </w:p>
    <w:p>
      <w:pPr>
        <w:numPr>
          <w:ilvl w:val="0"/>
          <w:numId w:val="6"/>
        </w:num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委托人义务  </w:t>
      </w:r>
    </w:p>
    <w:p>
      <w:pPr>
        <w:tabs>
          <w:tab w:val="left" w:pos="0"/>
        </w:tabs>
        <w:spacing w:after="120"/>
        <w:ind w:left="12" w:leftChars="6" w:firstLine="703"/>
        <w:rPr>
          <w:rFonts w:ascii="宋体" w:hAnsi="宋体" w:eastAsia="宋体" w:cs="Times New Roman"/>
          <w:sz w:val="24"/>
          <w:szCs w:val="24"/>
        </w:rPr>
      </w:pPr>
      <w:r>
        <w:rPr>
          <w:rFonts w:hint="eastAsia" w:ascii="Times New Roman" w:hAnsi="Times New Roman" w:eastAsia="仿宋" w:cs="Times New Roman"/>
          <w:szCs w:val="24"/>
        </w:rPr>
        <w:t>3.1</w:t>
      </w:r>
      <w:r>
        <w:rPr>
          <w:rFonts w:hint="eastAsia" w:ascii="宋体" w:hAnsi="宋体" w:eastAsia="宋体" w:cs="Times New Roman"/>
          <w:sz w:val="24"/>
          <w:szCs w:val="24"/>
        </w:rPr>
        <w:t>委托人应提供的项目资料及提供时间：委托人在木合同正式签订后一周内，提供所监理项目的招标文件、投标文件、技术开发合同。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3.2委托人应在</w:t>
      </w:r>
      <w:r>
        <w:rPr>
          <w:rFonts w:hint="eastAsia" w:ascii="宋体" w:hAnsi="宋体" w:eastAsia="宋体" w:cs="Times New Roman"/>
          <w:sz w:val="24"/>
          <w:szCs w:val="24"/>
          <w:u w:val="single"/>
        </w:rPr>
        <w:t xml:space="preserve"> 五 </w:t>
      </w:r>
      <w:r>
        <w:rPr>
          <w:rFonts w:hint="eastAsia" w:ascii="宋体" w:hAnsi="宋体" w:eastAsia="宋体" w:cs="Times New Roman"/>
          <w:sz w:val="24"/>
          <w:szCs w:val="24"/>
        </w:rPr>
        <w:t>天内，对监理人书面提交并要求做出决定的事宜给予书面答复。</w:t>
      </w:r>
    </w:p>
    <w:p>
      <w:pPr>
        <w:spacing w:after="120"/>
        <w:ind w:left="691" w:leftChars="200" w:hanging="271" w:hangingChars="113"/>
        <w:rPr>
          <w:rFonts w:ascii="宋体" w:hAnsi="宋体" w:eastAsia="宋体" w:cs="Times New Roman"/>
          <w:sz w:val="24"/>
          <w:szCs w:val="24"/>
        </w:rPr>
      </w:pPr>
      <w:r>
        <w:rPr>
          <w:rFonts w:hint="eastAsia" w:ascii="宋体" w:hAnsi="宋体" w:eastAsia="宋体" w:cs="Times New Roman"/>
          <w:sz w:val="24"/>
          <w:szCs w:val="24"/>
        </w:rPr>
        <w:t>3.3委托人的常驻代表为</w:t>
      </w:r>
      <w:r>
        <w:rPr>
          <w:rFonts w:hint="eastAsia" w:ascii="宋体" w:hAnsi="宋体" w:eastAsia="宋体" w:cs="Times New Roman"/>
          <w:sz w:val="24"/>
          <w:szCs w:val="24"/>
          <w:u w:val="single"/>
        </w:rPr>
        <w:t>_/_</w:t>
      </w:r>
    </w:p>
    <w:p>
      <w:pPr>
        <w:spacing w:after="120"/>
        <w:ind w:left="691" w:leftChars="200" w:hanging="271" w:hangingChars="113"/>
        <w:rPr>
          <w:rFonts w:ascii="宋体" w:hAnsi="宋体" w:eastAsia="宋体" w:cs="Times New Roman"/>
          <w:sz w:val="24"/>
          <w:szCs w:val="24"/>
        </w:rPr>
      </w:pPr>
      <w:r>
        <w:rPr>
          <w:rFonts w:hint="eastAsia" w:ascii="宋体" w:hAnsi="宋体" w:eastAsia="宋体" w:cs="Times New Roman"/>
          <w:sz w:val="24"/>
          <w:szCs w:val="24"/>
        </w:rPr>
        <w:t>3.4 委托人免费向监理机构提供如下设施∶</w:t>
      </w:r>
    </w:p>
    <w:p>
      <w:pPr>
        <w:spacing w:after="120"/>
        <w:ind w:left="691" w:leftChars="200" w:hanging="271" w:hangingChars="113"/>
        <w:rPr>
          <w:rFonts w:ascii="宋体" w:hAnsi="宋体" w:eastAsia="宋体" w:cs="Times New Roman"/>
          <w:sz w:val="24"/>
          <w:szCs w:val="24"/>
        </w:rPr>
      </w:pPr>
      <w:r>
        <w:rPr>
          <w:rFonts w:hint="eastAsia" w:ascii="宋体" w:hAnsi="宋体" w:eastAsia="宋体" w:cs="Times New Roman"/>
          <w:sz w:val="24"/>
          <w:szCs w:val="24"/>
        </w:rPr>
        <w:t>临时办公室、场所，办公设备由监理机构自带，日常运维由委托人保障。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 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 监理人违约责任</w:t>
      </w:r>
    </w:p>
    <w:p>
      <w:pPr>
        <w:spacing w:after="120" w:line="360" w:lineRule="auto"/>
        <w:ind w:left="420" w:leftChars="200"/>
        <w:rPr>
          <w:rFonts w:ascii="Times New Roman" w:hAnsi="Times New Roman" w:eastAsia="仿宋" w:cs="Times New Roman"/>
          <w:szCs w:val="24"/>
        </w:rPr>
      </w:pPr>
      <w:r>
        <w:rPr>
          <w:rFonts w:hint="eastAsia" w:ascii="宋体" w:hAnsi="宋体" w:eastAsia="宋体" w:cs="Times New Roman"/>
          <w:sz w:val="24"/>
          <w:szCs w:val="24"/>
        </w:rPr>
        <w:t>4.1.1监理人未履行本合同义务的，应承担委托人全部责任。</w:t>
      </w:r>
    </w:p>
    <w:p>
      <w:pPr>
        <w:spacing w:after="120" w:line="360" w:lineRule="auto"/>
        <w:ind w:firstLine="480" w:firstLineChars="200"/>
        <w:rPr>
          <w:rFonts w:ascii="Times New Roman" w:hAnsi="Times New Roman" w:eastAsia="仿宋" w:cs="Times New Roman"/>
          <w:szCs w:val="24"/>
        </w:rPr>
      </w:pPr>
      <w:r>
        <w:rPr>
          <w:rFonts w:hint="eastAsia" w:ascii="宋体" w:hAnsi="宋体" w:eastAsia="宋体" w:cs="Times New Roman"/>
          <w:sz w:val="24"/>
          <w:szCs w:val="24"/>
        </w:rPr>
        <w:t>4.1.2如果乙方不能按甲方的需求提供服务，或服务质量、服务时限达不到要求，从应完成服务内容之日起开始计收违约金，每延期5个工作日，应向甲方支付合同价款</w:t>
      </w:r>
      <w:r>
        <w:rPr>
          <w:rFonts w:hint="eastAsia" w:ascii="宋体" w:hAnsi="宋体" w:eastAsia="宋体" w:cs="Times New Roman"/>
          <w:sz w:val="24"/>
          <w:szCs w:val="24"/>
          <w:u w:val="single"/>
        </w:rPr>
        <w:t xml:space="preserve"> 3%</w:t>
      </w:r>
      <w:r>
        <w:rPr>
          <w:rFonts w:hint="eastAsia" w:ascii="宋体" w:hAnsi="宋体" w:eastAsia="宋体" w:cs="Times New Roman"/>
          <w:sz w:val="24"/>
          <w:szCs w:val="24"/>
        </w:rPr>
        <w:t>的违约金，不足5个工作日的，按照 5个工作日计算；逾期</w:t>
      </w:r>
      <w:r>
        <w:rPr>
          <w:rFonts w:hint="eastAsia" w:ascii="宋体" w:hAnsi="宋体" w:eastAsia="宋体" w:cs="Times New Roman"/>
          <w:sz w:val="24"/>
          <w:szCs w:val="24"/>
          <w:u w:val="single"/>
        </w:rPr>
        <w:t xml:space="preserve">30 </w:t>
      </w:r>
      <w:r>
        <w:rPr>
          <w:rFonts w:hint="eastAsia" w:ascii="宋体" w:hAnsi="宋体" w:eastAsia="宋体" w:cs="Times New Roman"/>
          <w:sz w:val="24"/>
          <w:szCs w:val="24"/>
        </w:rPr>
        <w:t>个工作日以上，应视为严重违约，甲方有权单方解除本合同，乙方除向甲方退回全部所收款外，还应向甲方支付合同价款</w:t>
      </w:r>
      <w:r>
        <w:rPr>
          <w:rFonts w:hint="eastAsia" w:ascii="宋体" w:hAnsi="宋体" w:eastAsia="宋体" w:cs="Times New Roman"/>
          <w:sz w:val="24"/>
          <w:szCs w:val="24"/>
          <w:u w:val="single"/>
        </w:rPr>
        <w:t xml:space="preserve"> 30%</w:t>
      </w:r>
      <w:r>
        <w:rPr>
          <w:rFonts w:hint="eastAsia" w:ascii="宋体" w:hAnsi="宋体" w:eastAsia="宋体" w:cs="Times New Roman"/>
          <w:sz w:val="24"/>
          <w:szCs w:val="24"/>
        </w:rPr>
        <w:t>的违约金。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4.1.3监理人赔偿金额按下列方法确定：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赔偿金＝直接经济损失×正常工作酬金÷工程概算投资额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 委托人的违约责任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4.2.3 委托人逾期付款利息按下列方法确定：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逾期付款利息＝当期应付款总额×全国银行间同业拆借中心公布的贷款市场报价利率×拖延支付天数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 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5.1 支付货币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币种为： 人民币 ，比例为： 100% ，汇率为：</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 xml:space="preserve"> 。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5.3 支付酬金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正常工作酬金的支付：</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5.3.1第一次付款：合同签订并监理人向甲方提供正规发票后，10工作日内委托人向监理人支付合同金额的30%的预付款，即   元。</w:t>
      </w:r>
    </w:p>
    <w:p>
      <w:pPr>
        <w:snapToGrid w:val="0"/>
        <w:spacing w:before="120" w:after="120"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5.3.2第二次付款：监理人所承担建设项目均通过终验后，监理人向委托人提供正规发票</w:t>
      </w:r>
      <w:r>
        <w:rPr>
          <w:rFonts w:hint="eastAsia" w:ascii="宋体" w:hAnsi="宋体" w:eastAsia="宋体" w:cs="宋体"/>
          <w:sz w:val="24"/>
        </w:rPr>
        <w:t>，</w:t>
      </w:r>
      <w:r>
        <w:rPr>
          <w:rFonts w:hint="eastAsia" w:ascii="宋体" w:hAnsi="宋体" w:eastAsia="宋体" w:cs="Times New Roman"/>
          <w:bCs/>
          <w:sz w:val="24"/>
          <w:szCs w:val="24"/>
        </w:rPr>
        <w:t>10个工作日内委托人向监理人支付合同金额的70%，即  元。</w:t>
      </w:r>
    </w:p>
    <w:p>
      <w:pPr>
        <w:snapToGrid w:val="0"/>
        <w:spacing w:before="120" w:after="120" w:line="52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5.3.3支付的货币单位为：人民币。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 合同生效、变更、暂停、解除与终止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6.1 生效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本合同生效条件： 执行通用条款6.1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 变更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6.2.1由于委托人、第三方责任、设计变更及不良地质条件等非监理人原因致使正常的监理服务受到阻碍或延误；或在本合同履行过程中，委托人要求监理机构完成监理合同约定范围和内容以外的服务。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6.2.2 除不可抗力外， 因非监理人原因导致本合同期限延长时，附加工作酬金按下列方法确定：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附加工作酬金=本合同期限延长时间（天）×正常工作酬金÷协议书约定的监理与相关服务期限（天）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6.2.3附加工作酬金按下列方法确定：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附加工作酬金=善后工作及恢复服务的准备工作时间（天）×正常工作酬金÷协议书约定的监理与相关服务期限（天）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6.2.5 正常工作酬金增加额按下列方法确定：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正常工作酬金增加额=工程投资额增加额×正常工作酬金÷工程概算投资额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6.2.6 因工程规模、监理范围的变化导致监理人的正常工作量减少时，按减少工作量的比例从协议书约定的正常工作酬金中扣减相同比例的酬金。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6.2.7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 暂停与解除</w:t>
      </w:r>
    </w:p>
    <w:p>
      <w:pPr>
        <w:spacing w:after="120" w:line="360" w:lineRule="auto"/>
        <w:ind w:left="420" w:leftChars="200" w:firstLine="480" w:firstLineChars="200"/>
        <w:rPr>
          <w:rFonts w:ascii="宋体" w:hAnsi="宋体" w:eastAsia="宋体" w:cs="Times New Roman"/>
          <w:sz w:val="24"/>
          <w:szCs w:val="24"/>
        </w:rPr>
      </w:pPr>
      <w:r>
        <w:rPr>
          <w:rFonts w:hint="eastAsia" w:ascii="宋体" w:hAnsi="宋体" w:eastAsia="宋体" w:cs="Times New Roman"/>
          <w:sz w:val="24"/>
          <w:szCs w:val="24"/>
        </w:rPr>
        <w:t>除双方协商一致可以解除本合同外，当一方无正当理由未履行本合同约定的义务时，另一方可以根据本合同约定暂停履行本合同直至解除本合同。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 争议解决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7.2 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本合同争议进行调解时，可提交  无  进行调解。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7.3 仲裁或诉讼</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合同争议的最终解决方式为下列第 （2） 种方式：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（1）提请  </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 xml:space="preserve">  仲裁委员会进行仲裁。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（2）向 项目所在地 人民法院提起诉讼。</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 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8.2 检测费用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委托人应在检测工作完成后</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天内支付检测费用。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8.3 咨询费用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委托人应在咨询工作完成后</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天内支付咨询费用。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8.4 奖励</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合理化建议的奖励金额按下列方法确定为：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奖励金额＝工程投资节省额×奖励金额的比率；</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奖励金额的比率为</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8.5著作权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监理人在本合同履行期间及本合同终止后两年内出版涉及本工程的有关监理与相关服务的资料的限制条件：  涉及本工程设计及专项技术内容的，监理人应事先征得委托人同意，不经委托人同意不得出版相关内容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 补充条款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暂无</w:t>
      </w:r>
    </w:p>
    <w:p>
      <w:pPr>
        <w:ind w:firstLine="3570" w:firstLineChars="1700"/>
        <w:rPr>
          <w:rFonts w:cs="Times New Roman" w:asciiTheme="minorEastAsia" w:hAnsiTheme="minorEastAsia"/>
          <w:szCs w:val="20"/>
        </w:rPr>
      </w:pPr>
    </w:p>
    <w:p>
      <w:pPr>
        <w:widowControl/>
        <w:jc w:val="left"/>
        <w:rPr>
          <w:rFonts w:cs="Times New Roman" w:asciiTheme="minorEastAsia" w:hAnsiTheme="minorEastAsia"/>
          <w:b/>
          <w:sz w:val="30"/>
          <w:szCs w:val="30"/>
        </w:rPr>
      </w:pPr>
      <w:r>
        <w:rPr>
          <w:rFonts w:cs="Times New Roman" w:asciiTheme="minorEastAsia" w:hAnsiTheme="minorEastAsia"/>
          <w:b/>
          <w:sz w:val="30"/>
          <w:szCs w:val="30"/>
        </w:rPr>
        <w:br w:type="page"/>
      </w:r>
    </w:p>
    <w:p>
      <w:pPr>
        <w:spacing w:line="500" w:lineRule="exact"/>
        <w:ind w:firstLine="600" w:firstLineChars="200"/>
        <w:jc w:val="center"/>
        <w:rPr>
          <w:rFonts w:ascii="宋体" w:hAnsi="宋体" w:eastAsia="宋体" w:cs="Times New Roman"/>
          <w:b/>
          <w:sz w:val="30"/>
          <w:szCs w:val="30"/>
        </w:rPr>
      </w:pPr>
      <w:r>
        <w:rPr>
          <w:rFonts w:hint="eastAsia" w:ascii="宋体" w:hAnsi="宋体" w:eastAsia="宋体" w:cs="Times New Roman"/>
          <w:b/>
          <w:sz w:val="30"/>
          <w:szCs w:val="30"/>
        </w:rPr>
        <w:t>第五章 投标文件格式</w:t>
      </w:r>
      <w:bookmarkEnd w:id="35"/>
    </w:p>
    <w:p>
      <w:pPr>
        <w:spacing w:line="400" w:lineRule="exact"/>
        <w:jc w:val="lef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r>
        <w:rPr>
          <w:rFonts w:hint="eastAsia" w:ascii="仿宋" w:hAnsi="仿宋" w:eastAsia="仿宋" w:cs="仿宋"/>
          <w:color w:val="000000"/>
          <w:sz w:val="24"/>
          <w:szCs w:val="24"/>
        </w:rPr>
        <w:t>正本/副本</w:t>
      </w: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autoSpaceDE w:val="0"/>
        <w:autoSpaceDN w:val="0"/>
        <w:adjustRightInd w:val="0"/>
        <w:spacing w:line="500" w:lineRule="exact"/>
        <w:jc w:val="center"/>
        <w:rPr>
          <w:rFonts w:ascii="宋体" w:hAnsi="宋体" w:eastAsia="宋体" w:cs="Times New Roman"/>
          <w:b/>
          <w:kern w:val="0"/>
          <w:sz w:val="48"/>
          <w:szCs w:val="48"/>
        </w:rPr>
      </w:pPr>
    </w:p>
    <w:p>
      <w:pPr>
        <w:autoSpaceDE w:val="0"/>
        <w:autoSpaceDN w:val="0"/>
        <w:adjustRightInd w:val="0"/>
        <w:spacing w:line="500" w:lineRule="exact"/>
        <w:jc w:val="center"/>
        <w:rPr>
          <w:rFonts w:ascii="宋体" w:hAnsi="宋体" w:eastAsia="宋体" w:cs="Times New Roman"/>
          <w:b/>
          <w:kern w:val="0"/>
          <w:sz w:val="48"/>
          <w:szCs w:val="48"/>
        </w:rPr>
      </w:pPr>
      <w:r>
        <w:rPr>
          <w:rFonts w:hint="eastAsia" w:ascii="宋体" w:hAnsi="宋体" w:eastAsia="宋体" w:cs="Times New Roman"/>
          <w:b/>
          <w:kern w:val="0"/>
          <w:sz w:val="48"/>
          <w:szCs w:val="48"/>
        </w:rPr>
        <w:t>磋 商 文 件</w:t>
      </w:r>
    </w:p>
    <w:p>
      <w:pPr>
        <w:autoSpaceDE w:val="0"/>
        <w:autoSpaceDN w:val="0"/>
        <w:adjustRightInd w:val="0"/>
        <w:spacing w:line="500" w:lineRule="exact"/>
        <w:jc w:val="center"/>
        <w:rPr>
          <w:rFonts w:ascii="宋体" w:hAnsi="宋体" w:eastAsia="宋体" w:cs="Times New Roman"/>
          <w:b/>
          <w:kern w:val="0"/>
          <w:sz w:val="44"/>
          <w:szCs w:val="44"/>
        </w:rPr>
      </w:pPr>
    </w:p>
    <w:p>
      <w:pPr>
        <w:autoSpaceDE w:val="0"/>
        <w:autoSpaceDN w:val="0"/>
        <w:adjustRightInd w:val="0"/>
        <w:spacing w:line="500" w:lineRule="exact"/>
        <w:jc w:val="left"/>
        <w:rPr>
          <w:rFonts w:ascii="宋体" w:hAnsi="宋体" w:eastAsia="宋体" w:cs="Times New Roman"/>
          <w:b/>
          <w:kern w:val="0"/>
          <w:sz w:val="22"/>
        </w:rPr>
      </w:pPr>
      <w:r>
        <w:rPr>
          <w:rFonts w:hint="eastAsia" w:ascii="宋体" w:hAnsi="宋体" w:eastAsia="宋体" w:cs="Times New Roman"/>
          <w:b/>
          <w:kern w:val="0"/>
          <w:sz w:val="22"/>
        </w:rPr>
        <w:t>    </w:t>
      </w:r>
    </w:p>
    <w:p>
      <w:pPr>
        <w:autoSpaceDE w:val="0"/>
        <w:autoSpaceDN w:val="0"/>
        <w:adjustRightInd w:val="0"/>
        <w:spacing w:line="500" w:lineRule="exact"/>
        <w:jc w:val="left"/>
        <w:rPr>
          <w:rFonts w:ascii="宋体" w:hAnsi="宋体" w:eastAsia="宋体" w:cs="Times New Roman"/>
          <w:b/>
          <w:kern w:val="0"/>
          <w:sz w:val="22"/>
        </w:rPr>
      </w:pPr>
      <w:r>
        <w:rPr>
          <w:rFonts w:hint="eastAsia" w:ascii="宋体" w:hAnsi="宋体" w:eastAsia="宋体" w:cs="Times New Roman"/>
          <w:b/>
          <w:kern w:val="0"/>
          <w:sz w:val="22"/>
        </w:rPr>
        <w:t>     </w:t>
      </w:r>
    </w:p>
    <w:p>
      <w:pPr>
        <w:autoSpaceDE w:val="0"/>
        <w:autoSpaceDN w:val="0"/>
        <w:adjustRightInd w:val="0"/>
        <w:spacing w:line="500" w:lineRule="exact"/>
        <w:rPr>
          <w:rFonts w:ascii="宋体" w:hAnsi="宋体" w:eastAsia="宋体" w:cs="Times New Roman"/>
          <w:kern w:val="0"/>
          <w:sz w:val="22"/>
        </w:rPr>
      </w:pPr>
    </w:p>
    <w:p>
      <w:pPr>
        <w:autoSpaceDE w:val="0"/>
        <w:autoSpaceDN w:val="0"/>
        <w:adjustRightInd w:val="0"/>
        <w:spacing w:line="500" w:lineRule="exact"/>
        <w:ind w:firstLine="567"/>
        <w:rPr>
          <w:rFonts w:ascii="宋体" w:hAnsi="宋体" w:eastAsia="宋体" w:cs="Times New Roman"/>
          <w:kern w:val="0"/>
          <w:sz w:val="22"/>
        </w:rPr>
      </w:pPr>
    </w:p>
    <w:p>
      <w:pPr>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项目名称：</w:t>
      </w:r>
    </w:p>
    <w:p>
      <w:pPr>
        <w:spacing w:line="500" w:lineRule="exact"/>
        <w:ind w:left="1680" w:hanging="1680"/>
        <w:jc w:val="center"/>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项目编号：</w:t>
      </w:r>
    </w:p>
    <w:p>
      <w:pPr>
        <w:autoSpaceDE w:val="0"/>
        <w:autoSpaceDN w:val="0"/>
        <w:adjustRightInd w:val="0"/>
        <w:spacing w:line="500" w:lineRule="exact"/>
        <w:ind w:firstLine="560" w:firstLineChars="200"/>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投标单位名称（盖章）：</w:t>
      </w:r>
    </w:p>
    <w:p>
      <w:pPr>
        <w:autoSpaceDE w:val="0"/>
        <w:autoSpaceDN w:val="0"/>
        <w:adjustRightInd w:val="0"/>
        <w:spacing w:line="500" w:lineRule="exact"/>
        <w:ind w:firstLine="567"/>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法定代表人或全权代表（签字或盖章）：</w:t>
      </w:r>
    </w:p>
    <w:p>
      <w:pPr>
        <w:autoSpaceDE w:val="0"/>
        <w:autoSpaceDN w:val="0"/>
        <w:adjustRightInd w:val="0"/>
        <w:spacing w:line="500" w:lineRule="exact"/>
        <w:ind w:firstLine="560" w:firstLineChars="200"/>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项目联系人：</w:t>
      </w:r>
    </w:p>
    <w:p>
      <w:pPr>
        <w:autoSpaceDE w:val="0"/>
        <w:autoSpaceDN w:val="0"/>
        <w:adjustRightInd w:val="0"/>
        <w:spacing w:line="500" w:lineRule="exact"/>
        <w:ind w:firstLine="560" w:firstLineChars="200"/>
        <w:rPr>
          <w:rFonts w:ascii="宋体" w:hAnsi="宋体" w:eastAsia="宋体" w:cs="Times New Roman"/>
          <w:kern w:val="0"/>
          <w:sz w:val="28"/>
          <w:szCs w:val="28"/>
        </w:rPr>
      </w:pPr>
    </w:p>
    <w:p>
      <w:pPr>
        <w:autoSpaceDE w:val="0"/>
        <w:autoSpaceDN w:val="0"/>
        <w:adjustRightInd w:val="0"/>
        <w:spacing w:line="500" w:lineRule="exact"/>
        <w:ind w:firstLine="560" w:firstLineChars="200"/>
        <w:jc w:val="left"/>
        <w:rPr>
          <w:rFonts w:ascii="宋体" w:hAnsi="宋体" w:eastAsia="宋体" w:cs="Times New Roman"/>
          <w:kern w:val="0"/>
          <w:sz w:val="28"/>
          <w:szCs w:val="28"/>
        </w:rPr>
      </w:pPr>
      <w:r>
        <w:rPr>
          <w:rFonts w:hint="eastAsia" w:ascii="宋体" w:hAnsi="宋体" w:eastAsia="宋体" w:cs="Times New Roman"/>
          <w:kern w:val="0"/>
          <w:sz w:val="28"/>
          <w:szCs w:val="28"/>
        </w:rPr>
        <w:t>联系方式：</w:t>
      </w:r>
    </w:p>
    <w:p>
      <w:pPr>
        <w:autoSpaceDE w:val="0"/>
        <w:autoSpaceDN w:val="0"/>
        <w:adjustRightInd w:val="0"/>
        <w:spacing w:line="500" w:lineRule="exact"/>
        <w:ind w:firstLine="560" w:firstLineChars="200"/>
        <w:jc w:val="center"/>
        <w:rPr>
          <w:rFonts w:ascii="宋体" w:hAnsi="宋体" w:eastAsia="宋体" w:cs="Times New Roman"/>
          <w:kern w:val="0"/>
          <w:sz w:val="28"/>
          <w:szCs w:val="28"/>
        </w:rPr>
      </w:pPr>
      <w:r>
        <w:rPr>
          <w:rFonts w:hint="eastAsia" w:ascii="宋体" w:hAnsi="宋体" w:eastAsia="宋体" w:cs="Times New Roman"/>
          <w:kern w:val="0"/>
          <w:sz w:val="28"/>
          <w:szCs w:val="28"/>
        </w:rPr>
        <w:t>日  期：202</w:t>
      </w:r>
      <w:r>
        <w:rPr>
          <w:rFonts w:ascii="宋体" w:hAnsi="宋体" w:eastAsia="宋体" w:cs="Times New Roman"/>
          <w:kern w:val="0"/>
          <w:sz w:val="28"/>
          <w:szCs w:val="28"/>
        </w:rPr>
        <w:t>1</w:t>
      </w:r>
      <w:r>
        <w:rPr>
          <w:rFonts w:hint="eastAsia" w:ascii="宋体" w:hAnsi="宋体" w:eastAsia="宋体" w:cs="Times New Roman"/>
          <w:kern w:val="0"/>
          <w:sz w:val="28"/>
          <w:szCs w:val="28"/>
        </w:rPr>
        <w:t>年   月   日</w:t>
      </w:r>
    </w:p>
    <w:p>
      <w:pPr>
        <w:widowControl/>
        <w:jc w:val="center"/>
        <w:rPr>
          <w:rFonts w:ascii="宋体" w:hAnsi="宋体" w:eastAsia="宋体" w:cs="Times New Roman"/>
          <w:b/>
          <w:kern w:val="0"/>
          <w:sz w:val="30"/>
          <w:szCs w:val="30"/>
        </w:rPr>
      </w:pPr>
    </w:p>
    <w:p>
      <w:pPr>
        <w:widowControl/>
        <w:jc w:val="center"/>
        <w:rPr>
          <w:rFonts w:ascii="宋体" w:hAnsi="宋体" w:eastAsia="宋体" w:cs="Times New Roman"/>
          <w:b/>
          <w:kern w:val="0"/>
          <w:sz w:val="30"/>
          <w:szCs w:val="30"/>
        </w:rPr>
      </w:pPr>
    </w:p>
    <w:p>
      <w:pPr>
        <w:pageBreakBefore/>
        <w:widowControl/>
        <w:jc w:val="center"/>
        <w:rPr>
          <w:rFonts w:ascii="宋体" w:hAnsi="宋体" w:eastAsia="宋体" w:cs="Times New Roman"/>
          <w:b/>
          <w:kern w:val="0"/>
          <w:sz w:val="30"/>
          <w:szCs w:val="30"/>
        </w:rPr>
      </w:pPr>
      <w:r>
        <w:rPr>
          <w:rFonts w:hint="eastAsia" w:ascii="宋体" w:hAnsi="宋体" w:eastAsia="宋体" w:cs="Times New Roman"/>
          <w:b/>
          <w:kern w:val="0"/>
          <w:sz w:val="30"/>
          <w:szCs w:val="30"/>
        </w:rPr>
        <w:t>目 录</w:t>
      </w:r>
    </w:p>
    <w:p>
      <w:pPr>
        <w:widowControl/>
        <w:jc w:val="center"/>
        <w:rPr>
          <w:rFonts w:ascii="宋体" w:hAnsi="宋体" w:eastAsia="宋体" w:cs="Times New Roman"/>
          <w:b/>
          <w:kern w:val="0"/>
          <w:sz w:val="28"/>
          <w:szCs w:val="28"/>
        </w:rPr>
      </w:pPr>
      <w:r>
        <w:rPr>
          <w:rFonts w:hint="eastAsia" w:ascii="宋体" w:hAnsi="宋体" w:eastAsia="宋体" w:cs="Times New Roman"/>
          <w:b/>
          <w:kern w:val="0"/>
          <w:sz w:val="28"/>
          <w:szCs w:val="28"/>
        </w:rPr>
        <w:t>（自行编制</w:t>
      </w:r>
      <w:r>
        <w:rPr>
          <w:rFonts w:ascii="宋体" w:hAnsi="宋体" w:eastAsia="宋体" w:cs="Times New Roman"/>
          <w:b/>
          <w:kern w:val="0"/>
          <w:sz w:val="28"/>
          <w:szCs w:val="28"/>
        </w:rPr>
        <w:t>，标明页码</w:t>
      </w:r>
      <w:r>
        <w:rPr>
          <w:rFonts w:hint="eastAsia" w:ascii="宋体" w:hAnsi="宋体" w:eastAsia="宋体" w:cs="Times New Roman"/>
          <w:b/>
          <w:kern w:val="0"/>
          <w:sz w:val="28"/>
          <w:szCs w:val="28"/>
        </w:rPr>
        <w:t>）</w:t>
      </w:r>
    </w:p>
    <w:p>
      <w:pPr>
        <w:widowControl/>
        <w:jc w:val="left"/>
        <w:rPr>
          <w:rFonts w:ascii="宋体" w:hAnsi="宋体" w:eastAsia="宋体" w:cs="Times New Roman"/>
          <w:b/>
          <w:kern w:val="0"/>
          <w:sz w:val="30"/>
          <w:szCs w:val="30"/>
        </w:rPr>
      </w:pPr>
      <w:r>
        <w:rPr>
          <w:rFonts w:ascii="宋体" w:hAnsi="宋体" w:eastAsia="宋体" w:cs="Times New Roman"/>
          <w:b/>
          <w:kern w:val="0"/>
          <w:sz w:val="30"/>
          <w:szCs w:val="30"/>
        </w:rPr>
        <w:br w:type="page"/>
      </w:r>
    </w:p>
    <w:p>
      <w:pPr>
        <w:pageBreakBefore/>
        <w:spacing w:line="360" w:lineRule="auto"/>
        <w:jc w:val="center"/>
        <w:outlineLvl w:val="1"/>
        <w:rPr>
          <w:b/>
          <w:kern w:val="0"/>
          <w:sz w:val="24"/>
          <w:szCs w:val="24"/>
        </w:rPr>
      </w:pPr>
      <w:bookmarkStart w:id="36" w:name="_Toc13995233"/>
      <w:bookmarkStart w:id="37" w:name="_Toc71135164"/>
      <w:r>
        <w:rPr>
          <w:rFonts w:hint="eastAsia"/>
          <w:b/>
          <w:kern w:val="0"/>
          <w:sz w:val="24"/>
          <w:szCs w:val="24"/>
        </w:rPr>
        <w:t>一、磋商承诺函</w:t>
      </w:r>
    </w:p>
    <w:p>
      <w:pPr>
        <w:spacing w:line="360" w:lineRule="auto"/>
        <w:jc w:val="center"/>
        <w:rPr>
          <w:b/>
          <w:bCs/>
          <w:szCs w:val="21"/>
        </w:rPr>
      </w:pPr>
      <w:r>
        <w:rPr>
          <w:rFonts w:hint="eastAsia"/>
          <w:b/>
          <w:bCs/>
          <w:szCs w:val="21"/>
        </w:rPr>
        <w:t>磋商承诺</w:t>
      </w:r>
      <w:r>
        <w:rPr>
          <w:b/>
          <w:bCs/>
          <w:szCs w:val="21"/>
        </w:rPr>
        <w:t>函</w:t>
      </w:r>
    </w:p>
    <w:p>
      <w:pPr>
        <w:spacing w:line="480" w:lineRule="auto"/>
        <w:ind w:firstLine="420" w:firstLineChars="200"/>
        <w:rPr>
          <w:rFonts w:ascii="宋体" w:hAnsi="宋体"/>
          <w:szCs w:val="21"/>
        </w:rPr>
      </w:pPr>
      <w:r>
        <w:rPr>
          <w:rFonts w:hint="eastAsia" w:ascii="宋体" w:hAnsi="宋体"/>
          <w:szCs w:val="21"/>
        </w:rPr>
        <w:t>致：</w:t>
      </w:r>
    </w:p>
    <w:p>
      <w:pPr>
        <w:spacing w:line="480" w:lineRule="auto"/>
        <w:ind w:left="210" w:leftChars="100" w:firstLine="210" w:firstLineChars="100"/>
        <w:rPr>
          <w:rFonts w:ascii="宋体" w:hAnsi="宋体"/>
          <w:szCs w:val="21"/>
        </w:rPr>
      </w:pPr>
      <w:r>
        <w:t>1.在研究了</w:t>
      </w:r>
      <w:r>
        <w:rPr>
          <w:rFonts w:hint="eastAsia"/>
        </w:rPr>
        <w:t>竞争性</w:t>
      </w:r>
      <w:r>
        <w:t>磋商文件（含补遗书第号）之后，我方愿意对本采购项目按照（大写）元整（小写</w:t>
      </w:r>
      <w:r>
        <w:rPr>
          <w:u w:val="single"/>
        </w:rPr>
        <w:t xml:space="preserve">¥        </w:t>
      </w:r>
      <w:r>
        <w:t>元）的价格进行报价；遵照</w:t>
      </w:r>
      <w:r>
        <w:rPr>
          <w:rFonts w:hint="eastAsia"/>
        </w:rPr>
        <w:t>磋商</w:t>
      </w:r>
      <w:r>
        <w:t>文件的要求承担本合同的服务工作</w:t>
      </w:r>
      <w:r>
        <w:rPr>
          <w:rFonts w:hint="eastAsia"/>
        </w:rPr>
        <w:t>，</w:t>
      </w:r>
      <w:r>
        <w:rPr>
          <w:rFonts w:hint="eastAsia" w:ascii="宋体" w:hAnsi="宋体"/>
          <w:szCs w:val="21"/>
        </w:rPr>
        <w:t>提交下述竞争性磋商报价文件。</w:t>
      </w:r>
    </w:p>
    <w:p>
      <w:pPr>
        <w:spacing w:line="480" w:lineRule="auto"/>
        <w:rPr>
          <w:rFonts w:ascii="宋体" w:hAnsi="宋体"/>
          <w:szCs w:val="21"/>
        </w:rPr>
      </w:pPr>
      <w:r>
        <w:rPr>
          <w:rFonts w:hint="eastAsia" w:ascii="宋体" w:hAnsi="宋体"/>
          <w:szCs w:val="21"/>
        </w:rPr>
        <w:t>1、磋商报价明细表；2、磋商保证金凭证；3、技术条款偏离表；4、 商务条款偏离表；5、 法定代表人身份证明书；6、法定代表人授权委托书；7、供应商资格声明；8、服务承诺书；9、 服务方案；10、其它相关资料；11、服务质量保证措施</w:t>
      </w:r>
    </w:p>
    <w:p>
      <w:pPr>
        <w:widowControl/>
        <w:spacing w:line="480" w:lineRule="auto"/>
        <w:ind w:right="18" w:firstLine="426"/>
      </w:pPr>
      <w:r>
        <w:t>2.本项目</w:t>
      </w:r>
      <w:r>
        <w:rPr>
          <w:rFonts w:hint="eastAsia"/>
        </w:rPr>
        <w:t>服务</w:t>
      </w:r>
      <w:r>
        <w:t>周期</w:t>
      </w:r>
      <w:r>
        <w:rPr>
          <w:rFonts w:hint="eastAsia"/>
        </w:rPr>
        <w:t>：</w:t>
      </w:r>
    </w:p>
    <w:p>
      <w:pPr>
        <w:widowControl/>
        <w:spacing w:line="480" w:lineRule="auto"/>
        <w:ind w:firstLine="420" w:firstLineChars="200"/>
        <w:jc w:val="left"/>
        <w:rPr>
          <w:rFonts w:ascii="宋体" w:hAnsi="宋体"/>
          <w:kern w:val="0"/>
          <w:szCs w:val="21"/>
          <w:u w:val="single"/>
        </w:rPr>
      </w:pPr>
      <w:r>
        <w:rPr>
          <w:rFonts w:hint="eastAsia" w:ascii="宋体" w:hAnsi="宋体"/>
          <w:kern w:val="0"/>
          <w:szCs w:val="21"/>
        </w:rPr>
        <w:t>服务周期：</w:t>
      </w:r>
      <w:r>
        <w:rPr>
          <w:rFonts w:hint="eastAsia" w:cs="宋体" w:asciiTheme="majorEastAsia" w:hAnsiTheme="majorEastAsia" w:eastAsiaTheme="majorEastAsia"/>
          <w:szCs w:val="21"/>
          <w:u w:val="single"/>
        </w:rPr>
        <w:t>自合同签订之日起至监理对象竣工验收</w:t>
      </w:r>
      <w:r>
        <w:rPr>
          <w:rFonts w:hint="eastAsia" w:ascii="宋体" w:hAnsi="宋体"/>
          <w:szCs w:val="21"/>
          <w:u w:val="single"/>
        </w:rPr>
        <w:t>。</w:t>
      </w:r>
    </w:p>
    <w:p>
      <w:pPr>
        <w:spacing w:line="480" w:lineRule="auto"/>
        <w:ind w:firstLine="420" w:firstLineChars="200"/>
        <w:rPr>
          <w:rFonts w:ascii="宋体" w:hAnsi="宋体"/>
          <w:szCs w:val="21"/>
        </w:rPr>
      </w:pPr>
      <w:r>
        <w:rPr>
          <w:rFonts w:hint="eastAsia" w:ascii="宋体" w:hAnsi="宋体"/>
          <w:szCs w:val="21"/>
        </w:rPr>
        <w:t>在此，签字代表宣布同意如下：</w:t>
      </w:r>
    </w:p>
    <w:p>
      <w:pPr>
        <w:spacing w:line="480" w:lineRule="auto"/>
        <w:ind w:firstLine="420" w:firstLineChars="200"/>
        <w:rPr>
          <w:rFonts w:ascii="宋体" w:hAnsi="宋体"/>
          <w:szCs w:val="21"/>
        </w:rPr>
      </w:pPr>
      <w:r>
        <w:rPr>
          <w:rFonts w:hint="eastAsia" w:ascii="宋体" w:hAnsi="宋体"/>
          <w:szCs w:val="21"/>
        </w:rPr>
        <w:t>所附磋商报价明细表中规定的应提交和交付的服务总价为人民币金额数，（并同时用文字和数字表示的磋商总价）。</w:t>
      </w:r>
    </w:p>
    <w:p>
      <w:pPr>
        <w:spacing w:line="480" w:lineRule="auto"/>
        <w:ind w:firstLine="420" w:firstLineChars="200"/>
        <w:rPr>
          <w:rFonts w:ascii="宋体" w:hAnsi="宋体"/>
          <w:szCs w:val="21"/>
        </w:rPr>
      </w:pPr>
      <w:r>
        <w:rPr>
          <w:rFonts w:hint="eastAsia" w:ascii="宋体" w:hAnsi="宋体"/>
          <w:szCs w:val="21"/>
        </w:rPr>
        <w:t>供应商将按磋商文件的规定履行合同责任和义务。</w:t>
      </w:r>
    </w:p>
    <w:p>
      <w:pPr>
        <w:spacing w:line="480" w:lineRule="auto"/>
        <w:ind w:firstLine="420" w:firstLineChars="200"/>
        <w:rPr>
          <w:rFonts w:ascii="宋体" w:hAnsi="宋体"/>
          <w:szCs w:val="21"/>
        </w:rPr>
      </w:pPr>
      <w:r>
        <w:rPr>
          <w:rFonts w:hint="eastAsia" w:ascii="宋体" w:hAnsi="宋体"/>
          <w:szCs w:val="21"/>
        </w:rPr>
        <w:t>供应商已详细审查全部磋商文件。我们完全理解并同意放弃对这方面有不明及误解的权力。</w:t>
      </w:r>
    </w:p>
    <w:p>
      <w:pPr>
        <w:spacing w:line="480" w:lineRule="auto"/>
        <w:ind w:firstLine="420" w:firstLineChars="200"/>
        <w:rPr>
          <w:rFonts w:ascii="宋体" w:hAnsi="宋体"/>
          <w:szCs w:val="21"/>
          <w:highlight w:val="none"/>
        </w:rPr>
      </w:pPr>
      <w:r>
        <w:rPr>
          <w:rFonts w:hint="eastAsia" w:ascii="宋体" w:hAnsi="宋体"/>
          <w:szCs w:val="21"/>
        </w:rPr>
        <w:t>本投标有效期为自</w:t>
      </w:r>
      <w:r>
        <w:rPr>
          <w:rFonts w:hint="eastAsia" w:ascii="宋体" w:hAnsi="宋体"/>
          <w:szCs w:val="21"/>
          <w:highlight w:val="none"/>
        </w:rPr>
        <w:t>开标日起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45</w:t>
      </w:r>
      <w:r>
        <w:rPr>
          <w:rFonts w:hint="eastAsia" w:ascii="宋体" w:hAnsi="宋体"/>
          <w:szCs w:val="21"/>
          <w:highlight w:val="none"/>
          <w:u w:val="single"/>
        </w:rPr>
        <w:t xml:space="preserve">  </w:t>
      </w:r>
      <w:r>
        <w:rPr>
          <w:rFonts w:hint="eastAsia" w:ascii="宋体" w:hAnsi="宋体"/>
          <w:szCs w:val="21"/>
          <w:highlight w:val="none"/>
        </w:rPr>
        <w:t>个日历日。</w:t>
      </w:r>
    </w:p>
    <w:p>
      <w:pPr>
        <w:spacing w:line="480" w:lineRule="auto"/>
        <w:ind w:firstLine="420" w:firstLineChars="200"/>
        <w:rPr>
          <w:rFonts w:ascii="宋体" w:hAnsi="宋体"/>
          <w:szCs w:val="21"/>
        </w:rPr>
      </w:pPr>
      <w:r>
        <w:rPr>
          <w:rFonts w:hint="eastAsia" w:ascii="宋体" w:hAnsi="宋体"/>
          <w:szCs w:val="21"/>
        </w:rPr>
        <w:t>如果在规定的开标时间后，供应商在投标有效期内撤回投标，其磋商保证金将被贵方没收。</w:t>
      </w:r>
    </w:p>
    <w:p>
      <w:pPr>
        <w:spacing w:line="480" w:lineRule="auto"/>
        <w:ind w:firstLine="420" w:firstLineChars="200"/>
        <w:rPr>
          <w:rFonts w:ascii="宋体" w:hAnsi="宋体"/>
          <w:szCs w:val="21"/>
        </w:rPr>
      </w:pPr>
      <w:r>
        <w:rPr>
          <w:rFonts w:hint="eastAsia" w:ascii="宋体" w:hAnsi="宋体"/>
          <w:szCs w:val="21"/>
        </w:rPr>
        <w:t>如果我们的磋商报价文件被接受，我们将严格履行磋商文件中规定的每一项要求，按期、按质、按量履行服务义务。</w:t>
      </w:r>
    </w:p>
    <w:p>
      <w:pPr>
        <w:spacing w:line="480" w:lineRule="auto"/>
        <w:ind w:firstLine="420" w:firstLineChars="200"/>
        <w:rPr>
          <w:rFonts w:ascii="宋体" w:hAnsi="宋体"/>
          <w:szCs w:val="21"/>
        </w:rPr>
      </w:pPr>
      <w:r>
        <w:rPr>
          <w:rFonts w:hint="eastAsia" w:ascii="宋体" w:hAnsi="宋体"/>
          <w:szCs w:val="21"/>
        </w:rPr>
        <w:t>根据供应商须知第</w:t>
      </w:r>
      <w:r>
        <w:rPr>
          <w:rFonts w:ascii="宋体" w:hAnsi="宋体"/>
          <w:szCs w:val="21"/>
        </w:rPr>
        <w:t>2</w:t>
      </w:r>
      <w:r>
        <w:rPr>
          <w:rFonts w:hint="eastAsia" w:ascii="宋体" w:hAnsi="宋体"/>
          <w:szCs w:val="21"/>
        </w:rPr>
        <w:t>条规定，我方承诺，与买方聘请的为此项目提供咨询服务的公司及任何附属机构均无关联，我方不是买方的附属机构。</w:t>
      </w:r>
    </w:p>
    <w:p>
      <w:pPr>
        <w:spacing w:line="480" w:lineRule="auto"/>
        <w:ind w:firstLine="420" w:firstLineChars="200"/>
        <w:rPr>
          <w:rFonts w:ascii="宋体" w:hAnsi="宋体"/>
          <w:szCs w:val="21"/>
        </w:rPr>
      </w:pPr>
      <w:r>
        <w:rPr>
          <w:rFonts w:hint="eastAsia" w:ascii="宋体" w:hAnsi="宋体"/>
          <w:szCs w:val="21"/>
        </w:rPr>
        <w:t>供应商同意提供按照贵方可能要求的与其投标有关的一切数据或资料，完全理解贵方不一定接受最低磋商报价的投标。</w:t>
      </w:r>
    </w:p>
    <w:p>
      <w:pPr>
        <w:spacing w:line="480" w:lineRule="auto"/>
        <w:ind w:firstLine="420" w:firstLineChars="200"/>
        <w:rPr>
          <w:rFonts w:ascii="宋体" w:hAnsi="宋体"/>
          <w:szCs w:val="21"/>
        </w:rPr>
      </w:pPr>
      <w:r>
        <w:rPr>
          <w:rFonts w:hint="eastAsia" w:ascii="宋体" w:hAnsi="宋体"/>
          <w:szCs w:val="21"/>
        </w:rPr>
        <w:t>若我方获得中标，我方保证按有关规定向贵方支付招标代理服务费。我方承诺接受磋商文件及澄清修改部分（如有）的全部条款（包括磋商报价文件递交截止时间、保证金、资格评审条件、成交标准以及招标需求等其他所有条款）且无任何异议，现向贵公司提出承诺报价。</w:t>
      </w:r>
    </w:p>
    <w:p>
      <w:pPr>
        <w:spacing w:line="480" w:lineRule="auto"/>
        <w:ind w:firstLine="420" w:firstLineChars="200"/>
        <w:rPr>
          <w:rFonts w:ascii="宋体" w:hAnsi="宋体"/>
          <w:szCs w:val="21"/>
        </w:rPr>
      </w:pPr>
      <w:r>
        <w:rPr>
          <w:rFonts w:hint="eastAsia" w:ascii="宋体" w:hAnsi="宋体"/>
          <w:szCs w:val="21"/>
        </w:rPr>
        <w:t>与本投标有关的一切正式往来信函请寄：</w:t>
      </w:r>
    </w:p>
    <w:tbl>
      <w:tblPr>
        <w:tblStyle w:val="20"/>
        <w:tblW w:w="0" w:type="auto"/>
        <w:tblInd w:w="0" w:type="dxa"/>
        <w:tblLayout w:type="fixed"/>
        <w:tblCellMar>
          <w:top w:w="0" w:type="dxa"/>
          <w:left w:w="108" w:type="dxa"/>
          <w:bottom w:w="0" w:type="dxa"/>
          <w:right w:w="108" w:type="dxa"/>
        </w:tblCellMar>
      </w:tblPr>
      <w:tblGrid>
        <w:gridCol w:w="4219"/>
        <w:gridCol w:w="4275"/>
      </w:tblGrid>
      <w:tr>
        <w:tblPrEx>
          <w:tblCellMar>
            <w:top w:w="0" w:type="dxa"/>
            <w:left w:w="108" w:type="dxa"/>
            <w:bottom w:w="0" w:type="dxa"/>
            <w:right w:w="108" w:type="dxa"/>
          </w:tblCellMar>
        </w:tblPrEx>
        <w:tc>
          <w:tcPr>
            <w:tcW w:w="4219" w:type="dxa"/>
            <w:tcBorders>
              <w:top w:val="nil"/>
              <w:left w:val="nil"/>
              <w:bottom w:val="nil"/>
              <w:right w:val="nil"/>
            </w:tcBorders>
          </w:tcPr>
          <w:p>
            <w:pPr>
              <w:spacing w:line="480" w:lineRule="auto"/>
              <w:ind w:firstLine="420" w:firstLineChars="200"/>
              <w:rPr>
                <w:rFonts w:ascii="宋体" w:hAnsi="宋体"/>
                <w:szCs w:val="21"/>
              </w:rPr>
            </w:pPr>
            <w:r>
              <w:rPr>
                <w:rFonts w:hint="eastAsia" w:ascii="宋体" w:hAnsi="宋体"/>
                <w:szCs w:val="21"/>
              </w:rPr>
              <w:t>地址</w:t>
            </w:r>
          </w:p>
          <w:p>
            <w:pPr>
              <w:spacing w:line="480" w:lineRule="auto"/>
              <w:ind w:firstLine="420" w:firstLineChars="200"/>
              <w:rPr>
                <w:rFonts w:ascii="宋体" w:hAnsi="宋体"/>
                <w:szCs w:val="21"/>
              </w:rPr>
            </w:pPr>
            <w:r>
              <w:rPr>
                <w:rFonts w:hint="eastAsia" w:ascii="宋体" w:hAnsi="宋体"/>
                <w:szCs w:val="21"/>
              </w:rPr>
              <w:t>电话</w:t>
            </w:r>
          </w:p>
        </w:tc>
        <w:tc>
          <w:tcPr>
            <w:tcW w:w="4275" w:type="dxa"/>
            <w:tcBorders>
              <w:top w:val="nil"/>
              <w:left w:val="nil"/>
              <w:bottom w:val="nil"/>
              <w:right w:val="nil"/>
            </w:tcBorders>
          </w:tcPr>
          <w:p>
            <w:pPr>
              <w:spacing w:line="480" w:lineRule="auto"/>
              <w:ind w:firstLine="420" w:firstLineChars="200"/>
              <w:rPr>
                <w:rFonts w:ascii="宋体" w:hAnsi="宋体"/>
                <w:szCs w:val="21"/>
              </w:rPr>
            </w:pPr>
            <w:r>
              <w:rPr>
                <w:rFonts w:hint="eastAsia" w:ascii="宋体" w:hAnsi="宋体"/>
                <w:szCs w:val="21"/>
              </w:rPr>
              <w:t>传真</w:t>
            </w:r>
          </w:p>
          <w:p>
            <w:pPr>
              <w:spacing w:line="480" w:lineRule="auto"/>
              <w:ind w:firstLine="420" w:firstLineChars="200"/>
              <w:rPr>
                <w:rFonts w:ascii="宋体" w:hAnsi="宋体"/>
                <w:szCs w:val="21"/>
              </w:rPr>
            </w:pPr>
            <w:r>
              <w:rPr>
                <w:rFonts w:hint="eastAsia" w:ascii="宋体" w:hAnsi="宋体"/>
                <w:szCs w:val="21"/>
              </w:rPr>
              <w:t>电子函件</w:t>
            </w:r>
          </w:p>
        </w:tc>
      </w:tr>
    </w:tbl>
    <w:p>
      <w:pPr>
        <w:spacing w:line="480" w:lineRule="auto"/>
        <w:ind w:firstLine="420" w:firstLineChars="200"/>
        <w:rPr>
          <w:rFonts w:ascii="宋体" w:hAnsi="宋体"/>
          <w:szCs w:val="21"/>
        </w:rPr>
      </w:pPr>
      <w:r>
        <w:rPr>
          <w:rFonts w:hint="eastAsia" w:ascii="宋体" w:hAnsi="宋体"/>
          <w:szCs w:val="21"/>
        </w:rPr>
        <w:t>供应商授权代表签字     供应商名称</w:t>
      </w:r>
    </w:p>
    <w:p>
      <w:pPr>
        <w:spacing w:line="480" w:lineRule="auto"/>
        <w:ind w:firstLine="420" w:firstLineChars="200"/>
        <w:rPr>
          <w:rFonts w:ascii="宋体" w:hAnsi="宋体"/>
          <w:szCs w:val="21"/>
        </w:rPr>
      </w:pPr>
      <w:r>
        <w:rPr>
          <w:rFonts w:hint="eastAsia" w:ascii="宋体" w:hAnsi="宋体"/>
          <w:szCs w:val="21"/>
        </w:rPr>
        <w:t>供应商公章   日期</w:t>
      </w:r>
    </w:p>
    <w:p>
      <w:pPr>
        <w:spacing w:line="360" w:lineRule="auto"/>
        <w:ind w:firstLine="420" w:firstLineChars="200"/>
        <w:rPr>
          <w:rFonts w:ascii="宋体" w:hAnsi="宋体"/>
          <w:szCs w:val="21"/>
        </w:rPr>
        <w:sectPr>
          <w:footerReference r:id="rId7" w:type="first"/>
          <w:headerReference r:id="rId5" w:type="default"/>
          <w:footerReference r:id="rId6" w:type="default"/>
          <w:pgSz w:w="11906" w:h="16838"/>
          <w:pgMar w:top="1386" w:right="1298" w:bottom="1134" w:left="799" w:header="709" w:footer="794" w:gutter="567"/>
          <w:cols w:space="720" w:num="1"/>
          <w:docGrid w:type="linesAndChars" w:linePitch="312" w:charSpace="0"/>
        </w:sectPr>
      </w:pPr>
    </w:p>
    <w:p>
      <w:pPr>
        <w:spacing w:line="360" w:lineRule="auto"/>
        <w:ind w:firstLine="420" w:firstLineChars="200"/>
        <w:rPr>
          <w:rFonts w:ascii="宋体" w:hAnsi="宋体"/>
          <w:szCs w:val="21"/>
        </w:rPr>
      </w:pPr>
    </w:p>
    <w:p>
      <w:pPr>
        <w:keepNext/>
        <w:keepLines/>
        <w:spacing w:before="156" w:beforeLines="50" w:after="156" w:afterLines="50" w:line="360" w:lineRule="auto"/>
        <w:ind w:left="551" w:leftChars="-67" w:hanging="691" w:hangingChars="288"/>
        <w:jc w:val="center"/>
        <w:outlineLvl w:val="1"/>
        <w:rPr>
          <w:b/>
          <w:kern w:val="0"/>
          <w:sz w:val="24"/>
          <w:szCs w:val="24"/>
        </w:rPr>
      </w:pPr>
      <w:bookmarkStart w:id="38" w:name="_Toc13995232"/>
      <w:bookmarkStart w:id="39" w:name="_Toc71135163"/>
      <w:r>
        <w:rPr>
          <w:rFonts w:hint="eastAsia"/>
          <w:b/>
          <w:kern w:val="0"/>
          <w:sz w:val="24"/>
          <w:szCs w:val="24"/>
        </w:rPr>
        <w:t>二、磋商报价明细表</w:t>
      </w:r>
      <w:bookmarkEnd w:id="38"/>
      <w:bookmarkEnd w:id="39"/>
    </w:p>
    <w:p>
      <w:pPr>
        <w:spacing w:line="360" w:lineRule="auto"/>
        <w:jc w:val="center"/>
        <w:rPr>
          <w:rFonts w:ascii="宋体" w:hAnsi="宋体" w:cs="宋体"/>
          <w:b/>
          <w:kern w:val="0"/>
        </w:rPr>
      </w:pPr>
      <w:r>
        <w:rPr>
          <w:rFonts w:hint="eastAsia" w:ascii="宋体" w:hAnsi="宋体" w:cs="宋体"/>
          <w:b/>
          <w:kern w:val="0"/>
        </w:rPr>
        <w:t>磋商报价明细表</w:t>
      </w:r>
    </w:p>
    <w:tbl>
      <w:tblPr>
        <w:tblStyle w:val="20"/>
        <w:tblpPr w:leftFromText="180" w:rightFromText="180" w:vertAnchor="text" w:horzAnchor="margin" w:tblpY="94"/>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97"/>
        <w:gridCol w:w="1804"/>
        <w:gridCol w:w="3068"/>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818" w:type="dxa"/>
            <w:vAlign w:val="center"/>
          </w:tcPr>
          <w:p>
            <w:pPr>
              <w:adjustRightInd w:val="0"/>
              <w:snapToGrid w:val="0"/>
              <w:spacing w:line="240" w:lineRule="exact"/>
              <w:jc w:val="center"/>
              <w:rPr>
                <w:rFonts w:ascii="宋体" w:hAnsi="宋体" w:eastAsia="宋体" w:cs="宋体"/>
                <w:szCs w:val="21"/>
              </w:rPr>
            </w:pPr>
            <w:r>
              <w:rPr>
                <w:rFonts w:hint="eastAsia" w:ascii="宋体" w:hAnsi="宋体" w:eastAsia="宋体" w:cs="宋体"/>
                <w:szCs w:val="21"/>
              </w:rPr>
              <w:t>序号</w:t>
            </w:r>
          </w:p>
        </w:tc>
        <w:tc>
          <w:tcPr>
            <w:tcW w:w="1997" w:type="dxa"/>
            <w:vAlign w:val="center"/>
          </w:tcPr>
          <w:p>
            <w:pPr>
              <w:adjustRightInd w:val="0"/>
              <w:snapToGrid w:val="0"/>
              <w:spacing w:line="240" w:lineRule="exact"/>
              <w:jc w:val="center"/>
              <w:rPr>
                <w:rFonts w:ascii="宋体" w:hAnsi="宋体" w:eastAsia="宋体" w:cs="宋体"/>
                <w:szCs w:val="21"/>
              </w:rPr>
            </w:pPr>
            <w:r>
              <w:rPr>
                <w:rFonts w:hint="eastAsia" w:ascii="宋体" w:hAnsi="宋体" w:eastAsia="宋体" w:cs="宋体"/>
                <w:szCs w:val="21"/>
              </w:rPr>
              <w:t>服务内容</w:t>
            </w:r>
          </w:p>
        </w:tc>
        <w:tc>
          <w:tcPr>
            <w:tcW w:w="1804" w:type="dxa"/>
            <w:vAlign w:val="center"/>
          </w:tcPr>
          <w:p>
            <w:pPr>
              <w:adjustRightInd w:val="0"/>
              <w:snapToGrid w:val="0"/>
              <w:spacing w:line="240" w:lineRule="exact"/>
              <w:jc w:val="center"/>
              <w:rPr>
                <w:rFonts w:ascii="宋体" w:hAnsi="宋体" w:eastAsia="宋体" w:cs="宋体"/>
                <w:szCs w:val="21"/>
              </w:rPr>
            </w:pPr>
            <w:r>
              <w:rPr>
                <w:rFonts w:hint="eastAsia" w:ascii="宋体" w:hAnsi="宋体" w:eastAsia="宋体" w:cs="宋体"/>
                <w:szCs w:val="21"/>
              </w:rPr>
              <w:t>服务标准</w:t>
            </w:r>
          </w:p>
        </w:tc>
        <w:tc>
          <w:tcPr>
            <w:tcW w:w="3068" w:type="dxa"/>
            <w:vAlign w:val="center"/>
          </w:tcPr>
          <w:p>
            <w:pPr>
              <w:adjustRightInd w:val="0"/>
              <w:snapToGrid w:val="0"/>
              <w:spacing w:line="240" w:lineRule="exact"/>
              <w:jc w:val="center"/>
              <w:rPr>
                <w:rFonts w:ascii="宋体" w:hAnsi="宋体" w:eastAsia="宋体" w:cs="宋体"/>
                <w:szCs w:val="21"/>
              </w:rPr>
            </w:pPr>
            <w:r>
              <w:rPr>
                <w:rFonts w:ascii="宋体" w:hAnsi="宋体" w:eastAsia="宋体" w:cs="宋体"/>
                <w:szCs w:val="21"/>
              </w:rPr>
              <w:t>价格</w:t>
            </w:r>
          </w:p>
        </w:tc>
        <w:tc>
          <w:tcPr>
            <w:tcW w:w="1804" w:type="dxa"/>
            <w:vAlign w:val="center"/>
          </w:tcPr>
          <w:p>
            <w:pPr>
              <w:adjustRightInd w:val="0"/>
              <w:snapToGrid w:val="0"/>
              <w:spacing w:line="240" w:lineRule="exact"/>
              <w:jc w:val="center"/>
              <w:rPr>
                <w:rFonts w:ascii="宋体" w:hAnsi="宋体" w:eastAsia="宋体" w:cs="宋体"/>
                <w:szCs w:val="21"/>
              </w:rPr>
            </w:pPr>
            <w:r>
              <w:rPr>
                <w:rFonts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pPr>
              <w:adjustRightInd w:val="0"/>
              <w:snapToGrid w:val="0"/>
              <w:spacing w:line="240" w:lineRule="exact"/>
              <w:jc w:val="center"/>
              <w:rPr>
                <w:rFonts w:ascii="宋体" w:hAnsi="宋体" w:eastAsia="宋体" w:cs="宋体"/>
                <w:szCs w:val="21"/>
              </w:rPr>
            </w:pPr>
            <w:r>
              <w:rPr>
                <w:rFonts w:ascii="宋体" w:hAnsi="宋体" w:eastAsia="宋体" w:cs="宋体"/>
                <w:szCs w:val="21"/>
              </w:rPr>
              <w:t>……</w:t>
            </w: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pPr>
              <w:adjustRightInd w:val="0"/>
              <w:snapToGrid w:val="0"/>
              <w:spacing w:line="240" w:lineRule="exact"/>
              <w:jc w:val="center"/>
              <w:rPr>
                <w:rFonts w:ascii="宋体" w:hAnsi="宋体" w:eastAsia="宋体" w:cs="宋体"/>
                <w:szCs w:val="21"/>
              </w:rPr>
            </w:pPr>
            <w:r>
              <w:rPr>
                <w:rFonts w:ascii="宋体" w:hAnsi="宋体" w:eastAsia="宋体" w:cs="宋体"/>
                <w:szCs w:val="21"/>
              </w:rPr>
              <w:t>……</w:t>
            </w: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18" w:type="dxa"/>
            <w:vAlign w:val="center"/>
          </w:tcPr>
          <w:p>
            <w:pPr>
              <w:adjustRightInd w:val="0"/>
              <w:snapToGrid w:val="0"/>
              <w:spacing w:line="240" w:lineRule="exact"/>
              <w:jc w:val="center"/>
              <w:rPr>
                <w:rFonts w:ascii="宋体" w:hAnsi="宋体" w:eastAsia="宋体" w:cs="宋体"/>
                <w:szCs w:val="21"/>
              </w:rPr>
            </w:pPr>
            <w:r>
              <w:rPr>
                <w:rFonts w:ascii="宋体" w:hAnsi="宋体" w:eastAsia="宋体" w:cs="宋体"/>
                <w:szCs w:val="21"/>
              </w:rPr>
              <w:t>……</w:t>
            </w: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pPr>
              <w:adjustRightInd w:val="0"/>
              <w:snapToGrid w:val="0"/>
              <w:spacing w:line="240" w:lineRule="exact"/>
              <w:jc w:val="center"/>
              <w:rPr>
                <w:rFonts w:ascii="宋体" w:hAnsi="宋体" w:eastAsia="宋体" w:cs="宋体"/>
                <w:szCs w:val="21"/>
              </w:rPr>
            </w:pPr>
          </w:p>
        </w:tc>
        <w:tc>
          <w:tcPr>
            <w:tcW w:w="1997"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c>
          <w:tcPr>
            <w:tcW w:w="3068" w:type="dxa"/>
            <w:vAlign w:val="center"/>
          </w:tcPr>
          <w:p>
            <w:pPr>
              <w:adjustRightInd w:val="0"/>
              <w:snapToGrid w:val="0"/>
              <w:spacing w:line="240" w:lineRule="exact"/>
              <w:jc w:val="center"/>
              <w:rPr>
                <w:rFonts w:ascii="宋体" w:hAnsi="宋体" w:eastAsia="宋体" w:cs="宋体"/>
                <w:szCs w:val="21"/>
              </w:rPr>
            </w:pPr>
          </w:p>
        </w:tc>
        <w:tc>
          <w:tcPr>
            <w:tcW w:w="1804" w:type="dxa"/>
            <w:vAlign w:val="center"/>
          </w:tcPr>
          <w:p>
            <w:pPr>
              <w:adjustRightInd w:val="0"/>
              <w:snapToGrid w:val="0"/>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815" w:type="dxa"/>
            <w:gridSpan w:val="2"/>
            <w:vAlign w:val="center"/>
          </w:tcPr>
          <w:p>
            <w:pPr>
              <w:adjustRightInd w:val="0"/>
              <w:snapToGrid w:val="0"/>
              <w:spacing w:line="240" w:lineRule="exact"/>
              <w:jc w:val="center"/>
              <w:rPr>
                <w:rFonts w:ascii="宋体" w:hAnsi="宋体" w:eastAsia="宋体" w:cs="宋体"/>
                <w:szCs w:val="21"/>
              </w:rPr>
            </w:pPr>
            <w:r>
              <w:rPr>
                <w:rFonts w:hint="eastAsia" w:ascii="宋体" w:hAnsi="宋体" w:eastAsia="宋体" w:cs="宋体"/>
                <w:szCs w:val="21"/>
              </w:rPr>
              <w:t>合计</w:t>
            </w:r>
          </w:p>
        </w:tc>
        <w:tc>
          <w:tcPr>
            <w:tcW w:w="6676" w:type="dxa"/>
            <w:gridSpan w:val="3"/>
            <w:tcBorders>
              <w:top w:val="nil"/>
            </w:tcBorders>
            <w:vAlign w:val="center"/>
          </w:tcPr>
          <w:p>
            <w:pPr>
              <w:adjustRightInd w:val="0"/>
              <w:snapToGrid w:val="0"/>
              <w:spacing w:line="240" w:lineRule="exact"/>
              <w:jc w:val="center"/>
              <w:rPr>
                <w:rFonts w:ascii="宋体" w:hAnsi="宋体" w:eastAsia="宋体" w:cs="宋体"/>
                <w:szCs w:val="21"/>
              </w:rPr>
            </w:pPr>
          </w:p>
        </w:tc>
      </w:tr>
    </w:tbl>
    <w:p>
      <w:pPr>
        <w:rPr>
          <w:b/>
          <w:bCs/>
          <w:szCs w:val="21"/>
        </w:rPr>
      </w:pPr>
      <w:r>
        <w:rPr>
          <w:rFonts w:hint="eastAsia"/>
          <w:b/>
          <w:bCs/>
          <w:szCs w:val="21"/>
        </w:rPr>
        <w:t>1、本表由供应商自行编制，其中服务内容、服务标准等须与第六章采购需求中要求表保持一致。</w:t>
      </w:r>
    </w:p>
    <w:p>
      <w:pPr>
        <w:rPr>
          <w:rFonts w:ascii="宋体" w:hAnsi="宋体" w:cs="宋体"/>
          <w:kern w:val="0"/>
          <w:sz w:val="20"/>
        </w:rPr>
      </w:pPr>
    </w:p>
    <w:p>
      <w:pPr>
        <w:spacing w:line="360" w:lineRule="auto"/>
        <w:ind w:firstLine="8400" w:firstLineChars="4000"/>
        <w:jc w:val="left"/>
        <w:rPr>
          <w:rFonts w:ascii="Calibri" w:hAnsi="Calibri"/>
          <w:szCs w:val="21"/>
        </w:rPr>
      </w:pPr>
    </w:p>
    <w:p>
      <w:pPr>
        <w:spacing w:line="360" w:lineRule="auto"/>
        <w:jc w:val="left"/>
        <w:rPr>
          <w:rFonts w:ascii="Calibri" w:hAnsi="Calibri"/>
          <w:szCs w:val="21"/>
        </w:rPr>
      </w:pPr>
      <w:r>
        <w:rPr>
          <w:rFonts w:hint="eastAsia" w:ascii="Calibri" w:hAnsi="Calibri"/>
          <w:szCs w:val="21"/>
        </w:rPr>
        <w:t>供应商：（盖章）</w:t>
      </w:r>
    </w:p>
    <w:p>
      <w:pPr>
        <w:spacing w:line="360" w:lineRule="auto"/>
        <w:ind w:firstLine="8820" w:firstLineChars="4200"/>
        <w:jc w:val="left"/>
        <w:rPr>
          <w:rFonts w:ascii="Calibri" w:hAnsi="Calibri"/>
          <w:szCs w:val="21"/>
        </w:rPr>
      </w:pPr>
    </w:p>
    <w:p>
      <w:pPr>
        <w:spacing w:line="360" w:lineRule="auto"/>
        <w:jc w:val="left"/>
        <w:rPr>
          <w:rFonts w:ascii="Calibri" w:hAnsi="Calibri"/>
          <w:szCs w:val="21"/>
        </w:rPr>
      </w:pPr>
      <w:r>
        <w:rPr>
          <w:rFonts w:hint="eastAsia" w:ascii="Calibri" w:hAnsi="Calibri"/>
          <w:szCs w:val="21"/>
        </w:rPr>
        <w:t>法定代表人：（盖章）</w:t>
      </w:r>
    </w:p>
    <w:p>
      <w:pPr>
        <w:widowControl/>
        <w:jc w:val="left"/>
        <w:rPr>
          <w:b/>
          <w:kern w:val="0"/>
          <w:sz w:val="24"/>
          <w:szCs w:val="24"/>
        </w:rPr>
      </w:pPr>
      <w:r>
        <w:rPr>
          <w:b/>
          <w:kern w:val="0"/>
          <w:sz w:val="24"/>
          <w:szCs w:val="24"/>
        </w:rPr>
        <w:br w:type="page"/>
      </w:r>
    </w:p>
    <w:p>
      <w:pPr>
        <w:keepNext/>
        <w:keepLines/>
        <w:spacing w:before="156" w:beforeLines="50" w:after="156" w:afterLines="50" w:line="360" w:lineRule="auto"/>
        <w:ind w:left="551" w:leftChars="-67" w:hanging="691" w:hangingChars="288"/>
        <w:jc w:val="center"/>
        <w:outlineLvl w:val="1"/>
        <w:rPr>
          <w:b/>
          <w:kern w:val="0"/>
          <w:sz w:val="24"/>
          <w:szCs w:val="24"/>
        </w:rPr>
      </w:pPr>
      <w:r>
        <w:rPr>
          <w:rFonts w:hint="eastAsia"/>
          <w:b/>
          <w:kern w:val="0"/>
          <w:sz w:val="24"/>
          <w:szCs w:val="24"/>
        </w:rPr>
        <w:t>三、磋商保证金</w:t>
      </w:r>
    </w:p>
    <w:p>
      <w:pPr>
        <w:tabs>
          <w:tab w:val="center" w:pos="4156"/>
        </w:tabs>
        <w:spacing w:line="360" w:lineRule="auto"/>
        <w:contextualSpacing/>
        <w:jc w:val="center"/>
        <w:rPr>
          <w:rFonts w:ascii="宋体" w:hAnsi="宋体" w:eastAsia="宋体" w:cs="Times New Roman"/>
          <w:sz w:val="24"/>
          <w:szCs w:val="24"/>
        </w:rPr>
      </w:pPr>
    </w:p>
    <w:p>
      <w:pPr>
        <w:tabs>
          <w:tab w:val="center" w:pos="4156"/>
        </w:tabs>
        <w:spacing w:line="360" w:lineRule="auto"/>
        <w:contextualSpacing/>
        <w:jc w:val="center"/>
        <w:rPr>
          <w:rFonts w:ascii="宋体" w:hAnsi="宋体" w:eastAsia="宋体" w:cs="Times New Roman"/>
          <w:sz w:val="24"/>
          <w:szCs w:val="24"/>
        </w:rPr>
      </w:pPr>
    </w:p>
    <w:p>
      <w:pPr>
        <w:tabs>
          <w:tab w:val="center" w:pos="4156"/>
        </w:tabs>
        <w:spacing w:line="360" w:lineRule="auto"/>
        <w:contextualSpacing/>
        <w:jc w:val="center"/>
        <w:rPr>
          <w:rFonts w:ascii="宋体" w:hAnsi="宋体" w:eastAsia="宋体" w:cs="Times New Roman"/>
          <w:sz w:val="24"/>
          <w:szCs w:val="24"/>
        </w:rPr>
      </w:pPr>
    </w:p>
    <w:p>
      <w:pPr>
        <w:tabs>
          <w:tab w:val="center" w:pos="4156"/>
        </w:tabs>
        <w:spacing w:line="360" w:lineRule="auto"/>
        <w:contextualSpacing/>
        <w:jc w:val="center"/>
        <w:rPr>
          <w:rFonts w:ascii="宋体" w:hAnsi="宋体" w:eastAsia="宋体" w:cs="MingLiU_HKSCS"/>
          <w:sz w:val="24"/>
          <w:szCs w:val="24"/>
        </w:rPr>
      </w:pPr>
      <w:r>
        <w:rPr>
          <w:rFonts w:ascii="宋体" w:hAnsi="宋体" w:eastAsia="宋体" w:cs="Times New Roman"/>
          <w:sz w:val="24"/>
          <w:szCs w:val="24"/>
        </w:rPr>
        <w:t>(</w:t>
      </w:r>
      <w:r>
        <w:rPr>
          <w:rFonts w:hint="eastAsia" w:ascii="宋体" w:hAnsi="宋体" w:eastAsia="宋体" w:cs="Times New Roman"/>
          <w:sz w:val="24"/>
          <w:szCs w:val="24"/>
        </w:rPr>
        <w:t>示例略</w:t>
      </w:r>
      <w:r>
        <w:rPr>
          <w:rFonts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Times New Roman" w:hAnsi="Times New Roman" w:eastAsia="MingLiU_HKSCS" w:cs="Times New Roman"/>
          <w:sz w:val="28"/>
          <w:szCs w:val="28"/>
        </w:rPr>
      </w:pPr>
      <w:r>
        <w:rPr>
          <w:rFonts w:hint="eastAsia" w:ascii="宋体" w:hAnsi="宋体" w:eastAsia="宋体" w:cs="Times New Roman"/>
          <w:sz w:val="24"/>
          <w:szCs w:val="24"/>
        </w:rPr>
        <w:t>备注：</w:t>
      </w:r>
      <w:r>
        <w:rPr>
          <w:rFonts w:hint="eastAsia" w:ascii="Times New Roman" w:hAnsi="Times New Roman" w:eastAsia="宋体" w:cs="Times New Roman"/>
          <w:sz w:val="24"/>
          <w:szCs w:val="24"/>
        </w:rPr>
        <w:t>提供汇款单或转账凭证复印件</w:t>
      </w:r>
      <w:r>
        <w:rPr>
          <w:rFonts w:hint="eastAsia" w:ascii="宋体" w:hAnsi="宋体" w:eastAsia="宋体" w:cs="Times New Roman"/>
          <w:b/>
          <w:sz w:val="24"/>
          <w:szCs w:val="24"/>
        </w:rPr>
        <w:t>。</w:t>
      </w:r>
    </w:p>
    <w:p>
      <w:pPr>
        <w:spacing w:line="360" w:lineRule="auto"/>
        <w:ind w:right="-97"/>
        <w:jc w:val="center"/>
        <w:rPr>
          <w:rFonts w:ascii="Times New Roman" w:hAnsi="Times New Roman" w:eastAsia="宋体" w:cs="Times New Roman"/>
          <w:b/>
          <w:sz w:val="24"/>
          <w:szCs w:val="24"/>
        </w:rPr>
      </w:pPr>
    </w:p>
    <w:p>
      <w:pPr>
        <w:keepNext/>
        <w:keepLines/>
        <w:spacing w:before="156" w:beforeLines="50" w:after="156" w:afterLines="50" w:line="360" w:lineRule="auto"/>
        <w:ind w:left="551" w:leftChars="-67" w:hanging="691" w:hangingChars="288"/>
        <w:jc w:val="left"/>
        <w:outlineLvl w:val="1"/>
        <w:rPr>
          <w:b/>
          <w:kern w:val="0"/>
          <w:sz w:val="24"/>
          <w:szCs w:val="24"/>
        </w:rPr>
      </w:pPr>
    </w:p>
    <w:p>
      <w:pPr>
        <w:widowControl/>
        <w:jc w:val="left"/>
        <w:rPr>
          <w:b/>
          <w:kern w:val="0"/>
          <w:sz w:val="24"/>
          <w:szCs w:val="24"/>
        </w:rPr>
      </w:pPr>
      <w:r>
        <w:rPr>
          <w:b/>
          <w:kern w:val="0"/>
          <w:sz w:val="24"/>
          <w:szCs w:val="24"/>
        </w:rPr>
        <w:br w:type="page"/>
      </w:r>
    </w:p>
    <w:p>
      <w:pPr>
        <w:widowControl/>
        <w:jc w:val="left"/>
        <w:rPr>
          <w:b/>
          <w:kern w:val="0"/>
          <w:sz w:val="24"/>
          <w:szCs w:val="24"/>
        </w:rPr>
      </w:pPr>
    </w:p>
    <w:p>
      <w:pPr>
        <w:keepNext/>
        <w:keepLines/>
        <w:spacing w:line="360" w:lineRule="auto"/>
        <w:jc w:val="center"/>
        <w:outlineLvl w:val="1"/>
        <w:rPr>
          <w:b/>
          <w:kern w:val="0"/>
          <w:sz w:val="24"/>
          <w:szCs w:val="24"/>
        </w:rPr>
      </w:pPr>
      <w:r>
        <w:rPr>
          <w:rFonts w:hint="eastAsia"/>
          <w:b/>
          <w:kern w:val="0"/>
          <w:sz w:val="24"/>
          <w:szCs w:val="24"/>
        </w:rPr>
        <w:t>四、技术条款偏离表</w:t>
      </w:r>
      <w:bookmarkEnd w:id="36"/>
      <w:bookmarkEnd w:id="37"/>
    </w:p>
    <w:p>
      <w:pPr>
        <w:keepNext/>
        <w:keepLines/>
        <w:spacing w:line="360" w:lineRule="auto"/>
        <w:jc w:val="center"/>
        <w:outlineLvl w:val="1"/>
        <w:rPr>
          <w:b/>
          <w:kern w:val="0"/>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7"/>
        <w:gridCol w:w="1418"/>
        <w:gridCol w:w="1417"/>
        <w:gridCol w:w="141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vAlign w:val="center"/>
          </w:tcPr>
          <w:p>
            <w:pPr>
              <w:jc w:val="center"/>
              <w:rPr>
                <w:rFonts w:ascii="Calibri" w:hAnsi="Calibri"/>
                <w:szCs w:val="21"/>
              </w:rPr>
            </w:pPr>
            <w:r>
              <w:rPr>
                <w:rFonts w:ascii="Calibri" w:hAnsi="Calibri"/>
                <w:szCs w:val="21"/>
              </w:rPr>
              <w:t>序号</w:t>
            </w:r>
          </w:p>
        </w:tc>
        <w:tc>
          <w:tcPr>
            <w:tcW w:w="1417" w:type="dxa"/>
            <w:vAlign w:val="center"/>
          </w:tcPr>
          <w:p>
            <w:pPr>
              <w:jc w:val="center"/>
              <w:rPr>
                <w:rFonts w:ascii="Calibri" w:hAnsi="Calibri"/>
                <w:szCs w:val="21"/>
              </w:rPr>
            </w:pPr>
            <w:r>
              <w:rPr>
                <w:rFonts w:hint="eastAsia" w:ascii="宋体" w:hAnsi="宋体" w:eastAsia="宋体" w:cs="宋体"/>
                <w:szCs w:val="21"/>
              </w:rPr>
              <w:t>服务内容</w:t>
            </w:r>
          </w:p>
        </w:tc>
        <w:tc>
          <w:tcPr>
            <w:tcW w:w="1418" w:type="dxa"/>
            <w:vAlign w:val="center"/>
          </w:tcPr>
          <w:p>
            <w:pPr>
              <w:jc w:val="center"/>
              <w:rPr>
                <w:rFonts w:ascii="Calibri" w:hAnsi="Calibri"/>
                <w:szCs w:val="21"/>
              </w:rPr>
            </w:pPr>
            <w:r>
              <w:rPr>
                <w:rFonts w:ascii="Calibri" w:hAnsi="Calibri"/>
                <w:szCs w:val="21"/>
              </w:rPr>
              <w:t>磋商文件条目号</w:t>
            </w:r>
          </w:p>
        </w:tc>
        <w:tc>
          <w:tcPr>
            <w:tcW w:w="1417" w:type="dxa"/>
            <w:vAlign w:val="center"/>
          </w:tcPr>
          <w:p>
            <w:pPr>
              <w:jc w:val="center"/>
              <w:rPr>
                <w:rFonts w:ascii="Calibri" w:hAnsi="Calibri"/>
                <w:szCs w:val="21"/>
              </w:rPr>
            </w:pPr>
            <w:r>
              <w:rPr>
                <w:rFonts w:ascii="Calibri" w:hAnsi="Calibri"/>
                <w:szCs w:val="21"/>
              </w:rPr>
              <w:t>磋商文件要求规格</w:t>
            </w:r>
          </w:p>
        </w:tc>
        <w:tc>
          <w:tcPr>
            <w:tcW w:w="1418" w:type="dxa"/>
            <w:vAlign w:val="center"/>
          </w:tcPr>
          <w:p>
            <w:pPr>
              <w:jc w:val="center"/>
              <w:rPr>
                <w:rFonts w:ascii="Calibri" w:hAnsi="Calibri"/>
                <w:szCs w:val="21"/>
              </w:rPr>
            </w:pPr>
            <w:r>
              <w:rPr>
                <w:rFonts w:ascii="Calibri" w:hAnsi="Calibri"/>
                <w:szCs w:val="21"/>
              </w:rPr>
              <w:t>投标规格</w:t>
            </w:r>
          </w:p>
        </w:tc>
        <w:tc>
          <w:tcPr>
            <w:tcW w:w="1417" w:type="dxa"/>
            <w:vAlign w:val="center"/>
          </w:tcPr>
          <w:p>
            <w:pPr>
              <w:jc w:val="center"/>
              <w:rPr>
                <w:rFonts w:ascii="Calibri" w:hAnsi="Calibri"/>
                <w:szCs w:val="21"/>
              </w:rPr>
            </w:pPr>
            <w:r>
              <w:rPr>
                <w:rFonts w:ascii="Calibri" w:hAnsi="Calibri"/>
                <w:szCs w:val="21"/>
              </w:rPr>
              <w:t>偏离</w:t>
            </w:r>
          </w:p>
        </w:tc>
        <w:tc>
          <w:tcPr>
            <w:tcW w:w="1418" w:type="dxa"/>
            <w:vAlign w:val="center"/>
          </w:tcPr>
          <w:p>
            <w:pPr>
              <w:jc w:val="center"/>
              <w:rPr>
                <w:rFonts w:ascii="Calibri" w:hAnsi="Calibri"/>
                <w:szCs w:val="21"/>
              </w:rPr>
            </w:pPr>
            <w:r>
              <w:rPr>
                <w:rFonts w:ascii="Calibri" w:hAnsi="Calibri"/>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bl>
    <w:p>
      <w:pPr>
        <w:jc w:val="left"/>
        <w:rPr>
          <w:rFonts w:ascii="Calibri" w:hAnsi="Calibri"/>
          <w:szCs w:val="21"/>
        </w:rPr>
      </w:pPr>
      <w:r>
        <w:rPr>
          <w:rFonts w:ascii="Calibri" w:hAnsi="Calibri"/>
          <w:szCs w:val="21"/>
        </w:rPr>
        <w:t>备注：供应商应根据其提供的服务，对照磋商文件“</w:t>
      </w:r>
      <w:r>
        <w:rPr>
          <w:rFonts w:hint="eastAsia" w:ascii="Calibri" w:hAnsi="Calibri"/>
          <w:szCs w:val="21"/>
        </w:rPr>
        <w:t>用户需求书</w:t>
      </w:r>
      <w:r>
        <w:rPr>
          <w:rFonts w:ascii="Calibri" w:hAnsi="Calibri"/>
          <w:szCs w:val="21"/>
        </w:rPr>
        <w:t>”中的要求，有差异的，则在此表中列明实际响应的的内容提要并加以说明，以便查对。本表包括</w:t>
      </w:r>
      <w:r>
        <w:rPr>
          <w:rFonts w:hint="eastAsia" w:ascii="Calibri" w:hAnsi="Calibri"/>
          <w:szCs w:val="21"/>
        </w:rPr>
        <w:t>所有</w:t>
      </w:r>
      <w:r>
        <w:rPr>
          <w:rFonts w:ascii="Calibri" w:hAnsi="Calibri"/>
          <w:szCs w:val="21"/>
        </w:rPr>
        <w:t>的技术响应及差异。无差异</w:t>
      </w:r>
      <w:r>
        <w:rPr>
          <w:rFonts w:hint="eastAsia" w:ascii="Calibri" w:hAnsi="Calibri"/>
          <w:szCs w:val="21"/>
        </w:rPr>
        <w:t>说明</w:t>
      </w:r>
      <w:r>
        <w:rPr>
          <w:rFonts w:ascii="Calibri" w:hAnsi="Calibri"/>
          <w:szCs w:val="21"/>
        </w:rPr>
        <w:t>表示完全响应。</w:t>
      </w:r>
    </w:p>
    <w:p>
      <w:pPr>
        <w:spacing w:line="480" w:lineRule="auto"/>
        <w:ind w:firstLine="4200" w:firstLineChars="2000"/>
        <w:jc w:val="left"/>
        <w:rPr>
          <w:rFonts w:ascii="Calibri" w:hAnsi="Calibri"/>
          <w:szCs w:val="21"/>
        </w:rPr>
      </w:pPr>
      <w:r>
        <w:rPr>
          <w:rFonts w:hint="eastAsia" w:ascii="Calibri" w:hAnsi="Calibri"/>
          <w:szCs w:val="21"/>
        </w:rPr>
        <w:t>供应商：（盖章）</w:t>
      </w:r>
    </w:p>
    <w:p>
      <w:pPr>
        <w:spacing w:line="480" w:lineRule="auto"/>
        <w:ind w:firstLine="4200" w:firstLineChars="2000"/>
        <w:jc w:val="left"/>
        <w:rPr>
          <w:rFonts w:ascii="Calibri" w:hAnsi="Calibri"/>
          <w:szCs w:val="21"/>
        </w:rPr>
      </w:pPr>
    </w:p>
    <w:p>
      <w:pPr>
        <w:spacing w:line="480" w:lineRule="auto"/>
        <w:ind w:firstLine="4200" w:firstLineChars="2000"/>
        <w:jc w:val="left"/>
        <w:rPr>
          <w:rFonts w:ascii="Calibri" w:hAnsi="Calibri"/>
          <w:szCs w:val="21"/>
        </w:rPr>
      </w:pPr>
      <w:r>
        <w:rPr>
          <w:rFonts w:hint="eastAsia" w:ascii="Calibri" w:hAnsi="Calibri"/>
          <w:szCs w:val="21"/>
        </w:rPr>
        <w:t>法定代表人：（盖章）</w:t>
      </w: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widowControl/>
        <w:jc w:val="left"/>
        <w:rPr>
          <w:rFonts w:ascii="Calibri" w:hAnsi="Calibri"/>
          <w:szCs w:val="21"/>
        </w:rPr>
      </w:pPr>
      <w:r>
        <w:rPr>
          <w:rFonts w:ascii="Calibri" w:hAnsi="Calibri"/>
          <w:szCs w:val="21"/>
        </w:rPr>
        <w:br w:type="page"/>
      </w:r>
    </w:p>
    <w:p>
      <w:pPr>
        <w:jc w:val="center"/>
        <w:rPr>
          <w:b/>
          <w:kern w:val="0"/>
          <w:sz w:val="24"/>
          <w:szCs w:val="24"/>
        </w:rPr>
      </w:pPr>
      <w:bookmarkStart w:id="40" w:name="_Toc71135165"/>
      <w:bookmarkStart w:id="41" w:name="_Toc13995234"/>
      <w:r>
        <w:rPr>
          <w:rFonts w:hint="eastAsia"/>
          <w:b/>
          <w:kern w:val="0"/>
          <w:sz w:val="24"/>
          <w:szCs w:val="24"/>
        </w:rPr>
        <w:t>五、商务条款偏离表</w:t>
      </w:r>
      <w:bookmarkEnd w:id="40"/>
      <w:bookmarkEnd w:id="41"/>
    </w:p>
    <w:p>
      <w:pPr>
        <w:keepNext/>
        <w:keepLines/>
        <w:spacing w:line="360" w:lineRule="auto"/>
        <w:jc w:val="center"/>
        <w:outlineLvl w:val="1"/>
        <w:rPr>
          <w:b/>
          <w:kern w:val="0"/>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97"/>
        <w:gridCol w:w="2197"/>
        <w:gridCol w:w="2197"/>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r>
              <w:rPr>
                <w:rFonts w:ascii="Calibri" w:hAnsi="Calibri"/>
                <w:szCs w:val="21"/>
              </w:rPr>
              <w:t>序号</w:t>
            </w:r>
          </w:p>
        </w:tc>
        <w:tc>
          <w:tcPr>
            <w:tcW w:w="2197" w:type="dxa"/>
            <w:vAlign w:val="center"/>
          </w:tcPr>
          <w:p>
            <w:pPr>
              <w:jc w:val="center"/>
              <w:rPr>
                <w:rFonts w:ascii="Calibri" w:hAnsi="Calibri"/>
                <w:szCs w:val="21"/>
              </w:rPr>
            </w:pPr>
            <w:r>
              <w:rPr>
                <w:rFonts w:ascii="Calibri" w:hAnsi="Calibri"/>
                <w:szCs w:val="21"/>
              </w:rPr>
              <w:t>磋商文件条目号</w:t>
            </w:r>
          </w:p>
        </w:tc>
        <w:tc>
          <w:tcPr>
            <w:tcW w:w="2197" w:type="dxa"/>
            <w:vAlign w:val="center"/>
          </w:tcPr>
          <w:p>
            <w:pPr>
              <w:jc w:val="center"/>
              <w:rPr>
                <w:rFonts w:ascii="Calibri" w:hAnsi="Calibri"/>
                <w:szCs w:val="21"/>
              </w:rPr>
            </w:pPr>
            <w:r>
              <w:rPr>
                <w:rFonts w:ascii="Calibri" w:hAnsi="Calibri"/>
                <w:szCs w:val="21"/>
              </w:rPr>
              <w:t>磋商文件的商务条款</w:t>
            </w:r>
          </w:p>
        </w:tc>
        <w:tc>
          <w:tcPr>
            <w:tcW w:w="2197" w:type="dxa"/>
            <w:vAlign w:val="center"/>
          </w:tcPr>
          <w:p>
            <w:pPr>
              <w:jc w:val="center"/>
              <w:rPr>
                <w:rFonts w:ascii="Calibri" w:hAnsi="Calibri"/>
                <w:szCs w:val="21"/>
              </w:rPr>
            </w:pPr>
            <w:r>
              <w:rPr>
                <w:rFonts w:ascii="Calibri" w:hAnsi="Calibri"/>
                <w:szCs w:val="21"/>
              </w:rPr>
              <w:t>磋商报价文件的商务条款</w:t>
            </w:r>
          </w:p>
        </w:tc>
        <w:tc>
          <w:tcPr>
            <w:tcW w:w="2198" w:type="dxa"/>
            <w:vAlign w:val="center"/>
          </w:tcPr>
          <w:p>
            <w:pPr>
              <w:jc w:val="center"/>
              <w:rPr>
                <w:rFonts w:ascii="Calibri" w:hAnsi="Calibri"/>
                <w:szCs w:val="21"/>
              </w:rPr>
            </w:pPr>
            <w:r>
              <w:rPr>
                <w:rFonts w:ascii="Calibri" w:hAnsi="Calibri"/>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bl>
    <w:p>
      <w:pPr>
        <w:jc w:val="left"/>
        <w:rPr>
          <w:rFonts w:ascii="Calibri" w:hAnsi="Calibri"/>
          <w:szCs w:val="21"/>
        </w:rPr>
      </w:pPr>
      <w:r>
        <w:rPr>
          <w:rFonts w:ascii="Calibri" w:hAnsi="Calibri"/>
          <w:szCs w:val="21"/>
        </w:rPr>
        <w:t>备注：供应商商务条款有差异的，则在此表中列明实际响应的内容提要并加以说明，以便查对，无差异说明表示完全响应。</w:t>
      </w:r>
    </w:p>
    <w:p>
      <w:pPr>
        <w:spacing w:line="480" w:lineRule="auto"/>
        <w:ind w:firstLine="4200" w:firstLineChars="2000"/>
        <w:jc w:val="left"/>
        <w:rPr>
          <w:rFonts w:ascii="Calibri" w:hAnsi="Calibri"/>
          <w:szCs w:val="21"/>
        </w:rPr>
      </w:pPr>
      <w:r>
        <w:rPr>
          <w:rFonts w:hint="eastAsia" w:ascii="Calibri" w:hAnsi="Calibri"/>
          <w:szCs w:val="21"/>
        </w:rPr>
        <w:t>供应商：（盖章）</w:t>
      </w:r>
    </w:p>
    <w:p>
      <w:pPr>
        <w:spacing w:line="480" w:lineRule="auto"/>
        <w:ind w:firstLine="4200" w:firstLineChars="2000"/>
        <w:jc w:val="left"/>
        <w:rPr>
          <w:rFonts w:ascii="Calibri" w:hAnsi="Calibri"/>
          <w:szCs w:val="21"/>
        </w:rPr>
      </w:pPr>
      <w:r>
        <w:rPr>
          <w:rFonts w:hint="eastAsia" w:ascii="Calibri" w:hAnsi="Calibri"/>
          <w:szCs w:val="21"/>
        </w:rPr>
        <w:t>法定代表人：（盖章）</w:t>
      </w:r>
      <w:r>
        <w:rPr>
          <w:rFonts w:ascii="Calibri" w:hAnsi="Calibri"/>
          <w:szCs w:val="21"/>
        </w:rPr>
        <w:br w:type="page"/>
      </w:r>
    </w:p>
    <w:p>
      <w:pPr>
        <w:keepNext/>
        <w:keepLines/>
        <w:spacing w:line="360" w:lineRule="auto"/>
        <w:jc w:val="center"/>
        <w:outlineLvl w:val="1"/>
        <w:rPr>
          <w:b/>
          <w:kern w:val="0"/>
          <w:sz w:val="24"/>
          <w:szCs w:val="24"/>
        </w:rPr>
      </w:pPr>
      <w:bookmarkStart w:id="42" w:name="_Toc13995235"/>
      <w:bookmarkStart w:id="43" w:name="_Toc71135166"/>
      <w:r>
        <w:rPr>
          <w:rFonts w:hint="eastAsia"/>
          <w:b/>
          <w:kern w:val="0"/>
          <w:sz w:val="24"/>
          <w:szCs w:val="24"/>
        </w:rPr>
        <w:t>六、法定代表人身份证明书</w:t>
      </w:r>
      <w:bookmarkEnd w:id="42"/>
      <w:bookmarkEnd w:id="43"/>
    </w:p>
    <w:p>
      <w:pPr>
        <w:jc w:val="left"/>
        <w:rPr>
          <w:rFonts w:ascii="Calibri" w:hAnsi="Calibri"/>
          <w:szCs w:val="21"/>
        </w:rPr>
      </w:pPr>
    </w:p>
    <w:p>
      <w:pPr>
        <w:jc w:val="left"/>
        <w:rPr>
          <w:rFonts w:ascii="Calibri" w:hAnsi="Calibri"/>
          <w:szCs w:val="21"/>
        </w:rPr>
      </w:pPr>
    </w:p>
    <w:p>
      <w:pPr>
        <w:spacing w:line="520" w:lineRule="exact"/>
        <w:jc w:val="left"/>
        <w:rPr>
          <w:rFonts w:ascii="Calibri" w:hAnsi="Calibri"/>
          <w:szCs w:val="21"/>
          <w:u w:val="single"/>
        </w:rPr>
      </w:pPr>
      <w:r>
        <w:rPr>
          <w:rFonts w:hint="eastAsia" w:ascii="Calibri" w:hAnsi="Calibri"/>
          <w:szCs w:val="21"/>
        </w:rPr>
        <w:t>投标人：</w:t>
      </w:r>
    </w:p>
    <w:p>
      <w:pPr>
        <w:spacing w:line="520" w:lineRule="exact"/>
        <w:jc w:val="left"/>
        <w:rPr>
          <w:rFonts w:ascii="Calibri" w:hAnsi="Calibri"/>
          <w:szCs w:val="21"/>
          <w:u w:val="single"/>
        </w:rPr>
      </w:pPr>
      <w:r>
        <w:rPr>
          <w:rFonts w:hint="eastAsia" w:ascii="Calibri" w:hAnsi="Calibri"/>
          <w:szCs w:val="21"/>
        </w:rPr>
        <w:t>单位性质：</w:t>
      </w:r>
    </w:p>
    <w:p>
      <w:pPr>
        <w:spacing w:line="520" w:lineRule="exact"/>
        <w:jc w:val="left"/>
        <w:rPr>
          <w:rFonts w:ascii="Calibri" w:hAnsi="Calibri"/>
          <w:szCs w:val="21"/>
          <w:u w:val="single"/>
        </w:rPr>
      </w:pPr>
      <w:r>
        <w:rPr>
          <w:rFonts w:hint="eastAsia" w:ascii="Calibri" w:hAnsi="Calibri"/>
          <w:szCs w:val="21"/>
        </w:rPr>
        <w:t>地址：</w:t>
      </w:r>
    </w:p>
    <w:p>
      <w:pPr>
        <w:spacing w:line="520" w:lineRule="exact"/>
        <w:jc w:val="left"/>
        <w:rPr>
          <w:rFonts w:ascii="Calibri" w:hAnsi="Calibri"/>
          <w:szCs w:val="21"/>
          <w:u w:val="single"/>
        </w:rPr>
      </w:pPr>
      <w:r>
        <w:rPr>
          <w:rFonts w:hint="eastAsia" w:ascii="Calibri" w:hAnsi="Calibri"/>
          <w:szCs w:val="21"/>
        </w:rPr>
        <w:t>成立时间：年</w:t>
      </w:r>
      <w:r>
        <w:rPr>
          <w:rFonts w:hint="eastAsia" w:ascii="Calibri" w:hAnsi="Calibri"/>
          <w:szCs w:val="21"/>
          <w:u w:val="single"/>
        </w:rPr>
        <w:t>___________</w:t>
      </w:r>
      <w:r>
        <w:rPr>
          <w:rFonts w:hint="eastAsia" w:ascii="Calibri" w:hAnsi="Calibri"/>
          <w:szCs w:val="21"/>
        </w:rPr>
        <w:t>月日</w:t>
      </w:r>
    </w:p>
    <w:p>
      <w:pPr>
        <w:spacing w:line="520" w:lineRule="exact"/>
        <w:jc w:val="left"/>
        <w:rPr>
          <w:rFonts w:ascii="Calibri" w:hAnsi="Calibri"/>
          <w:szCs w:val="21"/>
          <w:u w:val="single"/>
        </w:rPr>
      </w:pPr>
      <w:r>
        <w:rPr>
          <w:rFonts w:hint="eastAsia" w:ascii="Calibri" w:hAnsi="Calibri"/>
          <w:szCs w:val="21"/>
        </w:rPr>
        <w:t>经营期限：</w:t>
      </w: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u w:val="single"/>
        </w:rPr>
      </w:pPr>
      <w:r>
        <w:rPr>
          <w:rFonts w:hint="eastAsia" w:ascii="Calibri" w:hAnsi="Calibri"/>
          <w:szCs w:val="21"/>
        </w:rPr>
        <w:t>姓名：性别：</w:t>
      </w:r>
    </w:p>
    <w:p>
      <w:pPr>
        <w:spacing w:line="520" w:lineRule="exact"/>
        <w:jc w:val="left"/>
        <w:rPr>
          <w:rFonts w:ascii="Calibri" w:hAnsi="Calibri"/>
          <w:szCs w:val="21"/>
          <w:u w:val="single"/>
        </w:rPr>
      </w:pPr>
      <w:r>
        <w:rPr>
          <w:rFonts w:hint="eastAsia" w:ascii="Calibri" w:hAnsi="Calibri"/>
          <w:szCs w:val="21"/>
        </w:rPr>
        <w:t>年龄：职务：</w:t>
      </w:r>
    </w:p>
    <w:p>
      <w:pPr>
        <w:spacing w:line="520" w:lineRule="exact"/>
        <w:jc w:val="left"/>
        <w:rPr>
          <w:rFonts w:ascii="Calibri" w:hAnsi="Calibri"/>
          <w:szCs w:val="21"/>
          <w:u w:val="single"/>
        </w:rPr>
      </w:pPr>
    </w:p>
    <w:p>
      <w:pPr>
        <w:spacing w:line="520" w:lineRule="exact"/>
        <w:jc w:val="left"/>
        <w:rPr>
          <w:rFonts w:ascii="Calibri" w:hAnsi="Calibri"/>
          <w:szCs w:val="21"/>
        </w:rPr>
      </w:pPr>
      <w:r>
        <w:rPr>
          <w:rFonts w:hint="eastAsia" w:ascii="Calibri" w:hAnsi="Calibri"/>
          <w:szCs w:val="21"/>
          <w:u w:val="single"/>
        </w:rPr>
        <w:t>系</w:t>
      </w:r>
      <w:r>
        <w:rPr>
          <w:rFonts w:hint="eastAsia" w:ascii="Calibri" w:hAnsi="Calibri"/>
          <w:szCs w:val="21"/>
        </w:rPr>
        <w:t>（供应商名称）的法定代表人</w:t>
      </w:r>
    </w:p>
    <w:p>
      <w:pPr>
        <w:spacing w:line="520" w:lineRule="exact"/>
        <w:jc w:val="left"/>
        <w:rPr>
          <w:rFonts w:ascii="Calibri" w:hAnsi="Calibri"/>
          <w:szCs w:val="21"/>
        </w:rPr>
      </w:pPr>
    </w:p>
    <w:p>
      <w:pPr>
        <w:spacing w:line="520" w:lineRule="exact"/>
        <w:jc w:val="left"/>
        <w:rPr>
          <w:rFonts w:ascii="Calibri" w:hAnsi="Calibri"/>
          <w:szCs w:val="21"/>
        </w:rPr>
      </w:pPr>
      <w:r>
        <w:rPr>
          <w:rFonts w:hint="eastAsia" w:ascii="Calibri" w:hAnsi="Calibri"/>
          <w:szCs w:val="21"/>
        </w:rPr>
        <w:t>特此声明</w:t>
      </w:r>
    </w:p>
    <w:p>
      <w:pPr>
        <w:spacing w:line="520" w:lineRule="exact"/>
        <w:jc w:val="left"/>
        <w:rPr>
          <w:rFonts w:ascii="Calibri" w:hAnsi="Calibri"/>
          <w:szCs w:val="21"/>
        </w:rPr>
      </w:pPr>
    </w:p>
    <w:p>
      <w:pPr>
        <w:spacing w:line="520" w:lineRule="exact"/>
        <w:jc w:val="left"/>
        <w:rPr>
          <w:rFonts w:ascii="Calibri" w:hAnsi="Calibri"/>
          <w:szCs w:val="21"/>
        </w:rPr>
      </w:pPr>
      <w:r>
        <w:rPr>
          <w:rFonts w:hint="eastAsia" w:ascii="Calibri" w:hAnsi="Calibri"/>
          <w:szCs w:val="21"/>
        </w:rPr>
        <w:t>附：法定代表人身份证明</w:t>
      </w: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rPr>
      </w:pPr>
    </w:p>
    <w:p>
      <w:pPr>
        <w:spacing w:line="480" w:lineRule="auto"/>
        <w:ind w:right="420" w:firstLine="4200" w:firstLineChars="2000"/>
        <w:rPr>
          <w:rFonts w:ascii="Calibri" w:hAnsi="Calibri"/>
          <w:szCs w:val="21"/>
        </w:rPr>
      </w:pPr>
      <w:r>
        <w:rPr>
          <w:rFonts w:hint="eastAsia" w:ascii="Calibri" w:hAnsi="Calibri"/>
          <w:szCs w:val="21"/>
        </w:rPr>
        <w:t>供应商：（盖章）</w:t>
      </w:r>
    </w:p>
    <w:p>
      <w:pPr>
        <w:spacing w:line="480" w:lineRule="auto"/>
        <w:ind w:right="840" w:firstLine="4200" w:firstLineChars="2000"/>
        <w:rPr>
          <w:rFonts w:ascii="Calibri" w:hAnsi="Calibri"/>
          <w:szCs w:val="21"/>
        </w:rPr>
      </w:pPr>
      <w:r>
        <w:rPr>
          <w:rFonts w:hint="eastAsia" w:ascii="Calibri" w:hAnsi="Calibri"/>
          <w:szCs w:val="21"/>
        </w:rPr>
        <w:t>日期：年月日</w:t>
      </w:r>
      <w:r>
        <w:rPr>
          <w:rFonts w:ascii="Calibri" w:hAnsi="Calibri"/>
          <w:szCs w:val="21"/>
        </w:rPr>
        <w:br w:type="page"/>
      </w:r>
    </w:p>
    <w:p>
      <w:pPr>
        <w:keepNext/>
        <w:keepLines/>
        <w:spacing w:line="360" w:lineRule="auto"/>
        <w:jc w:val="center"/>
        <w:outlineLvl w:val="1"/>
        <w:rPr>
          <w:b/>
          <w:kern w:val="0"/>
          <w:sz w:val="24"/>
          <w:szCs w:val="24"/>
        </w:rPr>
      </w:pPr>
      <w:bookmarkStart w:id="44" w:name="_Toc13995236"/>
      <w:bookmarkStart w:id="45" w:name="_Toc71135167"/>
      <w:r>
        <w:rPr>
          <w:rFonts w:hint="eastAsia"/>
          <w:b/>
          <w:kern w:val="0"/>
          <w:sz w:val="24"/>
          <w:szCs w:val="24"/>
        </w:rPr>
        <w:t>七、法定代表人授权委托书</w:t>
      </w:r>
      <w:bookmarkEnd w:id="44"/>
      <w:bookmarkEnd w:id="45"/>
    </w:p>
    <w:p>
      <w:pPr>
        <w:jc w:val="left"/>
        <w:rPr>
          <w:rFonts w:ascii="Calibri" w:hAnsi="Calibri"/>
          <w:szCs w:val="21"/>
        </w:rPr>
      </w:pPr>
    </w:p>
    <w:p>
      <w:pPr>
        <w:spacing w:line="440" w:lineRule="exact"/>
        <w:ind w:firstLine="420" w:firstLineChars="200"/>
        <w:jc w:val="left"/>
        <w:rPr>
          <w:rFonts w:ascii="Calibri" w:hAnsi="Calibri"/>
          <w:szCs w:val="21"/>
        </w:rPr>
      </w:pPr>
      <w:r>
        <w:rPr>
          <w:rFonts w:hint="eastAsia" w:ascii="Calibri" w:hAnsi="Calibri"/>
          <w:szCs w:val="21"/>
        </w:rPr>
        <w:t>本人（姓名）系（供应商名称）的法定代表人，现拟派我单位（姓名）为我方委托代理人。委托代理人根据授权，就</w:t>
      </w:r>
      <w:r>
        <w:rPr>
          <w:rFonts w:hint="eastAsia" w:ascii="Calibri" w:hAnsi="Calibri"/>
          <w:szCs w:val="21"/>
          <w:u w:val="single"/>
        </w:rPr>
        <w:t xml:space="preserve">       ________  </w:t>
      </w:r>
      <w:r>
        <w:rPr>
          <w:rFonts w:hint="eastAsia" w:ascii="Calibri" w:hAnsi="Calibri"/>
          <w:szCs w:val="21"/>
        </w:rPr>
        <w:t>（项目名称）的投标，以本公司名义处理一切与之有关的事务，其法律后果由我方承担。</w:t>
      </w:r>
    </w:p>
    <w:p>
      <w:pPr>
        <w:spacing w:line="440" w:lineRule="exact"/>
        <w:jc w:val="left"/>
        <w:rPr>
          <w:rFonts w:ascii="Calibri" w:hAnsi="Calibri"/>
          <w:szCs w:val="21"/>
        </w:rPr>
      </w:pPr>
    </w:p>
    <w:p>
      <w:pPr>
        <w:spacing w:line="440" w:lineRule="exact"/>
        <w:jc w:val="left"/>
        <w:rPr>
          <w:rFonts w:ascii="Calibri" w:hAnsi="Calibri"/>
          <w:szCs w:val="21"/>
          <w:u w:val="single"/>
        </w:rPr>
      </w:pPr>
      <w:r>
        <w:rPr>
          <w:rFonts w:hint="eastAsia" w:ascii="Calibri" w:hAnsi="Calibri"/>
          <w:szCs w:val="21"/>
        </w:rPr>
        <w:t>代理人：性别：年龄：</w:t>
      </w:r>
    </w:p>
    <w:p>
      <w:pPr>
        <w:spacing w:line="440" w:lineRule="exact"/>
        <w:jc w:val="left"/>
        <w:rPr>
          <w:rFonts w:ascii="Calibri" w:hAnsi="Calibri"/>
          <w:szCs w:val="21"/>
          <w:u w:val="single"/>
        </w:rPr>
      </w:pPr>
    </w:p>
    <w:p>
      <w:pPr>
        <w:spacing w:line="440" w:lineRule="exact"/>
        <w:jc w:val="left"/>
        <w:rPr>
          <w:rFonts w:ascii="Calibri" w:hAnsi="Calibri"/>
          <w:szCs w:val="21"/>
          <w:u w:val="single"/>
        </w:rPr>
      </w:pPr>
      <w:r>
        <w:rPr>
          <w:rFonts w:hint="eastAsia" w:ascii="Calibri" w:hAnsi="Calibri"/>
          <w:szCs w:val="21"/>
        </w:rPr>
        <w:t>单位：部门：职务：</w:t>
      </w:r>
    </w:p>
    <w:p>
      <w:pPr>
        <w:spacing w:line="440" w:lineRule="exact"/>
        <w:jc w:val="left"/>
        <w:rPr>
          <w:rFonts w:ascii="Calibri" w:hAnsi="Calibri"/>
          <w:szCs w:val="21"/>
          <w:u w:val="single"/>
        </w:rPr>
      </w:pPr>
    </w:p>
    <w:p>
      <w:pPr>
        <w:spacing w:line="440" w:lineRule="exact"/>
        <w:jc w:val="left"/>
        <w:rPr>
          <w:rFonts w:ascii="Calibri" w:hAnsi="Calibri"/>
          <w:szCs w:val="21"/>
        </w:rPr>
      </w:pPr>
    </w:p>
    <w:p>
      <w:pPr>
        <w:spacing w:line="440" w:lineRule="exact"/>
        <w:jc w:val="left"/>
        <w:rPr>
          <w:rFonts w:ascii="Calibri" w:hAnsi="Calibri"/>
          <w:szCs w:val="21"/>
        </w:rPr>
      </w:pPr>
      <w:r>
        <w:rPr>
          <w:rFonts w:hint="eastAsia" w:ascii="Calibri" w:hAnsi="Calibri"/>
          <w:szCs w:val="21"/>
        </w:rPr>
        <w:t>代理人无转委权，特此声明。</w:t>
      </w:r>
    </w:p>
    <w:p>
      <w:pPr>
        <w:spacing w:line="440" w:lineRule="exact"/>
        <w:jc w:val="left"/>
        <w:rPr>
          <w:rFonts w:ascii="Calibri" w:hAnsi="Calibri"/>
          <w:szCs w:val="21"/>
        </w:rPr>
      </w:pPr>
      <w:r>
        <w:rPr>
          <w:rFonts w:hint="eastAsia" w:ascii="Calibri" w:hAnsi="Calibri"/>
          <w:szCs w:val="21"/>
        </w:rPr>
        <w:t>附：授权委托人身份证明。</w:t>
      </w: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spacing w:line="480" w:lineRule="auto"/>
        <w:ind w:firstLine="4200" w:firstLineChars="2000"/>
        <w:rPr>
          <w:rFonts w:ascii="Calibri" w:hAnsi="Calibri"/>
          <w:szCs w:val="21"/>
        </w:rPr>
      </w:pPr>
      <w:r>
        <w:rPr>
          <w:rFonts w:hint="eastAsia" w:ascii="Calibri" w:hAnsi="Calibri"/>
          <w:szCs w:val="21"/>
        </w:rPr>
        <w:t>供应商：（盖章）</w:t>
      </w:r>
    </w:p>
    <w:p>
      <w:pPr>
        <w:spacing w:line="480" w:lineRule="auto"/>
        <w:ind w:firstLine="4200" w:firstLineChars="2000"/>
        <w:rPr>
          <w:rFonts w:ascii="Calibri" w:hAnsi="Calibri"/>
          <w:szCs w:val="21"/>
        </w:rPr>
      </w:pPr>
      <w:r>
        <w:rPr>
          <w:rFonts w:hint="eastAsia" w:ascii="Calibri" w:hAnsi="Calibri"/>
          <w:szCs w:val="21"/>
        </w:rPr>
        <w:t>法定代表人：_________________________(盖章)</w:t>
      </w:r>
    </w:p>
    <w:p>
      <w:pPr>
        <w:spacing w:line="480" w:lineRule="auto"/>
        <w:ind w:firstLine="4200" w:firstLineChars="2000"/>
        <w:jc w:val="left"/>
        <w:rPr>
          <w:rFonts w:ascii="Calibri" w:hAnsi="Calibri"/>
          <w:szCs w:val="21"/>
        </w:rPr>
      </w:pPr>
      <w:r>
        <w:rPr>
          <w:rFonts w:hint="eastAsia" w:ascii="Calibri" w:hAnsi="Calibri"/>
          <w:szCs w:val="21"/>
        </w:rPr>
        <w:t>日期：年月日</w:t>
      </w:r>
      <w:r>
        <w:rPr>
          <w:rFonts w:ascii="Calibri" w:hAnsi="Calibri"/>
          <w:szCs w:val="21"/>
        </w:rPr>
        <w:br w:type="page"/>
      </w:r>
    </w:p>
    <w:p>
      <w:pPr>
        <w:keepNext/>
        <w:keepLines/>
        <w:spacing w:line="360" w:lineRule="auto"/>
        <w:jc w:val="center"/>
        <w:outlineLvl w:val="1"/>
        <w:rPr>
          <w:b/>
          <w:kern w:val="0"/>
          <w:sz w:val="24"/>
          <w:szCs w:val="24"/>
        </w:rPr>
      </w:pPr>
      <w:bookmarkStart w:id="46" w:name="_Toc13995239"/>
      <w:bookmarkStart w:id="47" w:name="_Toc71135169"/>
      <w:r>
        <w:rPr>
          <w:rFonts w:hint="eastAsia"/>
          <w:b/>
          <w:kern w:val="0"/>
          <w:sz w:val="24"/>
          <w:szCs w:val="24"/>
        </w:rPr>
        <w:t>八、供应商资格声明</w:t>
      </w:r>
      <w:bookmarkEnd w:id="46"/>
      <w:bookmarkEnd w:id="47"/>
    </w:p>
    <w:p>
      <w:pPr>
        <w:spacing w:line="480" w:lineRule="auto"/>
        <w:jc w:val="center"/>
        <w:rPr>
          <w:rFonts w:ascii="Calibri" w:hAnsi="Calibri"/>
          <w:b/>
          <w:szCs w:val="21"/>
        </w:rPr>
      </w:pPr>
      <w:r>
        <w:rPr>
          <w:rFonts w:hint="eastAsia" w:ascii="Calibri" w:hAnsi="Calibri"/>
          <w:b/>
          <w:szCs w:val="21"/>
        </w:rPr>
        <w:t>8-1 供应商基本情况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977"/>
        <w:gridCol w:w="618"/>
        <w:gridCol w:w="798"/>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供应商名称</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供应商类型</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注册地址</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邮政编码</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成立时间</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企业性质</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营业执照号</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注册资金</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法定代表人</w:t>
            </w:r>
          </w:p>
        </w:tc>
        <w:tc>
          <w:tcPr>
            <w:tcW w:w="977" w:type="dxa"/>
            <w:vAlign w:val="center"/>
          </w:tcPr>
          <w:p>
            <w:pPr>
              <w:rPr>
                <w:rFonts w:ascii="Calibri" w:hAnsi="Calibri"/>
                <w:b/>
                <w:szCs w:val="21"/>
              </w:rPr>
            </w:pPr>
            <w:r>
              <w:rPr>
                <w:rFonts w:hint="eastAsia" w:ascii="Calibri" w:hAnsi="Calibri"/>
                <w:b/>
                <w:szCs w:val="21"/>
              </w:rPr>
              <w:t>姓名</w:t>
            </w:r>
          </w:p>
        </w:tc>
        <w:tc>
          <w:tcPr>
            <w:tcW w:w="618" w:type="dxa"/>
            <w:vAlign w:val="center"/>
          </w:tcPr>
          <w:p>
            <w:pPr>
              <w:rPr>
                <w:rFonts w:ascii="Calibri" w:hAnsi="Calibri"/>
                <w:b/>
                <w:szCs w:val="21"/>
              </w:rPr>
            </w:pPr>
          </w:p>
        </w:tc>
        <w:tc>
          <w:tcPr>
            <w:tcW w:w="798" w:type="dxa"/>
            <w:vAlign w:val="center"/>
          </w:tcPr>
          <w:p>
            <w:pPr>
              <w:rPr>
                <w:rFonts w:ascii="Calibri" w:hAnsi="Calibri"/>
                <w:b/>
                <w:szCs w:val="21"/>
              </w:rPr>
            </w:pPr>
            <w:r>
              <w:rPr>
                <w:rFonts w:hint="eastAsia" w:ascii="Calibri" w:hAnsi="Calibri"/>
                <w:b/>
                <w:szCs w:val="21"/>
              </w:rPr>
              <w:t>职称</w:t>
            </w:r>
          </w:p>
        </w:tc>
        <w:tc>
          <w:tcPr>
            <w:tcW w:w="2393" w:type="dxa"/>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Merge w:val="restart"/>
            <w:vAlign w:val="center"/>
          </w:tcPr>
          <w:p>
            <w:pPr>
              <w:rPr>
                <w:rFonts w:ascii="Calibri" w:hAnsi="Calibri"/>
                <w:b/>
                <w:szCs w:val="21"/>
              </w:rPr>
            </w:pPr>
            <w:r>
              <w:rPr>
                <w:rFonts w:hint="eastAsia" w:ascii="Calibri" w:hAnsi="Calibri"/>
                <w:b/>
                <w:szCs w:val="21"/>
              </w:rPr>
              <w:t>联系方式</w:t>
            </w:r>
          </w:p>
        </w:tc>
        <w:tc>
          <w:tcPr>
            <w:tcW w:w="977" w:type="dxa"/>
            <w:vAlign w:val="center"/>
          </w:tcPr>
          <w:p>
            <w:pPr>
              <w:rPr>
                <w:rFonts w:ascii="Calibri" w:hAnsi="Calibri"/>
                <w:b/>
                <w:szCs w:val="21"/>
              </w:rPr>
            </w:pPr>
            <w:r>
              <w:rPr>
                <w:rFonts w:hint="eastAsia" w:ascii="Calibri" w:hAnsi="Calibri"/>
                <w:b/>
                <w:szCs w:val="21"/>
              </w:rPr>
              <w:t>联系人</w:t>
            </w:r>
          </w:p>
        </w:tc>
        <w:tc>
          <w:tcPr>
            <w:tcW w:w="1416" w:type="dxa"/>
            <w:gridSpan w:val="2"/>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电话</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Merge w:val="continue"/>
            <w:vAlign w:val="center"/>
          </w:tcPr>
          <w:p>
            <w:pPr>
              <w:rPr>
                <w:rFonts w:ascii="Calibri" w:hAnsi="Calibri"/>
                <w:b/>
                <w:szCs w:val="21"/>
              </w:rPr>
            </w:pPr>
          </w:p>
        </w:tc>
        <w:tc>
          <w:tcPr>
            <w:tcW w:w="977" w:type="dxa"/>
            <w:vAlign w:val="center"/>
          </w:tcPr>
          <w:p>
            <w:pPr>
              <w:rPr>
                <w:rFonts w:ascii="Calibri" w:hAnsi="Calibri"/>
                <w:b/>
                <w:szCs w:val="21"/>
              </w:rPr>
            </w:pPr>
            <w:r>
              <w:rPr>
                <w:rFonts w:hint="eastAsia" w:ascii="Calibri" w:hAnsi="Calibri"/>
                <w:b/>
                <w:szCs w:val="21"/>
              </w:rPr>
              <w:t>传真</w:t>
            </w:r>
          </w:p>
        </w:tc>
        <w:tc>
          <w:tcPr>
            <w:tcW w:w="1416" w:type="dxa"/>
            <w:gridSpan w:val="2"/>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网址</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开户银行</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账号</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392" w:type="dxa"/>
            <w:vAlign w:val="center"/>
          </w:tcPr>
          <w:p>
            <w:pPr>
              <w:rPr>
                <w:rFonts w:ascii="Calibri" w:hAnsi="Calibri"/>
                <w:b/>
                <w:szCs w:val="21"/>
              </w:rPr>
            </w:pPr>
            <w:r>
              <w:rPr>
                <w:rFonts w:hint="eastAsia" w:ascii="Calibri" w:hAnsi="Calibri"/>
                <w:b/>
                <w:szCs w:val="21"/>
              </w:rPr>
              <w:t>员工总人数</w:t>
            </w:r>
          </w:p>
        </w:tc>
        <w:tc>
          <w:tcPr>
            <w:tcW w:w="7179" w:type="dxa"/>
            <w:gridSpan w:val="5"/>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pPr>
              <w:rPr>
                <w:rFonts w:ascii="Calibri" w:hAnsi="Calibri"/>
                <w:b/>
                <w:szCs w:val="21"/>
              </w:rPr>
            </w:pPr>
            <w:r>
              <w:rPr>
                <w:rFonts w:hint="eastAsia" w:ascii="Calibri" w:hAnsi="Calibri"/>
                <w:b/>
                <w:szCs w:val="21"/>
              </w:rPr>
              <w:t>组织机构</w:t>
            </w:r>
          </w:p>
        </w:tc>
        <w:tc>
          <w:tcPr>
            <w:tcW w:w="7179" w:type="dxa"/>
            <w:gridSpan w:val="5"/>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pPr>
              <w:rPr>
                <w:rFonts w:ascii="Calibri" w:hAnsi="Calibri"/>
                <w:b/>
                <w:szCs w:val="21"/>
              </w:rPr>
            </w:pPr>
            <w:r>
              <w:rPr>
                <w:rFonts w:hint="eastAsia" w:ascii="Calibri" w:hAnsi="Calibri"/>
                <w:b/>
                <w:szCs w:val="21"/>
              </w:rPr>
              <w:t>经营范围</w:t>
            </w:r>
          </w:p>
        </w:tc>
        <w:tc>
          <w:tcPr>
            <w:tcW w:w="7179" w:type="dxa"/>
            <w:gridSpan w:val="5"/>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pPr>
              <w:rPr>
                <w:rFonts w:ascii="Calibri" w:hAnsi="Calibri"/>
                <w:b/>
                <w:szCs w:val="21"/>
              </w:rPr>
            </w:pPr>
            <w:r>
              <w:rPr>
                <w:rFonts w:hint="eastAsia" w:ascii="Calibri" w:hAnsi="Calibri"/>
                <w:b/>
                <w:szCs w:val="21"/>
              </w:rPr>
              <w:t>备注</w:t>
            </w:r>
          </w:p>
        </w:tc>
        <w:tc>
          <w:tcPr>
            <w:tcW w:w="7179" w:type="dxa"/>
            <w:gridSpan w:val="5"/>
            <w:vAlign w:val="center"/>
          </w:tcPr>
          <w:p>
            <w:pPr>
              <w:rPr>
                <w:rFonts w:ascii="Calibri" w:hAnsi="Calibri"/>
                <w:b/>
                <w:szCs w:val="21"/>
              </w:rPr>
            </w:pPr>
          </w:p>
        </w:tc>
      </w:tr>
    </w:tbl>
    <w:p>
      <w:pPr>
        <w:rPr>
          <w:rFonts w:ascii="Calibri" w:hAnsi="Calibri"/>
          <w:b/>
          <w:szCs w:val="21"/>
        </w:rPr>
      </w:pPr>
      <w:r>
        <w:rPr>
          <w:rFonts w:hint="eastAsia" w:ascii="Calibri" w:hAnsi="Calibri"/>
          <w:b/>
          <w:szCs w:val="21"/>
        </w:rPr>
        <w:t>备注：本表后应附企业法人营业执照、</w:t>
      </w:r>
      <w:r>
        <w:rPr>
          <w:rFonts w:hint="eastAsia" w:ascii="宋体" w:hAnsi="宋体"/>
          <w:b/>
          <w:szCs w:val="21"/>
        </w:rPr>
        <w:t>社保缴费证明、信用中国及中国政府采购网网站截图及磋商文件要求</w:t>
      </w:r>
      <w:r>
        <w:rPr>
          <w:rFonts w:hint="eastAsia" w:ascii="Calibri" w:hAnsi="Calibri"/>
          <w:b/>
          <w:szCs w:val="21"/>
        </w:rPr>
        <w:t>等其他相关资料</w:t>
      </w:r>
    </w:p>
    <w:p>
      <w:pPr>
        <w:rPr>
          <w:rFonts w:ascii="Calibri" w:hAnsi="Calibri"/>
          <w:b/>
          <w:szCs w:val="21"/>
        </w:rPr>
      </w:pPr>
      <w:r>
        <w:rPr>
          <w:rFonts w:ascii="Calibri" w:hAnsi="Calibri"/>
          <w:b/>
          <w:szCs w:val="21"/>
        </w:rPr>
        <w:br w:type="page"/>
      </w:r>
    </w:p>
    <w:p>
      <w:pPr>
        <w:jc w:val="center"/>
        <w:rPr>
          <w:rFonts w:ascii="Calibri" w:hAnsi="Calibri"/>
          <w:szCs w:val="21"/>
        </w:rPr>
      </w:pPr>
      <w:r>
        <w:rPr>
          <w:rFonts w:hint="eastAsia" w:ascii="Calibri" w:hAnsi="Calibri"/>
          <w:b/>
          <w:szCs w:val="21"/>
        </w:rPr>
        <w:t>8-2近年财务状况表</w:t>
      </w: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pageBreakBefore/>
        <w:tabs>
          <w:tab w:val="left" w:pos="3495"/>
          <w:tab w:val="center" w:pos="4677"/>
        </w:tabs>
        <w:jc w:val="center"/>
        <w:rPr>
          <w:rFonts w:ascii="Calibri" w:hAnsi="Calibri"/>
          <w:b/>
          <w:szCs w:val="21"/>
        </w:rPr>
      </w:pPr>
      <w:r>
        <w:rPr>
          <w:rFonts w:hint="eastAsia" w:ascii="Calibri" w:hAnsi="Calibri"/>
          <w:b/>
          <w:szCs w:val="21"/>
        </w:rPr>
        <w:t>8-3（2019年1月1日至今）类似业绩表</w:t>
      </w:r>
    </w:p>
    <w:p>
      <w:pPr>
        <w:tabs>
          <w:tab w:val="left" w:pos="3495"/>
          <w:tab w:val="center" w:pos="4677"/>
        </w:tabs>
        <w:jc w:val="center"/>
        <w:rPr>
          <w:rFonts w:ascii="Calibri" w:hAnsi="Calibri"/>
          <w:b/>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项目名称</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采购人名称</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采购人地址</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采购人联系人及电话</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hint="eastAsia" w:ascii="Calibri" w:hAnsi="Calibri"/>
                <w:szCs w:val="21"/>
              </w:rPr>
              <w:t>服务</w:t>
            </w:r>
            <w:r>
              <w:rPr>
                <w:rFonts w:ascii="Calibri" w:hAnsi="Calibri"/>
                <w:szCs w:val="21"/>
              </w:rPr>
              <w:t>内容</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hint="eastAsia" w:ascii="Calibri" w:hAnsi="Calibri"/>
                <w:szCs w:val="21"/>
              </w:rPr>
              <w:t>服务</w:t>
            </w:r>
            <w:r>
              <w:rPr>
                <w:rFonts w:ascii="Calibri" w:hAnsi="Calibri"/>
                <w:szCs w:val="21"/>
              </w:rPr>
              <w:t>数量</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签约日期</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合同价格</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备注</w:t>
            </w:r>
          </w:p>
        </w:tc>
        <w:tc>
          <w:tcPr>
            <w:tcW w:w="6429" w:type="dxa"/>
            <w:vAlign w:val="center"/>
          </w:tcPr>
          <w:p>
            <w:pPr>
              <w:jc w:val="center"/>
              <w:rPr>
                <w:rFonts w:ascii="Calibri" w:hAnsi="Calibri"/>
                <w:b/>
                <w:szCs w:val="21"/>
              </w:rPr>
            </w:pPr>
          </w:p>
        </w:tc>
      </w:tr>
    </w:tbl>
    <w:p>
      <w:pPr>
        <w:ind w:firstLine="315" w:firstLineChars="150"/>
        <w:jc w:val="left"/>
        <w:rPr>
          <w:rFonts w:ascii="Calibri" w:hAnsi="Calibri"/>
          <w:szCs w:val="21"/>
        </w:rPr>
      </w:pPr>
      <w:r>
        <w:rPr>
          <w:rFonts w:hint="eastAsia" w:ascii="Calibri" w:hAnsi="Calibri"/>
          <w:szCs w:val="21"/>
        </w:rPr>
        <w:t>备注：1.本表后须附类似业绩的证明资料（</w:t>
      </w:r>
      <w:r>
        <w:rPr>
          <w:rFonts w:hint="eastAsia" w:asciiTheme="minorEastAsia" w:hAnsiTheme="minorEastAsia"/>
          <w:spacing w:val="-2"/>
          <w:szCs w:val="21"/>
        </w:rPr>
        <w:t>需提供中标通知书和同类项目合同。案例是以提供的投标单位自身合同为准，要求必须提供与最终用户签订的合同首页、合同金额所在页、主要服务内容页复印件作为证明</w:t>
      </w:r>
      <w:r>
        <w:rPr>
          <w:rFonts w:hint="eastAsia" w:ascii="Calibri" w:hAnsi="Calibri"/>
          <w:szCs w:val="21"/>
        </w:rPr>
        <w:t>）</w:t>
      </w:r>
    </w:p>
    <w:p>
      <w:pPr>
        <w:ind w:firstLine="945" w:firstLineChars="450"/>
        <w:jc w:val="left"/>
        <w:rPr>
          <w:rFonts w:ascii="Calibri" w:hAnsi="Calibri"/>
          <w:szCs w:val="21"/>
        </w:rPr>
        <w:sectPr>
          <w:footerReference r:id="rId8" w:type="first"/>
          <w:pgSz w:w="11906" w:h="16838"/>
          <w:pgMar w:top="1386" w:right="1298" w:bottom="1134" w:left="799" w:header="709" w:footer="794" w:gutter="567"/>
          <w:cols w:space="720" w:num="1"/>
          <w:docGrid w:type="linesAndChars" w:linePitch="312" w:charSpace="0"/>
        </w:sectPr>
      </w:pPr>
      <w:r>
        <w:rPr>
          <w:rFonts w:hint="eastAsia" w:ascii="Calibri" w:hAnsi="Calibri"/>
          <w:szCs w:val="21"/>
        </w:rPr>
        <w:t>2.每张表格只填写一个项目信息，并标明序号。</w:t>
      </w:r>
    </w:p>
    <w:p>
      <w:pPr>
        <w:keepNext/>
        <w:keepLines/>
        <w:spacing w:line="360" w:lineRule="auto"/>
        <w:jc w:val="center"/>
        <w:outlineLvl w:val="1"/>
        <w:rPr>
          <w:rFonts w:ascii="Calibri" w:hAnsi="Calibri"/>
          <w:b/>
          <w:kern w:val="44"/>
          <w:szCs w:val="21"/>
        </w:rPr>
      </w:pPr>
      <w:bookmarkStart w:id="48" w:name="_Toc71135170"/>
      <w:bookmarkStart w:id="49" w:name="_Toc13995240"/>
      <w:r>
        <w:rPr>
          <w:rFonts w:hint="eastAsia" w:ascii="Calibri" w:hAnsi="Calibri"/>
          <w:b/>
          <w:kern w:val="44"/>
          <w:szCs w:val="21"/>
        </w:rPr>
        <w:t>九、服务承诺书</w:t>
      </w:r>
      <w:bookmarkEnd w:id="48"/>
      <w:bookmarkEnd w:id="49"/>
    </w:p>
    <w:p>
      <w:pPr>
        <w:spacing w:line="440" w:lineRule="exact"/>
        <w:jc w:val="left"/>
        <w:rPr>
          <w:rFonts w:ascii="Calibri" w:hAnsi="Calibri"/>
          <w:szCs w:val="21"/>
        </w:rPr>
      </w:pPr>
      <w:r>
        <w:rPr>
          <w:rFonts w:hint="eastAsia" w:ascii="Calibri" w:hAnsi="Calibri"/>
          <w:szCs w:val="21"/>
        </w:rPr>
        <w:tab/>
      </w:r>
      <w:r>
        <w:rPr>
          <w:rFonts w:hint="eastAsia" w:ascii="Calibri" w:hAnsi="Calibri"/>
          <w:szCs w:val="21"/>
        </w:rPr>
        <w:t>该承诺书格式及内容根据磋商文件由投标商自行确定：</w:t>
      </w:r>
    </w:p>
    <w:p>
      <w:pPr>
        <w:numPr>
          <w:ilvl w:val="0"/>
          <w:numId w:val="7"/>
        </w:numPr>
        <w:spacing w:line="440" w:lineRule="exact"/>
        <w:contextualSpacing/>
        <w:jc w:val="left"/>
        <w:rPr>
          <w:rFonts w:ascii="Calibri" w:hAnsi="Calibri"/>
          <w:kern w:val="0"/>
          <w:szCs w:val="21"/>
          <w:lang w:eastAsia="en-US" w:bidi="en-US"/>
        </w:rPr>
      </w:pPr>
      <w:r>
        <w:rPr>
          <w:rFonts w:hint="eastAsia" w:ascii="Calibri" w:hAnsi="Calibri"/>
          <w:kern w:val="0"/>
          <w:szCs w:val="21"/>
          <w:lang w:bidi="en-US"/>
        </w:rPr>
        <w:t>..............</w:t>
      </w:r>
    </w:p>
    <w:p>
      <w:pPr>
        <w:numPr>
          <w:ilvl w:val="0"/>
          <w:numId w:val="7"/>
        </w:numPr>
        <w:spacing w:line="440" w:lineRule="exact"/>
        <w:contextualSpacing/>
        <w:jc w:val="left"/>
        <w:rPr>
          <w:rFonts w:ascii="Calibri" w:hAnsi="Calibri"/>
          <w:kern w:val="0"/>
          <w:szCs w:val="21"/>
          <w:lang w:eastAsia="en-US" w:bidi="en-US"/>
        </w:rPr>
      </w:pPr>
      <w:r>
        <w:rPr>
          <w:rFonts w:hint="eastAsia" w:ascii="Calibri" w:hAnsi="Calibri"/>
          <w:kern w:val="0"/>
          <w:szCs w:val="21"/>
          <w:lang w:bidi="en-US"/>
        </w:rPr>
        <w:t>..............</w:t>
      </w:r>
    </w:p>
    <w:p>
      <w:pPr>
        <w:numPr>
          <w:ilvl w:val="0"/>
          <w:numId w:val="7"/>
        </w:numPr>
        <w:spacing w:line="440" w:lineRule="exact"/>
        <w:contextualSpacing/>
        <w:jc w:val="left"/>
        <w:rPr>
          <w:rFonts w:ascii="Calibri" w:hAnsi="Calibri"/>
          <w:kern w:val="0"/>
          <w:szCs w:val="21"/>
          <w:lang w:eastAsia="en-US" w:bidi="en-US"/>
        </w:rPr>
      </w:pPr>
      <w:r>
        <w:rPr>
          <w:rFonts w:hint="eastAsia" w:ascii="Calibri" w:hAnsi="Calibri"/>
          <w:kern w:val="0"/>
          <w:szCs w:val="21"/>
          <w:lang w:bidi="en-US"/>
        </w:rPr>
        <w:t>..............</w:t>
      </w:r>
    </w:p>
    <w:p>
      <w:pPr>
        <w:spacing w:line="440" w:lineRule="exact"/>
        <w:jc w:val="left"/>
        <w:rPr>
          <w:rFonts w:ascii="Calibri" w:hAnsi="Calibri"/>
          <w:szCs w:val="21"/>
        </w:rPr>
      </w:pPr>
    </w:p>
    <w:p>
      <w:pPr>
        <w:spacing w:line="440" w:lineRule="exact"/>
        <w:jc w:val="left"/>
        <w:rPr>
          <w:rFonts w:ascii="Calibri" w:hAnsi="Calibri"/>
          <w:szCs w:val="21"/>
        </w:rPr>
      </w:pPr>
    </w:p>
    <w:p>
      <w:pPr>
        <w:spacing w:line="440" w:lineRule="exact"/>
        <w:jc w:val="left"/>
        <w:rPr>
          <w:rFonts w:ascii="Calibri" w:hAnsi="Calibri"/>
          <w:szCs w:val="21"/>
        </w:rPr>
      </w:pPr>
    </w:p>
    <w:p>
      <w:pPr>
        <w:spacing w:line="480" w:lineRule="auto"/>
        <w:ind w:firstLine="4200" w:firstLineChars="2000"/>
        <w:rPr>
          <w:rFonts w:ascii="Calibri" w:hAnsi="Calibri"/>
          <w:szCs w:val="21"/>
        </w:rPr>
      </w:pPr>
      <w:r>
        <w:rPr>
          <w:rFonts w:hint="eastAsia" w:ascii="Calibri" w:hAnsi="Calibri"/>
          <w:szCs w:val="21"/>
        </w:rPr>
        <w:t>供应商：（盖章）</w:t>
      </w:r>
    </w:p>
    <w:p>
      <w:pPr>
        <w:spacing w:line="480" w:lineRule="auto"/>
        <w:ind w:firstLine="4200" w:firstLineChars="2000"/>
        <w:rPr>
          <w:rFonts w:ascii="Calibri" w:hAnsi="Calibri"/>
          <w:szCs w:val="21"/>
        </w:rPr>
      </w:pPr>
      <w:r>
        <w:rPr>
          <w:rFonts w:hint="eastAsia" w:ascii="Calibri" w:hAnsi="Calibri"/>
          <w:szCs w:val="21"/>
        </w:rPr>
        <w:t>日期：年月日</w:t>
      </w:r>
    </w:p>
    <w:p>
      <w:pPr>
        <w:spacing w:line="440" w:lineRule="exact"/>
        <w:jc w:val="right"/>
        <w:rPr>
          <w:rFonts w:ascii="Calibri" w:hAnsi="Calibri"/>
          <w:szCs w:val="21"/>
        </w:rPr>
      </w:pPr>
      <w:r>
        <w:rPr>
          <w:rFonts w:ascii="Calibri" w:hAnsi="Calibri"/>
          <w:szCs w:val="21"/>
        </w:rPr>
        <w:br w:type="page"/>
      </w:r>
    </w:p>
    <w:p>
      <w:pPr>
        <w:keepNext/>
        <w:keepLines/>
        <w:spacing w:line="360" w:lineRule="auto"/>
        <w:jc w:val="center"/>
        <w:outlineLvl w:val="1"/>
        <w:rPr>
          <w:rFonts w:ascii="Calibri" w:hAnsi="Calibri"/>
          <w:b/>
          <w:kern w:val="44"/>
          <w:szCs w:val="21"/>
        </w:rPr>
      </w:pPr>
      <w:bookmarkStart w:id="50" w:name="_Toc71135171"/>
      <w:bookmarkStart w:id="51" w:name="_Toc13995241"/>
      <w:r>
        <w:rPr>
          <w:rFonts w:hint="eastAsia" w:ascii="Calibri" w:hAnsi="Calibri"/>
          <w:b/>
          <w:kern w:val="44"/>
          <w:szCs w:val="21"/>
        </w:rPr>
        <w:t>十、服务方案</w:t>
      </w:r>
      <w:bookmarkEnd w:id="50"/>
      <w:bookmarkEnd w:id="51"/>
    </w:p>
    <w:p>
      <w:pPr>
        <w:spacing w:line="440" w:lineRule="exact"/>
        <w:ind w:firstLine="420" w:firstLineChars="200"/>
        <w:jc w:val="left"/>
        <w:rPr>
          <w:rFonts w:ascii="Calibri" w:hAnsi="Calibri"/>
          <w:szCs w:val="21"/>
        </w:rPr>
        <w:sectPr>
          <w:pgSz w:w="11906" w:h="16838"/>
          <w:pgMar w:top="1418" w:right="1418" w:bottom="1418" w:left="1701" w:header="851" w:footer="992" w:gutter="0"/>
          <w:cols w:space="720" w:num="1"/>
          <w:titlePg/>
          <w:docGrid w:linePitch="332" w:charSpace="0"/>
        </w:sectPr>
      </w:pPr>
      <w:r>
        <w:rPr>
          <w:rFonts w:hint="eastAsia" w:ascii="Calibri" w:hAnsi="Calibri"/>
          <w:szCs w:val="21"/>
        </w:rPr>
        <w:t>供应商须提交拟完成本项目的服务方案，服务方案的格式和内容由供应商根据本项目的具体情况自行拟定，但包括但不限于：</w:t>
      </w:r>
      <w:r>
        <w:rPr>
          <w:rFonts w:hint="eastAsia" w:asciiTheme="majorEastAsia" w:hAnsiTheme="majorEastAsia" w:eastAsiaTheme="majorEastAsia"/>
          <w:bCs/>
          <w:szCs w:val="21"/>
        </w:rPr>
        <w:t>工作范围和任务目标的理解</w:t>
      </w:r>
      <w:r>
        <w:rPr>
          <w:rFonts w:hint="eastAsia" w:ascii="Calibri" w:hAnsi="Calibri"/>
          <w:szCs w:val="21"/>
        </w:rPr>
        <w:t>、</w:t>
      </w:r>
      <w:r>
        <w:rPr>
          <w:rFonts w:hint="eastAsia" w:asciiTheme="majorEastAsia" w:hAnsiTheme="majorEastAsia" w:eastAsiaTheme="majorEastAsia"/>
          <w:bCs/>
          <w:szCs w:val="21"/>
        </w:rPr>
        <w:t>服务质量及保证措施</w:t>
      </w:r>
      <w:r>
        <w:rPr>
          <w:rFonts w:hint="eastAsia" w:ascii="Calibri" w:hAnsi="Calibri"/>
          <w:szCs w:val="21"/>
        </w:rPr>
        <w:t>、</w:t>
      </w:r>
      <w:r>
        <w:rPr>
          <w:rFonts w:hint="eastAsia" w:asciiTheme="majorEastAsia" w:hAnsiTheme="majorEastAsia" w:eastAsiaTheme="majorEastAsia"/>
          <w:bCs/>
          <w:szCs w:val="21"/>
        </w:rPr>
        <w:t>项目管理</w:t>
      </w:r>
      <w:r>
        <w:rPr>
          <w:rFonts w:hint="eastAsia" w:ascii="Calibri" w:hAnsi="Calibri"/>
          <w:szCs w:val="21"/>
        </w:rPr>
        <w:t>、</w:t>
      </w:r>
      <w:r>
        <w:rPr>
          <w:rFonts w:hint="eastAsia" w:cs="宋体" w:asciiTheme="majorEastAsia" w:hAnsiTheme="majorEastAsia" w:eastAsiaTheme="majorEastAsia"/>
          <w:szCs w:val="21"/>
        </w:rPr>
        <w:t>项目的重难点分析，能够提出合理化建议</w:t>
      </w:r>
      <w:r>
        <w:rPr>
          <w:rFonts w:hint="eastAsia" w:ascii="Calibri" w:hAnsi="Calibri"/>
          <w:szCs w:val="21"/>
        </w:rPr>
        <w:t>，格式自拟。</w:t>
      </w:r>
    </w:p>
    <w:p>
      <w:pPr>
        <w:widowControl/>
        <w:spacing w:after="200" w:line="440" w:lineRule="exact"/>
        <w:ind w:left="359" w:leftChars="171" w:firstLine="420" w:firstLineChars="200"/>
        <w:contextualSpacing/>
        <w:jc w:val="left"/>
        <w:rPr>
          <w:rFonts w:ascii="Calibri" w:hAnsi="Calibri"/>
          <w:kern w:val="0"/>
          <w:szCs w:val="21"/>
          <w:lang w:bidi="en-US"/>
        </w:rPr>
      </w:pPr>
    </w:p>
    <w:p>
      <w:pPr>
        <w:keepNext/>
        <w:keepLines/>
        <w:spacing w:before="156" w:beforeLines="50" w:after="156" w:afterLines="50" w:line="480" w:lineRule="auto"/>
        <w:ind w:left="466" w:leftChars="-67" w:hanging="607" w:hangingChars="288"/>
        <w:jc w:val="center"/>
        <w:outlineLvl w:val="1"/>
        <w:rPr>
          <w:rFonts w:ascii="Calibri" w:hAnsi="Calibri"/>
          <w:b/>
          <w:kern w:val="44"/>
          <w:szCs w:val="21"/>
        </w:rPr>
      </w:pPr>
      <w:bookmarkStart w:id="52" w:name="_Toc13995242"/>
      <w:bookmarkStart w:id="53" w:name="_Toc71135172"/>
      <w:r>
        <w:rPr>
          <w:rFonts w:hint="eastAsia" w:ascii="Calibri" w:hAnsi="Calibri"/>
          <w:b/>
          <w:kern w:val="44"/>
          <w:szCs w:val="21"/>
        </w:rPr>
        <w:t>十一、其它相关资料</w:t>
      </w:r>
      <w:bookmarkEnd w:id="52"/>
      <w:bookmarkEnd w:id="53"/>
    </w:p>
    <w:p>
      <w:pPr>
        <w:numPr>
          <w:ilvl w:val="0"/>
          <w:numId w:val="8"/>
        </w:numPr>
        <w:spacing w:line="360" w:lineRule="auto"/>
        <w:jc w:val="left"/>
        <w:rPr>
          <w:rFonts w:ascii="Calibri" w:hAnsi="Calibri"/>
          <w:szCs w:val="21"/>
        </w:rPr>
      </w:pPr>
      <w:r>
        <w:rPr>
          <w:rFonts w:hint="eastAsia" w:ascii="Calibri" w:hAnsi="Calibri"/>
          <w:szCs w:val="21"/>
        </w:rPr>
        <w:t>根据磋商文件的要求和供应商认为需要提供的资料</w:t>
      </w:r>
    </w:p>
    <w:p>
      <w:pPr>
        <w:ind w:left="360"/>
        <w:jc w:val="center"/>
        <w:rPr>
          <w:rFonts w:ascii="宋体" w:hAnsi="宋体" w:eastAsia="宋体" w:cs="宋体"/>
          <w:sz w:val="28"/>
          <w:szCs w:val="28"/>
        </w:rPr>
      </w:pPr>
      <w:r>
        <w:rPr>
          <w:rFonts w:ascii="Calibri" w:hAnsi="Calibri"/>
          <w:szCs w:val="21"/>
        </w:rPr>
        <w:br w:type="page"/>
      </w:r>
      <w:r>
        <w:rPr>
          <w:rFonts w:hint="eastAsia" w:ascii="宋体" w:hAnsi="宋体" w:eastAsia="宋体" w:cs="宋体"/>
          <w:sz w:val="28"/>
          <w:szCs w:val="28"/>
        </w:rPr>
        <w:t>第二部分　技术部分</w:t>
      </w:r>
    </w:p>
    <w:p>
      <w:pPr>
        <w:autoSpaceDE w:val="0"/>
        <w:autoSpaceDN w:val="0"/>
        <w:adjustRightInd w:val="0"/>
        <w:jc w:val="center"/>
        <w:outlineLvl w:val="0"/>
        <w:rPr>
          <w:rFonts w:cs="Times New Roman" w:asciiTheme="minorEastAsia" w:hAnsiTheme="minorEastAsia"/>
          <w:sz w:val="30"/>
          <w:szCs w:val="30"/>
        </w:rPr>
      </w:pPr>
      <w:r>
        <w:rPr>
          <w:rFonts w:hint="eastAsia" w:cs="Times New Roman" w:asciiTheme="minorEastAsia" w:hAnsiTheme="minorEastAsia"/>
          <w:sz w:val="30"/>
          <w:szCs w:val="30"/>
        </w:rPr>
        <w:t>第六章采购需求</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highlight w:val="none"/>
        </w:rPr>
      </w:pPr>
      <w:r>
        <w:rPr>
          <w:rFonts w:hint="eastAsia" w:ascii="宋体" w:hAnsi="宋体" w:eastAsia="宋体" w:cs="宋体"/>
          <w:b/>
          <w:kern w:val="0"/>
          <w:szCs w:val="21"/>
          <w:highlight w:val="none"/>
        </w:rPr>
        <w:t>一、监理内容</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监理主要内容包括但不限于：按《</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项目监理规范》系列标准开展监理工作，配合</w:t>
      </w:r>
      <w:r>
        <w:rPr>
          <w:rFonts w:hint="eastAsia" w:ascii="宋体" w:hAnsi="宋体" w:eastAsia="宋体" w:cs="宋体"/>
          <w:szCs w:val="21"/>
          <w:highlight w:val="none"/>
          <w:lang w:eastAsia="zh-CN"/>
        </w:rPr>
        <w:t>阿勒泰市</w:t>
      </w:r>
      <w:r>
        <w:rPr>
          <w:rFonts w:hint="eastAsia" w:ascii="宋体" w:hAnsi="宋体" w:eastAsia="宋体" w:cs="宋体"/>
          <w:szCs w:val="21"/>
          <w:highlight w:val="none"/>
        </w:rPr>
        <w:t>住房和城乡建设局对城市管理服务平台建设项目所涉及全过程的需求调研、详细方案设计、开发测试、设备采购、系统集成实施和验收全过程监理。</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highlight w:val="none"/>
        </w:rPr>
      </w:pPr>
      <w:r>
        <w:rPr>
          <w:rFonts w:hint="eastAsia" w:ascii="宋体" w:hAnsi="宋体" w:eastAsia="宋体" w:cs="宋体"/>
          <w:b/>
          <w:kern w:val="0"/>
          <w:szCs w:val="21"/>
          <w:highlight w:val="none"/>
        </w:rPr>
        <w:t>二、监理目标</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根据合同的要求，按规定的质量、时间和费用完成合同约定的内容，避免各种风险对项目造成的不利影响。</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highlight w:val="none"/>
        </w:rPr>
      </w:pPr>
      <w:r>
        <w:rPr>
          <w:rFonts w:hint="eastAsia" w:ascii="宋体" w:hAnsi="宋体" w:eastAsia="宋体" w:cs="宋体"/>
          <w:b/>
          <w:kern w:val="0"/>
          <w:szCs w:val="21"/>
          <w:highlight w:val="none"/>
        </w:rPr>
        <w:t>三、监理依据</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《信息技术服务监理规范》系列标准(GB/T 19668.1-2014)</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《计算机软件需求规格说明规范》(GB/T 9385-2008)</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《计算机软件文档编制规范》(GB/T 8567-2006)</w:t>
      </w:r>
    </w:p>
    <w:p>
      <w:pPr>
        <w:spacing w:line="360" w:lineRule="auto"/>
        <w:ind w:firstLine="420" w:firstLineChars="200"/>
        <w:rPr>
          <w:rFonts w:ascii="宋体" w:hAnsi="宋体" w:eastAsia="宋体" w:cs="宋体"/>
          <w:szCs w:val="21"/>
        </w:rPr>
      </w:pPr>
      <w:r>
        <w:rPr>
          <w:rFonts w:hint="eastAsia" w:ascii="宋体" w:hAnsi="宋体" w:eastAsia="宋体" w:cs="宋体"/>
          <w:szCs w:val="21"/>
        </w:rPr>
        <w:t>《计算机软件测试文档编制规范》(GB/T 9386-2008)</w:t>
      </w:r>
    </w:p>
    <w:p>
      <w:pPr>
        <w:spacing w:line="360" w:lineRule="auto"/>
        <w:ind w:firstLine="420" w:firstLineChars="200"/>
        <w:rPr>
          <w:rFonts w:ascii="宋体" w:hAnsi="宋体" w:eastAsia="宋体" w:cs="宋体"/>
          <w:szCs w:val="21"/>
        </w:rPr>
      </w:pPr>
      <w:r>
        <w:rPr>
          <w:rFonts w:hint="eastAsia" w:ascii="宋体" w:hAnsi="宋体" w:eastAsia="宋体" w:cs="宋体"/>
          <w:szCs w:val="21"/>
        </w:rPr>
        <w:t>《信息技术 软件生存周期过程》(GB/T 8566-2007)</w:t>
      </w:r>
    </w:p>
    <w:p>
      <w:pPr>
        <w:spacing w:line="360" w:lineRule="auto"/>
        <w:ind w:firstLine="420" w:firstLineChars="200"/>
        <w:rPr>
          <w:rFonts w:ascii="宋体" w:hAnsi="宋体" w:eastAsia="宋体" w:cs="宋体"/>
          <w:szCs w:val="21"/>
        </w:rPr>
      </w:pPr>
      <w:r>
        <w:rPr>
          <w:rFonts w:hint="eastAsia" w:ascii="宋体" w:hAnsi="宋体" w:eastAsia="宋体" w:cs="宋体"/>
          <w:szCs w:val="21"/>
        </w:rPr>
        <w:t>《软件工程 产品质量》(GB/T 16260-2006)</w:t>
      </w:r>
    </w:p>
    <w:p>
      <w:pPr>
        <w:spacing w:line="360" w:lineRule="auto"/>
        <w:ind w:firstLine="420" w:firstLineChars="200"/>
        <w:rPr>
          <w:rFonts w:ascii="宋体" w:hAnsi="宋体" w:eastAsia="宋体" w:cs="宋体"/>
          <w:szCs w:val="21"/>
        </w:rPr>
      </w:pPr>
      <w:r>
        <w:rPr>
          <w:rFonts w:hint="eastAsia" w:ascii="宋体" w:hAnsi="宋体" w:eastAsia="宋体" w:cs="宋体"/>
          <w:szCs w:val="21"/>
        </w:rPr>
        <w:t>项目实施建设合同</w:t>
      </w:r>
    </w:p>
    <w:p>
      <w:pPr>
        <w:spacing w:line="360" w:lineRule="auto"/>
        <w:ind w:firstLine="420" w:firstLineChars="200"/>
        <w:rPr>
          <w:rFonts w:ascii="宋体" w:hAnsi="宋体" w:eastAsia="宋体" w:cs="宋体"/>
          <w:szCs w:val="21"/>
        </w:rPr>
      </w:pPr>
      <w:r>
        <w:rPr>
          <w:rFonts w:hint="eastAsia" w:ascii="宋体" w:hAnsi="宋体" w:eastAsia="宋体" w:cs="宋体"/>
          <w:szCs w:val="21"/>
        </w:rPr>
        <w:t>项目所涉及的相关技术标准规范</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rPr>
      </w:pPr>
      <w:r>
        <w:rPr>
          <w:rFonts w:hint="eastAsia" w:ascii="宋体" w:hAnsi="宋体" w:eastAsia="宋体" w:cs="宋体"/>
          <w:b/>
          <w:kern w:val="0"/>
          <w:szCs w:val="21"/>
        </w:rPr>
        <w:t>四、服务内容</w:t>
      </w:r>
    </w:p>
    <w:p>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依</w:t>
      </w:r>
      <w:r>
        <w:rPr>
          <w:rFonts w:hint="eastAsia" w:ascii="宋体" w:hAnsi="宋体" w:eastAsia="宋体" w:cs="宋体"/>
          <w:spacing w:val="-6"/>
          <w:szCs w:val="21"/>
        </w:rPr>
        <w:t>据项目监理有关</w:t>
      </w:r>
      <w:r>
        <w:rPr>
          <w:rFonts w:hint="eastAsia" w:ascii="宋体" w:hAnsi="宋体" w:eastAsia="宋体" w:cs="宋体"/>
          <w:szCs w:val="21"/>
        </w:rPr>
        <w:t>要求，完成以下工作，具体服务内容包括但不限于以下内容：</w:t>
      </w:r>
    </w:p>
    <w:p>
      <w:pPr>
        <w:spacing w:line="360" w:lineRule="auto"/>
        <w:ind w:firstLine="420" w:firstLineChars="200"/>
        <w:rPr>
          <w:rFonts w:ascii="宋体" w:hAnsi="宋体" w:eastAsia="宋体" w:cs="宋体"/>
          <w:szCs w:val="21"/>
        </w:rPr>
      </w:pPr>
      <w:r>
        <w:rPr>
          <w:rFonts w:hint="eastAsia" w:ascii="宋体" w:hAnsi="宋体" w:eastAsia="宋体" w:cs="宋体"/>
          <w:szCs w:val="21"/>
        </w:rPr>
        <w:t>1.项目组织及技术总体方案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根据项目实施的不同阶段，有针对性的制定质量计划、风险管理计划、沟通计划、进度控制计划等，并规范项目管理。对项目管理中的关键点进行技术、质量、进度的把关，以保证项目建设更加规范、科学，达到全过程控制。审核监督确认中标承建单位总体技术方案、实施方案、各种关键技术方案、项目质量保证计划、项目质量控制体系、配置管理方案、测试方案、项目进度计划、进度控制节点等，明确项目质量控制的关键性环节。</w:t>
      </w:r>
    </w:p>
    <w:p>
      <w:pPr>
        <w:spacing w:line="360" w:lineRule="auto"/>
        <w:ind w:firstLine="420" w:firstLineChars="200"/>
        <w:rPr>
          <w:rFonts w:ascii="宋体" w:hAnsi="宋体" w:eastAsia="宋体" w:cs="宋体"/>
          <w:szCs w:val="21"/>
        </w:rPr>
      </w:pPr>
      <w:r>
        <w:rPr>
          <w:rFonts w:hint="eastAsia" w:ascii="宋体" w:hAnsi="宋体" w:eastAsia="宋体" w:cs="宋体"/>
          <w:szCs w:val="21"/>
        </w:rPr>
        <w:t>2.项目质量控制</w:t>
      </w:r>
    </w:p>
    <w:p>
      <w:pPr>
        <w:spacing w:line="360" w:lineRule="auto"/>
        <w:ind w:firstLine="420" w:firstLineChars="200"/>
        <w:rPr>
          <w:rFonts w:ascii="宋体" w:hAnsi="宋体" w:eastAsia="宋体" w:cs="宋体"/>
          <w:szCs w:val="21"/>
        </w:rPr>
      </w:pPr>
      <w:r>
        <w:rPr>
          <w:rFonts w:hint="eastAsia" w:ascii="宋体" w:hAnsi="宋体" w:eastAsia="宋体" w:cs="宋体"/>
          <w:szCs w:val="21"/>
        </w:rPr>
        <w:t>监理单位通过标准规范约束承建单位开展项目实施，确保项目建设质量达到合同要求。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（1）采取事前预防、事中控制、事后纠正的监理方式，依据国家法律、法规、标准以及项目合同、设计方案、监理规范、监理实施细则等文件，控制项目总体项目质量；</w:t>
      </w:r>
    </w:p>
    <w:p>
      <w:pPr>
        <w:spacing w:line="360" w:lineRule="auto"/>
        <w:ind w:firstLine="420" w:firstLineChars="200"/>
        <w:rPr>
          <w:rFonts w:ascii="宋体" w:hAnsi="宋体" w:eastAsia="宋体" w:cs="宋体"/>
          <w:szCs w:val="21"/>
        </w:rPr>
      </w:pPr>
      <w:r>
        <w:rPr>
          <w:rFonts w:hint="eastAsia" w:ascii="宋体" w:hAnsi="宋体" w:eastAsia="宋体" w:cs="宋体"/>
          <w:szCs w:val="21"/>
        </w:rPr>
        <w:t>（2）根据项目的特点，制定包括验收标准、验收方法和质量控制措施在内的详细监理服务方案；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（3）编制重大质量问题的处理预案，包括系统建设过程中可能出现的重大质量问题的处理预案；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（4）组织项目质量问题的原因调查、分析、评估和处理；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（5）组织系统建设质量检查、测试和验收；</w:t>
      </w:r>
    </w:p>
    <w:p>
      <w:pPr>
        <w:spacing w:line="360" w:lineRule="auto"/>
        <w:ind w:firstLine="420" w:firstLineChars="200"/>
        <w:rPr>
          <w:rFonts w:ascii="宋体" w:hAnsi="宋体" w:eastAsia="宋体" w:cs="宋体"/>
          <w:szCs w:val="21"/>
        </w:rPr>
      </w:pPr>
      <w:r>
        <w:rPr>
          <w:rFonts w:hint="eastAsia" w:ascii="宋体" w:hAnsi="宋体" w:eastAsia="宋体" w:cs="宋体"/>
          <w:szCs w:val="21"/>
        </w:rPr>
        <w:t>（6）督促承建单位整改项目存在的问题；</w:t>
      </w:r>
    </w:p>
    <w:p>
      <w:pPr>
        <w:spacing w:line="360" w:lineRule="auto"/>
        <w:ind w:firstLine="420" w:firstLineChars="200"/>
        <w:rPr>
          <w:rFonts w:ascii="宋体" w:hAnsi="宋体" w:eastAsia="宋体" w:cs="宋体"/>
          <w:szCs w:val="21"/>
        </w:rPr>
      </w:pPr>
      <w:r>
        <w:rPr>
          <w:rFonts w:hint="eastAsia" w:ascii="宋体" w:hAnsi="宋体" w:eastAsia="宋体" w:cs="宋体"/>
          <w:szCs w:val="21"/>
        </w:rPr>
        <w:t>（7）参与项目验收和交接；</w:t>
      </w:r>
    </w:p>
    <w:p>
      <w:pPr>
        <w:spacing w:line="360" w:lineRule="auto"/>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）技术培训质量控制：审核确认承建单位的培训计划；监督承建单位实施其培训计划，并征求用户的反馈意见；审核确认承建单位的培训总结报告。</w:t>
      </w:r>
    </w:p>
    <w:p>
      <w:pPr>
        <w:spacing w:line="360" w:lineRule="auto"/>
        <w:ind w:firstLine="420" w:firstLineChars="200"/>
        <w:rPr>
          <w:rFonts w:ascii="宋体" w:hAnsi="宋体" w:eastAsia="宋体" w:cs="宋体"/>
          <w:szCs w:val="21"/>
        </w:rPr>
      </w:pPr>
      <w:r>
        <w:rPr>
          <w:rFonts w:hint="eastAsia" w:ascii="宋体" w:hAnsi="宋体" w:eastAsia="宋体" w:cs="宋体"/>
          <w:szCs w:val="21"/>
        </w:rPr>
        <w:t>3.项目进度控制</w:t>
      </w:r>
    </w:p>
    <w:p>
      <w:pPr>
        <w:spacing w:line="360" w:lineRule="auto"/>
        <w:ind w:firstLine="420" w:firstLineChars="200"/>
        <w:rPr>
          <w:rFonts w:ascii="宋体" w:hAnsi="宋体" w:eastAsia="宋体" w:cs="宋体"/>
          <w:szCs w:val="21"/>
        </w:rPr>
      </w:pPr>
      <w:r>
        <w:rPr>
          <w:rFonts w:hint="eastAsia" w:ascii="宋体" w:hAnsi="宋体" w:eastAsia="宋体" w:cs="宋体"/>
          <w:szCs w:val="21"/>
        </w:rPr>
        <w:t>监理单位通过标准规范约束承建单位开展项目实施，确保项目进度达到合同要求。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（1）审查各子项目建设进度计划，监督计划执行；</w:t>
      </w:r>
    </w:p>
    <w:p>
      <w:pPr>
        <w:spacing w:line="360" w:lineRule="auto"/>
        <w:ind w:firstLine="420" w:firstLineChars="200"/>
        <w:rPr>
          <w:rFonts w:ascii="宋体" w:hAnsi="宋体" w:eastAsia="宋体" w:cs="宋体"/>
          <w:szCs w:val="21"/>
        </w:rPr>
      </w:pPr>
      <w:r>
        <w:rPr>
          <w:rFonts w:hint="eastAsia" w:ascii="宋体" w:hAnsi="宋体" w:eastAsia="宋体" w:cs="宋体"/>
          <w:szCs w:val="21"/>
        </w:rPr>
        <w:t>（2）采用先进项目管理工具确定各子项目建设工序，监督项目建设进度；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（3）发现项目建设进程未能按计划进行时，要求承建单位调整或修改计划，采取必要措施加快进度，使实际建设进度符合合同要求；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（4）当项目建设进度拖后可能导致合同工期严重延误时，须作详细报告分析原因并提出对策，为采购人采取措施和做出决定提供参考。</w:t>
      </w:r>
    </w:p>
    <w:p>
      <w:pPr>
        <w:spacing w:line="360" w:lineRule="auto"/>
        <w:ind w:firstLine="420" w:firstLineChars="200"/>
        <w:rPr>
          <w:rFonts w:ascii="宋体" w:hAnsi="宋体" w:eastAsia="宋体" w:cs="宋体"/>
          <w:szCs w:val="21"/>
        </w:rPr>
      </w:pPr>
      <w:r>
        <w:rPr>
          <w:rFonts w:hint="eastAsia" w:ascii="宋体" w:hAnsi="宋体" w:eastAsia="宋体" w:cs="宋体"/>
          <w:szCs w:val="21"/>
        </w:rPr>
        <w:t>4.项目投资控制</w:t>
      </w:r>
    </w:p>
    <w:p>
      <w:pPr>
        <w:spacing w:line="360" w:lineRule="auto"/>
        <w:ind w:firstLine="420" w:firstLineChars="200"/>
        <w:rPr>
          <w:rFonts w:ascii="宋体" w:hAnsi="宋体" w:eastAsia="宋体" w:cs="宋体"/>
          <w:szCs w:val="21"/>
        </w:rPr>
      </w:pPr>
      <w:r>
        <w:rPr>
          <w:rFonts w:hint="eastAsia" w:ascii="宋体" w:hAnsi="宋体" w:eastAsia="宋体" w:cs="宋体"/>
          <w:szCs w:val="21"/>
        </w:rPr>
        <w:t>监理单位通过标准规范约束承建单位开展项目实施，确保项目建设投资符合合同要求。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（1）通过对总体建设方案和项目实施方案的评估和优化，合理控制投资；</w:t>
      </w:r>
    </w:p>
    <w:p>
      <w:pPr>
        <w:spacing w:line="360" w:lineRule="auto"/>
        <w:ind w:firstLine="420" w:firstLineChars="200"/>
        <w:rPr>
          <w:rFonts w:ascii="宋体" w:hAnsi="宋体" w:eastAsia="宋体" w:cs="宋体"/>
          <w:szCs w:val="21"/>
        </w:rPr>
      </w:pPr>
      <w:r>
        <w:rPr>
          <w:rFonts w:hint="eastAsia" w:ascii="宋体" w:hAnsi="宋体" w:eastAsia="宋体" w:cs="宋体"/>
          <w:szCs w:val="21"/>
        </w:rPr>
        <w:t>（2）审查建设进度款申报，协助采购人将付款进度与项目质量结合起来；严格控制和审查项目变更，核算成本和变化量，报采购人审批；审核项目量清单及造价和项目决算等；</w:t>
      </w:r>
    </w:p>
    <w:p>
      <w:pPr>
        <w:spacing w:line="360" w:lineRule="auto"/>
        <w:ind w:firstLine="420" w:firstLineChars="200"/>
        <w:rPr>
          <w:rFonts w:ascii="宋体" w:hAnsi="宋体" w:eastAsia="宋体" w:cs="宋体"/>
          <w:szCs w:val="21"/>
        </w:rPr>
      </w:pPr>
      <w:r>
        <w:rPr>
          <w:rFonts w:hint="eastAsia" w:ascii="宋体" w:hAnsi="宋体" w:eastAsia="宋体" w:cs="宋体"/>
          <w:szCs w:val="21"/>
        </w:rPr>
        <w:t>（3）负责项目决算初审工作，并及时将审核结果上报采购人。</w:t>
      </w:r>
    </w:p>
    <w:p>
      <w:pPr>
        <w:spacing w:line="360" w:lineRule="auto"/>
        <w:ind w:firstLine="420" w:firstLineChars="200"/>
        <w:rPr>
          <w:rFonts w:ascii="宋体" w:hAnsi="宋体" w:eastAsia="宋体" w:cs="宋体"/>
          <w:szCs w:val="21"/>
        </w:rPr>
      </w:pPr>
      <w:r>
        <w:rPr>
          <w:rFonts w:hint="eastAsia" w:ascii="宋体" w:hAnsi="宋体" w:eastAsia="宋体" w:cs="宋体"/>
          <w:szCs w:val="21"/>
        </w:rPr>
        <w:t>5.项目合同管理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有效地进行合同管理，在项目建设过程中，监理单位根据合同明确采购人和承建单位各自的责任、权利和利益，保证合同执行的公正性；还须及时向采购人通报合同变更的情况，协助保持合同、协议及其附件内容的有效性、一致性；监督合同执行情况，定期向采购人、承建单位通报合同执行情况。</w:t>
      </w:r>
    </w:p>
    <w:p>
      <w:pPr>
        <w:spacing w:line="360" w:lineRule="auto"/>
        <w:ind w:firstLine="420" w:firstLineChars="200"/>
        <w:rPr>
          <w:rFonts w:ascii="宋体" w:hAnsi="宋体" w:eastAsia="宋体" w:cs="宋体"/>
          <w:szCs w:val="21"/>
        </w:rPr>
      </w:pPr>
      <w:r>
        <w:rPr>
          <w:rFonts w:hint="eastAsia" w:ascii="宋体" w:hAnsi="宋体" w:eastAsia="宋体" w:cs="宋体"/>
          <w:szCs w:val="21"/>
        </w:rPr>
        <w:t>（1）负责为采购人草拟项目相关合同；</w:t>
      </w:r>
    </w:p>
    <w:p>
      <w:pPr>
        <w:spacing w:line="360" w:lineRule="auto"/>
        <w:ind w:firstLine="420" w:firstLineChars="200"/>
        <w:rPr>
          <w:rFonts w:ascii="宋体" w:hAnsi="宋体" w:eastAsia="宋体" w:cs="宋体"/>
          <w:szCs w:val="21"/>
        </w:rPr>
      </w:pPr>
      <w:r>
        <w:rPr>
          <w:rFonts w:hint="eastAsia" w:ascii="宋体" w:hAnsi="宋体" w:eastAsia="宋体" w:cs="宋体"/>
          <w:szCs w:val="21"/>
        </w:rPr>
        <w:t>（2）协助采购人与承建单位签订合同；</w:t>
      </w:r>
    </w:p>
    <w:p>
      <w:pPr>
        <w:spacing w:line="360" w:lineRule="auto"/>
        <w:ind w:firstLine="420" w:firstLineChars="200"/>
        <w:rPr>
          <w:rFonts w:ascii="宋体" w:hAnsi="宋体" w:eastAsia="宋体" w:cs="宋体"/>
          <w:szCs w:val="21"/>
        </w:rPr>
      </w:pPr>
      <w:r>
        <w:rPr>
          <w:rFonts w:hint="eastAsia" w:ascii="宋体" w:hAnsi="宋体" w:eastAsia="宋体" w:cs="宋体"/>
          <w:szCs w:val="21"/>
        </w:rPr>
        <w:t>（3）监督检查承建单位履行合同，确保承建单位按时履约；</w:t>
      </w:r>
    </w:p>
    <w:p>
      <w:pPr>
        <w:spacing w:line="360" w:lineRule="auto"/>
        <w:ind w:firstLine="420" w:firstLineChars="200"/>
        <w:rPr>
          <w:rFonts w:ascii="宋体" w:hAnsi="宋体" w:eastAsia="宋体" w:cs="宋体"/>
          <w:szCs w:val="21"/>
        </w:rPr>
      </w:pPr>
      <w:r>
        <w:rPr>
          <w:rFonts w:hint="eastAsia" w:ascii="宋体" w:hAnsi="宋体" w:eastAsia="宋体" w:cs="宋体"/>
          <w:szCs w:val="21"/>
        </w:rPr>
        <w:t>（4）协助采购人处理项目实施过程中变更、违约、索赔、延期、分包、纠纷调解及仲裁等问题，任何变更都要得到采购人书面确认；</w:t>
      </w:r>
    </w:p>
    <w:p>
      <w:pPr>
        <w:spacing w:line="360" w:lineRule="auto"/>
        <w:ind w:firstLine="420" w:firstLineChars="200"/>
        <w:rPr>
          <w:rFonts w:ascii="宋体" w:hAnsi="宋体" w:eastAsia="宋体" w:cs="宋体"/>
          <w:szCs w:val="21"/>
        </w:rPr>
      </w:pPr>
      <w:r>
        <w:rPr>
          <w:rFonts w:hint="eastAsia" w:ascii="宋体" w:hAnsi="宋体" w:eastAsia="宋体" w:cs="宋体"/>
          <w:szCs w:val="21"/>
        </w:rPr>
        <w:t>（5）对合同工期的延误和延期进行审核确认；</w:t>
      </w:r>
    </w:p>
    <w:p>
      <w:pPr>
        <w:spacing w:line="360" w:lineRule="auto"/>
        <w:ind w:firstLine="420" w:firstLineChars="200"/>
        <w:rPr>
          <w:rFonts w:ascii="宋体" w:hAnsi="宋体" w:eastAsia="宋体" w:cs="宋体"/>
          <w:szCs w:val="21"/>
        </w:rPr>
      </w:pPr>
      <w:r>
        <w:rPr>
          <w:rFonts w:hint="eastAsia" w:ascii="宋体" w:hAnsi="宋体" w:eastAsia="宋体" w:cs="宋体"/>
          <w:szCs w:val="21"/>
        </w:rPr>
        <w:t>（6）对项目暂停、复工等事宜进行审核确认。</w:t>
      </w:r>
    </w:p>
    <w:p>
      <w:pPr>
        <w:spacing w:line="360" w:lineRule="auto"/>
        <w:ind w:firstLine="420" w:firstLineChars="200"/>
        <w:rPr>
          <w:rFonts w:ascii="宋体" w:hAnsi="宋体" w:eastAsia="宋体" w:cs="宋体"/>
          <w:szCs w:val="21"/>
        </w:rPr>
      </w:pPr>
      <w:r>
        <w:rPr>
          <w:rFonts w:hint="eastAsia" w:ascii="宋体" w:hAnsi="宋体" w:eastAsia="宋体" w:cs="宋体"/>
          <w:szCs w:val="21"/>
        </w:rPr>
        <w:t>6.信息管理/项目文档管理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有效地进行项目文档管理，妥善管理整个项目过程中所产生的监理文档资料，监督承建单位按照既定的要求编制相应的项目文档。 </w:t>
      </w:r>
    </w:p>
    <w:p>
      <w:pPr>
        <w:spacing w:line="360" w:lineRule="auto"/>
        <w:ind w:firstLine="420" w:firstLineChars="200"/>
        <w:rPr>
          <w:rFonts w:ascii="宋体" w:hAnsi="宋体" w:eastAsia="宋体" w:cs="宋体"/>
          <w:szCs w:val="21"/>
        </w:rPr>
      </w:pPr>
      <w:r>
        <w:rPr>
          <w:rFonts w:hint="eastAsia" w:ascii="宋体" w:hAnsi="宋体" w:eastAsia="宋体" w:cs="宋体"/>
          <w:szCs w:val="21"/>
        </w:rPr>
        <w:t>（1）及时向采购人报告项目动态和监理工作情况；</w:t>
      </w:r>
    </w:p>
    <w:p>
      <w:pPr>
        <w:spacing w:line="360" w:lineRule="auto"/>
        <w:ind w:firstLine="420" w:firstLineChars="200"/>
        <w:rPr>
          <w:rFonts w:ascii="宋体" w:hAnsi="宋体" w:eastAsia="宋体" w:cs="宋体"/>
          <w:szCs w:val="21"/>
        </w:rPr>
      </w:pPr>
      <w:r>
        <w:rPr>
          <w:rFonts w:hint="eastAsia" w:ascii="宋体" w:hAnsi="宋体" w:eastAsia="宋体" w:cs="宋体"/>
          <w:szCs w:val="21"/>
        </w:rPr>
        <w:t>（2）建立全面、准确反映项目各阶段项目状况的图表、文档，收集管理项目各类文档和资料；</w:t>
      </w:r>
    </w:p>
    <w:p>
      <w:pPr>
        <w:spacing w:line="360" w:lineRule="auto"/>
        <w:ind w:firstLine="420" w:firstLineChars="200"/>
        <w:rPr>
          <w:rFonts w:ascii="宋体" w:hAnsi="宋体" w:eastAsia="宋体" w:cs="宋体"/>
          <w:szCs w:val="21"/>
        </w:rPr>
      </w:pPr>
      <w:r>
        <w:rPr>
          <w:rFonts w:hint="eastAsia" w:ascii="宋体" w:hAnsi="宋体" w:eastAsia="宋体" w:cs="宋体"/>
          <w:szCs w:val="21"/>
        </w:rPr>
        <w:t>（3）督促、检查承建单位及时完成各阶段资料整理和归档工作，确保各类资料必须符合国家规范格式；</w:t>
      </w:r>
    </w:p>
    <w:p>
      <w:pPr>
        <w:spacing w:line="360" w:lineRule="auto"/>
        <w:ind w:firstLine="420" w:firstLineChars="200"/>
        <w:rPr>
          <w:rFonts w:ascii="宋体" w:hAnsi="宋体" w:eastAsia="宋体" w:cs="宋体"/>
          <w:szCs w:val="21"/>
        </w:rPr>
      </w:pPr>
      <w:r>
        <w:rPr>
          <w:rFonts w:hint="eastAsia" w:ascii="宋体" w:hAnsi="宋体" w:eastAsia="宋体" w:cs="宋体"/>
          <w:szCs w:val="21"/>
        </w:rPr>
        <w:t>（4）转发采购人发出的一切指令、通知和业务要求；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（5）采用图表、统计技术或其他先进的管理方法，定期公布项目质量、进度、成本数据，就项目中存在或出现的问题向采购人、承建单位提出合理化意见和解决方案；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（6）当项目建设出现质量问题或严重偏离计划时，应及时向采购人报告，并提出对策建议，同时督促承建单位尽快采取措施予以整改；</w:t>
      </w:r>
    </w:p>
    <w:p>
      <w:pPr>
        <w:spacing w:line="360" w:lineRule="auto"/>
        <w:ind w:firstLine="420" w:firstLineChars="200"/>
        <w:rPr>
          <w:rFonts w:ascii="宋体" w:hAnsi="宋体" w:eastAsia="宋体" w:cs="宋体"/>
          <w:szCs w:val="21"/>
        </w:rPr>
      </w:pPr>
      <w:r>
        <w:rPr>
          <w:rFonts w:hint="eastAsia" w:ascii="宋体" w:hAnsi="宋体" w:eastAsia="宋体" w:cs="宋体"/>
          <w:szCs w:val="21"/>
        </w:rPr>
        <w:t>（7）根据采购人要求完善相应的项目文档管理；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（8）做好监理日记及项目大事记；</w:t>
      </w:r>
    </w:p>
    <w:p>
      <w:pPr>
        <w:spacing w:line="360" w:lineRule="auto"/>
        <w:ind w:firstLine="420" w:firstLineChars="200"/>
        <w:rPr>
          <w:rFonts w:ascii="宋体" w:hAnsi="宋体" w:eastAsia="宋体" w:cs="宋体"/>
          <w:szCs w:val="21"/>
        </w:rPr>
      </w:pPr>
      <w:r>
        <w:rPr>
          <w:rFonts w:hint="eastAsia" w:ascii="宋体" w:hAnsi="宋体" w:eastAsia="宋体" w:cs="宋体"/>
          <w:szCs w:val="21"/>
        </w:rPr>
        <w:t>（9）做好项目协调会、技术专题会等项目相关会议的会议纪要；</w:t>
      </w:r>
    </w:p>
    <w:p>
      <w:pPr>
        <w:spacing w:line="360" w:lineRule="auto"/>
        <w:ind w:firstLine="420" w:firstLineChars="200"/>
        <w:rPr>
          <w:rFonts w:ascii="宋体" w:hAnsi="宋体" w:eastAsia="宋体" w:cs="宋体"/>
          <w:szCs w:val="21"/>
        </w:rPr>
      </w:pPr>
      <w:r>
        <w:rPr>
          <w:rFonts w:hint="eastAsia" w:ascii="宋体" w:hAnsi="宋体" w:eastAsia="宋体" w:cs="宋体"/>
          <w:szCs w:val="21"/>
        </w:rPr>
        <w:t>（10）提交验收所需全部资料并汇编成册；包括项目周报、月报、阶段总结等过程文件。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7.项目安全管理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（1）确立项目建设安全监管制度体系和工作目标；</w:t>
      </w:r>
    </w:p>
    <w:p>
      <w:pPr>
        <w:spacing w:line="360" w:lineRule="auto"/>
        <w:ind w:firstLine="420" w:firstLineChars="200"/>
        <w:rPr>
          <w:rFonts w:ascii="宋体" w:hAnsi="宋体" w:eastAsia="宋体" w:cs="宋体"/>
          <w:szCs w:val="21"/>
        </w:rPr>
      </w:pPr>
      <w:r>
        <w:rPr>
          <w:rFonts w:hint="eastAsia" w:ascii="宋体" w:hAnsi="宋体" w:eastAsia="宋体" w:cs="宋体"/>
          <w:szCs w:val="21"/>
        </w:rPr>
        <w:t>（2）审核项目建设安全保密方案；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（3）负责项目建设过程中安全控制，防止出现安全事故；</w:t>
      </w:r>
    </w:p>
    <w:p>
      <w:pPr>
        <w:spacing w:line="360" w:lineRule="auto"/>
        <w:ind w:firstLine="420" w:firstLineChars="200"/>
        <w:rPr>
          <w:rFonts w:ascii="宋体" w:hAnsi="宋体" w:eastAsia="宋体" w:cs="宋体"/>
          <w:szCs w:val="21"/>
        </w:rPr>
      </w:pPr>
      <w:r>
        <w:rPr>
          <w:rFonts w:hint="eastAsia" w:ascii="宋体" w:hAnsi="宋体" w:eastAsia="宋体" w:cs="宋体"/>
          <w:szCs w:val="21"/>
        </w:rPr>
        <w:t>（4）检查督促承建单位建立完善安全生产制度；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（5）排查与处理项目建设安全隐患。</w:t>
      </w:r>
    </w:p>
    <w:p>
      <w:pPr>
        <w:spacing w:line="360" w:lineRule="auto"/>
        <w:ind w:firstLine="420" w:firstLineChars="200"/>
        <w:rPr>
          <w:rFonts w:ascii="宋体" w:hAnsi="宋体" w:eastAsia="宋体" w:cs="宋体"/>
          <w:szCs w:val="21"/>
        </w:rPr>
      </w:pPr>
      <w:r>
        <w:rPr>
          <w:rFonts w:hint="eastAsia" w:ascii="宋体" w:hAnsi="宋体" w:eastAsia="宋体" w:cs="宋体"/>
          <w:szCs w:val="21"/>
        </w:rPr>
        <w:t>8.项目知识产权的管理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（1）负责项目建设过程中所产生成果的知识产权保护，防止被非授权使用；</w:t>
      </w:r>
    </w:p>
    <w:p>
      <w:pPr>
        <w:spacing w:line="360" w:lineRule="auto"/>
        <w:ind w:firstLine="420" w:firstLineChars="200"/>
        <w:rPr>
          <w:rFonts w:ascii="宋体" w:hAnsi="宋体" w:eastAsia="宋体" w:cs="宋体"/>
          <w:szCs w:val="21"/>
        </w:rPr>
      </w:pPr>
      <w:r>
        <w:rPr>
          <w:rFonts w:hint="eastAsia" w:ascii="宋体" w:hAnsi="宋体" w:eastAsia="宋体" w:cs="宋体"/>
          <w:szCs w:val="21"/>
        </w:rPr>
        <w:t>（2）负责项目建设过程中涉及知识产权的产品和系统的使用审核，确保不在本项目建设中出现侵犯知识产权的行为。</w:t>
      </w:r>
    </w:p>
    <w:p>
      <w:pPr>
        <w:spacing w:line="360" w:lineRule="auto"/>
        <w:ind w:firstLine="420" w:firstLineChars="200"/>
        <w:rPr>
          <w:rFonts w:ascii="宋体" w:hAnsi="宋体" w:eastAsia="宋体" w:cs="宋体"/>
          <w:szCs w:val="21"/>
        </w:rPr>
      </w:pPr>
      <w:r>
        <w:rPr>
          <w:rFonts w:hint="eastAsia" w:ascii="宋体" w:hAnsi="宋体" w:eastAsia="宋体" w:cs="宋体"/>
          <w:szCs w:val="21"/>
        </w:rPr>
        <w:t>9.项目协调和组织</w:t>
      </w:r>
    </w:p>
    <w:p>
      <w:pPr>
        <w:spacing w:line="360" w:lineRule="auto"/>
        <w:ind w:firstLine="420" w:firstLineChars="200"/>
        <w:rPr>
          <w:rFonts w:ascii="宋体" w:hAnsi="宋体" w:eastAsia="宋体" w:cs="宋体"/>
          <w:szCs w:val="21"/>
        </w:rPr>
      </w:pPr>
      <w:r>
        <w:rPr>
          <w:rFonts w:hint="eastAsia" w:ascii="宋体" w:hAnsi="宋体" w:eastAsia="宋体" w:cs="宋体"/>
          <w:szCs w:val="21"/>
        </w:rPr>
        <w:t>协调和保障采购人及承建单位进行良好的合作。</w:t>
      </w:r>
    </w:p>
    <w:p>
      <w:pPr>
        <w:spacing w:line="360" w:lineRule="auto"/>
        <w:ind w:firstLine="420" w:firstLineChars="200"/>
        <w:rPr>
          <w:rFonts w:ascii="宋体" w:hAnsi="宋体" w:eastAsia="宋体" w:cs="宋体"/>
          <w:szCs w:val="21"/>
        </w:rPr>
      </w:pPr>
      <w:r>
        <w:rPr>
          <w:rFonts w:hint="eastAsia" w:ascii="宋体" w:hAnsi="宋体" w:eastAsia="宋体" w:cs="宋体"/>
          <w:szCs w:val="21"/>
        </w:rPr>
        <w:t>（1）承建单位须按照本项目建设目标和要求，遵循国家、自治区信息系统项目建设和监理标准及规范，做好需求调研、确认及相关协调工作；</w:t>
      </w:r>
    </w:p>
    <w:p>
      <w:pPr>
        <w:spacing w:line="360" w:lineRule="auto"/>
        <w:ind w:firstLine="420" w:firstLineChars="200"/>
        <w:rPr>
          <w:rFonts w:ascii="宋体" w:hAnsi="宋体" w:eastAsia="宋体" w:cs="宋体"/>
          <w:szCs w:val="21"/>
        </w:rPr>
      </w:pPr>
      <w:r>
        <w:rPr>
          <w:rFonts w:hint="eastAsia" w:ascii="宋体" w:hAnsi="宋体" w:eastAsia="宋体" w:cs="宋体"/>
          <w:szCs w:val="21"/>
        </w:rPr>
        <w:t>（2）确定承建单位的工作范围和职责，建立畅通的沟通平台和沟通渠道，采取有效措施使项目信息在有关各方之间保持顺畅流通，推动项目实施过程中问题的解决；</w:t>
      </w:r>
    </w:p>
    <w:p>
      <w:pPr>
        <w:spacing w:line="360" w:lineRule="auto"/>
        <w:ind w:firstLine="420" w:firstLineChars="200"/>
        <w:rPr>
          <w:rFonts w:ascii="宋体" w:hAnsi="宋体" w:eastAsia="宋体" w:cs="宋体"/>
          <w:szCs w:val="21"/>
        </w:rPr>
      </w:pPr>
      <w:r>
        <w:rPr>
          <w:rFonts w:hint="eastAsia" w:ascii="宋体" w:hAnsi="宋体" w:eastAsia="宋体" w:cs="宋体"/>
          <w:szCs w:val="21"/>
        </w:rPr>
        <w:t>（3）监理方应通过必要的会议制度来实施协调工作，主要包括项目例会、专题讨论会、专家评审会、问题通报会、监理协调会、监理交底会、阶段工作总结会、阶段以及最终验收会等，同时参与采购人组织的有关会议。</w:t>
      </w:r>
    </w:p>
    <w:p>
      <w:pPr>
        <w:spacing w:line="360" w:lineRule="auto"/>
        <w:ind w:firstLine="422" w:firstLineChars="200"/>
        <w:rPr>
          <w:rFonts w:ascii="宋体" w:hAnsi="宋体" w:eastAsia="宋体" w:cs="宋体"/>
          <w:b/>
          <w:szCs w:val="21"/>
        </w:rPr>
      </w:pPr>
      <w:bookmarkStart w:id="54" w:name="_Toc70580062"/>
      <w:r>
        <w:rPr>
          <w:rFonts w:hint="eastAsia" w:ascii="宋体" w:hAnsi="宋体" w:eastAsia="宋体" w:cs="宋体"/>
          <w:b/>
          <w:szCs w:val="21"/>
        </w:rPr>
        <w:t>五、其他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1.管理要求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投标单位需提供详细的项目管理方案，应配备一个独立的项目管理小组，提供项目团队人员安排、项目进度安排、项目关键点控制计划与方案、项目安全控制计划与方案等，以确保项目顺利实施。</w:t>
      </w:r>
    </w:p>
    <w:p>
      <w:pPr>
        <w:spacing w:line="360" w:lineRule="auto"/>
        <w:ind w:firstLine="420" w:firstLineChars="200"/>
        <w:rPr>
          <w:rFonts w:ascii="宋体" w:hAnsi="宋体" w:eastAsia="宋体" w:cs="宋体"/>
          <w:szCs w:val="21"/>
        </w:rPr>
      </w:pPr>
      <w:r>
        <w:rPr>
          <w:rFonts w:hint="eastAsia" w:ascii="宋体" w:hAnsi="宋体" w:eastAsia="宋体" w:cs="宋体"/>
          <w:szCs w:val="21"/>
        </w:rPr>
        <w:t>2.人员要求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投标单位须为本项目建立一支具有较高服务能力的管理团队，小组成员不少于2人，并合理调配各岗位人员，保障项目的正常实施。</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其他主要人员要求：项目建设期间（平台建设）提供不少于 1 名具备信息系统监理工程师资格或信息系统类工程师职称专业人员，并能够根据委托人要求提供驻场服务。</w:t>
      </w:r>
    </w:p>
    <w:p>
      <w:pPr>
        <w:spacing w:line="360" w:lineRule="auto"/>
        <w:ind w:firstLine="420" w:firstLineChars="200"/>
        <w:rPr>
          <w:rFonts w:ascii="宋体" w:hAnsi="宋体" w:eastAsia="宋体" w:cs="宋体"/>
          <w:szCs w:val="21"/>
        </w:rPr>
      </w:pPr>
      <w:r>
        <w:rPr>
          <w:rFonts w:hint="eastAsia" w:ascii="宋体" w:hAnsi="宋体" w:eastAsia="宋体" w:cs="宋体"/>
          <w:szCs w:val="21"/>
        </w:rPr>
        <w:t>3.质量要求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对项目进行科学严格的管理，通过系统计划、有序组织、科学指导和有效控制，促进项目全面顺利实施，保证其公正性、独立性的质量体系，确保监理活动不受任何可能影响监理工作的商业、财务等方面的压力。</w:t>
      </w:r>
    </w:p>
    <w:p>
      <w:pPr>
        <w:spacing w:line="360" w:lineRule="auto"/>
        <w:ind w:firstLine="420" w:firstLineChars="200"/>
        <w:rPr>
          <w:rFonts w:ascii="宋体" w:hAnsi="宋体" w:eastAsia="宋体" w:cs="宋体"/>
          <w:szCs w:val="21"/>
        </w:rPr>
      </w:pPr>
      <w:r>
        <w:rPr>
          <w:rFonts w:hint="eastAsia" w:ascii="宋体" w:hAnsi="宋体" w:eastAsia="宋体" w:cs="宋体"/>
          <w:szCs w:val="21"/>
        </w:rPr>
        <w:t>4.服务要求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提供7×24小时服务响应（含电话支持），需要现场支撑时，投标单位需在1小时内安排至少1名具有服务能力的项目管理师到达现场处理。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5.保密要求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中标人须与招标人签署保密协议，未经招标人同意不得向第三方泄露此项目相关情况。服务中产生的所有资料、技术文档要妥善保管，不得遗失、转借、复印。相关工作人员须由中标人进行资格审查和保密教育，对知悉的事项及信息予以保密，自觉遵守国家保密法律法规及招标人工作纪律和规章制度，不得窃取或泄露国家秘密，签署《保密承诺书》并报招标人备案。中标人若违反保密协议、未履行相关职责或教育、监督措施落实不到位，发生参与本项目人员窃取或泄露国家秘密的事件，将按照《中华人民共和国保守国家秘密法》等有关法律法规承担相应的法律责任。</w:t>
      </w:r>
    </w:p>
    <w:p>
      <w:pPr>
        <w:spacing w:line="360" w:lineRule="auto"/>
        <w:ind w:firstLine="420" w:firstLineChars="200"/>
        <w:rPr>
          <w:rFonts w:ascii="宋体" w:hAnsi="宋体" w:eastAsia="宋体" w:cs="宋体"/>
          <w:szCs w:val="21"/>
        </w:rPr>
      </w:pPr>
      <w:r>
        <w:rPr>
          <w:rFonts w:hint="eastAsia" w:ascii="宋体" w:hAnsi="宋体" w:eastAsia="宋体" w:cs="宋体"/>
          <w:szCs w:val="21"/>
        </w:rPr>
        <w:t>6.成果文件交付要求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中标方应提交的书面材料中应包括但不限于以下内容：</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针对监理对象编制监理计划、监理细则，制定文档编码等细则；按照项目进度情况，编制项目阶段性报告、周报、月报、监理总结报告等；项目后期出具项目质量评估报告和软件功能检查表、相关文档监理审核意见、项目监理会议纪要等文档。</w:t>
      </w:r>
    </w:p>
    <w:bookmarkEnd w:id="54"/>
    <w:p>
      <w:pPr>
        <w:widowControl/>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7.服务期</w:t>
      </w:r>
    </w:p>
    <w:p>
      <w:pPr>
        <w:widowControl/>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直至所监理对象竣工验收。</w:t>
      </w:r>
    </w:p>
    <w:p>
      <w:pPr>
        <w:widowControl/>
        <w:snapToGrid w:val="0"/>
        <w:spacing w:line="360" w:lineRule="auto"/>
        <w:ind w:firstLine="420" w:firstLineChars="200"/>
        <w:jc w:val="left"/>
        <w:rPr>
          <w:rFonts w:ascii="宋体" w:hAnsi="宋体" w:eastAsia="宋体" w:cs="宋体"/>
          <w:szCs w:val="21"/>
        </w:rPr>
      </w:pPr>
    </w:p>
    <w:p>
      <w:pPr>
        <w:spacing w:line="360" w:lineRule="auto"/>
        <w:ind w:firstLine="420" w:firstLineChars="200"/>
        <w:rPr>
          <w:rFonts w:ascii="宋体" w:hAnsi="宋体" w:eastAsia="宋体" w:cs="宋体"/>
          <w:kern w:val="0"/>
          <w:szCs w:val="21"/>
        </w:rPr>
      </w:pPr>
    </w:p>
    <w:sectPr>
      <w:headerReference r:id="rId10" w:type="first"/>
      <w:footerReference r:id="rId12" w:type="first"/>
      <w:headerReference r:id="rId9" w:type="even"/>
      <w:footerReference r:id="rId1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Liberation Serif">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Arial Narrow">
    <w:altName w:val="Batang"/>
    <w:panose1 w:val="020B0606020202030204"/>
    <w:charset w:val="00"/>
    <w:family w:val="swiss"/>
    <w:pitch w:val="default"/>
    <w:sig w:usb0="00000000" w:usb1="00000000" w:usb2="00000000" w:usb3="00000000" w:csb0="0000009F" w:csb1="00000000"/>
  </w:font>
  <w:font w:name="Batang">
    <w:panose1 w:val="02030600000101010101"/>
    <w:charset w:val="81"/>
    <w:family w:val="auto"/>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49902"/>
    </w:sdtPr>
    <w:sdtContent>
      <w:p>
        <w:pPr>
          <w:pStyle w:val="14"/>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5A80E"/>
    <w:multiLevelType w:val="singleLevel"/>
    <w:tmpl w:val="A235A80E"/>
    <w:lvl w:ilvl="0" w:tentative="0">
      <w:start w:val="4"/>
      <w:numFmt w:val="decimal"/>
      <w:suff w:val="nothing"/>
      <w:lvlText w:val="%1、"/>
      <w:lvlJc w:val="left"/>
      <w:rPr>
        <w:rFonts w:hint="default"/>
        <w:b w:val="0"/>
        <w:bCs w:val="0"/>
        <w:color w:val="auto"/>
      </w:rPr>
    </w:lvl>
  </w:abstractNum>
  <w:abstractNum w:abstractNumId="1">
    <w:nsid w:val="AB0234F9"/>
    <w:multiLevelType w:val="singleLevel"/>
    <w:tmpl w:val="AB0234F9"/>
    <w:lvl w:ilvl="0" w:tentative="0">
      <w:start w:val="6"/>
      <w:numFmt w:val="chineseCounting"/>
      <w:suff w:val="nothing"/>
      <w:lvlText w:val="%1、"/>
      <w:lvlJc w:val="left"/>
      <w:rPr>
        <w:rFonts w:hint="eastAsia"/>
      </w:rPr>
    </w:lvl>
  </w:abstractNum>
  <w:abstractNum w:abstractNumId="2">
    <w:nsid w:val="ACA90F40"/>
    <w:multiLevelType w:val="singleLevel"/>
    <w:tmpl w:val="ACA90F40"/>
    <w:lvl w:ilvl="0" w:tentative="0">
      <w:start w:val="3"/>
      <w:numFmt w:val="decimal"/>
      <w:suff w:val="space"/>
      <w:lvlText w:val="%1."/>
      <w:lvlJc w:val="left"/>
    </w:lvl>
  </w:abstractNum>
  <w:abstractNum w:abstractNumId="3">
    <w:nsid w:val="D764CFD3"/>
    <w:multiLevelType w:val="singleLevel"/>
    <w:tmpl w:val="D764CFD3"/>
    <w:lvl w:ilvl="0" w:tentative="0">
      <w:start w:val="2"/>
      <w:numFmt w:val="decimal"/>
      <w:suff w:val="nothing"/>
      <w:lvlText w:val="%1、"/>
      <w:lvlJc w:val="left"/>
    </w:lvl>
  </w:abstractNum>
  <w:abstractNum w:abstractNumId="4">
    <w:nsid w:val="28EB6E42"/>
    <w:multiLevelType w:val="multilevel"/>
    <w:tmpl w:val="28EB6E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3384F7"/>
    <w:multiLevelType w:val="singleLevel"/>
    <w:tmpl w:val="423384F7"/>
    <w:lvl w:ilvl="0" w:tentative="0">
      <w:start w:val="6"/>
      <w:numFmt w:val="chineseCounting"/>
      <w:suff w:val="nothing"/>
      <w:lvlText w:val="%1、"/>
      <w:lvlJc w:val="left"/>
      <w:rPr>
        <w:rFonts w:hint="eastAsia"/>
      </w:rPr>
    </w:lvl>
  </w:abstractNum>
  <w:abstractNum w:abstractNumId="6">
    <w:nsid w:val="49812F9C"/>
    <w:multiLevelType w:val="multilevel"/>
    <w:tmpl w:val="49812F9C"/>
    <w:lvl w:ilvl="0" w:tentative="0">
      <w:start w:val="1"/>
      <w:numFmt w:val="japaneseCounting"/>
      <w:lvlText w:val="第%1章"/>
      <w:lvlJc w:val="left"/>
      <w:pPr>
        <w:ind w:left="1455" w:hanging="840"/>
      </w:pPr>
      <w:rPr>
        <w:rFonts w:hint="default"/>
      </w:rPr>
    </w:lvl>
    <w:lvl w:ilvl="1" w:tentative="0">
      <w:start w:val="1"/>
      <w:numFmt w:val="lowerLetter"/>
      <w:lvlText w:val="%2)"/>
      <w:lvlJc w:val="left"/>
      <w:pPr>
        <w:ind w:left="1455" w:hanging="420"/>
      </w:pPr>
    </w:lvl>
    <w:lvl w:ilvl="2" w:tentative="0">
      <w:start w:val="1"/>
      <w:numFmt w:val="lowerRoman"/>
      <w:lvlText w:val="%3."/>
      <w:lvlJc w:val="right"/>
      <w:pPr>
        <w:ind w:left="1875" w:hanging="420"/>
      </w:pPr>
    </w:lvl>
    <w:lvl w:ilvl="3" w:tentative="0">
      <w:start w:val="1"/>
      <w:numFmt w:val="decimal"/>
      <w:lvlText w:val="%4."/>
      <w:lvlJc w:val="left"/>
      <w:pPr>
        <w:ind w:left="2295" w:hanging="420"/>
      </w:pPr>
    </w:lvl>
    <w:lvl w:ilvl="4" w:tentative="0">
      <w:start w:val="1"/>
      <w:numFmt w:val="lowerLetter"/>
      <w:lvlText w:val="%5)"/>
      <w:lvlJc w:val="left"/>
      <w:pPr>
        <w:ind w:left="2715" w:hanging="420"/>
      </w:pPr>
    </w:lvl>
    <w:lvl w:ilvl="5" w:tentative="0">
      <w:start w:val="1"/>
      <w:numFmt w:val="lowerRoman"/>
      <w:lvlText w:val="%6."/>
      <w:lvlJc w:val="right"/>
      <w:pPr>
        <w:ind w:left="3135" w:hanging="420"/>
      </w:pPr>
    </w:lvl>
    <w:lvl w:ilvl="6" w:tentative="0">
      <w:start w:val="1"/>
      <w:numFmt w:val="decimal"/>
      <w:lvlText w:val="%7."/>
      <w:lvlJc w:val="left"/>
      <w:pPr>
        <w:ind w:left="3555" w:hanging="420"/>
      </w:pPr>
    </w:lvl>
    <w:lvl w:ilvl="7" w:tentative="0">
      <w:start w:val="1"/>
      <w:numFmt w:val="lowerLetter"/>
      <w:lvlText w:val="%8)"/>
      <w:lvlJc w:val="left"/>
      <w:pPr>
        <w:ind w:left="3975" w:hanging="420"/>
      </w:pPr>
    </w:lvl>
    <w:lvl w:ilvl="8" w:tentative="0">
      <w:start w:val="1"/>
      <w:numFmt w:val="lowerRoman"/>
      <w:lvlText w:val="%9."/>
      <w:lvlJc w:val="right"/>
      <w:pPr>
        <w:ind w:left="4395" w:hanging="420"/>
      </w:pPr>
    </w:lvl>
  </w:abstractNum>
  <w:abstractNum w:abstractNumId="7">
    <w:nsid w:val="79F56E38"/>
    <w:multiLevelType w:val="multilevel"/>
    <w:tmpl w:val="79F56E3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hjODgxZWFiNmMzZjdkYjg1OTllYTA1NjBmNTI1ODUifQ=="/>
  </w:docVars>
  <w:rsids>
    <w:rsidRoot w:val="00FB7A87"/>
    <w:rsid w:val="0000565A"/>
    <w:rsid w:val="00017F09"/>
    <w:rsid w:val="00021C9F"/>
    <w:rsid w:val="00026A9C"/>
    <w:rsid w:val="0003119E"/>
    <w:rsid w:val="0003503A"/>
    <w:rsid w:val="00053EDD"/>
    <w:rsid w:val="00054BB6"/>
    <w:rsid w:val="000627F8"/>
    <w:rsid w:val="000650C0"/>
    <w:rsid w:val="00083E31"/>
    <w:rsid w:val="000860BD"/>
    <w:rsid w:val="000A5203"/>
    <w:rsid w:val="000A7856"/>
    <w:rsid w:val="000B124D"/>
    <w:rsid w:val="000B2C31"/>
    <w:rsid w:val="000B681B"/>
    <w:rsid w:val="000C2E25"/>
    <w:rsid w:val="000C7D38"/>
    <w:rsid w:val="000D03BB"/>
    <w:rsid w:val="000F69BA"/>
    <w:rsid w:val="000F7788"/>
    <w:rsid w:val="001004A6"/>
    <w:rsid w:val="00100A0D"/>
    <w:rsid w:val="0010454D"/>
    <w:rsid w:val="0011602F"/>
    <w:rsid w:val="00170E9E"/>
    <w:rsid w:val="00182F56"/>
    <w:rsid w:val="001A3989"/>
    <w:rsid w:val="001A5E38"/>
    <w:rsid w:val="001C7202"/>
    <w:rsid w:val="001D36FF"/>
    <w:rsid w:val="001D4E34"/>
    <w:rsid w:val="001E216F"/>
    <w:rsid w:val="001E779F"/>
    <w:rsid w:val="001F0106"/>
    <w:rsid w:val="001F2839"/>
    <w:rsid w:val="001F47DB"/>
    <w:rsid w:val="00202EDE"/>
    <w:rsid w:val="00204B68"/>
    <w:rsid w:val="00207241"/>
    <w:rsid w:val="00207705"/>
    <w:rsid w:val="00221E40"/>
    <w:rsid w:val="002233E5"/>
    <w:rsid w:val="00241F3C"/>
    <w:rsid w:val="00245F08"/>
    <w:rsid w:val="00246D91"/>
    <w:rsid w:val="002532A0"/>
    <w:rsid w:val="00256819"/>
    <w:rsid w:val="002655EB"/>
    <w:rsid w:val="0027167B"/>
    <w:rsid w:val="00285AF7"/>
    <w:rsid w:val="002868A4"/>
    <w:rsid w:val="00292CA9"/>
    <w:rsid w:val="002A7C86"/>
    <w:rsid w:val="002B366A"/>
    <w:rsid w:val="002B7D09"/>
    <w:rsid w:val="002C4872"/>
    <w:rsid w:val="002C69E0"/>
    <w:rsid w:val="002D0CAB"/>
    <w:rsid w:val="002D1F01"/>
    <w:rsid w:val="002E40EE"/>
    <w:rsid w:val="00300373"/>
    <w:rsid w:val="00300CD7"/>
    <w:rsid w:val="00310C48"/>
    <w:rsid w:val="0032772F"/>
    <w:rsid w:val="00346605"/>
    <w:rsid w:val="00350004"/>
    <w:rsid w:val="00361076"/>
    <w:rsid w:val="00363538"/>
    <w:rsid w:val="003A4828"/>
    <w:rsid w:val="003A68AA"/>
    <w:rsid w:val="003C1F65"/>
    <w:rsid w:val="003C3824"/>
    <w:rsid w:val="003C6F67"/>
    <w:rsid w:val="003C7FDC"/>
    <w:rsid w:val="003D1503"/>
    <w:rsid w:val="003D4DF8"/>
    <w:rsid w:val="003D535F"/>
    <w:rsid w:val="003D5E0F"/>
    <w:rsid w:val="003F37D1"/>
    <w:rsid w:val="0040101F"/>
    <w:rsid w:val="004127EF"/>
    <w:rsid w:val="00414EFD"/>
    <w:rsid w:val="00423BBF"/>
    <w:rsid w:val="0043668A"/>
    <w:rsid w:val="0043713D"/>
    <w:rsid w:val="00440B76"/>
    <w:rsid w:val="00441AC7"/>
    <w:rsid w:val="00446D46"/>
    <w:rsid w:val="00447D34"/>
    <w:rsid w:val="004646D3"/>
    <w:rsid w:val="00466CC2"/>
    <w:rsid w:val="0047473F"/>
    <w:rsid w:val="00476A10"/>
    <w:rsid w:val="00486421"/>
    <w:rsid w:val="00492DEA"/>
    <w:rsid w:val="00492EB6"/>
    <w:rsid w:val="004964CD"/>
    <w:rsid w:val="004A010F"/>
    <w:rsid w:val="004A3A14"/>
    <w:rsid w:val="004A60D2"/>
    <w:rsid w:val="004C421B"/>
    <w:rsid w:val="004D036D"/>
    <w:rsid w:val="004E0B20"/>
    <w:rsid w:val="004E3829"/>
    <w:rsid w:val="004E4E6D"/>
    <w:rsid w:val="004E6289"/>
    <w:rsid w:val="004F210B"/>
    <w:rsid w:val="004F6256"/>
    <w:rsid w:val="00506261"/>
    <w:rsid w:val="00507277"/>
    <w:rsid w:val="00510923"/>
    <w:rsid w:val="00511B57"/>
    <w:rsid w:val="005205B2"/>
    <w:rsid w:val="00521832"/>
    <w:rsid w:val="00533D04"/>
    <w:rsid w:val="0054747F"/>
    <w:rsid w:val="00557743"/>
    <w:rsid w:val="005665C9"/>
    <w:rsid w:val="005707D9"/>
    <w:rsid w:val="00572483"/>
    <w:rsid w:val="00585645"/>
    <w:rsid w:val="0059260F"/>
    <w:rsid w:val="00592A7D"/>
    <w:rsid w:val="00594C9F"/>
    <w:rsid w:val="005A3A19"/>
    <w:rsid w:val="005A4E5B"/>
    <w:rsid w:val="005A7DC9"/>
    <w:rsid w:val="005C169F"/>
    <w:rsid w:val="005C24E9"/>
    <w:rsid w:val="005C3040"/>
    <w:rsid w:val="005D6A0A"/>
    <w:rsid w:val="005F26B4"/>
    <w:rsid w:val="005F33AA"/>
    <w:rsid w:val="00601821"/>
    <w:rsid w:val="00601BD5"/>
    <w:rsid w:val="00604142"/>
    <w:rsid w:val="00605CC2"/>
    <w:rsid w:val="006073B8"/>
    <w:rsid w:val="00621E4F"/>
    <w:rsid w:val="00622A8B"/>
    <w:rsid w:val="006269DC"/>
    <w:rsid w:val="0063045F"/>
    <w:rsid w:val="0063688C"/>
    <w:rsid w:val="00637320"/>
    <w:rsid w:val="00640BCA"/>
    <w:rsid w:val="00641CF0"/>
    <w:rsid w:val="00655B50"/>
    <w:rsid w:val="00655E02"/>
    <w:rsid w:val="006576B7"/>
    <w:rsid w:val="0066626D"/>
    <w:rsid w:val="0066795A"/>
    <w:rsid w:val="00671FF0"/>
    <w:rsid w:val="00672E6B"/>
    <w:rsid w:val="00675F03"/>
    <w:rsid w:val="006A6EE1"/>
    <w:rsid w:val="006A78E9"/>
    <w:rsid w:val="006B1569"/>
    <w:rsid w:val="006B15E8"/>
    <w:rsid w:val="006C2DBA"/>
    <w:rsid w:val="006D0B64"/>
    <w:rsid w:val="006D1563"/>
    <w:rsid w:val="006D200E"/>
    <w:rsid w:val="006D2CAE"/>
    <w:rsid w:val="006D4F25"/>
    <w:rsid w:val="006E2036"/>
    <w:rsid w:val="006E26BF"/>
    <w:rsid w:val="006F66B1"/>
    <w:rsid w:val="00720E70"/>
    <w:rsid w:val="0073087E"/>
    <w:rsid w:val="007350D0"/>
    <w:rsid w:val="00741B3B"/>
    <w:rsid w:val="00750968"/>
    <w:rsid w:val="0075107A"/>
    <w:rsid w:val="00754175"/>
    <w:rsid w:val="00763747"/>
    <w:rsid w:val="00770C1E"/>
    <w:rsid w:val="00772900"/>
    <w:rsid w:val="0077511C"/>
    <w:rsid w:val="00777367"/>
    <w:rsid w:val="007A25D9"/>
    <w:rsid w:val="007B17E4"/>
    <w:rsid w:val="007C0C3C"/>
    <w:rsid w:val="007C4F91"/>
    <w:rsid w:val="007C4FEE"/>
    <w:rsid w:val="007D369A"/>
    <w:rsid w:val="007E016F"/>
    <w:rsid w:val="007E1EF0"/>
    <w:rsid w:val="00801825"/>
    <w:rsid w:val="008148D1"/>
    <w:rsid w:val="0081705F"/>
    <w:rsid w:val="0082098C"/>
    <w:rsid w:val="008429C6"/>
    <w:rsid w:val="008463A5"/>
    <w:rsid w:val="00860F59"/>
    <w:rsid w:val="00873743"/>
    <w:rsid w:val="00881D1B"/>
    <w:rsid w:val="008840A7"/>
    <w:rsid w:val="00886716"/>
    <w:rsid w:val="008901EE"/>
    <w:rsid w:val="008A031F"/>
    <w:rsid w:val="008A184C"/>
    <w:rsid w:val="008A7493"/>
    <w:rsid w:val="008B1835"/>
    <w:rsid w:val="008D5634"/>
    <w:rsid w:val="008F1322"/>
    <w:rsid w:val="0090310D"/>
    <w:rsid w:val="0093447A"/>
    <w:rsid w:val="00947B0C"/>
    <w:rsid w:val="00951C1F"/>
    <w:rsid w:val="009727E1"/>
    <w:rsid w:val="009943A7"/>
    <w:rsid w:val="009A7C2A"/>
    <w:rsid w:val="009C44AD"/>
    <w:rsid w:val="009D1FCD"/>
    <w:rsid w:val="00A02AA5"/>
    <w:rsid w:val="00A10767"/>
    <w:rsid w:val="00A11F02"/>
    <w:rsid w:val="00A34CC6"/>
    <w:rsid w:val="00A354E4"/>
    <w:rsid w:val="00A3645A"/>
    <w:rsid w:val="00A36FAA"/>
    <w:rsid w:val="00A46967"/>
    <w:rsid w:val="00A47922"/>
    <w:rsid w:val="00A52252"/>
    <w:rsid w:val="00A557F4"/>
    <w:rsid w:val="00A67A2B"/>
    <w:rsid w:val="00A72479"/>
    <w:rsid w:val="00A75456"/>
    <w:rsid w:val="00A81032"/>
    <w:rsid w:val="00A94A64"/>
    <w:rsid w:val="00AA1D67"/>
    <w:rsid w:val="00AA5E67"/>
    <w:rsid w:val="00AA7FCB"/>
    <w:rsid w:val="00AB4C3D"/>
    <w:rsid w:val="00AB4CD5"/>
    <w:rsid w:val="00AC5E35"/>
    <w:rsid w:val="00AD1946"/>
    <w:rsid w:val="00AE7751"/>
    <w:rsid w:val="00AE7E30"/>
    <w:rsid w:val="00B042D1"/>
    <w:rsid w:val="00B06C6E"/>
    <w:rsid w:val="00B123BD"/>
    <w:rsid w:val="00B22168"/>
    <w:rsid w:val="00B27391"/>
    <w:rsid w:val="00B337FA"/>
    <w:rsid w:val="00B36381"/>
    <w:rsid w:val="00B42095"/>
    <w:rsid w:val="00B46F71"/>
    <w:rsid w:val="00B47432"/>
    <w:rsid w:val="00B5042D"/>
    <w:rsid w:val="00B565E9"/>
    <w:rsid w:val="00B70474"/>
    <w:rsid w:val="00B70EDE"/>
    <w:rsid w:val="00B740BC"/>
    <w:rsid w:val="00B769E4"/>
    <w:rsid w:val="00B777F1"/>
    <w:rsid w:val="00B86AC2"/>
    <w:rsid w:val="00B92ABF"/>
    <w:rsid w:val="00B93C01"/>
    <w:rsid w:val="00B94813"/>
    <w:rsid w:val="00BA0064"/>
    <w:rsid w:val="00BA10C3"/>
    <w:rsid w:val="00BA38FE"/>
    <w:rsid w:val="00BA54CA"/>
    <w:rsid w:val="00BA657E"/>
    <w:rsid w:val="00BA797F"/>
    <w:rsid w:val="00BA7B3B"/>
    <w:rsid w:val="00BC0A19"/>
    <w:rsid w:val="00BC1154"/>
    <w:rsid w:val="00BC5BA0"/>
    <w:rsid w:val="00BD2482"/>
    <w:rsid w:val="00BE6351"/>
    <w:rsid w:val="00C1283B"/>
    <w:rsid w:val="00C3055E"/>
    <w:rsid w:val="00C30E2A"/>
    <w:rsid w:val="00C3274B"/>
    <w:rsid w:val="00C344DD"/>
    <w:rsid w:val="00C41AA3"/>
    <w:rsid w:val="00C43041"/>
    <w:rsid w:val="00C55619"/>
    <w:rsid w:val="00C7140E"/>
    <w:rsid w:val="00C71D3B"/>
    <w:rsid w:val="00C72448"/>
    <w:rsid w:val="00C724B0"/>
    <w:rsid w:val="00C82D82"/>
    <w:rsid w:val="00C83E8B"/>
    <w:rsid w:val="00C85355"/>
    <w:rsid w:val="00C91949"/>
    <w:rsid w:val="00C94107"/>
    <w:rsid w:val="00C95DBC"/>
    <w:rsid w:val="00CA661C"/>
    <w:rsid w:val="00CB3417"/>
    <w:rsid w:val="00CC199D"/>
    <w:rsid w:val="00CC5766"/>
    <w:rsid w:val="00CD6AF1"/>
    <w:rsid w:val="00CD7947"/>
    <w:rsid w:val="00CE1C73"/>
    <w:rsid w:val="00CE734C"/>
    <w:rsid w:val="00D03B8C"/>
    <w:rsid w:val="00D07CF1"/>
    <w:rsid w:val="00D162FF"/>
    <w:rsid w:val="00D177D2"/>
    <w:rsid w:val="00D23D48"/>
    <w:rsid w:val="00D32A41"/>
    <w:rsid w:val="00D362EE"/>
    <w:rsid w:val="00D40CB0"/>
    <w:rsid w:val="00D4334F"/>
    <w:rsid w:val="00D53A1E"/>
    <w:rsid w:val="00D715D1"/>
    <w:rsid w:val="00D83AC0"/>
    <w:rsid w:val="00DA2086"/>
    <w:rsid w:val="00DB10B8"/>
    <w:rsid w:val="00DB4F84"/>
    <w:rsid w:val="00DD0D33"/>
    <w:rsid w:val="00DD48FC"/>
    <w:rsid w:val="00DE3E8C"/>
    <w:rsid w:val="00DE41E7"/>
    <w:rsid w:val="00DF23FD"/>
    <w:rsid w:val="00DF50D1"/>
    <w:rsid w:val="00E12A15"/>
    <w:rsid w:val="00E2096F"/>
    <w:rsid w:val="00E3145A"/>
    <w:rsid w:val="00E37531"/>
    <w:rsid w:val="00E479EC"/>
    <w:rsid w:val="00E5038F"/>
    <w:rsid w:val="00E61D13"/>
    <w:rsid w:val="00E6306F"/>
    <w:rsid w:val="00E91203"/>
    <w:rsid w:val="00E94C9E"/>
    <w:rsid w:val="00EA66BD"/>
    <w:rsid w:val="00EC2326"/>
    <w:rsid w:val="00EC6118"/>
    <w:rsid w:val="00EC6741"/>
    <w:rsid w:val="00ED00E0"/>
    <w:rsid w:val="00ED18A2"/>
    <w:rsid w:val="00ED77F3"/>
    <w:rsid w:val="00EE3285"/>
    <w:rsid w:val="00F01829"/>
    <w:rsid w:val="00F1553C"/>
    <w:rsid w:val="00F178B7"/>
    <w:rsid w:val="00F25257"/>
    <w:rsid w:val="00F327C2"/>
    <w:rsid w:val="00F441B6"/>
    <w:rsid w:val="00F50473"/>
    <w:rsid w:val="00F52A8D"/>
    <w:rsid w:val="00F75C48"/>
    <w:rsid w:val="00F77722"/>
    <w:rsid w:val="00F86496"/>
    <w:rsid w:val="00F87A51"/>
    <w:rsid w:val="00F950F9"/>
    <w:rsid w:val="00FA09DD"/>
    <w:rsid w:val="00FB708C"/>
    <w:rsid w:val="00FB7A87"/>
    <w:rsid w:val="00FC0CCF"/>
    <w:rsid w:val="00FE1FE6"/>
    <w:rsid w:val="00FF6901"/>
    <w:rsid w:val="00FF7384"/>
    <w:rsid w:val="02D002C7"/>
    <w:rsid w:val="0502406D"/>
    <w:rsid w:val="058F7E0D"/>
    <w:rsid w:val="062A142B"/>
    <w:rsid w:val="06412346"/>
    <w:rsid w:val="06640B21"/>
    <w:rsid w:val="07117EF5"/>
    <w:rsid w:val="07824435"/>
    <w:rsid w:val="093D1475"/>
    <w:rsid w:val="0BA4769C"/>
    <w:rsid w:val="0C4B6D24"/>
    <w:rsid w:val="0EE24651"/>
    <w:rsid w:val="0F242EBB"/>
    <w:rsid w:val="11EA788A"/>
    <w:rsid w:val="125A4E46"/>
    <w:rsid w:val="137A7699"/>
    <w:rsid w:val="14E44F75"/>
    <w:rsid w:val="14EF1362"/>
    <w:rsid w:val="168D4C4E"/>
    <w:rsid w:val="17BC766D"/>
    <w:rsid w:val="18037A49"/>
    <w:rsid w:val="182B52BA"/>
    <w:rsid w:val="18891FE1"/>
    <w:rsid w:val="1CB00595"/>
    <w:rsid w:val="1D7C48E0"/>
    <w:rsid w:val="1EA96EE4"/>
    <w:rsid w:val="1EFE737D"/>
    <w:rsid w:val="1FFC12EA"/>
    <w:rsid w:val="20447E1A"/>
    <w:rsid w:val="20823EE5"/>
    <w:rsid w:val="2183000D"/>
    <w:rsid w:val="222D7712"/>
    <w:rsid w:val="230E1A60"/>
    <w:rsid w:val="242444A5"/>
    <w:rsid w:val="25632722"/>
    <w:rsid w:val="262B2929"/>
    <w:rsid w:val="28702875"/>
    <w:rsid w:val="29626662"/>
    <w:rsid w:val="2989370E"/>
    <w:rsid w:val="2C972AC7"/>
    <w:rsid w:val="2EF57F78"/>
    <w:rsid w:val="2EFD4C18"/>
    <w:rsid w:val="2FF43D8C"/>
    <w:rsid w:val="32634F8F"/>
    <w:rsid w:val="32F76F8C"/>
    <w:rsid w:val="333252F7"/>
    <w:rsid w:val="346534AA"/>
    <w:rsid w:val="35675000"/>
    <w:rsid w:val="384A4E91"/>
    <w:rsid w:val="391164C2"/>
    <w:rsid w:val="3A2428FF"/>
    <w:rsid w:val="3AE626B2"/>
    <w:rsid w:val="3BA03B6A"/>
    <w:rsid w:val="3D6407A3"/>
    <w:rsid w:val="40C9411B"/>
    <w:rsid w:val="41EC3DE9"/>
    <w:rsid w:val="43350056"/>
    <w:rsid w:val="4554549F"/>
    <w:rsid w:val="46234F38"/>
    <w:rsid w:val="4B191888"/>
    <w:rsid w:val="4B6D116B"/>
    <w:rsid w:val="4E57787C"/>
    <w:rsid w:val="52803326"/>
    <w:rsid w:val="532E7431"/>
    <w:rsid w:val="557D01FC"/>
    <w:rsid w:val="55CF7FAB"/>
    <w:rsid w:val="55DF4A13"/>
    <w:rsid w:val="57540BCF"/>
    <w:rsid w:val="57DA3E17"/>
    <w:rsid w:val="5CB527E9"/>
    <w:rsid w:val="5CF07506"/>
    <w:rsid w:val="5DAA5480"/>
    <w:rsid w:val="5E2030E9"/>
    <w:rsid w:val="60991A6A"/>
    <w:rsid w:val="62352890"/>
    <w:rsid w:val="6439295F"/>
    <w:rsid w:val="64412D3D"/>
    <w:rsid w:val="647F0199"/>
    <w:rsid w:val="655D7702"/>
    <w:rsid w:val="656960A7"/>
    <w:rsid w:val="66915006"/>
    <w:rsid w:val="670F2E5F"/>
    <w:rsid w:val="6BEE7306"/>
    <w:rsid w:val="6C107DBB"/>
    <w:rsid w:val="6D0019E7"/>
    <w:rsid w:val="6D75138D"/>
    <w:rsid w:val="6EE2662A"/>
    <w:rsid w:val="71A46D2F"/>
    <w:rsid w:val="73AC5843"/>
    <w:rsid w:val="752A2381"/>
    <w:rsid w:val="75E7084F"/>
    <w:rsid w:val="7AC0768D"/>
    <w:rsid w:val="7D3D1E9B"/>
    <w:rsid w:val="7E7F0292"/>
    <w:rsid w:val="7F837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nhideWhenUsed="0" w:uiPriority="99" w:semiHidden="0" w:name="heading 6"/>
    <w:lsdException w:qFormat="1" w:unhideWhenUsed="0" w:uiPriority="9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27"/>
    <w:qFormat/>
    <w:uiPriority w:val="99"/>
    <w:pPr>
      <w:keepNext/>
      <w:keepLines/>
      <w:spacing w:before="260" w:after="260" w:line="413" w:lineRule="auto"/>
      <w:outlineLvl w:val="2"/>
    </w:pPr>
    <w:rPr>
      <w:rFonts w:ascii="Calibri" w:hAnsi="Calibri" w:eastAsia="宋体" w:cs="Times New Roman"/>
      <w:b/>
      <w:sz w:val="32"/>
    </w:rPr>
  </w:style>
  <w:style w:type="paragraph" w:styleId="6">
    <w:name w:val="heading 6"/>
    <w:basedOn w:val="1"/>
    <w:next w:val="1"/>
    <w:link w:val="28"/>
    <w:qFormat/>
    <w:uiPriority w:val="99"/>
    <w:pPr>
      <w:keepNext/>
      <w:keepLines/>
      <w:spacing w:before="240" w:after="64" w:line="320" w:lineRule="auto"/>
      <w:outlineLvl w:val="5"/>
    </w:pPr>
    <w:rPr>
      <w:rFonts w:ascii="Calibri Light" w:hAnsi="Calibri Light" w:eastAsia="宋体" w:cs="Times New Roman"/>
      <w:b/>
      <w:bCs/>
      <w:sz w:val="24"/>
      <w:szCs w:val="24"/>
    </w:rPr>
  </w:style>
  <w:style w:type="paragraph" w:styleId="7">
    <w:name w:val="heading 7"/>
    <w:basedOn w:val="1"/>
    <w:next w:val="1"/>
    <w:link w:val="29"/>
    <w:qFormat/>
    <w:uiPriority w:val="99"/>
    <w:pPr>
      <w:keepNext/>
      <w:keepLines/>
      <w:spacing w:before="240" w:after="64" w:line="320" w:lineRule="auto"/>
      <w:outlineLvl w:val="6"/>
    </w:pPr>
    <w:rPr>
      <w:rFonts w:ascii="Calibri" w:hAnsi="Calibri" w:eastAsia="宋体" w:cs="Times New Roman"/>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0"/>
    <w:rPr>
      <w:rFonts w:ascii="Arial" w:hAnsi="Arial" w:eastAsia="宋体" w:cs="Times New Roman"/>
      <w:sz w:val="24"/>
    </w:rPr>
  </w:style>
  <w:style w:type="paragraph" w:styleId="8">
    <w:name w:val="Normal Indent"/>
    <w:basedOn w:val="1"/>
    <w:qFormat/>
    <w:uiPriority w:val="0"/>
    <w:pPr>
      <w:ind w:firstLine="420" w:firstLineChars="200"/>
    </w:pPr>
    <w:rPr>
      <w:rFonts w:ascii="Calibri" w:hAnsi="Calibri" w:eastAsia="宋体" w:cs="Times New Roman"/>
      <w:szCs w:val="24"/>
    </w:rPr>
  </w:style>
  <w:style w:type="paragraph" w:styleId="9">
    <w:name w:val="Document Map"/>
    <w:basedOn w:val="1"/>
    <w:link w:val="43"/>
    <w:semiHidden/>
    <w:unhideWhenUsed/>
    <w:qFormat/>
    <w:uiPriority w:val="99"/>
    <w:rPr>
      <w:rFonts w:ascii="宋体" w:eastAsia="宋体"/>
      <w:sz w:val="18"/>
      <w:szCs w:val="18"/>
    </w:rPr>
  </w:style>
  <w:style w:type="paragraph" w:styleId="10">
    <w:name w:val="Body Text Indent"/>
    <w:basedOn w:val="1"/>
    <w:link w:val="44"/>
    <w:semiHidden/>
    <w:unhideWhenUsed/>
    <w:qFormat/>
    <w:uiPriority w:val="99"/>
    <w:pPr>
      <w:spacing w:after="120"/>
      <w:ind w:left="420" w:leftChars="200"/>
    </w:p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link w:val="31"/>
    <w:qFormat/>
    <w:uiPriority w:val="99"/>
    <w:rPr>
      <w:rFonts w:ascii="宋体" w:hAnsi="Courier New" w:eastAsia="宋体" w:cs="Courier New"/>
      <w:szCs w:val="21"/>
    </w:rPr>
  </w:style>
  <w:style w:type="paragraph" w:styleId="13">
    <w:name w:val="Balloon Text"/>
    <w:basedOn w:val="1"/>
    <w:link w:val="26"/>
    <w:unhideWhenUsed/>
    <w:qFormat/>
    <w:uiPriority w:val="0"/>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99"/>
    <w:pPr>
      <w:autoSpaceDE w:val="0"/>
      <w:autoSpaceDN w:val="0"/>
      <w:adjustRightInd w:val="0"/>
      <w:spacing w:beforeAutospacing="1" w:afterAutospacing="1"/>
      <w:jc w:val="left"/>
    </w:pPr>
    <w:rPr>
      <w:rFonts w:ascii="Liberation Serif" w:hAnsi="Liberation Serif" w:eastAsia="宋体" w:cs="Liberation Serif"/>
      <w:kern w:val="0"/>
      <w:sz w:val="24"/>
      <w:szCs w:val="24"/>
    </w:rPr>
  </w:style>
  <w:style w:type="paragraph" w:styleId="19">
    <w:name w:val="Body Text First Indent 2"/>
    <w:basedOn w:val="10"/>
    <w:link w:val="45"/>
    <w:semiHidden/>
    <w:qFormat/>
    <w:uiPriority w:val="0"/>
    <w:pPr>
      <w:widowControl/>
      <w:spacing w:after="0"/>
      <w:ind w:left="0" w:leftChars="0" w:firstLine="420" w:firstLineChars="200"/>
    </w:pPr>
    <w:rPr>
      <w:rFonts w:ascii="楷体_GB2312" w:hAnsi="Times New Roman" w:eastAsia="楷体_GB2312" w:cs="Times New Roman"/>
      <w:sz w:val="28"/>
      <w:szCs w:val="20"/>
    </w:rPr>
  </w:style>
  <w:style w:type="table" w:styleId="21">
    <w:name w:val="Table Grid"/>
    <w:basedOn w:val="2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rPr>
  </w:style>
  <w:style w:type="character" w:customStyle="1" w:styleId="24">
    <w:name w:val="页眉 字符"/>
    <w:basedOn w:val="22"/>
    <w:link w:val="15"/>
    <w:qFormat/>
    <w:uiPriority w:val="99"/>
    <w:rPr>
      <w:sz w:val="18"/>
      <w:szCs w:val="18"/>
    </w:rPr>
  </w:style>
  <w:style w:type="character" w:customStyle="1" w:styleId="25">
    <w:name w:val="页脚 字符"/>
    <w:basedOn w:val="22"/>
    <w:link w:val="14"/>
    <w:qFormat/>
    <w:uiPriority w:val="99"/>
    <w:rPr>
      <w:sz w:val="18"/>
      <w:szCs w:val="18"/>
    </w:rPr>
  </w:style>
  <w:style w:type="character" w:customStyle="1" w:styleId="26">
    <w:name w:val="批注框文本 字符"/>
    <w:basedOn w:val="22"/>
    <w:link w:val="13"/>
    <w:qFormat/>
    <w:uiPriority w:val="0"/>
    <w:rPr>
      <w:sz w:val="18"/>
      <w:szCs w:val="18"/>
    </w:rPr>
  </w:style>
  <w:style w:type="character" w:customStyle="1" w:styleId="27">
    <w:name w:val="标题 3 字符"/>
    <w:basedOn w:val="22"/>
    <w:link w:val="5"/>
    <w:qFormat/>
    <w:uiPriority w:val="99"/>
    <w:rPr>
      <w:rFonts w:ascii="Calibri" w:hAnsi="Calibri" w:eastAsia="宋体" w:cs="Times New Roman"/>
      <w:b/>
      <w:sz w:val="32"/>
    </w:rPr>
  </w:style>
  <w:style w:type="character" w:customStyle="1" w:styleId="28">
    <w:name w:val="标题 6 字符"/>
    <w:basedOn w:val="22"/>
    <w:link w:val="6"/>
    <w:qFormat/>
    <w:uiPriority w:val="99"/>
    <w:rPr>
      <w:rFonts w:ascii="Calibri Light" w:hAnsi="Calibri Light" w:eastAsia="宋体" w:cs="Times New Roman"/>
      <w:b/>
      <w:bCs/>
      <w:sz w:val="24"/>
      <w:szCs w:val="24"/>
    </w:rPr>
  </w:style>
  <w:style w:type="character" w:customStyle="1" w:styleId="29">
    <w:name w:val="标题 7 字符"/>
    <w:basedOn w:val="22"/>
    <w:link w:val="7"/>
    <w:qFormat/>
    <w:uiPriority w:val="99"/>
    <w:rPr>
      <w:rFonts w:ascii="Calibri" w:hAnsi="Calibri" w:eastAsia="宋体" w:cs="Times New Roman"/>
      <w:b/>
      <w:bCs/>
      <w:sz w:val="24"/>
      <w:szCs w:val="24"/>
    </w:rPr>
  </w:style>
  <w:style w:type="character" w:customStyle="1" w:styleId="30">
    <w:name w:val="正文文本 字符"/>
    <w:basedOn w:val="22"/>
    <w:link w:val="2"/>
    <w:qFormat/>
    <w:uiPriority w:val="0"/>
    <w:rPr>
      <w:rFonts w:ascii="Arial" w:hAnsi="Arial" w:eastAsia="宋体" w:cs="Times New Roman"/>
      <w:sz w:val="24"/>
    </w:rPr>
  </w:style>
  <w:style w:type="character" w:customStyle="1" w:styleId="31">
    <w:name w:val="纯文本 字符"/>
    <w:basedOn w:val="22"/>
    <w:link w:val="12"/>
    <w:qFormat/>
    <w:uiPriority w:val="99"/>
    <w:rPr>
      <w:rFonts w:ascii="宋体" w:hAnsi="Courier New" w:eastAsia="宋体" w:cs="Courier New"/>
      <w:szCs w:val="21"/>
    </w:rPr>
  </w:style>
  <w:style w:type="character" w:customStyle="1" w:styleId="32">
    <w:name w:val="15"/>
    <w:qFormat/>
    <w:uiPriority w:val="0"/>
    <w:rPr>
      <w:rFonts w:hint="default" w:ascii="Times New Roman" w:hAnsi="Times New Roman" w:cs="Times New Roman"/>
      <w:color w:val="333333"/>
    </w:rPr>
  </w:style>
  <w:style w:type="paragraph" w:customStyle="1" w:styleId="33">
    <w:name w:val="列出段落1"/>
    <w:basedOn w:val="1"/>
    <w:qFormat/>
    <w:uiPriority w:val="0"/>
    <w:pPr>
      <w:ind w:firstLine="420" w:firstLineChars="200"/>
    </w:pPr>
    <w:rPr>
      <w:rFonts w:ascii="Calibri" w:hAnsi="Calibri" w:eastAsia="宋体" w:cs="Times New Roman"/>
      <w:szCs w:val="24"/>
    </w:rPr>
  </w:style>
  <w:style w:type="paragraph" w:customStyle="1" w:styleId="34">
    <w:name w:val="样式1"/>
    <w:basedOn w:val="1"/>
    <w:qFormat/>
    <w:uiPriority w:val="0"/>
    <w:pPr>
      <w:tabs>
        <w:tab w:val="left" w:pos="1701"/>
        <w:tab w:val="left" w:pos="2760"/>
        <w:tab w:val="left" w:pos="3402"/>
        <w:tab w:val="left" w:pos="3960"/>
        <w:tab w:val="right" w:pos="7440"/>
        <w:tab w:val="left" w:pos="7920"/>
      </w:tabs>
      <w:adjustRightInd w:val="0"/>
      <w:spacing w:line="300" w:lineRule="auto"/>
      <w:ind w:left="454" w:firstLine="454"/>
      <w:jc w:val="center"/>
      <w:textAlignment w:val="baseline"/>
    </w:pPr>
    <w:rPr>
      <w:rFonts w:ascii="Calibri" w:hAnsi="Calibri" w:eastAsia="宋体" w:cs="Times New Roman"/>
      <w:b/>
      <w:bCs/>
      <w:kern w:val="0"/>
      <w:sz w:val="36"/>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cs="Times New Roman"/>
      <w:sz w:val="28"/>
    </w:rPr>
  </w:style>
  <w:style w:type="paragraph" w:customStyle="1" w:styleId="37">
    <w:name w:val="È±Ê¡ÎÄ±¾"/>
    <w:basedOn w:val="1"/>
    <w:qFormat/>
    <w:uiPriority w:val="0"/>
    <w:pPr>
      <w:widowControl/>
      <w:overflowPunct w:val="0"/>
      <w:autoSpaceDE w:val="0"/>
      <w:autoSpaceDN w:val="0"/>
      <w:adjustRightInd w:val="0"/>
      <w:jc w:val="left"/>
    </w:pPr>
    <w:rPr>
      <w:rFonts w:ascii="Calibri" w:hAnsi="Calibri" w:eastAsia="宋体" w:cs="Times New Roman"/>
      <w:kern w:val="0"/>
      <w:sz w:val="24"/>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styleId="40">
    <w:name w:val="No Spacing"/>
    <w:qFormat/>
    <w:uiPriority w:val="1"/>
    <w:rPr>
      <w:rFonts w:ascii="Calibri" w:hAnsi="Calibri" w:eastAsia="宋体" w:cs="Calibri"/>
      <w:color w:val="000000"/>
      <w:sz w:val="22"/>
      <w:szCs w:val="22"/>
      <w:lang w:val="en-US" w:eastAsia="zh-CN" w:bidi="ar-SA"/>
    </w:rPr>
  </w:style>
  <w:style w:type="character" w:customStyle="1" w:styleId="41">
    <w:name w:val="标题 1 字符"/>
    <w:basedOn w:val="22"/>
    <w:link w:val="3"/>
    <w:qFormat/>
    <w:uiPriority w:val="9"/>
    <w:rPr>
      <w:b/>
      <w:bCs/>
      <w:kern w:val="44"/>
      <w:sz w:val="44"/>
      <w:szCs w:val="44"/>
    </w:rPr>
  </w:style>
  <w:style w:type="paragraph" w:customStyle="1" w:styleId="4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3">
    <w:name w:val="文档结构图 字符"/>
    <w:basedOn w:val="22"/>
    <w:link w:val="9"/>
    <w:semiHidden/>
    <w:qFormat/>
    <w:uiPriority w:val="99"/>
    <w:rPr>
      <w:rFonts w:ascii="宋体" w:eastAsia="宋体"/>
      <w:sz w:val="18"/>
      <w:szCs w:val="18"/>
    </w:rPr>
  </w:style>
  <w:style w:type="character" w:customStyle="1" w:styleId="44">
    <w:name w:val="正文文本缩进 字符"/>
    <w:basedOn w:val="22"/>
    <w:link w:val="10"/>
    <w:semiHidden/>
    <w:qFormat/>
    <w:uiPriority w:val="99"/>
    <w:rPr>
      <w:kern w:val="2"/>
      <w:sz w:val="21"/>
      <w:szCs w:val="22"/>
    </w:rPr>
  </w:style>
  <w:style w:type="character" w:customStyle="1" w:styleId="45">
    <w:name w:val="正文文本首行缩进 2 字符"/>
    <w:basedOn w:val="44"/>
    <w:link w:val="19"/>
    <w:semiHidden/>
    <w:qFormat/>
    <w:uiPriority w:val="0"/>
    <w:rPr>
      <w:rFonts w:ascii="楷体_GB2312" w:hAnsi="Times New Roman" w:eastAsia="楷体_GB2312" w:cs="Times New Roman"/>
      <w:kern w:val="2"/>
      <w:sz w:val="28"/>
      <w:szCs w:val="22"/>
    </w:rPr>
  </w:style>
  <w:style w:type="paragraph" w:styleId="46">
    <w:name w:val="List Paragraph"/>
    <w:basedOn w:val="1"/>
    <w:link w:val="47"/>
    <w:qFormat/>
    <w:uiPriority w:val="99"/>
    <w:pPr>
      <w:ind w:firstLine="420" w:firstLineChars="200"/>
    </w:pPr>
    <w:rPr>
      <w:rFonts w:ascii="Times New Roman" w:hAnsi="Times New Roman" w:eastAsia="宋体" w:cs="Times New Roman"/>
      <w:szCs w:val="20"/>
    </w:rPr>
  </w:style>
  <w:style w:type="character" w:customStyle="1" w:styleId="47">
    <w:name w:val="列表段落 字符"/>
    <w:link w:val="46"/>
    <w:qFormat/>
    <w:uiPriority w:val="99"/>
    <w:rPr>
      <w:rFonts w:ascii="Times New Roman" w:hAnsi="Times New Roman" w:eastAsia="宋体" w:cs="Times New Roman"/>
      <w:kern w:val="2"/>
      <w:sz w:val="21"/>
    </w:rPr>
  </w:style>
  <w:style w:type="paragraph" w:customStyle="1" w:styleId="48">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A6A8D-0178-48A8-94FE-C55463B877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29462</Words>
  <Characters>31265</Characters>
  <Lines>249</Lines>
  <Paragraphs>70</Paragraphs>
  <TotalTime>48</TotalTime>
  <ScaleCrop>false</ScaleCrop>
  <LinksUpToDate>false</LinksUpToDate>
  <CharactersWithSpaces>31951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2021-10-09T10:27:00Z</dcterms:created>
  <dc:creator>Administrator</dc:creator>
  <cp:lastModifiedBy>-</cp:lastModifiedBy>
  <cp:lastPrinted>2021-11-01T08:32:00Z</cp:lastPrinted>
  <dcterms:modified xsi:type="dcterms:W3CDTF">2022-05-20T11:14:03Z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92C0C80679794768916719AC583EED76</vt:lpwstr>
  </property>
</Properties>
</file>