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sz w:val="21"/>
          <w:szCs w:val="21"/>
        </w:rPr>
      </w:pP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自治区园地、林地、草地分等定级指标体系建设及成果报告项目</w:t>
      </w: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竞争性磋商文件</w:t>
      </w: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项目编号：</w:t>
      </w:r>
      <w:r>
        <w:rPr>
          <w:rFonts w:hint="eastAsia" w:asciiTheme="minorEastAsia" w:hAnsiTheme="minorEastAsia" w:eastAsiaTheme="minorEastAsia" w:cstheme="minorEastAsia"/>
          <w:b/>
          <w:sz w:val="28"/>
          <w:szCs w:val="28"/>
          <w:lang w:eastAsia="zh-CN"/>
        </w:rPr>
        <w:t>HYGJ-ZFCG-2022-050</w:t>
      </w:r>
    </w:p>
    <w:p>
      <w:pPr>
        <w:pStyle w:val="13"/>
        <w:spacing w:line="400" w:lineRule="exact"/>
        <w:ind w:left="0" w:leftChars="0"/>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rPr>
          <w:rFonts w:hint="eastAsia" w:asciiTheme="minorEastAsia" w:hAnsiTheme="minorEastAsia" w:eastAsiaTheme="minorEastAsia" w:cstheme="minorEastAsia"/>
          <w:sz w:val="21"/>
          <w:szCs w:val="21"/>
        </w:rPr>
      </w:pPr>
    </w:p>
    <w:p>
      <w:pPr>
        <w:pStyle w:val="35"/>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b/>
          <w:bCs/>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采购人名称：</w:t>
      </w:r>
      <w:r>
        <w:rPr>
          <w:rFonts w:hint="eastAsia" w:asciiTheme="minorEastAsia" w:hAnsiTheme="minorEastAsia" w:cstheme="minorEastAsia"/>
          <w:sz w:val="28"/>
          <w:szCs w:val="28"/>
          <w:lang w:eastAsia="zh-CN"/>
        </w:rPr>
        <w:t>新疆维吾尔自治区自然资源规划研究院</w:t>
      </w:r>
    </w:p>
    <w:p>
      <w:pPr>
        <w:pStyle w:val="34"/>
        <w:spacing w:after="0" w:line="400" w:lineRule="exact"/>
        <w:ind w:firstLine="24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联系人：孙广源</w:t>
      </w:r>
    </w:p>
    <w:p>
      <w:pPr>
        <w:pStyle w:val="34"/>
        <w:spacing w:after="0" w:line="400" w:lineRule="exact"/>
        <w:ind w:firstLine="24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联系方式：18999242513</w:t>
      </w:r>
    </w:p>
    <w:p>
      <w:pPr>
        <w:pStyle w:val="35"/>
        <w:ind w:left="0" w:leftChars="0"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lang w:val="en-US" w:eastAsia="zh-CN"/>
        </w:rPr>
        <w:t>乌鲁木齐新市区北京南路广安街199号</w:t>
      </w:r>
    </w:p>
    <w:p>
      <w:pPr>
        <w:rPr>
          <w:rFonts w:hint="eastAsia"/>
          <w:sz w:val="28"/>
          <w:szCs w:val="28"/>
        </w:rPr>
      </w:pPr>
    </w:p>
    <w:p>
      <w:pPr>
        <w:spacing w:line="40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采购代理机构：宏业国际项目管理有限公司</w:t>
      </w:r>
    </w:p>
    <w:p>
      <w:pPr>
        <w:spacing w:line="40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联系人：李苗</w:t>
      </w:r>
    </w:p>
    <w:p>
      <w:pPr>
        <w:spacing w:line="40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联系电话：15022921857</w:t>
      </w:r>
    </w:p>
    <w:p>
      <w:pPr>
        <w:spacing w:line="40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地址：乌鲁木齐水磨沟区红光山路万科大都会8号楼1202</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pStyle w:val="29"/>
        <w:tabs>
          <w:tab w:val="right" w:leader="dot" w:pos="9683"/>
        </w:tabs>
        <w:spacing w:line="400" w:lineRule="exact"/>
        <w:jc w:val="left"/>
        <w:rPr>
          <w:rStyle w:val="43"/>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"1-2" \h \z \u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"_Toc462223639" </w:instrText>
      </w:r>
      <w:r>
        <w:rPr>
          <w:rFonts w:hint="eastAsia" w:asciiTheme="minorEastAsia" w:hAnsiTheme="minorEastAsia" w:eastAsiaTheme="minorEastAsia" w:cstheme="minorEastAsia"/>
          <w:sz w:val="24"/>
          <w:szCs w:val="24"/>
        </w:rPr>
        <w:fldChar w:fldCharType="separate"/>
      </w:r>
    </w:p>
    <w:sdt>
      <w:sdtPr>
        <w:rPr>
          <w:rFonts w:hint="eastAsia" w:asciiTheme="minorEastAsia" w:hAnsiTheme="minorEastAsia" w:eastAsiaTheme="minorEastAsia" w:cstheme="minorEastAsia"/>
          <w:sz w:val="24"/>
          <w:szCs w:val="24"/>
        </w:rPr>
        <w:id w:val="147474017"/>
        <w:docPartObj>
          <w:docPartGallery w:val="Table of Contents"/>
          <w:docPartUnique/>
        </w:docPartObj>
      </w:sdtPr>
      <w:sdtEndPr>
        <w:rPr>
          <w:rFonts w:hint="eastAsia" w:asciiTheme="minorEastAsia" w:hAnsiTheme="minorEastAsia" w:eastAsiaTheme="minorEastAsia" w:cstheme="minorEastAsia"/>
          <w:sz w:val="24"/>
          <w:szCs w:val="24"/>
        </w:rPr>
      </w:sdtEndPr>
      <w:sdtContent>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  录</w:t>
          </w:r>
        </w:p>
        <w:p>
          <w:pPr>
            <w:pStyle w:val="127"/>
            <w:tabs>
              <w:tab w:val="right" w:leader="dot" w:pos="9299"/>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"1-1"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"_Toc23056"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xml:space="preserve">第一章 </w:t>
          </w:r>
          <w:r>
            <w:rPr>
              <w:rFonts w:hint="eastAsia" w:asciiTheme="minorEastAsia" w:hAnsiTheme="minorEastAsia" w:eastAsiaTheme="minorEastAsia" w:cstheme="minorEastAsia"/>
              <w:kern w:val="2"/>
              <w:sz w:val="24"/>
              <w:szCs w:val="24"/>
            </w:rPr>
            <w:t>竞争性磋商公告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_Toc23056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7"/>
            <w:tabs>
              <w:tab w:val="right" w:leader="dot" w:pos="9299"/>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"_Toc11946"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第二章  供应商须知</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fldChar w:fldCharType="end"/>
          </w:r>
        </w:p>
        <w:p>
          <w:pPr>
            <w:pStyle w:val="127"/>
            <w:tabs>
              <w:tab w:val="right" w:leader="dot" w:pos="9299"/>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第三章  项目需求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_Toc16105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7"/>
            <w:tabs>
              <w:tab w:val="right" w:leader="dot" w:pos="9299"/>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第四章  合同条款（仅供参考）</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_Toc28434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7"/>
            <w:tabs>
              <w:tab w:val="right" w:leader="dot" w:pos="9299"/>
            </w:tabs>
            <w:spacing w:line="48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第五章  附件</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9</w:t>
          </w:r>
        </w:p>
        <w:p>
          <w:pPr>
            <w:pStyle w:val="127"/>
            <w:tabs>
              <w:tab w:val="right" w:leader="dot" w:pos="9299"/>
            </w:tabs>
            <w:spacing w:line="400" w:lineRule="exact"/>
            <w:rPr>
              <w:rFonts w:hint="eastAsia" w:asciiTheme="minorEastAsia" w:hAnsiTheme="minorEastAsia" w:eastAsiaTheme="minorEastAsia" w:cstheme="minorEastAsia"/>
              <w:sz w:val="24"/>
              <w:szCs w:val="24"/>
            </w:rPr>
          </w:pPr>
        </w:p>
        <w:p>
          <w:pPr>
            <w:pStyle w:val="127"/>
            <w:tabs>
              <w:tab w:val="right" w:leader="dot" w:pos="9299"/>
            </w:tabs>
            <w:spacing w:line="400" w:lineRule="exact"/>
            <w:rPr>
              <w:rFonts w:hint="eastAsia" w:asciiTheme="minorEastAsia" w:hAnsiTheme="minorEastAsia" w:eastAsiaTheme="minorEastAsia" w:cstheme="minorEastAsia"/>
              <w:sz w:val="24"/>
              <w:szCs w:val="24"/>
            </w:rPr>
          </w:pP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sdtContent>
    </w:sdt>
    <w:p>
      <w:pPr>
        <w:pStyle w:val="29"/>
        <w:tabs>
          <w:tab w:val="right" w:leader="dot" w:pos="9683"/>
        </w:tabs>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p>
      <w:pPr>
        <w:pStyle w:val="29"/>
        <w:tabs>
          <w:tab w:val="right" w:leader="dot" w:pos="9683"/>
        </w:tabs>
        <w:spacing w:line="400" w:lineRule="exact"/>
        <w:jc w:val="left"/>
        <w:rPr>
          <w:rFonts w:hint="eastAsia" w:asciiTheme="minorEastAsia" w:hAnsiTheme="minorEastAsia" w:eastAsiaTheme="minorEastAsia" w:cstheme="minorEastAsia"/>
          <w:sz w:val="24"/>
          <w:szCs w:val="24"/>
        </w:rPr>
      </w:pPr>
    </w:p>
    <w:p>
      <w:pPr>
        <w:pStyle w:val="29"/>
        <w:tabs>
          <w:tab w:val="right" w:leader="dot" w:pos="8541"/>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4"/>
        </w:rPr>
        <w:fldChar w:fldCharType="end"/>
      </w:r>
    </w:p>
    <w:p>
      <w:pPr>
        <w:pStyle w:val="29"/>
        <w:tabs>
          <w:tab w:val="right" w:leader="dot" w:pos="9683"/>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widowControl/>
        <w:spacing w:line="400" w:lineRule="exact"/>
        <w:jc w:val="center"/>
        <w:rPr>
          <w:rFonts w:hint="eastAsia" w:asciiTheme="minorEastAsia" w:hAnsiTheme="minorEastAsia" w:eastAsiaTheme="minorEastAsia" w:cstheme="minorEastAsia"/>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349573118"/>
      <w:bookmarkStart w:id="1" w:name="_Toc462223629"/>
      <w:bookmarkStart w:id="2" w:name="_Toc349637917"/>
      <w:bookmarkStart w:id="3" w:name="_Toc298240402"/>
    </w:p>
    <w:p>
      <w:pPr>
        <w:widowControl/>
        <w:spacing w:line="400" w:lineRule="exact"/>
        <w:jc w:val="center"/>
        <w:outlineLvl w:val="0"/>
        <w:rPr>
          <w:rFonts w:hint="eastAsia" w:asciiTheme="minorEastAsia" w:hAnsiTheme="minorEastAsia" w:eastAsiaTheme="minorEastAsia" w:cstheme="minorEastAsia"/>
          <w:b/>
          <w:sz w:val="21"/>
          <w:szCs w:val="21"/>
        </w:rPr>
      </w:pPr>
      <w:bookmarkStart w:id="4" w:name="_Toc23056"/>
      <w:r>
        <w:rPr>
          <w:rFonts w:hint="eastAsia" w:asciiTheme="minorEastAsia" w:hAnsiTheme="minorEastAsia" w:eastAsiaTheme="minorEastAsia" w:cstheme="minorEastAsia"/>
          <w:b/>
          <w:sz w:val="21"/>
          <w:szCs w:val="21"/>
        </w:rPr>
        <w:t>第一章</w:t>
      </w:r>
      <w:bookmarkEnd w:id="0"/>
      <w:bookmarkEnd w:id="1"/>
      <w:bookmarkEnd w:id="2"/>
      <w:bookmarkEnd w:id="3"/>
      <w:bookmarkStart w:id="5" w:name="_Hlk51338716"/>
      <w:bookmarkStart w:id="6" w:name="_Toc462223630"/>
      <w:bookmarkStart w:id="7" w:name="_Toc349637918"/>
      <w:bookmarkStart w:id="8" w:name="_Toc298240403"/>
      <w:bookmarkStart w:id="9" w:name="_Toc349573119"/>
      <w:bookmarkStart w:id="10" w:name="_Toc267301280"/>
      <w:r>
        <w:rPr>
          <w:rFonts w:hint="eastAsia" w:asciiTheme="minorEastAsia" w:hAnsiTheme="minorEastAsia" w:eastAsiaTheme="minorEastAsia" w:cstheme="minorEastAsia"/>
          <w:b/>
          <w:sz w:val="21"/>
          <w:szCs w:val="21"/>
        </w:rPr>
        <w:t xml:space="preserve"> 竞争性磋商公告</w:t>
      </w:r>
      <w:bookmarkEnd w:id="4"/>
    </w:p>
    <w:p>
      <w:pPr>
        <w:widowControl/>
        <w:spacing w:line="400" w:lineRule="exact"/>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自治区园地、林地、草地分等定级指标体系建设及成果报告项目</w:t>
      </w: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竞争性磋商公告</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eastAsia="zh-CN"/>
        </w:rPr>
        <w:t>自治区园地、林地、草地分等定级指标体系建设及成果报告项目</w:t>
      </w:r>
      <w:r>
        <w:rPr>
          <w:rFonts w:hint="eastAsia" w:asciiTheme="minorEastAsia" w:hAnsiTheme="minorEastAsia" w:eastAsiaTheme="minorEastAsia" w:cstheme="minorEastAsia"/>
          <w:sz w:val="21"/>
          <w:szCs w:val="21"/>
          <w:highlight w:val="none"/>
        </w:rPr>
        <w:t>的潜在投标人应在乌鲁木齐水磨沟区红光山路万科大都会8号楼1202室获取招标文件，并于</w:t>
      </w:r>
      <w:r>
        <w:rPr>
          <w:rFonts w:hint="eastAsia" w:asciiTheme="minorEastAsia" w:hAnsiTheme="minorEastAsia" w:eastAsiaTheme="minorEastAsia" w:cstheme="minorEastAsia"/>
          <w:sz w:val="21"/>
          <w:szCs w:val="21"/>
          <w:highlight w:val="none"/>
          <w:lang w:eastAsia="zh-CN"/>
        </w:rPr>
        <w:t>2022年5月30日 11:00</w:t>
      </w:r>
      <w:r>
        <w:rPr>
          <w:rFonts w:hint="eastAsia" w:asciiTheme="minorEastAsia" w:hAnsiTheme="minorEastAsia" w:eastAsiaTheme="minorEastAsia" w:cstheme="minorEastAsia"/>
          <w:sz w:val="21"/>
          <w:szCs w:val="21"/>
          <w:highlight w:val="none"/>
        </w:rPr>
        <w:t>（北京时间）前递交投标文件。</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一、项目基本情况</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项目编号：</w:t>
      </w:r>
      <w:r>
        <w:rPr>
          <w:rFonts w:hint="eastAsia" w:asciiTheme="minorEastAsia" w:hAnsiTheme="minorEastAsia" w:eastAsiaTheme="minorEastAsia" w:cstheme="minorEastAsia"/>
          <w:color w:val="000000"/>
          <w:sz w:val="21"/>
          <w:szCs w:val="21"/>
          <w:highlight w:val="none"/>
          <w:lang w:eastAsia="zh-CN"/>
        </w:rPr>
        <w:t>HYGJ-ZFCG-2022-050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项目名称：</w:t>
      </w:r>
      <w:r>
        <w:rPr>
          <w:rFonts w:hint="eastAsia" w:asciiTheme="minorEastAsia" w:hAnsiTheme="minorEastAsia" w:eastAsiaTheme="minorEastAsia" w:cstheme="minorEastAsia"/>
          <w:color w:val="000000"/>
          <w:sz w:val="21"/>
          <w:szCs w:val="21"/>
          <w:highlight w:val="none"/>
          <w:lang w:eastAsia="zh-CN"/>
        </w:rPr>
        <w:t>自治区园地、林地、草地分等定级指标体系建设及成果报告项目</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采购方式：竞争性磋商</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预算金额（元）：</w:t>
      </w:r>
      <w:r>
        <w:rPr>
          <w:rFonts w:hint="eastAsia" w:asciiTheme="minorEastAsia" w:hAnsiTheme="minorEastAsia" w:eastAsiaTheme="minorEastAsia" w:cstheme="minorEastAsia"/>
          <w:color w:val="000000"/>
          <w:sz w:val="21"/>
          <w:szCs w:val="21"/>
          <w:highlight w:val="none"/>
          <w:lang w:val="en-US" w:eastAsia="zh-CN"/>
        </w:rPr>
        <w:t>550000.00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最高限价（元）：</w:t>
      </w:r>
      <w:r>
        <w:rPr>
          <w:rFonts w:hint="eastAsia" w:asciiTheme="minorEastAsia" w:hAnsiTheme="minorEastAsia" w:eastAsiaTheme="minorEastAsia" w:cstheme="minorEastAsia"/>
          <w:color w:val="000000"/>
          <w:sz w:val="21"/>
          <w:szCs w:val="21"/>
          <w:highlight w:val="none"/>
          <w:lang w:val="en-US" w:eastAsia="zh-CN"/>
        </w:rPr>
        <w:t>550000.00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简要规格描述：</w:t>
      </w:r>
    </w:p>
    <w:p>
      <w:pPr>
        <w:pStyle w:val="33"/>
        <w:spacing w:before="0" w:beforeAutospacing="0" w:after="0" w:afterAutospacing="0" w:line="400" w:lineRule="exact"/>
        <w:ind w:firstLine="630" w:firstLineChars="3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按照自然资源部下发《自然资源部办公厅关于做好2021年度自然资源评价评估有关工作的通知》(自然资办发〔2021〕39号)、《自然资源部办公厅关于做好2022年度自然资源评价评估工作的通知》(自然资办发〔2022〕13号)文件 “各省级自然资源主管部门要组织梳理本行政区域内自然资源等级价现状，做好部门内外的统筹协调，科学开展林地、草地的评价评估工作，合理规划和推进工作”的要求，2022年自然资源部将在全国全面启动园地、林地、草地分等定级工作,新疆维吾尔自治区作为林地、草地分等定级的示范省份，自治区自然资源厅部署开展园地、林地、草地分等定级工作。通过开展园地、林地、草地分等定级工作，对新疆维吾尔自治区园地、林地、草地分等资料信息等进行梳理的基础上，根据生态区划、功能区划对园地、林地、草地的范围、土地利用现状进行分析，制定园地、林地、草地的质量等别、级别划分方法和技术流程，编制分等定级成果，并提出检验与调整的方法，对分等定级数据及报告成果进行应用分析。</w:t>
      </w:r>
    </w:p>
    <w:p>
      <w:pPr>
        <w:pStyle w:val="2"/>
        <w:spacing w:after="0" w:line="56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rPr>
        <w:t>合同履约期限：本项目要求2022年11月30日完成成果审查验收。（由于疫情影响以及国家政策所带来的不可控因素导致项目实施周期延长，双方另行协商）。</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jc w:val="both"/>
        <w:rPr>
          <w:rStyle w:val="39"/>
          <w:rFonts w:hint="eastAsia" w:asciiTheme="minorEastAsia" w:hAnsiTheme="minorEastAsia" w:eastAsiaTheme="minorEastAsia" w:cstheme="minorEastAsia"/>
          <w:color w:val="000000"/>
          <w:sz w:val="21"/>
          <w:szCs w:val="21"/>
        </w:rPr>
      </w:pPr>
      <w:r>
        <w:rPr>
          <w:rStyle w:val="39"/>
          <w:rFonts w:hint="eastAsia" w:asciiTheme="minorEastAsia" w:hAnsiTheme="minorEastAsia" w:eastAsiaTheme="minorEastAsia" w:cstheme="minorEastAsia"/>
          <w:color w:val="000000"/>
          <w:sz w:val="21"/>
          <w:szCs w:val="21"/>
        </w:rPr>
        <w:t>二、申请人的资格要求：</w:t>
      </w:r>
    </w:p>
    <w:p>
      <w:pPr>
        <w:ind w:firstLine="560"/>
        <w:rPr>
          <w:rFonts w:hint="eastAsia" w:eastAsia="宋体"/>
          <w:lang w:eastAsia="zh-CN"/>
        </w:rPr>
      </w:pPr>
      <w:r>
        <w:rPr>
          <w:rFonts w:hint="eastAsia"/>
        </w:rPr>
        <w:t>（一）满足《中华人民共和国政府采购法》第二十二条规定</w:t>
      </w:r>
      <w:r>
        <w:rPr>
          <w:rFonts w:hint="eastAsia"/>
          <w:lang w:eastAsia="zh-CN"/>
        </w:rPr>
        <w:t>；</w:t>
      </w:r>
    </w:p>
    <w:p>
      <w:pPr>
        <w:ind w:firstLine="560"/>
      </w:pPr>
      <w:r>
        <w:rPr>
          <w:rFonts w:hint="eastAsia"/>
        </w:rPr>
        <w:t>（二）落实政府采购政策需满足的资格要求</w:t>
      </w:r>
    </w:p>
    <w:p>
      <w:pPr>
        <w:ind w:firstLine="560"/>
      </w:pPr>
      <w:r>
        <w:t>1、财政部、工业和信息化部《关于印发《政府采购促进中小企业展暂行办法》的通知》（财库[2011]181号文）</w:t>
      </w:r>
    </w:p>
    <w:p>
      <w:pPr>
        <w:ind w:firstLine="560"/>
      </w:pPr>
      <w:r>
        <w:t>2、财政部、民政部、中国残疾人联合会《关于促进残疾人就业政府采购政策的通知》（财库[2017]141号）</w:t>
      </w:r>
    </w:p>
    <w:p>
      <w:pPr>
        <w:ind w:firstLine="560"/>
        <w:rPr>
          <w:rFonts w:hint="eastAsia" w:eastAsia="宋体"/>
          <w:lang w:eastAsia="zh-CN"/>
        </w:rPr>
      </w:pPr>
      <w:r>
        <w:t>3、企业营业执照副本、企业税务登记证副本、企业组织机构代码证副本或营业执照三证合一</w:t>
      </w:r>
      <w:r>
        <w:rPr>
          <w:rFonts w:hint="eastAsia"/>
          <w:lang w:eastAsia="zh-CN"/>
        </w:rPr>
        <w:t>；</w:t>
      </w:r>
    </w:p>
    <w:p>
      <w:pPr>
        <w:ind w:firstLine="560"/>
        <w:rPr>
          <w:rFonts w:hint="eastAsia" w:eastAsia="宋体"/>
          <w:lang w:eastAsia="zh-CN"/>
        </w:rPr>
      </w:pPr>
      <w:r>
        <w:t>4、投标单位社会保障资金缴纳记录（连续近三个月）</w:t>
      </w:r>
      <w:r>
        <w:rPr>
          <w:rFonts w:hint="eastAsia"/>
          <w:lang w:eastAsia="zh-CN"/>
        </w:rPr>
        <w:t>；</w:t>
      </w:r>
    </w:p>
    <w:p>
      <w:pPr>
        <w:ind w:firstLine="560"/>
        <w:rPr>
          <w:rFonts w:hint="eastAsia" w:eastAsia="宋体"/>
          <w:lang w:eastAsia="zh-CN"/>
        </w:rPr>
      </w:pPr>
      <w:r>
        <w:t>5、投标人需通过“信用中国”网站（www.creditchina.gov.cn）和“中国政府采购网”（www.ccgp.gov.cn）查询信用记录（投标人不得有不良行为记录或在处罚期内）</w:t>
      </w:r>
      <w:r>
        <w:rPr>
          <w:rFonts w:hint="eastAsia"/>
          <w:lang w:eastAsia="zh-CN"/>
        </w:rPr>
        <w:t>；</w:t>
      </w:r>
    </w:p>
    <w:p>
      <w:pPr>
        <w:ind w:firstLine="560"/>
        <w:rPr>
          <w:rFonts w:hint="eastAsia" w:eastAsia="宋体"/>
          <w:lang w:eastAsia="zh-CN"/>
        </w:rPr>
      </w:pPr>
      <w:r>
        <w:rPr>
          <w:rFonts w:hint="eastAsia"/>
          <w:lang w:val="en-US" w:eastAsia="zh-CN"/>
        </w:rPr>
        <w:t>6</w:t>
      </w:r>
      <w:r>
        <w:t>、单位负责人为同一人或者存在直接控股、管理关系的不同供应商，不得同时参加本项目的投标</w:t>
      </w:r>
      <w:r>
        <w:rPr>
          <w:rFonts w:hint="eastAsia"/>
          <w:lang w:eastAsia="zh-CN"/>
        </w:rPr>
        <w:t>；</w:t>
      </w:r>
    </w:p>
    <w:p>
      <w:pPr>
        <w:ind w:firstLine="560"/>
        <w:rPr>
          <w:rFonts w:hint="eastAsia" w:eastAsia="宋体"/>
          <w:lang w:eastAsia="zh-CN"/>
        </w:rPr>
      </w:pPr>
      <w:r>
        <w:rPr>
          <w:rFonts w:hint="eastAsia"/>
          <w:lang w:val="en-US" w:eastAsia="zh-CN"/>
        </w:rPr>
        <w:t>7</w:t>
      </w:r>
      <w:r>
        <w:t>、投标人不得以其他公司资质投标或中标后转包。如发现执行开发的公司并非中标公司，则采购人有权终止合作，并向中标人追索由此造成的一切损失</w:t>
      </w:r>
      <w:r>
        <w:rPr>
          <w:rFonts w:hint="eastAsia"/>
          <w:lang w:eastAsia="zh-CN"/>
        </w:rPr>
        <w:t>；</w:t>
      </w:r>
    </w:p>
    <w:p>
      <w:pPr>
        <w:ind w:firstLine="560"/>
        <w:rPr>
          <w:rFonts w:hint="eastAsia" w:eastAsia="宋体"/>
          <w:lang w:eastAsia="zh-CN"/>
        </w:rPr>
      </w:pPr>
      <w:r>
        <w:rPr>
          <w:rFonts w:hint="eastAsia"/>
          <w:lang w:val="en-US" w:eastAsia="zh-CN"/>
        </w:rPr>
        <w:t>8</w:t>
      </w:r>
      <w:r>
        <w:t>、本项目不接受联合体投标</w:t>
      </w:r>
      <w:r>
        <w:rPr>
          <w:rFonts w:hint="eastAsia"/>
          <w:lang w:eastAsia="zh-CN"/>
        </w:rPr>
        <w:t>。</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rPr>
        <w:t>三、获取采购文</w:t>
      </w:r>
      <w:r>
        <w:rPr>
          <w:rStyle w:val="39"/>
          <w:rFonts w:hint="eastAsia" w:asciiTheme="minorEastAsia" w:hAnsiTheme="minorEastAsia" w:eastAsiaTheme="minorEastAsia" w:cstheme="minorEastAsia"/>
          <w:color w:val="000000"/>
          <w:sz w:val="21"/>
          <w:szCs w:val="21"/>
          <w:highlight w:val="none"/>
        </w:rPr>
        <w:t>件</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时间：</w:t>
      </w:r>
      <w:r>
        <w:rPr>
          <w:rFonts w:hint="eastAsia" w:asciiTheme="minorEastAsia" w:hAnsiTheme="minorEastAsia" w:eastAsiaTheme="minorEastAsia" w:cstheme="minorEastAsia"/>
          <w:sz w:val="21"/>
          <w:szCs w:val="21"/>
          <w:highlight w:val="none"/>
          <w:lang w:eastAsia="zh-CN"/>
        </w:rPr>
        <w:t>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月</w:t>
      </w:r>
      <w:r>
        <w:rPr>
          <w:rFonts w:hint="eastAsia" w:asciiTheme="minorEastAsia" w:hAnsiTheme="minorEastAsia" w:eastAsiaTheme="minorEastAsia" w:cstheme="minorEastAsia"/>
          <w:sz w:val="21"/>
          <w:szCs w:val="21"/>
          <w:highlight w:val="none"/>
          <w:lang w:val="en-US" w:eastAsia="zh-CN"/>
        </w:rPr>
        <w:t>18</w:t>
      </w:r>
      <w:r>
        <w:rPr>
          <w:rFonts w:hint="eastAsia" w:asciiTheme="minorEastAsia" w:hAnsiTheme="minorEastAsia" w:eastAsiaTheme="minorEastAsia" w:cstheme="minorEastAsia"/>
          <w:sz w:val="21"/>
          <w:szCs w:val="21"/>
          <w:highlight w:val="none"/>
          <w:lang w:eastAsia="zh-CN"/>
        </w:rPr>
        <w:t>日至2022年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月</w:t>
      </w: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lang w:eastAsia="zh-CN"/>
        </w:rPr>
        <w:t>日</w:t>
      </w:r>
      <w:r>
        <w:rPr>
          <w:rFonts w:hint="eastAsia" w:asciiTheme="minorEastAsia" w:hAnsiTheme="minorEastAsia" w:eastAsiaTheme="minorEastAsia" w:cstheme="minorEastAsia"/>
          <w:sz w:val="21"/>
          <w:szCs w:val="21"/>
          <w:highlight w:val="none"/>
        </w:rPr>
        <w:t>，每天上午10:00至13:30，下午16:00至19:00（北京时间，法定节假日除外）</w:t>
      </w:r>
      <w:bookmarkStart w:id="101" w:name="_GoBack"/>
      <w:bookmarkEnd w:id="101"/>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地点：乌鲁木齐水磨沟区红光山路万科大都会8号楼1202室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方式：线下获取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售价（元）：300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四、响应文件提交</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000000"/>
          <w:sz w:val="21"/>
          <w:szCs w:val="21"/>
          <w:highlight w:val="none"/>
        </w:rPr>
        <w:t>    截止时间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2022年5月30日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地点：乌鲁木齐水磨沟区红光山路万科大都会8号楼1202室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sz w:val="21"/>
          <w:szCs w:val="21"/>
          <w:highlight w:val="none"/>
        </w:rPr>
        <w:t>五、响应文件开启</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    开启时间：</w:t>
      </w:r>
      <w:r>
        <w:rPr>
          <w:rFonts w:hint="eastAsia" w:asciiTheme="minorEastAsia" w:hAnsiTheme="minorEastAsia" w:eastAsiaTheme="minorEastAsia" w:cstheme="minorEastAsia"/>
          <w:sz w:val="21"/>
          <w:szCs w:val="21"/>
          <w:highlight w:val="none"/>
          <w:lang w:eastAsia="zh-CN"/>
        </w:rPr>
        <w:t>2022年5月30日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rPr>
        <w:t>    地点：乌鲁木齐水磨沟区红光山路万科大都会8号</w:t>
      </w:r>
      <w:r>
        <w:rPr>
          <w:rFonts w:hint="eastAsia" w:asciiTheme="minorEastAsia" w:hAnsiTheme="minorEastAsia" w:eastAsiaTheme="minorEastAsia" w:cstheme="minorEastAsia"/>
          <w:color w:val="000000"/>
          <w:sz w:val="21"/>
          <w:szCs w:val="21"/>
        </w:rPr>
        <w:t>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六、公告期限</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    自本公告发布之日起5个工作日。</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七、其他补充事宜</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供应商购买标书时应提交的资料：（1）满足招标要求的“三证合一的营业执照；（2）授权委托书原件及被授权人身份证原件（或者法定代表人身份证明书及法定代表人身份证）；所有报名的投标供应商需提供上述资格要求中的资料原件及加盖企业鲜章的复印件三套交由招标代理公司存档，资料不全者不予受理。</w:t>
      </w:r>
    </w:p>
    <w:p>
      <w:pPr>
        <w:pStyle w:val="33"/>
        <w:spacing w:before="0" w:beforeAutospacing="0" w:after="0" w:afterAutospacing="0" w:line="400" w:lineRule="exact"/>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w:t>
      </w:r>
      <w:r>
        <w:rPr>
          <w:rFonts w:hint="eastAsia" w:asciiTheme="minorEastAsia" w:hAnsiTheme="minorEastAsia" w:eastAsiaTheme="minorEastAsia" w:cstheme="minorEastAsia"/>
          <w:b/>
          <w:bCs/>
          <w:color w:val="000000"/>
          <w:sz w:val="21"/>
          <w:szCs w:val="21"/>
        </w:rPr>
        <w:t>上资料提交原件审核，复印件叁套加盖公章，资料不全者，一律谢绝报名。</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八、凡对本次招标提出询问，请按以下方式联系</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1.采购人信息</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采购人名称：新疆维吾尔自治区自然资源规划研究院</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联系人：孙广源</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联系方式：18999242513</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地址：乌鲁木齐新市区北京南路广安街199号</w:t>
      </w:r>
    </w:p>
    <w:p>
      <w:pPr>
        <w:widowControl/>
        <w:spacing w:line="400" w:lineRule="exact"/>
        <w:ind w:firstLine="480"/>
        <w:jc w:val="left"/>
        <w:rPr>
          <w:rFonts w:hint="eastAsia" w:asciiTheme="minorEastAsia" w:hAnsiTheme="minorEastAsia" w:eastAsiaTheme="minorEastAsia" w:cstheme="minorEastAsia"/>
          <w:sz w:val="21"/>
          <w:szCs w:val="21"/>
        </w:rPr>
      </w:pPr>
    </w:p>
    <w:p>
      <w:pPr>
        <w:widowControl/>
        <w:spacing w:line="400" w:lineRule="exact"/>
        <w:ind w:firstLine="48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2.采购代理机构信息</w:t>
      </w:r>
    </w:p>
    <w:bookmarkEnd w:id="5"/>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采购代理机构：宏业国际项目管理有限公司</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联系人：李苗</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联系电话：15022921857</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地址：乌鲁木齐水磨沟区红光山路万科大都会8号楼1202</w:t>
      </w:r>
    </w:p>
    <w:p>
      <w:pPr>
        <w:widowControl/>
        <w:shd w:val="clear" w:color="auto" w:fill="FFFFFF"/>
        <w:spacing w:line="400" w:lineRule="exact"/>
        <w:ind w:firstLine="308" w:firstLineChars="147"/>
        <w:jc w:val="left"/>
        <w:rPr>
          <w:rFonts w:hint="eastAsia" w:asciiTheme="minorEastAsia" w:hAnsiTheme="minorEastAsia" w:eastAsiaTheme="minorEastAsia" w:cstheme="minorEastAsia"/>
          <w:color w:val="000000"/>
          <w:kern w:val="0"/>
          <w:sz w:val="21"/>
          <w:szCs w:val="21"/>
        </w:rPr>
      </w:pPr>
    </w:p>
    <w:p>
      <w:pPr>
        <w:spacing w:line="400" w:lineRule="exact"/>
        <w:jc w:val="center"/>
        <w:outlineLvl w:val="0"/>
        <w:rPr>
          <w:rFonts w:hint="eastAsia" w:asciiTheme="minorEastAsia" w:hAnsiTheme="minorEastAsia" w:eastAsiaTheme="minorEastAsia" w:cstheme="minorEastAsia"/>
          <w:b/>
          <w:sz w:val="21"/>
          <w:szCs w:val="21"/>
        </w:rPr>
      </w:pPr>
      <w:bookmarkStart w:id="11" w:name="_Toc11946"/>
    </w:p>
    <w:p>
      <w:pPr>
        <w:spacing w:line="400" w:lineRule="exact"/>
        <w:jc w:val="center"/>
        <w:outlineLvl w:val="0"/>
        <w:rPr>
          <w:rFonts w:hint="eastAsia" w:asciiTheme="minorEastAsia" w:hAnsiTheme="minorEastAsia" w:eastAsiaTheme="minorEastAsia" w:cstheme="minorEastAsia"/>
          <w:b/>
          <w:sz w:val="21"/>
          <w:szCs w:val="21"/>
        </w:rPr>
      </w:pPr>
    </w:p>
    <w:p>
      <w:pPr>
        <w:spacing w:line="400" w:lineRule="exact"/>
        <w:jc w:val="center"/>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p>
    <w:p>
      <w:pPr>
        <w:spacing w:line="400" w:lineRule="exact"/>
        <w:jc w:val="center"/>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p>
    <w:p>
      <w:pPr>
        <w:spacing w:line="400" w:lineRule="exact"/>
        <w:jc w:val="center"/>
        <w:outlineLvl w:val="0"/>
        <w:rPr>
          <w:rFonts w:hint="eastAsia" w:asciiTheme="minorEastAsia" w:hAnsiTheme="minorEastAsia" w:eastAsiaTheme="minorEastAsia" w:cstheme="minorEastAsia"/>
          <w:b/>
          <w:sz w:val="21"/>
          <w:szCs w:val="21"/>
        </w:rPr>
      </w:pPr>
    </w:p>
    <w:p>
      <w:pPr>
        <w:spacing w:line="400" w:lineRule="exact"/>
        <w:jc w:val="center"/>
        <w:outlineLvl w:val="0"/>
        <w:rPr>
          <w:rFonts w:hint="eastAsia" w:asciiTheme="minorEastAsia" w:hAnsiTheme="minorEastAsia" w:eastAsiaTheme="minorEastAsia" w:cstheme="minorEastAsia"/>
          <w:b/>
          <w:sz w:val="21"/>
          <w:szCs w:val="21"/>
        </w:rPr>
      </w:pPr>
    </w:p>
    <w:p>
      <w:pPr>
        <w:spacing w:line="400" w:lineRule="exact"/>
        <w:jc w:val="center"/>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p>
    <w:p>
      <w:pPr>
        <w:spacing w:line="400" w:lineRule="exact"/>
        <w:jc w:val="center"/>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t>第二章  供应商须知</w:t>
      </w:r>
      <w:bookmarkEnd w:id="6"/>
      <w:bookmarkEnd w:id="7"/>
      <w:bookmarkEnd w:id="8"/>
      <w:bookmarkEnd w:id="9"/>
      <w:bookmarkEnd w:id="10"/>
      <w:bookmarkEnd w:id="11"/>
      <w:bookmarkStart w:id="12" w:name="_Toc349637919"/>
      <w:bookmarkStart w:id="13" w:name="_Toc298240404"/>
      <w:bookmarkStart w:id="14" w:name="_Toc349573120"/>
      <w:bookmarkStart w:id="15" w:name="_Toc267301281"/>
    </w:p>
    <w:p>
      <w:pPr>
        <w:spacing w:line="400" w:lineRule="exact"/>
        <w:jc w:val="center"/>
        <w:rPr>
          <w:rFonts w:hint="eastAsia" w:asciiTheme="minorEastAsia" w:hAnsiTheme="minorEastAsia" w:eastAsiaTheme="minorEastAsia" w:cstheme="minorEastAsia"/>
          <w:b/>
          <w:sz w:val="21"/>
          <w:szCs w:val="21"/>
        </w:rPr>
      </w:pPr>
      <w:bookmarkStart w:id="16" w:name="_Toc462223631"/>
      <w:r>
        <w:rPr>
          <w:rFonts w:hint="eastAsia" w:asciiTheme="minorEastAsia" w:hAnsiTheme="minorEastAsia" w:eastAsiaTheme="minorEastAsia" w:cstheme="minorEastAsia"/>
          <w:b/>
          <w:sz w:val="21"/>
          <w:szCs w:val="21"/>
        </w:rPr>
        <w:t>供应商须知前附表</w:t>
      </w:r>
      <w:bookmarkEnd w:id="12"/>
      <w:bookmarkEnd w:id="13"/>
      <w:bookmarkEnd w:id="14"/>
      <w:bookmarkEnd w:id="15"/>
      <w:bookmarkEnd w:id="16"/>
    </w:p>
    <w:tbl>
      <w:tblPr>
        <w:tblStyle w:val="36"/>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sz w:val="21"/>
                <w:szCs w:val="21"/>
              </w:rPr>
              <w:br w:type="page"/>
            </w:r>
            <w:r>
              <w:rPr>
                <w:rFonts w:hint="eastAsia" w:asciiTheme="minorEastAsia" w:hAnsiTheme="minorEastAsia" w:eastAsiaTheme="minorEastAsia" w:cstheme="minorEastAsia"/>
                <w:b/>
                <w:bCs w:val="0"/>
                <w:color w:val="auto"/>
                <w:sz w:val="21"/>
                <w:szCs w:val="21"/>
                <w:highlight w:val="none"/>
              </w:rPr>
              <w:t>序列号</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条款名称</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p>
        </w:tc>
        <w:tc>
          <w:tcPr>
            <w:tcW w:w="6583" w:type="dxa"/>
            <w:noWrap w:val="0"/>
            <w:vAlign w:val="center"/>
          </w:tcPr>
          <w:p>
            <w:pPr>
              <w:pageBreakBefore w:val="0"/>
              <w:widowControl/>
              <w:kinsoku/>
              <w:wordWrap w:val="0"/>
              <w:topLinePunct w:val="0"/>
              <w:bidi w:val="0"/>
              <w:spacing w:line="400" w:lineRule="exact"/>
              <w:ind w:left="0" w:leftChars="0" w:firstLine="0" w:firstLineChars="0"/>
              <w:jc w:val="both"/>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自治区园地、林地、草地分等定级指标体系建设及成果报告项目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w:t>
            </w:r>
          </w:p>
        </w:tc>
        <w:tc>
          <w:tcPr>
            <w:tcW w:w="6583" w:type="dxa"/>
            <w:noWrap w:val="0"/>
            <w:vAlign w:val="center"/>
          </w:tcPr>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采购人名称：新疆维吾尔自治区自然资源规划研究院</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地址：乌鲁木齐新市区北京南路广安街199号</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联系人：孙广源</w:t>
            </w:r>
          </w:p>
          <w:p>
            <w:pPr>
              <w:widowControl/>
              <w:spacing w:line="400" w:lineRule="exact"/>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联系方式：18999242513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采购代理机构</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采购方式</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采购内容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详见第一章采购公告或投标邀请书“</w:t>
            </w:r>
            <w:r>
              <w:rPr>
                <w:rFonts w:hint="eastAsia" w:asciiTheme="minorEastAsia" w:hAnsiTheme="minorEastAsia" w:eastAsiaTheme="minorEastAsia" w:cstheme="minorEastAsia"/>
                <w:color w:val="auto"/>
                <w:sz w:val="21"/>
                <w:szCs w:val="21"/>
                <w:highlight w:val="none"/>
              </w:rPr>
              <w:t>简要规格描述</w:t>
            </w:r>
            <w:r>
              <w:rPr>
                <w:rFonts w:hint="eastAsia" w:asciiTheme="minorEastAsia" w:hAnsiTheme="minorEastAsia" w:eastAsiaTheme="minorEastAsia" w:cstheme="minorEastAsia"/>
                <w:b w:val="0"/>
                <w:bCs/>
                <w:color w:val="auto"/>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7</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资格审查方式</w:t>
            </w:r>
          </w:p>
        </w:tc>
        <w:tc>
          <w:tcPr>
            <w:tcW w:w="6583"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项目预算（最高限价）</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zh-CN" w:eastAsia="zh-CN" w:bidi="ar-SA"/>
              </w:rPr>
              <w:t>金额（小写）：</w:t>
            </w:r>
            <w:r>
              <w:rPr>
                <w:rFonts w:hint="eastAsia" w:asciiTheme="minorEastAsia" w:hAnsiTheme="minorEastAsia" w:eastAsiaTheme="minorEastAsia" w:cstheme="minorEastAsia"/>
                <w:b w:val="0"/>
                <w:bCs/>
                <w:color w:val="auto"/>
                <w:kern w:val="0"/>
                <w:sz w:val="21"/>
                <w:szCs w:val="21"/>
                <w:highlight w:val="none"/>
                <w:lang w:val="en-US" w:eastAsia="zh-CN" w:bidi="ar-SA"/>
              </w:rPr>
              <w:t>550000元；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服务期要求</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val="zh-CN" w:eastAsia="zh-CN"/>
              </w:rPr>
            </w:pPr>
            <w:r>
              <w:rPr>
                <w:rFonts w:hint="eastAsia" w:asciiTheme="minorEastAsia" w:hAnsiTheme="minorEastAsia" w:eastAsiaTheme="minorEastAsia" w:cstheme="minorEastAsia"/>
                <w:color w:val="000000"/>
                <w:sz w:val="21"/>
                <w:szCs w:val="21"/>
                <w:highlight w:val="none"/>
              </w:rPr>
              <w:t>本项目要求2022年11月30日完成成果审查验收。（由于疫情影响以及国家政策所带来的不可控因素导致项目实施周期延长，双方另行协商）。</w:t>
            </w:r>
            <w:r>
              <w:rPr>
                <w:rFonts w:hint="eastAsia" w:asciiTheme="minorEastAsia" w:hAnsiTheme="minorEastAsia" w:eastAsiaTheme="minorEastAsia" w:cstheme="minorEastAsia"/>
                <w:color w:val="000000"/>
                <w:sz w:val="21"/>
                <w:szCs w:val="21"/>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项目地点</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val="zh-CN" w:eastAsia="zh-CN"/>
              </w:rPr>
            </w:pPr>
            <w:r>
              <w:rPr>
                <w:rFonts w:hint="eastAsia" w:asciiTheme="minorEastAsia" w:hAnsiTheme="minorEastAsia" w:eastAsiaTheme="minorEastAsia" w:cstheme="minorEastAsia"/>
                <w:b w:val="0"/>
                <w:bCs/>
                <w:color w:val="auto"/>
                <w:sz w:val="21"/>
                <w:szCs w:val="21"/>
                <w:highlight w:val="none"/>
                <w:lang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付款方式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按合同约定付款。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质量标准</w:t>
            </w:r>
          </w:p>
        </w:tc>
        <w:tc>
          <w:tcPr>
            <w:tcW w:w="6583" w:type="dxa"/>
            <w:noWrap w:val="0"/>
            <w:vAlign w:val="center"/>
          </w:tcPr>
          <w:p>
            <w:pPr>
              <w:pageBreakBefore w:val="0"/>
              <w:kinsoku/>
              <w:wordWrap w:val="0"/>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rPr>
              <w:t>合格</w:t>
            </w:r>
            <w:r>
              <w:rPr>
                <w:rFonts w:hint="eastAsia" w:asciiTheme="minorEastAsia" w:hAnsiTheme="minorEastAsia" w:eastAsiaTheme="minorEastAsia" w:cstheme="minorEastAsia"/>
                <w:b w:val="0"/>
                <w:bCs/>
                <w:color w:val="auto"/>
                <w:sz w:val="21"/>
                <w:szCs w:val="21"/>
                <w:highlight w:val="none"/>
                <w:lang w:eastAsia="zh-CN"/>
              </w:rPr>
              <w:t>（通过采购人及有关部门组织的项目验收）</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供应商资格条件</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（一）满足《中华人民共和国政府采购法》第二十二条规定</w:t>
            </w:r>
            <w:r>
              <w:rPr>
                <w:rFonts w:hint="eastAsia" w:asciiTheme="minorEastAsia" w:hAnsiTheme="minorEastAsia" w:eastAsiaTheme="minorEastAsia" w:cstheme="minorEastAsia"/>
                <w:sz w:val="21"/>
                <w:szCs w:val="21"/>
                <w:lang w:eastAsia="zh-CN"/>
              </w:rPr>
              <w:t>；</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（二）落实政府采购政策需满足的资格要求</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1、财政部、工业和信息化部《关于印发《政府采购促进中小企业展暂行办法》的通知》（财库[2011]181号文）</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2、财政部、民政部、中国残疾人联合会《关于促进残疾人就业政府采购政策的通知》（财库[2017]141号）</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3、企业营业执照副本、企业税务登记证副本、企业组织机构代码证副本或营业执照三证合一</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4、投标单位社会保障资金缴纳记录（连续近三个月）</w:t>
            </w:r>
            <w:r>
              <w:rPr>
                <w:rFonts w:hint="eastAsia" w:asciiTheme="minorEastAsia" w:hAnsiTheme="minorEastAsia" w:eastAsiaTheme="minorEastAsia" w:cstheme="minorEastAsia"/>
                <w:sz w:val="21"/>
                <w:szCs w:val="21"/>
                <w:lang w:eastAsia="zh-CN"/>
              </w:rPr>
              <w:t>；</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5、投标人需通过“信用中国”网站（www.creditchina.gov.cn）和“中国政府采购网”（www.ccgp.gov.cn）查询信用记录（投标人不得有不良行为记录或在处罚期内）</w:t>
            </w:r>
            <w:r>
              <w:rPr>
                <w:rFonts w:hint="eastAsia" w:asciiTheme="minorEastAsia" w:hAnsiTheme="minorEastAsia" w:eastAsiaTheme="minorEastAsia" w:cstheme="minorEastAsia"/>
                <w:sz w:val="21"/>
                <w:szCs w:val="21"/>
                <w:lang w:eastAsia="zh-CN"/>
              </w:rPr>
              <w:t>；</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、单位负责人为同一人或者存在直接控股、管理关系的不同供应商，不得同时参加本项目的投标</w:t>
            </w:r>
            <w:r>
              <w:rPr>
                <w:rFonts w:hint="eastAsia" w:asciiTheme="minorEastAsia" w:hAnsiTheme="minorEastAsia" w:eastAsiaTheme="minorEastAsia" w:cstheme="minorEastAsia"/>
                <w:sz w:val="21"/>
                <w:szCs w:val="21"/>
                <w:lang w:eastAsia="zh-CN"/>
              </w:rPr>
              <w:t>；</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、投标人不得以其他公司资质投标或中标后转包。如发现执行开发的公司并非中标公司，则采购人有权终止合作，并向中标人追索由此造成的一切损失</w:t>
            </w:r>
            <w:r>
              <w:rPr>
                <w:rFonts w:hint="eastAsia" w:asciiTheme="minorEastAsia" w:hAnsiTheme="minorEastAsia" w:eastAsiaTheme="minorEastAsia" w:cstheme="minorEastAsia"/>
                <w:sz w:val="21"/>
                <w:szCs w:val="21"/>
                <w:lang w:eastAsia="zh-CN"/>
              </w:rPr>
              <w:t>；</w:t>
            </w:r>
          </w:p>
          <w:p>
            <w:pPr>
              <w:pStyle w:val="33"/>
              <w:widowControl/>
              <w:kinsoku/>
              <w:wordWrap/>
              <w:topLinePunct w:val="0"/>
              <w:bidi w:val="0"/>
              <w:spacing w:before="0" w:beforeAutospacing="0" w:after="0" w:afterAutospacing="0" w:line="400" w:lineRule="exact"/>
              <w:ind w:right="0" w:rightChars="0"/>
              <w:jc w:val="both"/>
              <w:rPr>
                <w:rFonts w:hint="eastAsia" w:asciiTheme="minorEastAsia" w:hAnsiTheme="minorEastAsia" w:eastAsiaTheme="minorEastAsia" w:cstheme="minorEastAsia"/>
                <w:b w:val="0"/>
                <w:bCs/>
                <w:color w:val="auto"/>
                <w:kern w:val="0"/>
                <w:sz w:val="21"/>
                <w:szCs w:val="21"/>
                <w:highlight w:val="none"/>
                <w:lang w:bidi="ar"/>
              </w:rPr>
            </w:pPr>
            <w:r>
              <w:rPr>
                <w:rFonts w:hint="eastAsia" w:asciiTheme="minorEastAsia" w:hAnsiTheme="minorEastAsia" w:eastAsiaTheme="minorEastAsia" w:cstheme="minorEastAsia"/>
                <w:kern w:val="2"/>
                <w:sz w:val="21"/>
                <w:szCs w:val="21"/>
                <w:lang w:val="en-US" w:eastAsia="zh-CN" w:bidi="ar-SA"/>
              </w:rPr>
              <w:t>8、本项目不接受联合体投标。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14</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投标人不得存在的其他情形</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联合体投标    </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备选方案</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cyan"/>
                <w:lang w:eastAsia="zh-CN"/>
              </w:rPr>
            </w:pPr>
            <w:r>
              <w:rPr>
                <w:rFonts w:hint="eastAsia" w:asciiTheme="minorEastAsia" w:hAnsiTheme="minorEastAsia" w:eastAsiaTheme="minorEastAsia" w:cstheme="minorEastAsia"/>
                <w:b w:val="0"/>
                <w:bCs/>
                <w:color w:val="auto"/>
                <w:sz w:val="21"/>
                <w:szCs w:val="21"/>
                <w:highlight w:val="none"/>
              </w:rPr>
              <w:t>响应文件递交截止时间</w:t>
            </w:r>
            <w:r>
              <w:rPr>
                <w:rFonts w:hint="eastAsia" w:asciiTheme="minorEastAsia" w:hAnsiTheme="minorEastAsia" w:eastAsiaTheme="minorEastAsia" w:cstheme="minorEastAsia"/>
                <w:b w:val="0"/>
                <w:bCs/>
                <w:color w:val="auto"/>
                <w:sz w:val="21"/>
                <w:szCs w:val="21"/>
                <w:highlight w:val="none"/>
                <w:lang w:eastAsia="zh-CN"/>
              </w:rPr>
              <w:t>及开标时间</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sz w:val="21"/>
                <w:szCs w:val="21"/>
                <w:highlight w:val="none"/>
                <w:lang w:eastAsia="zh-CN"/>
              </w:rPr>
              <w:t>2022年5月30日 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18</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响应文件递交截止</w:t>
            </w:r>
            <w:r>
              <w:rPr>
                <w:rFonts w:hint="eastAsia" w:asciiTheme="minorEastAsia" w:hAnsiTheme="minorEastAsia" w:eastAsiaTheme="minorEastAsia" w:cstheme="minorEastAsia"/>
                <w:b w:val="0"/>
                <w:bCs/>
                <w:color w:val="auto"/>
                <w:sz w:val="21"/>
                <w:szCs w:val="21"/>
                <w:highlight w:val="none"/>
                <w:lang w:eastAsia="zh-CN"/>
              </w:rPr>
              <w:t>地点及开标地点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xml:space="preserve">乌鲁木齐水磨沟区红光山路万科大都会8号楼1202室  </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小组的组建及评审专家的确定方式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招标采购单位依法组建</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小组共</w:t>
            </w:r>
            <w:r>
              <w:rPr>
                <w:rFonts w:hint="eastAsia" w:asciiTheme="minorEastAsia" w:hAnsiTheme="minorEastAsia" w:eastAsiaTheme="minorEastAsia" w:cstheme="minorEastAsia"/>
                <w:b w:val="0"/>
                <w:bCs/>
                <w:color w:val="auto"/>
                <w:sz w:val="21"/>
                <w:szCs w:val="21"/>
                <w:highlight w:val="none"/>
                <w:u w:val="single"/>
                <w:lang w:val="en-US" w:eastAsia="zh-CN"/>
              </w:rPr>
              <w:t>3</w:t>
            </w:r>
            <w:r>
              <w:rPr>
                <w:rFonts w:hint="eastAsia" w:asciiTheme="minorEastAsia" w:hAnsiTheme="minorEastAsia" w:eastAsiaTheme="minorEastAsia" w:cstheme="minorEastAsia"/>
                <w:b w:val="0"/>
                <w:bCs/>
                <w:color w:val="auto"/>
                <w:sz w:val="21"/>
                <w:szCs w:val="21"/>
                <w:highlight w:val="none"/>
              </w:rPr>
              <w:t>人组成，其中采购人代表</w:t>
            </w:r>
            <w:r>
              <w:rPr>
                <w:rFonts w:hint="eastAsia" w:asciiTheme="minorEastAsia" w:hAnsiTheme="minorEastAsia" w:eastAsiaTheme="minorEastAsia" w:cstheme="minorEastAsia"/>
                <w:b w:val="0"/>
                <w:bCs/>
                <w:color w:val="auto"/>
                <w:sz w:val="21"/>
                <w:szCs w:val="21"/>
                <w:highlight w:val="none"/>
                <w:lang w:eastAsia="zh-CN"/>
              </w:rPr>
              <w:t>不得超过投标小组的三分之一</w:t>
            </w:r>
            <w:r>
              <w:rPr>
                <w:rFonts w:hint="eastAsia" w:asciiTheme="minorEastAsia" w:hAnsiTheme="minorEastAsia" w:eastAsiaTheme="minorEastAsia" w:cstheme="minorEastAsia"/>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评审办法</w:t>
            </w:r>
          </w:p>
        </w:tc>
        <w:tc>
          <w:tcPr>
            <w:tcW w:w="6583" w:type="dxa"/>
            <w:noWrap w:val="0"/>
            <w:vAlign w:val="center"/>
          </w:tcPr>
          <w:p>
            <w:pPr>
              <w:pageBreakBefore w:val="0"/>
              <w:kinsoku/>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综合评分法，即指</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满足</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文件全部实质性要求且按照评审因素的量化指标评审得分最高的</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为中标候选人的评标方法。每一</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有效期</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u w:val="single"/>
                <w:lang w:val="en-US" w:eastAsia="zh-CN"/>
              </w:rPr>
              <w:t>9</w:t>
            </w:r>
            <w:r>
              <w:rPr>
                <w:rFonts w:hint="eastAsia" w:asciiTheme="minorEastAsia" w:hAnsiTheme="minorEastAsia" w:eastAsiaTheme="minorEastAsia" w:cstheme="minorEastAsia"/>
                <w:b w:val="0"/>
                <w:bCs/>
                <w:color w:val="auto"/>
                <w:sz w:val="21"/>
                <w:szCs w:val="21"/>
                <w:highlight w:val="none"/>
                <w:u w:val="single"/>
              </w:rPr>
              <w:t xml:space="preserve">0 </w:t>
            </w:r>
            <w:r>
              <w:rPr>
                <w:rFonts w:hint="eastAsia" w:asciiTheme="minorEastAsia" w:hAnsiTheme="minorEastAsia" w:eastAsiaTheme="minorEastAsia" w:cstheme="minorEastAsia"/>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22</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投标预备会</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23</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踏勘现场</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24</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资料</w:t>
            </w:r>
            <w:r>
              <w:rPr>
                <w:rFonts w:hint="eastAsia" w:asciiTheme="minorEastAsia" w:hAnsiTheme="minorEastAsia" w:eastAsiaTheme="minorEastAsia" w:cstheme="minorEastAsia"/>
                <w:b w:val="0"/>
                <w:bCs/>
                <w:color w:val="auto"/>
                <w:sz w:val="21"/>
                <w:szCs w:val="21"/>
                <w:highlight w:val="none"/>
                <w:lang w:val="en-US" w:eastAsia="zh-CN"/>
              </w:rPr>
              <w:t>备查</w:t>
            </w:r>
          </w:p>
        </w:tc>
        <w:tc>
          <w:tcPr>
            <w:tcW w:w="6583" w:type="dxa"/>
            <w:noWrap w:val="0"/>
            <w:vAlign w:val="center"/>
          </w:tcPr>
          <w:p>
            <w:pPr>
              <w:pageBreakBefore w:val="0"/>
              <w:widowControl/>
              <w:kinsoku/>
              <w:topLinePunct w:val="0"/>
              <w:bidi w:val="0"/>
              <w:spacing w:line="400" w:lineRule="exact"/>
              <w:ind w:left="0" w:leftChars="0" w:firstLine="0" w:firstLineChars="0"/>
              <w:jc w:val="left"/>
              <w:rPr>
                <w:rFonts w:hint="eastAsia"/>
                <w:lang w:val="en-US" w:eastAsia="zh-CN"/>
              </w:rPr>
            </w:pPr>
            <w:r>
              <w:rPr>
                <w:rFonts w:hint="eastAsia"/>
              </w:rPr>
              <w:t>各</w:t>
            </w:r>
            <w:r>
              <w:rPr>
                <w:rFonts w:hint="eastAsia"/>
                <w:lang w:eastAsia="zh-CN"/>
              </w:rPr>
              <w:t>供应商</w:t>
            </w:r>
            <w:r>
              <w:rPr>
                <w:rFonts w:hint="eastAsia"/>
              </w:rPr>
              <w:t>开标会现场需携带以下</w:t>
            </w:r>
            <w:r>
              <w:rPr>
                <w:rFonts w:hint="eastAsia"/>
                <w:lang w:val="en-US" w:eastAsia="zh-CN"/>
              </w:rPr>
              <w:t>资料原件备查</w:t>
            </w:r>
            <w:r>
              <w:rPr>
                <w:rFonts w:hint="eastAsia"/>
                <w:lang w:eastAsia="zh-CN"/>
              </w:rPr>
              <w:t>：</w:t>
            </w:r>
          </w:p>
          <w:p>
            <w:pPr>
              <w:pageBreakBefore w:val="0"/>
              <w:kinsoku/>
              <w:topLinePunct w:val="0"/>
              <w:bidi w:val="0"/>
              <w:spacing w:line="400" w:lineRule="exact"/>
              <w:ind w:left="0" w:leftChars="0" w:firstLine="0" w:firstLineChars="0"/>
              <w:rPr>
                <w:rFonts w:hint="eastAsia"/>
              </w:rPr>
            </w:pPr>
            <w:r>
              <w:rPr>
                <w:rFonts w:hint="eastAsia"/>
              </w:rPr>
              <w:t>（1）营业执照（三证合一）；</w:t>
            </w:r>
          </w:p>
          <w:p>
            <w:pPr>
              <w:pageBreakBefore w:val="0"/>
              <w:kinsoku/>
              <w:topLinePunct w:val="0"/>
              <w:bidi w:val="0"/>
              <w:spacing w:line="400" w:lineRule="exact"/>
              <w:ind w:left="0" w:leftChars="0" w:firstLine="0" w:firstLineChars="0"/>
              <w:rPr>
                <w:rFonts w:hint="eastAsia"/>
                <w:lang w:eastAsia="zh-CN"/>
              </w:rPr>
            </w:pPr>
            <w:r>
              <w:rPr>
                <w:rFonts w:hint="eastAsia"/>
              </w:rPr>
              <w:t>（2）投标方</w:t>
            </w:r>
            <w:r>
              <w:rPr>
                <w:rFonts w:hint="eastAsia"/>
                <w:lang w:eastAsia="zh-CN"/>
              </w:rPr>
              <w:t>为</w:t>
            </w:r>
            <w:r>
              <w:rPr>
                <w:rFonts w:hint="eastAsia"/>
              </w:rPr>
              <w:t>法人投标需携带法人授权委托书原件及被授权人身份证原件或法人身份证明书及身份证原件（加盖公章）</w:t>
            </w:r>
            <w:r>
              <w:rPr>
                <w:rFonts w:hint="eastAsia"/>
                <w:lang w:eastAsia="zh-CN"/>
              </w:rPr>
              <w:t>；</w:t>
            </w:r>
          </w:p>
          <w:p>
            <w:pPr>
              <w:pStyle w:val="21"/>
              <w:ind w:left="0" w:leftChars="0" w:firstLine="0" w:firstLineChars="0"/>
              <w:jc w:val="left"/>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asciiTheme="minorEastAsia" w:hAnsiTheme="minorEastAsia" w:eastAsiaTheme="minorEastAsia" w:cstheme="minorEastAsia"/>
                <w:color w:val="000000"/>
                <w:kern w:val="2"/>
                <w:sz w:val="21"/>
                <w:szCs w:val="21"/>
                <w:lang w:val="en-US" w:eastAsia="zh-CN" w:bidi="ar-SA"/>
              </w:rPr>
              <w:t>在“信用中国”网站（https://www.creditchina.gov.cn/）中的企业信用信息查询结果，“中国政府采购网”（http://www.ccgp.gov.cn/）中“政府采购严重违法失信行为信息记录”查询结果。查询时间不能早于本项目采购公告发布之日。</w:t>
            </w:r>
          </w:p>
          <w:p>
            <w:pPr>
              <w:pageBreakBefore w:val="0"/>
              <w:kinsoku/>
              <w:topLinePunct w:val="0"/>
              <w:bidi w:val="0"/>
              <w:spacing w:line="400" w:lineRule="exact"/>
              <w:ind w:left="0" w:leftChars="0" w:firstLine="0" w:firstLineChars="0"/>
              <w:rPr>
                <w:rFonts w:hint="default"/>
                <w:lang w:val="en-US" w:eastAsia="zh-CN"/>
              </w:rPr>
            </w:pPr>
            <w:r>
              <w:rPr>
                <w:rFonts w:hint="eastAsia"/>
                <w:lang w:val="en-US" w:eastAsia="zh-CN"/>
              </w:rPr>
              <w:t>（4）投标保证金交纳凭证（复印件加盖公章）。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25</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投标文件组成</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sz w:val="21"/>
                <w:szCs w:val="21"/>
              </w:rPr>
              <w:t>正</w:t>
            </w:r>
            <w:r>
              <w:rPr>
                <w:rFonts w:hint="eastAsia" w:asciiTheme="minorEastAsia" w:hAnsiTheme="minorEastAsia" w:eastAsiaTheme="minorEastAsia" w:cstheme="minorEastAsia"/>
                <w:b w:val="0"/>
                <w:bCs/>
                <w:color w:val="auto"/>
                <w:sz w:val="21"/>
                <w:szCs w:val="21"/>
                <w:highlight w:val="none"/>
                <w:lang w:val="en-US" w:eastAsia="zh-CN"/>
              </w:rPr>
              <w:t>本壹份，副本贰份（共叁份），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开标一览表壹份，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电子版：U盘壹份，光盘壹份（内容为加盖公章的响应文件扫描件）</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Theme="minorEastAsia" w:hAnsiTheme="minorEastAsia" w:eastAsiaTheme="minorEastAsia" w:cstheme="minorEastAsia"/>
                <w:b/>
                <w:bCs/>
                <w:sz w:val="21"/>
                <w:szCs w:val="21"/>
              </w:rPr>
              <w:t>(1)供应商应将</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一览表单独密封提交，并在信封上标明"</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2)电子版</w:t>
            </w:r>
            <w:r>
              <w:rPr>
                <w:rFonts w:hint="eastAsia" w:asciiTheme="minorEastAsia" w:hAnsiTheme="minorEastAsia" w:eastAsiaTheme="minorEastAsia" w:cstheme="minorEastAsia"/>
                <w:b/>
                <w:bCs/>
                <w:sz w:val="21"/>
                <w:szCs w:val="21"/>
              </w:rPr>
              <w:t>单独密封提交，并在信封上标明"</w:t>
            </w:r>
            <w:r>
              <w:rPr>
                <w:rFonts w:hint="eastAsia" w:asciiTheme="minorEastAsia" w:hAnsiTheme="minorEastAsia" w:eastAsiaTheme="minorEastAsia" w:cstheme="minorEastAsia"/>
                <w:b/>
                <w:bCs/>
                <w:sz w:val="21"/>
                <w:szCs w:val="21"/>
                <w:lang w:eastAsia="zh-CN"/>
              </w:rPr>
              <w:t>电子版</w:t>
            </w:r>
            <w:r>
              <w:rPr>
                <w:rFonts w:hint="eastAsia" w:asciiTheme="minorEastAsia" w:hAnsiTheme="minorEastAsia" w:eastAsiaTheme="minorEastAsia" w:cstheme="minorEastAsia"/>
                <w:b/>
                <w:bCs/>
                <w:sz w:val="21"/>
                <w:szCs w:val="21"/>
              </w:rPr>
              <w:t>"字样；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3)供应商应将响应文件统包密封，封面应注明项目名称</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lang w:val="en-US" w:eastAsia="zh-CN"/>
              </w:rPr>
              <w:t>项目编号</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sz w:val="21"/>
                <w:szCs w:val="21"/>
                <w:highlight w:val="none"/>
                <w:lang w:eastAsia="zh-CN"/>
              </w:rPr>
              <w:t>投标</w:t>
            </w:r>
            <w:r>
              <w:rPr>
                <w:rFonts w:hint="eastAsia" w:asciiTheme="minorEastAsia" w:hAnsiTheme="minorEastAsia" w:eastAsiaTheme="minorEastAsia" w:cstheme="minorEastAsia"/>
                <w:b/>
                <w:bCs w:val="0"/>
                <w:color w:val="auto"/>
                <w:sz w:val="21"/>
                <w:szCs w:val="21"/>
                <w:highlight w:val="none"/>
              </w:rPr>
              <w:t>保证金</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金额（小写）：</w:t>
            </w:r>
            <w:r>
              <w:rPr>
                <w:rFonts w:hint="eastAsia" w:asciiTheme="minorEastAsia" w:hAnsiTheme="minorEastAsia" w:eastAsiaTheme="minorEastAsia" w:cstheme="minorEastAsia"/>
                <w:b w:val="0"/>
                <w:bCs/>
                <w:color w:val="auto"/>
                <w:sz w:val="21"/>
                <w:szCs w:val="21"/>
                <w:highlight w:val="none"/>
                <w:lang w:val="en-US" w:eastAsia="zh-CN"/>
              </w:rPr>
              <w:t>11000.00</w:t>
            </w:r>
            <w:r>
              <w:rPr>
                <w:rFonts w:hint="eastAsia" w:asciiTheme="minorEastAsia" w:hAnsiTheme="minorEastAsia" w:eastAsiaTheme="minorEastAsia" w:cstheme="minorEastAsia"/>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金额（大写）：</w:t>
            </w:r>
            <w:r>
              <w:rPr>
                <w:rFonts w:hint="eastAsia" w:asciiTheme="minorEastAsia" w:hAnsiTheme="minorEastAsia" w:eastAsiaTheme="minorEastAsia" w:cstheme="minorEastAsia"/>
                <w:b w:val="0"/>
                <w:bCs/>
                <w:color w:val="auto"/>
                <w:sz w:val="21"/>
                <w:szCs w:val="21"/>
                <w:highlight w:val="none"/>
                <w:lang w:val="en-US" w:eastAsia="zh-CN"/>
              </w:rPr>
              <w:t>壹万壹仟元整</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备注项目</w:t>
            </w:r>
            <w:r>
              <w:rPr>
                <w:rFonts w:hint="eastAsia" w:asciiTheme="minorEastAsia" w:hAnsiTheme="minorEastAsia" w:eastAsiaTheme="minorEastAsia" w:cstheme="minorEastAsia"/>
                <w:b w:val="0"/>
                <w:bCs/>
                <w:color w:val="auto"/>
                <w:sz w:val="21"/>
                <w:szCs w:val="21"/>
                <w:highlight w:val="none"/>
                <w:lang w:eastAsia="zh-CN"/>
              </w:rPr>
              <w:t>编号、项目</w:t>
            </w:r>
            <w:r>
              <w:rPr>
                <w:rFonts w:hint="eastAsia" w:asciiTheme="minorEastAsia" w:hAnsiTheme="minorEastAsia" w:eastAsiaTheme="minorEastAsia" w:cstheme="minorEastAsia"/>
                <w:b w:val="0"/>
                <w:bCs/>
                <w:color w:val="auto"/>
                <w:sz w:val="21"/>
                <w:szCs w:val="21"/>
                <w:highlight w:val="none"/>
              </w:rPr>
              <w:t xml:space="preserve">名称 </w:t>
            </w:r>
            <w:r>
              <w:rPr>
                <w:rFonts w:hint="eastAsia" w:asciiTheme="minorEastAsia" w:hAnsiTheme="minorEastAsia" w:eastAsiaTheme="minorEastAsia" w:cstheme="minorEastAsia"/>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开户名称：</w:t>
            </w:r>
            <w:r>
              <w:rPr>
                <w:rFonts w:hint="eastAsia" w:asciiTheme="minorEastAsia" w:hAnsiTheme="minorEastAsia" w:eastAsiaTheme="minorEastAsia" w:cstheme="minorEastAsia"/>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开户行：</w:t>
            </w:r>
            <w:r>
              <w:rPr>
                <w:rFonts w:hint="eastAsia" w:asciiTheme="minorEastAsia" w:hAnsiTheme="minorEastAsia" w:eastAsiaTheme="minorEastAsia" w:cstheme="minorEastAsia"/>
                <w:b w:val="0"/>
                <w:bCs/>
                <w:color w:val="auto"/>
                <w:sz w:val="21"/>
                <w:szCs w:val="21"/>
                <w:highlight w:val="none"/>
                <w:lang w:eastAsia="zh-CN"/>
              </w:rPr>
              <w:t>交通银行股份有限公司乌鲁木齐大西门支行</w:t>
            </w:r>
            <w:r>
              <w:rPr>
                <w:rFonts w:hint="eastAsia" w:asciiTheme="minorEastAsia" w:hAnsiTheme="minorEastAsia" w:eastAsiaTheme="minorEastAsia" w:cstheme="minorEastAsia"/>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账   号：</w:t>
            </w:r>
            <w:r>
              <w:rPr>
                <w:rFonts w:hint="eastAsia" w:asciiTheme="minorEastAsia" w:hAnsiTheme="minorEastAsia" w:eastAsiaTheme="minorEastAsia" w:cstheme="minorEastAsia"/>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必须</w:t>
            </w:r>
            <w:r>
              <w:rPr>
                <w:rFonts w:hint="eastAsia" w:asciiTheme="minorEastAsia" w:hAnsiTheme="minorEastAsia" w:eastAsiaTheme="minorEastAsia" w:cstheme="minorEastAsia"/>
                <w:b w:val="0"/>
                <w:bCs/>
                <w:color w:val="auto"/>
                <w:sz w:val="21"/>
                <w:szCs w:val="21"/>
                <w:highlight w:val="none"/>
                <w:lang w:eastAsia="zh-CN"/>
              </w:rPr>
              <w:t>投标截止时间前</w:t>
            </w:r>
            <w:r>
              <w:rPr>
                <w:rFonts w:hint="eastAsia" w:asciiTheme="minorEastAsia" w:hAnsiTheme="minorEastAsia" w:eastAsiaTheme="minorEastAsia" w:cstheme="minorEastAsia"/>
                <w:b w:val="0"/>
                <w:bCs/>
                <w:color w:val="auto"/>
                <w:sz w:val="21"/>
                <w:szCs w:val="21"/>
                <w:highlight w:val="none"/>
              </w:rPr>
              <w:t>完成保证金缴纳工作。</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履约保证金</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约保证金金额：合同金额的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履约保证金递交：中标单位收到《</w:t>
            </w:r>
            <w:r>
              <w:rPr>
                <w:rFonts w:hint="eastAsia" w:asciiTheme="minorEastAsia" w:hAnsiTheme="minorEastAsia" w:eastAsiaTheme="minorEastAsia" w:cstheme="minorEastAsia"/>
                <w:b w:val="0"/>
                <w:bCs/>
                <w:color w:val="auto"/>
                <w:sz w:val="21"/>
                <w:szCs w:val="21"/>
                <w:highlight w:val="none"/>
                <w:lang w:val="en-US" w:eastAsia="zh-CN"/>
              </w:rPr>
              <w:t>中标</w:t>
            </w:r>
            <w:r>
              <w:rPr>
                <w:rFonts w:hint="eastAsia" w:asciiTheme="minorEastAsia" w:hAnsiTheme="minorEastAsia" w:eastAsiaTheme="minorEastAsia" w:cstheme="minorEastAsia"/>
                <w:b w:val="0"/>
                <w:bCs/>
                <w:color w:val="auto"/>
                <w:sz w:val="21"/>
                <w:szCs w:val="21"/>
                <w:highlight w:val="none"/>
              </w:rPr>
              <w:t>通知书》</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签订合同</w:t>
            </w:r>
            <w:r>
              <w:rPr>
                <w:rFonts w:hint="eastAsia" w:asciiTheme="minorEastAsia" w:hAnsiTheme="minorEastAsia" w:eastAsiaTheme="minorEastAsia" w:cstheme="minorEastAsia"/>
                <w:b w:val="0"/>
                <w:bCs/>
                <w:color w:val="auto"/>
                <w:sz w:val="21"/>
                <w:szCs w:val="21"/>
                <w:highlight w:val="none"/>
                <w:lang w:val="en-US" w:eastAsia="zh-CN"/>
              </w:rPr>
              <w:t>前</w:t>
            </w:r>
            <w:r>
              <w:rPr>
                <w:rFonts w:hint="eastAsia" w:asciiTheme="minorEastAsia" w:hAnsiTheme="minorEastAsia" w:eastAsiaTheme="minorEastAsia" w:cstheme="minorEastAsia"/>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履约保证金形式：银行转账形式（中标单位未按</w:t>
            </w:r>
            <w:r>
              <w:rPr>
                <w:rFonts w:hint="eastAsia" w:asciiTheme="minorEastAsia" w:hAnsiTheme="minorEastAsia" w:eastAsiaTheme="minorEastAsia" w:cstheme="minorEastAsia"/>
                <w:b w:val="0"/>
                <w:bCs/>
                <w:color w:val="auto"/>
                <w:sz w:val="21"/>
                <w:szCs w:val="21"/>
                <w:highlight w:val="none"/>
                <w:lang w:val="en-US" w:eastAsia="zh-CN"/>
              </w:rPr>
              <w:t>采购</w:t>
            </w:r>
            <w:r>
              <w:rPr>
                <w:rFonts w:hint="eastAsia" w:asciiTheme="minorEastAsia" w:hAnsiTheme="minorEastAsia" w:eastAsiaTheme="minorEastAsia" w:cstheme="minorEastAsia"/>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zh-CN"/>
              </w:rPr>
              <w:t>履约保证金（质保金）退还：（1）履约保证金的有效期为该项目</w:t>
            </w:r>
            <w:r>
              <w:rPr>
                <w:rFonts w:hint="eastAsia" w:asciiTheme="minorEastAsia" w:hAnsiTheme="minorEastAsia" w:eastAsiaTheme="minorEastAsia" w:cstheme="minorEastAsia"/>
                <w:b w:val="0"/>
                <w:bCs/>
                <w:color w:val="auto"/>
                <w:sz w:val="21"/>
                <w:szCs w:val="21"/>
                <w:highlight w:val="none"/>
                <w:lang w:val="en-US" w:eastAsia="zh-CN"/>
              </w:rPr>
              <w:t>完成供货且通过采购人组织的项目验收</w:t>
            </w:r>
            <w:r>
              <w:rPr>
                <w:rFonts w:hint="eastAsia" w:asciiTheme="minorEastAsia" w:hAnsiTheme="minorEastAsia" w:eastAsiaTheme="minorEastAsia" w:cstheme="minorEastAsia"/>
                <w:b w:val="0"/>
                <w:bCs/>
                <w:color w:val="auto"/>
                <w:sz w:val="21"/>
                <w:szCs w:val="21"/>
                <w:highlight w:val="none"/>
                <w:lang w:val="zh-CN"/>
              </w:rPr>
              <w:t>止。（2）供应商在</w:t>
            </w:r>
            <w:r>
              <w:rPr>
                <w:rFonts w:hint="eastAsia" w:asciiTheme="minorEastAsia" w:hAnsiTheme="minorEastAsia" w:eastAsiaTheme="minorEastAsia" w:cstheme="minorEastAsia"/>
                <w:b w:val="0"/>
                <w:bCs/>
                <w:color w:val="auto"/>
                <w:sz w:val="21"/>
                <w:szCs w:val="21"/>
                <w:highlight w:val="none"/>
                <w:lang w:val="en-US" w:eastAsia="zh-CN"/>
              </w:rPr>
              <w:t>产品</w:t>
            </w:r>
            <w:r>
              <w:rPr>
                <w:rFonts w:hint="eastAsia" w:asciiTheme="minorEastAsia" w:hAnsiTheme="minorEastAsia" w:eastAsiaTheme="minorEastAsia" w:cstheme="minorEastAsia"/>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代理服务费</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本项目招标代理服务费根据发改价格[2011]534 号及计价格[2002]1980 号文件计算的招标代理服务收费标准</w:t>
            </w:r>
            <w:r>
              <w:rPr>
                <w:rFonts w:hint="eastAsia" w:asciiTheme="minorEastAsia" w:hAnsiTheme="minorEastAsia" w:eastAsiaTheme="minorEastAsia" w:cstheme="minorEastAsia"/>
                <w:b w:val="0"/>
                <w:bCs/>
                <w:color w:val="auto"/>
                <w:sz w:val="21"/>
                <w:szCs w:val="21"/>
                <w:highlight w:val="none"/>
                <w:lang w:eastAsia="zh-CN"/>
              </w:rPr>
              <w:t>收取</w:t>
            </w:r>
            <w:r>
              <w:rPr>
                <w:rFonts w:hint="eastAsia" w:asciiTheme="minorEastAsia" w:hAnsiTheme="minorEastAsia" w:eastAsiaTheme="minorEastAsia" w:cstheme="minorEastAsia"/>
                <w:b w:val="0"/>
                <w:bCs/>
                <w:color w:val="auto"/>
                <w:sz w:val="21"/>
                <w:szCs w:val="21"/>
                <w:highlight w:val="none"/>
              </w:rPr>
              <w:t>。由中标</w:t>
            </w:r>
            <w:r>
              <w:rPr>
                <w:rFonts w:hint="eastAsia" w:asciiTheme="minorEastAsia" w:hAnsiTheme="minorEastAsia" w:eastAsiaTheme="minorEastAsia" w:cstheme="minorEastAsia"/>
                <w:b w:val="0"/>
                <w:bCs/>
                <w:color w:val="auto"/>
                <w:sz w:val="21"/>
                <w:szCs w:val="21"/>
                <w:highlight w:val="none"/>
                <w:lang w:eastAsia="zh-CN"/>
              </w:rPr>
              <w:t>（成交）</w:t>
            </w:r>
            <w:r>
              <w:rPr>
                <w:rFonts w:hint="eastAsia" w:asciiTheme="minorEastAsia" w:hAnsiTheme="minorEastAsia" w:eastAsiaTheme="minorEastAsia" w:cstheme="minorEastAsia"/>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29</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有关政策</w:t>
            </w:r>
          </w:p>
        </w:tc>
        <w:tc>
          <w:tcPr>
            <w:tcW w:w="6583" w:type="dxa"/>
            <w:noWrap w:val="0"/>
            <w:vAlign w:val="center"/>
          </w:tcPr>
          <w:p>
            <w:pPr>
              <w:pageBreakBefore w:val="0"/>
              <w:numPr>
                <w:ilvl w:val="0"/>
                <w:numId w:val="2"/>
              </w:numPr>
              <w:kinsoku/>
              <w:topLinePunct w:val="0"/>
              <w:bidi w:val="0"/>
              <w:spacing w:line="400" w:lineRule="exact"/>
              <w:ind w:left="0" w:leftChars="0" w:firstLine="0" w:firstLine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numPr>
                <w:ilvl w:val="0"/>
                <w:numId w:val="0"/>
              </w:numPr>
              <w:kinsoku/>
              <w:topLinePunct w:val="0"/>
              <w:bidi w:val="0"/>
              <w:spacing w:line="400" w:lineRule="exact"/>
              <w:ind w:leftChars="0"/>
              <w:rPr>
                <w:rFonts w:hint="eastAsia" w:asciiTheme="minorEastAsia" w:hAnsiTheme="minorEastAsia" w:eastAsiaTheme="minorEastAsia" w:cstheme="minorEastAsia"/>
                <w:b w:val="0"/>
                <w:bCs/>
                <w:color w:val="auto"/>
                <w:kern w:val="2"/>
                <w:sz w:val="21"/>
                <w:szCs w:val="21"/>
                <w:highlight w:val="none"/>
                <w:lang w:val="en-US" w:eastAsia="zh-CN" w:bidi="ar-SA"/>
              </w:rPr>
            </w:pPr>
            <w:r>
              <w:rPr>
                <w:rStyle w:val="122"/>
                <w:rFonts w:hint="eastAsia" w:asciiTheme="minorEastAsia" w:hAnsiTheme="minorEastAsia" w:eastAsiaTheme="minorEastAsia" w:cstheme="minorEastAsia"/>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0"/>
                <w:sz w:val="21"/>
                <w:szCs w:val="21"/>
                <w:highlight w:val="none"/>
              </w:rPr>
              <w:t>30</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封套上应载明的信息</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项目编号：</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供应商地址：</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联系人：</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联系电话：</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在</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日</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时</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需要补充的其他内容</w:t>
            </w:r>
          </w:p>
        </w:tc>
        <w:tc>
          <w:tcPr>
            <w:tcW w:w="6583" w:type="dxa"/>
            <w:noWrap w:val="0"/>
            <w:vAlign w:val="center"/>
          </w:tcPr>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、本项目投标应以人民币报价；</w:t>
            </w:r>
          </w:p>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2、不论投标结果如何，投标人均应自行承担所有与投标有关的全部费用</w:t>
            </w:r>
            <w:r>
              <w:rPr>
                <w:rStyle w:val="122"/>
                <w:rFonts w:hint="eastAsia" w:asciiTheme="minorEastAsia" w:hAnsiTheme="minorEastAsia" w:eastAsiaTheme="minorEastAsia" w:cstheme="minorEastAsia"/>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583" w:type="dxa"/>
            <w:noWrap w:val="0"/>
            <w:vAlign w:val="center"/>
          </w:tcPr>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为保证本项目质量，良好的售后服务，最低报价不作为中标的唯一依据。</w:t>
            </w:r>
          </w:p>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2、</w:t>
            </w:r>
            <w:r>
              <w:rPr>
                <w:rStyle w:val="122"/>
                <w:rFonts w:hint="eastAsia" w:asciiTheme="minorEastAsia" w:hAnsiTheme="minorEastAsia" w:eastAsiaTheme="minorEastAsia" w:cstheme="minorEastAsia"/>
                <w:b w:val="0"/>
                <w:bCs/>
                <w:color w:val="auto"/>
                <w:sz w:val="21"/>
                <w:szCs w:val="21"/>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noWrap w:val="0"/>
            <w:vAlign w:val="center"/>
          </w:tcPr>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注意</w:t>
            </w:r>
          </w:p>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事项</w:t>
            </w:r>
          </w:p>
        </w:tc>
        <w:tc>
          <w:tcPr>
            <w:tcW w:w="8933" w:type="dxa"/>
            <w:gridSpan w:val="2"/>
            <w:noWrap w:val="0"/>
            <w:vAlign w:val="center"/>
          </w:tcPr>
          <w:p>
            <w:pPr>
              <w:pStyle w:val="3"/>
              <w:pageBreakBefore w:val="0"/>
              <w:kinsoku/>
              <w:topLinePunct w:val="0"/>
              <w:bidi w:val="0"/>
              <w:spacing w:line="400" w:lineRule="exact"/>
              <w:ind w:left="0" w:leftChars="0" w:firstLine="0" w:firstLineChars="0"/>
              <w:contextualSpacing/>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各供应商应在本项目采购公告发布之日起到响应文件递交截止时间期间，通过“信用中国”网站（</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www.creditchina.gov.cn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）、中国政府采购网（</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www.ccgp.gov.cn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其他</w:t>
            </w:r>
          </w:p>
        </w:tc>
        <w:tc>
          <w:tcPr>
            <w:tcW w:w="8933" w:type="dxa"/>
            <w:gridSpan w:val="2"/>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pageBreakBefore w:val="0"/>
              <w:kinsoku/>
              <w:topLinePunct w:val="0"/>
              <w:bidi w:val="0"/>
              <w:spacing w:before="0"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特别说明：</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Style w:val="5"/>
        <w:spacing w:before="0" w:after="0"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bookmarkStart w:id="17" w:name="_Toc298240405"/>
      <w:bookmarkStart w:id="18" w:name="_Toc349573121"/>
      <w:bookmarkStart w:id="19" w:name="_Toc349637920"/>
      <w:bookmarkStart w:id="20" w:name="_Toc267301282"/>
      <w:bookmarkStart w:id="21" w:name="_Toc462223632"/>
      <w:r>
        <w:rPr>
          <w:rFonts w:hint="eastAsia" w:asciiTheme="minorEastAsia" w:hAnsiTheme="minorEastAsia" w:eastAsiaTheme="minorEastAsia" w:cstheme="minorEastAsia"/>
          <w:sz w:val="21"/>
          <w:szCs w:val="21"/>
        </w:rPr>
        <w:t>（一）说　明</w:t>
      </w:r>
      <w:bookmarkEnd w:id="17"/>
      <w:bookmarkEnd w:id="18"/>
      <w:bookmarkEnd w:id="19"/>
      <w:bookmarkEnd w:id="20"/>
      <w:bookmarkEnd w:id="2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1、适用范围</w:t>
      </w:r>
    </w:p>
    <w:p>
      <w:pPr>
        <w:tabs>
          <w:tab w:val="left" w:pos="360"/>
        </w:tabs>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1.1本磋商文件仅适用于本次磋商邀请中所叙述项目的货物及服务采购。</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2、定义</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color w:val="000000"/>
          <w:sz w:val="21"/>
          <w:szCs w:val="21"/>
        </w:rPr>
        <w:t>1 “招标代理机构”系指宏业国际项目管理有限公司；</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“需方”系指</w:t>
      </w:r>
      <w:r>
        <w:rPr>
          <w:rFonts w:hint="eastAsia" w:asciiTheme="minorEastAsia" w:hAnsiTheme="minorEastAsia" w:eastAsiaTheme="minorEastAsia" w:cstheme="minorEastAsia"/>
          <w:color w:val="000000"/>
          <w:sz w:val="21"/>
          <w:szCs w:val="21"/>
          <w:lang w:eastAsia="zh-CN"/>
        </w:rPr>
        <w:t>新疆维吾尔自治区自然资源规划研究院</w:t>
      </w:r>
      <w:r>
        <w:rPr>
          <w:rFonts w:hint="eastAsia" w:asciiTheme="minorEastAsia" w:hAnsiTheme="minorEastAsia" w:eastAsiaTheme="minorEastAsia" w:cstheme="minorEastAsia"/>
          <w:color w:val="000000"/>
          <w:sz w:val="21"/>
          <w:szCs w:val="21"/>
        </w:rPr>
        <w:t>；</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 “磋商供应商”系指向招标代理机构提交磋商响应性文件的制造商或代理商；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 “成交方”系指在本次磋商中成交，将被授予合同的供应商，即成为“成交方”。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 有能力提供磋商文件中所要求的货物及服务、资格审查合格的制造商或代理商为合格的供应商；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 供应商必须遵守有关的国内法律和规章条例。</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4、供应商资格</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（一）满足《中华人民共和国政府采购法》第二十二条规定</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（二）落实政府采购政策需满足的资格要求</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1、财政部、工业和信息化部《关于印发《政府采购促进中小企业展暂行办法》的通知》（财库[2011]181号文）</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2、财政部、民政部、中国残疾人联合会《关于促进残疾人就业政府采购政策的通知》（财库[2017]141号）</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3、企业营业执照副本、企业税务登记证副本、企业组织机构代码证副本或营业执照三证合一</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4、投标单位社会保障资金缴纳记录（连续近三个月）</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5、投标人需通过“信用中国”网站（www.creditchina.gov.cn）和“中国政府采购网”（www.ccgp.gov.cn）查询信用记录（投标人不得有不良行为记录或在处罚期内）</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、单位负责人为同一人或者存在直接控股、管理关系的不同供应商，不得同时参加本项目的投标</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、投标人不得以其他公司资质投标或中标后转包。如发现执行开发的公司并非中标公司，则采购人有权终止合作，并向中标人追索由此造成的一切损失</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、本项目不接受联合体投标</w:t>
      </w:r>
      <w:r>
        <w:rPr>
          <w:rFonts w:hint="eastAsia" w:asciiTheme="minorEastAsia" w:hAnsiTheme="minorEastAsia" w:eastAsiaTheme="minorEastAsia" w:cstheme="minorEastAsia"/>
          <w:color w:val="000000"/>
          <w:sz w:val="21"/>
          <w:szCs w:val="21"/>
          <w:lang w:eastAsia="zh-CN"/>
        </w:rPr>
        <w:t>。</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5、磋商费用</w:t>
      </w:r>
    </w:p>
    <w:p>
      <w:pPr>
        <w:spacing w:line="400" w:lineRule="exact"/>
        <w:ind w:firstLine="210" w:firstLineChars="1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5.1 无论磋商过程中的作法和结果如何，供应商将自行承担所有与参加磋商有关的全部费用。</w:t>
      </w:r>
      <w:bookmarkStart w:id="22" w:name="_Toc267301283"/>
      <w:bookmarkStart w:id="23" w:name="_Toc349637921"/>
      <w:bookmarkStart w:id="24" w:name="_Toc298240406"/>
      <w:bookmarkStart w:id="25" w:name="_Toc349573122"/>
    </w:p>
    <w:p>
      <w:pPr>
        <w:pStyle w:val="5"/>
        <w:spacing w:before="0" w:after="0" w:line="400" w:lineRule="exact"/>
        <w:jc w:val="center"/>
        <w:rPr>
          <w:rFonts w:hint="eastAsia" w:asciiTheme="minorEastAsia" w:hAnsiTheme="minorEastAsia" w:eastAsiaTheme="minorEastAsia" w:cstheme="minorEastAsia"/>
          <w:sz w:val="21"/>
          <w:szCs w:val="21"/>
        </w:rPr>
      </w:pPr>
      <w:bookmarkStart w:id="26" w:name="_Toc462223633"/>
      <w:r>
        <w:rPr>
          <w:rFonts w:hint="eastAsia" w:asciiTheme="minorEastAsia" w:hAnsiTheme="minorEastAsia" w:eastAsiaTheme="minorEastAsia" w:cstheme="minorEastAsia"/>
          <w:sz w:val="21"/>
          <w:szCs w:val="21"/>
        </w:rPr>
        <w:t>（二）磋商文件</w:t>
      </w:r>
      <w:bookmarkEnd w:id="22"/>
      <w:bookmarkEnd w:id="23"/>
      <w:bookmarkEnd w:id="24"/>
      <w:bookmarkEnd w:id="25"/>
      <w:bookmarkEnd w:id="2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6、磋商文件构成</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6.1磋商文件包括：</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⑴磋商公告；</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⑵供应商须知；</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⑶项目需求；</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⑷合同条款；</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⑸附件。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磋商文件以中文编写。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7、磋商文件澄清</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供应商对磋商文件有疑问的，可以向招标代理机构提出询问，招标代理机构将及时做出答复；</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供应商对磋商文件有质疑，须在磋商响应文件递交截止时间3日以前，以书面形式向招标机构提出质疑；招标机构在收到书面质疑后尽快做出答复，并以书面形式通知质疑供应商。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8、磋商文件的修改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对磋商文件进行必要的修改，招标代理机构将在投标截止时间2日前以书面形式通知所有购买磋商文件的供应商。该修改的内容为磋商文件的组成部分；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供应商在规定的时间内未对磋商文件提出澄清要求的，招标代理机构将视其为同意。</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8.3在投标截止时间前，招标机构可视具体情况延长磋商截止时间，并将变更时间书面通知所有购买磋商文件的供应商。</w:t>
      </w:r>
    </w:p>
    <w:p>
      <w:pPr>
        <w:pStyle w:val="5"/>
        <w:spacing w:before="0" w:after="0" w:line="400" w:lineRule="exact"/>
        <w:jc w:val="center"/>
        <w:rPr>
          <w:rFonts w:hint="eastAsia" w:asciiTheme="minorEastAsia" w:hAnsiTheme="minorEastAsia" w:eastAsiaTheme="minorEastAsia" w:cstheme="minorEastAsia"/>
          <w:sz w:val="21"/>
          <w:szCs w:val="21"/>
        </w:rPr>
      </w:pPr>
      <w:bookmarkStart w:id="27" w:name="_Toc267301284"/>
      <w:bookmarkStart w:id="28" w:name="_Toc349573123"/>
      <w:bookmarkStart w:id="29" w:name="_Toc462223634"/>
      <w:bookmarkStart w:id="30" w:name="_Toc349637922"/>
      <w:bookmarkStart w:id="31" w:name="_Toc298240407"/>
      <w:r>
        <w:rPr>
          <w:rFonts w:hint="eastAsia" w:asciiTheme="minorEastAsia" w:hAnsiTheme="minorEastAsia" w:eastAsiaTheme="minorEastAsia" w:cstheme="minorEastAsia"/>
          <w:sz w:val="21"/>
          <w:szCs w:val="21"/>
        </w:rPr>
        <w:t>（三）磋商响应性文件的编写</w:t>
      </w:r>
      <w:bookmarkEnd w:id="27"/>
      <w:bookmarkEnd w:id="28"/>
      <w:bookmarkEnd w:id="29"/>
      <w:bookmarkEnd w:id="30"/>
      <w:bookmarkEnd w:id="3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10、磋商语言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11、磋商响应性文件的构成</w:t>
      </w:r>
    </w:p>
    <w:p>
      <w:pPr>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 供应商编写的磋商响应性文件应包括下列内容：</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1）磋商响应函</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2）法定代表人身份证明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3）法定代表人授权委托书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4）磋商报价表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5）商务偏离表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6）技术偏离表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7）公司业绩一览表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8）优惠条件承诺书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9）售后服务承诺</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10）无重大违法记录声明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11)供应商反商业贿赂承诺书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12）中小微企业证明文件等（如有）</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13）投标人认为有必要提交的其他相关证明材料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11.2供应商应将磋商响应性文件装订成册，并填写文件资</w:t>
      </w:r>
      <w:r>
        <w:rPr>
          <w:rFonts w:hint="eastAsia" w:asciiTheme="minorEastAsia" w:hAnsiTheme="minorEastAsia" w:eastAsiaTheme="minorEastAsia" w:cstheme="minorEastAsia"/>
          <w:sz w:val="21"/>
          <w:szCs w:val="21"/>
        </w:rPr>
        <w:t>料清单。</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12、磋商响应文件格式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 供应商应按磋商文件的范本格式中提供的文件格式填写。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13.2算术性修正。算术性修正是指对磋商响应文件的报价明细进行校核，并对其算术上和运算上的差错给予修正。修正的原则如下：</w:t>
      </w:r>
    </w:p>
    <w:p>
      <w:pPr>
        <w:spacing w:line="400" w:lineRule="exact"/>
        <w:ind w:left="24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13.2.1 当以数字表示的金额与文字表示的金额有差异时，以文字表示的金额为准；</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13.2.2 当单价与数量相乘不等于合价时，以单价计算为准。如果单价有明显的小数点位置差错，应以标出的合价为准，同时对单价予以修正；</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13.2.3 当各明细部分的价格累计不等于合价时，应以各明细的累计计数为准，修正合价。</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13.2.4 按以上原则对算术性差错修正，应取得供应商的同意，并确认修正后最终磋商报价。如果供应商拒绝确认，则其磋商响应文件将不予以评审并按废标处理，没收其投标担保。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14、投标货币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14.1人民币报价。</w:t>
      </w:r>
    </w:p>
    <w:p>
      <w:pPr>
        <w:pageBreakBefore w:val="0"/>
        <w:numPr>
          <w:ilvl w:val="0"/>
          <w:numId w:val="0"/>
        </w:numPr>
        <w:kinsoku/>
        <w:topLinePunct w:val="0"/>
        <w:bidi w:val="0"/>
        <w:spacing w:line="400" w:lineRule="exact"/>
        <w:jc w:val="both"/>
        <w:rPr>
          <w:rFonts w:hint="eastAsia" w:ascii="宋体" w:hAnsi="宋体" w:eastAsia="宋体" w:cs="宋体"/>
          <w:b w:val="0"/>
          <w:bCs/>
          <w:color w:val="auto"/>
          <w:kern w:val="0"/>
          <w:sz w:val="21"/>
          <w:szCs w:val="21"/>
          <w:highlight w:val="none"/>
        </w:rPr>
      </w:pPr>
      <w:r>
        <w:rPr>
          <w:rFonts w:hint="eastAsia" w:asciiTheme="minorEastAsia" w:hAnsiTheme="minorEastAsia" w:eastAsiaTheme="minorEastAsia" w:cstheme="minorEastAsia"/>
          <w:sz w:val="21"/>
          <w:szCs w:val="21"/>
        </w:rPr>
        <w:t>15、</w:t>
      </w:r>
      <w:r>
        <w:rPr>
          <w:rFonts w:hint="eastAsia" w:ascii="宋体" w:hAnsi="宋体" w:eastAsia="宋体" w:cs="宋体"/>
          <w:b w:val="0"/>
          <w:bCs/>
          <w:color w:val="auto"/>
          <w:kern w:val="0"/>
          <w:sz w:val="21"/>
          <w:szCs w:val="21"/>
          <w:highlight w:val="none"/>
        </w:rPr>
        <w:t>中小微型企业有关政策</w:t>
      </w:r>
    </w:p>
    <w:p>
      <w:pPr>
        <w:pageBreakBefore w:val="0"/>
        <w:numPr>
          <w:ilvl w:val="0"/>
          <w:numId w:val="0"/>
        </w:numPr>
        <w:kinsoku/>
        <w:topLinePunct w:val="0"/>
        <w:bidi w:val="0"/>
        <w:spacing w:line="400" w:lineRule="exact"/>
        <w:ind w:left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kinsoku/>
        <w:topLinePunct w:val="0"/>
        <w:bidi w:val="0"/>
        <w:spacing w:line="400" w:lineRule="exact"/>
        <w:ind w:left="0" w:leftChars="0"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价格扣除幅度：价格给予6 %的扣除</w:t>
      </w:r>
    </w:p>
    <w:p>
      <w:pPr>
        <w:pStyle w:val="33"/>
        <w:spacing w:before="0" w:beforeAutospacing="0" w:after="0" w:afterAutospacing="0"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15.6单位负责人为同一人或者存在直接控股、管理关系的不同投标人，不得同时参加本项目的竞争。 </w:t>
      </w:r>
    </w:p>
    <w:p>
      <w:pPr>
        <w:tabs>
          <w:tab w:val="left" w:pos="252"/>
          <w:tab w:val="left" w:pos="671"/>
        </w:tabs>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注：（1）磋商响应性文件中，所有供应商签字、法人代表签字、法人代表授权人签字和其它签字处必须签字有效；</w:t>
      </w:r>
    </w:p>
    <w:p>
      <w:pPr>
        <w:spacing w:line="400" w:lineRule="exact"/>
        <w:ind w:firstLine="735" w:firstLineChars="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（2）所有资格证明文件必须满足磋商文件要求，否则将导致废标。</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16、参数符合磋商文件规定的技术要求</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16.1供应商提交的成果资料符合磋商文件规定的要求，作为磋商响应文件的一部分。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17、磋商的有效期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磋商响应文件从磋商之日起，投标有效期为60天。（如不满足将导致废标）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 在特殊情况下，招标代理机构可与供应商商量延长磋商响应文件的有效期。</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18、磋商响应性文件的书写要求。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磋商响应性文件须打印。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 磋商响应性文件应清楚工整，修改处应由磋商供应商全权代表签章。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w:t>
      </w:r>
      <w:r>
        <w:rPr>
          <w:rFonts w:hint="eastAsia" w:asciiTheme="minorEastAsia" w:hAnsiTheme="minorEastAsia" w:eastAsiaTheme="minorEastAsia" w:cstheme="minorEastAsia"/>
          <w:b/>
          <w:sz w:val="21"/>
          <w:szCs w:val="21"/>
        </w:rPr>
        <w:t>磋商响应性文件中要求由投标人法定代表人或被授权人签字的内容必须签字、盖章的内容必须盖章，否则视为无效投标。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18.4电报、电话、传真形式的投标概不接受。</w:t>
      </w:r>
    </w:p>
    <w:p>
      <w:pPr>
        <w:spacing w:line="400" w:lineRule="exact"/>
        <w:ind w:firstLine="210" w:firstLineChars="1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sz w:val="21"/>
          <w:szCs w:val="21"/>
        </w:rPr>
        <w:t>18.5磋商响应文件的份数</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份。</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19、投标保证金</w:t>
      </w:r>
    </w:p>
    <w:p>
      <w:pPr>
        <w:spacing w:line="400" w:lineRule="exact"/>
        <w:ind w:left="36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19.1供应商按照供应商须知附表中要求缴纳磋商响应保证金。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19.2本次招标接受网银或电汇等非</w:t>
      </w:r>
      <w:r>
        <w:rPr>
          <w:rFonts w:hint="eastAsia" w:asciiTheme="minorEastAsia" w:hAnsiTheme="minorEastAsia" w:eastAsiaTheme="minorEastAsia" w:cstheme="minorEastAsia"/>
          <w:sz w:val="21"/>
          <w:szCs w:val="21"/>
        </w:rPr>
        <w:t>现金方式缴纳作为磋商保证金，磋商保证金有效期应当与磋商响应有效期一致。</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19.3磋商保证金的退还时间：</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19.3.1中标供应商的投标保证金，将在合同签订后的5个工作日内予以退还；未中标供应商的投标保证金在中标通知书发出后5个工作日内予以退还。</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19.4未按规定提交磋商保证金的投标，将被视为磋商无效。</w:t>
      </w:r>
    </w:p>
    <w:p>
      <w:pPr>
        <w:pStyle w:val="23"/>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19.5下列任何情况发生时，磋商保证金将被没收：</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19.5.1供应商在磋商文件规定的投标有效期内撤回其磋商；</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19.5.2成交方在规定期限内未能：</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19.5.2.1按本须知第31条规定签订合同；</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19.5.2.2按须知第32条向买方提交履约保证金；</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19.5.2.3按本须知第33条规定向招标代理机构交纳代理服务费。</w:t>
      </w:r>
    </w:p>
    <w:p>
      <w:pPr>
        <w:pStyle w:val="5"/>
        <w:spacing w:before="0" w:after="0" w:line="400" w:lineRule="exact"/>
        <w:jc w:val="center"/>
        <w:rPr>
          <w:rFonts w:hint="eastAsia" w:asciiTheme="minorEastAsia" w:hAnsiTheme="minorEastAsia" w:eastAsiaTheme="minorEastAsia" w:cstheme="minorEastAsia"/>
          <w:sz w:val="21"/>
          <w:szCs w:val="21"/>
        </w:rPr>
      </w:pPr>
      <w:bookmarkStart w:id="32" w:name="_Toc349637923"/>
      <w:bookmarkStart w:id="33" w:name="_Toc349573124"/>
      <w:bookmarkStart w:id="34" w:name="_Toc298240408"/>
      <w:bookmarkStart w:id="35" w:name="_Toc267301285"/>
      <w:bookmarkStart w:id="36" w:name="_Toc462223635"/>
      <w:r>
        <w:rPr>
          <w:rFonts w:hint="eastAsia" w:asciiTheme="minorEastAsia" w:hAnsiTheme="minorEastAsia" w:eastAsiaTheme="minorEastAsia" w:cstheme="minorEastAsia"/>
          <w:sz w:val="21"/>
          <w:szCs w:val="21"/>
        </w:rPr>
        <w:t>（四）磋商响应文件的递交</w:t>
      </w:r>
      <w:bookmarkEnd w:id="32"/>
      <w:bookmarkEnd w:id="33"/>
      <w:bookmarkEnd w:id="34"/>
      <w:bookmarkEnd w:id="35"/>
      <w:bookmarkEnd w:id="3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20、磋商响应性文件的密封与标记</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 供应商应将磋商响应性文件正本副本、开标一览表、电子版分别密封，在每个密封件的封面上标明：</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招标机构：</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项目名称：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项目编号：</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磋商单位名称：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磋商单位地址：</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联系人及联系方式</w:t>
      </w:r>
      <w:r>
        <w:rPr>
          <w:rFonts w:hint="eastAsia" w:asciiTheme="minorEastAsia" w:hAnsiTheme="minorEastAsia" w:eastAsiaTheme="minorEastAsia" w:cstheme="minorEastAsia"/>
          <w:sz w:val="21"/>
          <w:szCs w:val="21"/>
          <w:lang w:eastAsia="zh-CN"/>
        </w:rPr>
        <w:t>：</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注明“开标时才能启封”</w:t>
      </w:r>
    </w:p>
    <w:p>
      <w:pPr>
        <w:spacing w:line="400" w:lineRule="exact"/>
        <w:ind w:left="361" w:hanging="315" w:hanging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sz w:val="21"/>
          <w:szCs w:val="21"/>
        </w:rPr>
        <w:t>为方便磋商，磋商报价表单独密封，并在信封上标明“开标一览表”字样。</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20.3磋商响应文件装订要求：磋商响应文件要求不得活页装订</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21、磋商响应文件递交截止时间</w:t>
      </w:r>
    </w:p>
    <w:p>
      <w:pPr>
        <w:spacing w:line="400" w:lineRule="exact"/>
        <w:ind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21.1磋商响应文件的递交截止时间</w:t>
      </w:r>
      <w:r>
        <w:rPr>
          <w:rFonts w:hint="eastAsia" w:asciiTheme="minorEastAsia" w:hAnsiTheme="minorEastAsia" w:eastAsiaTheme="minorEastAsia" w:cstheme="minorEastAsia"/>
          <w:sz w:val="21"/>
          <w:szCs w:val="21"/>
          <w:lang w:eastAsia="zh-CN"/>
        </w:rPr>
        <w:t>通前附表。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磋商响应文件以密封形式递交至：开标现场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所有磋商响应文件都必须按招标代理机构在磋商邀请中规定的投标截止时间之前送到磋商文件规定的地点。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出现第8.2款因磋商文件的修改推迟投标截止时间时，则按招标代理机构修改通知规定的时间递交。</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22、磋商响应文件的修改和撤销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22.2供应商不得在磋商时间起至磋商有效期期满前撤销磋商响应文件。否则招标代理机构将没收其磋商保证金。</w:t>
      </w:r>
    </w:p>
    <w:p>
      <w:pPr>
        <w:pStyle w:val="5"/>
        <w:spacing w:before="0" w:after="0" w:line="400" w:lineRule="exact"/>
        <w:jc w:val="center"/>
        <w:rPr>
          <w:rFonts w:hint="eastAsia" w:asciiTheme="minorEastAsia" w:hAnsiTheme="minorEastAsia" w:eastAsiaTheme="minorEastAsia" w:cstheme="minorEastAsia"/>
          <w:sz w:val="21"/>
          <w:szCs w:val="21"/>
        </w:rPr>
      </w:pPr>
      <w:bookmarkStart w:id="37" w:name="_Toc462223636"/>
      <w:bookmarkStart w:id="38" w:name="_Toc267301286"/>
      <w:bookmarkStart w:id="39" w:name="_Toc298240409"/>
      <w:bookmarkStart w:id="40" w:name="_Toc349637924"/>
      <w:bookmarkStart w:id="41" w:name="_Toc349573125"/>
      <w:r>
        <w:rPr>
          <w:rFonts w:hint="eastAsia" w:asciiTheme="minorEastAsia" w:hAnsiTheme="minorEastAsia" w:eastAsiaTheme="minorEastAsia" w:cstheme="minorEastAsia"/>
          <w:sz w:val="21"/>
          <w:szCs w:val="21"/>
        </w:rPr>
        <w:t>（五）磋商程序</w:t>
      </w:r>
      <w:bookmarkEnd w:id="37"/>
      <w:bookmarkEnd w:id="38"/>
      <w:bookmarkEnd w:id="39"/>
      <w:bookmarkEnd w:id="40"/>
      <w:bookmarkEnd w:id="4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23、磋商</w:t>
      </w:r>
    </w:p>
    <w:p>
      <w:pPr>
        <w:spacing w:line="400" w:lineRule="exact"/>
        <w:ind w:left="360" w:hanging="315" w:hangingChars="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23.1磋商时，采购人将对供应商进行资格初审。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供应商应在密封的磋商响应文件之外随身携带：</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三证合一营业执照原件；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（2）供应商提供授权委托书原件及被授权人身份证原件（或者法定代表人身份证明书及法定代表人身份证）；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spacing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（4）投标保证金</w:t>
      </w:r>
      <w:r>
        <w:rPr>
          <w:rFonts w:hint="eastAsia" w:asciiTheme="minorEastAsia" w:hAnsiTheme="minorEastAsia" w:eastAsiaTheme="minorEastAsia" w:cstheme="minorEastAsia"/>
          <w:color w:val="000000"/>
          <w:sz w:val="21"/>
          <w:szCs w:val="21"/>
          <w:lang w:eastAsia="zh-CN"/>
        </w:rPr>
        <w:t>缴纳凭证加盖公章。</w:t>
      </w:r>
    </w:p>
    <w:p>
      <w:pPr>
        <w:spacing w:line="400" w:lineRule="exact"/>
        <w:ind w:firstLine="422"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注：</w:t>
      </w:r>
      <w:r>
        <w:rPr>
          <w:rFonts w:hint="eastAsia" w:asciiTheme="minorEastAsia" w:hAnsiTheme="minorEastAsia" w:eastAsiaTheme="minorEastAsia" w:cstheme="minorEastAsia"/>
          <w:b/>
          <w:sz w:val="21"/>
          <w:szCs w:val="21"/>
        </w:rPr>
        <w:t>营业执照、保证金</w:t>
      </w:r>
      <w:r>
        <w:rPr>
          <w:rFonts w:hint="eastAsia" w:asciiTheme="minorEastAsia" w:hAnsiTheme="minorEastAsia" w:eastAsiaTheme="minorEastAsia" w:cstheme="minorEastAsia"/>
          <w:b/>
          <w:sz w:val="21"/>
          <w:szCs w:val="21"/>
          <w:lang w:eastAsia="zh-CN"/>
        </w:rPr>
        <w:t>缴纳凭证</w:t>
      </w:r>
      <w:r>
        <w:rPr>
          <w:rFonts w:hint="eastAsia" w:asciiTheme="minorEastAsia" w:hAnsiTheme="minorEastAsia" w:eastAsiaTheme="minorEastAsia" w:cstheme="minorEastAsia"/>
          <w:b/>
          <w:sz w:val="21"/>
          <w:szCs w:val="21"/>
        </w:rPr>
        <w:t>、法人授权委托书及被授权人身份证（如为法人投标，提供法人身份证明和身份证）为原件单独提交审核；其他</w:t>
      </w:r>
      <w:r>
        <w:rPr>
          <w:rFonts w:hint="eastAsia" w:asciiTheme="minorEastAsia" w:hAnsiTheme="minorEastAsia" w:eastAsiaTheme="minorEastAsia" w:cstheme="minorEastAsia"/>
          <w:b/>
          <w:bCs/>
          <w:color w:val="000000"/>
          <w:sz w:val="21"/>
          <w:szCs w:val="21"/>
        </w:rPr>
        <w:t>资格审查</w:t>
      </w:r>
      <w:r>
        <w:rPr>
          <w:rFonts w:hint="eastAsia" w:asciiTheme="minorEastAsia" w:hAnsiTheme="minorEastAsia" w:eastAsiaTheme="minorEastAsia" w:cstheme="minorEastAsia"/>
          <w:b/>
          <w:sz w:val="21"/>
          <w:szCs w:val="21"/>
        </w:rPr>
        <w:t>为复印件加盖公章单独提交审核（资格审查文件开标会议现场提交供采购人检查），并将所有资格审查复印件胶装在投标文件中，不合格或缺少一项将被认为资格审查不合格，将取消其竞标资格。</w:t>
      </w:r>
    </w:p>
    <w:p>
      <w:pPr>
        <w:spacing w:line="400" w:lineRule="exact"/>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以备磋商前做初步的审查，确认其是否已具备提交磋商响应文件的资格。但该初步审查并不妨碍磋商小组对供应商进行的进一步资格详细审查。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23.2本次磋商按磋商文件中磋商邀请规定的时间地点进行磋商，</w:t>
      </w:r>
      <w:r>
        <w:rPr>
          <w:rFonts w:hint="eastAsia" w:asciiTheme="minorEastAsia" w:hAnsiTheme="minorEastAsia" w:eastAsiaTheme="minorEastAsia" w:cstheme="minorEastAsia"/>
          <w:sz w:val="21"/>
          <w:szCs w:val="21"/>
        </w:rPr>
        <w:t>将邀请供应商的法定代表人或其授权委托人准时参加磋商会。</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23.3宣布磋商响应文件开启顺序。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23.4磋商时检查磋商响应文件密封情况。</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23.5磋商原则在磋商会议上宣布。</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 对采购方的纪律要求</w:t>
      </w:r>
    </w:p>
    <w:p>
      <w:pPr>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采购方不得泄露磋商活动中应当保密的情况和资料，不得与供应商串通损害国家利益、社会公共利益或者他人合法权益。</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23.7对供应商的纪律要求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23.8 对与磋商活动有关的工作人员的纪律要求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23.9对磋商小组成员要求磋商纪律</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23.9.1磋商小组应当依照有关法律法规的规定，按照磋商文件确定的磋商标准和办法客观、公正的对磋商响应文件提出评审意见。磋商文件设有规定的磋商标准和方法不得作为磋商依据。</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23.9.2磋商小组成员不得私下接触供应商，不得收受供应商给予的财务或者其他好处，不得向采购方征询确定成交方意向。</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23.9.3不得接受任何单位或个人明示或暗示提出的倾向或排斥特定供应商的要求。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23.9.4不得有其他不客观，不公正履行职务的行为。</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24、磋商过程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24.1 磋商的依据为磋商文件和磋商响应文件。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24.2 磋商后磋商小组审查磋商响应文件是否完整，是否有计算错误，要求的保证金是否提供，文件是否恰当地签署。</w:t>
      </w:r>
    </w:p>
    <w:tbl>
      <w:tblPr>
        <w:tblStyle w:val="36"/>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w:t>
            </w:r>
            <w:r>
              <w:rPr>
                <w:rFonts w:hint="eastAsia" w:ascii="宋体" w:hAnsi="宋体" w:eastAsia="宋体" w:cs="宋体"/>
                <w:sz w:val="21"/>
                <w:szCs w:val="21"/>
                <w:lang w:eastAsia="zh-CN"/>
              </w:rPr>
              <w:t>（工期）</w:t>
            </w:r>
            <w:r>
              <w:rPr>
                <w:rFonts w:hint="eastAsia" w:ascii="宋体" w:hAnsi="宋体" w:eastAsia="宋体" w:cs="宋体"/>
                <w:sz w:val="21"/>
                <w:szCs w:val="21"/>
              </w:rPr>
              <w:t>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zh-CN"/>
              </w:rPr>
              <w:t>投标货物的应标参数</w:t>
            </w:r>
            <w:r>
              <w:rPr>
                <w:rFonts w:hint="eastAsia" w:ascii="宋体" w:hAnsi="宋体" w:eastAsia="宋体" w:cs="宋体"/>
                <w:sz w:val="21"/>
                <w:szCs w:val="21"/>
              </w:rPr>
              <w:t>是否满足采购文件技术要求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 在对磋商响应文件进行详细评估之前，磋商小组将依据供应商提供的资格证明文件审查供应商的财务、技术和生产能力。如果确定供应商无资格履行合同，其投标将被拒绝。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25、磋商响应文件的澄清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25.2 要澄清的答复应是书面的，但不得对磋商内容进行实质性修改。澄清文件须由供应商法人代表或法人授权代表签字和/或加盖公章并作为磋商响应文件的组成部分。</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25.3 磋商结束后，磋商小组要求所有参加磋商的供应商在规定的时间内进行最后报价。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26、确定成交供应商的办法</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26.1磋商小组按照磋商文件要求对磋商响应文件中的供应商资格、供应商资格证明文件、重要技术指标以及技术和商务上要求的其它重要内容进行审核。</w:t>
      </w:r>
    </w:p>
    <w:p>
      <w:pPr>
        <w:spacing w:line="400" w:lineRule="atLeas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26.2磋商小组和供应商磋商过程中作出的书面承诺是否符合磋商文件中对质量、技术和服务的要求。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26.3</w:t>
      </w:r>
      <w:r>
        <w:rPr>
          <w:rFonts w:hint="eastAsia" w:asciiTheme="minorEastAsia" w:hAnsiTheme="minorEastAsia" w:eastAsiaTheme="minorEastAsia" w:cstheme="minorEastAsia"/>
          <w:sz w:val="21"/>
          <w:szCs w:val="21"/>
          <w:shd w:val="clear" w:color="auto" w:fill="FFFFFF"/>
        </w:rPr>
        <w:t>经磋商确定最终采购需求和提交最后报价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的供应商后，由磋商小组采用综合评分法对提交最后报价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的供应商的响应文件和最后</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报价进行综合评分。</w:t>
      </w:r>
    </w:p>
    <w:p>
      <w:pPr>
        <w:tabs>
          <w:tab w:val="left" w:pos="-94"/>
          <w:tab w:val="left" w:pos="428"/>
        </w:tabs>
        <w:adjustRightInd w:val="0"/>
        <w:spacing w:line="400" w:lineRule="exact"/>
        <w:jc w:val="left"/>
        <w:textAlignment w:val="baseline"/>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0分，技术、商务、售后服务因素占</w:t>
      </w:r>
      <w:r>
        <w:rPr>
          <w:rFonts w:hint="eastAsia" w:asciiTheme="minorEastAsia" w:hAnsiTheme="minorEastAsia" w:eastAsiaTheme="minorEastAsia" w:cstheme="minorEastAsia"/>
          <w:bCs/>
          <w:sz w:val="21"/>
          <w:szCs w:val="21"/>
          <w:lang w:val="en-US" w:eastAsia="zh-CN"/>
        </w:rPr>
        <w:t>90</w:t>
      </w:r>
      <w:r>
        <w:rPr>
          <w:rFonts w:hint="eastAsia" w:asciiTheme="minorEastAsia" w:hAnsiTheme="minorEastAsia" w:eastAsiaTheme="minorEastAsia" w:cstheme="minorEastAsia"/>
          <w:bCs/>
          <w:sz w:val="21"/>
          <w:szCs w:val="21"/>
        </w:rPr>
        <w:t>分。将每位投标商的价格得分、技术得分、商务得分</w:t>
      </w:r>
      <w:r>
        <w:rPr>
          <w:rFonts w:hint="eastAsia" w:asciiTheme="minorEastAsia" w:hAnsiTheme="minorEastAsia" w:eastAsiaTheme="minorEastAsia" w:cstheme="minorEastAsia"/>
          <w:bCs/>
          <w:color w:val="000000"/>
          <w:sz w:val="21"/>
          <w:szCs w:val="21"/>
        </w:rPr>
        <w:t>相加即为该投标商的总得分。详细评分标准如下：</w:t>
      </w:r>
    </w:p>
    <w:p>
      <w:pPr>
        <w:pStyle w:val="5"/>
        <w:numPr>
          <w:ilvl w:val="0"/>
          <w:numId w:val="0"/>
        </w:numPr>
        <w:tabs>
          <w:tab w:val="left" w:pos="576"/>
        </w:tabs>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报价部分  </w:t>
      </w:r>
    </w:p>
    <w:tbl>
      <w:tblPr>
        <w:tblStyle w:val="36"/>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658"/>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188"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评审项目</w:t>
            </w:r>
          </w:p>
        </w:tc>
        <w:tc>
          <w:tcPr>
            <w:tcW w:w="7658"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评分标准</w:t>
            </w:r>
          </w:p>
        </w:tc>
        <w:tc>
          <w:tcPr>
            <w:tcW w:w="1074"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1188" w:type="dxa"/>
            <w:vAlign w:val="center"/>
          </w:tcPr>
          <w:p>
            <w:pPr>
              <w:snapToGrid w:val="0"/>
              <w:spacing w:line="360" w:lineRule="exact"/>
              <w:jc w:val="center"/>
              <w:rPr>
                <w:rFonts w:ascii="宋体" w:hAnsi="宋体" w:eastAsia="宋体" w:cs="宋体"/>
                <w:b/>
                <w:bCs/>
                <w:kern w:val="0"/>
                <w:szCs w:val="21"/>
              </w:rPr>
            </w:pPr>
            <w:r>
              <w:rPr>
                <w:rFonts w:hint="eastAsia" w:ascii="宋体" w:hAnsi="宋体" w:eastAsia="宋体" w:cs="宋体"/>
                <w:b/>
                <w:bCs/>
                <w:kern w:val="0"/>
                <w:szCs w:val="21"/>
              </w:rPr>
              <w:t>价格部分</w:t>
            </w:r>
          </w:p>
          <w:p>
            <w:pPr>
              <w:snapToGrid w:val="0"/>
              <w:spacing w:line="360" w:lineRule="exact"/>
              <w:jc w:val="center"/>
              <w:rPr>
                <w:rFonts w:ascii="宋体" w:hAnsi="宋体" w:eastAsia="宋体" w:cs="宋体"/>
                <w:sz w:val="24"/>
              </w:rPr>
            </w:pPr>
            <w:r>
              <w:rPr>
                <w:rFonts w:hint="eastAsia" w:ascii="宋体" w:hAnsi="宋体" w:eastAsia="宋体" w:cs="宋体"/>
                <w:b/>
                <w:bCs/>
                <w:kern w:val="0"/>
                <w:szCs w:val="21"/>
              </w:rPr>
              <w:t>（</w:t>
            </w:r>
            <w:r>
              <w:rPr>
                <w:rFonts w:ascii="宋体" w:hAnsi="宋体" w:eastAsia="宋体" w:cs="宋体"/>
                <w:b/>
                <w:bCs/>
                <w:kern w:val="0"/>
                <w:szCs w:val="21"/>
              </w:rPr>
              <w:t>10%）</w:t>
            </w:r>
          </w:p>
        </w:tc>
        <w:tc>
          <w:tcPr>
            <w:tcW w:w="7658" w:type="dxa"/>
            <w:vAlign w:val="center"/>
          </w:tcPr>
          <w:p>
            <w:pPr>
              <w:rPr>
                <w:rFonts w:ascii="宋体" w:hAnsi="宋体" w:eastAsia="宋体" w:cs="宋体"/>
              </w:rPr>
            </w:pPr>
            <w:r>
              <w:rPr>
                <w:rFonts w:hint="eastAsia" w:ascii="宋体" w:hAnsi="宋体" w:eastAsia="宋体" w:cs="宋体"/>
              </w:rPr>
              <w:t>一、价格分（权值</w:t>
            </w:r>
            <w:r>
              <w:rPr>
                <w:rFonts w:ascii="宋体" w:hAnsi="宋体" w:eastAsia="宋体" w:cs="宋体"/>
              </w:rPr>
              <w:t>10%）</w:t>
            </w:r>
          </w:p>
          <w:p>
            <w:pPr>
              <w:widowControl/>
              <w:jc w:val="left"/>
              <w:rPr>
                <w:rFonts w:ascii="宋体" w:hAnsi="宋体" w:eastAsia="宋体" w:cs="宋体"/>
              </w:rPr>
            </w:pPr>
            <w:r>
              <w:rPr>
                <w:rFonts w:hint="eastAsia" w:ascii="宋体" w:hAnsi="宋体" w:eastAsia="宋体" w:cs="宋体"/>
              </w:rPr>
              <w:t>满足磋商文件要求且评审价格最低的评审价格为评审基准价</w:t>
            </w:r>
            <w:r>
              <w:rPr>
                <w:rFonts w:ascii="宋体" w:hAnsi="宋体" w:eastAsia="宋体" w:cs="宋体"/>
              </w:rPr>
              <w:t>,其价格分为满分。其他投标人的价格分统一按照下列公式计算：报价得分=（评审基准价/投标报价）×价格权值×100。</w:t>
            </w:r>
          </w:p>
          <w:p>
            <w:pPr>
              <w:widowControl/>
              <w:snapToGrid w:val="0"/>
              <w:spacing w:line="360" w:lineRule="exact"/>
              <w:jc w:val="left"/>
              <w:rPr>
                <w:rFonts w:ascii="宋体" w:hAnsi="宋体" w:eastAsia="宋体" w:cs="宋体"/>
                <w:sz w:val="24"/>
              </w:rPr>
            </w:pPr>
            <w:r>
              <w:rPr>
                <w:rFonts w:hint="eastAsia" w:ascii="宋体" w:hAnsi="宋体" w:eastAsia="宋体" w:cs="宋体"/>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其投标将被作为无效投标被拒绝。</w:t>
            </w:r>
          </w:p>
        </w:tc>
        <w:tc>
          <w:tcPr>
            <w:tcW w:w="1074" w:type="dxa"/>
            <w:vAlign w:val="center"/>
          </w:tcPr>
          <w:p>
            <w:pPr>
              <w:widowControl/>
              <w:jc w:val="center"/>
              <w:rPr>
                <w:rFonts w:ascii="宋体" w:hAnsi="宋体" w:eastAsia="宋体" w:cs="宋体"/>
                <w:sz w:val="24"/>
              </w:rPr>
            </w:pPr>
            <w:r>
              <w:rPr>
                <w:rFonts w:ascii="宋体" w:hAnsi="宋体" w:eastAsia="宋体" w:cs="宋体"/>
              </w:rPr>
              <w:t>0-10分</w:t>
            </w:r>
          </w:p>
        </w:tc>
      </w:tr>
    </w:tbl>
    <w:p>
      <w:pPr>
        <w:rPr>
          <w:rFonts w:hint="eastAsia" w:ascii="Times New Roman" w:hAnsi="Times New Roman" w:eastAsia="宋体" w:cs="Times New Roman"/>
          <w:kern w:val="2"/>
          <w:sz w:val="21"/>
          <w:lang w:val="en-US" w:eastAsia="zh-CN" w:bidi="ar-SA"/>
        </w:rPr>
      </w:pPr>
      <w:r>
        <w:rPr>
          <w:rFonts w:hint="eastAsia" w:ascii="宋体" w:hAnsi="宋体" w:eastAsia="宋体" w:cs="宋体"/>
          <w:color w:val="auto"/>
          <w:sz w:val="21"/>
          <w:szCs w:val="21"/>
          <w:highlight w:val="none"/>
        </w:rPr>
        <w:br w:type="page"/>
      </w:r>
    </w:p>
    <w:p>
      <w:pPr>
        <w:pStyle w:val="5"/>
        <w:numPr>
          <w:ilvl w:val="0"/>
          <w:numId w:val="0"/>
        </w:numPr>
        <w:tabs>
          <w:tab w:val="left" w:pos="576"/>
        </w:tabs>
        <w:spacing w:line="5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40分</w:t>
      </w:r>
      <w:r>
        <w:rPr>
          <w:rFonts w:hint="eastAsia" w:ascii="宋体" w:hAnsi="宋体" w:eastAsia="宋体" w:cs="宋体"/>
          <w:color w:val="auto"/>
          <w:sz w:val="21"/>
          <w:szCs w:val="21"/>
          <w:highlight w:val="none"/>
          <w:lang w:eastAsia="zh-CN"/>
        </w:rPr>
        <w:t>）</w:t>
      </w:r>
    </w:p>
    <w:tbl>
      <w:tblPr>
        <w:tblStyle w:val="36"/>
        <w:tblW w:w="10114"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7779"/>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356"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评审项目</w:t>
            </w:r>
          </w:p>
        </w:tc>
        <w:tc>
          <w:tcPr>
            <w:tcW w:w="7779"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评分标准</w:t>
            </w:r>
          </w:p>
        </w:tc>
        <w:tc>
          <w:tcPr>
            <w:tcW w:w="979"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56"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项目业绩</w:t>
            </w:r>
          </w:p>
          <w:p>
            <w:pPr>
              <w:widowControl/>
              <w:rPr>
                <w:rFonts w:ascii="宋体" w:hAnsi="宋体" w:eastAsia="宋体" w:cs="宋体"/>
                <w:b/>
                <w:bCs/>
                <w:kern w:val="0"/>
                <w:szCs w:val="21"/>
              </w:rPr>
            </w:pPr>
            <w:r>
              <w:rPr>
                <w:rFonts w:hint="eastAsia" w:ascii="宋体" w:hAnsi="宋体" w:eastAsia="宋体" w:cs="宋体"/>
                <w:b/>
                <w:bCs/>
                <w:kern w:val="0"/>
                <w:szCs w:val="21"/>
              </w:rPr>
              <w:t>（</w:t>
            </w:r>
            <w:r>
              <w:rPr>
                <w:rFonts w:ascii="宋体" w:hAnsi="宋体" w:eastAsia="宋体" w:cs="宋体"/>
                <w:b/>
                <w:bCs/>
                <w:kern w:val="0"/>
                <w:szCs w:val="21"/>
              </w:rPr>
              <w:t>14</w:t>
            </w:r>
            <w:r>
              <w:rPr>
                <w:rFonts w:hint="eastAsia" w:ascii="宋体" w:hAnsi="宋体" w:eastAsia="宋体" w:cs="宋体"/>
                <w:b/>
                <w:bCs/>
                <w:kern w:val="0"/>
                <w:szCs w:val="21"/>
              </w:rPr>
              <w:t>分）</w:t>
            </w:r>
          </w:p>
        </w:tc>
        <w:tc>
          <w:tcPr>
            <w:tcW w:w="7779" w:type="dxa"/>
            <w:vAlign w:val="bottom"/>
          </w:tcPr>
          <w:p>
            <w:pPr>
              <w:widowControl/>
              <w:jc w:val="left"/>
              <w:rPr>
                <w:rFonts w:ascii="宋体" w:hAnsi="宋体" w:eastAsia="宋体" w:cs="宋体"/>
                <w:kern w:val="0"/>
              </w:rPr>
            </w:pPr>
            <w:r>
              <w:rPr>
                <w:rFonts w:hint="eastAsia" w:ascii="宋体" w:hAnsi="宋体" w:eastAsia="宋体" w:cs="宋体"/>
                <w:kern w:val="0"/>
              </w:rPr>
              <w:t>投标方综合研究实力强，具备林业调查规划设计资质乙级及以上资质，</w:t>
            </w:r>
            <w:r>
              <w:rPr>
                <w:rFonts w:ascii="宋体" w:hAnsi="宋体" w:eastAsia="宋体" w:cs="宋体"/>
                <w:kern w:val="0"/>
              </w:rPr>
              <w:t>2019</w:t>
            </w:r>
            <w:r>
              <w:rPr>
                <w:rFonts w:hint="eastAsia" w:ascii="宋体" w:hAnsi="宋体" w:eastAsia="宋体" w:cs="宋体"/>
                <w:kern w:val="0"/>
              </w:rPr>
              <w:t>年以来项目组成员主持过国家级、</w:t>
            </w:r>
            <w:r>
              <w:rPr>
                <w:rFonts w:ascii="宋体" w:hAnsi="宋体" w:eastAsia="宋体" w:cs="宋体"/>
                <w:kern w:val="0"/>
              </w:rPr>
              <w:t>省部级</w:t>
            </w:r>
            <w:r>
              <w:rPr>
                <w:rFonts w:hint="eastAsia" w:ascii="宋体" w:hAnsi="宋体" w:eastAsia="宋体" w:cs="宋体"/>
                <w:kern w:val="0"/>
              </w:rPr>
              <w:t>林业和草原类调查规划设计类项目，</w:t>
            </w:r>
            <w:r>
              <w:rPr>
                <w:rFonts w:ascii="宋体" w:hAnsi="宋体" w:eastAsia="宋体" w:cs="宋体"/>
                <w:kern w:val="0"/>
              </w:rPr>
              <w:t>每一项4</w:t>
            </w:r>
            <w:r>
              <w:rPr>
                <w:rFonts w:hint="eastAsia" w:ascii="宋体" w:hAnsi="宋体" w:eastAsia="宋体" w:cs="宋体"/>
                <w:kern w:val="0"/>
              </w:rPr>
              <w:t>分（最高得</w:t>
            </w:r>
            <w:r>
              <w:rPr>
                <w:rFonts w:ascii="宋体" w:hAnsi="宋体" w:eastAsia="宋体" w:cs="宋体"/>
                <w:kern w:val="0"/>
              </w:rPr>
              <w:t>8</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；省级、县市级</w:t>
            </w:r>
            <w:r>
              <w:rPr>
                <w:rFonts w:ascii="宋体" w:hAnsi="宋体" w:eastAsia="宋体" w:cs="宋体"/>
                <w:kern w:val="0"/>
              </w:rPr>
              <w:t>地方</w:t>
            </w:r>
            <w:r>
              <w:rPr>
                <w:rFonts w:hint="eastAsia" w:ascii="宋体" w:hAnsi="宋体" w:eastAsia="宋体" w:cs="宋体"/>
                <w:kern w:val="0"/>
              </w:rPr>
              <w:t>或部门委托的林业和草原其他相关项目，</w:t>
            </w:r>
            <w:r>
              <w:rPr>
                <w:rFonts w:ascii="宋体" w:hAnsi="宋体" w:eastAsia="宋体" w:cs="宋体"/>
                <w:kern w:val="0"/>
              </w:rPr>
              <w:t>每</w:t>
            </w:r>
            <w:r>
              <w:rPr>
                <w:rFonts w:hint="eastAsia" w:ascii="宋体" w:hAnsi="宋体" w:eastAsia="宋体" w:cs="宋体"/>
                <w:kern w:val="0"/>
              </w:rPr>
              <w:t>一</w:t>
            </w:r>
            <w:r>
              <w:rPr>
                <w:rFonts w:ascii="宋体" w:hAnsi="宋体" w:eastAsia="宋体" w:cs="宋体"/>
                <w:kern w:val="0"/>
              </w:rPr>
              <w:t>项</w:t>
            </w:r>
            <w:r>
              <w:rPr>
                <w:rFonts w:hint="eastAsia" w:ascii="宋体" w:hAnsi="宋体" w:eastAsia="宋体" w:cs="宋体"/>
                <w:kern w:val="0"/>
              </w:rPr>
              <w:t>得</w:t>
            </w:r>
            <w:r>
              <w:rPr>
                <w:rFonts w:ascii="宋体" w:hAnsi="宋体" w:eastAsia="宋体" w:cs="宋体"/>
                <w:kern w:val="0"/>
              </w:rPr>
              <w:t>2分（最高得6</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；附相关项目合同证明材料并加盖公章。</w:t>
            </w:r>
          </w:p>
          <w:p>
            <w:pPr>
              <w:widowControl/>
              <w:jc w:val="left"/>
              <w:rPr>
                <w:rFonts w:ascii="宋体" w:hAnsi="宋体" w:eastAsia="宋体" w:cs="宋体"/>
                <w:kern w:val="0"/>
              </w:rPr>
            </w:pPr>
            <w:r>
              <w:rPr>
                <w:rFonts w:hint="eastAsia" w:ascii="宋体" w:hAnsi="宋体" w:eastAsia="宋体" w:cs="宋体"/>
                <w:kern w:val="0"/>
              </w:rPr>
              <w:t>满分</w:t>
            </w:r>
            <w:r>
              <w:rPr>
                <w:rFonts w:ascii="宋体" w:hAnsi="宋体" w:eastAsia="宋体" w:cs="宋体"/>
                <w:kern w:val="0"/>
              </w:rPr>
              <w:t>14</w:t>
            </w:r>
            <w:r>
              <w:rPr>
                <w:rFonts w:hint="eastAsia" w:ascii="宋体" w:hAnsi="宋体" w:eastAsia="宋体" w:cs="宋体"/>
                <w:kern w:val="0"/>
              </w:rPr>
              <w:t>分，按项目数量计算。</w:t>
            </w:r>
          </w:p>
        </w:tc>
        <w:tc>
          <w:tcPr>
            <w:tcW w:w="979" w:type="dxa"/>
            <w:vAlign w:val="center"/>
          </w:tcPr>
          <w:p>
            <w:pPr>
              <w:widowControl/>
              <w:jc w:val="center"/>
              <w:rPr>
                <w:rFonts w:ascii="宋体" w:hAnsi="宋体" w:eastAsia="宋体" w:cs="宋体"/>
                <w:kern w:val="0"/>
                <w:szCs w:val="21"/>
              </w:rPr>
            </w:pPr>
            <w:r>
              <w:rPr>
                <w:rFonts w:ascii="宋体" w:hAnsi="宋体" w:eastAsia="宋体" w:cs="宋体"/>
                <w:kern w:val="0"/>
                <w:szCs w:val="21"/>
              </w:rPr>
              <w:t>0-14</w:t>
            </w:r>
            <w:r>
              <w:rPr>
                <w:rFonts w:hint="eastAsia" w:ascii="宋体" w:hAnsi="宋体" w:eastAsia="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56" w:type="dxa"/>
            <w:vMerge w:val="restart"/>
            <w:vAlign w:val="center"/>
          </w:tcPr>
          <w:p>
            <w:pPr>
              <w:jc w:val="left"/>
              <w:rPr>
                <w:rFonts w:ascii="宋体" w:hAnsi="宋体" w:eastAsia="宋体" w:cs="宋体"/>
                <w:b/>
                <w:bCs/>
                <w:kern w:val="0"/>
                <w:szCs w:val="21"/>
              </w:rPr>
            </w:pPr>
            <w:r>
              <w:rPr>
                <w:rFonts w:hint="eastAsia" w:ascii="宋体" w:hAnsi="宋体" w:eastAsia="宋体" w:cs="宋体"/>
                <w:b/>
                <w:bCs/>
                <w:kern w:val="0"/>
                <w:szCs w:val="21"/>
              </w:rPr>
              <w:t>项目人员投入（</w:t>
            </w:r>
            <w:r>
              <w:rPr>
                <w:rFonts w:hint="eastAsia" w:ascii="宋体" w:hAnsi="宋体" w:cs="宋体"/>
                <w:b/>
                <w:bCs/>
                <w:kern w:val="0"/>
                <w:szCs w:val="21"/>
                <w:lang w:val="en-US" w:eastAsia="zh-CN"/>
              </w:rPr>
              <w:t>14</w:t>
            </w:r>
            <w:r>
              <w:rPr>
                <w:rFonts w:hint="eastAsia" w:ascii="宋体" w:hAnsi="宋体" w:eastAsia="宋体" w:cs="宋体"/>
                <w:b/>
                <w:bCs/>
                <w:kern w:val="0"/>
                <w:szCs w:val="21"/>
              </w:rPr>
              <w:t>分</w:t>
            </w:r>
            <w:r>
              <w:rPr>
                <w:rFonts w:ascii="宋体" w:hAnsi="宋体" w:eastAsia="宋体" w:cs="宋体"/>
                <w:b/>
                <w:bCs/>
                <w:kern w:val="0"/>
                <w:szCs w:val="21"/>
              </w:rPr>
              <w:t>）</w:t>
            </w:r>
          </w:p>
        </w:tc>
        <w:tc>
          <w:tcPr>
            <w:tcW w:w="7779" w:type="dxa"/>
            <w:vAlign w:val="center"/>
          </w:tcPr>
          <w:p>
            <w:pPr>
              <w:jc w:val="left"/>
              <w:rPr>
                <w:rFonts w:ascii="宋体" w:hAnsi="宋体" w:eastAsia="宋体" w:cs="宋体"/>
                <w:kern w:val="0"/>
              </w:rPr>
            </w:pPr>
            <w:r>
              <w:rPr>
                <w:rFonts w:hint="eastAsia" w:ascii="宋体" w:hAnsi="宋体" w:eastAsia="宋体" w:cs="宋体"/>
                <w:kern w:val="0"/>
              </w:rPr>
              <w:t>拟投入的项目负责人：</w:t>
            </w:r>
          </w:p>
          <w:p>
            <w:pPr>
              <w:pStyle w:val="112"/>
              <w:numPr>
                <w:ilvl w:val="0"/>
                <w:numId w:val="3"/>
              </w:numPr>
              <w:ind w:firstLineChars="0"/>
              <w:rPr>
                <w:rFonts w:ascii="宋体" w:hAnsi="宋体" w:eastAsia="宋体" w:cs="宋体"/>
                <w:kern w:val="0"/>
              </w:rPr>
            </w:pPr>
            <w:r>
              <w:rPr>
                <w:rFonts w:hint="eastAsia" w:ascii="宋体" w:hAnsi="宋体" w:eastAsia="宋体" w:cs="宋体"/>
                <w:kern w:val="0"/>
              </w:rPr>
              <w:t>具有主持或承担自治区级林业和草原相关调查、规划评价项目的经验，</w:t>
            </w:r>
            <w:r>
              <w:rPr>
                <w:rFonts w:ascii="宋体" w:hAnsi="宋体" w:eastAsia="宋体" w:cs="宋体"/>
                <w:kern w:val="0"/>
              </w:rPr>
              <w:t>提供</w:t>
            </w:r>
            <w:r>
              <w:rPr>
                <w:rFonts w:hint="eastAsia" w:ascii="宋体" w:hAnsi="宋体" w:eastAsia="宋体" w:cs="宋体"/>
                <w:kern w:val="0"/>
              </w:rPr>
              <w:t>相关业绩证明材料，获</w:t>
            </w:r>
            <w:r>
              <w:rPr>
                <w:rFonts w:hint="eastAsia" w:ascii="宋体" w:hAnsi="宋体" w:eastAsia="宋体" w:cs="宋体"/>
                <w:kern w:val="0"/>
                <w:lang w:val="en-US" w:eastAsia="zh-CN"/>
              </w:rPr>
              <w:t>4</w:t>
            </w:r>
            <w:r>
              <w:rPr>
                <w:rFonts w:hint="eastAsia" w:ascii="宋体" w:hAnsi="宋体" w:eastAsia="宋体" w:cs="宋体"/>
                <w:kern w:val="0"/>
              </w:rPr>
              <w:t>分；</w:t>
            </w:r>
          </w:p>
          <w:p>
            <w:pPr>
              <w:pStyle w:val="112"/>
              <w:numPr>
                <w:ilvl w:val="0"/>
                <w:numId w:val="3"/>
              </w:numPr>
              <w:ind w:firstLineChars="0"/>
              <w:jc w:val="left"/>
              <w:rPr>
                <w:rFonts w:ascii="宋体" w:hAnsi="宋体" w:eastAsia="宋体" w:cs="宋体"/>
                <w:kern w:val="0"/>
              </w:rPr>
            </w:pPr>
            <w:r>
              <w:rPr>
                <w:rFonts w:hint="eastAsia" w:ascii="宋体" w:hAnsi="宋体" w:eastAsia="宋体" w:cs="宋体"/>
                <w:kern w:val="0"/>
              </w:rPr>
              <w:t>具有林业、草业相关高级工程师职称，</w:t>
            </w:r>
            <w:r>
              <w:rPr>
                <w:rFonts w:ascii="宋体" w:hAnsi="宋体" w:eastAsia="宋体" w:cs="宋体"/>
                <w:kern w:val="0"/>
              </w:rPr>
              <w:t>并</w:t>
            </w:r>
            <w:r>
              <w:rPr>
                <w:rFonts w:hint="eastAsia" w:ascii="宋体" w:hAnsi="宋体" w:eastAsia="宋体" w:cs="宋体"/>
                <w:kern w:val="0"/>
              </w:rPr>
              <w:t>具有5年以上类似项目经验，</w:t>
            </w:r>
            <w:r>
              <w:rPr>
                <w:rFonts w:ascii="宋体" w:hAnsi="宋体" w:eastAsia="宋体" w:cs="宋体"/>
                <w:kern w:val="0"/>
              </w:rPr>
              <w:t>提供</w:t>
            </w:r>
            <w:r>
              <w:rPr>
                <w:rFonts w:hint="eastAsia" w:ascii="宋体" w:hAnsi="宋体" w:eastAsia="宋体" w:cs="宋体"/>
                <w:kern w:val="0"/>
              </w:rPr>
              <w:t>单位专业技术证明材料，</w:t>
            </w:r>
            <w:r>
              <w:rPr>
                <w:rFonts w:ascii="宋体" w:hAnsi="宋体" w:eastAsia="宋体" w:cs="宋体"/>
                <w:kern w:val="0"/>
              </w:rPr>
              <w:t>获</w:t>
            </w:r>
            <w:r>
              <w:rPr>
                <w:rFonts w:hint="eastAsia" w:ascii="宋体" w:hAnsi="宋体" w:eastAsia="宋体" w:cs="宋体"/>
                <w:kern w:val="0"/>
                <w:lang w:val="en-US" w:eastAsia="zh-CN"/>
              </w:rPr>
              <w:t>4</w:t>
            </w:r>
            <w:r>
              <w:rPr>
                <w:rFonts w:hint="eastAsia" w:ascii="宋体" w:hAnsi="宋体" w:eastAsia="宋体" w:cs="宋体"/>
                <w:kern w:val="0"/>
              </w:rPr>
              <w:t>分；</w:t>
            </w:r>
          </w:p>
          <w:p>
            <w:pPr>
              <w:jc w:val="left"/>
              <w:rPr>
                <w:rFonts w:ascii="宋体" w:hAnsi="宋体" w:eastAsia="宋体" w:cs="宋体"/>
                <w:kern w:val="0"/>
              </w:rPr>
            </w:pPr>
            <w:r>
              <w:rPr>
                <w:rFonts w:hint="eastAsia" w:ascii="宋体" w:hAnsi="宋体" w:eastAsia="宋体" w:cs="宋体"/>
                <w:kern w:val="0"/>
              </w:rPr>
              <w:t>满分</w:t>
            </w:r>
            <w:r>
              <w:rPr>
                <w:rFonts w:hint="eastAsia" w:ascii="宋体" w:hAnsi="宋体" w:cs="宋体"/>
                <w:kern w:val="0"/>
                <w:lang w:val="en-US" w:eastAsia="zh-CN"/>
              </w:rPr>
              <w:t>8</w:t>
            </w:r>
            <w:r>
              <w:rPr>
                <w:rFonts w:hint="eastAsia" w:ascii="宋体" w:hAnsi="宋体" w:eastAsia="宋体" w:cs="宋体"/>
                <w:kern w:val="0"/>
              </w:rPr>
              <w:t>分。</w:t>
            </w:r>
          </w:p>
        </w:tc>
        <w:tc>
          <w:tcPr>
            <w:tcW w:w="979" w:type="dxa"/>
            <w:vAlign w:val="center"/>
          </w:tcPr>
          <w:p>
            <w:pPr>
              <w:widowControl/>
              <w:jc w:val="center"/>
              <w:rPr>
                <w:rFonts w:ascii="宋体" w:hAnsi="宋体" w:eastAsia="宋体" w:cs="宋体"/>
                <w:kern w:val="0"/>
                <w:szCs w:val="21"/>
              </w:rPr>
            </w:pPr>
            <w:r>
              <w:rPr>
                <w:rFonts w:ascii="宋体" w:hAnsi="宋体" w:eastAsia="宋体" w:cs="宋体"/>
                <w:kern w:val="0"/>
                <w:szCs w:val="21"/>
              </w:rPr>
              <w:t>0-</w:t>
            </w:r>
            <w:r>
              <w:rPr>
                <w:rFonts w:hint="eastAsia" w:ascii="宋体" w:hAnsi="宋体" w:cs="宋体"/>
                <w:kern w:val="0"/>
                <w:szCs w:val="21"/>
                <w:lang w:val="en-US" w:eastAsia="zh-CN"/>
              </w:rPr>
              <w:t>8</w:t>
            </w:r>
            <w:r>
              <w:rPr>
                <w:rFonts w:hint="eastAsia" w:ascii="宋体" w:hAnsi="宋体" w:eastAsia="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6" w:type="dxa"/>
            <w:vMerge w:val="continue"/>
            <w:vAlign w:val="center"/>
          </w:tcPr>
          <w:p>
            <w:pPr>
              <w:widowControl/>
              <w:jc w:val="left"/>
              <w:rPr>
                <w:rFonts w:ascii="宋体" w:hAnsi="宋体" w:eastAsia="宋体" w:cs="宋体"/>
                <w:b/>
                <w:bCs/>
                <w:kern w:val="0"/>
                <w:szCs w:val="21"/>
              </w:rPr>
            </w:pPr>
          </w:p>
        </w:tc>
        <w:tc>
          <w:tcPr>
            <w:tcW w:w="7779" w:type="dxa"/>
            <w:vAlign w:val="bottom"/>
          </w:tcPr>
          <w:p>
            <w:pPr>
              <w:jc w:val="left"/>
              <w:rPr>
                <w:rFonts w:ascii="宋体" w:hAnsi="宋体" w:eastAsia="宋体" w:cs="宋体"/>
                <w:kern w:val="0"/>
              </w:rPr>
            </w:pPr>
            <w:r>
              <w:rPr>
                <w:rFonts w:hint="eastAsia" w:ascii="宋体" w:hAnsi="宋体" w:eastAsia="宋体" w:cs="宋体"/>
                <w:kern w:val="0"/>
              </w:rPr>
              <w:t>拟投入的项目组专业技术人员：</w:t>
            </w:r>
          </w:p>
          <w:p>
            <w:pPr>
              <w:widowControl/>
              <w:jc w:val="left"/>
              <w:rPr>
                <w:rFonts w:ascii="宋体" w:hAnsi="宋体" w:eastAsia="宋体" w:cs="宋体"/>
                <w:kern w:val="0"/>
              </w:rPr>
            </w:pPr>
            <w:r>
              <w:rPr>
                <w:rFonts w:ascii="宋体" w:hAnsi="宋体" w:eastAsia="宋体" w:cs="宋体"/>
                <w:kern w:val="0"/>
              </w:rPr>
              <w:t>具有</w:t>
            </w:r>
            <w:r>
              <w:rPr>
                <w:rFonts w:hint="eastAsia" w:ascii="宋体" w:hAnsi="宋体" w:eastAsia="宋体" w:cs="宋体"/>
                <w:kern w:val="0"/>
              </w:rPr>
              <w:t>副高级职称及以上职称人员每1人得2分；</w:t>
            </w:r>
            <w:r>
              <w:rPr>
                <w:rFonts w:ascii="宋体" w:hAnsi="宋体" w:eastAsia="宋体" w:cs="宋体"/>
                <w:kern w:val="0"/>
              </w:rPr>
              <w:t>满分</w:t>
            </w:r>
            <w:r>
              <w:rPr>
                <w:rFonts w:hint="eastAsia" w:ascii="宋体" w:hAnsi="宋体" w:eastAsia="宋体" w:cs="宋体"/>
                <w:kern w:val="0"/>
              </w:rPr>
              <w:t>6分。</w:t>
            </w:r>
          </w:p>
        </w:tc>
        <w:tc>
          <w:tcPr>
            <w:tcW w:w="979" w:type="dxa"/>
            <w:vAlign w:val="center"/>
          </w:tcPr>
          <w:p>
            <w:pPr>
              <w:jc w:val="center"/>
              <w:rPr>
                <w:rFonts w:ascii="宋体" w:hAnsi="宋体" w:eastAsia="宋体" w:cs="宋体"/>
                <w:kern w:val="0"/>
                <w:szCs w:val="21"/>
              </w:rPr>
            </w:pPr>
            <w:r>
              <w:rPr>
                <w:rFonts w:ascii="宋体" w:hAnsi="宋体" w:eastAsia="宋体" w:cs="宋体"/>
                <w:kern w:val="0"/>
                <w:szCs w:val="21"/>
              </w:rPr>
              <w:t>0-6</w:t>
            </w:r>
            <w:r>
              <w:rPr>
                <w:rFonts w:hint="eastAsia" w:ascii="宋体" w:hAnsi="宋体" w:eastAsia="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56" w:type="dxa"/>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获奖情况（</w:t>
            </w:r>
            <w:r>
              <w:rPr>
                <w:rFonts w:hint="eastAsia" w:ascii="宋体" w:hAnsi="宋体" w:cs="宋体"/>
                <w:b/>
                <w:bCs/>
                <w:kern w:val="0"/>
                <w:szCs w:val="21"/>
                <w:lang w:val="en-US" w:eastAsia="zh-CN"/>
              </w:rPr>
              <w:t>4</w:t>
            </w:r>
            <w:r>
              <w:rPr>
                <w:rFonts w:hint="eastAsia" w:ascii="宋体" w:hAnsi="宋体" w:eastAsia="宋体" w:cs="宋体"/>
                <w:b/>
                <w:bCs/>
                <w:kern w:val="0"/>
                <w:szCs w:val="21"/>
              </w:rPr>
              <w:t>分</w:t>
            </w:r>
            <w:r>
              <w:rPr>
                <w:rFonts w:ascii="宋体" w:hAnsi="宋体" w:eastAsia="宋体" w:cs="宋体"/>
                <w:b/>
                <w:bCs/>
                <w:kern w:val="0"/>
                <w:szCs w:val="21"/>
              </w:rPr>
              <w:t>）</w:t>
            </w:r>
          </w:p>
        </w:tc>
        <w:tc>
          <w:tcPr>
            <w:tcW w:w="7779" w:type="dxa"/>
            <w:vAlign w:val="bottom"/>
          </w:tcPr>
          <w:p>
            <w:pPr>
              <w:widowControl/>
              <w:jc w:val="left"/>
              <w:rPr>
                <w:rFonts w:ascii="宋体" w:hAnsi="宋体" w:eastAsia="宋体" w:cs="宋体"/>
                <w:kern w:val="0"/>
              </w:rPr>
            </w:pPr>
            <w:r>
              <w:rPr>
                <w:rFonts w:hint="eastAsia" w:ascii="宋体" w:hAnsi="宋体" w:eastAsia="宋体" w:cs="宋体"/>
                <w:kern w:val="0"/>
              </w:rPr>
              <w:t>自</w:t>
            </w:r>
            <w:r>
              <w:rPr>
                <w:rFonts w:ascii="宋体" w:hAnsi="宋体" w:eastAsia="宋体" w:cs="宋体"/>
                <w:kern w:val="0"/>
              </w:rPr>
              <w:t>2019</w:t>
            </w:r>
            <w:r>
              <w:rPr>
                <w:rFonts w:hint="eastAsia" w:ascii="宋体" w:hAnsi="宋体" w:eastAsia="宋体" w:cs="宋体"/>
                <w:kern w:val="0"/>
              </w:rPr>
              <w:t>年以来，研究队伍完成的论文、专利、软件著作权等科研成果</w:t>
            </w:r>
            <w:r>
              <w:rPr>
                <w:rFonts w:ascii="宋体" w:hAnsi="宋体" w:eastAsia="宋体" w:cs="宋体"/>
                <w:kern w:val="0"/>
              </w:rPr>
              <w:t>附</w:t>
            </w:r>
            <w:r>
              <w:rPr>
                <w:rFonts w:hint="eastAsia" w:ascii="宋体" w:hAnsi="宋体" w:eastAsia="宋体" w:cs="宋体"/>
                <w:kern w:val="0"/>
              </w:rPr>
              <w:t>相关成果材料并加盖公章。每一项得</w:t>
            </w:r>
            <w:r>
              <w:rPr>
                <w:rFonts w:ascii="宋体" w:hAnsi="宋体" w:eastAsia="宋体" w:cs="宋体"/>
                <w:kern w:val="0"/>
              </w:rPr>
              <w:t>1分，</w:t>
            </w:r>
            <w:r>
              <w:rPr>
                <w:rFonts w:hint="eastAsia" w:ascii="宋体" w:hAnsi="宋体" w:eastAsia="宋体" w:cs="宋体"/>
                <w:kern w:val="0"/>
              </w:rPr>
              <w:t>满分</w:t>
            </w:r>
            <w:r>
              <w:rPr>
                <w:rFonts w:ascii="宋体" w:hAnsi="宋体" w:eastAsia="宋体" w:cs="宋体"/>
                <w:kern w:val="0"/>
              </w:rPr>
              <w:t>6</w:t>
            </w:r>
            <w:r>
              <w:rPr>
                <w:rFonts w:hint="eastAsia" w:ascii="宋体" w:hAnsi="宋体" w:eastAsia="宋体" w:cs="宋体"/>
                <w:kern w:val="0"/>
              </w:rPr>
              <w:t>分。</w:t>
            </w:r>
          </w:p>
        </w:tc>
        <w:tc>
          <w:tcPr>
            <w:tcW w:w="979" w:type="dxa"/>
            <w:vAlign w:val="center"/>
          </w:tcPr>
          <w:p>
            <w:pPr>
              <w:widowControl/>
              <w:jc w:val="center"/>
              <w:rPr>
                <w:rFonts w:ascii="宋体" w:hAnsi="宋体" w:eastAsia="宋体" w:cs="宋体"/>
                <w:kern w:val="0"/>
                <w:szCs w:val="21"/>
              </w:rPr>
            </w:pPr>
            <w:r>
              <w:rPr>
                <w:rFonts w:ascii="宋体" w:hAnsi="宋体" w:eastAsia="宋体" w:cs="宋体"/>
                <w:kern w:val="0"/>
                <w:szCs w:val="21"/>
              </w:rPr>
              <w:t>0-</w:t>
            </w:r>
            <w:r>
              <w:rPr>
                <w:rFonts w:hint="eastAsia" w:ascii="宋体" w:hAnsi="宋体" w:cs="宋体"/>
                <w:kern w:val="0"/>
                <w:szCs w:val="21"/>
                <w:lang w:val="en-US" w:eastAsia="zh-CN"/>
              </w:rPr>
              <w:t>4</w:t>
            </w:r>
            <w:r>
              <w:rPr>
                <w:rFonts w:hint="eastAsia" w:ascii="宋体" w:hAnsi="宋体" w:eastAsia="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356" w:type="dxa"/>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售后服务（</w:t>
            </w:r>
            <w:r>
              <w:rPr>
                <w:rFonts w:ascii="宋体" w:hAnsi="宋体" w:eastAsia="宋体" w:cs="宋体"/>
                <w:b/>
                <w:bCs/>
                <w:kern w:val="0"/>
                <w:szCs w:val="21"/>
              </w:rPr>
              <w:t>6</w:t>
            </w:r>
            <w:r>
              <w:rPr>
                <w:rFonts w:hint="eastAsia" w:ascii="宋体" w:hAnsi="宋体" w:eastAsia="宋体" w:cs="宋体"/>
                <w:b/>
                <w:bCs/>
                <w:kern w:val="0"/>
                <w:szCs w:val="21"/>
              </w:rPr>
              <w:t>分</w:t>
            </w:r>
            <w:r>
              <w:rPr>
                <w:rFonts w:ascii="宋体" w:hAnsi="宋体" w:eastAsia="宋体" w:cs="宋体"/>
                <w:b/>
                <w:bCs/>
                <w:kern w:val="0"/>
                <w:szCs w:val="21"/>
              </w:rPr>
              <w:t>）</w:t>
            </w:r>
          </w:p>
        </w:tc>
        <w:tc>
          <w:tcPr>
            <w:tcW w:w="7779" w:type="dxa"/>
            <w:vAlign w:val="bottom"/>
          </w:tcPr>
          <w:p>
            <w:pPr>
              <w:widowControl/>
              <w:jc w:val="left"/>
              <w:rPr>
                <w:rFonts w:ascii="宋体" w:hAnsi="宋体" w:eastAsia="宋体" w:cs="宋体"/>
                <w:kern w:val="0"/>
              </w:rPr>
            </w:pPr>
            <w:r>
              <w:rPr>
                <w:rFonts w:ascii="宋体" w:hAnsi="宋体" w:eastAsia="宋体" w:cs="宋体"/>
                <w:kern w:val="0"/>
              </w:rPr>
              <w:t>1、</w:t>
            </w:r>
            <w:r>
              <w:rPr>
                <w:rFonts w:hint="eastAsia" w:ascii="宋体" w:hAnsi="宋体" w:eastAsia="宋体" w:cs="宋体"/>
                <w:kern w:val="0"/>
              </w:rPr>
              <w:t>提供确保项目质量的具体措施，具体实施可行，操作性较强得</w:t>
            </w:r>
            <w:r>
              <w:rPr>
                <w:rFonts w:ascii="宋体" w:hAnsi="宋体" w:eastAsia="宋体" w:cs="宋体"/>
                <w:kern w:val="0"/>
              </w:rPr>
              <w:t>4-5</w:t>
            </w:r>
            <w:r>
              <w:rPr>
                <w:rFonts w:hint="eastAsia" w:ascii="宋体" w:hAnsi="宋体" w:eastAsia="宋体" w:cs="宋体"/>
                <w:kern w:val="0"/>
              </w:rPr>
              <w:t>分；具体实施基本可行，具有可操作性得</w:t>
            </w:r>
            <w:r>
              <w:rPr>
                <w:rFonts w:ascii="宋体" w:hAnsi="宋体" w:eastAsia="宋体" w:cs="宋体"/>
                <w:kern w:val="0"/>
              </w:rPr>
              <w:t>2-3</w:t>
            </w:r>
            <w:r>
              <w:rPr>
                <w:rFonts w:hint="eastAsia" w:ascii="宋体" w:hAnsi="宋体" w:eastAsia="宋体" w:cs="宋体"/>
                <w:kern w:val="0"/>
              </w:rPr>
              <w:t>分；具体实施和操作性一般得</w:t>
            </w:r>
            <w:r>
              <w:rPr>
                <w:rFonts w:ascii="宋体" w:hAnsi="宋体" w:eastAsia="宋体" w:cs="宋体"/>
                <w:kern w:val="0"/>
              </w:rPr>
              <w:t>1分，未响应或操作不可行不得分。</w:t>
            </w:r>
          </w:p>
          <w:p>
            <w:pPr>
              <w:widowControl/>
              <w:jc w:val="left"/>
              <w:rPr>
                <w:rFonts w:ascii="宋体" w:hAnsi="宋体" w:eastAsia="宋体" w:cs="宋体"/>
                <w:kern w:val="0"/>
              </w:rPr>
            </w:pPr>
            <w:r>
              <w:rPr>
                <w:rFonts w:ascii="宋体" w:hAnsi="宋体" w:eastAsia="宋体" w:cs="宋体"/>
                <w:kern w:val="0"/>
              </w:rPr>
              <w:t>2</w:t>
            </w:r>
            <w:r>
              <w:rPr>
                <w:rFonts w:hint="eastAsia" w:ascii="宋体" w:hAnsi="宋体" w:eastAsia="宋体" w:cs="宋体"/>
                <w:kern w:val="0"/>
              </w:rPr>
              <w:t>、提供相关承诺书得</w:t>
            </w:r>
            <w:r>
              <w:rPr>
                <w:rFonts w:ascii="宋体" w:hAnsi="宋体" w:eastAsia="宋体" w:cs="宋体"/>
                <w:kern w:val="0"/>
              </w:rPr>
              <w:t>1</w:t>
            </w:r>
            <w:r>
              <w:rPr>
                <w:rFonts w:hint="eastAsia" w:ascii="宋体" w:hAnsi="宋体" w:eastAsia="宋体" w:cs="宋体"/>
                <w:kern w:val="0"/>
              </w:rPr>
              <w:t>分；不提供不得分。</w:t>
            </w:r>
          </w:p>
        </w:tc>
        <w:tc>
          <w:tcPr>
            <w:tcW w:w="979" w:type="dxa"/>
            <w:vAlign w:val="center"/>
          </w:tcPr>
          <w:p>
            <w:pPr>
              <w:widowControl/>
              <w:jc w:val="center"/>
              <w:rPr>
                <w:rFonts w:ascii="宋体" w:hAnsi="宋体" w:eastAsia="宋体" w:cs="宋体"/>
                <w:kern w:val="0"/>
                <w:szCs w:val="21"/>
              </w:rPr>
            </w:pPr>
            <w:r>
              <w:rPr>
                <w:rFonts w:ascii="宋体" w:hAnsi="宋体" w:eastAsia="宋体" w:cs="宋体"/>
                <w:kern w:val="0"/>
                <w:szCs w:val="21"/>
              </w:rPr>
              <w:t>0-6</w:t>
            </w:r>
            <w:r>
              <w:rPr>
                <w:rFonts w:hint="eastAsia" w:ascii="宋体" w:hAnsi="宋体" w:eastAsia="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56" w:type="dxa"/>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数据安全与保密（</w:t>
            </w:r>
            <w:r>
              <w:rPr>
                <w:rFonts w:ascii="宋体" w:hAnsi="宋体" w:eastAsia="宋体" w:cs="宋体"/>
                <w:b/>
                <w:bCs/>
                <w:kern w:val="0"/>
                <w:szCs w:val="21"/>
              </w:rPr>
              <w:t>2</w:t>
            </w:r>
            <w:r>
              <w:rPr>
                <w:rFonts w:hint="eastAsia" w:ascii="宋体" w:hAnsi="宋体" w:eastAsia="宋体" w:cs="宋体"/>
                <w:b/>
                <w:bCs/>
                <w:kern w:val="0"/>
                <w:szCs w:val="21"/>
              </w:rPr>
              <w:t>分）</w:t>
            </w:r>
          </w:p>
        </w:tc>
        <w:tc>
          <w:tcPr>
            <w:tcW w:w="7779" w:type="dxa"/>
            <w:vAlign w:val="bottom"/>
          </w:tcPr>
          <w:p>
            <w:pPr>
              <w:widowControl/>
              <w:spacing w:line="300" w:lineRule="exact"/>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rPr>
              <w:t>、</w:t>
            </w:r>
            <w:r>
              <w:rPr>
                <w:rFonts w:hint="eastAsia" w:ascii="宋体" w:hAnsi="宋体" w:eastAsia="宋体" w:cs="宋体"/>
                <w:kern w:val="0"/>
                <w:szCs w:val="21"/>
              </w:rPr>
              <w:t>投标人承诺数据安全保密并严格执行；</w:t>
            </w:r>
          </w:p>
          <w:p>
            <w:pPr>
              <w:widowControl/>
              <w:spacing w:line="300" w:lineRule="exact"/>
              <w:jc w:val="left"/>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rPr>
              <w:t>、</w:t>
            </w:r>
            <w:r>
              <w:rPr>
                <w:rFonts w:hint="eastAsia" w:ascii="宋体" w:hAnsi="宋体" w:eastAsia="宋体" w:cs="宋体"/>
                <w:kern w:val="0"/>
                <w:szCs w:val="21"/>
              </w:rPr>
              <w:t>具有完善的安全保密制度；</w:t>
            </w:r>
          </w:p>
          <w:p>
            <w:pPr>
              <w:widowControl/>
              <w:jc w:val="left"/>
              <w:rPr>
                <w:rFonts w:ascii="宋体" w:hAnsi="宋体" w:eastAsia="宋体" w:cs="宋体"/>
                <w:kern w:val="0"/>
              </w:rPr>
            </w:pPr>
            <w:r>
              <w:rPr>
                <w:rFonts w:hint="eastAsia" w:ascii="宋体" w:hAnsi="宋体" w:eastAsia="宋体" w:cs="宋体"/>
                <w:kern w:val="0"/>
                <w:szCs w:val="21"/>
              </w:rPr>
              <w:t>同时满足上述两个条件的得</w:t>
            </w:r>
            <w:r>
              <w:rPr>
                <w:rFonts w:ascii="宋体" w:hAnsi="宋体" w:eastAsia="宋体" w:cs="宋体"/>
                <w:kern w:val="0"/>
                <w:szCs w:val="21"/>
              </w:rPr>
              <w:t>2分，缺1项不得分。</w:t>
            </w:r>
          </w:p>
        </w:tc>
        <w:tc>
          <w:tcPr>
            <w:tcW w:w="979" w:type="dxa"/>
            <w:vAlign w:val="center"/>
          </w:tcPr>
          <w:p>
            <w:pPr>
              <w:widowControl/>
              <w:jc w:val="center"/>
              <w:rPr>
                <w:rFonts w:ascii="宋体" w:hAnsi="宋体" w:eastAsia="宋体" w:cs="宋体"/>
                <w:kern w:val="0"/>
                <w:szCs w:val="21"/>
              </w:rPr>
            </w:pPr>
            <w:r>
              <w:rPr>
                <w:rFonts w:ascii="宋体" w:hAnsi="宋体" w:eastAsia="宋体" w:cs="宋体"/>
                <w:kern w:val="0"/>
                <w:szCs w:val="21"/>
              </w:rPr>
              <w:t>0-2</w:t>
            </w:r>
            <w:r>
              <w:rPr>
                <w:rFonts w:hint="eastAsia" w:ascii="宋体" w:hAnsi="宋体" w:eastAsia="宋体" w:cs="宋体"/>
                <w:kern w:val="0"/>
                <w:szCs w:val="21"/>
              </w:rPr>
              <w:t>分</w:t>
            </w:r>
          </w:p>
        </w:tc>
      </w:tr>
    </w:tbl>
    <w:p>
      <w:pPr>
        <w:pStyle w:val="5"/>
        <w:numPr>
          <w:ilvl w:val="0"/>
          <w:numId w:val="0"/>
        </w:numPr>
        <w:tabs>
          <w:tab w:val="left" w:pos="576"/>
        </w:tabs>
        <w:spacing w:line="5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50分</w:t>
      </w:r>
      <w:r>
        <w:rPr>
          <w:rFonts w:hint="eastAsia" w:ascii="宋体" w:hAnsi="宋体" w:eastAsia="宋体" w:cs="宋体"/>
          <w:color w:val="auto"/>
          <w:sz w:val="21"/>
          <w:szCs w:val="21"/>
          <w:highlight w:val="none"/>
          <w:lang w:eastAsia="zh-CN"/>
        </w:rPr>
        <w:t>）</w:t>
      </w:r>
    </w:p>
    <w:tbl>
      <w:tblPr>
        <w:tblStyle w:val="36"/>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7591"/>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24"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评审项目</w:t>
            </w:r>
          </w:p>
        </w:tc>
        <w:tc>
          <w:tcPr>
            <w:tcW w:w="7591"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评分标准</w:t>
            </w:r>
          </w:p>
        </w:tc>
        <w:tc>
          <w:tcPr>
            <w:tcW w:w="1202"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24"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标书方案整体性要求</w:t>
            </w:r>
          </w:p>
          <w:p>
            <w:pPr>
              <w:widowControl/>
              <w:jc w:val="center"/>
              <w:rPr>
                <w:rFonts w:ascii="宋体" w:hAnsi="宋体" w:eastAsia="宋体" w:cs="宋体"/>
                <w:b/>
                <w:bCs/>
                <w:kern w:val="0"/>
                <w:szCs w:val="21"/>
              </w:rPr>
            </w:pPr>
            <w:r>
              <w:rPr>
                <w:rFonts w:hint="eastAsia" w:ascii="宋体" w:hAnsi="宋体" w:eastAsia="宋体" w:cs="宋体"/>
                <w:b/>
                <w:bCs/>
                <w:kern w:val="0"/>
                <w:szCs w:val="21"/>
              </w:rPr>
              <w:t>（</w:t>
            </w:r>
            <w:r>
              <w:rPr>
                <w:rFonts w:ascii="宋体" w:hAnsi="宋体" w:eastAsia="宋体" w:cs="宋体"/>
                <w:b/>
                <w:bCs/>
                <w:kern w:val="0"/>
                <w:szCs w:val="21"/>
              </w:rPr>
              <w:t>5</w:t>
            </w:r>
            <w:r>
              <w:rPr>
                <w:rFonts w:hint="eastAsia" w:ascii="宋体" w:hAnsi="宋体" w:eastAsia="宋体" w:cs="宋体"/>
                <w:b/>
                <w:bCs/>
                <w:kern w:val="0"/>
                <w:szCs w:val="21"/>
              </w:rPr>
              <w:t>分）</w:t>
            </w:r>
          </w:p>
        </w:tc>
        <w:tc>
          <w:tcPr>
            <w:tcW w:w="7591" w:type="dxa"/>
            <w:vAlign w:val="center"/>
          </w:tcPr>
          <w:p>
            <w:pPr>
              <w:widowControl/>
              <w:jc w:val="left"/>
              <w:rPr>
                <w:rFonts w:ascii="宋体" w:hAnsi="宋体" w:eastAsia="宋体" w:cs="宋体"/>
                <w:kern w:val="0"/>
                <w:szCs w:val="21"/>
              </w:rPr>
            </w:pPr>
            <w:r>
              <w:rPr>
                <w:rFonts w:hint="eastAsia" w:ascii="宋体" w:hAnsi="宋体" w:eastAsia="宋体" w:cs="宋体"/>
                <w:lang w:val="zh-CN"/>
              </w:rPr>
              <w:t>投标文件编制完整、格式规范、内容齐全、表述准确、条理清晰、内容无前后矛盾，符合招标文件要求；能满足项目需求得</w:t>
            </w:r>
            <w:r>
              <w:rPr>
                <w:rFonts w:ascii="宋体" w:hAnsi="宋体" w:eastAsia="宋体" w:cs="宋体"/>
                <w:lang w:val="zh-CN"/>
              </w:rPr>
              <w:t>4-5分，</w:t>
            </w:r>
            <w:r>
              <w:rPr>
                <w:rFonts w:hint="eastAsia" w:ascii="宋体" w:hAnsi="宋体" w:eastAsia="宋体" w:cs="宋体"/>
                <w:lang w:val="zh-CN"/>
              </w:rPr>
              <w:t>基本满足项目需求得</w:t>
            </w:r>
            <w:r>
              <w:rPr>
                <w:rFonts w:ascii="宋体" w:hAnsi="宋体" w:eastAsia="宋体" w:cs="宋体"/>
                <w:lang w:val="zh-CN"/>
              </w:rPr>
              <w:t>2-3分，</w:t>
            </w:r>
            <w:r>
              <w:rPr>
                <w:rFonts w:hint="eastAsia" w:ascii="宋体" w:hAnsi="宋体" w:eastAsia="宋体" w:cs="宋体"/>
                <w:lang w:val="zh-CN"/>
              </w:rPr>
              <w:t>部分满足项目需求得</w:t>
            </w:r>
            <w:r>
              <w:rPr>
                <w:rFonts w:ascii="宋体" w:hAnsi="宋体" w:eastAsia="宋体" w:cs="宋体"/>
                <w:lang w:val="zh-CN"/>
              </w:rPr>
              <w:t>0-1分。</w:t>
            </w:r>
          </w:p>
        </w:tc>
        <w:tc>
          <w:tcPr>
            <w:tcW w:w="1202" w:type="dxa"/>
            <w:vAlign w:val="center"/>
          </w:tcPr>
          <w:p>
            <w:pPr>
              <w:widowControl/>
              <w:jc w:val="center"/>
              <w:rPr>
                <w:rFonts w:ascii="宋体" w:hAnsi="宋体" w:eastAsia="宋体" w:cs="宋体"/>
                <w:kern w:val="0"/>
                <w:szCs w:val="21"/>
              </w:rPr>
            </w:pPr>
            <w:r>
              <w:rPr>
                <w:rFonts w:ascii="宋体" w:hAnsi="宋体" w:eastAsia="宋体" w:cs="宋体"/>
              </w:rPr>
              <w:t>0-</w:t>
            </w:r>
            <w:r>
              <w:rPr>
                <w:rFonts w:ascii="宋体" w:hAnsi="宋体" w:eastAsia="宋体" w:cs="宋体"/>
                <w:kern w:val="0"/>
                <w:szCs w:val="21"/>
              </w:rPr>
              <w:t>5</w:t>
            </w:r>
            <w:r>
              <w:rPr>
                <w:rFonts w:hint="eastAsia" w:ascii="宋体" w:hAnsi="宋体" w:eastAsia="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4" w:type="dxa"/>
            <w:vMerge w:val="restart"/>
            <w:vAlign w:val="center"/>
          </w:tcPr>
          <w:p>
            <w:pPr>
              <w:jc w:val="center"/>
              <w:rPr>
                <w:rFonts w:ascii="宋体" w:hAnsi="宋体" w:eastAsia="宋体" w:cs="宋体"/>
                <w:b/>
                <w:bCs/>
                <w:kern w:val="0"/>
                <w:szCs w:val="21"/>
              </w:rPr>
            </w:pPr>
            <w:r>
              <w:rPr>
                <w:rFonts w:hint="eastAsia" w:ascii="宋体" w:hAnsi="宋体" w:eastAsia="宋体" w:cs="宋体"/>
                <w:b/>
                <w:bCs/>
                <w:kern w:val="0"/>
                <w:szCs w:val="21"/>
              </w:rPr>
              <w:t>总体技术路线</w:t>
            </w:r>
          </w:p>
          <w:p>
            <w:pPr>
              <w:jc w:val="center"/>
              <w:rPr>
                <w:rFonts w:ascii="宋体" w:hAnsi="宋体" w:eastAsia="宋体" w:cs="宋体"/>
                <w:b/>
                <w:bCs/>
                <w:kern w:val="0"/>
                <w:szCs w:val="21"/>
              </w:rPr>
            </w:pPr>
            <w:r>
              <w:rPr>
                <w:rFonts w:hint="eastAsia" w:ascii="宋体" w:hAnsi="宋体" w:eastAsia="宋体" w:cs="宋体"/>
                <w:b/>
                <w:bCs/>
                <w:kern w:val="0"/>
                <w:szCs w:val="21"/>
              </w:rPr>
              <w:t>（</w:t>
            </w:r>
            <w:r>
              <w:rPr>
                <w:rFonts w:ascii="宋体" w:hAnsi="宋体" w:eastAsia="宋体" w:cs="宋体"/>
                <w:b/>
                <w:bCs/>
                <w:kern w:val="0"/>
                <w:szCs w:val="21"/>
              </w:rPr>
              <w:t>8</w:t>
            </w:r>
            <w:r>
              <w:rPr>
                <w:rFonts w:hint="eastAsia" w:ascii="宋体" w:hAnsi="宋体" w:eastAsia="宋体" w:cs="宋体"/>
                <w:b/>
                <w:bCs/>
                <w:kern w:val="0"/>
                <w:szCs w:val="21"/>
              </w:rPr>
              <w:t>分）</w:t>
            </w:r>
          </w:p>
        </w:tc>
        <w:tc>
          <w:tcPr>
            <w:tcW w:w="7591" w:type="dxa"/>
            <w:vAlign w:val="center"/>
          </w:tcPr>
          <w:p>
            <w:pPr>
              <w:pStyle w:val="129"/>
              <w:spacing w:before="156" w:line="240" w:lineRule="auto"/>
              <w:ind w:firstLine="0" w:firstLineChars="0"/>
              <w:rPr>
                <w:rFonts w:ascii="宋体" w:hAnsi="宋体" w:cs="宋体"/>
                <w:sz w:val="21"/>
                <w:lang w:val="zh-CN"/>
              </w:rPr>
            </w:pPr>
            <w:r>
              <w:rPr>
                <w:rFonts w:ascii="宋体" w:hAnsi="宋体" w:cs="宋体"/>
                <w:sz w:val="21"/>
                <w:lang w:val="zh-CN"/>
              </w:rPr>
              <w:t>1、投标方案的整体设计与招标方案需求的吻合度。完全满足得4分；基本满足得2-3</w:t>
            </w:r>
            <w:r>
              <w:rPr>
                <w:rFonts w:hint="eastAsia" w:ascii="宋体" w:hAnsi="宋体" w:cs="宋体"/>
                <w:sz w:val="21"/>
                <w:lang w:val="zh-CN"/>
              </w:rPr>
              <w:t>分；部分满足得</w:t>
            </w:r>
            <w:r>
              <w:rPr>
                <w:rFonts w:ascii="宋体" w:hAnsi="宋体" w:cs="宋体"/>
                <w:sz w:val="21"/>
                <w:lang w:val="zh-CN"/>
              </w:rPr>
              <w:t>1分；未响应不满足项目要求不得分。</w:t>
            </w:r>
          </w:p>
        </w:tc>
        <w:tc>
          <w:tcPr>
            <w:tcW w:w="1202" w:type="dxa"/>
            <w:vAlign w:val="center"/>
          </w:tcPr>
          <w:p>
            <w:pPr>
              <w:widowControl/>
              <w:jc w:val="center"/>
              <w:rPr>
                <w:rFonts w:ascii="宋体" w:hAnsi="宋体" w:eastAsia="宋体" w:cs="宋体"/>
                <w:lang w:val="zh-CN"/>
              </w:rPr>
            </w:pPr>
            <w:r>
              <w:rPr>
                <w:rFonts w:ascii="宋体" w:hAnsi="宋体" w:eastAsia="宋体" w:cs="宋体"/>
              </w:rPr>
              <w:t>0-</w:t>
            </w:r>
            <w:r>
              <w:rPr>
                <w:rFonts w:ascii="宋体" w:hAnsi="宋体" w:eastAsia="宋体" w:cs="宋体"/>
                <w:lang w:val="zh-CN"/>
              </w:rPr>
              <w:t>4</w:t>
            </w:r>
            <w:r>
              <w:rPr>
                <w:rFonts w:hint="eastAsia" w:ascii="宋体" w:hAnsi="宋体" w:eastAsia="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324" w:type="dxa"/>
            <w:vMerge w:val="continue"/>
            <w:vAlign w:val="center"/>
          </w:tcPr>
          <w:p>
            <w:pPr>
              <w:jc w:val="center"/>
              <w:rPr>
                <w:rFonts w:ascii="宋体" w:hAnsi="宋体" w:eastAsia="宋体" w:cs="宋体"/>
                <w:b/>
                <w:bCs/>
                <w:kern w:val="0"/>
                <w:szCs w:val="21"/>
              </w:rPr>
            </w:pPr>
          </w:p>
        </w:tc>
        <w:tc>
          <w:tcPr>
            <w:tcW w:w="7591" w:type="dxa"/>
            <w:vAlign w:val="center"/>
          </w:tcPr>
          <w:p>
            <w:pPr>
              <w:pStyle w:val="129"/>
              <w:spacing w:before="156" w:line="240" w:lineRule="auto"/>
              <w:ind w:firstLine="0" w:firstLineChars="0"/>
              <w:rPr>
                <w:rFonts w:ascii="宋体" w:hAnsi="宋体" w:cs="宋体"/>
                <w:sz w:val="21"/>
                <w:lang w:val="zh-CN"/>
              </w:rPr>
            </w:pPr>
            <w:r>
              <w:rPr>
                <w:rFonts w:ascii="宋体" w:hAnsi="宋体" w:cs="宋体"/>
                <w:sz w:val="21"/>
                <w:lang w:val="zh-CN"/>
              </w:rPr>
              <w:t>2、满足和实现招标要求。完全满足得4</w:t>
            </w:r>
            <w:r>
              <w:rPr>
                <w:rFonts w:hint="eastAsia" w:ascii="宋体" w:hAnsi="宋体" w:cs="宋体"/>
                <w:sz w:val="21"/>
                <w:lang w:val="zh-CN"/>
              </w:rPr>
              <w:t>分；基本满足得</w:t>
            </w:r>
            <w:r>
              <w:rPr>
                <w:rFonts w:ascii="宋体" w:hAnsi="宋体" w:cs="宋体"/>
                <w:sz w:val="21"/>
                <w:lang w:val="zh-CN"/>
              </w:rPr>
              <w:t>2-3</w:t>
            </w:r>
            <w:r>
              <w:rPr>
                <w:rFonts w:hint="eastAsia" w:ascii="宋体" w:hAnsi="宋体" w:cs="宋体"/>
                <w:sz w:val="21"/>
                <w:lang w:val="zh-CN"/>
              </w:rPr>
              <w:t>分；部分满足得</w:t>
            </w:r>
            <w:r>
              <w:rPr>
                <w:rFonts w:ascii="宋体" w:hAnsi="宋体" w:cs="宋体"/>
                <w:sz w:val="21"/>
                <w:lang w:val="zh-CN"/>
              </w:rPr>
              <w:t>1</w:t>
            </w:r>
            <w:r>
              <w:rPr>
                <w:rFonts w:hint="eastAsia" w:ascii="宋体" w:hAnsi="宋体" w:cs="宋体"/>
                <w:sz w:val="21"/>
                <w:lang w:val="zh-CN"/>
              </w:rPr>
              <w:t>分；未响应或不满足项目要求不得分。</w:t>
            </w:r>
          </w:p>
        </w:tc>
        <w:tc>
          <w:tcPr>
            <w:tcW w:w="1202" w:type="dxa"/>
            <w:vAlign w:val="center"/>
          </w:tcPr>
          <w:p>
            <w:pPr>
              <w:jc w:val="center"/>
              <w:rPr>
                <w:rFonts w:ascii="宋体" w:hAnsi="宋体" w:eastAsia="宋体" w:cs="宋体"/>
              </w:rPr>
            </w:pPr>
            <w:r>
              <w:rPr>
                <w:rFonts w:ascii="宋体" w:hAnsi="宋体" w:eastAsia="宋体" w:cs="宋体"/>
              </w:rPr>
              <w:t>0-</w:t>
            </w:r>
            <w:r>
              <w:rPr>
                <w:rFonts w:ascii="宋体" w:hAnsi="宋体" w:eastAsia="宋体" w:cs="宋体"/>
                <w:lang w:val="zh-CN"/>
              </w:rPr>
              <w:t>4</w:t>
            </w:r>
            <w:r>
              <w:rPr>
                <w:rFonts w:hint="eastAsia" w:ascii="宋体" w:hAnsi="宋体" w:eastAsia="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324" w:type="dxa"/>
            <w:vMerge w:val="restart"/>
            <w:vAlign w:val="center"/>
          </w:tcPr>
          <w:p>
            <w:pPr>
              <w:jc w:val="center"/>
              <w:rPr>
                <w:rFonts w:ascii="宋体" w:hAnsi="宋体" w:eastAsia="宋体" w:cs="宋体"/>
                <w:b/>
                <w:bCs/>
                <w:kern w:val="0"/>
                <w:szCs w:val="21"/>
              </w:rPr>
            </w:pPr>
            <w:r>
              <w:rPr>
                <w:rFonts w:hint="eastAsia" w:ascii="宋体" w:hAnsi="宋体" w:eastAsia="宋体" w:cs="宋体"/>
                <w:b/>
                <w:bCs/>
                <w:kern w:val="0"/>
                <w:szCs w:val="21"/>
              </w:rPr>
              <w:t>针对本项目的特点、</w:t>
            </w:r>
            <w:r>
              <w:rPr>
                <w:rFonts w:ascii="宋体" w:hAnsi="宋体" w:eastAsia="宋体" w:cs="宋体"/>
                <w:b/>
                <w:bCs/>
                <w:kern w:val="0"/>
                <w:szCs w:val="21"/>
              </w:rPr>
              <w:t>关键</w:t>
            </w:r>
            <w:r>
              <w:rPr>
                <w:rFonts w:hint="eastAsia" w:ascii="宋体" w:hAnsi="宋体" w:eastAsia="宋体" w:cs="宋体"/>
                <w:b/>
                <w:bCs/>
                <w:kern w:val="0"/>
                <w:szCs w:val="21"/>
              </w:rPr>
              <w:t>技术点制定服务方案（</w:t>
            </w:r>
            <w:r>
              <w:rPr>
                <w:rFonts w:ascii="宋体" w:hAnsi="宋体" w:eastAsia="宋体" w:cs="宋体"/>
                <w:b/>
                <w:bCs/>
                <w:kern w:val="0"/>
                <w:szCs w:val="21"/>
              </w:rPr>
              <w:t>32</w:t>
            </w:r>
            <w:r>
              <w:rPr>
                <w:rFonts w:hint="eastAsia" w:ascii="宋体" w:hAnsi="宋体" w:eastAsia="宋体" w:cs="宋体"/>
                <w:b/>
                <w:bCs/>
                <w:kern w:val="0"/>
                <w:szCs w:val="21"/>
              </w:rPr>
              <w:t>分）</w:t>
            </w:r>
          </w:p>
        </w:tc>
        <w:tc>
          <w:tcPr>
            <w:tcW w:w="7591" w:type="dxa"/>
            <w:vAlign w:val="center"/>
          </w:tcPr>
          <w:p>
            <w:pPr>
              <w:pStyle w:val="129"/>
              <w:spacing w:before="156" w:line="240" w:lineRule="auto"/>
              <w:ind w:firstLine="0" w:firstLineChars="0"/>
              <w:rPr>
                <w:rFonts w:ascii="宋体" w:hAnsi="宋体" w:cs="宋体"/>
                <w:sz w:val="21"/>
                <w:lang w:val="zh-CN"/>
              </w:rPr>
            </w:pPr>
            <w:r>
              <w:rPr>
                <w:rFonts w:ascii="宋体" w:hAnsi="宋体" w:cs="宋体"/>
                <w:sz w:val="21"/>
                <w:lang w:val="zh-CN"/>
              </w:rPr>
              <w:t>1、项目的总体</w:t>
            </w:r>
            <w:r>
              <w:rPr>
                <w:rFonts w:hint="eastAsia" w:ascii="宋体" w:hAnsi="宋体" w:cs="宋体"/>
                <w:sz w:val="21"/>
                <w:lang w:val="zh-CN"/>
              </w:rPr>
              <w:t>目标明确、</w:t>
            </w:r>
            <w:r>
              <w:rPr>
                <w:rFonts w:ascii="宋体" w:hAnsi="宋体" w:cs="宋体"/>
                <w:sz w:val="21"/>
                <w:lang w:val="zh-CN"/>
              </w:rPr>
              <w:t>全面</w:t>
            </w:r>
            <w:r>
              <w:rPr>
                <w:rFonts w:hint="eastAsia" w:ascii="宋体" w:hAnsi="宋体" w:cs="宋体"/>
                <w:sz w:val="21"/>
                <w:lang w:val="zh-CN"/>
              </w:rPr>
              <w:t>可行及</w:t>
            </w:r>
            <w:r>
              <w:rPr>
                <w:rFonts w:ascii="宋体" w:hAnsi="宋体" w:cs="宋体"/>
                <w:sz w:val="21"/>
                <w:lang w:val="zh-CN"/>
              </w:rPr>
              <w:t>内容</w:t>
            </w:r>
            <w:r>
              <w:rPr>
                <w:rFonts w:hint="eastAsia" w:ascii="宋体" w:hAnsi="宋体" w:cs="宋体"/>
                <w:sz w:val="21"/>
                <w:lang w:val="zh-CN"/>
              </w:rPr>
              <w:t>完整得</w:t>
            </w:r>
            <w:r>
              <w:rPr>
                <w:rFonts w:ascii="宋体" w:hAnsi="宋体" w:cs="宋体"/>
                <w:sz w:val="21"/>
                <w:lang w:val="zh-CN"/>
              </w:rPr>
              <w:t>5-6分；总体目标基本</w:t>
            </w:r>
            <w:r>
              <w:rPr>
                <w:rFonts w:hint="eastAsia" w:ascii="宋体" w:hAnsi="宋体" w:cs="宋体"/>
                <w:sz w:val="21"/>
                <w:lang w:val="zh-CN"/>
              </w:rPr>
              <w:t>明确、</w:t>
            </w:r>
            <w:r>
              <w:rPr>
                <w:rFonts w:ascii="宋体" w:hAnsi="宋体" w:cs="宋体"/>
                <w:sz w:val="21"/>
                <w:lang w:val="zh-CN"/>
              </w:rPr>
              <w:t>内容</w:t>
            </w:r>
            <w:r>
              <w:rPr>
                <w:rFonts w:hint="eastAsia" w:ascii="宋体" w:hAnsi="宋体" w:cs="宋体"/>
                <w:sz w:val="21"/>
                <w:lang w:val="zh-CN"/>
              </w:rPr>
              <w:t>基本完整得</w:t>
            </w:r>
            <w:r>
              <w:rPr>
                <w:rFonts w:ascii="宋体" w:hAnsi="宋体" w:cs="宋体"/>
                <w:sz w:val="21"/>
                <w:lang w:val="zh-CN"/>
              </w:rPr>
              <w:t>3-4</w:t>
            </w:r>
            <w:r>
              <w:rPr>
                <w:rFonts w:hint="eastAsia" w:ascii="宋体" w:hAnsi="宋体" w:cs="宋体"/>
                <w:sz w:val="21"/>
                <w:lang w:val="zh-CN"/>
              </w:rPr>
              <w:t>分；总体目标不明确，内容不完整得</w:t>
            </w:r>
            <w:r>
              <w:rPr>
                <w:rFonts w:ascii="宋体" w:hAnsi="宋体" w:cs="宋体"/>
                <w:sz w:val="21"/>
                <w:lang w:val="zh-CN"/>
              </w:rPr>
              <w:t>1-2</w:t>
            </w:r>
            <w:r>
              <w:rPr>
                <w:rFonts w:hint="eastAsia" w:ascii="宋体" w:hAnsi="宋体" w:cs="宋体"/>
                <w:sz w:val="21"/>
                <w:lang w:val="zh-CN"/>
              </w:rPr>
              <w:t>分；未响应或描述不正确不得分。</w:t>
            </w:r>
          </w:p>
        </w:tc>
        <w:tc>
          <w:tcPr>
            <w:tcW w:w="1202" w:type="dxa"/>
            <w:vAlign w:val="center"/>
          </w:tcPr>
          <w:p>
            <w:pPr>
              <w:widowControl/>
              <w:jc w:val="center"/>
              <w:rPr>
                <w:rFonts w:ascii="宋体" w:hAnsi="宋体" w:eastAsia="宋体" w:cs="宋体"/>
              </w:rPr>
            </w:pPr>
            <w:r>
              <w:rPr>
                <w:rFonts w:ascii="宋体" w:hAnsi="宋体" w:eastAsia="宋体" w:cs="宋体"/>
              </w:rPr>
              <w:t>0-</w:t>
            </w:r>
            <w:r>
              <w:rPr>
                <w:rFonts w:ascii="宋体" w:hAnsi="宋体" w:eastAsia="宋体" w:cs="宋体"/>
                <w:lang w:val="zh-CN"/>
              </w:rPr>
              <w:t>6</w:t>
            </w:r>
            <w:r>
              <w:rPr>
                <w:rFonts w:hint="eastAsia" w:ascii="宋体" w:hAnsi="宋体" w:eastAsia="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24" w:type="dxa"/>
            <w:vMerge w:val="continue"/>
            <w:vAlign w:val="center"/>
          </w:tcPr>
          <w:p>
            <w:pPr>
              <w:jc w:val="center"/>
              <w:rPr>
                <w:rFonts w:ascii="宋体" w:hAnsi="宋体" w:eastAsia="宋体" w:cs="宋体"/>
                <w:b/>
                <w:bCs/>
                <w:kern w:val="0"/>
                <w:szCs w:val="21"/>
              </w:rPr>
            </w:pPr>
          </w:p>
        </w:tc>
        <w:tc>
          <w:tcPr>
            <w:tcW w:w="7591" w:type="dxa"/>
            <w:vAlign w:val="center"/>
          </w:tcPr>
          <w:p>
            <w:pPr>
              <w:pStyle w:val="129"/>
              <w:spacing w:before="156" w:line="240" w:lineRule="auto"/>
              <w:ind w:firstLine="0" w:firstLineChars="0"/>
              <w:rPr>
                <w:rFonts w:ascii="宋体" w:hAnsi="宋体" w:cs="宋体"/>
                <w:sz w:val="21"/>
                <w:lang w:val="zh-CN"/>
              </w:rPr>
            </w:pPr>
            <w:r>
              <w:rPr>
                <w:rFonts w:ascii="宋体" w:hAnsi="宋体" w:cs="宋体"/>
                <w:sz w:val="21"/>
                <w:lang w:val="zh-CN"/>
              </w:rPr>
              <w:t>2、设计</w:t>
            </w:r>
            <w:r>
              <w:rPr>
                <w:rFonts w:hint="eastAsia" w:ascii="宋体" w:hAnsi="宋体" w:cs="宋体"/>
                <w:sz w:val="21"/>
                <w:lang w:val="zh-CN"/>
              </w:rPr>
              <w:t>思路清晰得</w:t>
            </w:r>
            <w:r>
              <w:rPr>
                <w:rFonts w:ascii="宋体" w:hAnsi="宋体" w:cs="宋体"/>
                <w:sz w:val="21"/>
                <w:lang w:val="zh-CN"/>
              </w:rPr>
              <w:t>4-5分；设计</w:t>
            </w:r>
            <w:r>
              <w:rPr>
                <w:rFonts w:hint="eastAsia" w:ascii="宋体" w:hAnsi="宋体" w:cs="宋体"/>
                <w:sz w:val="21"/>
                <w:lang w:val="zh-CN"/>
              </w:rPr>
              <w:t>思路基本清晰得</w:t>
            </w:r>
            <w:r>
              <w:rPr>
                <w:rFonts w:ascii="宋体" w:hAnsi="宋体" w:cs="宋体"/>
                <w:sz w:val="21"/>
                <w:lang w:val="zh-CN"/>
              </w:rPr>
              <w:t>2-3</w:t>
            </w:r>
            <w:r>
              <w:rPr>
                <w:rFonts w:hint="eastAsia" w:ascii="宋体" w:hAnsi="宋体" w:cs="宋体"/>
                <w:sz w:val="21"/>
                <w:lang w:val="zh-CN"/>
              </w:rPr>
              <w:t>分；</w:t>
            </w:r>
            <w:r>
              <w:rPr>
                <w:rFonts w:ascii="宋体" w:hAnsi="宋体" w:cs="宋体"/>
                <w:sz w:val="21"/>
                <w:lang w:val="zh-CN"/>
              </w:rPr>
              <w:t>设计</w:t>
            </w:r>
            <w:r>
              <w:rPr>
                <w:rFonts w:hint="eastAsia" w:ascii="宋体" w:hAnsi="宋体" w:cs="宋体"/>
                <w:sz w:val="21"/>
                <w:lang w:val="zh-CN"/>
              </w:rPr>
              <w:t>思路不清晰得</w:t>
            </w:r>
            <w:r>
              <w:rPr>
                <w:rFonts w:ascii="宋体" w:hAnsi="宋体" w:cs="宋体"/>
                <w:sz w:val="21"/>
                <w:lang w:val="zh-CN"/>
              </w:rPr>
              <w:t>1</w:t>
            </w:r>
            <w:r>
              <w:rPr>
                <w:rFonts w:hint="eastAsia" w:ascii="宋体" w:hAnsi="宋体" w:cs="宋体"/>
                <w:sz w:val="21"/>
                <w:lang w:val="zh-CN"/>
              </w:rPr>
              <w:t>分；未响应或描述不正确不得分。</w:t>
            </w:r>
          </w:p>
        </w:tc>
        <w:tc>
          <w:tcPr>
            <w:tcW w:w="1202" w:type="dxa"/>
            <w:vAlign w:val="center"/>
          </w:tcPr>
          <w:p>
            <w:pPr>
              <w:jc w:val="center"/>
              <w:rPr>
                <w:rFonts w:ascii="宋体" w:hAnsi="宋体" w:eastAsia="宋体" w:cs="宋体"/>
              </w:rPr>
            </w:pPr>
            <w:r>
              <w:rPr>
                <w:rFonts w:ascii="宋体" w:hAnsi="宋体" w:eastAsia="宋体" w:cs="宋体"/>
              </w:rPr>
              <w:t>0-</w:t>
            </w:r>
            <w:r>
              <w:rPr>
                <w:rFonts w:ascii="宋体" w:hAnsi="宋体" w:eastAsia="宋体" w:cs="宋体"/>
                <w:lang w:val="zh-CN"/>
              </w:rPr>
              <w:t>5</w:t>
            </w:r>
            <w:r>
              <w:rPr>
                <w:rFonts w:hint="eastAsia" w:ascii="宋体" w:hAnsi="宋体" w:eastAsia="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24" w:type="dxa"/>
            <w:vMerge w:val="continue"/>
            <w:vAlign w:val="center"/>
          </w:tcPr>
          <w:p>
            <w:pPr>
              <w:jc w:val="center"/>
              <w:rPr>
                <w:rFonts w:ascii="宋体" w:hAnsi="宋体" w:eastAsia="宋体" w:cs="宋体"/>
                <w:b/>
                <w:bCs/>
                <w:kern w:val="0"/>
                <w:szCs w:val="21"/>
              </w:rPr>
            </w:pPr>
          </w:p>
        </w:tc>
        <w:tc>
          <w:tcPr>
            <w:tcW w:w="7591" w:type="dxa"/>
            <w:vAlign w:val="center"/>
          </w:tcPr>
          <w:p>
            <w:pPr>
              <w:pStyle w:val="129"/>
              <w:spacing w:beforeLines="0" w:line="240" w:lineRule="auto"/>
              <w:ind w:firstLine="0" w:firstLineChars="0"/>
              <w:rPr>
                <w:rFonts w:ascii="宋体" w:hAnsi="宋体" w:cs="宋体"/>
                <w:sz w:val="21"/>
                <w:lang w:val="zh-CN"/>
              </w:rPr>
            </w:pPr>
            <w:r>
              <w:rPr>
                <w:rFonts w:ascii="宋体" w:hAnsi="宋体" w:cs="宋体"/>
                <w:sz w:val="21"/>
                <w:lang w:val="zh-CN"/>
              </w:rPr>
              <w:t>3</w:t>
            </w:r>
            <w:r>
              <w:rPr>
                <w:rFonts w:hint="eastAsia" w:ascii="宋体" w:hAnsi="宋体" w:cs="宋体"/>
                <w:sz w:val="21"/>
                <w:lang w:val="zh-CN"/>
              </w:rPr>
              <w:t>、针对本项目的特点、</w:t>
            </w:r>
            <w:r>
              <w:rPr>
                <w:rFonts w:ascii="宋体" w:hAnsi="宋体" w:cs="宋体"/>
                <w:sz w:val="21"/>
                <w:lang w:val="zh-CN"/>
              </w:rPr>
              <w:t>关键</w:t>
            </w:r>
            <w:r>
              <w:rPr>
                <w:rFonts w:hint="eastAsia" w:ascii="宋体" w:hAnsi="宋体" w:cs="宋体"/>
                <w:sz w:val="21"/>
                <w:lang w:val="zh-CN"/>
              </w:rPr>
              <w:t>技术点制定服务方案，</w:t>
            </w:r>
            <w:r>
              <w:rPr>
                <w:rFonts w:ascii="宋体" w:hAnsi="宋体" w:cs="宋体"/>
                <w:sz w:val="21"/>
                <w:lang w:val="zh-CN"/>
              </w:rPr>
              <w:t>内容</w:t>
            </w:r>
            <w:r>
              <w:rPr>
                <w:rFonts w:hint="eastAsia" w:ascii="宋体" w:hAnsi="宋体" w:cs="宋体"/>
                <w:sz w:val="21"/>
                <w:lang w:val="zh-CN"/>
              </w:rPr>
              <w:t>全面、</w:t>
            </w:r>
            <w:r>
              <w:rPr>
                <w:rFonts w:ascii="宋体" w:hAnsi="宋体" w:cs="宋体"/>
                <w:sz w:val="21"/>
                <w:lang w:val="zh-CN"/>
              </w:rPr>
              <w:t>切实</w:t>
            </w:r>
            <w:r>
              <w:rPr>
                <w:rFonts w:hint="eastAsia" w:ascii="宋体" w:hAnsi="宋体" w:cs="宋体"/>
                <w:sz w:val="21"/>
                <w:lang w:val="zh-CN"/>
              </w:rPr>
              <w:t>可行，</w:t>
            </w:r>
            <w:r>
              <w:rPr>
                <w:rFonts w:ascii="宋体" w:hAnsi="宋体" w:cs="宋体"/>
                <w:sz w:val="21"/>
                <w:lang w:val="zh-CN"/>
              </w:rPr>
              <w:t>能</w:t>
            </w:r>
            <w:r>
              <w:rPr>
                <w:rFonts w:hint="eastAsia" w:ascii="宋体" w:hAnsi="宋体" w:cs="宋体"/>
                <w:sz w:val="21"/>
                <w:lang w:val="zh-CN"/>
              </w:rPr>
              <w:t>满足项目需求得</w:t>
            </w:r>
            <w:r>
              <w:rPr>
                <w:rFonts w:ascii="宋体" w:hAnsi="宋体" w:cs="宋体"/>
                <w:sz w:val="21"/>
                <w:lang w:val="zh-CN"/>
              </w:rPr>
              <w:t>5-6</w:t>
            </w:r>
            <w:r>
              <w:rPr>
                <w:rFonts w:hint="eastAsia" w:ascii="宋体" w:hAnsi="宋体" w:cs="宋体"/>
                <w:sz w:val="21"/>
                <w:lang w:val="zh-CN"/>
              </w:rPr>
              <w:t>分；</w:t>
            </w:r>
            <w:r>
              <w:rPr>
                <w:rFonts w:ascii="宋体" w:hAnsi="宋体" w:cs="宋体"/>
                <w:sz w:val="21"/>
                <w:lang w:val="zh-CN"/>
              </w:rPr>
              <w:t>基本</w:t>
            </w:r>
            <w:r>
              <w:rPr>
                <w:rFonts w:hint="eastAsia" w:ascii="宋体" w:hAnsi="宋体" w:cs="宋体"/>
                <w:sz w:val="21"/>
                <w:lang w:val="zh-CN"/>
              </w:rPr>
              <w:t>满足项目需求得</w:t>
            </w:r>
            <w:r>
              <w:rPr>
                <w:rFonts w:ascii="宋体" w:hAnsi="宋体" w:cs="宋体"/>
                <w:sz w:val="21"/>
                <w:lang w:val="zh-CN"/>
              </w:rPr>
              <w:t>3-4</w:t>
            </w:r>
            <w:r>
              <w:rPr>
                <w:rFonts w:hint="eastAsia" w:ascii="宋体" w:hAnsi="宋体" w:cs="宋体"/>
                <w:sz w:val="21"/>
                <w:lang w:val="zh-CN"/>
              </w:rPr>
              <w:t>分；</w:t>
            </w:r>
            <w:r>
              <w:rPr>
                <w:rFonts w:ascii="宋体" w:hAnsi="宋体" w:cs="宋体"/>
                <w:sz w:val="21"/>
                <w:lang w:val="zh-CN"/>
              </w:rPr>
              <w:t>部分</w:t>
            </w:r>
            <w:r>
              <w:rPr>
                <w:rFonts w:hint="eastAsia" w:ascii="宋体" w:hAnsi="宋体" w:cs="宋体"/>
                <w:sz w:val="21"/>
                <w:lang w:val="zh-CN"/>
              </w:rPr>
              <w:t>满足项目需求得</w:t>
            </w:r>
            <w:r>
              <w:rPr>
                <w:rFonts w:ascii="宋体" w:hAnsi="宋体" w:cs="宋体"/>
                <w:sz w:val="21"/>
                <w:lang w:val="zh-CN"/>
              </w:rPr>
              <w:t>1-2</w:t>
            </w:r>
            <w:r>
              <w:rPr>
                <w:rFonts w:hint="eastAsia" w:ascii="宋体" w:hAnsi="宋体" w:cs="宋体"/>
                <w:sz w:val="21"/>
                <w:lang w:val="zh-CN"/>
              </w:rPr>
              <w:t>分；未响应或描述不正确不得分。</w:t>
            </w:r>
          </w:p>
        </w:tc>
        <w:tc>
          <w:tcPr>
            <w:tcW w:w="1202" w:type="dxa"/>
            <w:vAlign w:val="center"/>
          </w:tcPr>
          <w:p>
            <w:pPr>
              <w:widowControl/>
              <w:jc w:val="center"/>
              <w:rPr>
                <w:rFonts w:ascii="宋体" w:hAnsi="宋体" w:eastAsia="宋体" w:cs="宋体"/>
              </w:rPr>
            </w:pPr>
            <w:r>
              <w:rPr>
                <w:rFonts w:ascii="宋体" w:hAnsi="宋体" w:eastAsia="宋体" w:cs="宋体"/>
              </w:rPr>
              <w:t>0-6</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24" w:type="dxa"/>
            <w:vMerge w:val="continue"/>
            <w:vAlign w:val="center"/>
          </w:tcPr>
          <w:p>
            <w:pPr>
              <w:widowControl/>
              <w:jc w:val="center"/>
              <w:rPr>
                <w:rFonts w:ascii="宋体" w:hAnsi="宋体" w:eastAsia="宋体" w:cs="宋体"/>
                <w:b/>
                <w:bCs/>
                <w:kern w:val="0"/>
                <w:szCs w:val="21"/>
              </w:rPr>
            </w:pPr>
          </w:p>
        </w:tc>
        <w:tc>
          <w:tcPr>
            <w:tcW w:w="7591" w:type="dxa"/>
            <w:vAlign w:val="center"/>
          </w:tcPr>
          <w:p>
            <w:pPr>
              <w:pStyle w:val="129"/>
              <w:spacing w:beforeLines="0" w:line="240" w:lineRule="auto"/>
              <w:ind w:firstLine="0" w:firstLineChars="0"/>
              <w:rPr>
                <w:rFonts w:ascii="宋体" w:hAnsi="宋体" w:cs="宋体"/>
                <w:sz w:val="21"/>
                <w:lang w:val="zh-CN"/>
              </w:rPr>
            </w:pPr>
            <w:r>
              <w:rPr>
                <w:rFonts w:ascii="宋体" w:hAnsi="宋体" w:cs="宋体"/>
                <w:sz w:val="21"/>
                <w:lang w:val="zh-CN"/>
              </w:rPr>
              <w:t>4</w:t>
            </w:r>
            <w:r>
              <w:rPr>
                <w:rFonts w:hint="eastAsia" w:ascii="宋体" w:hAnsi="宋体" w:cs="宋体"/>
                <w:sz w:val="21"/>
                <w:lang w:val="zh-CN"/>
              </w:rPr>
              <w:t>、工作任务分工明确得当得</w:t>
            </w:r>
            <w:r>
              <w:rPr>
                <w:rFonts w:ascii="宋体" w:hAnsi="宋体" w:cs="宋体"/>
                <w:sz w:val="21"/>
                <w:lang w:val="zh-CN"/>
              </w:rPr>
              <w:t>3</w:t>
            </w:r>
            <w:r>
              <w:rPr>
                <w:rFonts w:hint="eastAsia" w:ascii="宋体" w:hAnsi="宋体" w:cs="宋体"/>
                <w:sz w:val="21"/>
                <w:lang w:val="zh-CN"/>
              </w:rPr>
              <w:t>分；基本明确得</w:t>
            </w:r>
            <w:r>
              <w:rPr>
                <w:rFonts w:ascii="宋体" w:hAnsi="宋体" w:cs="宋体"/>
                <w:sz w:val="21"/>
                <w:lang w:val="zh-CN"/>
              </w:rPr>
              <w:t>2</w:t>
            </w:r>
            <w:r>
              <w:rPr>
                <w:rFonts w:hint="eastAsia" w:ascii="宋体" w:hAnsi="宋体" w:cs="宋体"/>
                <w:sz w:val="21"/>
                <w:lang w:val="zh-CN"/>
              </w:rPr>
              <w:t>分；部分满足得</w:t>
            </w:r>
            <w:r>
              <w:rPr>
                <w:rFonts w:ascii="宋体" w:hAnsi="宋体" w:cs="宋体"/>
                <w:sz w:val="21"/>
                <w:lang w:val="zh-CN"/>
              </w:rPr>
              <w:t>1</w:t>
            </w:r>
            <w:r>
              <w:rPr>
                <w:rFonts w:hint="eastAsia" w:ascii="宋体" w:hAnsi="宋体" w:cs="宋体"/>
                <w:sz w:val="21"/>
                <w:lang w:val="zh-CN"/>
              </w:rPr>
              <w:t>分；未响应或描述不正确不得分。</w:t>
            </w:r>
            <w:r>
              <w:rPr>
                <w:rFonts w:ascii="宋体" w:hAnsi="宋体" w:cs="宋体"/>
                <w:sz w:val="21"/>
                <w:lang w:val="zh-CN"/>
              </w:rPr>
              <w:t xml:space="preserve"> </w:t>
            </w:r>
          </w:p>
          <w:p>
            <w:pPr>
              <w:pStyle w:val="129"/>
              <w:spacing w:beforeLines="0" w:line="240" w:lineRule="auto"/>
              <w:ind w:firstLine="0" w:firstLineChars="0"/>
              <w:rPr>
                <w:rFonts w:ascii="宋体" w:hAnsi="宋体" w:cs="宋体"/>
                <w:sz w:val="21"/>
                <w:lang w:val="zh-CN"/>
              </w:rPr>
            </w:pPr>
            <w:r>
              <w:rPr>
                <w:rFonts w:ascii="宋体" w:hAnsi="宋体" w:cs="宋体"/>
                <w:sz w:val="21"/>
                <w:lang w:val="zh-CN"/>
              </w:rPr>
              <w:t>5、工期安排合理、工作</w:t>
            </w:r>
            <w:r>
              <w:rPr>
                <w:rFonts w:hint="eastAsia" w:ascii="宋体" w:hAnsi="宋体" w:cs="宋体"/>
                <w:sz w:val="21"/>
                <w:lang w:val="zh-CN"/>
              </w:rPr>
              <w:t>流程设计合理。全部满足得</w:t>
            </w:r>
            <w:r>
              <w:rPr>
                <w:rFonts w:ascii="宋体" w:hAnsi="宋体" w:cs="宋体"/>
                <w:sz w:val="21"/>
                <w:lang w:val="zh-CN"/>
              </w:rPr>
              <w:t>2</w:t>
            </w:r>
            <w:r>
              <w:rPr>
                <w:rFonts w:hint="eastAsia" w:ascii="宋体" w:hAnsi="宋体" w:cs="宋体"/>
                <w:sz w:val="21"/>
                <w:lang w:val="zh-CN"/>
              </w:rPr>
              <w:t>分；基本满足得</w:t>
            </w:r>
            <w:r>
              <w:rPr>
                <w:rFonts w:ascii="宋体" w:hAnsi="宋体" w:cs="宋体"/>
                <w:sz w:val="21"/>
                <w:lang w:val="zh-CN"/>
              </w:rPr>
              <w:t>1</w:t>
            </w:r>
            <w:r>
              <w:rPr>
                <w:rFonts w:hint="eastAsia" w:ascii="宋体" w:hAnsi="宋体" w:cs="宋体"/>
                <w:sz w:val="21"/>
                <w:lang w:val="zh-CN"/>
              </w:rPr>
              <w:t>分；未响应或描述不正确不得分。</w:t>
            </w:r>
          </w:p>
        </w:tc>
        <w:tc>
          <w:tcPr>
            <w:tcW w:w="1202" w:type="dxa"/>
            <w:vAlign w:val="center"/>
          </w:tcPr>
          <w:p>
            <w:pPr>
              <w:widowControl/>
              <w:jc w:val="center"/>
              <w:rPr>
                <w:rFonts w:ascii="宋体" w:hAnsi="宋体" w:eastAsia="宋体" w:cs="宋体"/>
                <w:lang w:val="zh-CN"/>
              </w:rPr>
            </w:pPr>
            <w:r>
              <w:rPr>
                <w:rFonts w:ascii="宋体" w:hAnsi="宋体" w:eastAsia="宋体" w:cs="宋体"/>
              </w:rPr>
              <w:t>0-5</w:t>
            </w:r>
            <w:r>
              <w:rPr>
                <w:rFonts w:hint="eastAsia" w:ascii="宋体" w:hAnsi="宋体" w:eastAsia="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24" w:type="dxa"/>
            <w:vMerge w:val="continue"/>
            <w:vAlign w:val="center"/>
          </w:tcPr>
          <w:p>
            <w:pPr>
              <w:widowControl/>
              <w:jc w:val="center"/>
              <w:rPr>
                <w:rFonts w:ascii="宋体" w:hAnsi="宋体" w:eastAsia="宋体" w:cs="宋体"/>
                <w:b/>
                <w:bCs/>
                <w:kern w:val="0"/>
                <w:szCs w:val="21"/>
              </w:rPr>
            </w:pPr>
          </w:p>
        </w:tc>
        <w:tc>
          <w:tcPr>
            <w:tcW w:w="7591" w:type="dxa"/>
            <w:vAlign w:val="center"/>
          </w:tcPr>
          <w:p>
            <w:pPr>
              <w:pStyle w:val="129"/>
              <w:spacing w:beforeLines="0" w:line="240" w:lineRule="auto"/>
              <w:ind w:firstLine="0" w:firstLineChars="0"/>
              <w:rPr>
                <w:rFonts w:ascii="宋体" w:hAnsi="宋体" w:cs="宋体"/>
                <w:sz w:val="21"/>
                <w:lang w:val="zh-CN"/>
              </w:rPr>
            </w:pPr>
            <w:r>
              <w:rPr>
                <w:rFonts w:ascii="宋体" w:hAnsi="宋体" w:cs="宋体"/>
                <w:sz w:val="21"/>
                <w:lang w:val="zh-CN"/>
              </w:rPr>
              <w:t>6</w:t>
            </w:r>
            <w:r>
              <w:rPr>
                <w:rFonts w:hint="eastAsia" w:ascii="宋体" w:hAnsi="宋体" w:cs="宋体"/>
                <w:sz w:val="21"/>
                <w:lang w:val="zh-CN"/>
              </w:rPr>
              <w:t>、对项目实施保障措施合理、</w:t>
            </w:r>
            <w:r>
              <w:rPr>
                <w:rFonts w:ascii="宋体" w:hAnsi="宋体" w:cs="宋体"/>
                <w:sz w:val="21"/>
                <w:lang w:val="zh-CN"/>
              </w:rPr>
              <w:t>可行</w:t>
            </w:r>
            <w:r>
              <w:rPr>
                <w:rFonts w:hint="eastAsia" w:ascii="宋体" w:hAnsi="宋体" w:cs="宋体"/>
                <w:sz w:val="21"/>
                <w:lang w:val="zh-CN"/>
              </w:rPr>
              <w:t>得</w:t>
            </w:r>
            <w:r>
              <w:rPr>
                <w:rFonts w:ascii="宋体" w:hAnsi="宋体" w:cs="宋体"/>
                <w:sz w:val="21"/>
                <w:lang w:val="zh-CN"/>
              </w:rPr>
              <w:t>4-5</w:t>
            </w:r>
            <w:r>
              <w:rPr>
                <w:rFonts w:hint="eastAsia" w:ascii="宋体" w:hAnsi="宋体" w:cs="宋体"/>
                <w:sz w:val="21"/>
                <w:lang w:val="zh-CN"/>
              </w:rPr>
              <w:t>分；基本满足得</w:t>
            </w:r>
            <w:r>
              <w:rPr>
                <w:rFonts w:ascii="宋体" w:hAnsi="宋体" w:cs="宋体"/>
                <w:sz w:val="21"/>
                <w:lang w:val="zh-CN"/>
              </w:rPr>
              <w:t>2-3</w:t>
            </w:r>
            <w:r>
              <w:rPr>
                <w:rFonts w:hint="eastAsia" w:ascii="宋体" w:hAnsi="宋体" w:cs="宋体"/>
                <w:sz w:val="21"/>
                <w:lang w:val="zh-CN"/>
              </w:rPr>
              <w:t>分；项目实施保障措施不完善得</w:t>
            </w:r>
            <w:r>
              <w:rPr>
                <w:rFonts w:ascii="宋体" w:hAnsi="宋体" w:cs="宋体"/>
                <w:sz w:val="21"/>
                <w:lang w:val="zh-CN"/>
              </w:rPr>
              <w:t>1分；未响应或不可行不得分。</w:t>
            </w:r>
          </w:p>
        </w:tc>
        <w:tc>
          <w:tcPr>
            <w:tcW w:w="1202" w:type="dxa"/>
            <w:vAlign w:val="center"/>
          </w:tcPr>
          <w:p>
            <w:pPr>
              <w:widowControl/>
              <w:jc w:val="center"/>
              <w:rPr>
                <w:rFonts w:ascii="宋体" w:hAnsi="宋体" w:eastAsia="宋体" w:cs="宋体"/>
                <w:lang w:val="zh-CN"/>
              </w:rPr>
            </w:pPr>
            <w:r>
              <w:rPr>
                <w:rFonts w:ascii="宋体" w:hAnsi="宋体" w:eastAsia="宋体" w:cs="宋体"/>
              </w:rPr>
              <w:t>0-</w:t>
            </w:r>
            <w:r>
              <w:rPr>
                <w:rFonts w:ascii="宋体" w:hAnsi="宋体" w:eastAsia="宋体" w:cs="宋体"/>
                <w:lang w:val="zh-CN"/>
              </w:rPr>
              <w:t>5</w:t>
            </w:r>
            <w:r>
              <w:rPr>
                <w:rFonts w:hint="eastAsia" w:ascii="宋体" w:hAnsi="宋体" w:eastAsia="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24" w:type="dxa"/>
            <w:vMerge w:val="continue"/>
            <w:vAlign w:val="center"/>
          </w:tcPr>
          <w:p>
            <w:pPr>
              <w:widowControl/>
              <w:jc w:val="center"/>
              <w:rPr>
                <w:rFonts w:ascii="宋体" w:hAnsi="宋体" w:eastAsia="宋体" w:cs="宋体"/>
                <w:b/>
                <w:bCs/>
                <w:kern w:val="0"/>
                <w:szCs w:val="21"/>
              </w:rPr>
            </w:pPr>
          </w:p>
        </w:tc>
        <w:tc>
          <w:tcPr>
            <w:tcW w:w="7591" w:type="dxa"/>
            <w:vAlign w:val="center"/>
          </w:tcPr>
          <w:p>
            <w:pPr>
              <w:pStyle w:val="129"/>
              <w:spacing w:beforeLines="0" w:line="240" w:lineRule="auto"/>
              <w:ind w:firstLine="0" w:firstLineChars="0"/>
              <w:rPr>
                <w:rFonts w:ascii="宋体" w:hAnsi="宋体" w:cs="宋体"/>
                <w:sz w:val="21"/>
                <w:lang w:val="zh-CN"/>
              </w:rPr>
            </w:pPr>
            <w:r>
              <w:rPr>
                <w:rFonts w:ascii="宋体" w:hAnsi="宋体" w:cs="宋体"/>
                <w:sz w:val="21"/>
                <w:lang w:val="zh-CN"/>
              </w:rPr>
              <w:t>7</w:t>
            </w:r>
            <w:r>
              <w:rPr>
                <w:rFonts w:hint="eastAsia" w:ascii="宋体" w:hAnsi="宋体" w:cs="宋体"/>
                <w:sz w:val="21"/>
                <w:lang w:val="zh-CN"/>
              </w:rPr>
              <w:t>、项目预期成果齐全，内容完整、</w:t>
            </w:r>
            <w:r>
              <w:rPr>
                <w:rFonts w:ascii="宋体" w:hAnsi="宋体" w:cs="宋体"/>
                <w:sz w:val="21"/>
                <w:lang w:val="zh-CN"/>
              </w:rPr>
              <w:t>符合</w:t>
            </w:r>
            <w:r>
              <w:rPr>
                <w:rFonts w:hint="eastAsia" w:ascii="宋体" w:hAnsi="宋体" w:cs="宋体"/>
                <w:sz w:val="21"/>
                <w:lang w:val="zh-CN"/>
              </w:rPr>
              <w:t>实际，</w:t>
            </w:r>
            <w:r>
              <w:rPr>
                <w:rFonts w:ascii="宋体" w:hAnsi="宋体" w:cs="宋体"/>
                <w:sz w:val="21"/>
                <w:lang w:val="zh-CN"/>
              </w:rPr>
              <w:t>能</w:t>
            </w:r>
            <w:r>
              <w:rPr>
                <w:rFonts w:hint="eastAsia" w:ascii="宋体" w:hAnsi="宋体" w:cs="宋体"/>
                <w:sz w:val="21"/>
                <w:lang w:val="zh-CN"/>
              </w:rPr>
              <w:t>满足项目要求得</w:t>
            </w:r>
            <w:r>
              <w:rPr>
                <w:rFonts w:ascii="宋体" w:hAnsi="宋体" w:cs="宋体"/>
                <w:sz w:val="21"/>
                <w:lang w:val="zh-CN"/>
              </w:rPr>
              <w:t>4-5</w:t>
            </w:r>
            <w:r>
              <w:rPr>
                <w:rFonts w:hint="eastAsia" w:ascii="宋体" w:hAnsi="宋体" w:cs="宋体"/>
                <w:sz w:val="21"/>
                <w:lang w:val="zh-CN"/>
              </w:rPr>
              <w:t>分；</w:t>
            </w:r>
            <w:r>
              <w:rPr>
                <w:rFonts w:ascii="宋体" w:hAnsi="宋体" w:cs="宋体"/>
                <w:sz w:val="21"/>
                <w:lang w:val="zh-CN"/>
              </w:rPr>
              <w:t>基本</w:t>
            </w:r>
            <w:r>
              <w:rPr>
                <w:rFonts w:hint="eastAsia" w:ascii="宋体" w:hAnsi="宋体" w:cs="宋体"/>
                <w:sz w:val="21"/>
                <w:lang w:val="zh-CN"/>
              </w:rPr>
              <w:t>满足项目要求得</w:t>
            </w:r>
            <w:r>
              <w:rPr>
                <w:rFonts w:ascii="宋体" w:hAnsi="宋体" w:cs="宋体"/>
                <w:sz w:val="21"/>
                <w:lang w:val="zh-CN"/>
              </w:rPr>
              <w:t>2-3</w:t>
            </w:r>
            <w:r>
              <w:rPr>
                <w:rFonts w:hint="eastAsia" w:ascii="宋体" w:hAnsi="宋体" w:cs="宋体"/>
                <w:sz w:val="21"/>
                <w:lang w:val="zh-CN"/>
              </w:rPr>
              <w:t>分；</w:t>
            </w:r>
            <w:r>
              <w:rPr>
                <w:rFonts w:ascii="宋体" w:hAnsi="宋体" w:cs="宋体"/>
                <w:sz w:val="21"/>
                <w:lang w:val="zh-CN"/>
              </w:rPr>
              <w:t>部分</w:t>
            </w:r>
            <w:r>
              <w:rPr>
                <w:rFonts w:hint="eastAsia" w:ascii="宋体" w:hAnsi="宋体" w:cs="宋体"/>
                <w:sz w:val="21"/>
                <w:lang w:val="zh-CN"/>
              </w:rPr>
              <w:t>满足项目要求得</w:t>
            </w:r>
            <w:r>
              <w:rPr>
                <w:rFonts w:ascii="宋体" w:hAnsi="宋体" w:cs="宋体"/>
                <w:sz w:val="21"/>
                <w:lang w:val="zh-CN"/>
              </w:rPr>
              <w:t>0-1分。</w:t>
            </w:r>
          </w:p>
        </w:tc>
        <w:tc>
          <w:tcPr>
            <w:tcW w:w="1202" w:type="dxa"/>
            <w:vAlign w:val="center"/>
          </w:tcPr>
          <w:p>
            <w:pPr>
              <w:widowControl/>
              <w:jc w:val="center"/>
              <w:rPr>
                <w:rFonts w:ascii="宋体" w:hAnsi="宋体" w:eastAsia="宋体" w:cs="宋体"/>
                <w:lang w:val="zh-CN"/>
              </w:rPr>
            </w:pPr>
            <w:r>
              <w:rPr>
                <w:rFonts w:ascii="宋体" w:hAnsi="宋体" w:eastAsia="宋体" w:cs="宋体"/>
              </w:rPr>
              <w:t>0-</w:t>
            </w:r>
            <w:r>
              <w:rPr>
                <w:rFonts w:ascii="宋体" w:hAnsi="宋体" w:eastAsia="宋体" w:cs="宋体"/>
                <w:lang w:val="zh-CN"/>
              </w:rPr>
              <w:t>5</w:t>
            </w:r>
            <w:r>
              <w:rPr>
                <w:rFonts w:hint="eastAsia" w:ascii="宋体" w:hAnsi="宋体" w:eastAsia="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4"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项目整体实施方案</w:t>
            </w:r>
          </w:p>
          <w:p>
            <w:pPr>
              <w:widowControl/>
              <w:jc w:val="center"/>
              <w:rPr>
                <w:rFonts w:ascii="宋体" w:hAnsi="宋体" w:eastAsia="宋体" w:cs="宋体"/>
                <w:b/>
                <w:bCs/>
                <w:kern w:val="0"/>
                <w:szCs w:val="21"/>
              </w:rPr>
            </w:pPr>
            <w:r>
              <w:rPr>
                <w:rFonts w:hint="eastAsia" w:ascii="宋体" w:hAnsi="宋体" w:eastAsia="宋体" w:cs="宋体"/>
                <w:b/>
                <w:bCs/>
                <w:kern w:val="0"/>
                <w:szCs w:val="21"/>
              </w:rPr>
              <w:t>（</w:t>
            </w:r>
            <w:r>
              <w:rPr>
                <w:rFonts w:ascii="宋体" w:hAnsi="宋体" w:eastAsia="宋体" w:cs="宋体"/>
                <w:b/>
                <w:bCs/>
                <w:kern w:val="0"/>
                <w:szCs w:val="21"/>
              </w:rPr>
              <w:t>5</w:t>
            </w:r>
            <w:r>
              <w:rPr>
                <w:rFonts w:hint="eastAsia" w:ascii="宋体" w:hAnsi="宋体" w:eastAsia="宋体" w:cs="宋体"/>
                <w:b/>
                <w:bCs/>
                <w:kern w:val="0"/>
                <w:szCs w:val="21"/>
              </w:rPr>
              <w:t>分）</w:t>
            </w:r>
          </w:p>
        </w:tc>
        <w:tc>
          <w:tcPr>
            <w:tcW w:w="7591" w:type="dxa"/>
            <w:vAlign w:val="center"/>
          </w:tcPr>
          <w:p>
            <w:pPr>
              <w:widowControl/>
              <w:jc w:val="left"/>
              <w:rPr>
                <w:rFonts w:ascii="宋体" w:hAnsi="宋体" w:eastAsia="宋体" w:cs="宋体"/>
                <w:lang w:val="zh-CN"/>
              </w:rPr>
            </w:pPr>
            <w:r>
              <w:rPr>
                <w:rFonts w:ascii="宋体" w:hAnsi="宋体" w:eastAsia="宋体" w:cs="宋体"/>
                <w:lang w:val="zh-CN"/>
              </w:rPr>
              <w:t>8、</w:t>
            </w:r>
            <w:r>
              <w:rPr>
                <w:rFonts w:hint="eastAsia" w:ascii="宋体" w:hAnsi="宋体" w:eastAsia="宋体" w:cs="宋体"/>
                <w:lang w:val="zh-CN"/>
              </w:rPr>
              <w:t>项目组织实施分工具体，工作方法符合实际情况、具体可行得</w:t>
            </w:r>
            <w:r>
              <w:rPr>
                <w:rFonts w:ascii="宋体" w:hAnsi="宋体" w:eastAsia="宋体" w:cs="宋体"/>
                <w:lang w:val="zh-CN"/>
              </w:rPr>
              <w:t>2分</w:t>
            </w:r>
            <w:r>
              <w:rPr>
                <w:rFonts w:hint="eastAsia" w:ascii="宋体" w:hAnsi="宋体" w:eastAsia="宋体" w:cs="宋体"/>
                <w:lang w:val="zh-CN"/>
              </w:rPr>
              <w:t>；基本满足得</w:t>
            </w:r>
            <w:r>
              <w:rPr>
                <w:rFonts w:ascii="宋体" w:hAnsi="宋体" w:eastAsia="宋体" w:cs="宋体"/>
                <w:lang w:val="zh-CN"/>
              </w:rPr>
              <w:t>1分；未响应或不</w:t>
            </w:r>
            <w:r>
              <w:rPr>
                <w:rFonts w:hint="eastAsia" w:ascii="宋体" w:hAnsi="宋体" w:eastAsia="宋体" w:cs="宋体"/>
                <w:lang w:val="zh-CN"/>
              </w:rPr>
              <w:t>满足不得分。</w:t>
            </w:r>
          </w:p>
          <w:p>
            <w:pPr>
              <w:widowControl/>
              <w:jc w:val="left"/>
              <w:rPr>
                <w:rFonts w:ascii="宋体" w:hAnsi="宋体" w:eastAsia="宋体" w:cs="宋体"/>
                <w:lang w:val="zh-CN"/>
              </w:rPr>
            </w:pPr>
            <w:r>
              <w:rPr>
                <w:rFonts w:ascii="宋体" w:hAnsi="宋体" w:eastAsia="宋体" w:cs="宋体"/>
                <w:lang w:val="zh-CN"/>
              </w:rPr>
              <w:t>9、</w:t>
            </w:r>
            <w:r>
              <w:rPr>
                <w:rFonts w:hint="eastAsia" w:ascii="宋体" w:hAnsi="宋体" w:eastAsia="宋体" w:cs="宋体"/>
                <w:lang w:val="zh-CN"/>
              </w:rPr>
              <w:t>保障措施全面细致、可操作性强，计划进度安排科学具体、合理可行得</w:t>
            </w:r>
            <w:r>
              <w:rPr>
                <w:rFonts w:ascii="宋体" w:hAnsi="宋体" w:eastAsia="宋体" w:cs="宋体"/>
                <w:lang w:val="zh-CN"/>
              </w:rPr>
              <w:t>2</w:t>
            </w:r>
            <w:r>
              <w:rPr>
                <w:rFonts w:hint="eastAsia" w:ascii="宋体" w:hAnsi="宋体" w:eastAsia="宋体" w:cs="宋体"/>
                <w:lang w:val="zh-CN"/>
              </w:rPr>
              <w:t>分；基本可行得</w:t>
            </w:r>
            <w:r>
              <w:rPr>
                <w:rFonts w:ascii="宋体" w:hAnsi="宋体" w:eastAsia="宋体" w:cs="宋体"/>
                <w:lang w:val="zh-CN"/>
              </w:rPr>
              <w:t>1分；未响应或不可行不得分。</w:t>
            </w:r>
          </w:p>
          <w:p>
            <w:pPr>
              <w:widowControl/>
              <w:jc w:val="left"/>
              <w:rPr>
                <w:rFonts w:ascii="宋体" w:hAnsi="宋体" w:eastAsia="宋体" w:cs="宋体"/>
                <w:lang w:val="zh-CN"/>
              </w:rPr>
            </w:pPr>
            <w:r>
              <w:rPr>
                <w:rFonts w:ascii="宋体" w:hAnsi="宋体" w:eastAsia="宋体" w:cs="宋体"/>
                <w:lang w:val="zh-CN"/>
              </w:rPr>
              <w:t>10</w:t>
            </w:r>
            <w:r>
              <w:rPr>
                <w:rFonts w:hint="eastAsia" w:ascii="宋体" w:hAnsi="宋体" w:eastAsia="宋体" w:cs="宋体"/>
                <w:lang w:val="zh-CN"/>
              </w:rPr>
              <w:t>、针对本项目的保障措施具体、有效，能够保证数据安全得</w:t>
            </w:r>
            <w:r>
              <w:rPr>
                <w:rFonts w:ascii="宋体" w:hAnsi="宋体" w:eastAsia="宋体" w:cs="宋体"/>
                <w:lang w:val="zh-CN"/>
              </w:rPr>
              <w:t>1分</w:t>
            </w:r>
            <w:r>
              <w:rPr>
                <w:rFonts w:hint="eastAsia" w:ascii="宋体" w:hAnsi="宋体" w:eastAsia="宋体" w:cs="宋体"/>
                <w:lang w:val="zh-CN"/>
              </w:rPr>
              <w:t>；未响应或不满足要求不得分。</w:t>
            </w:r>
          </w:p>
        </w:tc>
        <w:tc>
          <w:tcPr>
            <w:tcW w:w="1202" w:type="dxa"/>
            <w:vAlign w:val="center"/>
          </w:tcPr>
          <w:p>
            <w:pPr>
              <w:widowControl/>
              <w:jc w:val="center"/>
              <w:rPr>
                <w:rFonts w:ascii="宋体" w:hAnsi="宋体" w:eastAsia="宋体" w:cs="宋体"/>
                <w:lang w:val="zh-CN"/>
              </w:rPr>
            </w:pPr>
            <w:r>
              <w:rPr>
                <w:rFonts w:ascii="宋体" w:hAnsi="宋体" w:eastAsia="宋体" w:cs="宋体"/>
              </w:rPr>
              <w:t>0-</w:t>
            </w:r>
            <w:r>
              <w:rPr>
                <w:rFonts w:ascii="宋体" w:hAnsi="宋体" w:eastAsia="宋体" w:cs="宋体"/>
                <w:lang w:val="zh-CN"/>
              </w:rPr>
              <w:t>5</w:t>
            </w:r>
            <w:r>
              <w:rPr>
                <w:rFonts w:hint="eastAsia" w:ascii="宋体" w:hAnsi="宋体" w:eastAsia="宋体" w:cs="宋体"/>
                <w:lang w:val="zh-CN"/>
              </w:rPr>
              <w:t>分</w:t>
            </w:r>
          </w:p>
        </w:tc>
      </w:tr>
    </w:tbl>
    <w:p>
      <w:pPr>
        <w:rPr>
          <w:rFonts w:hint="eastAsia"/>
          <w:lang w:eastAsia="zh-CN"/>
        </w:rPr>
      </w:pPr>
    </w:p>
    <w:p>
      <w:pPr>
        <w:spacing w:line="400" w:lineRule="exact"/>
        <w:ind w:firstLine="210" w:firstLineChars="10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bCs/>
          <w:sz w:val="21"/>
          <w:szCs w:val="21"/>
        </w:rPr>
        <w:t>26.4</w:t>
      </w:r>
      <w:r>
        <w:rPr>
          <w:rFonts w:hint="eastAsia" w:asciiTheme="minorEastAsia" w:hAnsiTheme="minorEastAsia" w:eastAsiaTheme="minorEastAsia" w:cstheme="minorEastAsia"/>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27．磋商过程的保密性</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27.2 供应商在磋商过程中，所进行的力图影响磋商结果的，不符合《政府采购法》及本次磋商中有关规定的活动，将被取消其磋商资格。</w:t>
      </w:r>
    </w:p>
    <w:p>
      <w:pPr>
        <w:pStyle w:val="5"/>
        <w:spacing w:before="0" w:after="0" w:line="400" w:lineRule="exact"/>
        <w:jc w:val="center"/>
        <w:rPr>
          <w:rFonts w:hint="eastAsia" w:asciiTheme="minorEastAsia" w:hAnsiTheme="minorEastAsia" w:eastAsiaTheme="minorEastAsia" w:cstheme="minorEastAsia"/>
          <w:sz w:val="21"/>
          <w:szCs w:val="21"/>
        </w:rPr>
      </w:pPr>
      <w:bookmarkStart w:id="42" w:name="_Toc349637925"/>
      <w:bookmarkStart w:id="43" w:name="_Toc462223637"/>
      <w:bookmarkStart w:id="44" w:name="_Toc349573126"/>
      <w:bookmarkStart w:id="45" w:name="_Toc298240410"/>
      <w:bookmarkStart w:id="46" w:name="_Toc267301287"/>
      <w:r>
        <w:rPr>
          <w:rFonts w:hint="eastAsia" w:asciiTheme="minorEastAsia" w:hAnsiTheme="minorEastAsia" w:eastAsiaTheme="minorEastAsia" w:cstheme="minorEastAsia"/>
          <w:sz w:val="21"/>
          <w:szCs w:val="21"/>
        </w:rPr>
        <w:t>（六）授予合同</w:t>
      </w:r>
      <w:bookmarkEnd w:id="42"/>
      <w:bookmarkEnd w:id="43"/>
      <w:bookmarkEnd w:id="44"/>
      <w:bookmarkEnd w:id="45"/>
      <w:bookmarkEnd w:id="4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28、合同授予标准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28.1</w:t>
      </w:r>
      <w:r>
        <w:rPr>
          <w:rFonts w:hint="eastAsia" w:asciiTheme="minorEastAsia" w:hAnsiTheme="minorEastAsia" w:eastAsiaTheme="minorEastAsia" w:cstheme="minorEastAsia"/>
          <w:bCs/>
          <w:sz w:val="21"/>
          <w:szCs w:val="21"/>
        </w:rPr>
        <w:t>合同将授予被确定为实质上响应磋商文件要求，符合采购需求、质量和服务相等且报价最低的供应商</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28.2 最低报价不一定是被授予合同的保证。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28.3 如果确定该供应商无法圆满履行合同，招标代理机构将对下一个可能中标的供应商资格作出类似的审查。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29、接受和拒绝任何或所有磋商的权力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29.1为维护国家利益，买方在授予合同之前仍有选择或拒绝任何全部磋商的权力，并对所采取的行为不作任何解释。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30、成交通知书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30.1 成交公告期满后，招标代理机构将以书面形式发出《成交通知书》，但发出时间不超过磋商有效期，《成交通知书》一经发出即发生法律效力。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30.2 《成交通知书》将作为签订合同的依据。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30.3 招标代理机构将在成交方按规定签订合同并提交履约保证金（如适用）后退还其磋商保证金。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31、签订合同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 供应商收到《成交通知书》后，按《成交通知书》中规定的时间地点与买方签订合同。买方和成交方不得再订立背离合同实质性内容的其他协议。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31.2如成交方拒签合同，则按违约处理。招标代理机构没收其磋商保证金。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31.3磋商文件、成交方的磋商响应文件及其澄清文件等，均为签订经济合同的依据。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32、履约保证金（如适用）</w:t>
      </w:r>
      <w:r>
        <w:rPr>
          <w:rFonts w:hint="eastAsia" w:asciiTheme="minorEastAsia" w:hAnsiTheme="minorEastAsia" w:eastAsiaTheme="minorEastAsia" w:cstheme="minorEastAsia"/>
          <w:sz w:val="21"/>
          <w:szCs w:val="21"/>
          <w:lang w:eastAsia="zh-CN"/>
        </w:rPr>
        <w:t>及</w:t>
      </w:r>
      <w:r>
        <w:rPr>
          <w:rFonts w:hint="eastAsia" w:asciiTheme="minorEastAsia" w:hAnsiTheme="minorEastAsia" w:eastAsiaTheme="minorEastAsia" w:cstheme="minorEastAsia"/>
          <w:sz w:val="21"/>
          <w:szCs w:val="21"/>
        </w:rPr>
        <w:t>招标代理服务费</w:t>
      </w:r>
    </w:p>
    <w:p>
      <w:pPr>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32.1成交方应按合同规定的方式、时间和金额向买方提交履约保证金。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成交方须向招标代理机构按如下标准和期限交纳招标代理代理服务费：</w:t>
      </w:r>
    </w:p>
    <w:p>
      <w:pPr>
        <w:pStyle w:val="23"/>
        <w:adjustRightInd w:val="0"/>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sz w:val="21"/>
          <w:szCs w:val="21"/>
        </w:rPr>
        <w:t>成交方须向宏业国际项目管理有限公司支付招标代理服务费。</w:t>
      </w:r>
    </w:p>
    <w:p>
      <w:pPr>
        <w:pStyle w:val="23"/>
        <w:adjustRightInd w:val="0"/>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2.4</w:t>
      </w:r>
      <w:r>
        <w:rPr>
          <w:rFonts w:hint="eastAsia" w:asciiTheme="minorEastAsia" w:hAnsiTheme="minorEastAsia" w:eastAsiaTheme="minorEastAsia" w:cstheme="minorEastAsia"/>
          <w:bCs/>
          <w:sz w:val="21"/>
          <w:szCs w:val="21"/>
        </w:rPr>
        <w:t xml:space="preserve"> 在合同签订后一周内，成交方须按规定的标准以网银或电汇的方式一次性向招标代理机构缴纳磋商代理服务费。</w:t>
      </w:r>
      <w:bookmarkStart w:id="47" w:name="_Toc267301288"/>
    </w:p>
    <w:p>
      <w:pPr>
        <w:pStyle w:val="5"/>
        <w:spacing w:before="0" w:after="0" w:line="400" w:lineRule="exact"/>
        <w:jc w:val="center"/>
        <w:rPr>
          <w:rFonts w:hint="eastAsia" w:asciiTheme="minorEastAsia" w:hAnsiTheme="minorEastAsia" w:eastAsiaTheme="minorEastAsia" w:cstheme="minorEastAsia"/>
          <w:sz w:val="21"/>
          <w:szCs w:val="21"/>
        </w:rPr>
      </w:pPr>
      <w:bookmarkStart w:id="48" w:name="_Toc349637926"/>
      <w:bookmarkStart w:id="49" w:name="_Toc298240411"/>
      <w:bookmarkStart w:id="50" w:name="_Toc349573127"/>
      <w:r>
        <w:rPr>
          <w:rFonts w:hint="eastAsia" w:asciiTheme="minorEastAsia" w:hAnsiTheme="minorEastAsia" w:eastAsiaTheme="minorEastAsia" w:cstheme="minorEastAsia"/>
          <w:sz w:val="21"/>
          <w:szCs w:val="21"/>
          <w:lang w:eastAsia="zh-CN"/>
        </w:rPr>
        <w:t>（七）</w:t>
      </w:r>
      <w:r>
        <w:rPr>
          <w:rFonts w:hint="eastAsia" w:asciiTheme="minorEastAsia" w:hAnsiTheme="minorEastAsia" w:eastAsiaTheme="minorEastAsia" w:cstheme="minorEastAsia"/>
          <w:sz w:val="21"/>
          <w:szCs w:val="21"/>
        </w:rPr>
        <w:t>质疑的提出及处理</w:t>
      </w:r>
    </w:p>
    <w:p>
      <w:pPr>
        <w:spacing w:line="440" w:lineRule="exact"/>
        <w:ind w:firstLine="472" w:firstLineChars="196"/>
        <w:rPr>
          <w:rFonts w:hint="eastAsia" w:ascii="宋体"/>
          <w:b/>
          <w:sz w:val="24"/>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政府采购供应商（以下简称供应商）提出质疑和投诉应当坚持依法依规、诚实信用原则。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质疑的提出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 供应商认为采购文件、采购过程、中标或者成交结果使自己的权益受到损害的，可以在知道或者应知其权益受到损害之日起七个工作日内，以书面形式向采购人、采购代理机构提出质疑。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采购文件可以要求供应商在法定质疑期内一次性提出针对同一采购程序环节的质疑。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33.2 提出质疑的供应商（以下简称质疑供应商）应当是参与所质疑项目采购活动的供应商。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潜在供应商已依法获取其可质疑的采购文件的，可以对该文件提出质疑。对采购文件提出质疑的，应当在获取采购文件或者采购文件公告期限届满之日起7个工作日内提出。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 供应商提出质疑应当提交质疑函和必要的证明材料。质疑函应当包括下列内容：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（1）供应商的姓名或者名称、地址、邮编、联系人及联系电话；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（2）质疑项目的名称、编号；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（3）具体、明确的质疑事项和与质疑事项相关的请求；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（4）事实依据；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（5）必要的法律依据；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（6）提出质疑的日期。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供应商为自然人的，应当由本人签字；供应商为法人或者其他组织的，应当由法定代表人、主要负责人，或者其授权代表签字或者盖章，并加盖公章。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提出质疑时，必须按照“实事求是”、“谁主张，谁举证”的原则，提供相关证明材料，不能主观臆测。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代理人提出质疑和投诉，应当提交供应商签署的授权委托书。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33.5 以联合体形式参加政府采购活动的，其投诉应当由组成联合体的所有供应商共同提出。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33.7 证明材料要具备客观性、关联性、合法性，无法查实的（如宣传册、媒体报道、猜测、推理等）不能作为证明材料。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33.8 对不能提供相关证明材料的、涉及商业秘密的、非书面形式送达的、匿名的质疑将不予受理。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 受理和处理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 《质疑函》必须由质疑方的法定代表人或参与本次投标的被授权人以书面的形式送达招标方或采购单位。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34.2采购人、采购代理机构不得拒收质疑供应商在法定质疑期内发出的质疑函，应当在收到质疑函后7个工作日内作出答复，并以书面形式通知质疑供应商和其他有关供应商。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34.3质疑答复的内容不得涉及商业秘密。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 对于不符合上述33项所述的相关条款要求的质疑，招标方将不予受理。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34.5 在处理过程中，发现需要质疑人进一步补充相关佐证材料的，要求质疑人在规定时间内提供。质疑人不能按照要求提供相关佐证材料的，视同放弃质疑。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34.6 招标方或采购单位负责对质疑的回复工作，将质疑人的质疑材料提供给相关专家或评标委员会，并将处理意见回复质疑人。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34.7采购人、采购代理机构认为供应商质疑不成立，或者成立但未对中标、成交结果构成影响的，继续开展采购活动；认为供应商质疑成立且影响或者可能影响中标、成交结果的，按照下列情况处理：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（1）对采购文件提出的质疑，依法通过澄清或者修改可以继续开展采购活动的，澄清或者修改采购文件后继续开展采购活动；否则应当修改采购文件后重新开展采购活动。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质疑答复导致中标、成交结果改变的，采购人或者采购代理机构应当将有关情况书面报告本级财政部门。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 质疑无效的处理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 质疑人提供的相关佐证材料不能证明质疑成立的，招标方可要求质疑人补充相关佐证材料，如补充材料仍不能证明质疑成立的，将不予受理。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 对于质疑人在质疑期间不配合进行质疑调查处理的，视为自动放弃质疑。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35.3 质疑人提出的质疑，经评标专家审定后驳回的，列为无效质疑。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35.4 对于质疑中使用虚假材料或恶意方式质疑的，按无效质疑处理，并列入不良记录供应商名单。</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35.5 质疑人进行质疑后，招标方在法定时间内对质疑进行回复，质疑人认为回复不满意的，可向相关的采购管理部门进行投诉。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36.1质疑函和投诉书应当使用中文。质疑函和投诉书的范本，由财政部制定。</w:t>
      </w:r>
    </w:p>
    <w:p>
      <w:pPr>
        <w:spacing w:line="400" w:lineRule="exact"/>
        <w:ind w:firstLine="211" w:firstLineChars="1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36.2对在质疑答复和投诉处理过程中知悉的国家秘密、商业秘密、个人隐私和依法不予公开的信息，财政部门、采购人、采购代理机构等相关知情人应当保密。</w:t>
      </w:r>
    </w:p>
    <w:p>
      <w:pPr>
        <w:pStyle w:val="5"/>
        <w:spacing w:before="0" w:after="0" w:line="400" w:lineRule="exact"/>
        <w:jc w:val="center"/>
        <w:rPr>
          <w:rFonts w:hint="eastAsia" w:asciiTheme="minorEastAsia" w:hAnsiTheme="minorEastAsia" w:eastAsiaTheme="minorEastAsia" w:cstheme="minorEastAsia"/>
          <w:bCs/>
          <w:sz w:val="21"/>
          <w:szCs w:val="21"/>
        </w:rPr>
      </w:pPr>
      <w:bookmarkStart w:id="51" w:name="_Toc462223638"/>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八</w:t>
      </w:r>
      <w:r>
        <w:rPr>
          <w:rFonts w:hint="eastAsia" w:asciiTheme="minorEastAsia" w:hAnsiTheme="minorEastAsia" w:eastAsiaTheme="minorEastAsia" w:cstheme="minorEastAsia"/>
          <w:sz w:val="21"/>
          <w:szCs w:val="21"/>
        </w:rPr>
        <w:t>）磋商失败条件</w:t>
      </w:r>
      <w:bookmarkEnd w:id="51"/>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、出现影响采购公正的违法、违规行为的；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、因重大变故，采购任务取消的；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9</w:t>
      </w:r>
      <w:r>
        <w:rPr>
          <w:rFonts w:hint="eastAsia" w:asciiTheme="minorEastAsia" w:hAnsiTheme="minorEastAsia" w:eastAsiaTheme="minorEastAsia" w:cstheme="minorEastAsia"/>
          <w:bCs/>
          <w:sz w:val="21"/>
          <w:szCs w:val="21"/>
        </w:rPr>
        <w:t>、磋商响应文件截止时间后，实际参与的供应商不足法定家数的；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w:t>
      </w:r>
      <w:r>
        <w:rPr>
          <w:rFonts w:hint="eastAsia" w:asciiTheme="minorEastAsia" w:hAnsiTheme="minorEastAsia" w:eastAsiaTheme="minorEastAsia" w:cstheme="minorEastAsia"/>
          <w:bCs/>
          <w:sz w:val="21"/>
          <w:szCs w:val="21"/>
        </w:rPr>
        <w:t>、最终报价均超过采购预算的；</w:t>
      </w:r>
    </w:p>
    <w:p>
      <w:pPr>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41</w:t>
      </w:r>
      <w:r>
        <w:rPr>
          <w:rFonts w:hint="eastAsia" w:asciiTheme="minorEastAsia" w:hAnsiTheme="minorEastAsia" w:eastAsiaTheme="minorEastAsia" w:cstheme="minorEastAsia"/>
          <w:bCs/>
          <w:sz w:val="21"/>
          <w:szCs w:val="21"/>
        </w:rPr>
        <w:t>、对磋商文件作出实质性响应的供应商不足法定家数的；</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br w:type="page"/>
      </w:r>
    </w:p>
    <w:bookmarkEnd w:id="47"/>
    <w:bookmarkEnd w:id="48"/>
    <w:bookmarkEnd w:id="49"/>
    <w:bookmarkEnd w:id="50"/>
    <w:p>
      <w:pPr>
        <w:numPr>
          <w:ilvl w:val="0"/>
          <w:numId w:val="4"/>
        </w:numPr>
        <w:spacing w:line="400" w:lineRule="exact"/>
        <w:jc w:val="center"/>
        <w:outlineLvl w:val="0"/>
        <w:rPr>
          <w:rFonts w:hint="eastAsia" w:asciiTheme="minorEastAsia" w:hAnsiTheme="minorEastAsia" w:eastAsiaTheme="minorEastAsia" w:cstheme="minorEastAsia"/>
          <w:b/>
          <w:sz w:val="21"/>
          <w:szCs w:val="21"/>
        </w:rPr>
      </w:pPr>
      <w:bookmarkStart w:id="52" w:name="_Toc16105"/>
      <w:r>
        <w:rPr>
          <w:rFonts w:hint="eastAsia" w:asciiTheme="minorEastAsia" w:hAnsiTheme="minorEastAsia" w:eastAsiaTheme="minorEastAsia" w:cstheme="minorEastAsia"/>
          <w:b/>
          <w:sz w:val="21"/>
          <w:szCs w:val="21"/>
        </w:rPr>
        <w:t xml:space="preserve"> 项目需求</w:t>
      </w:r>
      <w:bookmarkEnd w:id="52"/>
    </w:p>
    <w:p>
      <w:pPr>
        <w:pStyle w:val="33"/>
        <w:widowControl/>
        <w:numPr>
          <w:ilvl w:val="0"/>
          <w:numId w:val="5"/>
        </w:numPr>
        <w:spacing w:beforeAutospacing="0" w:afterAutospacing="0" w:line="560" w:lineRule="exact"/>
        <w:ind w:left="0" w:firstLine="0"/>
        <w:jc w:val="both"/>
        <w:rPr>
          <w:rStyle w:val="39"/>
          <w:rFonts w:ascii="宋体" w:hAnsi="宋体" w:cs="Arial"/>
          <w:sz w:val="24"/>
          <w:szCs w:val="24"/>
        </w:rPr>
      </w:pPr>
      <w:r>
        <w:rPr>
          <w:rStyle w:val="39"/>
          <w:rFonts w:hint="eastAsia" w:ascii="宋体" w:hAnsi="宋体" w:cs="Arial"/>
          <w:sz w:val="24"/>
          <w:szCs w:val="24"/>
        </w:rPr>
        <w:t>采购需求</w:t>
      </w:r>
    </w:p>
    <w:p>
      <w:pPr>
        <w:pStyle w:val="33"/>
        <w:widowControl/>
        <w:spacing w:beforeAutospacing="0" w:afterAutospacing="0" w:line="560" w:lineRule="exact"/>
        <w:jc w:val="both"/>
        <w:rPr>
          <w:rStyle w:val="39"/>
          <w:rFonts w:ascii="宋体" w:hAnsi="宋体" w:cs="Arial"/>
          <w:sz w:val="24"/>
          <w:szCs w:val="24"/>
        </w:rPr>
      </w:pPr>
      <w:r>
        <w:rPr>
          <w:rStyle w:val="39"/>
          <w:rFonts w:hint="eastAsia" w:ascii="宋体" w:hAnsi="宋体" w:cs="Arial"/>
          <w:sz w:val="24"/>
          <w:szCs w:val="24"/>
        </w:rPr>
        <w:t>（一）</w:t>
      </w:r>
      <w:r>
        <w:rPr>
          <w:rStyle w:val="39"/>
          <w:rFonts w:ascii="宋体" w:hAnsi="宋体" w:cs="Arial"/>
          <w:sz w:val="24"/>
          <w:szCs w:val="24"/>
        </w:rPr>
        <w:t>项目基本情况</w:t>
      </w:r>
    </w:p>
    <w:p>
      <w:pPr>
        <w:pStyle w:val="33"/>
        <w:widowControl/>
        <w:spacing w:beforeAutospacing="0" w:afterAutospacing="0" w:line="560" w:lineRule="exact"/>
        <w:ind w:firstLine="480" w:firstLineChars="200"/>
        <w:rPr>
          <w:rFonts w:ascii="宋体" w:hAnsi="宋体" w:cs="微软雅黑"/>
          <w:sz w:val="24"/>
          <w:szCs w:val="24"/>
        </w:rPr>
      </w:pPr>
      <w:r>
        <w:rPr>
          <w:rFonts w:hint="eastAsia" w:ascii="宋体" w:hAnsi="宋体" w:cs="微软雅黑"/>
          <w:sz w:val="24"/>
          <w:szCs w:val="24"/>
        </w:rPr>
        <w:t>项目名称：自治区园地、林地、草地分等定级指标体系建设及成果报告项目采购方案</w:t>
      </w:r>
    </w:p>
    <w:p>
      <w:pPr>
        <w:pStyle w:val="33"/>
        <w:widowControl/>
        <w:spacing w:beforeAutospacing="0" w:afterAutospacing="0" w:line="560" w:lineRule="exact"/>
        <w:ind w:firstLine="480" w:firstLineChars="200"/>
        <w:rPr>
          <w:rFonts w:ascii="宋体" w:hAnsi="宋体" w:cs="微软雅黑"/>
          <w:sz w:val="24"/>
          <w:szCs w:val="24"/>
        </w:rPr>
      </w:pPr>
      <w:r>
        <w:rPr>
          <w:rFonts w:hint="eastAsia" w:ascii="宋体" w:hAnsi="宋体" w:cs="微软雅黑"/>
          <w:sz w:val="24"/>
          <w:szCs w:val="24"/>
        </w:rPr>
        <w:t>预算金额（元）：</w:t>
      </w:r>
      <w:r>
        <w:rPr>
          <w:rFonts w:ascii="宋体" w:hAnsi="宋体" w:cs="微软雅黑"/>
          <w:sz w:val="24"/>
          <w:szCs w:val="24"/>
        </w:rPr>
        <w:t xml:space="preserve"> 55</w:t>
      </w:r>
      <w:r>
        <w:rPr>
          <w:rFonts w:hint="eastAsia" w:ascii="宋体" w:hAnsi="宋体" w:cs="微软雅黑"/>
          <w:sz w:val="24"/>
          <w:szCs w:val="24"/>
        </w:rPr>
        <w:t>万元整</w:t>
      </w:r>
    </w:p>
    <w:p>
      <w:pPr>
        <w:pStyle w:val="33"/>
        <w:widowControl/>
        <w:spacing w:beforeAutospacing="0" w:afterAutospacing="0" w:line="560" w:lineRule="exact"/>
        <w:ind w:firstLine="480" w:firstLineChars="200"/>
        <w:rPr>
          <w:rFonts w:ascii="宋体" w:hAnsi="宋体" w:cs="微软雅黑"/>
          <w:sz w:val="24"/>
          <w:szCs w:val="24"/>
        </w:rPr>
      </w:pPr>
      <w:r>
        <w:rPr>
          <w:rFonts w:hint="eastAsia" w:ascii="宋体" w:hAnsi="宋体" w:cs="微软雅黑"/>
          <w:sz w:val="24"/>
          <w:szCs w:val="24"/>
        </w:rPr>
        <w:t>项目来源：自治区园地、林地、草地分等定级</w:t>
      </w:r>
    </w:p>
    <w:p>
      <w:pPr>
        <w:pStyle w:val="33"/>
        <w:widowControl/>
        <w:spacing w:beforeAutospacing="0" w:afterAutospacing="0" w:line="560" w:lineRule="exact"/>
        <w:ind w:firstLine="480" w:firstLineChars="200"/>
        <w:rPr>
          <w:rFonts w:ascii="宋体" w:hAnsi="宋体" w:cs="微软雅黑"/>
          <w:sz w:val="24"/>
          <w:szCs w:val="24"/>
        </w:rPr>
      </w:pPr>
      <w:r>
        <w:rPr>
          <w:rFonts w:hint="eastAsia" w:ascii="宋体" w:hAnsi="宋体" w:cs="微软雅黑"/>
          <w:sz w:val="24"/>
          <w:szCs w:val="24"/>
        </w:rPr>
        <w:t>项目开展的必要性：本项目需收集处理各县市国土调查数据、土壤普查数据、林地资源数据、草地资源调查数据、统计年鉴、近</w:t>
      </w:r>
      <w:r>
        <w:rPr>
          <w:rFonts w:ascii="宋体" w:hAnsi="宋体" w:cs="微软雅黑"/>
          <w:sz w:val="24"/>
          <w:szCs w:val="24"/>
        </w:rPr>
        <w:t>5年各县市区气象</w:t>
      </w:r>
      <w:r>
        <w:rPr>
          <w:rFonts w:hint="eastAsia" w:ascii="宋体" w:hAnsi="宋体" w:cs="微软雅黑"/>
          <w:sz w:val="24"/>
          <w:szCs w:val="24"/>
        </w:rPr>
        <w:t>数据、卫星遥感影像、最新耕地质量等年度更新成果、生物多样性调查等数据，在此基础上，构建园地、林地、草地分等定级指标体系、编制新疆维吾尔自治区园地、林地、草地分等定级实施方案和技术方案，编制园地、林地、草地分等定级报告等成果。该项目涉及的数据种类多，数据处理专业性要求极高，同时项目工作量大。该项目需具备新疆维吾尔自治区园地、林地、草地基本专业知识，同时具有丰富的外业调查经验和遥感与地理信息系统等专业背景的团队，掌握林、草资源及气象等基础数据。因此，为保障项目的顺利实施，</w:t>
      </w:r>
      <w:r>
        <w:rPr>
          <w:rFonts w:ascii="宋体" w:hAnsi="宋体" w:cs="微软雅黑"/>
          <w:sz w:val="24"/>
          <w:szCs w:val="24"/>
        </w:rPr>
        <w:t>需</w:t>
      </w:r>
      <w:r>
        <w:rPr>
          <w:rFonts w:hint="eastAsia" w:ascii="宋体" w:hAnsi="宋体" w:cs="微软雅黑"/>
          <w:sz w:val="24"/>
          <w:szCs w:val="24"/>
        </w:rPr>
        <w:t>采购具备此条件的单位进行</w:t>
      </w:r>
      <w:r>
        <w:rPr>
          <w:rFonts w:ascii="宋体" w:hAnsi="宋体" w:cs="微软雅黑"/>
          <w:sz w:val="24"/>
          <w:szCs w:val="24"/>
        </w:rPr>
        <w:t>外协</w:t>
      </w:r>
      <w:r>
        <w:rPr>
          <w:rFonts w:hint="eastAsia" w:ascii="宋体" w:hAnsi="宋体" w:cs="微软雅黑"/>
          <w:sz w:val="24"/>
          <w:szCs w:val="24"/>
        </w:rPr>
        <w:t>，把好质量关，确保项目顺利完成</w:t>
      </w:r>
      <w:r>
        <w:rPr>
          <w:rFonts w:ascii="宋体" w:hAnsi="宋体" w:cs="微软雅黑"/>
          <w:sz w:val="24"/>
          <w:szCs w:val="24"/>
        </w:rPr>
        <w:t>。</w:t>
      </w:r>
    </w:p>
    <w:p>
      <w:pPr>
        <w:pStyle w:val="33"/>
        <w:widowControl/>
        <w:spacing w:beforeAutospacing="0" w:afterAutospacing="0" w:line="560" w:lineRule="exact"/>
        <w:jc w:val="both"/>
        <w:rPr>
          <w:rStyle w:val="39"/>
          <w:rFonts w:ascii="宋体" w:hAnsi="宋体" w:cs="Arial"/>
          <w:sz w:val="24"/>
          <w:szCs w:val="24"/>
        </w:rPr>
      </w:pPr>
      <w:r>
        <w:rPr>
          <w:rStyle w:val="39"/>
          <w:rFonts w:hint="eastAsia" w:cs="Arial"/>
          <w:sz w:val="24"/>
          <w:szCs w:val="24"/>
        </w:rPr>
        <w:t>（二）</w:t>
      </w:r>
      <w:r>
        <w:rPr>
          <w:rStyle w:val="39"/>
          <w:rFonts w:hint="eastAsia" w:ascii="宋体" w:hAnsi="宋体" w:cs="Arial"/>
          <w:sz w:val="24"/>
          <w:szCs w:val="24"/>
        </w:rPr>
        <w:t>工作目标与任务</w:t>
      </w:r>
    </w:p>
    <w:p>
      <w:pPr>
        <w:pStyle w:val="33"/>
        <w:widowControl/>
        <w:spacing w:beforeAutospacing="0" w:afterAutospacing="0" w:line="560" w:lineRule="exact"/>
        <w:ind w:firstLine="480" w:firstLineChars="200"/>
        <w:jc w:val="both"/>
        <w:rPr>
          <w:rFonts w:ascii="宋体" w:hAnsi="宋体" w:cs="微软雅黑"/>
          <w:b/>
          <w:sz w:val="24"/>
          <w:szCs w:val="24"/>
        </w:rPr>
      </w:pPr>
      <w:r>
        <w:rPr>
          <w:rFonts w:ascii="宋体" w:hAnsi="宋体" w:cs="微软雅黑"/>
          <w:b/>
          <w:sz w:val="24"/>
          <w:szCs w:val="24"/>
        </w:rPr>
        <w:t>1、工作目标</w:t>
      </w:r>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通过开展园地、林地、草地分等定级工作，全面掌握新疆维吾尔自治区园地、林地、草地质量及利用状况，促进林草资源从生产利用向生产与生态并重管护转变，提升林草资源节约集约利用，为政府制定园地、林地、草地资源资产科学合理利用与保护政策提供科学依据。具体完成如下两方面的目标：</w:t>
      </w:r>
    </w:p>
    <w:p>
      <w:pPr>
        <w:pStyle w:val="33"/>
        <w:widowControl/>
        <w:spacing w:beforeAutospacing="0" w:afterAutospacing="0" w:line="560" w:lineRule="exact"/>
        <w:ind w:firstLine="480" w:firstLineChars="200"/>
        <w:jc w:val="both"/>
        <w:rPr>
          <w:rFonts w:ascii="宋体" w:hAnsi="宋体" w:cs="微软雅黑"/>
          <w:sz w:val="24"/>
          <w:szCs w:val="24"/>
        </w:rPr>
      </w:pPr>
      <w:bookmarkStart w:id="53" w:name="_Hlk98334786"/>
      <w:r>
        <w:rPr>
          <w:rFonts w:hint="eastAsia" w:ascii="宋体" w:hAnsi="宋体" w:cs="微软雅黑"/>
          <w:sz w:val="24"/>
          <w:szCs w:val="24"/>
        </w:rPr>
        <w:t>（1</w:t>
      </w:r>
      <w:r>
        <w:rPr>
          <w:rFonts w:ascii="宋体" w:hAnsi="宋体" w:cs="微软雅黑"/>
          <w:sz w:val="24"/>
          <w:szCs w:val="24"/>
        </w:rPr>
        <w:t>）编制《新疆维吾尔自治区园地、林地、草地分等</w:t>
      </w:r>
      <w:r>
        <w:rPr>
          <w:rFonts w:hint="eastAsia" w:ascii="宋体" w:hAnsi="宋体" w:cs="微软雅黑"/>
          <w:sz w:val="24"/>
          <w:szCs w:val="24"/>
        </w:rPr>
        <w:t>定级</w:t>
      </w:r>
      <w:r>
        <w:rPr>
          <w:rFonts w:ascii="宋体" w:hAnsi="宋体" w:cs="微软雅黑"/>
          <w:sz w:val="24"/>
          <w:szCs w:val="24"/>
        </w:rPr>
        <w:t>技术方案》；</w:t>
      </w:r>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（2）建立园地、林地、草地分等指标体系和定级指标体系，</w:t>
      </w:r>
      <w:r>
        <w:rPr>
          <w:rFonts w:ascii="宋体" w:hAnsi="宋体" w:cs="微软雅黑"/>
          <w:sz w:val="24"/>
          <w:szCs w:val="24"/>
        </w:rPr>
        <w:t>确定权重、影响方式及评价标准</w:t>
      </w:r>
      <w:r>
        <w:rPr>
          <w:rFonts w:hint="eastAsia" w:ascii="宋体" w:hAnsi="宋体" w:cs="微软雅黑"/>
          <w:sz w:val="24"/>
          <w:szCs w:val="24"/>
        </w:rPr>
        <w:t>；</w:t>
      </w:r>
      <w:r>
        <w:rPr>
          <w:rFonts w:ascii="宋体" w:hAnsi="宋体" w:cs="微软雅黑"/>
          <w:sz w:val="24"/>
          <w:szCs w:val="24"/>
        </w:rPr>
        <w:t>划</w:t>
      </w:r>
      <w:r>
        <w:rPr>
          <w:rFonts w:hint="eastAsia" w:ascii="宋体" w:hAnsi="宋体" w:cs="微软雅黑"/>
          <w:sz w:val="24"/>
          <w:szCs w:val="24"/>
        </w:rPr>
        <w:t>分分等单元、定级单元；</w:t>
      </w:r>
      <w:r>
        <w:rPr>
          <w:rFonts w:ascii="宋体" w:hAnsi="宋体" w:cs="微软雅黑"/>
          <w:sz w:val="24"/>
          <w:szCs w:val="24"/>
        </w:rPr>
        <w:t>初步划分园地、林地、草地等</w:t>
      </w:r>
      <w:r>
        <w:rPr>
          <w:rFonts w:hint="eastAsia" w:ascii="宋体" w:hAnsi="宋体" w:cs="微软雅黑"/>
          <w:sz w:val="24"/>
          <w:szCs w:val="24"/>
        </w:rPr>
        <w:t>别、级别；</w:t>
      </w:r>
      <w:r>
        <w:rPr>
          <w:rFonts w:ascii="宋体" w:hAnsi="宋体" w:cs="微软雅黑"/>
          <w:sz w:val="24"/>
          <w:szCs w:val="24"/>
        </w:rPr>
        <w:t>设定建立模型的各类参数</w:t>
      </w:r>
      <w:r>
        <w:rPr>
          <w:rFonts w:hint="eastAsia" w:ascii="宋体" w:hAnsi="宋体" w:cs="微软雅黑"/>
          <w:sz w:val="24"/>
          <w:szCs w:val="24"/>
        </w:rPr>
        <w:t>。</w:t>
      </w:r>
      <w:bookmarkEnd w:id="53"/>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（3）</w:t>
      </w:r>
      <w:r>
        <w:rPr>
          <w:rFonts w:ascii="宋体" w:hAnsi="宋体" w:cs="微软雅黑"/>
          <w:sz w:val="24"/>
          <w:szCs w:val="24"/>
        </w:rPr>
        <w:t>编制园地、林地、草地分等</w:t>
      </w:r>
      <w:r>
        <w:rPr>
          <w:rFonts w:hint="eastAsia" w:ascii="宋体" w:hAnsi="宋体" w:cs="微软雅黑"/>
          <w:sz w:val="24"/>
          <w:szCs w:val="24"/>
        </w:rPr>
        <w:t>成果报告和定级</w:t>
      </w:r>
      <w:r>
        <w:rPr>
          <w:rFonts w:ascii="宋体" w:hAnsi="宋体" w:cs="微软雅黑"/>
          <w:sz w:val="24"/>
          <w:szCs w:val="24"/>
        </w:rPr>
        <w:t>成果报告</w:t>
      </w:r>
      <w:r>
        <w:rPr>
          <w:rFonts w:hint="eastAsia" w:ascii="宋体" w:hAnsi="宋体" w:cs="微软雅黑"/>
          <w:sz w:val="24"/>
          <w:szCs w:val="24"/>
        </w:rPr>
        <w:t>，主要为技术报告、工作报告等。</w:t>
      </w:r>
      <w:r>
        <w:rPr>
          <w:rFonts w:ascii="宋体" w:hAnsi="宋体" w:cs="微软雅黑"/>
          <w:sz w:val="24"/>
          <w:szCs w:val="24"/>
        </w:rPr>
        <w:t xml:space="preserve"> </w:t>
      </w:r>
    </w:p>
    <w:p>
      <w:pPr>
        <w:pStyle w:val="33"/>
        <w:widowControl/>
        <w:spacing w:beforeAutospacing="0" w:afterAutospacing="0" w:line="560" w:lineRule="exact"/>
        <w:ind w:firstLine="480" w:firstLineChars="200"/>
        <w:jc w:val="both"/>
        <w:rPr>
          <w:rFonts w:ascii="宋体" w:hAnsi="宋体" w:cs="微软雅黑"/>
          <w:b/>
          <w:sz w:val="24"/>
          <w:szCs w:val="24"/>
        </w:rPr>
      </w:pPr>
      <w:r>
        <w:rPr>
          <w:rFonts w:ascii="宋体" w:hAnsi="宋体" w:cs="微软雅黑"/>
          <w:b/>
          <w:sz w:val="24"/>
          <w:szCs w:val="24"/>
        </w:rPr>
        <w:t>2、工作任务</w:t>
      </w:r>
    </w:p>
    <w:p>
      <w:pPr>
        <w:spacing w:line="560" w:lineRule="exact"/>
        <w:ind w:firstLine="480" w:firstLineChars="200"/>
        <w:rPr>
          <w:rFonts w:ascii="宋体" w:hAnsi="宋体" w:eastAsia="宋体" w:cs="微软雅黑"/>
          <w:kern w:val="0"/>
          <w:sz w:val="24"/>
          <w:szCs w:val="24"/>
        </w:rPr>
      </w:pPr>
      <w:r>
        <w:rPr>
          <w:rFonts w:hint="eastAsia" w:ascii="宋体" w:hAnsi="宋体" w:eastAsia="宋体" w:cs="微软雅黑"/>
          <w:kern w:val="0"/>
          <w:sz w:val="24"/>
          <w:szCs w:val="24"/>
        </w:rPr>
        <w:t>按照自然资源部下发《自然资源部办公厅关于做好</w:t>
      </w:r>
      <w:r>
        <w:rPr>
          <w:rFonts w:ascii="宋体" w:hAnsi="宋体" w:eastAsia="宋体" w:cs="微软雅黑"/>
          <w:kern w:val="0"/>
          <w:sz w:val="24"/>
          <w:szCs w:val="24"/>
        </w:rPr>
        <w:t>2021年度自然资源评价评估有关工作的通知》(自然资办发〔2021〕39号)</w:t>
      </w:r>
      <w:r>
        <w:rPr>
          <w:rFonts w:hint="eastAsia" w:ascii="宋体" w:hAnsi="宋体" w:eastAsia="宋体" w:cs="微软雅黑"/>
          <w:kern w:val="0"/>
          <w:sz w:val="24"/>
          <w:szCs w:val="24"/>
        </w:rPr>
        <w:t>、《自然资源部办公厅关于做好</w:t>
      </w:r>
      <w:r>
        <w:rPr>
          <w:rFonts w:ascii="宋体" w:hAnsi="宋体" w:eastAsia="宋体" w:cs="微软雅黑"/>
          <w:kern w:val="0"/>
          <w:sz w:val="24"/>
          <w:szCs w:val="24"/>
        </w:rPr>
        <w:t>2022年度自然资源评价评估工作的通知》(自然资办发〔2022〕13号)</w:t>
      </w:r>
      <w:r>
        <w:rPr>
          <w:rFonts w:hint="eastAsia" w:ascii="宋体" w:hAnsi="宋体" w:eastAsia="宋体" w:cs="微软雅黑"/>
          <w:kern w:val="0"/>
          <w:sz w:val="24"/>
          <w:szCs w:val="24"/>
        </w:rPr>
        <w:t>文件</w:t>
      </w:r>
      <w:r>
        <w:rPr>
          <w:rFonts w:ascii="宋体" w:hAnsi="宋体" w:eastAsia="宋体" w:cs="微软雅黑"/>
          <w:kern w:val="0"/>
          <w:sz w:val="24"/>
          <w:szCs w:val="24"/>
        </w:rPr>
        <w:t xml:space="preserve"> “各省级自然资源主管部门要组织梳理本行政区域内自然资源等级价现状，做好部门内外的统筹协调，科学开展林地</w:t>
      </w:r>
      <w:r>
        <w:rPr>
          <w:rFonts w:hint="eastAsia" w:ascii="宋体" w:hAnsi="宋体" w:eastAsia="宋体" w:cs="微软雅黑"/>
          <w:kern w:val="0"/>
          <w:sz w:val="24"/>
          <w:szCs w:val="24"/>
        </w:rPr>
        <w:t>、</w:t>
      </w:r>
      <w:r>
        <w:rPr>
          <w:rFonts w:ascii="宋体" w:hAnsi="宋体" w:eastAsia="宋体" w:cs="微软雅黑"/>
          <w:kern w:val="0"/>
          <w:sz w:val="24"/>
          <w:szCs w:val="24"/>
        </w:rPr>
        <w:t>草地的评价评估工作，合理规划和推进工作”</w:t>
      </w:r>
      <w:r>
        <w:rPr>
          <w:rFonts w:hint="eastAsia" w:ascii="宋体" w:hAnsi="宋体" w:eastAsia="宋体" w:cs="微软雅黑"/>
          <w:kern w:val="0"/>
          <w:sz w:val="24"/>
          <w:szCs w:val="24"/>
        </w:rPr>
        <w:t>的要求，</w:t>
      </w:r>
      <w:r>
        <w:rPr>
          <w:rFonts w:ascii="宋体" w:hAnsi="宋体" w:eastAsia="宋体" w:cs="微软雅黑"/>
          <w:kern w:val="0"/>
          <w:sz w:val="24"/>
          <w:szCs w:val="24"/>
        </w:rPr>
        <w:t>2022年自然资源部将在全国全面启动园地、林地、草地分等定级工作,新疆维吾尔自治区</w:t>
      </w:r>
      <w:r>
        <w:rPr>
          <w:rFonts w:hint="eastAsia" w:ascii="宋体" w:hAnsi="宋体" w:eastAsia="宋体" w:cs="微软雅黑"/>
          <w:kern w:val="0"/>
          <w:sz w:val="24"/>
          <w:szCs w:val="24"/>
        </w:rPr>
        <w:t>作为</w:t>
      </w:r>
      <w:r>
        <w:rPr>
          <w:rFonts w:ascii="宋体" w:hAnsi="宋体" w:eastAsia="宋体" w:cs="微软雅黑"/>
          <w:kern w:val="0"/>
          <w:sz w:val="24"/>
          <w:szCs w:val="24"/>
        </w:rPr>
        <w:t>林地、草地分等</w:t>
      </w:r>
      <w:r>
        <w:rPr>
          <w:rFonts w:hint="eastAsia" w:ascii="宋体" w:hAnsi="宋体" w:eastAsia="宋体" w:cs="微软雅黑"/>
          <w:kern w:val="0"/>
          <w:sz w:val="24"/>
          <w:szCs w:val="24"/>
        </w:rPr>
        <w:t>定级的示范省份，自治区自然资源厅部署开展</w:t>
      </w:r>
      <w:r>
        <w:rPr>
          <w:rFonts w:ascii="宋体" w:hAnsi="宋体" w:eastAsia="宋体" w:cs="微软雅黑"/>
          <w:kern w:val="0"/>
          <w:sz w:val="24"/>
          <w:szCs w:val="24"/>
        </w:rPr>
        <w:t>园地、林地、草地分等</w:t>
      </w:r>
      <w:r>
        <w:rPr>
          <w:rFonts w:hint="eastAsia" w:ascii="宋体" w:hAnsi="宋体" w:eastAsia="宋体" w:cs="微软雅黑"/>
          <w:kern w:val="0"/>
          <w:sz w:val="24"/>
          <w:szCs w:val="24"/>
        </w:rPr>
        <w:t>定级</w:t>
      </w:r>
      <w:r>
        <w:rPr>
          <w:rFonts w:ascii="宋体" w:hAnsi="宋体" w:eastAsia="宋体" w:cs="微软雅黑"/>
          <w:kern w:val="0"/>
          <w:sz w:val="24"/>
          <w:szCs w:val="24"/>
        </w:rPr>
        <w:t>工作。通过开展园地、林地、草地分等</w:t>
      </w:r>
      <w:r>
        <w:rPr>
          <w:rFonts w:hint="eastAsia" w:ascii="宋体" w:hAnsi="宋体" w:eastAsia="宋体" w:cs="微软雅黑"/>
          <w:kern w:val="0"/>
          <w:sz w:val="24"/>
          <w:szCs w:val="24"/>
        </w:rPr>
        <w:t>定级</w:t>
      </w:r>
      <w:r>
        <w:rPr>
          <w:rFonts w:ascii="宋体" w:hAnsi="宋体" w:eastAsia="宋体" w:cs="微软雅黑"/>
          <w:kern w:val="0"/>
          <w:sz w:val="24"/>
          <w:szCs w:val="24"/>
        </w:rPr>
        <w:t>工作，对新疆维吾尔自治区园地、林地、草地分等资料信息等进行梳理的基础上，根据生态区划、功能区划对园地、林地、草地的范围、土地利用现状进行</w:t>
      </w:r>
      <w:r>
        <w:rPr>
          <w:rFonts w:hint="eastAsia" w:ascii="宋体" w:hAnsi="宋体" w:eastAsia="宋体" w:cs="微软雅黑"/>
          <w:kern w:val="0"/>
          <w:sz w:val="24"/>
          <w:szCs w:val="24"/>
        </w:rPr>
        <w:t>分析，制定园地、林地、草地的质量等别、级别划分方法和技术流程，编制分等定级成果，并提出检验与调整的方法，对分等定级数据及报告成果进行应用分析。</w:t>
      </w:r>
    </w:p>
    <w:p>
      <w:pPr>
        <w:pStyle w:val="33"/>
        <w:widowControl/>
        <w:spacing w:beforeAutospacing="0" w:afterAutospacing="0" w:line="560" w:lineRule="exact"/>
        <w:ind w:firstLine="480" w:firstLineChars="200"/>
        <w:jc w:val="both"/>
        <w:rPr>
          <w:rFonts w:ascii="宋体" w:hAnsi="宋体" w:cs="微软雅黑"/>
          <w:b/>
          <w:sz w:val="24"/>
          <w:szCs w:val="24"/>
        </w:rPr>
      </w:pPr>
      <w:r>
        <w:rPr>
          <w:rFonts w:ascii="宋体" w:hAnsi="宋体" w:cs="微软雅黑"/>
          <w:b/>
          <w:sz w:val="24"/>
          <w:szCs w:val="24"/>
        </w:rPr>
        <w:t>3</w:t>
      </w:r>
      <w:r>
        <w:rPr>
          <w:rFonts w:hint="eastAsia" w:ascii="宋体" w:hAnsi="宋体" w:cs="微软雅黑"/>
          <w:b/>
          <w:sz w:val="24"/>
          <w:szCs w:val="24"/>
        </w:rPr>
        <w:t>、</w:t>
      </w:r>
      <w:r>
        <w:rPr>
          <w:rFonts w:ascii="宋体" w:hAnsi="宋体" w:cs="微软雅黑"/>
          <w:b/>
          <w:sz w:val="24"/>
          <w:szCs w:val="24"/>
        </w:rPr>
        <w:t>工作内容</w:t>
      </w:r>
    </w:p>
    <w:p>
      <w:pPr>
        <w:pStyle w:val="33"/>
        <w:widowControl/>
        <w:spacing w:beforeAutospacing="0" w:afterAutospacing="0" w:line="560" w:lineRule="exact"/>
        <w:ind w:firstLine="480" w:firstLineChars="200"/>
        <w:jc w:val="both"/>
        <w:rPr>
          <w:rFonts w:ascii="宋体" w:hAnsi="宋体" w:cs="微软雅黑"/>
          <w:b/>
          <w:sz w:val="24"/>
          <w:szCs w:val="24"/>
        </w:rPr>
      </w:pPr>
      <w:r>
        <w:rPr>
          <w:rFonts w:hint="eastAsia" w:ascii="宋体" w:hAnsi="宋体" w:cs="微软雅黑"/>
          <w:b/>
          <w:sz w:val="24"/>
          <w:szCs w:val="24"/>
        </w:rPr>
        <w:t>包括园地、林地、草地的分等和定级两部分。</w:t>
      </w:r>
    </w:p>
    <w:p>
      <w:pPr>
        <w:pStyle w:val="33"/>
        <w:widowControl/>
        <w:spacing w:beforeAutospacing="0" w:afterAutospacing="0" w:line="560" w:lineRule="exact"/>
        <w:ind w:firstLine="480" w:firstLineChars="200"/>
        <w:jc w:val="both"/>
        <w:rPr>
          <w:rFonts w:ascii="宋体" w:hAnsi="宋体" w:cs="微软雅黑"/>
          <w:b/>
          <w:sz w:val="24"/>
          <w:szCs w:val="24"/>
        </w:rPr>
      </w:pPr>
      <w:r>
        <w:rPr>
          <w:rFonts w:hint="eastAsia" w:ascii="宋体" w:hAnsi="宋体" w:cs="微软雅黑"/>
          <w:b/>
          <w:sz w:val="24"/>
          <w:szCs w:val="24"/>
        </w:rPr>
        <w:t>（</w:t>
      </w:r>
      <w:r>
        <w:rPr>
          <w:rFonts w:ascii="宋体" w:hAnsi="宋体" w:cs="微软雅黑"/>
          <w:b/>
          <w:sz w:val="24"/>
          <w:szCs w:val="24"/>
        </w:rPr>
        <w:t>1）分等工作内容</w:t>
      </w:r>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划分分等单元和编制分等单元图，确定分等指标体系，计算指标分值，进行等别划分、验证调整与确定，编制方案和分等报告。</w:t>
      </w:r>
    </w:p>
    <w:p>
      <w:pPr>
        <w:pStyle w:val="33"/>
        <w:widowControl/>
        <w:spacing w:beforeAutospacing="0" w:afterAutospacing="0" w:line="560" w:lineRule="exact"/>
        <w:ind w:firstLine="480" w:firstLineChars="200"/>
        <w:jc w:val="both"/>
        <w:rPr>
          <w:rFonts w:ascii="宋体" w:hAnsi="宋体" w:cs="微软雅黑"/>
          <w:b/>
          <w:sz w:val="24"/>
          <w:szCs w:val="24"/>
        </w:rPr>
      </w:pPr>
      <w:r>
        <w:rPr>
          <w:rFonts w:hint="eastAsia" w:ascii="宋体" w:hAnsi="宋体" w:cs="微软雅黑"/>
          <w:b/>
          <w:sz w:val="24"/>
          <w:szCs w:val="24"/>
        </w:rPr>
        <w:t>（</w:t>
      </w:r>
      <w:r>
        <w:rPr>
          <w:rFonts w:ascii="宋体" w:hAnsi="宋体" w:cs="微软雅黑"/>
          <w:b/>
          <w:sz w:val="24"/>
          <w:szCs w:val="24"/>
        </w:rPr>
        <w:t>2）</w:t>
      </w:r>
      <w:r>
        <w:rPr>
          <w:rFonts w:hint="eastAsia" w:ascii="宋体" w:hAnsi="宋体" w:cs="微软雅黑"/>
          <w:b/>
          <w:sz w:val="24"/>
          <w:szCs w:val="24"/>
        </w:rPr>
        <w:t>定级工作内容</w:t>
      </w:r>
    </w:p>
    <w:p>
      <w:pPr>
        <w:spacing w:line="560" w:lineRule="exact"/>
        <w:ind w:firstLine="480" w:firstLineChars="200"/>
        <w:rPr>
          <w:rFonts w:ascii="宋体" w:hAnsi="宋体" w:eastAsia="宋体" w:cs="微软雅黑"/>
          <w:kern w:val="0"/>
          <w:sz w:val="24"/>
          <w:szCs w:val="24"/>
        </w:rPr>
      </w:pPr>
      <w:r>
        <w:rPr>
          <w:rFonts w:hint="eastAsia" w:ascii="宋体" w:hAnsi="宋体" w:eastAsia="宋体" w:cs="微软雅黑"/>
          <w:kern w:val="0"/>
          <w:sz w:val="24"/>
          <w:szCs w:val="24"/>
        </w:rPr>
        <w:t>确定定级指标体系，计算定级指标分值，划分定级单元和编制定级单元图，确定级别划分标准，级别验证、调整与确定，定级结果及分析，编制方案、编绘定级成果。</w:t>
      </w:r>
    </w:p>
    <w:p>
      <w:pPr>
        <w:pStyle w:val="33"/>
        <w:widowControl/>
        <w:spacing w:beforeAutospacing="0" w:afterAutospacing="0" w:line="560" w:lineRule="exact"/>
        <w:ind w:firstLine="480" w:firstLineChars="200"/>
        <w:jc w:val="both"/>
        <w:rPr>
          <w:rFonts w:ascii="宋体" w:hAnsi="宋体" w:cs="微软雅黑"/>
          <w:b/>
          <w:sz w:val="24"/>
          <w:szCs w:val="24"/>
        </w:rPr>
      </w:pPr>
      <w:r>
        <w:rPr>
          <w:rFonts w:ascii="宋体" w:hAnsi="宋体" w:cs="微软雅黑"/>
          <w:b/>
          <w:sz w:val="24"/>
          <w:szCs w:val="24"/>
        </w:rPr>
        <w:t>4</w:t>
      </w:r>
      <w:r>
        <w:rPr>
          <w:rFonts w:hint="eastAsia" w:ascii="宋体" w:hAnsi="宋体" w:cs="微软雅黑"/>
          <w:b/>
          <w:sz w:val="24"/>
          <w:szCs w:val="24"/>
        </w:rPr>
        <w:t>、征求意见</w:t>
      </w:r>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新疆维吾尔自治区园地、林地、草地分等定级初步成果，向自治区相关厅局、各地州及县市征求意见。</w:t>
      </w:r>
    </w:p>
    <w:p>
      <w:pPr>
        <w:pStyle w:val="33"/>
        <w:widowControl/>
        <w:spacing w:beforeAutospacing="0" w:afterAutospacing="0" w:line="560" w:lineRule="exact"/>
        <w:ind w:firstLine="480" w:firstLineChars="200"/>
        <w:jc w:val="both"/>
        <w:rPr>
          <w:rFonts w:ascii="宋体" w:hAnsi="宋体" w:cs="微软雅黑"/>
          <w:b/>
          <w:sz w:val="24"/>
          <w:szCs w:val="24"/>
        </w:rPr>
      </w:pPr>
      <w:r>
        <w:rPr>
          <w:rFonts w:ascii="宋体" w:hAnsi="宋体" w:cs="微软雅黑"/>
          <w:b/>
          <w:sz w:val="24"/>
          <w:szCs w:val="24"/>
        </w:rPr>
        <w:t>5</w:t>
      </w:r>
      <w:r>
        <w:rPr>
          <w:rFonts w:hint="eastAsia" w:ascii="宋体" w:hAnsi="宋体" w:cs="微软雅黑"/>
          <w:b/>
          <w:sz w:val="24"/>
          <w:szCs w:val="24"/>
        </w:rPr>
        <w:t>、预期成果</w:t>
      </w:r>
    </w:p>
    <w:p>
      <w:pPr>
        <w:pStyle w:val="33"/>
        <w:widowControl/>
        <w:spacing w:beforeAutospacing="0" w:afterAutospacing="0" w:line="560" w:lineRule="exact"/>
        <w:ind w:left="560"/>
        <w:jc w:val="both"/>
        <w:rPr>
          <w:rFonts w:ascii="宋体" w:hAnsi="宋体" w:cs="微软雅黑"/>
          <w:sz w:val="24"/>
          <w:szCs w:val="24"/>
        </w:rPr>
      </w:pPr>
      <w:r>
        <w:rPr>
          <w:rFonts w:ascii="宋体" w:hAnsi="宋体" w:cs="微软雅黑"/>
          <w:sz w:val="24"/>
          <w:szCs w:val="24"/>
        </w:rPr>
        <w:t>1）</w:t>
      </w:r>
      <w:r>
        <w:rPr>
          <w:rFonts w:hint="eastAsia" w:ascii="宋体" w:hAnsi="宋体" w:cs="微软雅黑"/>
          <w:sz w:val="24"/>
          <w:szCs w:val="24"/>
        </w:rPr>
        <w:t>文档成果</w:t>
      </w:r>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w:t>
      </w:r>
      <w:r>
        <w:rPr>
          <w:rFonts w:ascii="宋体" w:hAnsi="宋体" w:cs="微软雅黑"/>
          <w:sz w:val="24"/>
          <w:szCs w:val="24"/>
        </w:rPr>
        <w:t>1）</w:t>
      </w:r>
      <w:r>
        <w:rPr>
          <w:rFonts w:hint="eastAsia" w:ascii="宋体" w:hAnsi="宋体" w:cs="微软雅黑"/>
          <w:sz w:val="24"/>
          <w:szCs w:val="24"/>
        </w:rPr>
        <w:t>新疆维吾尔自治区园地、林地、草地分等过程、</w:t>
      </w:r>
      <w:r>
        <w:rPr>
          <w:rFonts w:ascii="宋体" w:hAnsi="宋体" w:cs="微软雅黑"/>
          <w:sz w:val="24"/>
          <w:szCs w:val="24"/>
        </w:rPr>
        <w:t>成果</w:t>
      </w:r>
      <w:r>
        <w:rPr>
          <w:rFonts w:hint="eastAsia" w:ascii="宋体" w:hAnsi="宋体" w:cs="微软雅黑"/>
          <w:sz w:val="24"/>
          <w:szCs w:val="24"/>
        </w:rPr>
        <w:t>技术文档等等。</w:t>
      </w:r>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w:t>
      </w:r>
      <w:r>
        <w:rPr>
          <w:rFonts w:ascii="宋体" w:hAnsi="宋体" w:cs="微软雅黑"/>
          <w:sz w:val="24"/>
          <w:szCs w:val="24"/>
        </w:rPr>
        <w:t>2）</w:t>
      </w:r>
      <w:r>
        <w:rPr>
          <w:rFonts w:hint="eastAsia" w:ascii="宋体" w:hAnsi="宋体" w:cs="微软雅黑"/>
          <w:sz w:val="24"/>
          <w:szCs w:val="24"/>
        </w:rPr>
        <w:t>《新疆维吾尔自治区园地、林地、草地分等技术方案》。</w:t>
      </w:r>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w:t>
      </w:r>
      <w:r>
        <w:rPr>
          <w:rFonts w:ascii="宋体" w:hAnsi="宋体" w:cs="微软雅黑"/>
          <w:sz w:val="24"/>
          <w:szCs w:val="24"/>
        </w:rPr>
        <w:t>3</w:t>
      </w:r>
      <w:r>
        <w:rPr>
          <w:rFonts w:hint="eastAsia" w:ascii="宋体" w:hAnsi="宋体" w:cs="微软雅黑"/>
          <w:sz w:val="24"/>
          <w:szCs w:val="24"/>
        </w:rPr>
        <w:t>）《新疆维吾尔自治区</w:t>
      </w:r>
      <w:r>
        <w:rPr>
          <w:rFonts w:ascii="宋体" w:hAnsi="宋体" w:cs="微软雅黑"/>
          <w:sz w:val="24"/>
          <w:szCs w:val="24"/>
        </w:rPr>
        <w:t>园地、林地、草地分等成果报告</w:t>
      </w:r>
      <w:r>
        <w:rPr>
          <w:rFonts w:hint="eastAsia" w:ascii="宋体" w:hAnsi="宋体" w:cs="微软雅黑"/>
          <w:sz w:val="24"/>
          <w:szCs w:val="24"/>
        </w:rPr>
        <w:t>》。</w:t>
      </w:r>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w:t>
      </w:r>
      <w:r>
        <w:rPr>
          <w:rFonts w:ascii="宋体" w:hAnsi="宋体" w:cs="微软雅黑"/>
          <w:sz w:val="24"/>
          <w:szCs w:val="24"/>
        </w:rPr>
        <w:t>4</w:t>
      </w:r>
      <w:r>
        <w:rPr>
          <w:rFonts w:hint="eastAsia" w:ascii="宋体" w:hAnsi="宋体" w:cs="微软雅黑"/>
          <w:sz w:val="24"/>
          <w:szCs w:val="24"/>
        </w:rPr>
        <w:t>）《新疆维吾尔自治区</w:t>
      </w:r>
      <w:r>
        <w:rPr>
          <w:rFonts w:ascii="宋体" w:hAnsi="宋体" w:cs="微软雅黑"/>
          <w:sz w:val="24"/>
          <w:szCs w:val="24"/>
        </w:rPr>
        <w:t>园地、林地、草地</w:t>
      </w:r>
      <w:r>
        <w:rPr>
          <w:rFonts w:hint="eastAsia" w:ascii="宋体" w:hAnsi="宋体" w:cs="微软雅黑"/>
          <w:sz w:val="24"/>
          <w:szCs w:val="24"/>
        </w:rPr>
        <w:t>定级</w:t>
      </w:r>
      <w:r>
        <w:rPr>
          <w:rFonts w:ascii="宋体" w:hAnsi="宋体" w:cs="微软雅黑"/>
          <w:sz w:val="24"/>
          <w:szCs w:val="24"/>
        </w:rPr>
        <w:t>成果报告</w:t>
      </w:r>
      <w:r>
        <w:rPr>
          <w:rFonts w:hint="eastAsia" w:ascii="宋体" w:hAnsi="宋体" w:cs="微软雅黑"/>
          <w:sz w:val="24"/>
          <w:szCs w:val="24"/>
        </w:rPr>
        <w:t>》。</w:t>
      </w:r>
    </w:p>
    <w:p>
      <w:pPr>
        <w:pStyle w:val="33"/>
        <w:widowControl/>
        <w:spacing w:beforeAutospacing="0" w:afterAutospacing="0" w:line="560" w:lineRule="exact"/>
        <w:jc w:val="both"/>
        <w:rPr>
          <w:rStyle w:val="39"/>
          <w:rFonts w:ascii="宋体" w:hAnsi="宋体" w:cs="Arial"/>
          <w:sz w:val="24"/>
          <w:szCs w:val="24"/>
        </w:rPr>
      </w:pPr>
      <w:r>
        <w:rPr>
          <w:rStyle w:val="39"/>
          <w:rFonts w:hint="eastAsia" w:ascii="宋体" w:hAnsi="宋体" w:cs="Arial"/>
          <w:sz w:val="24"/>
          <w:szCs w:val="24"/>
        </w:rPr>
        <w:t>（三）相关要求</w:t>
      </w:r>
    </w:p>
    <w:p>
      <w:pPr>
        <w:pStyle w:val="33"/>
        <w:widowControl/>
        <w:spacing w:beforeAutospacing="0" w:afterAutospacing="0" w:line="560" w:lineRule="exact"/>
        <w:ind w:firstLine="480" w:firstLineChars="200"/>
        <w:jc w:val="both"/>
        <w:rPr>
          <w:rFonts w:ascii="宋体" w:hAnsi="宋体" w:cs="微软雅黑"/>
          <w:b/>
          <w:sz w:val="24"/>
          <w:szCs w:val="24"/>
        </w:rPr>
      </w:pPr>
      <w:r>
        <w:rPr>
          <w:rFonts w:ascii="宋体" w:hAnsi="宋体" w:cs="微软雅黑"/>
          <w:b/>
          <w:sz w:val="24"/>
          <w:szCs w:val="24"/>
        </w:rPr>
        <w:t>1</w:t>
      </w:r>
      <w:r>
        <w:rPr>
          <w:rFonts w:hint="eastAsia" w:ascii="宋体" w:hAnsi="宋体" w:cs="微软雅黑"/>
          <w:b/>
          <w:sz w:val="24"/>
          <w:szCs w:val="24"/>
        </w:rPr>
        <w:t>、质量要求</w:t>
      </w:r>
    </w:p>
    <w:p>
      <w:pPr>
        <w:pStyle w:val="33"/>
        <w:widowControl/>
        <w:spacing w:beforeAutospacing="0" w:afterAutospacing="0" w:line="560" w:lineRule="exact"/>
        <w:ind w:firstLine="480" w:firstLineChars="200"/>
        <w:jc w:val="both"/>
        <w:rPr>
          <w:rFonts w:ascii="宋体" w:hAnsi="宋体" w:cs="微软雅黑"/>
          <w:sz w:val="24"/>
          <w:szCs w:val="24"/>
        </w:rPr>
      </w:pPr>
      <w:r>
        <w:rPr>
          <w:rFonts w:hint="eastAsia" w:ascii="宋体" w:hAnsi="宋体" w:cs="微软雅黑"/>
          <w:sz w:val="24"/>
          <w:szCs w:val="24"/>
        </w:rPr>
        <w:t>项目通过新疆维吾尔自治区级、国家级专家检查和验收。</w:t>
      </w:r>
    </w:p>
    <w:p>
      <w:pPr>
        <w:pStyle w:val="33"/>
        <w:widowControl/>
        <w:spacing w:beforeAutospacing="0" w:afterAutospacing="0" w:line="560" w:lineRule="exact"/>
        <w:ind w:firstLine="480" w:firstLineChars="200"/>
        <w:jc w:val="both"/>
        <w:rPr>
          <w:rFonts w:ascii="宋体" w:hAnsi="宋体" w:cs="微软雅黑"/>
          <w:b/>
          <w:sz w:val="24"/>
          <w:szCs w:val="24"/>
        </w:rPr>
      </w:pPr>
      <w:r>
        <w:rPr>
          <w:rFonts w:ascii="宋体" w:hAnsi="宋体" w:cs="微软雅黑"/>
          <w:b/>
          <w:sz w:val="24"/>
          <w:szCs w:val="24"/>
        </w:rPr>
        <w:t>2</w:t>
      </w:r>
      <w:r>
        <w:rPr>
          <w:rFonts w:hint="eastAsia" w:ascii="宋体" w:hAnsi="宋体" w:cs="微软雅黑"/>
          <w:b/>
          <w:sz w:val="24"/>
          <w:szCs w:val="24"/>
        </w:rPr>
        <w:t>、工期要求</w:t>
      </w:r>
    </w:p>
    <w:p>
      <w:pPr>
        <w:spacing w:line="56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本项目要求</w:t>
      </w:r>
      <w:r>
        <w:rPr>
          <w:rFonts w:ascii="宋体" w:hAnsi="宋体" w:eastAsia="宋体" w:cs="微软雅黑"/>
          <w:kern w:val="0"/>
          <w:sz w:val="24"/>
          <w:szCs w:val="24"/>
        </w:rPr>
        <w:t>2022</w:t>
      </w:r>
      <w:r>
        <w:rPr>
          <w:rFonts w:hint="eastAsia" w:ascii="宋体" w:hAnsi="宋体" w:eastAsia="宋体" w:cs="微软雅黑"/>
          <w:kern w:val="0"/>
          <w:sz w:val="24"/>
          <w:szCs w:val="24"/>
        </w:rPr>
        <w:t>年</w:t>
      </w:r>
      <w:r>
        <w:rPr>
          <w:rFonts w:ascii="宋体" w:hAnsi="宋体" w:eastAsia="宋体" w:cs="微软雅黑"/>
          <w:kern w:val="0"/>
          <w:sz w:val="24"/>
          <w:szCs w:val="24"/>
        </w:rPr>
        <w:t>11</w:t>
      </w:r>
      <w:r>
        <w:rPr>
          <w:rFonts w:hint="eastAsia" w:ascii="宋体" w:hAnsi="宋体" w:eastAsia="宋体" w:cs="微软雅黑"/>
          <w:kern w:val="0"/>
          <w:sz w:val="24"/>
          <w:szCs w:val="24"/>
        </w:rPr>
        <w:t>月</w:t>
      </w:r>
      <w:r>
        <w:rPr>
          <w:rFonts w:ascii="宋体" w:hAnsi="宋体" w:eastAsia="宋体" w:cs="微软雅黑"/>
          <w:kern w:val="0"/>
          <w:sz w:val="24"/>
          <w:szCs w:val="24"/>
        </w:rPr>
        <w:t>30</w:t>
      </w:r>
      <w:r>
        <w:rPr>
          <w:rFonts w:hint="eastAsia" w:ascii="宋体" w:hAnsi="宋体" w:eastAsia="宋体" w:cs="微软雅黑"/>
          <w:kern w:val="0"/>
          <w:sz w:val="24"/>
          <w:szCs w:val="24"/>
        </w:rPr>
        <w:t>日完成成果审查验收。</w:t>
      </w:r>
      <w:r>
        <w:rPr>
          <w:rFonts w:ascii="宋体" w:hAnsi="宋体" w:eastAsia="宋体" w:cs="微软雅黑"/>
          <w:kern w:val="0"/>
          <w:sz w:val="24"/>
          <w:szCs w:val="24"/>
        </w:rPr>
        <w:t xml:space="preserve">（由于疫情影响以及国家政策所带来的不可控因素导致项目实施周期延长，双方另行协商）。 </w:t>
      </w:r>
    </w:p>
    <w:p>
      <w:pPr>
        <w:spacing w:line="560" w:lineRule="exact"/>
        <w:ind w:firstLine="482" w:firstLineChars="200"/>
        <w:textAlignment w:val="baseline"/>
        <w:rPr>
          <w:rFonts w:ascii="宋体" w:hAnsi="宋体" w:eastAsia="宋体" w:cs="微软雅黑"/>
          <w:b/>
          <w:kern w:val="0"/>
          <w:sz w:val="24"/>
          <w:szCs w:val="24"/>
        </w:rPr>
      </w:pPr>
      <w:r>
        <w:rPr>
          <w:rFonts w:ascii="宋体" w:hAnsi="宋体" w:eastAsia="宋体" w:cs="微软雅黑"/>
          <w:b/>
          <w:kern w:val="0"/>
          <w:sz w:val="24"/>
          <w:szCs w:val="24"/>
        </w:rPr>
        <w:t>3</w:t>
      </w:r>
      <w:r>
        <w:rPr>
          <w:rFonts w:hint="eastAsia" w:ascii="宋体" w:hAnsi="宋体" w:eastAsia="宋体" w:cs="微软雅黑"/>
          <w:b/>
          <w:kern w:val="0"/>
          <w:sz w:val="24"/>
          <w:szCs w:val="24"/>
        </w:rPr>
        <w:t>、保密要求</w:t>
      </w:r>
    </w:p>
    <w:p>
      <w:pPr>
        <w:spacing w:line="56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中标供应商应严格遵守国家有关数据安全保密的有关法律法规，确保数据安全。</w:t>
      </w:r>
    </w:p>
    <w:p>
      <w:pPr>
        <w:spacing w:line="560" w:lineRule="exact"/>
        <w:ind w:firstLine="482" w:firstLineChars="200"/>
        <w:textAlignment w:val="baseline"/>
        <w:rPr>
          <w:rFonts w:ascii="宋体" w:hAnsi="宋体" w:eastAsia="宋体" w:cs="微软雅黑"/>
          <w:b/>
          <w:kern w:val="0"/>
          <w:sz w:val="24"/>
          <w:szCs w:val="24"/>
        </w:rPr>
      </w:pPr>
      <w:r>
        <w:rPr>
          <w:rFonts w:ascii="宋体" w:hAnsi="宋体" w:eastAsia="宋体" w:cs="微软雅黑"/>
          <w:b/>
          <w:kern w:val="0"/>
          <w:sz w:val="24"/>
          <w:szCs w:val="24"/>
        </w:rPr>
        <w:t>4、人员要求</w:t>
      </w:r>
    </w:p>
    <w:p>
      <w:pPr>
        <w:spacing w:line="56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w:t>
      </w:r>
      <w:r>
        <w:rPr>
          <w:rFonts w:ascii="宋体" w:hAnsi="宋体" w:eastAsia="宋体" w:cs="微软雅黑"/>
          <w:kern w:val="0"/>
          <w:sz w:val="24"/>
          <w:szCs w:val="24"/>
        </w:rPr>
        <w:t>1）驻场技术人员：投标人承诺组织合格的技术人员在项目执行期间驻场</w:t>
      </w:r>
      <w:r>
        <w:rPr>
          <w:rFonts w:hint="eastAsia" w:ascii="宋体" w:hAnsi="宋体" w:eastAsia="宋体" w:cs="微软雅黑"/>
          <w:kern w:val="0"/>
          <w:sz w:val="24"/>
          <w:szCs w:val="24"/>
        </w:rPr>
        <w:t>开展</w:t>
      </w:r>
      <w:r>
        <w:rPr>
          <w:rFonts w:ascii="宋体" w:hAnsi="宋体" w:eastAsia="宋体" w:cs="微软雅黑"/>
          <w:kern w:val="0"/>
          <w:sz w:val="24"/>
          <w:szCs w:val="24"/>
        </w:rPr>
        <w:t>工作，驻场人员</w:t>
      </w:r>
      <w:r>
        <w:rPr>
          <w:rFonts w:hint="eastAsia" w:ascii="宋体" w:hAnsi="宋体" w:eastAsia="宋体" w:cs="微软雅黑"/>
          <w:kern w:val="0"/>
          <w:sz w:val="24"/>
          <w:szCs w:val="24"/>
        </w:rPr>
        <w:t>不得低于两人</w:t>
      </w:r>
      <w:r>
        <w:rPr>
          <w:rFonts w:ascii="宋体" w:hAnsi="宋体" w:eastAsia="宋体" w:cs="微软雅黑"/>
          <w:kern w:val="0"/>
          <w:sz w:val="24"/>
          <w:szCs w:val="24"/>
        </w:rPr>
        <w:t>。</w:t>
      </w:r>
    </w:p>
    <w:p>
      <w:pPr>
        <w:spacing w:line="56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w:t>
      </w:r>
      <w:r>
        <w:rPr>
          <w:rFonts w:ascii="宋体" w:hAnsi="宋体" w:eastAsia="宋体" w:cs="微软雅黑"/>
          <w:kern w:val="0"/>
          <w:sz w:val="24"/>
          <w:szCs w:val="24"/>
        </w:rPr>
        <w:t>2）中标供应商应按采购人要求选派合格的驻场工作人员，并</w:t>
      </w:r>
      <w:r>
        <w:rPr>
          <w:rFonts w:hint="eastAsia" w:ascii="宋体" w:hAnsi="宋体" w:eastAsia="宋体" w:cs="微软雅黑"/>
          <w:kern w:val="0"/>
          <w:sz w:val="24"/>
          <w:szCs w:val="24"/>
        </w:rPr>
        <w:t>根据工作需要，实时响应采购人提出的应急服务，驻场</w:t>
      </w:r>
      <w:r>
        <w:rPr>
          <w:rFonts w:ascii="宋体" w:hAnsi="宋体" w:eastAsia="宋体" w:cs="微软雅黑"/>
          <w:kern w:val="0"/>
          <w:sz w:val="24"/>
          <w:szCs w:val="24"/>
        </w:rPr>
        <w:t>人员工资、食宿和交通等因项目工作发生的全部费用由中标供应商承担。</w:t>
      </w:r>
    </w:p>
    <w:p>
      <w:pPr>
        <w:spacing w:line="560" w:lineRule="exact"/>
        <w:ind w:firstLine="482" w:firstLineChars="200"/>
        <w:textAlignment w:val="baseline"/>
        <w:rPr>
          <w:rFonts w:ascii="宋体" w:hAnsi="宋体" w:eastAsia="宋体" w:cs="微软雅黑"/>
          <w:b/>
          <w:kern w:val="0"/>
          <w:sz w:val="24"/>
          <w:szCs w:val="24"/>
        </w:rPr>
      </w:pPr>
      <w:r>
        <w:rPr>
          <w:rFonts w:ascii="宋体" w:hAnsi="宋体" w:eastAsia="宋体" w:cs="微软雅黑"/>
          <w:b/>
          <w:kern w:val="0"/>
          <w:sz w:val="24"/>
          <w:szCs w:val="24"/>
        </w:rPr>
        <w:t>5、场地要求</w:t>
      </w:r>
    </w:p>
    <w:p>
      <w:pPr>
        <w:spacing w:line="56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中标供应商须在供应商指定的场地开展相关工作，并严格遵守供应商相关制度规定。</w:t>
      </w:r>
    </w:p>
    <w:p>
      <w:pPr>
        <w:pStyle w:val="2"/>
        <w:widowControl w:val="0"/>
        <w:numPr>
          <w:ilvl w:val="0"/>
          <w:numId w:val="0"/>
        </w:numPr>
        <w:jc w:val="both"/>
        <w:rPr>
          <w:rFonts w:hint="eastAsia"/>
        </w:rPr>
      </w:pPr>
    </w:p>
    <w:p>
      <w:pPr>
        <w:pStyle w:val="3"/>
        <w:rPr>
          <w:rFonts w:hint="eastAsia"/>
        </w:rPr>
      </w:pPr>
    </w:p>
    <w:p>
      <w:pPr>
        <w:rPr>
          <w:rFonts w:hint="eastAsia" w:asciiTheme="minorEastAsia" w:hAnsiTheme="minorEastAsia" w:eastAsiaTheme="minorEastAsia" w:cstheme="minorEastAsia"/>
          <w:b/>
          <w:sz w:val="21"/>
          <w:szCs w:val="21"/>
        </w:rPr>
      </w:pPr>
      <w:bookmarkStart w:id="54" w:name="_Toc28434"/>
      <w:r>
        <w:rPr>
          <w:rFonts w:hint="eastAsia" w:asciiTheme="minorEastAsia" w:hAnsiTheme="minorEastAsia" w:eastAsiaTheme="minorEastAsia" w:cstheme="minorEastAsia"/>
          <w:b/>
          <w:sz w:val="21"/>
          <w:szCs w:val="21"/>
        </w:rPr>
        <w:br w:type="page"/>
      </w:r>
    </w:p>
    <w:p>
      <w:pPr>
        <w:autoSpaceDE w:val="0"/>
        <w:autoSpaceDN w:val="0"/>
        <w:adjustRightInd w:val="0"/>
        <w:spacing w:line="400" w:lineRule="exact"/>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第四章  合同条款（仅供参考）</w:t>
      </w:r>
      <w:bookmarkEnd w:id="54"/>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1、定义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“合同”系指甲方和乙方(以下简称合同双方)已达成的协议，即由双方签订的合同格式文件，包括所有的招标文件、响应性文件、答疑纪录、澄清说明、附件、附录和组成合同的所有其他文件。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“合同价格”系指根据合同规定，在乙方全面正确地履行合同义务时，甲方应支付给乙方的款项。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“货物”系指乙方按合同要求相关设备。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“服务”系指合同规定乙方必须承担的类似售后义务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 “甲方”、“买方”、“招标方”均系指通过招标采购，接受合同货物及服务的各行政事业单位、社会团体等采购单位及社会代理公司。</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“乙方”、“卖方”系指中标后提供合同货物和服务的经济实体。</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“现场”系指本次活动的服务地点。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 “验收”系指甲方依据技术规格规定接受合同货物所依据的程序和条件。</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2、适用范围</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本合同条款仅适用于本次招标活动。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3、原产地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原产地系指货物的生产地，或提供辅助服务的来源地。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4、技术规格和标准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5、专利权</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6、包装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每件包装应附有详细装箱单和质量证书各两套，一套在包装箱里，一套在包装箱外。</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7、保险</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7.1在合同价条件下，由乙方负责办理保险。</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8、合同价款的支付方式</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除另有规定者外，本合同价款将由采购人直接向乙方支付。</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9、质量保证</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在服务最终验收后的质量保证期之内，乙方应对自身缺陷而产生的任何不足或故障负责，费用由乙方负担。</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9.2上述内容以外的保修和售后服务内容为乙方在响应性文件中所承诺的内容。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10、履约保证金（无）</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11、延期交货与核定损失额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乙方应按照“磋商响应报价表”规定提供服务，并交付甲方验收使用。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11.2 如果乙方无正当理由拖延交货，未得到甲方书面同意，将受到以下制裁：</w:t>
      </w:r>
      <w:r>
        <w:rPr>
          <w:rFonts w:hint="eastAsia" w:asciiTheme="minorEastAsia" w:hAnsiTheme="minorEastAsia" w:eastAsiaTheme="minorEastAsia" w:cstheme="minorEastAsia"/>
          <w:bCs/>
          <w:sz w:val="21"/>
          <w:szCs w:val="21"/>
        </w:rPr>
        <w:t>不予退还履约保证金，加收误期赔偿或终止合同</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12、不可抗力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13、仲裁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本项目如有合同争议，解决方式优先选择公安厅机关所在地人民法院，不施行仲裁。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14、违约终止合同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(1)如果乙方未能在合同规定的期限内或甲方准许的任何延期内交付部分或全部货物。</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(2)乙方未能履行合同项下的其它义务。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15、变更指示</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15.1甲方可以随时向乙方发出书面指示，在合同总体范围内对如下一点或几点提出变更：</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z w:val="21"/>
          <w:szCs w:val="21"/>
        </w:rPr>
        <w:t>合同项下需为甲方特殊制定的服务项目；</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（2） </w:t>
      </w:r>
      <w:r>
        <w:rPr>
          <w:rFonts w:hint="eastAsia" w:asciiTheme="minorEastAsia" w:hAnsiTheme="minorEastAsia" w:eastAsiaTheme="minorEastAsia" w:cstheme="minorEastAsia"/>
          <w:sz w:val="21"/>
          <w:szCs w:val="21"/>
        </w:rPr>
        <w:t>服务地点；</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（3） </w:t>
      </w:r>
      <w:r>
        <w:rPr>
          <w:rFonts w:hint="eastAsia" w:asciiTheme="minorEastAsia" w:hAnsiTheme="minorEastAsia" w:eastAsiaTheme="minorEastAsia" w:cstheme="minorEastAsia"/>
          <w:sz w:val="21"/>
          <w:szCs w:val="21"/>
        </w:rPr>
        <w:t>乙方须提供的服务。</w:t>
      </w:r>
    </w:p>
    <w:p>
      <w:pPr>
        <w:overflowPunct w:val="0"/>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16、合同修改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　欲对合同条款做出任何改动或偏离，均须由甲乙双方签署书面的合同修改书。</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17、转让与分包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17.1除甲方事先同意外，乙方不得部分转让或全部转让其应履行的合同项下的义务。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17.2乙方应书面通知甲方本合同项下所授予的所有分包合同。但该通知不解除乙方承担的本合同项下的任何责任或义务。</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18、适用法律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本合同应按中华人民共和国的相关法律解释。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19、通知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19.1本合同任何一方给另一方的通知都应以书面或电传、电报、传真的形式发送，而另一方应以书面形式确认并发送到对方明确的地址。</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20、合同文件及资料的使用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20.2除非执行合同需要，在事先末得到甲方同意的情况下，乙方不得将与本合同有关的任何文件和资料给第三方使用。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20.3除合同本身以外，若甲方要求，乙方应于其合同义务履行完毕以后将这些资料(包括所有副本)退还甲方。</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21、合同生效及其他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　本合同应在甲方和乙方签字并加盖鉴证章后生效。</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乙方须按技术规格中的规定，向甲方提供与合同项下本次招标的相关服务。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商务合同应包括甲方最后确认的价格条款和付款方式。</w:t>
      </w:r>
    </w:p>
    <w:p>
      <w:pPr>
        <w:spacing w:line="400" w:lineRule="exact"/>
        <w:ind w:firstLine="210" w:firstLineChars="1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z w:val="21"/>
          <w:szCs w:val="21"/>
        </w:rPr>
        <w:t>21.4　</w:t>
      </w:r>
      <w:r>
        <w:rPr>
          <w:rFonts w:hint="eastAsia" w:asciiTheme="minorEastAsia" w:hAnsiTheme="minorEastAsia" w:eastAsiaTheme="minorEastAsia" w:cstheme="minorEastAsia"/>
          <w:spacing w:val="-6"/>
          <w:sz w:val="21"/>
          <w:szCs w:val="21"/>
        </w:rPr>
        <w:t>下述文件将作为合同附件，为本合同不可分割的组成部分，并与本合具有同等效力：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Cs/>
          <w:sz w:val="21"/>
          <w:szCs w:val="21"/>
        </w:rPr>
        <w:t>磋商文件</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（3）中标方的响应性文件及磋商过程中的书面答疑记录。</w:t>
      </w:r>
      <w:bookmarkStart w:id="55" w:name="_Toc455412770"/>
      <w:bookmarkStart w:id="56" w:name="_Toc381724074"/>
      <w:bookmarkStart w:id="57" w:name="_Toc462223649"/>
    </w:p>
    <w:bookmarkEnd w:id="55"/>
    <w:bookmarkEnd w:id="56"/>
    <w:bookmarkEnd w:id="57"/>
    <w:p>
      <w:pPr>
        <w:spacing w:line="400" w:lineRule="exact"/>
        <w:rPr>
          <w:rFonts w:hint="eastAsia" w:asciiTheme="minorEastAsia" w:hAnsiTheme="minorEastAsia" w:eastAsiaTheme="minorEastAsia" w:cstheme="minorEastAsia"/>
          <w:sz w:val="21"/>
          <w:szCs w:val="21"/>
        </w:rPr>
      </w:pPr>
      <w:bookmarkStart w:id="58" w:name="_Toc349637943"/>
      <w:bookmarkStart w:id="59" w:name="_Toc298240429"/>
      <w:bookmarkStart w:id="60" w:name="_Toc462223650"/>
      <w:bookmarkStart w:id="61" w:name="_Toc349573144"/>
    </w:p>
    <w:p>
      <w:pPr>
        <w:spacing w:line="400" w:lineRule="exact"/>
        <w:rPr>
          <w:rFonts w:hint="eastAsia" w:asciiTheme="minorEastAsia" w:hAnsiTheme="minorEastAsia" w:eastAsiaTheme="minorEastAsia" w:cstheme="minorEastAsia"/>
          <w:sz w:val="21"/>
          <w:szCs w:val="21"/>
        </w:rPr>
      </w:pPr>
    </w:p>
    <w:p>
      <w:pPr>
        <w:pStyle w:val="4"/>
        <w:spacing w:line="400" w:lineRule="exact"/>
        <w:ind w:left="0" w:firstLine="0"/>
        <w:jc w:val="center"/>
        <w:rPr>
          <w:rFonts w:hint="eastAsia" w:asciiTheme="minorEastAsia" w:hAnsiTheme="minorEastAsia" w:eastAsiaTheme="minorEastAsia" w:cstheme="minorEastAsia"/>
          <w:sz w:val="21"/>
          <w:szCs w:val="21"/>
        </w:rPr>
      </w:pPr>
      <w:bookmarkStart w:id="62" w:name="_Toc12367"/>
      <w:r>
        <w:rPr>
          <w:rFonts w:hint="eastAsia" w:asciiTheme="minorEastAsia" w:hAnsiTheme="minorEastAsia" w:eastAsiaTheme="minorEastAsia" w:cstheme="minorEastAsia"/>
          <w:sz w:val="21"/>
          <w:szCs w:val="21"/>
        </w:rPr>
        <w:t>第五章</w:t>
      </w:r>
      <w:bookmarkEnd w:id="58"/>
      <w:bookmarkEnd w:id="59"/>
      <w:bookmarkEnd w:id="60"/>
      <w:bookmarkEnd w:id="61"/>
      <w:r>
        <w:rPr>
          <w:rFonts w:hint="eastAsia" w:asciiTheme="minorEastAsia" w:hAnsiTheme="minorEastAsia" w:eastAsiaTheme="minorEastAsia" w:cstheme="minorEastAsia"/>
          <w:sz w:val="21"/>
          <w:szCs w:val="21"/>
        </w:rPr>
        <w:t xml:space="preserve">  附件</w:t>
      </w:r>
      <w:bookmarkEnd w:id="62"/>
    </w:p>
    <w:p>
      <w:pPr>
        <w:spacing w:line="400" w:lineRule="exact"/>
        <w:jc w:val="center"/>
        <w:outlineLvl w:val="0"/>
        <w:rPr>
          <w:rFonts w:hint="eastAsia" w:asciiTheme="minorEastAsia" w:hAnsiTheme="minorEastAsia" w:eastAsiaTheme="minorEastAsia" w:cstheme="minorEastAsia"/>
          <w:b/>
          <w:bCs/>
          <w:sz w:val="21"/>
          <w:szCs w:val="21"/>
        </w:rPr>
      </w:pPr>
      <w:bookmarkStart w:id="63" w:name="_Toc10875"/>
      <w:r>
        <w:rPr>
          <w:rFonts w:hint="eastAsia" w:asciiTheme="minorEastAsia" w:hAnsiTheme="minorEastAsia" w:eastAsiaTheme="minorEastAsia" w:cstheme="minorEastAsia"/>
          <w:b/>
          <w:bCs/>
          <w:sz w:val="21"/>
          <w:szCs w:val="21"/>
        </w:rPr>
        <w:t>开标一览表</w:t>
      </w:r>
      <w:bookmarkEnd w:id="63"/>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4、本表须按采购文件要求，单独封装、标识后提交。</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4" w:name="_Toc22719"/>
      <w:r>
        <w:rPr>
          <w:rFonts w:hint="eastAsia" w:asciiTheme="minorEastAsia" w:hAnsiTheme="minorEastAsia" w:eastAsiaTheme="minorEastAsia" w:cstheme="minorEastAsia"/>
          <w:color w:val="000000"/>
          <w:sz w:val="21"/>
          <w:szCs w:val="21"/>
        </w:rPr>
        <w:t>投标供应商名称（公章）：</w:t>
      </w:r>
      <w:bookmarkEnd w:id="64"/>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5" w:name="_Toc13389"/>
      <w:r>
        <w:rPr>
          <w:rFonts w:hint="eastAsia" w:asciiTheme="minorEastAsia" w:hAnsiTheme="minorEastAsia" w:eastAsiaTheme="minorEastAsia" w:cstheme="minorEastAsia"/>
          <w:color w:val="000000"/>
          <w:sz w:val="21"/>
          <w:szCs w:val="21"/>
        </w:rPr>
        <w:t>法定代表人或授权代表人（签字）：</w:t>
      </w:r>
      <w:bookmarkEnd w:id="65"/>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sz w:val="21"/>
          <w:szCs w:val="21"/>
        </w:rPr>
        <w:br w:type="page"/>
      </w:r>
    </w:p>
    <w:p>
      <w:pPr>
        <w:spacing w:line="400" w:lineRule="exact"/>
        <w:rPr>
          <w:rFonts w:hint="eastAsia" w:asciiTheme="minorEastAsia" w:hAnsiTheme="minorEastAsia" w:eastAsiaTheme="minorEastAsia" w:cstheme="minorEastAsia"/>
          <w:sz w:val="21"/>
          <w:szCs w:val="21"/>
        </w:rPr>
      </w:pP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6" w:name="_Toc30854"/>
      <w:r>
        <w:rPr>
          <w:rFonts w:hint="eastAsia" w:asciiTheme="minorEastAsia" w:hAnsiTheme="minorEastAsia" w:eastAsiaTheme="minorEastAsia" w:cstheme="minorEastAsia"/>
          <w:color w:val="000000"/>
          <w:sz w:val="21"/>
          <w:szCs w:val="21"/>
        </w:rPr>
        <w:t>附件1: 磋 商 响 应 函</w:t>
      </w:r>
      <w:bookmarkEnd w:id="66"/>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7" w:name="_Toc18786"/>
      <w:r>
        <w:rPr>
          <w:rFonts w:hint="eastAsia" w:asciiTheme="minorEastAsia" w:hAnsiTheme="minorEastAsia" w:eastAsiaTheme="minorEastAsia" w:cstheme="minorEastAsia"/>
          <w:color w:val="000000"/>
          <w:sz w:val="21"/>
          <w:szCs w:val="21"/>
        </w:rPr>
        <w:t>附件2：法定代表人身份证明</w:t>
      </w:r>
      <w:bookmarkEnd w:id="67"/>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8" w:name="_Toc22439"/>
      <w:r>
        <w:rPr>
          <w:rFonts w:hint="eastAsia" w:asciiTheme="minorEastAsia" w:hAnsiTheme="minorEastAsia" w:eastAsiaTheme="minorEastAsia" w:cstheme="minorEastAsia"/>
          <w:color w:val="000000"/>
          <w:sz w:val="21"/>
          <w:szCs w:val="21"/>
        </w:rPr>
        <w:t>附件3：法定代表人授权委托书</w:t>
      </w:r>
      <w:bookmarkEnd w:id="68"/>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9" w:name="_Toc24061"/>
      <w:r>
        <w:rPr>
          <w:rFonts w:hint="eastAsia" w:asciiTheme="minorEastAsia" w:hAnsiTheme="minorEastAsia" w:eastAsiaTheme="minorEastAsia" w:cstheme="minorEastAsia"/>
          <w:color w:val="000000"/>
          <w:sz w:val="21"/>
          <w:szCs w:val="21"/>
        </w:rPr>
        <w:t>附件4：磋商报价表（开标一览表）</w:t>
      </w:r>
      <w:bookmarkEnd w:id="69"/>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0" w:name="_Toc23676"/>
      <w:r>
        <w:rPr>
          <w:rFonts w:hint="eastAsia" w:asciiTheme="minorEastAsia" w:hAnsiTheme="minorEastAsia" w:eastAsiaTheme="minorEastAsia" w:cstheme="minorEastAsia"/>
          <w:color w:val="000000"/>
          <w:sz w:val="21"/>
          <w:szCs w:val="21"/>
        </w:rPr>
        <w:t>附件5：商务偏离表</w:t>
      </w:r>
      <w:bookmarkEnd w:id="70"/>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1" w:name="_Toc32168"/>
      <w:r>
        <w:rPr>
          <w:rFonts w:hint="eastAsia" w:asciiTheme="minorEastAsia" w:hAnsiTheme="minorEastAsia" w:eastAsiaTheme="minorEastAsia" w:cstheme="minorEastAsia"/>
          <w:color w:val="000000"/>
          <w:sz w:val="21"/>
          <w:szCs w:val="21"/>
        </w:rPr>
        <w:t>附件6：技术偏离表</w:t>
      </w:r>
      <w:bookmarkEnd w:id="71"/>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2" w:name="_Toc4252"/>
      <w:r>
        <w:rPr>
          <w:rFonts w:hint="eastAsia" w:asciiTheme="minorEastAsia" w:hAnsiTheme="minorEastAsia" w:eastAsiaTheme="minorEastAsia" w:cstheme="minorEastAsia"/>
          <w:color w:val="000000"/>
          <w:sz w:val="21"/>
          <w:szCs w:val="21"/>
        </w:rPr>
        <w:t>附件7：公司业绩一览表</w:t>
      </w:r>
      <w:bookmarkEnd w:id="72"/>
    </w:p>
    <w:p>
      <w:pPr>
        <w:spacing w:line="400" w:lineRule="exact"/>
        <w:ind w:firstLine="420" w:firstLineChars="200"/>
        <w:outlineLvl w:val="0"/>
        <w:rPr>
          <w:rFonts w:hint="eastAsia" w:asciiTheme="minorEastAsia" w:hAnsiTheme="minorEastAsia" w:eastAsiaTheme="minorEastAsia" w:cstheme="minorEastAsia"/>
          <w:color w:val="000000"/>
          <w:sz w:val="21"/>
          <w:szCs w:val="21"/>
        </w:rPr>
      </w:pPr>
      <w:bookmarkStart w:id="73" w:name="_Toc20234"/>
      <w:r>
        <w:rPr>
          <w:rFonts w:hint="eastAsia" w:asciiTheme="minorEastAsia" w:hAnsiTheme="minorEastAsia" w:eastAsiaTheme="minorEastAsia" w:cstheme="minorEastAsia"/>
          <w:color w:val="000000"/>
          <w:sz w:val="21"/>
          <w:szCs w:val="21"/>
        </w:rPr>
        <w:t>附件8：优惠条件承诺书</w:t>
      </w:r>
      <w:bookmarkEnd w:id="73"/>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4" w:name="_Toc24015"/>
      <w:r>
        <w:rPr>
          <w:rFonts w:hint="eastAsia" w:asciiTheme="minorEastAsia" w:hAnsiTheme="minorEastAsia" w:eastAsiaTheme="minorEastAsia" w:cstheme="minorEastAsia"/>
          <w:color w:val="000000"/>
          <w:sz w:val="21"/>
          <w:szCs w:val="21"/>
        </w:rPr>
        <w:t>附件9：售后服务承诺</w:t>
      </w:r>
      <w:bookmarkEnd w:id="74"/>
      <w:r>
        <w:rPr>
          <w:rFonts w:hint="eastAsia" w:asciiTheme="minorEastAsia" w:hAnsiTheme="minorEastAsia" w:eastAsiaTheme="minorEastAsia" w:cstheme="minorEastAsia"/>
          <w:color w:val="000000"/>
          <w:sz w:val="21"/>
          <w:szCs w:val="21"/>
        </w:rPr>
        <w:t xml:space="preserve"> </w:t>
      </w: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5" w:name="_Toc901"/>
      <w:r>
        <w:rPr>
          <w:rFonts w:hint="eastAsia" w:asciiTheme="minorEastAsia" w:hAnsiTheme="minorEastAsia" w:eastAsiaTheme="minorEastAsia" w:cstheme="minorEastAsia"/>
          <w:color w:val="000000"/>
          <w:sz w:val="21"/>
          <w:szCs w:val="21"/>
        </w:rPr>
        <w:t>附件10：无重大违法记录声明</w:t>
      </w:r>
      <w:bookmarkEnd w:id="75"/>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6" w:name="_Toc19396"/>
      <w:r>
        <w:rPr>
          <w:rFonts w:hint="eastAsia" w:asciiTheme="minorEastAsia" w:hAnsiTheme="minorEastAsia" w:eastAsiaTheme="minorEastAsia" w:cstheme="minorEastAsia"/>
          <w:color w:val="000000"/>
          <w:sz w:val="21"/>
          <w:szCs w:val="21"/>
        </w:rPr>
        <w:t>附件 11：供应商反商业贿赂承诺书</w:t>
      </w:r>
      <w:bookmarkEnd w:id="76"/>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7" w:name="_Toc30867"/>
      <w:r>
        <w:rPr>
          <w:rFonts w:hint="eastAsia" w:asciiTheme="minorEastAsia" w:hAnsiTheme="minorEastAsia" w:eastAsiaTheme="minorEastAsia" w:cstheme="minorEastAsia"/>
          <w:color w:val="000000"/>
          <w:sz w:val="21"/>
          <w:szCs w:val="21"/>
        </w:rPr>
        <w:t>附件12：中小微企业证明文件等（如有）</w:t>
      </w:r>
      <w:bookmarkEnd w:id="77"/>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8" w:name="_Toc3181"/>
      <w:r>
        <w:rPr>
          <w:rFonts w:hint="eastAsia" w:asciiTheme="minorEastAsia" w:hAnsiTheme="minorEastAsia" w:eastAsiaTheme="minorEastAsia" w:cstheme="minorEastAsia"/>
          <w:color w:val="000000"/>
          <w:sz w:val="21"/>
          <w:szCs w:val="21"/>
        </w:rPr>
        <w:t>附件13：投标人认为有必要提交的其他相关证明材料</w:t>
      </w:r>
      <w:bookmarkEnd w:id="78"/>
    </w:p>
    <w:p>
      <w:pPr>
        <w:spacing w:line="400" w:lineRule="exact"/>
        <w:rPr>
          <w:rFonts w:hint="eastAsia" w:asciiTheme="minorEastAsia" w:hAnsiTheme="minorEastAsia" w:eastAsiaTheme="minorEastAsia" w:cstheme="minorEastAsia"/>
          <w:sz w:val="21"/>
          <w:szCs w:val="21"/>
        </w:rPr>
        <w:sectPr>
          <w:footerReference r:id="rId7" w:type="first"/>
          <w:footerReference r:id="rId6" w:type="default"/>
          <w:pgSz w:w="11907" w:h="16840"/>
          <w:pgMar w:top="1440" w:right="1247" w:bottom="1440" w:left="1361" w:header="851" w:footer="799" w:gutter="0"/>
          <w:pgNumType w:fmt="decimal" w:start="1"/>
          <w:cols w:space="720" w:num="1"/>
          <w:titlePg/>
          <w:docGrid w:type="lines" w:linePitch="409" w:charSpace="0"/>
        </w:sectPr>
      </w:pPr>
    </w:p>
    <w:p>
      <w:pPr>
        <w:spacing w:line="400" w:lineRule="exact"/>
        <w:rPr>
          <w:rFonts w:hint="eastAsia" w:asciiTheme="minorEastAsia" w:hAnsiTheme="minorEastAsia" w:eastAsiaTheme="minorEastAsia" w:cstheme="minorEastAsia"/>
          <w:b/>
          <w:color w:val="000000"/>
          <w:sz w:val="21"/>
          <w:szCs w:val="21"/>
        </w:rPr>
      </w:pPr>
      <w:bookmarkStart w:id="79" w:name="_Toc16702"/>
      <w:r>
        <w:rPr>
          <w:rFonts w:hint="eastAsia" w:asciiTheme="minorEastAsia" w:hAnsiTheme="minorEastAsia" w:eastAsiaTheme="minorEastAsia" w:cstheme="minorEastAsia"/>
          <w:b/>
          <w:color w:val="000000"/>
          <w:sz w:val="21"/>
          <w:szCs w:val="21"/>
        </w:rPr>
        <w:t>附件1：</w:t>
      </w:r>
      <w:bookmarkEnd w:id="79"/>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磋 商 响 应 函</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致：</w:t>
      </w:r>
      <w:r>
        <w:rPr>
          <w:rFonts w:hint="eastAsia" w:asciiTheme="minorEastAsia" w:hAnsiTheme="minorEastAsia" w:eastAsiaTheme="minorEastAsia" w:cstheme="minorEastAsia"/>
          <w:color w:val="000000"/>
          <w:sz w:val="21"/>
          <w:szCs w:val="21"/>
        </w:rPr>
        <w:t>宏业国际项目管理有限公司</w:t>
      </w:r>
    </w:p>
    <w:p>
      <w:pPr>
        <w:spacing w:line="400" w:lineRule="exact"/>
        <w:ind w:firstLine="39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pacing w:val="-6"/>
          <w:sz w:val="21"/>
          <w:szCs w:val="21"/>
        </w:rPr>
        <w:t>根据贵方项目</w:t>
      </w:r>
      <w:r>
        <w:rPr>
          <w:rFonts w:hint="eastAsia" w:asciiTheme="minorEastAsia" w:hAnsiTheme="minorEastAsia" w:eastAsiaTheme="minorEastAsia" w:cstheme="minorEastAsia"/>
          <w:color w:val="000000"/>
          <w:sz w:val="21"/>
          <w:szCs w:val="21"/>
        </w:rPr>
        <w:t>的</w:t>
      </w:r>
      <w:r>
        <w:rPr>
          <w:rFonts w:hint="eastAsia" w:asciiTheme="minorEastAsia" w:hAnsiTheme="minorEastAsia" w:eastAsiaTheme="minorEastAsia" w:cstheme="minorEastAsia"/>
          <w:color w:val="000000"/>
          <w:spacing w:val="-6"/>
          <w:sz w:val="21"/>
          <w:szCs w:val="21"/>
        </w:rPr>
        <w:t>招标采购</w:t>
      </w:r>
      <w:r>
        <w:rPr>
          <w:rFonts w:hint="eastAsia" w:asciiTheme="minorEastAsia" w:hAnsiTheme="minorEastAsia" w:eastAsiaTheme="minorEastAsia" w:cstheme="minorEastAsia"/>
          <w:color w:val="000000"/>
          <w:sz w:val="21"/>
          <w:szCs w:val="21"/>
        </w:rPr>
        <w:t>(项目编号:      )，正式授权的下述签字人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姓名和职务）代表供应</w:t>
      </w:r>
      <w:r>
        <w:rPr>
          <w:rFonts w:hint="eastAsia" w:asciiTheme="minorEastAsia" w:hAnsiTheme="minorEastAsia" w:eastAsiaTheme="minorEastAsia" w:cstheme="minorEastAsia"/>
          <w:color w:val="auto"/>
          <w:sz w:val="21"/>
          <w:szCs w:val="21"/>
        </w:rPr>
        <w:t>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磋商供应商名称），提交下述文件</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1.磋商响应函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2.开标一览表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3.磋商报价表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4.磋商保证金</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5.按磋商文件要求供应商提交的</w:t>
      </w:r>
      <w:r>
        <w:rPr>
          <w:rFonts w:hint="eastAsia" w:asciiTheme="minorEastAsia" w:hAnsiTheme="minorEastAsia" w:eastAsiaTheme="minorEastAsia" w:cstheme="minorEastAsia"/>
          <w:color w:val="000000"/>
          <w:sz w:val="21"/>
          <w:szCs w:val="21"/>
        </w:rPr>
        <w:t>全部文件</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据此函，签字人兹宣布同意如下条款：</w:t>
      </w:r>
    </w:p>
    <w:p>
      <w:pPr>
        <w:numPr>
          <w:ilvl w:val="0"/>
          <w:numId w:val="0"/>
        </w:numPr>
        <w:spacing w:line="400" w:lineRule="exact"/>
        <w:ind w:left="-36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      （1）</w:t>
      </w:r>
      <w:r>
        <w:rPr>
          <w:rFonts w:hint="eastAsia" w:asciiTheme="minorEastAsia" w:hAnsiTheme="minorEastAsia" w:eastAsiaTheme="minorEastAsia" w:cstheme="minorEastAsia"/>
          <w:color w:val="000000"/>
          <w:sz w:val="21"/>
          <w:szCs w:val="21"/>
        </w:rPr>
        <w:t>附磋商价格表中规定的应提供和交付的货物及服务磋商总价为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大写）。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⑵ 我们将按磋商文件的规定履行合同责任和义务。</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⑶ 我们已详细审查全部磋商文件，包括修改意见（如有则附）以及全部参考资料和有关附件。我们完全理解并同意放弃对这方面有不明及误解而要求招标方解释和承担责任的权利。</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⑷ 在供应商须知规定的磋商有效期内遵循本磋商响应性文件，并在磋商须知规定的磋商有效期期满之前具有约束力。</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⑸ 如果在规定的磋商有效期内撤回投标，我们的磋商保证金可被贵方没收。</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⑹ 同意提供贵方可能要求的与本投标有关的任何证据或资料。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⑺ 我们同意提供按照招标单位可能出示的与其投标有关的一切数据或资料。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⑻ 我们理解贵方不一定要接受最低报价的投标或收到的任何投标。</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⑼ 与本投标有关的一切正式往来通讯请寄至：</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电话：</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0" w:name="_Toc21536"/>
      <w:r>
        <w:rPr>
          <w:rFonts w:hint="eastAsia" w:asciiTheme="minorEastAsia" w:hAnsiTheme="minorEastAsia" w:eastAsiaTheme="minorEastAsia" w:cstheme="minorEastAsia"/>
          <w:b/>
          <w:sz w:val="21"/>
          <w:szCs w:val="21"/>
        </w:rPr>
        <w:t>附件2：</w:t>
      </w:r>
      <w:bookmarkEnd w:id="80"/>
      <w:bookmarkStart w:id="81" w:name="_Toc139965362"/>
    </w:p>
    <w:p>
      <w:pPr>
        <w:spacing w:line="400" w:lineRule="exact"/>
        <w:jc w:val="center"/>
        <w:rPr>
          <w:rFonts w:hint="eastAsia" w:asciiTheme="minorEastAsia" w:hAnsiTheme="minorEastAsia" w:eastAsiaTheme="minorEastAsia" w:cstheme="minorEastAsia"/>
          <w:b/>
          <w:sz w:val="21"/>
          <w:szCs w:val="21"/>
        </w:rPr>
      </w:pPr>
      <w:bookmarkStart w:id="82" w:name="_Toc327439494"/>
      <w:r>
        <w:rPr>
          <w:rFonts w:hint="eastAsia" w:asciiTheme="minorEastAsia" w:hAnsiTheme="minorEastAsia" w:eastAsiaTheme="minorEastAsia" w:cstheme="minorEastAsia"/>
          <w:b/>
          <w:sz w:val="21"/>
          <w:szCs w:val="21"/>
        </w:rPr>
        <w:t>法定代表人身份证明</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磋商供应商名称：</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单位性质：</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成立时间：年月日</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经营期限：</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姓名：性别：年龄：职务：</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系（磋商供应商名称）的法定代表人。</w:t>
      </w:r>
    </w:p>
    <w:p>
      <w:pPr>
        <w:spacing w:line="400" w:lineRule="exact"/>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特此证明。</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tbl>
      <w:tblPr>
        <w:tblStyle w:val="36"/>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复印件正面</w:t>
            </w:r>
          </w:p>
        </w:tc>
        <w:tc>
          <w:tcPr>
            <w:tcW w:w="4610"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复印件反面</w:t>
            </w:r>
          </w:p>
        </w:tc>
      </w:tr>
    </w:tbl>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3" w:name="_Toc16424"/>
      <w:r>
        <w:rPr>
          <w:rFonts w:hint="eastAsia" w:asciiTheme="minorEastAsia" w:hAnsiTheme="minorEastAsia" w:eastAsiaTheme="minorEastAsia" w:cstheme="minorEastAsia"/>
          <w:b/>
          <w:sz w:val="21"/>
          <w:szCs w:val="21"/>
        </w:rPr>
        <w:t>附件3：</w:t>
      </w:r>
      <w:bookmarkEnd w:id="83"/>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法定代表人授权委托书</w:t>
      </w:r>
    </w:p>
    <w:p>
      <w:pPr>
        <w:spacing w:line="400" w:lineRule="exact"/>
        <w:jc w:val="center"/>
        <w:rPr>
          <w:rFonts w:hint="eastAsia" w:asciiTheme="minorEastAsia" w:hAnsiTheme="minorEastAsia" w:eastAsiaTheme="minorEastAsia" w:cstheme="minorEastAsia"/>
          <w:sz w:val="21"/>
          <w:szCs w:val="21"/>
        </w:rPr>
      </w:pPr>
    </w:p>
    <w:p>
      <w:pPr>
        <w:spacing w:line="400" w:lineRule="exact"/>
        <w:ind w:firstLine="420" w:firstLineChars="2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 xml:space="preserve">本授权书声明：我单位的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（法人代表姓名、职务）代表本单位授权</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被授权人的姓名、职务）为本单位的合法代理人，就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项目的投标及合同的执行、完成，以本单位的名义处理一切与之有关的事务。</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ind w:firstLine="538"/>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本授权书于年月日签字生效，特此声明。</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ind w:firstLine="437"/>
        <w:rPr>
          <w:rFonts w:hint="eastAsia" w:asciiTheme="minorEastAsia" w:hAnsiTheme="minorEastAsia" w:eastAsiaTheme="minorEastAsia" w:cstheme="minorEastAsia"/>
          <w:color w:val="000000"/>
          <w:sz w:val="21"/>
          <w:szCs w:val="21"/>
        </w:rPr>
      </w:pP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37"/>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法定代表人签字：</w:t>
      </w: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授权代表人签字：</w:t>
      </w:r>
    </w:p>
    <w:p>
      <w:pPr>
        <w:spacing w:line="400" w:lineRule="exact"/>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pacing w:val="10"/>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color w:val="000000"/>
          <w:sz w:val="21"/>
          <w:szCs w:val="21"/>
        </w:rPr>
      </w:pPr>
      <w:bookmarkStart w:id="84" w:name="_Toc9209"/>
      <w:r>
        <w:rPr>
          <w:rFonts w:hint="eastAsia" w:asciiTheme="minorEastAsia" w:hAnsiTheme="minorEastAsia" w:eastAsiaTheme="minorEastAsia" w:cstheme="minorEastAsia"/>
          <w:b/>
          <w:color w:val="000000"/>
          <w:sz w:val="21"/>
          <w:szCs w:val="21"/>
        </w:rPr>
        <w:br w:type="page"/>
      </w:r>
    </w:p>
    <w:p>
      <w:pPr>
        <w:spacing w:line="400" w:lineRule="exact"/>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附件4：</w:t>
      </w:r>
      <w:bookmarkEnd w:id="84"/>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报价一览表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lang w:eastAsia="zh-CN"/>
        </w:rPr>
        <w:t>磋商</w:t>
      </w:r>
      <w:r>
        <w:rPr>
          <w:rFonts w:hint="eastAsia" w:asciiTheme="minorEastAsia" w:hAnsiTheme="minorEastAsia" w:eastAsiaTheme="minorEastAsia" w:cstheme="minorEastAsia"/>
          <w:color w:val="00000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jc w:val="center"/>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p>
    <w:p>
      <w:pPr>
        <w:spacing w:line="400" w:lineRule="exact"/>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u w:val="single"/>
        </w:rPr>
        <w:br w:type="page"/>
      </w:r>
    </w:p>
    <w:p>
      <w:pPr>
        <w:spacing w:line="400" w:lineRule="exact"/>
        <w:jc w:val="center"/>
        <w:rPr>
          <w:rFonts w:hint="eastAsia" w:asciiTheme="minorEastAsia" w:hAnsiTheme="minorEastAsia" w:eastAsiaTheme="minorEastAsia" w:cstheme="minorEastAsia"/>
          <w:sz w:val="21"/>
          <w:szCs w:val="21"/>
        </w:rPr>
      </w:pPr>
    </w:p>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报价明细表</w:t>
      </w:r>
    </w:p>
    <w:p>
      <w:pPr>
        <w:pStyle w:val="35"/>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w:t>
      </w:r>
    </w:p>
    <w:tbl>
      <w:tblPr>
        <w:tblStyle w:val="36"/>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98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842"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left"/>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bl>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bookmarkEnd w:id="81"/>
    <w:bookmarkEnd w:id="82"/>
    <w:p>
      <w:pPr>
        <w:spacing w:line="400" w:lineRule="exact"/>
        <w:rPr>
          <w:rFonts w:hint="eastAsia" w:asciiTheme="minorEastAsia" w:hAnsiTheme="minorEastAsia" w:eastAsiaTheme="minorEastAsia" w:cstheme="minorEastAsia"/>
          <w:b/>
          <w:sz w:val="21"/>
          <w:szCs w:val="21"/>
        </w:rPr>
      </w:pPr>
      <w:bookmarkStart w:id="85" w:name="_Toc32506"/>
      <w:r>
        <w:rPr>
          <w:rFonts w:hint="eastAsia" w:asciiTheme="minorEastAsia" w:hAnsiTheme="minorEastAsia" w:eastAsiaTheme="minorEastAsia" w:cstheme="minorEastAsia"/>
          <w:b/>
          <w:sz w:val="21"/>
          <w:szCs w:val="21"/>
        </w:rPr>
        <w:t>附件5：</w:t>
      </w:r>
      <w:bookmarkEnd w:id="85"/>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商务偏离表</w:t>
      </w:r>
    </w:p>
    <w:p>
      <w:pPr>
        <w:spacing w:line="400" w:lineRule="exact"/>
        <w:jc w:val="center"/>
        <w:rPr>
          <w:rFonts w:hint="eastAsia" w:asciiTheme="minorEastAsia" w:hAnsiTheme="minorEastAsia" w:eastAsiaTheme="minorEastAsia" w:cstheme="minorEastAsia"/>
          <w:b/>
          <w:sz w:val="21"/>
          <w:szCs w:val="21"/>
        </w:rPr>
      </w:pPr>
    </w:p>
    <w:tbl>
      <w:tblPr>
        <w:tblStyle w:val="36"/>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序号</w:t>
            </w: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招标文件条目号</w:t>
            </w: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招标文件的商务条款</w:t>
            </w: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投标文件的商务条款</w:t>
            </w: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偏离情况</w:t>
            </w: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注：除本商务偏离表中所列的偏离内容外，其他所有商务条款均应完全响应“磋商文件”中的要求。</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bookmarkStart w:id="86" w:name="_Toc327439493"/>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rPr>
          <w:rFonts w:hint="eastAsia" w:asciiTheme="minorEastAsia" w:hAnsiTheme="minorEastAsia" w:eastAsiaTheme="minorEastAsia" w:cstheme="minorEastAsia"/>
          <w:bCs/>
          <w:sz w:val="21"/>
          <w:szCs w:val="21"/>
          <w:u w:val="single"/>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7" w:name="_Toc8206"/>
      <w:r>
        <w:rPr>
          <w:rFonts w:hint="eastAsia" w:asciiTheme="minorEastAsia" w:hAnsiTheme="minorEastAsia" w:eastAsiaTheme="minorEastAsia" w:cstheme="minorEastAsia"/>
          <w:b/>
          <w:sz w:val="21"/>
          <w:szCs w:val="21"/>
        </w:rPr>
        <w:t>附件6：</w:t>
      </w:r>
      <w:bookmarkEnd w:id="87"/>
    </w:p>
    <w:p>
      <w:pPr>
        <w:snapToGrid w:val="0"/>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技术偏离表</w:t>
      </w:r>
    </w:p>
    <w:tbl>
      <w:tblPr>
        <w:tblStyle w:val="36"/>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磋商文件技术要求</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磋商供应商的技术响</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bl>
    <w:p>
      <w:pPr>
        <w:snapToGrid w:val="0"/>
        <w:spacing w:line="400" w:lineRule="exact"/>
        <w:jc w:val="center"/>
        <w:rPr>
          <w:rFonts w:hint="eastAsia" w:asciiTheme="minorEastAsia" w:hAnsiTheme="minorEastAsia" w:eastAsiaTheme="minorEastAsia" w:cstheme="minorEastAsia"/>
          <w:b/>
          <w:sz w:val="21"/>
          <w:szCs w:val="21"/>
        </w:rPr>
      </w:pPr>
    </w:p>
    <w:p>
      <w:pPr>
        <w:pStyle w:val="23"/>
        <w:spacing w:line="400" w:lineRule="exact"/>
        <w:jc w:val="center"/>
        <w:rPr>
          <w:rFonts w:hint="eastAsia" w:asciiTheme="minorEastAsia" w:hAnsiTheme="minorEastAsia" w:eastAsiaTheme="minorEastAsia" w:cstheme="minorEastAsia"/>
          <w:b/>
          <w:sz w:val="21"/>
          <w:szCs w:val="21"/>
        </w:rPr>
      </w:pPr>
    </w:p>
    <w:p>
      <w:pPr>
        <w:adjustRightInd w:val="0"/>
        <w:snapToGrid w:val="0"/>
        <w:spacing w:line="440" w:lineRule="exact"/>
        <w:ind w:left="693" w:hanging="693" w:hangingChars="330"/>
        <w:rPr>
          <w:rFonts w:hint="eastAsia" w:ascii="宋体" w:hAnsi="宋体" w:cs="宋体"/>
          <w:szCs w:val="21"/>
        </w:rPr>
      </w:pPr>
      <w:r>
        <w:rPr>
          <w:rFonts w:hint="eastAsia" w:ascii="宋体" w:hAnsi="宋体" w:cs="宋体"/>
          <w:szCs w:val="21"/>
        </w:rPr>
        <w:t>注：</w:t>
      </w:r>
    </w:p>
    <w:p>
      <w:pPr>
        <w:pStyle w:val="112"/>
        <w:numPr>
          <w:ilvl w:val="3"/>
          <w:numId w:val="6"/>
        </w:numPr>
        <w:adjustRightInd w:val="0"/>
        <w:snapToGrid w:val="0"/>
        <w:spacing w:line="440" w:lineRule="exact"/>
        <w:ind w:left="0" w:firstLine="0" w:firstLineChars="0"/>
        <w:rPr>
          <w:rFonts w:hint="eastAsia" w:ascii="宋体" w:hAnsi="宋体" w:cs="宋体"/>
          <w:szCs w:val="21"/>
        </w:rPr>
      </w:pPr>
      <w:r>
        <w:rPr>
          <w:rFonts w:hint="eastAsia" w:ascii="宋体" w:hAnsi="宋体" w:cs="宋体"/>
          <w:szCs w:val="21"/>
        </w:rPr>
        <w:t>投标人应当逐条对照采购文件合同条款，就投标文件对合同条款存在的偏差与例外逐条做出说明；</w:t>
      </w:r>
    </w:p>
    <w:p>
      <w:pPr>
        <w:pStyle w:val="112"/>
        <w:numPr>
          <w:ilvl w:val="3"/>
          <w:numId w:val="6"/>
        </w:numPr>
        <w:adjustRightInd w:val="0"/>
        <w:snapToGrid w:val="0"/>
        <w:spacing w:line="440" w:lineRule="exact"/>
        <w:ind w:left="0" w:firstLine="0" w:firstLineChars="0"/>
        <w:rPr>
          <w:rFonts w:hint="eastAsia" w:ascii="宋体" w:hAnsi="宋体" w:cs="宋体"/>
          <w:b/>
          <w:szCs w:val="21"/>
        </w:rPr>
      </w:pPr>
      <w:r>
        <w:rPr>
          <w:rFonts w:hint="eastAsia" w:ascii="宋体" w:hAnsi="宋体" w:cs="宋体"/>
          <w:b/>
          <w:szCs w:val="21"/>
        </w:rPr>
        <w:t>如投标文件对合同条款无任何偏差，投标人仅需在本偏离表中填写“无偏离”即可。</w:t>
      </w:r>
    </w:p>
    <w:p>
      <w:pPr>
        <w:pStyle w:val="30"/>
        <w:spacing w:line="400" w:lineRule="exact"/>
        <w:ind w:left="480" w:hanging="480"/>
        <w:rPr>
          <w:rFonts w:hint="eastAsia" w:asciiTheme="minorEastAsia" w:hAnsiTheme="minorEastAsia" w:eastAsiaTheme="minorEastAsia" w:cstheme="minorEastAsia"/>
          <w:b w:val="0"/>
          <w:sz w:val="21"/>
          <w:szCs w:val="21"/>
        </w:rPr>
      </w:pPr>
    </w:p>
    <w:p>
      <w:pPr>
        <w:pStyle w:val="30"/>
        <w:spacing w:line="400" w:lineRule="exact"/>
        <w:ind w:left="480" w:hanging="480"/>
        <w:rPr>
          <w:rFonts w:hint="eastAsia" w:asciiTheme="minorEastAsia" w:hAnsiTheme="minorEastAsia" w:eastAsiaTheme="minorEastAsia" w:cstheme="minorEastAsia"/>
          <w:b w:val="0"/>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bookmarkEnd w:id="86"/>
    <w:p>
      <w:pPr>
        <w:spacing w:line="400" w:lineRule="exact"/>
        <w:rPr>
          <w:rFonts w:hint="eastAsia" w:asciiTheme="minorEastAsia" w:hAnsiTheme="minorEastAsia" w:eastAsiaTheme="minorEastAsia" w:cstheme="minorEastAsia"/>
          <w:sz w:val="21"/>
          <w:szCs w:val="21"/>
        </w:rPr>
        <w:sectPr>
          <w:headerReference r:id="rId8" w:type="default"/>
          <w:pgSz w:w="11906" w:h="16838"/>
          <w:pgMar w:top="1304" w:right="1247" w:bottom="1418" w:left="1247" w:header="851" w:footer="992" w:gutter="0"/>
          <w:pgNumType w:fmt="decimal"/>
          <w:cols w:space="720" w:num="1"/>
          <w:docGrid w:linePitch="312" w:charSpace="0"/>
        </w:sectPr>
      </w:pPr>
      <w:bookmarkStart w:id="88" w:name="_Toc400536597"/>
      <w:bookmarkStart w:id="89" w:name="_Toc258923314"/>
    </w:p>
    <w:p>
      <w:pPr>
        <w:spacing w:line="400" w:lineRule="exact"/>
        <w:rPr>
          <w:rFonts w:hint="eastAsia" w:asciiTheme="minorEastAsia" w:hAnsiTheme="minorEastAsia" w:eastAsiaTheme="minorEastAsia" w:cstheme="minorEastAsia"/>
          <w:b/>
          <w:sz w:val="21"/>
          <w:szCs w:val="21"/>
        </w:rPr>
      </w:pPr>
      <w:bookmarkStart w:id="90" w:name="_Toc5690"/>
      <w:r>
        <w:rPr>
          <w:rFonts w:hint="eastAsia" w:asciiTheme="minorEastAsia" w:hAnsiTheme="minorEastAsia" w:eastAsiaTheme="minorEastAsia" w:cstheme="minorEastAsia"/>
          <w:b/>
          <w:sz w:val="21"/>
          <w:szCs w:val="21"/>
        </w:rPr>
        <w:t>附件7：</w:t>
      </w:r>
      <w:bookmarkEnd w:id="90"/>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公司业绩一览表</w:t>
      </w:r>
      <w:bookmarkEnd w:id="88"/>
      <w:bookmarkEnd w:id="89"/>
    </w:p>
    <w:p>
      <w:pPr>
        <w:spacing w:line="400" w:lineRule="exact"/>
        <w:jc w:val="center"/>
        <w:rPr>
          <w:rFonts w:hint="eastAsia" w:asciiTheme="minorEastAsia" w:hAnsiTheme="minorEastAsia" w:eastAsiaTheme="minorEastAsia" w:cstheme="minorEastAsia"/>
          <w:sz w:val="21"/>
          <w:szCs w:val="21"/>
        </w:rPr>
      </w:pPr>
    </w:p>
    <w:tbl>
      <w:tblPr>
        <w:tblStyle w:val="36"/>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p>
    <w:p>
      <w:pPr>
        <w:numPr>
          <w:ilvl w:val="0"/>
          <w:numId w:val="7"/>
        </w:numPr>
        <w:spacing w:line="400" w:lineRule="exact"/>
        <w:rPr>
          <w:rFonts w:ascii="Times New Roman" w:hAnsi="Times New Roman" w:eastAsia="宋体" w:cs="Times New Roman"/>
          <w:b w:val="0"/>
          <w:bCs w:val="0"/>
        </w:rPr>
      </w:pPr>
      <w:r>
        <w:rPr>
          <w:rFonts w:ascii="Times New Roman" w:hAnsi="Times New Roman" w:eastAsia="宋体" w:cs="Times New Roman"/>
          <w:b w:val="0"/>
          <w:bCs w:val="0"/>
        </w:rPr>
        <w:t>上述业绩国家级项目的甲方必须是国家部委（部级单位）或其直属事业单位；省、市级项目的甲方必须是相应级别行政主管部门或其直属事业单位；</w:t>
      </w:r>
    </w:p>
    <w:p>
      <w:pPr>
        <w:numPr>
          <w:ilvl w:val="0"/>
          <w:numId w:val="7"/>
        </w:numPr>
        <w:spacing w:line="400" w:lineRule="exact"/>
        <w:ind w:left="0" w:leftChars="0" w:firstLine="0" w:firstLineChars="0"/>
        <w:rPr>
          <w:rFonts w:ascii="Times New Roman" w:hAnsi="Times New Roman" w:eastAsia="宋体" w:cs="Times New Roman"/>
          <w:b w:val="0"/>
          <w:bCs w:val="0"/>
        </w:rPr>
      </w:pPr>
      <w:r>
        <w:rPr>
          <w:rFonts w:ascii="Times New Roman" w:hAnsi="Times New Roman" w:eastAsia="宋体" w:cs="Times New Roman"/>
          <w:b w:val="0"/>
          <w:bCs w:val="0"/>
        </w:rPr>
        <w:t>同一项目业绩只能在上述一个分项中计分，不重复累计得分；</w:t>
      </w:r>
    </w:p>
    <w:p>
      <w:pPr>
        <w:numPr>
          <w:ilvl w:val="0"/>
          <w:numId w:val="0"/>
        </w:numPr>
        <w:spacing w:line="400" w:lineRule="exact"/>
        <w:ind w:leftChars="0"/>
        <w:rPr>
          <w:rFonts w:hint="eastAsia" w:asciiTheme="minorEastAsia" w:hAnsiTheme="minorEastAsia" w:eastAsiaTheme="minorEastAsia" w:cstheme="minorEastAsia"/>
          <w:b w:val="0"/>
          <w:bCs w:val="0"/>
          <w:sz w:val="21"/>
          <w:szCs w:val="21"/>
        </w:rPr>
      </w:pPr>
      <w:r>
        <w:rPr>
          <w:rFonts w:ascii="Times New Roman" w:hAnsi="Times New Roman" w:eastAsia="宋体" w:cs="Times New Roman"/>
          <w:b w:val="0"/>
          <w:bCs w:val="0"/>
        </w:rPr>
        <w:t>3.提供合同原件扫描件，否则不得分。</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91" w:name="_Toc6256"/>
      <w:r>
        <w:rPr>
          <w:rFonts w:hint="eastAsia" w:asciiTheme="minorEastAsia" w:hAnsiTheme="minorEastAsia" w:eastAsiaTheme="minorEastAsia" w:cstheme="minorEastAsia"/>
          <w:b/>
          <w:sz w:val="21"/>
          <w:szCs w:val="21"/>
        </w:rPr>
        <w:t>附件8：</w:t>
      </w:r>
      <w:bookmarkEnd w:id="91"/>
    </w:p>
    <w:p>
      <w:pPr>
        <w:spacing w:line="400" w:lineRule="exact"/>
        <w:jc w:val="center"/>
        <w:rPr>
          <w:rFonts w:hint="eastAsia" w:asciiTheme="minorEastAsia" w:hAnsiTheme="minorEastAsia" w:eastAsiaTheme="minorEastAsia" w:cstheme="minorEastAsia"/>
          <w:b/>
          <w:sz w:val="21"/>
          <w:szCs w:val="21"/>
        </w:rPr>
      </w:pPr>
      <w:bookmarkStart w:id="92" w:name="_Toc258923315"/>
      <w:bookmarkStart w:id="93" w:name="_Toc400536598"/>
      <w:r>
        <w:rPr>
          <w:rFonts w:hint="eastAsia" w:asciiTheme="minorEastAsia" w:hAnsiTheme="minorEastAsia" w:eastAsiaTheme="minorEastAsia" w:cstheme="minorEastAsia"/>
          <w:b/>
          <w:sz w:val="21"/>
          <w:szCs w:val="21"/>
        </w:rPr>
        <w:t>优惠条件承诺书</w:t>
      </w:r>
      <w:bookmarkEnd w:id="92"/>
      <w:bookmarkEnd w:id="93"/>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经仔细阅读你们的磋商文件，对所投标项目向贵单位特作如下优惠条件承诺：</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p>
      <w:pPr>
        <w:spacing w:line="400" w:lineRule="exact"/>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特此承诺！</w:t>
      </w:r>
    </w:p>
    <w:p>
      <w:pPr>
        <w:spacing w:line="400" w:lineRule="exact"/>
        <w:textAlignment w:val="baseline"/>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法定代表人或授权代表人（签字）：</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电话：</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bookmarkStart w:id="94" w:name="_Toc20690"/>
      <w:r>
        <w:rPr>
          <w:rFonts w:hint="eastAsia" w:asciiTheme="minorEastAsia" w:hAnsiTheme="minorEastAsia" w:eastAsiaTheme="minorEastAsia" w:cstheme="minorEastAsia"/>
          <w:b/>
          <w:sz w:val="21"/>
          <w:szCs w:val="21"/>
        </w:rPr>
        <w:t>附件9：</w:t>
      </w:r>
      <w:bookmarkEnd w:id="94"/>
    </w:p>
    <w:p>
      <w:pPr>
        <w:spacing w:line="400" w:lineRule="exact"/>
        <w:jc w:val="center"/>
        <w:rPr>
          <w:rFonts w:hint="eastAsia" w:asciiTheme="minorEastAsia" w:hAnsiTheme="minorEastAsia" w:eastAsiaTheme="minorEastAsia" w:cstheme="minorEastAsia"/>
          <w:b/>
          <w:sz w:val="21"/>
          <w:szCs w:val="21"/>
        </w:rPr>
      </w:pPr>
      <w:bookmarkStart w:id="95" w:name="_Toc400536599"/>
      <w:bookmarkStart w:id="96" w:name="_Toc258923316"/>
      <w:r>
        <w:rPr>
          <w:rFonts w:hint="eastAsia" w:asciiTheme="minorEastAsia" w:hAnsiTheme="minorEastAsia" w:eastAsiaTheme="minorEastAsia" w:cstheme="minorEastAsia"/>
          <w:b/>
          <w:sz w:val="21"/>
          <w:szCs w:val="21"/>
        </w:rPr>
        <w:t>售后服务承诺</w:t>
      </w:r>
      <w:bookmarkEnd w:id="95"/>
      <w:bookmarkEnd w:id="96"/>
    </w:p>
    <w:p>
      <w:pPr>
        <w:spacing w:line="400" w:lineRule="exact"/>
        <w:rPr>
          <w:rFonts w:hint="eastAsia" w:asciiTheme="minorEastAsia" w:hAnsiTheme="minorEastAsia" w:eastAsiaTheme="minorEastAsia" w:cstheme="minorEastAsia"/>
          <w:sz w:val="21"/>
          <w:szCs w:val="21"/>
        </w:rPr>
      </w:pPr>
    </w:p>
    <w:p>
      <w:pPr>
        <w:spacing w:line="400" w:lineRule="exact"/>
        <w:ind w:firstLine="840" w:firstLineChars="40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520" w:firstLineChars="1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格式自拟</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97" w:name="_Toc25362"/>
      <w:r>
        <w:rPr>
          <w:rFonts w:hint="eastAsia" w:asciiTheme="minorEastAsia" w:hAnsiTheme="minorEastAsia" w:eastAsiaTheme="minorEastAsia" w:cstheme="minorEastAsia"/>
          <w:b/>
          <w:sz w:val="21"/>
          <w:szCs w:val="21"/>
        </w:rPr>
        <w:t>附件10：</w:t>
      </w:r>
      <w:bookmarkEnd w:id="97"/>
    </w:p>
    <w:p>
      <w:pPr>
        <w:spacing w:line="4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无重大违法记录声明</w:t>
      </w:r>
    </w:p>
    <w:p>
      <w:pPr>
        <w:spacing w:line="400" w:lineRule="exact"/>
        <w:jc w:val="center"/>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我单位参加政府采购活动前三年内，在经营活动中没有重大违法记录。</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特此声明!</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98" w:name="_Toc20687"/>
      <w:r>
        <w:rPr>
          <w:rFonts w:hint="eastAsia" w:asciiTheme="minorEastAsia" w:hAnsiTheme="minorEastAsia" w:eastAsiaTheme="minorEastAsia" w:cstheme="minorEastAsia"/>
          <w:b/>
          <w:sz w:val="21"/>
          <w:szCs w:val="21"/>
        </w:rPr>
        <w:t>附件11：</w:t>
      </w:r>
      <w:bookmarkEnd w:id="98"/>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供应商反商业贿赂承诺书</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32"/>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w:t>
      </w:r>
      <w:r>
        <w:rPr>
          <w:rFonts w:hint="eastAsia" w:asciiTheme="minorEastAsia" w:hAnsiTheme="minorEastAsia" w:eastAsiaTheme="minorEastAsia" w:cstheme="minorEastAsia"/>
          <w:kern w:val="0"/>
          <w:sz w:val="21"/>
          <w:szCs w:val="21"/>
          <w:u w:val="single"/>
        </w:rPr>
        <w:t>（项目编号、项目名称）</w:t>
      </w:r>
      <w:r>
        <w:rPr>
          <w:rFonts w:hint="eastAsia" w:asciiTheme="minorEastAsia" w:hAnsiTheme="minorEastAsia" w:eastAsiaTheme="minorEastAsia" w:cstheme="minorEastAsia"/>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法定代表人：</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法人授权代表：</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项目经办人：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我公司承诺在参加本次投标前三年内，无以下行为：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重大违法行为；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商业贿行为；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政府采购法《第七十七条》，列入不良行为记录名单的各种行为；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如有上述行为，我公司及项目参与人员自愿放弃本次项目的投标、报价资格，若为预中标、成交人，也自愿放弃中标、成交资格</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99" w:name="_Toc22028"/>
      <w:r>
        <w:rPr>
          <w:rFonts w:hint="eastAsia" w:asciiTheme="minorEastAsia" w:hAnsiTheme="minorEastAsia" w:eastAsiaTheme="minorEastAsia" w:cstheme="minorEastAsia"/>
          <w:b/>
          <w:sz w:val="21"/>
          <w:szCs w:val="21"/>
        </w:rPr>
        <w:t>附件12：</w:t>
      </w:r>
      <w:bookmarkEnd w:id="99"/>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color w:val="000000"/>
          <w:kern w:val="0"/>
          <w:sz w:val="21"/>
          <w:szCs w:val="21"/>
        </w:rPr>
        <w:t>中小企业声明函</w:t>
      </w:r>
    </w:p>
    <w:p>
      <w:pPr>
        <w:widowControl/>
        <w:spacing w:line="400" w:lineRule="exact"/>
        <w:jc w:val="left"/>
        <w:rPr>
          <w:rFonts w:hint="eastAsia" w:asciiTheme="minorEastAsia" w:hAnsiTheme="minorEastAsia" w:eastAsiaTheme="minorEastAsia" w:cstheme="minorEastAsia"/>
          <w:color w:val="000000"/>
          <w:kern w:val="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kern w:val="0"/>
          <w:sz w:val="21"/>
          <w:szCs w:val="21"/>
          <w:u w:val="single"/>
        </w:rPr>
        <w:t>（单位名称）</w:t>
      </w:r>
      <w:r>
        <w:rPr>
          <w:rFonts w:hint="eastAsia" w:asciiTheme="minorEastAsia" w:hAnsiTheme="minorEastAsia" w:eastAsiaTheme="minorEastAsia" w:cstheme="minorEastAsia"/>
          <w:color w:val="000000"/>
          <w:kern w:val="0"/>
          <w:sz w:val="21"/>
          <w:szCs w:val="21"/>
        </w:rPr>
        <w:t>的</w:t>
      </w:r>
      <w:r>
        <w:rPr>
          <w:rFonts w:hint="eastAsia" w:asciiTheme="minorEastAsia" w:hAnsiTheme="minorEastAsia" w:eastAsiaTheme="minorEastAsia" w:cstheme="minorEastAsia"/>
          <w:color w:val="000000"/>
          <w:kern w:val="0"/>
          <w:sz w:val="21"/>
          <w:szCs w:val="21"/>
          <w:u w:val="single"/>
        </w:rPr>
        <w:t>（项目名称）</w:t>
      </w:r>
      <w:r>
        <w:rPr>
          <w:rFonts w:hint="eastAsia" w:asciiTheme="minorEastAsia" w:hAnsiTheme="minorEastAsia" w:eastAsiaTheme="minorEastAsia" w:cstheme="minorEastAsia"/>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1. </w:t>
      </w:r>
      <w:r>
        <w:rPr>
          <w:rFonts w:hint="eastAsia" w:asciiTheme="minorEastAsia" w:hAnsiTheme="minorEastAsia" w:eastAsiaTheme="minorEastAsia" w:cstheme="minorEastAsia"/>
          <w:color w:val="000000"/>
          <w:kern w:val="0"/>
          <w:sz w:val="21"/>
          <w:szCs w:val="21"/>
          <w:u w:val="single"/>
        </w:rPr>
        <w:t>（标的名称）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u w:val="single"/>
        </w:rPr>
        <w:t xml:space="preserve"> （标的名称）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以上企业，不属于大企业的分支机构，不存在控股股东为大企业的情形，也不存在与大企业的负责人为同一人的情形。</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本企业对上述声明内容的真实性负责。如有虚假，将依法承担相应责任。 </w:t>
      </w: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企业名称（盖章）：</w:t>
      </w: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日 期：</w:t>
      </w:r>
    </w:p>
    <w:p>
      <w:pPr>
        <w:spacing w:line="400" w:lineRule="exact"/>
        <w:rPr>
          <w:rFonts w:hint="eastAsia" w:asciiTheme="minorEastAsia" w:hAnsiTheme="minorEastAsia" w:eastAsiaTheme="minorEastAsia" w:cstheme="minorEastAsia"/>
          <w:color w:val="00000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从业人员、营业收入、资产总额填报上一年度数据，无上一年度数据的新成立企业可不填报。</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100" w:name="_Toc26407"/>
      <w:r>
        <w:rPr>
          <w:rFonts w:hint="eastAsia" w:asciiTheme="minorEastAsia" w:hAnsiTheme="minorEastAsia" w:eastAsiaTheme="minorEastAsia" w:cstheme="minorEastAsia"/>
          <w:b/>
          <w:sz w:val="21"/>
          <w:szCs w:val="21"/>
        </w:rPr>
        <w:t>附件13：</w:t>
      </w:r>
      <w:bookmarkEnd w:id="100"/>
    </w:p>
    <w:p>
      <w:pPr>
        <w:widowControl/>
        <w:spacing w:line="400" w:lineRule="exact"/>
        <w:jc w:val="center"/>
        <w:rPr>
          <w:rFonts w:hint="eastAsia" w:asciiTheme="minorEastAsia" w:hAnsiTheme="minorEastAsia" w:eastAsiaTheme="minorEastAsia" w:cstheme="minorEastAsia"/>
          <w:b/>
          <w:sz w:val="21"/>
          <w:szCs w:val="21"/>
        </w:rPr>
      </w:pP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投标人认为有必要提交的其他相关证明材料</w:t>
      </w: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400" w:lineRule="exact"/>
        <w:jc w:val="center"/>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二次（最终）报价表</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p>
      <w:pPr>
        <w:pStyle w:val="46"/>
        <w:rPr>
          <w:rFonts w:hint="eastAsia" w:asciiTheme="minorEastAsia" w:hAnsiTheme="minorEastAsia" w:eastAsiaTheme="minorEastAsia" w:cstheme="minorEastAsia"/>
          <w:sz w:val="21"/>
          <w:szCs w:val="21"/>
        </w:rPr>
      </w:pP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pStyle w:val="46"/>
              <w:rPr>
                <w:rFonts w:hint="eastAsia"/>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4、本表须将此表内容填写（报价大小写除外），加盖单位公章后，一式两份带到开标地点，现场进行手写二次(或多次)报价。</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70C0"/>
          <w:sz w:val="21"/>
          <w:szCs w:val="21"/>
          <w:u w:val="single"/>
        </w:rPr>
      </w:pPr>
      <w:r>
        <w:rPr>
          <w:rFonts w:hint="eastAsia" w:asciiTheme="minorEastAsia" w:hAnsiTheme="minorEastAsia" w:eastAsiaTheme="minorEastAsia" w:cstheme="minorEastAsia"/>
          <w:color w:val="0070C0"/>
          <w:sz w:val="21"/>
          <w:szCs w:val="21"/>
          <w:lang w:eastAsia="zh-CN"/>
        </w:rPr>
        <w:t>磋商</w:t>
      </w:r>
      <w:r>
        <w:rPr>
          <w:rFonts w:hint="eastAsia" w:asciiTheme="minorEastAsia" w:hAnsiTheme="minorEastAsia" w:eastAsiaTheme="minorEastAsia" w:cstheme="minorEastAsia"/>
          <w:color w:val="0070C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pStyle w:val="46"/>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p>
    <w:p>
      <w:pPr>
        <w:pStyle w:val="46"/>
        <w:jc w:val="center"/>
        <w:rPr>
          <w:rFonts w:hint="eastAsia" w:asciiTheme="minorEastAsia" w:hAnsiTheme="minorEastAsia" w:eastAsiaTheme="minorEastAsia" w:cstheme="minorEastAsia"/>
          <w:bCs/>
          <w:color w:val="000000"/>
          <w:sz w:val="21"/>
          <w:szCs w:val="21"/>
        </w:rPr>
      </w:pPr>
    </w:p>
    <w:p>
      <w:pPr>
        <w:pStyle w:val="46"/>
        <w:jc w:val="center"/>
        <w:rPr>
          <w:rFonts w:hint="eastAsia" w:asciiTheme="minorEastAsia" w:hAnsiTheme="minorEastAsia" w:eastAsiaTheme="minorEastAsia" w:cstheme="minorEastAsia"/>
          <w:bCs/>
          <w:color w:val="000000"/>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0"/>
      </w:rPr>
    </w:pPr>
    <w:r>
      <w:fldChar w:fldCharType="begin"/>
    </w:r>
    <w:r>
      <w:rPr>
        <w:rStyle w:val="40"/>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pPr>
        <w:ind w:left="0"/>
      </w:pPr>
    </w:lvl>
  </w:abstractNum>
  <w:abstractNum w:abstractNumId="1">
    <w:nsid w:val="B0204A4B"/>
    <w:multiLevelType w:val="singleLevel"/>
    <w:tmpl w:val="B0204A4B"/>
    <w:lvl w:ilvl="0" w:tentative="0">
      <w:start w:val="1"/>
      <w:numFmt w:val="decimal"/>
      <w:lvlText w:val="%1."/>
      <w:lvlJc w:val="left"/>
      <w:pPr>
        <w:tabs>
          <w:tab w:val="left" w:pos="312"/>
        </w:tabs>
      </w:pPr>
    </w:lvl>
  </w:abstractNum>
  <w:abstractNum w:abstractNumId="2">
    <w:nsid w:val="146A6B37"/>
    <w:multiLevelType w:val="multilevel"/>
    <w:tmpl w:val="146A6B3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A80FC8"/>
    <w:multiLevelType w:val="singleLevel"/>
    <w:tmpl w:val="39A80FC8"/>
    <w:lvl w:ilvl="0" w:tentative="0">
      <w:start w:val="3"/>
      <w:numFmt w:val="chineseCounting"/>
      <w:suff w:val="space"/>
      <w:lvlText w:val="第%1章"/>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51C79BA"/>
    <w:multiLevelType w:val="multilevel"/>
    <w:tmpl w:val="451C79BA"/>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A632A0"/>
    <w:multiLevelType w:val="multilevel"/>
    <w:tmpl w:val="58A632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0NmY0OWMxNmIzZTVlMGI1NDc5OTQ2Y2FjOGVjMDIifQ=="/>
  </w:docVars>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06CA5"/>
    <w:rsid w:val="00F45575"/>
    <w:rsid w:val="00F77BEC"/>
    <w:rsid w:val="00F9171E"/>
    <w:rsid w:val="00F91C0F"/>
    <w:rsid w:val="00FB1FEF"/>
    <w:rsid w:val="00FB4B91"/>
    <w:rsid w:val="00FC4125"/>
    <w:rsid w:val="00FE6FED"/>
    <w:rsid w:val="00FF5479"/>
    <w:rsid w:val="032C17E0"/>
    <w:rsid w:val="04F002B0"/>
    <w:rsid w:val="05551D4C"/>
    <w:rsid w:val="057B5C57"/>
    <w:rsid w:val="05ED58B4"/>
    <w:rsid w:val="0C456161"/>
    <w:rsid w:val="0DEB1BBD"/>
    <w:rsid w:val="0FC23828"/>
    <w:rsid w:val="10A1579F"/>
    <w:rsid w:val="10D93C93"/>
    <w:rsid w:val="10EE66CF"/>
    <w:rsid w:val="118045F5"/>
    <w:rsid w:val="14596455"/>
    <w:rsid w:val="15367EF7"/>
    <w:rsid w:val="180C582A"/>
    <w:rsid w:val="182D6B6F"/>
    <w:rsid w:val="1C131EBB"/>
    <w:rsid w:val="1C493F61"/>
    <w:rsid w:val="1D70046D"/>
    <w:rsid w:val="1E881342"/>
    <w:rsid w:val="1E93629D"/>
    <w:rsid w:val="1F9C084C"/>
    <w:rsid w:val="20BD66A9"/>
    <w:rsid w:val="21E2535E"/>
    <w:rsid w:val="23FA0FAB"/>
    <w:rsid w:val="27175F3F"/>
    <w:rsid w:val="27802D61"/>
    <w:rsid w:val="288A4CC3"/>
    <w:rsid w:val="2A1711BC"/>
    <w:rsid w:val="2AA412BD"/>
    <w:rsid w:val="2BE637A0"/>
    <w:rsid w:val="2E5844D8"/>
    <w:rsid w:val="2FB15C4D"/>
    <w:rsid w:val="2FFA78BA"/>
    <w:rsid w:val="335334BF"/>
    <w:rsid w:val="3B2C5316"/>
    <w:rsid w:val="3BA63A7F"/>
    <w:rsid w:val="3CA07775"/>
    <w:rsid w:val="3E554590"/>
    <w:rsid w:val="3E7A28CA"/>
    <w:rsid w:val="3F3E5881"/>
    <w:rsid w:val="41295675"/>
    <w:rsid w:val="41E22DC7"/>
    <w:rsid w:val="41F51C9B"/>
    <w:rsid w:val="4201606C"/>
    <w:rsid w:val="43836531"/>
    <w:rsid w:val="45CF6B25"/>
    <w:rsid w:val="47584B4F"/>
    <w:rsid w:val="478B4A59"/>
    <w:rsid w:val="47C80C64"/>
    <w:rsid w:val="480B2C86"/>
    <w:rsid w:val="483D3A2C"/>
    <w:rsid w:val="48A26AF4"/>
    <w:rsid w:val="4A370ACA"/>
    <w:rsid w:val="4B450FC6"/>
    <w:rsid w:val="4C3B7513"/>
    <w:rsid w:val="4CC4526E"/>
    <w:rsid w:val="4DA37EA8"/>
    <w:rsid w:val="4EA56387"/>
    <w:rsid w:val="4EB33338"/>
    <w:rsid w:val="50D54034"/>
    <w:rsid w:val="511B4946"/>
    <w:rsid w:val="532D0064"/>
    <w:rsid w:val="54687E3F"/>
    <w:rsid w:val="546B0B19"/>
    <w:rsid w:val="54C85664"/>
    <w:rsid w:val="56006F00"/>
    <w:rsid w:val="5B4C0674"/>
    <w:rsid w:val="5CEC74CC"/>
    <w:rsid w:val="5DA24E17"/>
    <w:rsid w:val="63F57FF1"/>
    <w:rsid w:val="67C223E6"/>
    <w:rsid w:val="6800454F"/>
    <w:rsid w:val="687B3C27"/>
    <w:rsid w:val="687D3777"/>
    <w:rsid w:val="6AF905B4"/>
    <w:rsid w:val="6D1B05CF"/>
    <w:rsid w:val="6D201C56"/>
    <w:rsid w:val="6D6751A1"/>
    <w:rsid w:val="6ED04B50"/>
    <w:rsid w:val="6F2B6D0F"/>
    <w:rsid w:val="703B4AE4"/>
    <w:rsid w:val="710F35DD"/>
    <w:rsid w:val="72CA055B"/>
    <w:rsid w:val="735F2A44"/>
    <w:rsid w:val="765E2E38"/>
    <w:rsid w:val="76D11A32"/>
    <w:rsid w:val="78EE0B2B"/>
    <w:rsid w:val="79FA77BE"/>
    <w:rsid w:val="7A28432B"/>
    <w:rsid w:val="7B186783"/>
    <w:rsid w:val="7B674B1C"/>
    <w:rsid w:val="7C2B55CD"/>
    <w:rsid w:val="7DBA5670"/>
    <w:rsid w:val="7E80598D"/>
    <w:rsid w:val="7F222A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9"/>
    <w:qFormat/>
    <w:uiPriority w:val="9"/>
    <w:pPr>
      <w:keepNext/>
      <w:tabs>
        <w:tab w:val="left" w:pos="360"/>
      </w:tabs>
      <w:ind w:left="360" w:hanging="360"/>
      <w:outlineLvl w:val="0"/>
    </w:pPr>
    <w:rPr>
      <w:b/>
    </w:rPr>
  </w:style>
  <w:style w:type="paragraph" w:styleId="5">
    <w:name w:val="heading 2"/>
    <w:basedOn w:val="1"/>
    <w:next w:val="1"/>
    <w:link w:val="50"/>
    <w:qFormat/>
    <w:uiPriority w:val="9"/>
    <w:pPr>
      <w:keepNext/>
      <w:keepLines/>
      <w:spacing w:before="260" w:after="260" w:line="416" w:lineRule="auto"/>
      <w:outlineLvl w:val="1"/>
    </w:pPr>
    <w:rPr>
      <w:rFonts w:ascii="Arial" w:hAnsi="Arial" w:eastAsia="黑体"/>
      <w:b/>
      <w:sz w:val="32"/>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tabs>
        <w:tab w:val="left" w:pos="1440"/>
      </w:tabs>
      <w:spacing w:before="280" w:after="290" w:line="372" w:lineRule="auto"/>
      <w:ind w:left="1440" w:hanging="900"/>
      <w:outlineLvl w:val="4"/>
    </w:pPr>
    <w:rPr>
      <w:b/>
      <w:sz w:val="28"/>
    </w:rPr>
  </w:style>
  <w:style w:type="paragraph" w:styleId="9">
    <w:name w:val="heading 6"/>
    <w:basedOn w:val="1"/>
    <w:next w:val="1"/>
    <w:link w:val="54"/>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0">
    <w:name w:val="heading 7"/>
    <w:basedOn w:val="1"/>
    <w:next w:val="1"/>
    <w:link w:val="55"/>
    <w:qFormat/>
    <w:uiPriority w:val="0"/>
    <w:pPr>
      <w:keepNext/>
      <w:keepLines/>
      <w:tabs>
        <w:tab w:val="left" w:pos="1440"/>
      </w:tabs>
      <w:spacing w:before="240" w:after="64" w:line="317" w:lineRule="auto"/>
      <w:ind w:left="1440" w:hanging="900"/>
      <w:outlineLvl w:val="6"/>
    </w:pPr>
    <w:rPr>
      <w:b/>
      <w:sz w:val="24"/>
    </w:rPr>
  </w:style>
  <w:style w:type="paragraph" w:styleId="11">
    <w:name w:val="heading 8"/>
    <w:basedOn w:val="1"/>
    <w:next w:val="1"/>
    <w:link w:val="56"/>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2">
    <w:name w:val="heading 9"/>
    <w:basedOn w:val="1"/>
    <w:next w:val="1"/>
    <w:link w:val="57"/>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rPr>
      <w:rFonts w:ascii="Arial" w:hAnsi="Arial" w:cs="Arial" w:eastAsiaTheme="minorEastAsia"/>
      <w:sz w:val="24"/>
      <w:szCs w:val="22"/>
    </w:rPr>
  </w:style>
  <w:style w:type="paragraph" w:styleId="3">
    <w:name w:val="Normal Indent"/>
    <w:basedOn w:val="1"/>
    <w:link w:val="82"/>
    <w:qFormat/>
    <w:uiPriority w:val="99"/>
    <w:pPr>
      <w:ind w:firstLine="420" w:firstLineChars="200"/>
    </w:pPr>
    <w:rPr>
      <w:rFonts w:asciiTheme="minorHAnsi" w:hAnsiTheme="minorHAnsi" w:eastAsiaTheme="minorEastAsia" w:cstheme="minorBidi"/>
      <w:szCs w:val="24"/>
    </w:r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5"/>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semiHidden/>
    <w:unhideWhenUsed/>
    <w:qFormat/>
    <w:uiPriority w:val="0"/>
    <w:pPr>
      <w:jc w:val="left"/>
    </w:pPr>
  </w:style>
  <w:style w:type="paragraph" w:styleId="18">
    <w:name w:val="Salutation"/>
    <w:basedOn w:val="1"/>
    <w:next w:val="1"/>
    <w:link w:val="59"/>
    <w:qFormat/>
    <w:uiPriority w:val="0"/>
    <w:rPr>
      <w:rFonts w:ascii="宋体"/>
      <w:b/>
      <w:sz w:val="28"/>
    </w:rPr>
  </w:style>
  <w:style w:type="paragraph" w:styleId="19">
    <w:name w:val="Body Text Indent"/>
    <w:basedOn w:val="1"/>
    <w:next w:val="20"/>
    <w:link w:val="61"/>
    <w:qFormat/>
    <w:uiPriority w:val="0"/>
    <w:pPr>
      <w:ind w:firstLine="480"/>
    </w:pPr>
    <w:rPr>
      <w:rFonts w:ascii="宋体" w:hAnsi="宋体"/>
      <w:sz w:val="24"/>
    </w:rPr>
  </w:style>
  <w:style w:type="paragraph" w:styleId="20">
    <w:name w:val="envelope return"/>
    <w:basedOn w:val="1"/>
    <w:qFormat/>
    <w:uiPriority w:val="0"/>
    <w:pPr>
      <w:topLinePunct/>
      <w:snapToGrid w:val="0"/>
    </w:pPr>
    <w:rPr>
      <w:rFonts w:ascii="Arial" w:hAnsi="Arial" w:cs="Arial"/>
    </w:rPr>
  </w:style>
  <w:style w:type="paragraph" w:styleId="21">
    <w:name w:val="Block Text"/>
    <w:basedOn w:val="1"/>
    <w:qFormat/>
    <w:uiPriority w:val="99"/>
    <w:pPr>
      <w:ind w:left="1171" w:right="91" w:hanging="1080"/>
    </w:pPr>
    <w:rPr>
      <w:rFonts w:eastAsia="楷体_GB2312"/>
    </w:rPr>
  </w:style>
  <w:style w:type="paragraph" w:styleId="22">
    <w:name w:val="toc 3"/>
    <w:basedOn w:val="1"/>
    <w:next w:val="1"/>
    <w:qFormat/>
    <w:uiPriority w:val="39"/>
    <w:pPr>
      <w:ind w:left="840" w:leftChars="400"/>
    </w:pPr>
  </w:style>
  <w:style w:type="paragraph" w:styleId="23">
    <w:name w:val="Plain Text"/>
    <w:basedOn w:val="1"/>
    <w:link w:val="101"/>
    <w:qFormat/>
    <w:uiPriority w:val="0"/>
    <w:rPr>
      <w:rFonts w:ascii="宋体" w:hAnsi="Courier New" w:cstheme="minorBidi"/>
      <w:szCs w:val="22"/>
    </w:rPr>
  </w:style>
  <w:style w:type="paragraph" w:styleId="24">
    <w:name w:val="Date"/>
    <w:basedOn w:val="1"/>
    <w:next w:val="1"/>
    <w:link w:val="63"/>
    <w:qFormat/>
    <w:uiPriority w:val="0"/>
    <w:pPr>
      <w:ind w:left="100"/>
    </w:pPr>
    <w:rPr>
      <w:sz w:val="24"/>
    </w:rPr>
  </w:style>
  <w:style w:type="paragraph" w:styleId="25">
    <w:name w:val="Body Text Indent 2"/>
    <w:basedOn w:val="1"/>
    <w:link w:val="94"/>
    <w:qFormat/>
    <w:uiPriority w:val="0"/>
    <w:pPr>
      <w:ind w:firstLine="435"/>
    </w:pPr>
    <w:rPr>
      <w:rFonts w:ascii="宋体" w:hAnsi="宋体" w:eastAsiaTheme="minorEastAsia" w:cstheme="minorBidi"/>
      <w:sz w:val="24"/>
      <w:szCs w:val="22"/>
    </w:rPr>
  </w:style>
  <w:style w:type="paragraph" w:styleId="26">
    <w:name w:val="Balloon Text"/>
    <w:basedOn w:val="1"/>
    <w:link w:val="65"/>
    <w:semiHidden/>
    <w:qFormat/>
    <w:uiPriority w:val="99"/>
    <w:rPr>
      <w:sz w:val="18"/>
      <w:szCs w:val="18"/>
    </w:rPr>
  </w:style>
  <w:style w:type="paragraph" w:styleId="27">
    <w:name w:val="footer"/>
    <w:basedOn w:val="1"/>
    <w:link w:val="66"/>
    <w:unhideWhenUsed/>
    <w:qFormat/>
    <w:uiPriority w:val="99"/>
    <w:pPr>
      <w:tabs>
        <w:tab w:val="center" w:pos="4153"/>
        <w:tab w:val="right" w:pos="8306"/>
      </w:tabs>
      <w:snapToGrid w:val="0"/>
      <w:jc w:val="left"/>
    </w:pPr>
    <w:rPr>
      <w:sz w:val="18"/>
      <w:szCs w:val="18"/>
    </w:rPr>
  </w:style>
  <w:style w:type="paragraph" w:styleId="28">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68"/>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69"/>
    <w:qFormat/>
    <w:uiPriority w:val="0"/>
    <w:pPr>
      <w:spacing w:line="360" w:lineRule="auto"/>
    </w:pPr>
    <w:rPr>
      <w:b/>
      <w:sz w:val="28"/>
      <w:szCs w:val="21"/>
    </w:rPr>
  </w:style>
  <w:style w:type="paragraph" w:styleId="33">
    <w:name w:val="Normal (Web)"/>
    <w:basedOn w:val="1"/>
    <w:link w:val="11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Body Text First Indent"/>
    <w:basedOn w:val="2"/>
    <w:next w:val="35"/>
    <w:link w:val="106"/>
    <w:qFormat/>
    <w:uiPriority w:val="0"/>
    <w:pPr>
      <w:spacing w:after="120"/>
      <w:ind w:firstLine="420" w:firstLineChars="100"/>
    </w:pPr>
  </w:style>
  <w:style w:type="paragraph" w:styleId="35">
    <w:name w:val="Body Text First Indent 2"/>
    <w:basedOn w:val="19"/>
    <w:next w:val="1"/>
    <w:unhideWhenUsed/>
    <w:qFormat/>
    <w:uiPriority w:val="99"/>
    <w:pPr>
      <w:ind w:firstLine="420"/>
    </w:pPr>
    <w:rPr>
      <w:rFonts w:ascii="Arial" w:hAnsi="Arial" w:eastAsia="仿宋_GB2312"/>
      <w:sz w:val="28"/>
    </w:rPr>
  </w:style>
  <w:style w:type="table" w:styleId="37">
    <w:name w:val="Table Grid"/>
    <w:basedOn w:val="36"/>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character" w:styleId="45">
    <w:name w:val="HTML Sample"/>
    <w:basedOn w:val="38"/>
    <w:semiHidden/>
    <w:unhideWhenUsed/>
    <w:qFormat/>
    <w:uiPriority w:val="99"/>
    <w:rPr>
      <w:rFonts w:ascii="宋体" w:hAnsi="宋体" w:eastAsia="宋体" w:cs="宋体"/>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标题 5（有编号）（绿盟科技）"/>
    <w:basedOn w:val="1"/>
    <w:next w:val="4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9">
    <w:name w:val="标题 1 字符"/>
    <w:basedOn w:val="38"/>
    <w:link w:val="4"/>
    <w:qFormat/>
    <w:uiPriority w:val="9"/>
    <w:rPr>
      <w:rFonts w:ascii="Times New Roman" w:hAnsi="Times New Roman" w:eastAsia="宋体" w:cs="Times New Roman"/>
      <w:b/>
      <w:szCs w:val="20"/>
    </w:rPr>
  </w:style>
  <w:style w:type="character" w:customStyle="1" w:styleId="50">
    <w:name w:val="标题 2 字符"/>
    <w:basedOn w:val="38"/>
    <w:link w:val="5"/>
    <w:qFormat/>
    <w:uiPriority w:val="9"/>
    <w:rPr>
      <w:rFonts w:ascii="Arial" w:hAnsi="Arial" w:eastAsia="黑体" w:cs="Times New Roman"/>
      <w:b/>
      <w:sz w:val="32"/>
      <w:szCs w:val="20"/>
    </w:rPr>
  </w:style>
  <w:style w:type="character" w:customStyle="1" w:styleId="51">
    <w:name w:val="标题 3 字符"/>
    <w:basedOn w:val="38"/>
    <w:link w:val="6"/>
    <w:qFormat/>
    <w:uiPriority w:val="9"/>
    <w:rPr>
      <w:rFonts w:ascii="Times New Roman" w:hAnsi="Times New Roman" w:eastAsia="宋体" w:cs="Times New Roman"/>
      <w:b/>
      <w:bCs/>
      <w:sz w:val="32"/>
      <w:szCs w:val="32"/>
    </w:rPr>
  </w:style>
  <w:style w:type="character" w:customStyle="1" w:styleId="52">
    <w:name w:val="标题 4 字符"/>
    <w:basedOn w:val="38"/>
    <w:link w:val="7"/>
    <w:qFormat/>
    <w:uiPriority w:val="0"/>
    <w:rPr>
      <w:rFonts w:ascii="Arial" w:hAnsi="Arial" w:eastAsia="黑体" w:cs="Times New Roman"/>
      <w:b/>
      <w:bCs/>
      <w:sz w:val="28"/>
      <w:szCs w:val="28"/>
    </w:rPr>
  </w:style>
  <w:style w:type="character" w:customStyle="1" w:styleId="53">
    <w:name w:val="标题 5 字符"/>
    <w:basedOn w:val="38"/>
    <w:link w:val="8"/>
    <w:qFormat/>
    <w:uiPriority w:val="0"/>
    <w:rPr>
      <w:rFonts w:ascii="Times New Roman" w:hAnsi="Times New Roman" w:eastAsia="宋体" w:cs="Times New Roman"/>
      <w:b/>
      <w:sz w:val="28"/>
      <w:szCs w:val="20"/>
    </w:rPr>
  </w:style>
  <w:style w:type="character" w:customStyle="1" w:styleId="54">
    <w:name w:val="标题 6 字符"/>
    <w:basedOn w:val="38"/>
    <w:link w:val="9"/>
    <w:qFormat/>
    <w:uiPriority w:val="0"/>
    <w:rPr>
      <w:rFonts w:ascii="Arial" w:hAnsi="Arial" w:eastAsia="黑体" w:cs="Times New Roman"/>
      <w:b/>
      <w:sz w:val="24"/>
      <w:szCs w:val="20"/>
    </w:rPr>
  </w:style>
  <w:style w:type="character" w:customStyle="1" w:styleId="55">
    <w:name w:val="标题 7 字符"/>
    <w:basedOn w:val="38"/>
    <w:link w:val="10"/>
    <w:qFormat/>
    <w:uiPriority w:val="0"/>
    <w:rPr>
      <w:rFonts w:ascii="Times New Roman" w:hAnsi="Times New Roman" w:eastAsia="宋体" w:cs="Times New Roman"/>
      <w:b/>
      <w:sz w:val="24"/>
      <w:szCs w:val="20"/>
    </w:rPr>
  </w:style>
  <w:style w:type="character" w:customStyle="1" w:styleId="56">
    <w:name w:val="标题 8 字符"/>
    <w:basedOn w:val="38"/>
    <w:link w:val="11"/>
    <w:qFormat/>
    <w:uiPriority w:val="0"/>
    <w:rPr>
      <w:rFonts w:ascii="Arial" w:hAnsi="Arial" w:eastAsia="黑体" w:cs="Times New Roman"/>
      <w:sz w:val="24"/>
      <w:szCs w:val="20"/>
    </w:rPr>
  </w:style>
  <w:style w:type="character" w:customStyle="1" w:styleId="57">
    <w:name w:val="标题 9 字符"/>
    <w:basedOn w:val="38"/>
    <w:link w:val="12"/>
    <w:qFormat/>
    <w:uiPriority w:val="0"/>
    <w:rPr>
      <w:rFonts w:ascii="Arial" w:hAnsi="Arial" w:eastAsia="黑体" w:cs="Times New Roman"/>
      <w:szCs w:val="20"/>
    </w:rPr>
  </w:style>
  <w:style w:type="character" w:customStyle="1" w:styleId="58">
    <w:name w:val="文档结构图 Char"/>
    <w:basedOn w:val="38"/>
    <w:qFormat/>
    <w:uiPriority w:val="0"/>
    <w:rPr>
      <w:rFonts w:ascii="宋体" w:hAnsi="Times New Roman" w:eastAsia="宋体" w:cs="Times New Roman"/>
      <w:sz w:val="18"/>
      <w:szCs w:val="18"/>
    </w:rPr>
  </w:style>
  <w:style w:type="character" w:customStyle="1" w:styleId="59">
    <w:name w:val="称呼 字符"/>
    <w:basedOn w:val="38"/>
    <w:link w:val="18"/>
    <w:qFormat/>
    <w:uiPriority w:val="0"/>
    <w:rPr>
      <w:rFonts w:ascii="宋体" w:hAnsi="Times New Roman" w:eastAsia="宋体" w:cs="Times New Roman"/>
      <w:b/>
      <w:sz w:val="28"/>
      <w:szCs w:val="20"/>
    </w:rPr>
  </w:style>
  <w:style w:type="character" w:customStyle="1" w:styleId="60">
    <w:name w:val="正文文本 Char"/>
    <w:basedOn w:val="38"/>
    <w:qFormat/>
    <w:uiPriority w:val="0"/>
    <w:rPr>
      <w:rFonts w:ascii="Times New Roman" w:hAnsi="Times New Roman" w:eastAsia="宋体" w:cs="Times New Roman"/>
      <w:szCs w:val="20"/>
    </w:rPr>
  </w:style>
  <w:style w:type="character" w:customStyle="1" w:styleId="61">
    <w:name w:val="正文文本缩进 字符"/>
    <w:basedOn w:val="38"/>
    <w:link w:val="19"/>
    <w:qFormat/>
    <w:uiPriority w:val="0"/>
    <w:rPr>
      <w:rFonts w:ascii="宋体" w:hAnsi="宋体" w:eastAsia="宋体" w:cs="Times New Roman"/>
      <w:sz w:val="24"/>
      <w:szCs w:val="20"/>
    </w:rPr>
  </w:style>
  <w:style w:type="character" w:customStyle="1" w:styleId="62">
    <w:name w:val="纯文本 Char"/>
    <w:basedOn w:val="38"/>
    <w:qFormat/>
    <w:uiPriority w:val="0"/>
    <w:rPr>
      <w:rFonts w:ascii="宋体" w:hAnsi="Courier New" w:eastAsia="宋体" w:cs="Courier New"/>
      <w:szCs w:val="21"/>
    </w:rPr>
  </w:style>
  <w:style w:type="character" w:customStyle="1" w:styleId="63">
    <w:name w:val="日期 字符"/>
    <w:basedOn w:val="38"/>
    <w:link w:val="24"/>
    <w:qFormat/>
    <w:uiPriority w:val="0"/>
    <w:rPr>
      <w:rFonts w:ascii="Times New Roman" w:hAnsi="Times New Roman" w:eastAsia="宋体" w:cs="Times New Roman"/>
      <w:sz w:val="24"/>
      <w:szCs w:val="20"/>
    </w:rPr>
  </w:style>
  <w:style w:type="character" w:customStyle="1" w:styleId="64">
    <w:name w:val="正文文本缩进 2 Char"/>
    <w:basedOn w:val="38"/>
    <w:qFormat/>
    <w:uiPriority w:val="0"/>
    <w:rPr>
      <w:rFonts w:ascii="Times New Roman" w:hAnsi="Times New Roman" w:eastAsia="宋体" w:cs="Times New Roman"/>
      <w:szCs w:val="20"/>
    </w:rPr>
  </w:style>
  <w:style w:type="character" w:customStyle="1" w:styleId="65">
    <w:name w:val="批注框文本 字符"/>
    <w:basedOn w:val="38"/>
    <w:link w:val="26"/>
    <w:semiHidden/>
    <w:qFormat/>
    <w:uiPriority w:val="99"/>
    <w:rPr>
      <w:rFonts w:ascii="Times New Roman" w:hAnsi="Times New Roman" w:eastAsia="宋体" w:cs="Times New Roman"/>
      <w:sz w:val="18"/>
      <w:szCs w:val="18"/>
    </w:rPr>
  </w:style>
  <w:style w:type="character" w:customStyle="1" w:styleId="66">
    <w:name w:val="页脚 字符"/>
    <w:basedOn w:val="38"/>
    <w:link w:val="27"/>
    <w:qFormat/>
    <w:uiPriority w:val="99"/>
    <w:rPr>
      <w:rFonts w:ascii="Times New Roman" w:hAnsi="Times New Roman" w:eastAsia="宋体" w:cs="Times New Roman"/>
      <w:sz w:val="18"/>
      <w:szCs w:val="18"/>
    </w:rPr>
  </w:style>
  <w:style w:type="character" w:customStyle="1" w:styleId="67">
    <w:name w:val="页眉 字符"/>
    <w:basedOn w:val="38"/>
    <w:link w:val="28"/>
    <w:qFormat/>
    <w:uiPriority w:val="99"/>
    <w:rPr>
      <w:rFonts w:ascii="Times New Roman" w:hAnsi="Times New Roman" w:eastAsia="宋体" w:cs="Times New Roman"/>
      <w:sz w:val="18"/>
      <w:szCs w:val="18"/>
    </w:rPr>
  </w:style>
  <w:style w:type="character" w:customStyle="1" w:styleId="68">
    <w:name w:val="正文文本缩进 3 字符"/>
    <w:basedOn w:val="38"/>
    <w:link w:val="30"/>
    <w:qFormat/>
    <w:uiPriority w:val="0"/>
    <w:rPr>
      <w:rFonts w:ascii="Arial" w:hAnsi="Arial" w:eastAsia="宋体" w:cs="Arial"/>
      <w:b/>
      <w:bCs/>
      <w:sz w:val="24"/>
      <w:szCs w:val="20"/>
    </w:rPr>
  </w:style>
  <w:style w:type="character" w:customStyle="1" w:styleId="69">
    <w:name w:val="正文文本 2 字符"/>
    <w:basedOn w:val="38"/>
    <w:link w:val="32"/>
    <w:qFormat/>
    <w:uiPriority w:val="0"/>
    <w:rPr>
      <w:rFonts w:ascii="Times New Roman" w:hAnsi="Times New Roman" w:eastAsia="宋体" w:cs="Times New Roman"/>
      <w:b/>
      <w:sz w:val="28"/>
      <w:szCs w:val="21"/>
    </w:rPr>
  </w:style>
  <w:style w:type="character" w:customStyle="1" w:styleId="70">
    <w:name w:val="正文首行缩进 Char"/>
    <w:basedOn w:val="60"/>
    <w:qFormat/>
    <w:uiPriority w:val="0"/>
    <w:rPr>
      <w:rFonts w:ascii="Times New Roman" w:hAnsi="Times New Roman" w:eastAsia="宋体" w:cs="Times New Roman"/>
      <w:szCs w:val="20"/>
    </w:rPr>
  </w:style>
  <w:style w:type="character" w:customStyle="1" w:styleId="71">
    <w:name w:val="p21"/>
    <w:qFormat/>
    <w:uiPriority w:val="0"/>
    <w:rPr>
      <w:rFonts w:hint="default" w:ascii="Arial" w:hAnsi="Arial" w:cs="Arial"/>
      <w:color w:val="333333"/>
      <w:sz w:val="18"/>
      <w:szCs w:val="18"/>
      <w:u w:val="none"/>
    </w:rPr>
  </w:style>
  <w:style w:type="character" w:customStyle="1" w:styleId="72">
    <w:name w:val="font21"/>
    <w:basedOn w:val="38"/>
    <w:qFormat/>
    <w:uiPriority w:val="0"/>
    <w:rPr>
      <w:rFonts w:hint="eastAsia" w:ascii="宋体" w:hAnsi="宋体" w:eastAsia="宋体" w:cs="宋体"/>
      <w:color w:val="000000"/>
      <w:sz w:val="22"/>
      <w:szCs w:val="22"/>
      <w:u w:val="none"/>
    </w:rPr>
  </w:style>
  <w:style w:type="character" w:customStyle="1" w:styleId="73">
    <w:name w:val="所标正文 Char Char"/>
    <w:link w:val="74"/>
    <w:qFormat/>
    <w:uiPriority w:val="0"/>
    <w:rPr>
      <w:rFonts w:ascii="仿宋_GB2312" w:hAnsi="Calibri" w:eastAsia="仿宋_GB2312"/>
      <w:sz w:val="30"/>
      <w:szCs w:val="28"/>
    </w:rPr>
  </w:style>
  <w:style w:type="paragraph" w:customStyle="1" w:styleId="74">
    <w:name w:val="所标正文"/>
    <w:basedOn w:val="1"/>
    <w:link w:val="73"/>
    <w:qFormat/>
    <w:uiPriority w:val="0"/>
    <w:pPr>
      <w:spacing w:line="360" w:lineRule="auto"/>
      <w:ind w:firstLine="200" w:firstLineChars="200"/>
    </w:pPr>
    <w:rPr>
      <w:rFonts w:ascii="仿宋_GB2312" w:hAnsi="Calibri" w:eastAsia="仿宋_GB2312" w:cstheme="minorBidi"/>
      <w:sz w:val="30"/>
      <w:szCs w:val="28"/>
    </w:rPr>
  </w:style>
  <w:style w:type="character" w:customStyle="1" w:styleId="75">
    <w:name w:val="正文文字 Char1"/>
    <w:link w:val="76"/>
    <w:qFormat/>
    <w:uiPriority w:val="0"/>
    <w:rPr>
      <w:rFonts w:ascii="宋体" w:eastAsia="宋体"/>
      <w:color w:val="000000"/>
      <w:sz w:val="28"/>
      <w:u w:color="000000"/>
    </w:rPr>
  </w:style>
  <w:style w:type="paragraph" w:customStyle="1" w:styleId="76">
    <w:name w:val="正文文字"/>
    <w:basedOn w:val="1"/>
    <w:link w:val="75"/>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7">
    <w:name w:val="marklong"/>
    <w:basedOn w:val="38"/>
    <w:qFormat/>
    <w:uiPriority w:val="0"/>
  </w:style>
  <w:style w:type="character" w:customStyle="1" w:styleId="78">
    <w:name w:val="unnamed1"/>
    <w:basedOn w:val="38"/>
    <w:qFormat/>
    <w:uiPriority w:val="0"/>
  </w:style>
  <w:style w:type="character" w:customStyle="1" w:styleId="79">
    <w:name w:val="css21"/>
    <w:qFormat/>
    <w:uiPriority w:val="0"/>
    <w:rPr>
      <w:sz w:val="18"/>
      <w:szCs w:val="18"/>
    </w:rPr>
  </w:style>
  <w:style w:type="character" w:customStyle="1" w:styleId="80">
    <w:name w:val="font01"/>
    <w:basedOn w:val="38"/>
    <w:qFormat/>
    <w:uiPriority w:val="0"/>
    <w:rPr>
      <w:rFonts w:hint="eastAsia" w:ascii="宋体" w:hAnsi="宋体" w:eastAsia="宋体" w:cs="宋体"/>
      <w:color w:val="000000"/>
      <w:sz w:val="22"/>
      <w:szCs w:val="22"/>
      <w:u w:val="none"/>
    </w:rPr>
  </w:style>
  <w:style w:type="character" w:customStyle="1" w:styleId="81">
    <w:name w:val="纯文本 Char Char Char Char Char Char"/>
    <w:qFormat/>
    <w:locked/>
    <w:uiPriority w:val="0"/>
    <w:rPr>
      <w:rFonts w:ascii="宋体" w:hAnsi="Courier New" w:eastAsia="宋体"/>
      <w:kern w:val="2"/>
      <w:sz w:val="21"/>
      <w:lang w:val="en-US" w:eastAsia="zh-CN" w:bidi="ar-SA"/>
    </w:rPr>
  </w:style>
  <w:style w:type="character" w:customStyle="1" w:styleId="82">
    <w:name w:val="正文缩进 字符"/>
    <w:link w:val="3"/>
    <w:qFormat/>
    <w:uiPriority w:val="99"/>
    <w:rPr>
      <w:szCs w:val="24"/>
    </w:rPr>
  </w:style>
  <w:style w:type="character" w:customStyle="1" w:styleId="83">
    <w:name w:val="样式 正文缩进 + 首行缩进:  2 字符 Char"/>
    <w:link w:val="84"/>
    <w:qFormat/>
    <w:uiPriority w:val="0"/>
    <w:rPr>
      <w:sz w:val="24"/>
    </w:rPr>
  </w:style>
  <w:style w:type="paragraph" w:customStyle="1" w:styleId="84">
    <w:name w:val="样式 正文缩进 + 首行缩进:  2 字符"/>
    <w:basedOn w:val="3"/>
    <w:link w:val="83"/>
    <w:qFormat/>
    <w:uiPriority w:val="0"/>
    <w:pPr>
      <w:spacing w:line="360" w:lineRule="auto"/>
      <w:ind w:firstLine="200"/>
    </w:pPr>
    <w:rPr>
      <w:sz w:val="24"/>
      <w:szCs w:val="22"/>
    </w:rPr>
  </w:style>
  <w:style w:type="character" w:customStyle="1" w:styleId="85">
    <w:name w:val="标准段落正文 Char"/>
    <w:link w:val="86"/>
    <w:qFormat/>
    <w:uiPriority w:val="0"/>
    <w:rPr>
      <w:rFonts w:cs="宋体"/>
      <w:sz w:val="24"/>
    </w:rPr>
  </w:style>
  <w:style w:type="paragraph" w:customStyle="1" w:styleId="86">
    <w:name w:val="标准段落正文"/>
    <w:basedOn w:val="1"/>
    <w:link w:val="85"/>
    <w:qFormat/>
    <w:uiPriority w:val="0"/>
    <w:pPr>
      <w:spacing w:line="360" w:lineRule="auto"/>
      <w:ind w:firstLine="482"/>
    </w:pPr>
    <w:rPr>
      <w:rFonts w:cs="宋体" w:asciiTheme="minorHAnsi" w:hAnsiTheme="minorHAnsi" w:eastAsiaTheme="minorEastAsia"/>
      <w:sz w:val="24"/>
      <w:szCs w:val="22"/>
    </w:rPr>
  </w:style>
  <w:style w:type="character" w:customStyle="1" w:styleId="87">
    <w:name w:val="正文文字 Char"/>
    <w:qFormat/>
    <w:uiPriority w:val="0"/>
    <w:rPr>
      <w:rFonts w:ascii="Arial" w:hAnsi="Arial" w:eastAsia="宋体" w:cs="Arial"/>
      <w:kern w:val="2"/>
      <w:sz w:val="24"/>
      <w:lang w:val="en-US" w:eastAsia="zh-CN" w:bidi="ar-SA"/>
    </w:rPr>
  </w:style>
  <w:style w:type="character" w:customStyle="1" w:styleId="88">
    <w:name w:val="书籍标题1"/>
    <w:qFormat/>
    <w:uiPriority w:val="0"/>
    <w:rPr>
      <w:b/>
      <w:bCs/>
      <w:smallCaps/>
      <w:spacing w:val="5"/>
    </w:rPr>
  </w:style>
  <w:style w:type="character" w:customStyle="1" w:styleId="89">
    <w:name w:val="con"/>
    <w:qFormat/>
    <w:uiPriority w:val="0"/>
  </w:style>
  <w:style w:type="character" w:customStyle="1" w:styleId="90">
    <w:name w:val="明显参考1"/>
    <w:qFormat/>
    <w:uiPriority w:val="0"/>
    <w:rPr>
      <w:b/>
      <w:bCs/>
      <w:smallCaps/>
      <w:color w:val="C0504D"/>
      <w:spacing w:val="5"/>
      <w:u w:val="single"/>
    </w:rPr>
  </w:style>
  <w:style w:type="character" w:customStyle="1" w:styleId="91">
    <w:name w:val="grame"/>
    <w:basedOn w:val="38"/>
    <w:qFormat/>
    <w:uiPriority w:val="0"/>
  </w:style>
  <w:style w:type="paragraph" w:customStyle="1" w:styleId="92">
    <w:name w:val="列出段落1"/>
    <w:basedOn w:val="1"/>
    <w:qFormat/>
    <w:uiPriority w:val="34"/>
    <w:pPr>
      <w:ind w:firstLine="420" w:firstLineChars="200"/>
    </w:pPr>
    <w:rPr>
      <w:rFonts w:ascii="Calibri" w:hAnsi="Calibri"/>
      <w:szCs w:val="22"/>
    </w:rPr>
  </w:style>
  <w:style w:type="paragraph" w:customStyle="1" w:styleId="93">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4">
    <w:name w:val="正文文本缩进 2 字符"/>
    <w:basedOn w:val="38"/>
    <w:link w:val="25"/>
    <w:qFormat/>
    <w:uiPriority w:val="0"/>
    <w:rPr>
      <w:rFonts w:ascii="宋体" w:hAnsi="宋体"/>
      <w:sz w:val="24"/>
    </w:rPr>
  </w:style>
  <w:style w:type="character" w:customStyle="1" w:styleId="95">
    <w:name w:val="文档结构图 字符"/>
    <w:basedOn w:val="38"/>
    <w:link w:val="15"/>
    <w:qFormat/>
    <w:uiPriority w:val="0"/>
    <w:rPr>
      <w:shd w:val="clear" w:color="auto" w:fill="000080"/>
    </w:rPr>
  </w:style>
  <w:style w:type="paragraph" w:customStyle="1" w:styleId="96">
    <w:name w:val="Char"/>
    <w:basedOn w:val="1"/>
    <w:semiHidden/>
    <w:qFormat/>
    <w:uiPriority w:val="0"/>
    <w:rPr>
      <w:rFonts w:ascii="Tahoma" w:hAnsi="Tahoma" w:cs="仿宋_GB2312"/>
      <w:sz w:val="24"/>
      <w:szCs w:val="28"/>
    </w:rPr>
  </w:style>
  <w:style w:type="paragraph" w:customStyle="1" w:styleId="97">
    <w:name w:val="正文缩进1"/>
    <w:basedOn w:val="1"/>
    <w:qFormat/>
    <w:uiPriority w:val="0"/>
    <w:pPr>
      <w:ind w:firstLine="420" w:firstLineChars="200"/>
    </w:pPr>
    <w:rPr>
      <w:rFonts w:ascii="Calibri" w:hAnsi="Calibri"/>
    </w:rPr>
  </w:style>
  <w:style w:type="paragraph" w:customStyle="1" w:styleId="98">
    <w:name w:val="条目3"/>
    <w:basedOn w:val="23"/>
    <w:qFormat/>
    <w:uiPriority w:val="0"/>
  </w:style>
  <w:style w:type="character" w:customStyle="1" w:styleId="99">
    <w:name w:val="正文文本 字符"/>
    <w:basedOn w:val="38"/>
    <w:link w:val="2"/>
    <w:qFormat/>
    <w:uiPriority w:val="0"/>
    <w:rPr>
      <w:rFonts w:ascii="Arial" w:hAnsi="Arial" w:cs="Arial"/>
      <w:sz w:val="24"/>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纯文本 字符"/>
    <w:basedOn w:val="38"/>
    <w:link w:val="23"/>
    <w:qFormat/>
    <w:uiPriority w:val="0"/>
    <w:rPr>
      <w:rFonts w:ascii="宋体" w:hAnsi="Courier New" w:eastAsia="宋体"/>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列出段落11"/>
    <w:basedOn w:val="1"/>
    <w:qFormat/>
    <w:uiPriority w:val="0"/>
    <w:pPr>
      <w:ind w:firstLine="420" w:firstLineChars="200"/>
    </w:pPr>
  </w:style>
  <w:style w:type="paragraph" w:customStyle="1" w:styleId="10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首页大标题"/>
    <w:basedOn w:val="74"/>
    <w:qFormat/>
    <w:uiPriority w:val="0"/>
    <w:pPr>
      <w:ind w:firstLine="0" w:firstLineChars="0"/>
      <w:jc w:val="center"/>
    </w:pPr>
    <w:rPr>
      <w:rFonts w:ascii="黑体" w:eastAsia="黑体"/>
      <w:b/>
      <w:sz w:val="52"/>
    </w:rPr>
  </w:style>
  <w:style w:type="character" w:customStyle="1" w:styleId="106">
    <w:name w:val="正文首行缩进 字符"/>
    <w:basedOn w:val="99"/>
    <w:link w:val="34"/>
    <w:qFormat/>
    <w:uiPriority w:val="0"/>
    <w:rPr>
      <w:rFonts w:ascii="Arial" w:hAnsi="Arial" w:cs="Arial"/>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p0"/>
    <w:basedOn w:val="1"/>
    <w:qFormat/>
    <w:uiPriority w:val="0"/>
    <w:pPr>
      <w:widowControl/>
    </w:pPr>
    <w:rPr>
      <w:kern w:val="0"/>
      <w:szCs w:val="21"/>
    </w:rPr>
  </w:style>
  <w:style w:type="paragraph" w:customStyle="1" w:styleId="109">
    <w:name w:val="条目2"/>
    <w:basedOn w:val="23"/>
    <w:qFormat/>
    <w:uiPriority w:val="0"/>
    <w:pPr>
      <w:tabs>
        <w:tab w:val="left" w:pos="420"/>
      </w:tabs>
      <w:spacing w:line="360" w:lineRule="auto"/>
      <w:ind w:left="420" w:hanging="420"/>
    </w:pPr>
    <w:rPr>
      <w:color w:val="000000"/>
      <w:sz w:val="30"/>
    </w:rPr>
  </w:style>
  <w:style w:type="paragraph" w:customStyle="1" w:styleId="110">
    <w:name w:val="1 Char Char Char Char"/>
    <w:basedOn w:val="1"/>
    <w:qFormat/>
    <w:uiPriority w:val="0"/>
    <w:rPr>
      <w:rFonts w:ascii="Tahoma" w:hAnsi="Tahoma"/>
      <w:sz w:val="24"/>
    </w:rPr>
  </w:style>
  <w:style w:type="character" w:customStyle="1" w:styleId="111">
    <w:name w:val="普通(网站) 字符"/>
    <w:link w:val="33"/>
    <w:qFormat/>
    <w:uiPriority w:val="99"/>
    <w:rPr>
      <w:rFonts w:ascii="Arial Unicode MS" w:hAnsi="Arial Unicode MS" w:eastAsia="Arial Unicode MS" w:cs="Arial Unicode MS"/>
      <w:kern w:val="0"/>
      <w:sz w:val="24"/>
      <w:szCs w:val="24"/>
    </w:rPr>
  </w:style>
  <w:style w:type="paragraph" w:styleId="112">
    <w:name w:val="List Paragraph"/>
    <w:basedOn w:val="1"/>
    <w:link w:val="121"/>
    <w:qFormat/>
    <w:uiPriority w:val="34"/>
    <w:pPr>
      <w:ind w:firstLine="420" w:firstLineChars="200"/>
    </w:pPr>
    <w:rPr>
      <w:rFonts w:asciiTheme="minorHAnsi" w:hAnsiTheme="minorHAnsi" w:eastAsiaTheme="minorEastAsia" w:cstheme="minorBidi"/>
      <w:szCs w:val="22"/>
    </w:rPr>
  </w:style>
  <w:style w:type="paragraph" w:customStyle="1" w:styleId="113">
    <w:name w:val="宋体小四"/>
    <w:basedOn w:val="1"/>
    <w:qFormat/>
    <w:uiPriority w:val="0"/>
    <w:pPr>
      <w:spacing w:line="360" w:lineRule="auto"/>
      <w:ind w:firstLine="480" w:firstLineChars="200"/>
    </w:pPr>
    <w:rPr>
      <w:rFonts w:ascii="Arial" w:hAnsi="Arial"/>
      <w:sz w:val="24"/>
    </w:rPr>
  </w:style>
  <w:style w:type="paragraph" w:customStyle="1" w:styleId="114">
    <w:name w:val="列出段落2"/>
    <w:basedOn w:val="1"/>
    <w:qFormat/>
    <w:uiPriority w:val="34"/>
    <w:pPr>
      <w:ind w:firstLine="420" w:firstLineChars="200"/>
    </w:pPr>
    <w:rPr>
      <w:rFonts w:asciiTheme="minorHAnsi" w:hAnsiTheme="minorHAnsi" w:cstheme="minorBidi"/>
      <w:szCs w:val="24"/>
    </w:rPr>
  </w:style>
  <w:style w:type="paragraph" w:customStyle="1" w:styleId="115">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6">
    <w:name w:val="样式1"/>
    <w:basedOn w:val="6"/>
    <w:qFormat/>
    <w:uiPriority w:val="0"/>
    <w:pPr>
      <w:spacing w:before="0" w:after="0" w:line="240" w:lineRule="auto"/>
    </w:pPr>
    <w:rPr>
      <w:rFonts w:ascii="宋体" w:hAnsi="宋体"/>
      <w:szCs w:val="21"/>
    </w:rPr>
  </w:style>
  <w:style w:type="paragraph" w:customStyle="1" w:styleId="117">
    <w:name w:val="验收文档-首页主标题"/>
    <w:basedOn w:val="1"/>
    <w:qFormat/>
    <w:uiPriority w:val="0"/>
    <w:pPr>
      <w:jc w:val="center"/>
    </w:pPr>
    <w:rPr>
      <w:rFonts w:ascii="黑体" w:eastAsia="黑体"/>
      <w:sz w:val="52"/>
      <w:szCs w:val="52"/>
    </w:rPr>
  </w:style>
  <w:style w:type="paragraph" w:customStyle="1" w:styleId="118">
    <w:name w:val="TOC 标题1"/>
    <w:basedOn w:val="4"/>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9">
    <w:name w:val="正文1125"/>
    <w:basedOn w:val="1"/>
    <w:qFormat/>
    <w:uiPriority w:val="0"/>
    <w:pPr>
      <w:adjustRightInd w:val="0"/>
      <w:snapToGrid w:val="0"/>
      <w:spacing w:afterLines="50"/>
      <w:ind w:firstLine="560" w:firstLineChars="200"/>
    </w:pPr>
    <w:rPr>
      <w:szCs w:val="28"/>
    </w:rPr>
  </w:style>
  <w:style w:type="paragraph" w:customStyle="1" w:styleId="120">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1">
    <w:name w:val="列出段落 字符"/>
    <w:link w:val="112"/>
    <w:qFormat/>
    <w:uiPriority w:val="34"/>
    <w:rPr>
      <w:kern w:val="2"/>
      <w:sz w:val="21"/>
      <w:szCs w:val="22"/>
    </w:rPr>
  </w:style>
  <w:style w:type="character" w:customStyle="1" w:styleId="122">
    <w:name w:val="bookmark-item"/>
    <w:basedOn w:val="38"/>
    <w:qFormat/>
    <w:uiPriority w:val="0"/>
  </w:style>
  <w:style w:type="paragraph" w:customStyle="1" w:styleId="12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4">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5">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7">
    <w:name w:val="WPSOffice手动目录 1"/>
    <w:qFormat/>
    <w:uiPriority w:val="0"/>
    <w:rPr>
      <w:rFonts w:asciiTheme="minorHAnsi" w:hAnsiTheme="minorHAnsi" w:eastAsiaTheme="minorEastAsia" w:cstheme="minorBidi"/>
      <w:lang w:val="en-US" w:eastAsia="zh-CN" w:bidi="ar-SA"/>
    </w:rPr>
  </w:style>
  <w:style w:type="paragraph" w:customStyle="1" w:styleId="12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129">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0">
    <w:name w:val="正文1"/>
    <w:qFormat/>
    <w:uiPriority w:val="99"/>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23893</Words>
  <Characters>25212</Characters>
  <Lines>182</Lines>
  <Paragraphs>51</Paragraphs>
  <TotalTime>11</TotalTime>
  <ScaleCrop>false</ScaleCrop>
  <LinksUpToDate>false</LinksUpToDate>
  <CharactersWithSpaces>26228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WPS_1596254397</cp:lastModifiedBy>
  <cp:lastPrinted>2021-06-18T02:14:00Z</cp:lastPrinted>
  <dcterms:modified xsi:type="dcterms:W3CDTF">2022-05-18T02:29:27Z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3CDCF02AD1334CFBBC3F600B8D6221FC</vt:lpwstr>
  </property>
</Properties>
</file>