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spacing w:line="240" w:lineRule="auto"/>
        <w:jc w:val="center"/>
        <w:rPr>
          <w:rFonts w:hint="default" w:ascii="宋体" w:hAnsi="宋体"/>
          <w:b/>
          <w:color w:val="000000"/>
          <w:kern w:val="0"/>
          <w:sz w:val="40"/>
          <w:szCs w:val="40"/>
          <w:highlight w:val="none"/>
          <w:lang w:val="en-US" w:eastAsia="zh-CN"/>
        </w:rPr>
      </w:pPr>
      <w:r>
        <w:rPr>
          <w:rFonts w:hint="eastAsia" w:ascii="宋体" w:hAnsi="宋体"/>
          <w:b/>
          <w:color w:val="000000"/>
          <w:kern w:val="0"/>
          <w:sz w:val="40"/>
          <w:szCs w:val="40"/>
          <w:highlight w:val="none"/>
          <w:lang w:val="en-US" w:eastAsia="zh-CN"/>
        </w:rPr>
        <w:t>策勒县2021年退化草场修复治理灌溉建设项目</w:t>
      </w:r>
    </w:p>
    <w:p>
      <w:pPr>
        <w:spacing w:line="240" w:lineRule="auto"/>
        <w:jc w:val="center"/>
        <w:rPr>
          <w:rFonts w:hint="default" w:ascii="宋体" w:hAnsi="宋体"/>
          <w:b/>
          <w:color w:val="000000"/>
          <w:kern w:val="0"/>
          <w:sz w:val="40"/>
          <w:szCs w:val="40"/>
          <w:highlight w:val="none"/>
          <w:lang w:val="en-US" w:eastAsia="zh-CN"/>
        </w:rPr>
      </w:pPr>
    </w:p>
    <w:p>
      <w:pPr>
        <w:pStyle w:val="5"/>
        <w:numPr>
          <w:ilvl w:val="0"/>
          <w:numId w:val="0"/>
        </w:numPr>
        <w:ind w:leftChars="0"/>
        <w:jc w:val="both"/>
        <w:rPr>
          <w:rFonts w:hint="eastAsia"/>
          <w:lang w:eastAsia="zh-CN"/>
        </w:rPr>
      </w:pPr>
    </w:p>
    <w:p>
      <w:pPr>
        <w:spacing w:line="240" w:lineRule="auto"/>
        <w:ind w:firstLine="1440" w:firstLineChars="4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w:t>
      </w:r>
      <w:r>
        <w:rPr>
          <w:rFonts w:hint="eastAsia" w:ascii="新宋体" w:hAnsi="新宋体" w:eastAsia="新宋体" w:cs="新宋体"/>
          <w:color w:val="auto"/>
          <w:sz w:val="36"/>
          <w:szCs w:val="36"/>
          <w:highlight w:val="none"/>
        </w:rPr>
        <w:t>编号：</w:t>
      </w:r>
      <w:r>
        <w:rPr>
          <w:rFonts w:hint="eastAsia" w:ascii="新宋体" w:hAnsi="新宋体" w:eastAsia="新宋体" w:cs="新宋体"/>
          <w:color w:val="auto"/>
          <w:sz w:val="36"/>
          <w:szCs w:val="36"/>
          <w:highlight w:val="none"/>
          <w:lang w:val="en-US" w:eastAsia="zh-CN"/>
        </w:rPr>
        <w:t>CLX-2022-021</w:t>
      </w:r>
      <w:r>
        <w:rPr>
          <w:rFonts w:hint="eastAsia" w:ascii="新宋体" w:hAnsi="新宋体" w:eastAsia="新宋体" w:cs="新宋体"/>
          <w:color w:val="auto"/>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20"/>
        <w:spacing w:line="240" w:lineRule="auto"/>
        <w:rPr>
          <w:rFonts w:hint="eastAsia" w:ascii="宋体" w:hAnsi="宋体"/>
          <w:color w:val="000000"/>
          <w:sz w:val="30"/>
          <w:highlight w:val="none"/>
        </w:rPr>
      </w:pPr>
    </w:p>
    <w:p>
      <w:pPr>
        <w:pStyle w:val="20"/>
        <w:spacing w:line="240" w:lineRule="auto"/>
        <w:jc w:val="center"/>
        <w:rPr>
          <w:rFonts w:hint="eastAsia" w:ascii="宋体" w:hAnsi="宋体"/>
          <w:color w:val="000000"/>
          <w:spacing w:val="40"/>
          <w:sz w:val="32"/>
          <w:highlight w:val="none"/>
        </w:rPr>
      </w:pPr>
    </w:p>
    <w:p>
      <w:pPr>
        <w:pStyle w:val="20"/>
        <w:spacing w:line="240" w:lineRule="auto"/>
        <w:jc w:val="center"/>
        <w:rPr>
          <w:rFonts w:hint="eastAsia" w:ascii="宋体" w:hAnsi="宋体"/>
          <w:color w:val="000000"/>
          <w:spacing w:val="40"/>
          <w:sz w:val="32"/>
          <w:highlight w:val="none"/>
        </w:rPr>
      </w:pPr>
    </w:p>
    <w:p>
      <w:pPr>
        <w:pStyle w:val="20"/>
        <w:spacing w:line="240" w:lineRule="auto"/>
        <w:jc w:val="center"/>
        <w:rPr>
          <w:rFonts w:hint="eastAsia" w:ascii="宋体" w:hAnsi="宋体"/>
          <w:color w:val="000000"/>
          <w:spacing w:val="40"/>
          <w:sz w:val="32"/>
          <w:highlight w:val="none"/>
        </w:rPr>
      </w:pPr>
    </w:p>
    <w:p>
      <w:pPr>
        <w:pStyle w:val="20"/>
        <w:spacing w:line="240" w:lineRule="auto"/>
        <w:jc w:val="center"/>
        <w:rPr>
          <w:rFonts w:hint="eastAsia" w:ascii="宋体" w:hAnsi="宋体"/>
          <w:color w:val="000000"/>
          <w:spacing w:val="40"/>
          <w:sz w:val="32"/>
          <w:highlight w:val="none"/>
        </w:rPr>
      </w:pPr>
    </w:p>
    <w:p>
      <w:pPr>
        <w:pStyle w:val="20"/>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 xml:space="preserve">策勒县博斯坦乡人民政府 </w:t>
      </w:r>
    </w:p>
    <w:p>
      <w:pPr>
        <w:pStyle w:val="20"/>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新疆中咨建设项目管理有限公司</w:t>
      </w:r>
      <w:r>
        <w:rPr>
          <w:rFonts w:hint="eastAsia" w:ascii="宋体" w:hAnsi="宋体"/>
          <w:color w:val="000000"/>
          <w:sz w:val="32"/>
          <w:highlight w:val="none"/>
        </w:rPr>
        <w:t> </w:t>
      </w:r>
    </w:p>
    <w:p>
      <w:pPr>
        <w:pStyle w:val="20"/>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2</w:t>
      </w:r>
      <w:r>
        <w:rPr>
          <w:rFonts w:ascii="宋体" w:hAnsi="宋体"/>
          <w:color w:val="000000"/>
          <w:sz w:val="32"/>
          <w:highlight w:val="none"/>
        </w:rPr>
        <w:t>年</w:t>
      </w:r>
      <w:r>
        <w:rPr>
          <w:rFonts w:hint="eastAsia" w:ascii="宋体" w:hAnsi="宋体"/>
          <w:color w:val="000000"/>
          <w:sz w:val="32"/>
          <w:highlight w:val="none"/>
          <w:lang w:val="en-US" w:eastAsia="zh-CN"/>
        </w:rPr>
        <w:t>4</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9"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left="0" w:leftChars="0" w:firstLine="0" w:firstLineChars="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spacing w:line="240" w:lineRule="auto"/>
              <w:rPr>
                <w:rFonts w:hint="eastAsia" w:ascii="Arial" w:hAnsi="Arial" w:cs="Arial"/>
                <w:color w:val="000000"/>
                <w:sz w:val="20"/>
                <w:highlight w:val="none"/>
                <w:lang w:val="zh-CN"/>
              </w:rPr>
            </w:pPr>
            <w:r>
              <w:rPr>
                <w:rFonts w:hint="eastAsia" w:ascii="仿宋" w:hAnsi="仿宋" w:eastAsia="仿宋" w:cs="仿宋"/>
                <w:bCs/>
                <w:color w:val="000000"/>
                <w:sz w:val="28"/>
                <w:szCs w:val="28"/>
                <w:highlight w:val="none"/>
                <w:lang w:val="zh-CN"/>
              </w:rPr>
              <w:t>项目名称：策勒县2021年退化草场修复治理灌溉建设项目</w:t>
            </w: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 xml:space="preserve">采购人：策勒县博斯坦乡人民政府 </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项目名称：策勒县2021年退化草场修复治理灌溉建设项目</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采购单位：策勒县博斯坦乡人民政府 </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en-US" w:eastAsia="zh-CN"/>
        </w:rPr>
        <w:t>廖勇</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18699286952</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详细地址：策勒县博斯坦乡人民政府</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招标代理机构：新疆中咨建设项目管理有限公司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val="en-US" w:eastAsia="zh-CN"/>
        </w:rPr>
        <w:t>王工</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0903-2063459</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和田市新夜市名门大酒店7楼</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策勒县2021年退化草场修复治理灌溉建设项目公开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策勒县2021年退化草场修复治理灌溉建设项目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2022</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5</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6</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singl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320" w:lineRule="exact"/>
        <w:textAlignment w:val="auto"/>
        <w:rPr>
          <w:rFonts w:hint="eastAsia" w:ascii="黑体" w:hAnsi="黑体" w:cs="宋体"/>
          <w:b w:val="0"/>
          <w:color w:val="000000"/>
          <w:sz w:val="28"/>
          <w:szCs w:val="28"/>
          <w:highlight w:val="none"/>
        </w:rPr>
      </w:pPr>
      <w:bookmarkStart w:id="5" w:name="_Toc35393621"/>
      <w:bookmarkStart w:id="6" w:name="_Toc28359079"/>
      <w:bookmarkStart w:id="7" w:name="_Toc28359002"/>
      <w:bookmarkStart w:id="8" w:name="_Toc35393790"/>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320" w:lineRule="exact"/>
        <w:ind w:firstLine="560" w:firstLineChars="200"/>
        <w:textAlignment w:val="auto"/>
        <w:rPr>
          <w:rFonts w:hint="default" w:ascii="仿宋" w:hAnsi="仿宋" w:eastAsia="仿宋"/>
          <w:color w:val="000000"/>
          <w:sz w:val="28"/>
          <w:szCs w:val="28"/>
          <w:highlight w:val="none"/>
          <w:lang w:val="en-US"/>
        </w:rPr>
      </w:pPr>
      <w:r>
        <w:rPr>
          <w:rFonts w:hint="eastAsia" w:ascii="仿宋" w:hAnsi="仿宋" w:eastAsia="仿宋"/>
          <w:b w:val="0"/>
          <w:bCs w:val="0"/>
          <w:color w:val="000000"/>
          <w:sz w:val="28"/>
          <w:szCs w:val="28"/>
          <w:highlight w:val="none"/>
        </w:rPr>
        <w:t>项目编号：</w:t>
      </w:r>
      <w:r>
        <w:rPr>
          <w:rFonts w:hint="eastAsia" w:ascii="仿宋" w:hAnsi="仿宋" w:eastAsia="仿宋"/>
          <w:b w:val="0"/>
          <w:bCs w:val="0"/>
          <w:color w:val="0000FF"/>
          <w:sz w:val="28"/>
          <w:szCs w:val="28"/>
          <w:highlight w:val="none"/>
          <w:lang w:val="en-US" w:eastAsia="zh-CN"/>
        </w:rPr>
        <w:t>CLX-2022-021</w:t>
      </w:r>
      <w:r>
        <w:rPr>
          <w:rFonts w:hint="eastAsia" w:ascii="仿宋" w:hAnsi="仿宋" w:eastAsia="仿宋"/>
          <w:b w:val="0"/>
          <w:bCs w:val="0"/>
          <w:color w:val="000000"/>
          <w:sz w:val="28"/>
          <w:szCs w:val="28"/>
          <w:highlight w:val="none"/>
        </w:rPr>
        <w:t>号</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lang w:eastAsia="zh-CN"/>
        </w:rPr>
        <w:t>策勒县2021年退化草场修复治理灌溉建设项目</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ascii="仿宋" w:hAnsi="仿宋" w:eastAsia="仿宋" w:cs="仿宋"/>
          <w:i w:val="0"/>
          <w:iCs w:val="0"/>
          <w:caps w:val="0"/>
          <w:color w:val="000000"/>
          <w:spacing w:val="0"/>
          <w:sz w:val="27"/>
          <w:szCs w:val="27"/>
        </w:rPr>
        <w:t>采购管材一批</w:t>
      </w:r>
      <w:r>
        <w:rPr>
          <w:rFonts w:hint="eastAsia" w:ascii="仿宋" w:hAnsi="仿宋" w:eastAsia="仿宋"/>
          <w:color w:val="000000"/>
          <w:sz w:val="28"/>
          <w:szCs w:val="28"/>
          <w:highlight w:val="none"/>
          <w:lang w:val="en-US" w:eastAsia="zh-CN"/>
        </w:rPr>
        <w:t>（具体参数详见招标文件）</w:t>
      </w:r>
    </w:p>
    <w:p>
      <w:pPr>
        <w:pageBreakBefore w:val="0"/>
        <w:widowControl w:val="0"/>
        <w:kinsoku/>
        <w:wordWrap/>
        <w:overflowPunct/>
        <w:topLinePunct w:val="0"/>
        <w:autoSpaceDE/>
        <w:autoSpaceDN/>
        <w:bidi w:val="0"/>
        <w:adjustRightInd/>
        <w:snapToGrid/>
        <w:spacing w:line="320" w:lineRule="exact"/>
        <w:ind w:left="2799" w:leftChars="266" w:hanging="2240" w:hangingChars="8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采购预算：21340635.67 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val="en-US" w:eastAsia="zh-CN"/>
        </w:rPr>
        <w:t>合同签订后60天内</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实际工期以合同约定为准</w:t>
      </w:r>
      <w:r>
        <w:rPr>
          <w:rFonts w:hint="eastAsia" w:ascii="仿宋" w:hAnsi="仿宋" w:eastAsia="仿宋"/>
          <w:color w:val="000000"/>
          <w:sz w:val="28"/>
          <w:szCs w:val="28"/>
          <w:highlight w:val="none"/>
          <w:lang w:val="en-US" w:eastAsia="zh-CN"/>
        </w:rPr>
        <w:t>,含运输、装卸、税金、安装、调试完毕)</w:t>
      </w:r>
      <w:r>
        <w:rPr>
          <w:rFonts w:hint="eastAsia" w:ascii="仿宋" w:hAnsi="仿宋" w:eastAsia="仿宋"/>
          <w:color w:val="000000"/>
          <w:sz w:val="28"/>
          <w:szCs w:val="28"/>
          <w:highlight w:val="none"/>
          <w:lang w:eastAsia="zh-CN"/>
        </w:rPr>
        <w:t>；</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320" w:lineRule="exact"/>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80"/>
      <w:bookmarkStart w:id="11" w:name="_Toc35393791"/>
      <w:bookmarkStart w:id="12" w:name="_Toc35393622"/>
      <w:bookmarkStart w:id="13" w:name="_Toc28359003"/>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（4）供应商须提供2021年财务审计报告（2022年新成立公司可不提供审计报告但须提供公司财务制度）；</w:t>
      </w:r>
    </w:p>
    <w:p>
      <w:pPr>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Style w:val="2"/>
        <w:keepNext w:val="0"/>
        <w:keepLines w:val="0"/>
        <w:pageBreakBefore w:val="0"/>
        <w:widowControl w:val="0"/>
        <w:kinsoku/>
        <w:wordWrap/>
        <w:overflowPunct/>
        <w:topLinePunct w:val="0"/>
        <w:autoSpaceDE/>
        <w:autoSpaceDN/>
        <w:bidi w:val="0"/>
        <w:adjustRightInd/>
        <w:snapToGrid/>
        <w:spacing w:before="0" w:beforeLines="0" w:line="240" w:lineRule="auto"/>
        <w:jc w:val="both"/>
        <w:textAlignment w:val="auto"/>
        <w:rPr>
          <w:rFonts w:hint="eastAsia" w:ascii="仿宋" w:hAnsi="仿宋" w:eastAsia="仿宋" w:cs="Times New Roman"/>
          <w:b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color w:val="000000" w:themeColor="text1"/>
          <w:kern w:val="2"/>
          <w:sz w:val="28"/>
          <w:szCs w:val="28"/>
          <w:highlight w:val="none"/>
          <w:lang w:val="en-US" w:eastAsia="zh-CN" w:bidi="ar-SA"/>
          <w14:textFill>
            <w14:solidFill>
              <w14:schemeClr w14:val="tx1"/>
            </w14:solidFill>
          </w14:textFill>
        </w:rPr>
        <w:t>（7）凡拟参加本次招标项目的供应商所供产品通过ISO9001质量体系认证证书（以上条款证书如果为代理商可提供管材生产厂家的证书复印件加盖公章）</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w:t>
      </w:r>
      <w:bookmarkStart w:id="14" w:name="_Toc28359004"/>
      <w:bookmarkStart w:id="15" w:name="_Toc28359081"/>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小型、微型企业标准的，按招标文件格式提供《中小企业声明函》等政府采购政策</w:t>
      </w:r>
      <w:r>
        <w:rPr>
          <w:rFonts w:hint="eastAsia" w:ascii="仿宋" w:hAnsi="仿宋" w:eastAsia="仿宋"/>
          <w:color w:val="000000"/>
          <w:sz w:val="28"/>
          <w:szCs w:val="28"/>
          <w:highlight w:val="none"/>
        </w:rPr>
        <w:t>。</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82"/>
      <w:bookmarkStart w:id="19" w:name="_Toc28359005"/>
      <w:bookmarkStart w:id="20" w:name="_Toc35393793"/>
      <w:bookmarkStart w:id="21" w:name="_Toc35393624"/>
      <w:r>
        <w:rPr>
          <w:rFonts w:hint="eastAsia" w:ascii="仿宋" w:hAnsi="仿宋" w:eastAsia="仿宋"/>
          <w:b w:val="0"/>
          <w:bCs/>
          <w:color w:val="000000"/>
          <w:kern w:val="2"/>
          <w:sz w:val="28"/>
          <w:szCs w:val="28"/>
          <w:highlight w:val="none"/>
          <w:lang w:val="en-US" w:eastAsia="zh-CN" w:bidi="ar-SA"/>
        </w:rPr>
        <w:t>时间：2022年4月14日至2022年4月22日，每天00:00至23:59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2022</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5</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6</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84"/>
      <w:bookmarkStart w:id="23" w:name="_Toc35393625"/>
      <w:bookmarkStart w:id="24" w:name="_Toc35393794"/>
      <w:bookmarkStart w:id="25" w:name="_Toc28359007"/>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自本公告发布之日起五个工作日。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22</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五</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795"/>
      <w:bookmarkStart w:id="27" w:name="_Toc35393626"/>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28359008"/>
      <w:bookmarkStart w:id="29" w:name="_Toc35393627"/>
      <w:bookmarkStart w:id="30" w:name="_Toc28359085"/>
      <w:bookmarkStart w:id="31" w:name="_Toc35393796"/>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hint="eastAsia" w:ascii="仿宋" w:hAnsi="仿宋" w:eastAsia="仿宋" w:cs="仿宋"/>
          <w:i w:val="0"/>
          <w:iCs w:val="0"/>
          <w:caps w:val="0"/>
          <w:color w:val="000000"/>
          <w:spacing w:val="0"/>
          <w:sz w:val="27"/>
          <w:szCs w:val="27"/>
          <w:lang w:eastAsia="zh-CN"/>
        </w:rPr>
        <w:t xml:space="preserve">策勒县博斯坦乡人民政府 </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hint="eastAsia" w:ascii="仿宋" w:hAnsi="仿宋" w:eastAsia="仿宋" w:cs="仿宋"/>
          <w:i w:val="0"/>
          <w:iCs w:val="0"/>
          <w:caps w:val="0"/>
          <w:color w:val="000000"/>
          <w:spacing w:val="0"/>
          <w:sz w:val="27"/>
          <w:szCs w:val="27"/>
          <w:lang w:eastAsia="zh-CN"/>
        </w:rPr>
        <w:t>策勒县博斯坦乡人民政府</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廖勇  </w:t>
      </w:r>
      <w:r>
        <w:rPr>
          <w:rFonts w:hint="eastAsia" w:ascii="仿宋" w:hAnsi="仿宋" w:eastAsia="仿宋"/>
          <w:color w:val="000000"/>
          <w:sz w:val="28"/>
          <w:szCs w:val="28"/>
          <w:highlight w:val="none"/>
        </w:rPr>
        <w:t>联系方式：</w:t>
      </w:r>
      <w:bookmarkStart w:id="32" w:name="_Toc28359009"/>
      <w:bookmarkStart w:id="33" w:name="_Toc28359086"/>
      <w:r>
        <w:rPr>
          <w:rFonts w:hint="eastAsia" w:ascii="仿宋" w:hAnsi="仿宋" w:eastAsia="仿宋" w:cs="仿宋"/>
          <w:i w:val="0"/>
          <w:iCs w:val="0"/>
          <w:caps w:val="0"/>
          <w:color w:val="000000"/>
          <w:spacing w:val="0"/>
          <w:sz w:val="27"/>
          <w:szCs w:val="27"/>
          <w:lang w:val="en-US" w:eastAsia="zh-CN"/>
        </w:rPr>
        <w:t>18699286952</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新疆中咨建设项目管理有限公司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和田市新夜市名门大酒店7楼</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10"/>
      <w:bookmarkStart w:id="35" w:name="_Toc28359087"/>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王工</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0903-2063459</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597085516@qq.com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hint="eastAsia"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right"/>
        <w:textAlignment w:val="auto"/>
        <w:rPr>
          <w:rFonts w:ascii="Tahoma" w:hAnsi="Tahoma" w:cs="Tahoma"/>
          <w:b/>
          <w:color w:val="000000"/>
          <w:sz w:val="24"/>
          <w:szCs w:val="24"/>
          <w:highlight w:val="none"/>
        </w:rPr>
      </w:pPr>
      <w:r>
        <w:rPr>
          <w:rFonts w:hint="eastAsia" w:ascii="宋体" w:hAnsi="宋体" w:cs="宋体"/>
          <w:color w:val="000000"/>
          <w:kern w:val="0"/>
          <w:sz w:val="28"/>
          <w:szCs w:val="28"/>
          <w:highlight w:val="none"/>
          <w:lang w:bidi="ar"/>
        </w:rPr>
        <w:t xml:space="preserve">   </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 xml:space="preserve">策勒县博斯坦乡人民政府 </w:t>
      </w:r>
      <w:r>
        <w:rPr>
          <w:rFonts w:hint="eastAsia" w:ascii="仿宋" w:hAnsi="仿宋" w:eastAsia="仿宋"/>
          <w:color w:val="000000"/>
          <w:sz w:val="28"/>
          <w:szCs w:val="28"/>
          <w:highlight w:val="none"/>
        </w:rPr>
        <w:t xml:space="preserve">     </w:t>
      </w:r>
      <w:r>
        <w:rPr>
          <w:rFonts w:hint="eastAsia" w:ascii="仿宋" w:hAnsi="仿宋" w:eastAsia="仿宋"/>
          <w:color w:val="000000"/>
          <w:sz w:val="28"/>
          <w:szCs w:val="28"/>
          <w:highlight w:val="none"/>
          <w:lang w:val="en-US" w:eastAsia="zh-CN"/>
        </w:rPr>
        <w:t xml:space="preserve">   新疆中咨建设项目管理有限公司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13</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13</w:t>
      </w:r>
      <w:r>
        <w:rPr>
          <w:rFonts w:hint="eastAsia" w:ascii="仿宋" w:hAnsi="仿宋" w:eastAsia="仿宋"/>
          <w:color w:val="000000"/>
          <w:sz w:val="28"/>
          <w:szCs w:val="28"/>
          <w:highlight w:val="none"/>
        </w:rPr>
        <w:t>日</w:t>
      </w:r>
    </w:p>
    <w:p>
      <w:pPr>
        <w:spacing w:line="240" w:lineRule="auto"/>
        <w:jc w:val="center"/>
        <w:rPr>
          <w:rFonts w:hint="eastAsia" w:ascii="仿宋" w:hAnsi="仿宋" w:eastAsia="仿宋"/>
          <w:color w:val="000000"/>
          <w:sz w:val="28"/>
          <w:szCs w:val="28"/>
          <w:highlight w:val="none"/>
        </w:rPr>
      </w:pPr>
    </w:p>
    <w:p>
      <w:pPr>
        <w:pStyle w:val="5"/>
        <w:numPr>
          <w:ilvl w:val="0"/>
          <w:numId w:val="0"/>
        </w:numPr>
        <w:ind w:leftChars="0"/>
        <w:jc w:val="both"/>
        <w:rPr>
          <w:rFonts w:hint="eastAsia"/>
        </w:rPr>
      </w:pPr>
    </w:p>
    <w:p>
      <w:pPr>
        <w:rPr>
          <w:rFonts w:hint="eastAsia" w:ascii="仿宋" w:hAnsi="仿宋" w:eastAsia="仿宋"/>
          <w:color w:val="000000"/>
          <w:sz w:val="28"/>
          <w:szCs w:val="28"/>
          <w:highlight w:val="none"/>
        </w:rPr>
      </w:pPr>
    </w:p>
    <w:p>
      <w:pPr>
        <w:rPr>
          <w:rFonts w:hint="eastAsia" w:ascii="Tahoma" w:hAnsi="Tahoma" w:cs="Tahoma"/>
          <w:b/>
          <w:color w:val="000000"/>
          <w:sz w:val="28"/>
          <w:szCs w:val="28"/>
          <w:highlight w:val="none"/>
          <w:lang w:eastAsia="zh-CN"/>
        </w:rPr>
      </w:pPr>
    </w:p>
    <w:p>
      <w:pPr>
        <w:rPr>
          <w:rFonts w:hint="eastAsia" w:ascii="Tahoma" w:hAnsi="Tahoma" w:cs="Tahoma"/>
          <w:b/>
          <w:color w:val="000000"/>
          <w:sz w:val="28"/>
          <w:szCs w:val="28"/>
          <w:highlight w:val="none"/>
          <w:lang w:eastAsia="zh-CN"/>
        </w:rPr>
      </w:pPr>
      <w:r>
        <w:rPr>
          <w:rFonts w:hint="eastAsia" w:ascii="Tahoma" w:hAnsi="Tahoma" w:cs="Tahoma"/>
          <w:b/>
          <w:color w:val="000000"/>
          <w:sz w:val="28"/>
          <w:szCs w:val="28"/>
          <w:highlight w:val="none"/>
          <w:lang w:eastAsia="zh-CN"/>
        </w:rPr>
        <w:br w:type="page"/>
      </w:r>
    </w:p>
    <w:p>
      <w:pPr>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4"/>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 xml:space="preserve">策勒县博斯坦乡人民政府 </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廖勇</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18699286952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新疆中咨建设项目管理有限公司</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和田市新夜市名门大酒店7楼</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王工</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0903-2063459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策勒县2021年退化草场修复治理灌溉建设项目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扶贫资金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ascii="仿宋" w:hAnsi="仿宋" w:eastAsia="仿宋" w:cs="仿宋"/>
                <w:i w:val="0"/>
                <w:iCs w:val="0"/>
                <w:caps w:val="0"/>
                <w:color w:val="000000"/>
                <w:spacing w:val="0"/>
                <w:sz w:val="27"/>
                <w:szCs w:val="27"/>
              </w:rPr>
              <w:t>采购管材一批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招标范围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场外工程管材采购、运输、安装，全管线钢制管件制作、运输、安装、</w:t>
            </w:r>
            <w:r>
              <w:rPr>
                <w:rFonts w:hint="eastAsia" w:ascii="仿宋" w:hAnsi="仿宋" w:eastAsia="仿宋"/>
                <w:color w:val="000000"/>
                <w:sz w:val="28"/>
                <w:szCs w:val="28"/>
                <w:highlight w:val="none"/>
                <w:lang w:val="en-US" w:eastAsia="zh-CN"/>
              </w:rPr>
              <w:t>调试等</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（详见清单）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2022</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5</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6</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转账汇款（对公转账，从基本账户转入）或支票、汇票或者金融机构、担保机构出具的保函等非现金形式缴纳。</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420000.00元（肆拾贰万元整）</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w:t>
            </w:r>
            <w:r>
              <w:rPr>
                <w:rFonts w:hint="eastAsia" w:ascii="仿宋" w:hAnsi="仿宋" w:eastAsia="仿宋"/>
                <w:b/>
                <w:bCs/>
                <w:color w:val="000000"/>
                <w:sz w:val="28"/>
                <w:szCs w:val="28"/>
                <w:highlight w:val="none"/>
                <w:lang w:val="en-US" w:eastAsia="zh-CN"/>
              </w:rPr>
              <w:t>402896600028</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交付方式：1.投标保证金可以用支票、汇票或者金融机构、担保机构出具的保函等非现金形式缴纳。</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default" w:ascii="仿宋" w:hAnsi="仿宋" w:eastAsia="仿宋"/>
                <w:color w:val="000000"/>
                <w:sz w:val="28"/>
                <w:szCs w:val="28"/>
                <w:highlight w:val="none"/>
                <w:lang w:val="en-US"/>
              </w:rPr>
            </w:pPr>
            <w:r>
              <w:rPr>
                <w:rFonts w:hint="eastAsia" w:ascii="仿宋" w:hAnsi="仿宋" w:eastAsia="仿宋"/>
                <w:b/>
                <w:bCs/>
                <w:color w:val="000000"/>
                <w:sz w:val="28"/>
                <w:szCs w:val="28"/>
                <w:highlight w:val="none"/>
                <w:lang w:val="en-US" w:eastAsia="zh-CN"/>
              </w:rPr>
              <w:t>2.使用转账汇款缴纳投标保证金时，必须以投标单位的名义缴纳投标保证金,投标单位在缴纳投标保证金时备注项目名称及用途,于开标前缴入指定账户，以进账时间为准确定投标保证金缴纳的时效性，无需到策勒县公共资源交易中心换取投标保证金收据，开标时现场查验投标保证金到账情况。开标结束后未中标企业现场将授权委托书或授权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（4）供应商须提供2021年财务审计报告（2022年新成立公司可不提供审计报告但须提供公司财务制度）；</w:t>
            </w:r>
          </w:p>
          <w:p>
            <w:pPr>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Style w:val="2"/>
              <w:keepNext w:val="0"/>
              <w:keepLines w:val="0"/>
              <w:pageBreakBefore w:val="0"/>
              <w:widowControl w:val="0"/>
              <w:kinsoku/>
              <w:wordWrap/>
              <w:overflowPunct/>
              <w:topLinePunct w:val="0"/>
              <w:autoSpaceDE/>
              <w:autoSpaceDN/>
              <w:bidi w:val="0"/>
              <w:adjustRightInd/>
              <w:snapToGrid/>
              <w:spacing w:before="0" w:beforeLines="0" w:line="240" w:lineRule="auto"/>
              <w:jc w:val="both"/>
              <w:textAlignment w:val="auto"/>
              <w:rPr>
                <w:rFonts w:hint="eastAsia" w:ascii="仿宋" w:hAnsi="仿宋" w:eastAsia="仿宋" w:cs="Times New Roman"/>
                <w:b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color w:val="000000" w:themeColor="text1"/>
                <w:kern w:val="2"/>
                <w:sz w:val="28"/>
                <w:szCs w:val="28"/>
                <w:highlight w:val="none"/>
                <w:lang w:val="en-US" w:eastAsia="zh-CN" w:bidi="ar-SA"/>
                <w14:textFill>
                  <w14:solidFill>
                    <w14:schemeClr w14:val="tx1"/>
                  </w14:solidFill>
                </w14:textFill>
              </w:rPr>
              <w:t>（7）凡拟参加本次招标项目的供应商所供产品通过ISO9001质量体系认证证书（以上条款证书如果为代理商可提供管材生产厂家的证书复印件加盖公章）</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类似项目</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指相同或者高于所采购货物性能指标和技术参数的同类货物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w:t>
            </w:r>
            <w:r>
              <w:rPr>
                <w:rFonts w:hint="eastAsia" w:ascii="仿宋" w:hAnsi="仿宋" w:eastAsia="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eastAsia="zh-CN"/>
              </w:rPr>
              <w:t>以中标人与业主签订合同时协商为准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29</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履约保证金</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形式：银行履约保函或现金支票或按招标人的要求进行提交；</w:t>
            </w:r>
          </w:p>
          <w:p>
            <w:pPr>
              <w:pStyle w:val="6"/>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金额：中标合同金额的 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30</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31</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中标单位须按照甲方要求进行供货，将甲方所需货物配送至指定地点或约定地点。所供货物若未通过业主或联合验收组验收者、必须按甲方要求时间重新配送，不得以任何借口推诿，如有推诿的将终止合同；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32</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kern w:val="2"/>
                <w:sz w:val="28"/>
                <w:szCs w:val="28"/>
                <w:highlight w:val="none"/>
                <w:lang w:val="en-US" w:eastAsia="zh-CN" w:bidi="ar-SA"/>
              </w:rPr>
              <w:t>质保期限</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全部货物验收合格之日起 5年，在质保期内使用中如出现质量问题，供应商应在6小时内到达，12小时内维修更换。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597085516@qq.com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560" w:firstLineChars="200"/>
              <w:jc w:val="both"/>
              <w:textAlignment w:val="auto"/>
              <w:rPr>
                <w:rFonts w:hint="eastAsia"/>
              </w:rPr>
            </w:pPr>
            <w:r>
              <w:rPr>
                <w:rFonts w:hint="eastAsia" w:ascii="仿宋" w:hAnsi="仿宋" w:eastAsia="仿宋" w:cs="Times New Roman"/>
                <w:color w:val="000000"/>
                <w:kern w:val="2"/>
                <w:sz w:val="28"/>
                <w:szCs w:val="28"/>
                <w:highlight w:val="none"/>
                <w:lang w:val="en-US" w:eastAsia="zh-CN" w:bidi="ar-SA"/>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ascii="宋体" w:hAnsi="宋体"/>
          <w:b/>
          <w:color w:val="000000"/>
          <w:sz w:val="24"/>
          <w:highlight w:val="none"/>
        </w:rPr>
        <w:br w:type="page"/>
      </w:r>
      <w:bookmarkStart w:id="36" w:name="_Toc6916"/>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 xml:space="preserve">策勒县博斯坦乡人民政府 </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 xml:space="preserve">策勒县博斯坦乡人民政府 </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策勒县2021年退化草场修复治理灌溉建设项目</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2.5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安装、调试、</w:t>
      </w:r>
      <w:r>
        <w:rPr>
          <w:rFonts w:hint="eastAsia" w:ascii="仿宋" w:hAnsi="仿宋" w:eastAsia="仿宋"/>
          <w:color w:val="000000"/>
          <w:sz w:val="28"/>
          <w:szCs w:val="28"/>
          <w:highlight w:val="none"/>
        </w:rPr>
        <w:t>售后服务和其它类似的义务。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 xml:space="preserve">2.6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服务期限：</w:t>
      </w:r>
      <w:r>
        <w:rPr>
          <w:rFonts w:hint="eastAsia" w:ascii="仿宋" w:hAnsi="仿宋" w:eastAsia="仿宋"/>
          <w:color w:val="000000"/>
          <w:sz w:val="28"/>
          <w:szCs w:val="28"/>
          <w:highlight w:val="none"/>
          <w:lang w:val="en-US" w:eastAsia="zh-CN"/>
        </w:rPr>
        <w:t>合同签订后60天内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实际工期以合同约定为准</w:t>
      </w:r>
      <w:r>
        <w:rPr>
          <w:rFonts w:hint="eastAsia" w:ascii="仿宋" w:hAnsi="仿宋" w:eastAsia="仿宋"/>
          <w:color w:val="000000"/>
          <w:sz w:val="28"/>
          <w:szCs w:val="28"/>
          <w:highlight w:val="none"/>
          <w:lang w:val="en-US" w:eastAsia="zh-CN"/>
        </w:rPr>
        <w:t>,含运输、装卸、税金、安装、调试完毕)</w:t>
      </w:r>
      <w:r>
        <w:rPr>
          <w:rFonts w:hint="eastAsia" w:ascii="仿宋" w:hAnsi="仿宋" w:eastAsia="仿宋"/>
          <w:color w:val="000000"/>
          <w:sz w:val="28"/>
          <w:szCs w:val="28"/>
          <w:highlight w:val="none"/>
          <w:lang w:eastAsia="zh-CN"/>
        </w:rPr>
        <w:t>；</w:t>
      </w:r>
    </w:p>
    <w:p>
      <w:pPr>
        <w:pStyle w:val="2"/>
        <w:keepNext w:val="0"/>
        <w:keepLines w:val="0"/>
        <w:pageBreakBefore w:val="0"/>
        <w:widowControl w:val="0"/>
        <w:numPr>
          <w:numId w:val="0"/>
        </w:numPr>
        <w:kinsoku/>
        <w:wordWrap/>
        <w:overflowPunct/>
        <w:topLinePunct w:val="0"/>
        <w:autoSpaceDE/>
        <w:autoSpaceDN/>
        <w:bidi w:val="0"/>
        <w:adjustRightInd/>
        <w:snapToGrid/>
        <w:spacing w:before="0" w:beforeLines="0"/>
        <w:jc w:val="both"/>
        <w:textAlignment w:val="auto"/>
        <w:rPr>
          <w:rFonts w:hint="default" w:ascii="仿宋" w:hAnsi="仿宋" w:eastAsia="仿宋" w:cs="Times New Roman"/>
          <w:b w:val="0"/>
          <w:color w:val="auto"/>
          <w:kern w:val="2"/>
          <w:sz w:val="28"/>
          <w:szCs w:val="28"/>
          <w:highlight w:val="none"/>
          <w:lang w:val="en-US" w:eastAsia="zh-CN" w:bidi="ar-SA"/>
        </w:rPr>
      </w:pPr>
      <w:r>
        <w:rPr>
          <w:rFonts w:hint="eastAsia" w:ascii="仿宋" w:hAnsi="仿宋" w:eastAsia="仿宋" w:cs="Times New Roman"/>
          <w:b w:val="0"/>
          <w:color w:val="auto"/>
          <w:kern w:val="2"/>
          <w:sz w:val="28"/>
          <w:szCs w:val="28"/>
          <w:highlight w:val="none"/>
          <w:lang w:val="en-US" w:eastAsia="zh-CN" w:bidi="ar-SA"/>
        </w:rPr>
        <w:t>2.7     此次招标文件中“近三个月”系指2022年1月、2月、3月</w:t>
      </w:r>
    </w:p>
    <w:p>
      <w:pPr>
        <w:pStyle w:val="12"/>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提供三证合一的营业执照，须有相应的经营范围</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2"/>
        <w:spacing w:line="240" w:lineRule="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2"/>
        <w:keepNext w:val="0"/>
        <w:keepLines w:val="0"/>
        <w:pageBreakBefore w:val="0"/>
        <w:widowControl w:val="0"/>
        <w:kinsoku/>
        <w:wordWrap/>
        <w:overflowPunct/>
        <w:topLinePunct w:val="0"/>
        <w:autoSpaceDE/>
        <w:autoSpaceDN/>
        <w:bidi w:val="0"/>
        <w:adjustRightInd/>
        <w:snapToGrid/>
        <w:spacing w:before="0" w:beforeLines="0" w:line="240" w:lineRule="auto"/>
        <w:jc w:val="both"/>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b w:val="0"/>
          <w:color w:val="000000" w:themeColor="text1"/>
          <w:kern w:val="2"/>
          <w:sz w:val="28"/>
          <w:szCs w:val="28"/>
          <w:highlight w:val="none"/>
          <w:lang w:val="en-US" w:eastAsia="zh-CN" w:bidi="ar-SA"/>
          <w14:textFill>
            <w14:solidFill>
              <w14:schemeClr w14:val="tx1"/>
            </w14:solidFill>
          </w14:textFill>
        </w:rPr>
        <w:t>3.8    凡拟参加本次招标项目的供应商所供产品通过ISO9001质量体系认证证书（以上条款证书如果为代理商可提供管材生产厂家的证书复印件加盖公章）</w:t>
      </w:r>
    </w:p>
    <w:p>
      <w:pPr>
        <w:pStyle w:val="12"/>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3.9    </w:t>
      </w:r>
      <w:r>
        <w:rPr>
          <w:rFonts w:hint="eastAsia" w:ascii="仿宋" w:hAnsi="仿宋" w:eastAsia="仿宋"/>
          <w:b w:val="0"/>
          <w:bCs/>
          <w:color w:val="auto"/>
          <w:kern w:val="2"/>
          <w:sz w:val="28"/>
          <w:szCs w:val="28"/>
          <w:highlight w:val="none"/>
          <w:lang w:val="en-US" w:eastAsia="zh-CN" w:bidi="ar-SA"/>
        </w:rPr>
        <w:t>供应商须提供2021年财务审计报告（2022年新成立公司可不提供审计报告但须提供公司财务制度）。</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参加政府采购活动近三年内，在经营活动中没有重大违法记录。</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2"/>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提供合法有效的产品委托授权书；</w:t>
      </w:r>
    </w:p>
    <w:p>
      <w:pPr>
        <w:pStyle w:val="12"/>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2"/>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2"/>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s="仿宋"/>
          <w:bCs/>
          <w:color w:val="auto"/>
          <w:sz w:val="28"/>
          <w:szCs w:val="28"/>
          <w:highlight w:val="none"/>
          <w:lang w:val="en-US" w:eastAsia="zh-CN"/>
        </w:rPr>
        <w:t>597085516@qq.com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2"/>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2"/>
        <w:spacing w:line="240" w:lineRule="auto"/>
        <w:ind w:firstLine="2530" w:firstLineChars="900"/>
        <w:rPr>
          <w:rFonts w:hint="eastAsia" w:ascii="仿宋" w:hAnsi="仿宋" w:eastAsia="仿宋" w:cs="仿宋"/>
          <w:b/>
          <w:color w:val="000000"/>
          <w:sz w:val="28"/>
          <w:szCs w:val="28"/>
          <w:highlight w:val="none"/>
        </w:rPr>
      </w:pPr>
    </w:p>
    <w:p>
      <w:pPr>
        <w:pStyle w:val="12"/>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2"/>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2"/>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、相关产品的</w:t>
      </w:r>
      <w:r>
        <w:rPr>
          <w:rFonts w:hint="eastAsia" w:ascii="仿宋" w:hAnsi="仿宋" w:eastAsia="仿宋" w:cs="仿宋"/>
          <w:bCs/>
          <w:color w:val="auto"/>
          <w:sz w:val="28"/>
          <w:szCs w:val="28"/>
          <w:highlight w:val="none"/>
          <w:lang w:val="en-US" w:eastAsia="zh-CN"/>
        </w:rPr>
        <w:t>厂家授权书及合格证</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lang w:val="en-US" w:eastAsia="zh-CN"/>
        </w:rPr>
        <w:t>并调试</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2"/>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投标文件应由供应商</w:t>
      </w:r>
      <w:r>
        <w:rPr>
          <w:rFonts w:hint="eastAsia" w:ascii="仿宋" w:hAnsi="仿宋" w:eastAsia="仿宋" w:cs="仿宋"/>
          <w:bCs/>
          <w:color w:val="000000"/>
          <w:sz w:val="28"/>
          <w:szCs w:val="28"/>
          <w:highlight w:val="none"/>
          <w:lang w:val="en-US" w:eastAsia="zh-CN"/>
        </w:rPr>
        <w:t>代表</w:t>
      </w:r>
      <w:r>
        <w:rPr>
          <w:rFonts w:hint="eastAsia" w:ascii="仿宋" w:hAnsi="仿宋" w:eastAsia="仿宋" w:cs="仿宋"/>
          <w:bCs/>
          <w:color w:val="000000"/>
          <w:sz w:val="28"/>
          <w:szCs w:val="28"/>
          <w:highlight w:val="none"/>
        </w:rPr>
        <w:t>或供应商授权代表在规定签字处签字并加盖单位公章，</w:t>
      </w:r>
      <w:r>
        <w:rPr>
          <w:rFonts w:hint="eastAsia" w:ascii="仿宋" w:hAnsi="仿宋" w:eastAsia="仿宋" w:cs="仿宋"/>
          <w:bCs/>
          <w:color w:val="000000"/>
          <w:sz w:val="28"/>
          <w:szCs w:val="28"/>
          <w:highlight w:val="none"/>
          <w:lang w:val="en-US" w:eastAsia="zh-CN"/>
        </w:rPr>
        <w:t>正副本应逐页加盖鲜红公章，</w:t>
      </w:r>
      <w:r>
        <w:rPr>
          <w:rFonts w:hint="eastAsia" w:ascii="仿宋" w:hAnsi="仿宋" w:eastAsia="仿宋" w:cs="仿宋"/>
          <w:bCs/>
          <w:color w:val="000000"/>
          <w:sz w:val="28"/>
          <w:szCs w:val="28"/>
          <w:highlight w:val="none"/>
        </w:rPr>
        <w:t>否则将被视为无效投标。</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副本”、“开标一览表”和“电子版”等字样，密封袋须加盖供应商代表公章或投标专用章以及</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 xml:space="preserve">代表人或委托代理人印章，并应确保密封完好。                                           </w:t>
      </w:r>
    </w:p>
    <w:p>
      <w:pPr>
        <w:pStyle w:val="12"/>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12"/>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2"/>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代表本人（出示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代表证明）、</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代表授权证明）签字；</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2"/>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2"/>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2"/>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代表或</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代表授权人参加开标会。</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12"/>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提供三证合一的营业执照，须有相应的经营范围</w:t>
      </w:r>
      <w:r>
        <w:rPr>
          <w:rFonts w:hint="eastAsia" w:ascii="仿宋" w:hAnsi="仿宋" w:eastAsia="仿宋" w:cs="仿宋"/>
          <w:b/>
          <w:color w:val="000000"/>
          <w:sz w:val="28"/>
          <w:szCs w:val="28"/>
          <w:highlight w:val="none"/>
        </w:rPr>
        <w:t>；</w:t>
      </w:r>
    </w:p>
    <w:p>
      <w:pPr>
        <w:pStyle w:val="12"/>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(2)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before="0" w:beforeLines="0" w:line="240" w:lineRule="auto"/>
        <w:jc w:val="both"/>
        <w:textAlignment w:val="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凡拟参加本次招标项目的供应商所供产品通过ISO9001质量体系认证证书（以上条款证书如果为代理商可提供管材生产厂家的证书复印件加盖公章）</w:t>
      </w:r>
    </w:p>
    <w:p>
      <w:pPr>
        <w:pStyle w:val="12"/>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凡拟参加本次招标项目的供应商须提供“参加政府采购活动前3年内在经营活动中没有重大违法记录的书面声明；</w:t>
      </w:r>
    </w:p>
    <w:p>
      <w:pPr>
        <w:pStyle w:val="12"/>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w:t>
      </w:r>
      <w:r>
        <w:rPr>
          <w:rFonts w:hint="eastAsia" w:ascii="仿宋" w:hAnsi="仿宋" w:eastAsia="仿宋" w:cs="仿宋"/>
          <w:b/>
          <w:color w:val="auto"/>
          <w:sz w:val="28"/>
          <w:szCs w:val="28"/>
          <w:highlight w:val="none"/>
          <w:lang w:val="en-US" w:eastAsia="zh-CN"/>
        </w:rPr>
        <w:t>提供2021年财务审计报告（2022年新成立公司可不提供审计报告但须提供公司财务制度）；</w:t>
      </w:r>
    </w:p>
    <w:p>
      <w:pPr>
        <w:pStyle w:val="12"/>
        <w:spacing w:line="240" w:lineRule="auto"/>
        <w:rPr>
          <w:rFonts w:hint="eastAsia" w:ascii="仿宋" w:hAnsi="仿宋" w:eastAsia="仿宋" w:cs="仿宋"/>
          <w:b/>
          <w:color w:val="000000"/>
          <w:sz w:val="28"/>
          <w:szCs w:val="28"/>
          <w:highlight w:val="none"/>
          <w:lang w:val="en-US" w:eastAsia="zh-CN"/>
        </w:rPr>
      </w:pP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2"/>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2"/>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w:t>
      </w:r>
      <w:r>
        <w:rPr>
          <w:rFonts w:hint="eastAsia" w:ascii="仿宋" w:hAnsi="仿宋" w:eastAsia="仿宋" w:cs="仿宋"/>
          <w:bCs/>
          <w:color w:val="000000"/>
          <w:sz w:val="28"/>
          <w:szCs w:val="28"/>
          <w:highlight w:val="none"/>
          <w:lang w:val="en-US" w:eastAsia="zh-CN"/>
        </w:rPr>
        <w:t>七</w:t>
      </w:r>
      <w:r>
        <w:rPr>
          <w:rFonts w:hint="eastAsia" w:ascii="仿宋" w:hAnsi="仿宋" w:eastAsia="仿宋" w:cs="仿宋"/>
          <w:bCs/>
          <w:color w:val="000000"/>
          <w:sz w:val="28"/>
          <w:szCs w:val="28"/>
          <w:highlight w:val="none"/>
        </w:rPr>
        <w:t>人以上（含</w:t>
      </w:r>
      <w:r>
        <w:rPr>
          <w:rFonts w:hint="eastAsia" w:ascii="仿宋" w:hAnsi="仿宋" w:eastAsia="仿宋" w:cs="仿宋"/>
          <w:bCs/>
          <w:color w:val="000000"/>
          <w:sz w:val="28"/>
          <w:szCs w:val="28"/>
          <w:highlight w:val="none"/>
          <w:lang w:val="en-US" w:eastAsia="zh-CN"/>
        </w:rPr>
        <w:t>7</w:t>
      </w:r>
      <w:r>
        <w:rPr>
          <w:rFonts w:hint="eastAsia" w:ascii="仿宋" w:hAnsi="仿宋" w:eastAsia="仿宋" w:cs="仿宋"/>
          <w:bCs/>
          <w:color w:val="000000"/>
          <w:sz w:val="28"/>
          <w:szCs w:val="28"/>
          <w:highlight w:val="none"/>
        </w:rPr>
        <w:t>人）单数。其中，技术、经济等方面的专家不得少于成员总数的三分之二。开标前随机抽取确定，并在招标结果确定前保密。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24．评标方法（综合评分法）</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24.1综合评分法，是指在最大限度地满足招标文件实质性要求前提下，按照本招标文件中规定的各项因素评审后，以评标总得分最高的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作为中标候选供应商或者中标人的评标方法。</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24.2评分标准与分值构成</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评分标准按商务、技术两个部分确定的评审因素和评分标准分别进行评定，分值构成采用百分制，内容详见详细评审部分。</w:t>
      </w:r>
    </w:p>
    <w:p>
      <w:pPr>
        <w:pStyle w:val="12"/>
        <w:spacing w:line="240" w:lineRule="auto"/>
        <w:rPr>
          <w:rFonts w:cs="仿宋_GB2312"/>
          <w:b/>
          <w:color w:val="000000"/>
          <w:szCs w:val="21"/>
          <w:highlight w:val="none"/>
        </w:rPr>
      </w:pPr>
      <w:r>
        <w:rPr>
          <w:rFonts w:hint="eastAsia" w:cs="仿宋_GB2312"/>
          <w:b/>
          <w:color w:val="000000"/>
          <w:szCs w:val="21"/>
          <w:highlight w:val="none"/>
        </w:rPr>
        <w:t>2、详细评审（满分</w:t>
      </w:r>
      <w:r>
        <w:rPr>
          <w:rFonts w:hint="eastAsia" w:cs="仿宋_GB2312"/>
          <w:b/>
          <w:color w:val="000000"/>
          <w:szCs w:val="21"/>
          <w:highlight w:val="none"/>
          <w:lang w:val="en-US" w:eastAsia="zh-CN"/>
        </w:rPr>
        <w:t>10</w:t>
      </w:r>
      <w:r>
        <w:rPr>
          <w:rFonts w:hint="eastAsia" w:cs="仿宋_GB2312"/>
          <w:b/>
          <w:color w:val="000000"/>
          <w:szCs w:val="21"/>
          <w:highlight w:val="none"/>
        </w:rPr>
        <w:t>0分</w:t>
      </w:r>
      <w:r>
        <w:rPr>
          <w:rFonts w:hint="eastAsia" w:cs="仿宋_GB2312"/>
          <w:b/>
          <w:color w:val="000000"/>
          <w:szCs w:val="21"/>
          <w:highlight w:val="none"/>
          <w:lang w:eastAsia="zh-CN"/>
        </w:rPr>
        <w:t>：</w:t>
      </w:r>
      <w:r>
        <w:rPr>
          <w:rFonts w:hint="eastAsia" w:cs="仿宋_GB2312"/>
          <w:b/>
          <w:color w:val="000000"/>
          <w:szCs w:val="21"/>
          <w:highlight w:val="none"/>
          <w:lang w:val="en-US" w:eastAsia="zh-CN"/>
        </w:rPr>
        <w:t>报价得分40分；商务、技术部分60分</w:t>
      </w:r>
      <w:r>
        <w:rPr>
          <w:rFonts w:hint="eastAsia" w:cs="仿宋_GB2312"/>
          <w:b/>
          <w:color w:val="000000"/>
          <w:szCs w:val="21"/>
          <w:highlight w:val="none"/>
        </w:rPr>
        <w:t>）</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90"/>
        <w:gridCol w:w="1065"/>
        <w:gridCol w:w="69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490" w:type="dxa"/>
            <w:noWrap w:val="0"/>
            <w:vAlign w:val="center"/>
          </w:tcPr>
          <w:p>
            <w:pPr>
              <w:pStyle w:val="12"/>
              <w:spacing w:line="240" w:lineRule="auto"/>
              <w:jc w:val="center"/>
              <w:rPr>
                <w:rFonts w:hint="eastAsia" w:ascii="仿宋" w:hAnsi="仿宋" w:eastAsia="仿宋" w:cs="仿宋"/>
                <w:b/>
                <w:color w:val="000000"/>
                <w:highlight w:val="none"/>
              </w:rPr>
            </w:pPr>
            <w:r>
              <w:rPr>
                <w:rFonts w:hint="eastAsia" w:ascii="仿宋" w:hAnsi="仿宋" w:eastAsia="仿宋" w:cs="仿宋"/>
                <w:b/>
                <w:color w:val="000000"/>
                <w:highlight w:val="none"/>
              </w:rPr>
              <w:t>序号</w:t>
            </w:r>
          </w:p>
        </w:tc>
        <w:tc>
          <w:tcPr>
            <w:tcW w:w="2055" w:type="dxa"/>
            <w:gridSpan w:val="2"/>
            <w:noWrap w:val="0"/>
            <w:vAlign w:val="center"/>
          </w:tcPr>
          <w:p>
            <w:pPr>
              <w:pStyle w:val="12"/>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评分因素</w:t>
            </w:r>
          </w:p>
        </w:tc>
        <w:tc>
          <w:tcPr>
            <w:tcW w:w="690" w:type="dxa"/>
            <w:noWrap w:val="0"/>
            <w:vAlign w:val="center"/>
          </w:tcPr>
          <w:p>
            <w:pPr>
              <w:pStyle w:val="12"/>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分数</w:t>
            </w:r>
          </w:p>
        </w:tc>
        <w:tc>
          <w:tcPr>
            <w:tcW w:w="5998" w:type="dxa"/>
            <w:noWrap w:val="0"/>
            <w:vAlign w:val="center"/>
          </w:tcPr>
          <w:p>
            <w:pPr>
              <w:pStyle w:val="12"/>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12"/>
              <w:spacing w:line="240" w:lineRule="auto"/>
              <w:jc w:val="center"/>
              <w:rPr>
                <w:rFonts w:hint="eastAsia" w:ascii="仿宋" w:hAnsi="仿宋" w:eastAsia="仿宋" w:cs="仿宋"/>
                <w:b/>
                <w:color w:val="000000"/>
                <w:highlight w:val="none"/>
                <w:lang w:val="en-US" w:eastAsia="zh-CN"/>
              </w:rPr>
            </w:pPr>
            <w:r>
              <w:rPr>
                <w:rFonts w:hint="eastAsia" w:ascii="仿宋" w:hAnsi="仿宋" w:eastAsia="仿宋" w:cs="仿宋"/>
                <w:b/>
                <w:color w:val="000000"/>
                <w:highlight w:val="none"/>
                <w:lang w:val="en-US" w:eastAsia="zh-CN"/>
              </w:rPr>
              <w:t>一</w:t>
            </w:r>
          </w:p>
        </w:tc>
        <w:tc>
          <w:tcPr>
            <w:tcW w:w="2745" w:type="dxa"/>
            <w:gridSpan w:val="3"/>
            <w:noWrap w:val="0"/>
            <w:vAlign w:val="center"/>
          </w:tcPr>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报价得分</w:t>
            </w:r>
          </w:p>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40</w:t>
            </w:r>
          </w:p>
        </w:tc>
        <w:tc>
          <w:tcPr>
            <w:tcW w:w="5998" w:type="dxa"/>
            <w:noWrap w:val="0"/>
            <w:vAlign w:val="center"/>
          </w:tcPr>
          <w:p>
            <w:pPr>
              <w:autoSpaceDE w:val="0"/>
              <w:autoSpaceDN w:val="0"/>
              <w:adjustRightInd w:val="0"/>
              <w:spacing w:line="240" w:lineRule="auto"/>
              <w:rPr>
                <w:rFonts w:hint="eastAsia" w:ascii="仿宋" w:hAnsi="仿宋" w:eastAsia="仿宋" w:cs="仿宋_GB2312"/>
                <w:bCs/>
                <w:color w:val="000000"/>
                <w:kern w:val="0"/>
                <w:sz w:val="24"/>
                <w:szCs w:val="24"/>
                <w:highlight w:val="none"/>
              </w:rPr>
            </w:pPr>
            <w:r>
              <w:rPr>
                <w:rFonts w:hint="eastAsia" w:ascii="仿宋" w:hAnsi="仿宋" w:eastAsia="仿宋" w:cs="仿宋_GB2312"/>
                <w:bCs/>
                <w:color w:val="000000"/>
                <w:kern w:val="0"/>
                <w:sz w:val="24"/>
                <w:szCs w:val="24"/>
                <w:highlight w:val="none"/>
              </w:rPr>
              <w:t>以满足采购文件要求且最终报价最低的报价为评标基准价，其价格分为满分</w:t>
            </w:r>
            <w:r>
              <w:rPr>
                <w:rFonts w:hint="eastAsia" w:ascii="仿宋" w:hAnsi="仿宋" w:eastAsia="仿宋" w:cs="仿宋_GB2312"/>
                <w:bCs/>
                <w:color w:val="000000"/>
                <w:kern w:val="0"/>
                <w:sz w:val="24"/>
                <w:szCs w:val="24"/>
                <w:highlight w:val="none"/>
                <w:lang w:val="en-US" w:eastAsia="zh-CN"/>
              </w:rPr>
              <w:t>40</w:t>
            </w:r>
            <w:r>
              <w:rPr>
                <w:rFonts w:hint="eastAsia" w:ascii="仿宋" w:hAnsi="仿宋" w:eastAsia="仿宋" w:cs="仿宋_GB2312"/>
                <w:bCs/>
                <w:color w:val="000000"/>
                <w:kern w:val="0"/>
                <w:sz w:val="24"/>
                <w:szCs w:val="24"/>
                <w:highlight w:val="none"/>
              </w:rPr>
              <w:t>分，其他供应商的价格得分按照下列公式计算：报价得分=（评标基准价/最终报价）×</w:t>
            </w:r>
            <w:r>
              <w:rPr>
                <w:rFonts w:hint="eastAsia" w:ascii="仿宋" w:hAnsi="仿宋" w:eastAsia="仿宋" w:cs="仿宋_GB2312"/>
                <w:bCs/>
                <w:color w:val="000000"/>
                <w:kern w:val="0"/>
                <w:sz w:val="24"/>
                <w:szCs w:val="24"/>
                <w:highlight w:val="none"/>
                <w:lang w:val="en-US" w:eastAsia="zh-CN"/>
              </w:rPr>
              <w:t>40</w:t>
            </w:r>
            <w:r>
              <w:rPr>
                <w:rFonts w:hint="eastAsia" w:ascii="仿宋" w:hAnsi="仿宋" w:eastAsia="仿宋" w:cs="仿宋_GB2312"/>
                <w:bCs/>
                <w:color w:val="000000"/>
                <w:kern w:val="0"/>
                <w:sz w:val="24"/>
                <w:szCs w:val="24"/>
                <w:highlight w:val="none"/>
              </w:rPr>
              <w:t>%×100，报价高于预算价的，按无效报价处理。注：根据《政府采购货物和服务招标投标管理办法》第六十条规定“评标委员会认为</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的报价明显低于其他通过符合性审查</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90" w:type="dxa"/>
            <w:vMerge w:val="restart"/>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二</w:t>
            </w:r>
          </w:p>
          <w:p>
            <w:pPr>
              <w:pStyle w:val="12"/>
              <w:spacing w:line="240" w:lineRule="auto"/>
              <w:jc w:val="center"/>
              <w:rPr>
                <w:rFonts w:hint="eastAsia" w:ascii="仿宋" w:hAnsi="仿宋" w:eastAsia="仿宋" w:cs="仿宋"/>
                <w:bCs/>
                <w:color w:val="000000"/>
                <w:highlight w:val="none"/>
              </w:rPr>
            </w:pPr>
          </w:p>
        </w:tc>
        <w:tc>
          <w:tcPr>
            <w:tcW w:w="990" w:type="dxa"/>
            <w:vMerge w:val="restart"/>
            <w:noWrap w:val="0"/>
            <w:vAlign w:val="center"/>
          </w:tcPr>
          <w:p>
            <w:pPr>
              <w:pStyle w:val="12"/>
              <w:spacing w:line="240" w:lineRule="auto"/>
              <w:jc w:val="center"/>
              <w:rPr>
                <w:rFonts w:hint="default" w:ascii="仿宋" w:hAnsi="仿宋" w:eastAsia="仿宋" w:cs="仿宋"/>
                <w:bCs/>
                <w:color w:val="000000"/>
                <w:highlight w:val="none"/>
                <w:lang w:val="en-US"/>
              </w:rPr>
            </w:pPr>
            <w:r>
              <w:rPr>
                <w:rFonts w:hint="eastAsia" w:ascii="仿宋" w:hAnsi="仿宋" w:eastAsia="仿宋" w:cs="仿宋"/>
                <w:bCs/>
                <w:color w:val="000000"/>
                <w:highlight w:val="none"/>
                <w:lang w:val="en-US" w:eastAsia="zh-CN"/>
              </w:rPr>
              <w:t>商务、技术、部分60分</w:t>
            </w: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bidi="ar-SA"/>
              </w:rPr>
              <w:t>投标人的信誉</w:t>
            </w:r>
          </w:p>
        </w:tc>
        <w:tc>
          <w:tcPr>
            <w:tcW w:w="690" w:type="dxa"/>
            <w:noWrap w:val="0"/>
            <w:vAlign w:val="center"/>
          </w:tcPr>
          <w:p>
            <w:pPr>
              <w:pStyle w:val="12"/>
              <w:spacing w:line="240" w:lineRule="auto"/>
              <w:jc w:val="center"/>
              <w:rPr>
                <w:rFonts w:hint="eastAsia" w:ascii="仿宋" w:hAnsi="仿宋" w:eastAsia="仿宋" w:cs="仿宋"/>
                <w:bCs/>
                <w:color w:val="000000"/>
                <w:highlight w:val="none"/>
                <w:lang w:eastAsia="zh-CN"/>
              </w:rPr>
            </w:pPr>
            <w:r>
              <w:rPr>
                <w:rFonts w:hint="eastAsia" w:ascii="仿宋" w:hAnsi="仿宋" w:eastAsia="仿宋" w:cs="仿宋_GB2312"/>
                <w:bCs/>
                <w:color w:val="000000"/>
                <w:highlight w:val="none"/>
                <w:lang w:val="en-US" w:eastAsia="zh-CN"/>
              </w:rPr>
              <w:t>3</w:t>
            </w:r>
          </w:p>
        </w:tc>
        <w:tc>
          <w:tcPr>
            <w:tcW w:w="5998" w:type="dxa"/>
            <w:noWrap w:val="0"/>
            <w:vAlign w:val="center"/>
          </w:tcPr>
          <w:p>
            <w:pPr>
              <w:pStyle w:val="12"/>
              <w:spacing w:line="240" w:lineRule="auto"/>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rPr>
              <w:t>投标人</w:t>
            </w:r>
            <w:r>
              <w:rPr>
                <w:rFonts w:hint="eastAsia" w:ascii="仿宋" w:hAnsi="仿宋" w:eastAsia="仿宋" w:cs="仿宋"/>
                <w:bCs/>
                <w:color w:val="000000"/>
                <w:highlight w:val="none"/>
                <w:lang w:val="en-US" w:eastAsia="zh-CN"/>
              </w:rPr>
              <w:t>财务资信、银行资信、税务资信优秀得3分，良好得2分，一般的1分。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投标文件制作</w:t>
            </w: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5998" w:type="dxa"/>
            <w:noWrap w:val="0"/>
            <w:vAlign w:val="center"/>
          </w:tcPr>
          <w:p>
            <w:pPr>
              <w:spacing w:line="240" w:lineRule="auto"/>
              <w:rPr>
                <w:rFonts w:hint="default" w:ascii="仿宋" w:hAnsi="仿宋" w:eastAsia="仿宋" w:cs="仿宋"/>
                <w:b/>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投标文件制作：投标文件内容编制完整、格式规范、排列顺序准确，装订整齐、美观，完全符合招标文件要求的得</w:t>
            </w:r>
            <w:r>
              <w:rPr>
                <w:rFonts w:hint="eastAsia" w:ascii="仿宋" w:hAnsi="仿宋" w:eastAsia="仿宋" w:cs="仿宋"/>
                <w:b w:val="0"/>
                <w:bCs/>
                <w:color w:val="000000"/>
                <w:kern w:val="0"/>
                <w:sz w:val="24"/>
                <w:szCs w:val="24"/>
                <w:highlight w:val="none"/>
                <w:lang w:val="en-US" w:eastAsia="zh-CN"/>
              </w:rPr>
              <w:t>3</w:t>
            </w:r>
            <w:r>
              <w:rPr>
                <w:rFonts w:hint="default" w:ascii="仿宋" w:hAnsi="仿宋" w:eastAsia="仿宋" w:cs="仿宋"/>
                <w:b w:val="0"/>
                <w:bCs/>
                <w:color w:val="000000"/>
                <w:kern w:val="0"/>
                <w:sz w:val="24"/>
                <w:szCs w:val="24"/>
                <w:highlight w:val="none"/>
                <w:lang w:val="en-US" w:eastAsia="zh-CN"/>
              </w:rPr>
              <w:t>分</w:t>
            </w:r>
            <w:r>
              <w:rPr>
                <w:rFonts w:hint="eastAsia" w:ascii="仿宋" w:hAnsi="仿宋" w:eastAsia="仿宋" w:cs="仿宋"/>
                <w:b w:val="0"/>
                <w:bCs/>
                <w:color w:val="000000"/>
                <w:kern w:val="0"/>
                <w:sz w:val="24"/>
                <w:szCs w:val="24"/>
                <w:highlight w:val="none"/>
                <w:lang w:val="en-US" w:eastAsia="zh-CN"/>
              </w:rPr>
              <w:t>、良得2分、一般得1分、差不得分</w:t>
            </w:r>
            <w:r>
              <w:rPr>
                <w:rFonts w:hint="default" w:ascii="仿宋" w:hAnsi="仿宋" w:eastAsia="仿宋" w:cs="仿宋"/>
                <w:b w:val="0"/>
                <w:bCs/>
                <w:color w:val="00000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项目业绩</w:t>
            </w: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5998" w:type="dxa"/>
            <w:noWrap w:val="0"/>
            <w:vAlign w:val="center"/>
          </w:tcPr>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近</w:t>
            </w:r>
            <w:r>
              <w:rPr>
                <w:rFonts w:hint="eastAsia" w:ascii="仿宋" w:hAnsi="仿宋" w:eastAsia="仿宋" w:cs="仿宋"/>
                <w:b w:val="0"/>
                <w:bCs/>
                <w:color w:val="000000"/>
                <w:kern w:val="0"/>
                <w:sz w:val="24"/>
                <w:szCs w:val="24"/>
                <w:highlight w:val="none"/>
                <w:lang w:val="en-US" w:eastAsia="zh-CN"/>
              </w:rPr>
              <w:t>三</w:t>
            </w:r>
            <w:r>
              <w:rPr>
                <w:rFonts w:hint="default" w:ascii="仿宋" w:hAnsi="仿宋" w:eastAsia="仿宋" w:cs="仿宋"/>
                <w:b w:val="0"/>
                <w:bCs/>
                <w:color w:val="000000"/>
                <w:kern w:val="0"/>
                <w:sz w:val="24"/>
                <w:szCs w:val="24"/>
                <w:highlight w:val="none"/>
                <w:lang w:val="en-US" w:eastAsia="zh-CN"/>
              </w:rPr>
              <w:t>年具有</w:t>
            </w:r>
            <w:r>
              <w:rPr>
                <w:rFonts w:hint="eastAsia" w:ascii="仿宋" w:hAnsi="仿宋" w:eastAsia="仿宋" w:cs="仿宋"/>
                <w:b w:val="0"/>
                <w:bCs/>
                <w:color w:val="000000"/>
                <w:kern w:val="0"/>
                <w:sz w:val="24"/>
                <w:szCs w:val="24"/>
                <w:highlight w:val="none"/>
                <w:lang w:val="en-US" w:eastAsia="zh-CN"/>
              </w:rPr>
              <w:t>相似</w:t>
            </w:r>
            <w:r>
              <w:rPr>
                <w:rFonts w:hint="default" w:ascii="仿宋" w:hAnsi="仿宋" w:eastAsia="仿宋" w:cs="仿宋"/>
                <w:b w:val="0"/>
                <w:bCs/>
                <w:color w:val="000000"/>
                <w:kern w:val="0"/>
                <w:sz w:val="24"/>
                <w:szCs w:val="24"/>
                <w:highlight w:val="none"/>
                <w:lang w:val="en-US" w:eastAsia="zh-CN"/>
              </w:rPr>
              <w:t>业绩</w:t>
            </w:r>
            <w:r>
              <w:rPr>
                <w:rFonts w:hint="eastAsia" w:ascii="仿宋" w:hAnsi="仿宋" w:eastAsia="仿宋" w:cs="仿宋"/>
                <w:b w:val="0"/>
                <w:bCs/>
                <w:color w:val="000000"/>
                <w:kern w:val="0"/>
                <w:sz w:val="24"/>
                <w:szCs w:val="24"/>
                <w:highlight w:val="none"/>
                <w:lang w:val="en-US" w:eastAsia="zh-CN"/>
              </w:rPr>
              <w:t>，每提供一个业绩得1分，总共6分。</w:t>
            </w:r>
          </w:p>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评分认定标准：供应商须提供相关业绩合同和中标通知书证明材料的复印件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2"/>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项目实施方案</w:t>
            </w:r>
          </w:p>
          <w:p>
            <w:pPr>
              <w:pStyle w:val="12"/>
              <w:spacing w:line="240" w:lineRule="auto"/>
              <w:jc w:val="center"/>
              <w:rPr>
                <w:rFonts w:hint="default" w:ascii="仿宋" w:hAnsi="仿宋" w:eastAsia="仿宋" w:cs="仿宋"/>
                <w:bCs/>
                <w:color w:val="000000"/>
                <w:highlight w:val="none"/>
                <w:lang w:val="en-US" w:eastAsia="zh-CN"/>
              </w:rPr>
            </w:pPr>
          </w:p>
          <w:p>
            <w:pPr>
              <w:pStyle w:val="12"/>
              <w:spacing w:line="240" w:lineRule="auto"/>
              <w:jc w:val="center"/>
              <w:rPr>
                <w:rFonts w:hint="default" w:ascii="仿宋" w:hAnsi="仿宋" w:eastAsia="仿宋" w:cs="仿宋"/>
                <w:bCs/>
                <w:color w:val="000000"/>
                <w:highlight w:val="none"/>
                <w:lang w:val="en-US" w:eastAsia="zh-CN"/>
              </w:rPr>
            </w:pP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28</w:t>
            </w:r>
          </w:p>
        </w:tc>
        <w:tc>
          <w:tcPr>
            <w:tcW w:w="5998"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 xml:space="preserve">根据各投标人提供的项目整体实施方案进行评审： </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 xml:space="preserve">1、有完善的管理架构、有详细的施工计划、质量服务计划表、专业人员配备、机械设备使用、资金使用计划及其保证措施，计划详细、合理、可行，得20-28分； </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 xml:space="preserve">2、有较好的管理架构、有较详细的质量服务计划表、专业人员配备、机械设备使用、资金使用计划及其保证措施，计划基本合理可行，措施基本得当，得 10-19 分； </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 xml:space="preserve">3、有一般的管理架构、有基本的质量服务计划表、专业人员配备、机械设备使用、资金使用计划不全，有漏项，得1-9分； </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4、方案较差或不提供，得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2"/>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w:t>
            </w:r>
            <w:r>
              <w:rPr>
                <w:rFonts w:hint="eastAsia" w:ascii="仿宋" w:hAnsi="仿宋" w:eastAsia="仿宋" w:cs="仿宋"/>
                <w:bCs/>
                <w:color w:val="000000"/>
                <w:highlight w:val="none"/>
                <w:lang w:val="en-US" w:eastAsia="zh-CN"/>
              </w:rPr>
              <w:t>响应时效</w:t>
            </w:r>
            <w:r>
              <w:rPr>
                <w:rFonts w:hint="default" w:ascii="仿宋" w:hAnsi="仿宋" w:eastAsia="仿宋" w:cs="仿宋"/>
                <w:bCs/>
                <w:color w:val="000000"/>
                <w:highlight w:val="none"/>
                <w:lang w:val="en-US" w:eastAsia="zh-CN"/>
              </w:rPr>
              <w:t>和专业售后人员</w:t>
            </w: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pStyle w:val="12"/>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评标委员会根据投标文件中对售后响应时效性与相关证明资料进行综合比较，优得3分、良得2分、一般的得1分；满分3分；</w:t>
            </w:r>
          </w:p>
          <w:p>
            <w:pPr>
              <w:pStyle w:val="12"/>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售后服务专业人员每提供一人得0.5分，满分7分；</w:t>
            </w:r>
          </w:p>
          <w:p>
            <w:pPr>
              <w:pStyle w:val="12"/>
              <w:spacing w:line="240" w:lineRule="auto"/>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（需提供相关社保及劳务合同证明材料）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2"/>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5998"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对投标人提供的</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进行评分：</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1、</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rPr>
              <w:t>阐述完善，内容具有针对性、合理性和可行性</w:t>
            </w:r>
            <w:r>
              <w:rPr>
                <w:rFonts w:hint="eastAsia" w:ascii="仿宋" w:hAnsi="仿宋" w:eastAsia="仿宋" w:cs="仿宋"/>
                <w:bCs/>
                <w:color w:val="000000"/>
                <w:highlight w:val="none"/>
                <w:lang w:eastAsia="zh-CN"/>
              </w:rPr>
              <w:t>完整性</w:t>
            </w:r>
            <w:r>
              <w:rPr>
                <w:rFonts w:hint="eastAsia" w:ascii="仿宋" w:hAnsi="仿宋" w:eastAsia="仿宋" w:cs="仿宋"/>
                <w:bCs/>
                <w:color w:val="000000"/>
                <w:highlight w:val="none"/>
              </w:rPr>
              <w:t>且完全适用且优于本项目用户需求的，得</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2、</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rPr>
              <w:t>阐述完善，内容基本合理、具有一定可行性且</w:t>
            </w:r>
            <w:r>
              <w:rPr>
                <w:rFonts w:hint="eastAsia" w:ascii="仿宋" w:hAnsi="仿宋" w:eastAsia="仿宋" w:cs="仿宋"/>
                <w:bCs/>
                <w:color w:val="000000"/>
                <w:highlight w:val="none"/>
                <w:lang w:eastAsia="zh-CN"/>
              </w:rPr>
              <w:t>基本</w:t>
            </w:r>
            <w:r>
              <w:rPr>
                <w:rFonts w:hint="eastAsia" w:ascii="仿宋" w:hAnsi="仿宋" w:eastAsia="仿宋" w:cs="仿宋"/>
                <w:bCs/>
                <w:color w:val="000000"/>
                <w:highlight w:val="none"/>
              </w:rPr>
              <w:t>适用本项目用户需求的，得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3、</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rPr>
              <w:t>阐述不完善或内容针对性、合理性不足且有不适用本项目用户需求的，得</w:t>
            </w:r>
            <w:r>
              <w:rPr>
                <w:rFonts w:hint="eastAsia" w:ascii="仿宋" w:hAnsi="仿宋" w:eastAsia="仿宋" w:cs="仿宋"/>
                <w:bCs/>
                <w:color w:val="000000"/>
                <w:highlight w:val="none"/>
                <w:lang w:val="en-US" w:eastAsia="zh-CN"/>
              </w:rPr>
              <w:t>1</w:t>
            </w:r>
            <w:r>
              <w:rPr>
                <w:rFonts w:hint="eastAsia" w:ascii="仿宋" w:hAnsi="仿宋" w:eastAsia="仿宋" w:cs="仿宋"/>
                <w:bCs/>
                <w:color w:val="000000"/>
                <w:highlight w:val="none"/>
              </w:rPr>
              <w:t>分；</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4、不提供相关材料或方案、内容明显缺失的，得0分。（需提供承诺函</w:t>
            </w:r>
            <w:r>
              <w:rPr>
                <w:rFonts w:hint="eastAsia" w:ascii="仿宋" w:hAnsi="仿宋" w:eastAsia="仿宋" w:cs="仿宋"/>
                <w:bCs/>
                <w:color w:val="000000"/>
                <w:highlight w:val="none"/>
                <w:lang w:val="en-US" w:eastAsia="zh-CN"/>
              </w:rPr>
              <w:t>与设计安装规划方案</w:t>
            </w:r>
            <w:r>
              <w:rPr>
                <w:rFonts w:hint="eastAsia" w:ascii="仿宋" w:hAnsi="仿宋" w:eastAsia="仿宋" w:cs="仿宋"/>
                <w:bCs/>
                <w:color w:val="000000"/>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90"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2"/>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应急服务综合比较评审</w:t>
            </w:r>
          </w:p>
        </w:tc>
        <w:tc>
          <w:tcPr>
            <w:tcW w:w="690"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5998" w:type="dxa"/>
            <w:noWrap w:val="0"/>
            <w:vAlign w:val="center"/>
          </w:tcPr>
          <w:p>
            <w:pPr>
              <w:pStyle w:val="12"/>
              <w:spacing w:line="240" w:lineRule="auto"/>
              <w:rPr>
                <w:rFonts w:hint="eastAsia" w:ascii="仿宋" w:hAnsi="仿宋" w:eastAsia="仿宋" w:cs="仿宋"/>
                <w:bCs/>
                <w:color w:val="000000"/>
                <w:highlight w:val="none"/>
              </w:rPr>
            </w:pPr>
            <w:bookmarkStart w:id="206" w:name="_GoBack"/>
            <w:r>
              <w:rPr>
                <w:rFonts w:hint="eastAsia" w:ascii="仿宋" w:hAnsi="仿宋" w:eastAsia="仿宋" w:cs="仿宋"/>
                <w:bCs/>
                <w:color w:val="000000"/>
                <w:highlight w:val="none"/>
              </w:rPr>
              <w:t>根据供应商提供的应急服务方案的详尽程度、科学性、合理性进行评审，优得</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分、良</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分，一般1分， 差0分。</w:t>
            </w:r>
            <w:bookmarkEnd w:id="206"/>
          </w:p>
        </w:tc>
      </w:tr>
    </w:tbl>
    <w:p>
      <w:pPr>
        <w:pStyle w:val="12"/>
        <w:spacing w:line="240" w:lineRule="auto"/>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3、评标标准</w:t>
      </w:r>
    </w:p>
    <w:tbl>
      <w:tblPr>
        <w:tblStyle w:val="14"/>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2"/>
              <w:spacing w:line="240" w:lineRule="auto"/>
              <w:jc w:val="center"/>
              <w:rPr>
                <w:rFonts w:hint="eastAsia" w:ascii="仿宋" w:hAnsi="仿宋" w:eastAsia="仿宋" w:cs="仿宋"/>
                <w:bCs/>
                <w:color w:val="000000"/>
                <w:highlight w:val="none"/>
              </w:rPr>
            </w:pPr>
          </w:p>
        </w:tc>
        <w:tc>
          <w:tcPr>
            <w:tcW w:w="9143" w:type="dxa"/>
            <w:noWrap w:val="0"/>
            <w:vAlign w:val="center"/>
          </w:tcPr>
          <w:p>
            <w:pPr>
              <w:pStyle w:val="12"/>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身份证或</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提供通过ISO9001质量体系认证证书（以上条款证书如果为代理商可提供管材生产厂家的证书复印件加盖公章）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提供2021年财务审计报告（2022年新成立公司可不提供审计报告但须提供公司财务制度）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pStyle w:val="12"/>
              <w:spacing w:line="240" w:lineRule="auto"/>
              <w:rPr>
                <w:rFonts w:hint="eastAsia" w:ascii="仿宋" w:hAnsi="仿宋" w:eastAsia="仿宋" w:cs="宋体"/>
                <w:color w:val="000000"/>
                <w:highlight w:val="none"/>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投标文件供应商代表人签章和供应商公章是否按照招标文件要求签章的；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投标文件有（无）供应商代表签字，或有（无）供应商代表有效委托书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default"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w:t>
            </w:r>
            <w:r>
              <w:rPr>
                <w:rFonts w:hint="eastAsia" w:ascii="仿宋" w:hAnsi="仿宋" w:eastAsia="仿宋" w:cs="宋体"/>
                <w:color w:val="000000"/>
                <w:kern w:val="0"/>
                <w:sz w:val="24"/>
                <w:szCs w:val="24"/>
                <w:highlight w:val="none"/>
                <w:lang w:val="en-US" w:eastAsia="zh-CN" w:bidi="ar-SA"/>
              </w:rPr>
              <w:t>是否具有厂家授权证明；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2"/>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2"/>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投标文件总质保期限是否符合招标文件要求</w:t>
            </w:r>
          </w:p>
        </w:tc>
      </w:tr>
    </w:tbl>
    <w:p>
      <w:pPr>
        <w:pStyle w:val="12"/>
        <w:spacing w:line="240" w:lineRule="auto"/>
        <w:rPr>
          <w:rFonts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2"/>
        <w:spacing w:line="240" w:lineRule="auto"/>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2"/>
        <w:spacing w:line="240" w:lineRule="auto"/>
        <w:ind w:firstLine="2670" w:firstLineChars="950"/>
        <w:rPr>
          <w:rFonts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p>
    <w:p>
      <w:pPr>
        <w:pStyle w:val="12"/>
        <w:spacing w:line="240" w:lineRule="auto"/>
        <w:ind w:firstLine="2951" w:firstLineChars="1050"/>
        <w:rPr>
          <w:rFonts w:hint="eastAsia" w:ascii="仿宋" w:hAnsi="仿宋" w:eastAsia="仿宋" w:cs="仿宋"/>
          <w:b/>
          <w:color w:val="000000"/>
          <w:sz w:val="28"/>
          <w:szCs w:val="28"/>
          <w:highlight w:val="none"/>
        </w:rPr>
      </w:pPr>
    </w:p>
    <w:p>
      <w:pPr>
        <w:pStyle w:val="12"/>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2"/>
        <w:spacing w:line="240" w:lineRule="auto"/>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numPr>
          <w:ilvl w:val="0"/>
          <w:numId w:val="7"/>
        </w:num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材料要求、规格及需求表</w:t>
      </w:r>
    </w:p>
    <w:p>
      <w:pPr>
        <w:widowControl/>
        <w:spacing w:line="360" w:lineRule="auto"/>
        <w:ind w:right="703"/>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供货要求</w:t>
      </w:r>
    </w:p>
    <w:p>
      <w:pPr>
        <w:spacing w:line="320" w:lineRule="exact"/>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招标人对本项目材料采购的供货要求（包括：需求材料的名称、规格、型号、数量及单位、交货期、交货地点、质量标准、验收标准、相关服务要求等）是合同文件的组成文件之一，投标人所供的材料必须满足或符合本章所列的对提供材料的供货要求。 </w:t>
      </w:r>
    </w:p>
    <w:p>
      <w:pPr>
        <w:pStyle w:val="2"/>
        <w:rPr>
          <w:rFonts w:hint="eastAsia" w:ascii="仿宋" w:hAnsi="仿宋" w:eastAsia="仿宋" w:cs="仿宋"/>
          <w:bCs/>
          <w:color w:val="000000"/>
          <w:kern w:val="0"/>
          <w:sz w:val="28"/>
          <w:szCs w:val="28"/>
          <w:highlight w:val="none"/>
          <w:lang w:val="en-US" w:eastAsia="zh-CN" w:bidi="ar-SA"/>
        </w:rPr>
      </w:pPr>
    </w:p>
    <w:p>
      <w:pPr>
        <w:pStyle w:val="2"/>
        <w:rPr>
          <w:rFonts w:hint="default" w:ascii="仿宋" w:hAnsi="仿宋" w:eastAsia="仿宋" w:cs="仿宋"/>
          <w:bCs/>
          <w:color w:val="000000"/>
          <w:kern w:val="0"/>
          <w:sz w:val="160"/>
          <w:szCs w:val="160"/>
          <w:highlight w:val="none"/>
          <w:lang w:val="en-US" w:eastAsia="zh-CN" w:bidi="ar-SA"/>
        </w:rPr>
      </w:pPr>
      <w:r>
        <w:rPr>
          <w:rFonts w:hint="eastAsia" w:ascii="仿宋" w:hAnsi="仿宋" w:eastAsia="仿宋" w:cs="仿宋"/>
          <w:bCs/>
          <w:color w:val="000000"/>
          <w:kern w:val="0"/>
          <w:sz w:val="72"/>
          <w:szCs w:val="72"/>
          <w:highlight w:val="none"/>
          <w:lang w:val="en-US" w:eastAsia="zh-CN" w:bidi="ar-SA"/>
        </w:rPr>
        <w:t>(图纸详见附件)</w:t>
      </w:r>
    </w:p>
    <w:p>
      <w:pPr>
        <w:spacing w:line="320" w:lineRule="exact"/>
        <w:jc w:val="center"/>
        <w:rPr>
          <w:rFonts w:hint="eastAsia" w:ascii="仿宋" w:hAnsi="仿宋" w:eastAsia="仿宋" w:cs="仿宋"/>
          <w:bCs/>
          <w:color w:val="000000"/>
          <w:kern w:val="0"/>
          <w:sz w:val="28"/>
          <w:szCs w:val="28"/>
          <w:highlight w:val="none"/>
          <w:lang w:val="en-US" w:eastAsia="zh-CN" w:bidi="ar-SA"/>
        </w:rPr>
      </w:pPr>
      <w:bookmarkStart w:id="38" w:name="_Toc96699"/>
      <w:r>
        <w:rPr>
          <w:rFonts w:hint="eastAsia" w:ascii="仿宋" w:hAnsi="仿宋" w:eastAsia="仿宋" w:cs="仿宋"/>
          <w:bCs/>
          <w:color w:val="000000"/>
          <w:kern w:val="0"/>
          <w:sz w:val="28"/>
          <w:szCs w:val="28"/>
          <w:highlight w:val="none"/>
          <w:lang w:val="en-US" w:eastAsia="zh-CN" w:bidi="ar-SA"/>
        </w:rPr>
        <w:br w:type="page"/>
      </w:r>
      <w:r>
        <w:rPr>
          <w:rFonts w:hint="eastAsia" w:ascii="仿宋" w:hAnsi="仿宋" w:eastAsia="仿宋" w:cs="仿宋"/>
          <w:bCs/>
          <w:color w:val="000000"/>
          <w:kern w:val="0"/>
          <w:sz w:val="28"/>
          <w:szCs w:val="28"/>
          <w:highlight w:val="none"/>
          <w:lang w:val="en-US" w:eastAsia="zh-CN" w:bidi="ar-SA"/>
        </w:rPr>
        <w:t>一、项目概况及总体要求</w:t>
      </w:r>
      <w:bookmarkEnd w:id="38"/>
    </w:p>
    <w:p>
      <w:pPr>
        <w:spacing w:line="360" w:lineRule="exact"/>
        <w:jc w:val="center"/>
        <w:rPr>
          <w:rFonts w:hint="eastAsia" w:ascii="仿宋" w:hAnsi="仿宋" w:eastAsia="仿宋" w:cs="仿宋"/>
          <w:bCs/>
          <w:color w:val="000000"/>
          <w:kern w:val="0"/>
          <w:sz w:val="28"/>
          <w:szCs w:val="28"/>
          <w:highlight w:val="none"/>
          <w:lang w:val="en-US" w:eastAsia="zh-CN" w:bidi="ar-SA"/>
        </w:rPr>
      </w:pPr>
      <w:bookmarkStart w:id="39" w:name="_Toc96700"/>
      <w:r>
        <w:rPr>
          <w:rFonts w:hint="eastAsia" w:ascii="仿宋" w:hAnsi="仿宋" w:eastAsia="仿宋" w:cs="仿宋"/>
          <w:bCs/>
          <w:color w:val="000000"/>
          <w:kern w:val="0"/>
          <w:sz w:val="28"/>
          <w:szCs w:val="28"/>
          <w:highlight w:val="none"/>
          <w:lang w:val="en-US" w:eastAsia="zh-CN" w:bidi="ar-SA"/>
        </w:rPr>
        <w:t>1、一般规定</w:t>
      </w:r>
    </w:p>
    <w:p>
      <w:pPr>
        <w:pageBreakBefore w:val="0"/>
        <w:widowControl w:val="0"/>
        <w:kinsoku/>
        <w:wordWrap/>
        <w:overflowPunct/>
        <w:topLinePunct w:val="0"/>
        <w:autoSpaceDE/>
        <w:bidi w:val="0"/>
        <w:spacing w:line="300" w:lineRule="atLeas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1.1工程概况</w:t>
      </w:r>
    </w:p>
    <w:p>
      <w:pPr>
        <w:pageBreakBefore w:val="0"/>
        <w:widowControl w:val="0"/>
        <w:kinsoku/>
        <w:wordWrap/>
        <w:overflowPunct/>
        <w:topLinePunct w:val="0"/>
        <w:autoSpaceDE/>
        <w:bidi w:val="0"/>
        <w:spacing w:line="300" w:lineRule="atLeas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1.1.1地理位置</w:t>
      </w:r>
    </w:p>
    <w:p>
      <w:pPr>
        <w:keepNext w:val="0"/>
        <w:keepLines w:val="0"/>
        <w:pageBreakBefore w:val="0"/>
        <w:widowControl w:val="0"/>
        <w:kinsoku/>
        <w:wordWrap/>
        <w:overflowPunct/>
        <w:topLinePunct w:val="0"/>
        <w:autoSpaceDE/>
        <w:autoSpaceDN/>
        <w:bidi w:val="0"/>
        <w:adjustRightInd/>
        <w:snapToGrid/>
        <w:spacing w:line="300" w:lineRule="atLeast"/>
        <w:ind w:firstLine="560" w:firstLineChars="200"/>
        <w:textAlignment w:val="auto"/>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策勒县位于新疆南部，昆仑山北麓，塔克拉玛干沙漠南缘，东与于田县接壤、西与洛浦县相邻，南与西藏自治区交界，北与阿克苏地区接壤，地理坐标介于东经 80°03´~82° 11´，北纬 35° 18´~39° 30´，总面积31591.6km'，耕地面积29.46万亩。辖6乡2镇，123个行政村，386个村民小组:总人口16.8万人。</w:t>
      </w:r>
    </w:p>
    <w:p>
      <w:pPr>
        <w:keepNext w:val="0"/>
        <w:keepLines w:val="0"/>
        <w:pageBreakBefore w:val="0"/>
        <w:widowControl w:val="0"/>
        <w:kinsoku/>
        <w:wordWrap/>
        <w:overflowPunct/>
        <w:topLinePunct w:val="0"/>
        <w:autoSpaceDE/>
        <w:autoSpaceDN/>
        <w:bidi w:val="0"/>
        <w:adjustRightInd/>
        <w:snapToGrid/>
        <w:spacing w:line="300" w:lineRule="atLeast"/>
        <w:ind w:firstLine="560" w:firstLineChars="200"/>
        <w:textAlignment w:val="auto"/>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博斯坦乡位于策勒县城东南，距县城100公里（直线88公里），最低海拔1600米，最高海拔6280米，平均海拔2600多米，全乡总面积3322平方公里，可利用耕地1.73亩，草场面积48万亩（夏草场18万亩，冬草场30万亩）。制约该乡经济发展的主要因素之一是水资源利用率较低，现有水资源未能充分开发利用。</w:t>
      </w:r>
    </w:p>
    <w:p>
      <w:pPr>
        <w:keepNext w:val="0"/>
        <w:keepLines w:val="0"/>
        <w:pageBreakBefore w:val="0"/>
        <w:widowControl w:val="0"/>
        <w:kinsoku/>
        <w:wordWrap/>
        <w:overflowPunct/>
        <w:topLinePunct w:val="0"/>
        <w:autoSpaceDE/>
        <w:autoSpaceDN/>
        <w:bidi w:val="0"/>
        <w:adjustRightInd/>
        <w:snapToGrid/>
        <w:spacing w:line="300" w:lineRule="atLeast"/>
        <w:ind w:firstLine="560" w:firstLineChars="200"/>
        <w:textAlignment w:val="auto"/>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项目区位于博斯坦乡拉哈水库下游，属山前洪积一冲积扇区，海拔1950-2010m左右，地热从南向北倾斜纵地20～30%左右，项目区土地性质为其他草地。草场水源采用拉哈水库作为水源，拉哈水库引蓄水源是阿克塞音河。项目区土壤种类较为单一，为砂盖砾土壤类型，沉积物以洪冲积为主、风积物为辅。表层以风积砂为主的砂土，下部为砾石地层，基本为极轻盐渍化土壤。土壤沙性高，通透性能好，供肥力强但养份积累少，适宜种植紫花苜蓿。目前项目区植被以蒲草,驼绒葱，猴子草为主的数种草本植物，覆盖率达30%以上。</w:t>
      </w:r>
    </w:p>
    <w:p>
      <w:pPr>
        <w:pageBreakBefore w:val="0"/>
        <w:widowControl w:val="0"/>
        <w:kinsoku/>
        <w:wordWrap/>
        <w:overflowPunct/>
        <w:topLinePunct w:val="0"/>
        <w:autoSpaceDE/>
        <w:bidi w:val="0"/>
        <w:spacing w:line="300" w:lineRule="atLeas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1.1.2工程规模</w:t>
      </w:r>
    </w:p>
    <w:p>
      <w:pPr>
        <w:pageBreakBefore w:val="0"/>
        <w:widowControl w:val="0"/>
        <w:kinsoku/>
        <w:wordWrap/>
        <w:overflowPunct/>
        <w:topLinePunct w:val="0"/>
        <w:autoSpaceDE/>
        <w:bidi w:val="0"/>
        <w:spacing w:line="300" w:lineRule="atLeast"/>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项目区总面积 1.59 万亩，灌溉面积 1.55 万亩，共分为 25 个田间系统，均为自压固定式管道喷灌，田间系统面积均为 620 亩，系统设计流量为140.16m³/h。场外干管供水流量为 0.84m³ /s。</w:t>
      </w:r>
    </w:p>
    <w:p>
      <w:pPr>
        <w:pageBreakBefore w:val="0"/>
        <w:widowControl w:val="0"/>
        <w:kinsoku/>
        <w:wordWrap/>
        <w:overflowPunct/>
        <w:topLinePunct w:val="0"/>
        <w:autoSpaceDE/>
        <w:bidi w:val="0"/>
        <w:spacing w:line="300" w:lineRule="atLeas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1.1.3工程地质</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1.1.3.1 地形地貌</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（一）地形、地貌</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项目区地处昆仑山山脉西段北部，阿克萨依河冲洪积扇。策勒县地形地貌受北西向构造的控制与影响，地貌上自南向北形成阶梯状依次降低的阶梯状景观地形。地势为南高北低，由南向北分别为中高山区、山前冲洪积砾质平原、冲洪积细土平原、风积区等地貌单元。</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中高山区:位于项目区南侧，为昆仑山。该区山体走向NWW，地势南高北低。山脊海拔高程3000~5000m，山顶终年积雪。北坡山顶高程为2000~3000m,山体基岩裸露;冲沟发育，地形上形成深山峡谷，两岸山势陡峭。</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山前冲洪积砾质平原区:位于昆仑山北麓，地形较平坦开阔，植被不发育。地势为南高北低，海拔高程1400~2000m。阿克萨依河由南向北流，河床宽0.5~1km，两岸发育Ⅰ～Ⅲ级阶地，比高3.0~7.Om。项目区主要位于该平原区。</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冲洪积细粒土平原区:为阿克萨依河、喀拉苏河的冲洪积平原，为农业灌溉区。地势为西南高，东北低。地形平坦，海拔高程1300m~1450m。多分布耕地及居民区，和田县城位于该平原中部。灌区渠道沿线基本分布树林，大部分均有伴渠路；由于受河流及沙漠影响，微地貌较为复杂，多处可见到堆积的沙丘及沙包，局部有沼泽地。</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风积沙漠区:为塔克拉玛干沙漠，东西长约1000km，南北宽约400km，是中国最大的沙漠。地势为南高北低，海拔高程1200m~1350m。地势较平坦开阔，部分发育沙丘，比高10~50m不等。</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本项目区属于风蚀地貌类型区。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1.1.3.2 结论及建议</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1、工程区处于地处昆仑山北麓、塔里木盆地西南，大地构造单元上位于塔里木地台－和田凸起(Ⅸ54-5)中，构造不发育。仅在和田地区策勒县南部发育和田隐伏断层（F1），晚更新世以来仍有较强的活动性。</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依据《中国地震动参数区划图&lt;GB18306-2015&gt;》中的  1：400 万《中国地震动峰值加速度区划图》，项目区及附近地震动峰值加速度为 0.20g，地震烈度属 8 级，属地壳稳定性次不稳定区。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2、勘察外业期间，拟建场地周边除拉哈水库外无其它地表水分布，勘探深度 7.0m深度范围内未见地下水分布。地表水对混凝土具中等腐蚀性，对钢筋混凝土结构中的钢筋具弱腐蚀性，地表水对钢结构具有中等腐蚀性。场地水硫酸盐环境侵蚀程度为轻度。</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3、拟建引水闸、K0+000～K7+800 段干管、K8+962～K15+962 段干管、一分干～五分干、水池-1、水池-3 工程场地地层主要为卵石，埋深 0.6～1.0m，最大揭露厚度6.4m，青灰色，稍湿，中密，无湿陷，无液化性，无冻胀性，渗透系数 7.62×10-2cm/s，强透水工程地质条件较好，地基允许承载力特征值为300kPa，压缩模量值为30.0MPa，粘聚2kPa，内摩擦角 35°，砼基础与地基土摩擦系数 0.4～0.5。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4、拟建 K7+800～K8+962 段干管、水池-2 工程场地地层上部为粉砂，埋深 0.50～ 0.70m，一般厚度 4.3～5.5m，黄褐色，稍湿，稍密～中密，无湿陷性，无液化性，具冻胀性，渗透系数 8.61×10-4cm/s，中等透水，粘聚力 3kPa，内摩擦角 20°，承载力特征值为 120kPa，压缩模量值为 8.0MPa；下部为卵石，埋深 5.5～6.0m，最大揭露厚度 1.0m，青灰色，稍湿，中密，无湿陷，无液化性，无冻胀性，渗透系数 7.62×10-2cm/s，强透水，工程地质条件较好，地基允许承载力特征值为 300kPa，压缩模量值为30.0MPa，粘聚力 2kPa，内摩擦角 35°。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5、拟建工程场地地基土为非盐渍土，地基土中含盐量小于 0.30%，设计及施工时可不考虑盐胀性、溶陷性对本工程的影响，仅考虑腐蚀性的影响。根据相关规范及土化分试验结果，场地土对混凝土结构有微腐蚀性，混凝土结构中的钢筋有弱腐蚀性。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6、依据试验结果，结合工程地质比拟法，建议粉砂层的临时开挖边坡取值为1:1.0～1:1.25,卵石层的临时开挖边坡取值为 1:0.75～1:1.0。引水闸设计时根据基础砼与粉土的接触面抗剪强度建议值进行稳定性验算。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7、所选料场储量满足设计需求，作为填筑料，各项指标满足技术要求，可作为渠道的防冻垫层料，及浆砌石用。混凝土粗、细骨料各项指标可满足混凝土用骨料技术要求。该地区料场具潜在碱活性，建议采用低碱水泥或掺粉煤灰抑制其碱活性。 </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1.1.5通信条件</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   工程区移动通讯网络全覆盖，也可与当地电信部门联系就近破口拉专用通讯线至工地，并在工地建立程控交换机系统，供施工期对外和场内通讯联系。</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1.1.6交通条件</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策勒县距离和田地区首府和田市 97km，西距洛浦县城约 70km，东距于田县城约70km，距乌鲁木齐市 1415km。315 国道横贯县境。策勒县公路总里程 2662km，乡村公路通车里程 1860km，通达率 48.84%，66 个村通公共交通。</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1.1.7水利工程现状</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阿克塞音河流域是一个独立的灌区，近年来，流域内水利建设投入较大，主要为灌区的农田基本建设、灌溉渠系的建设等，但基础设施仍然较薄弱。流域尚无可调蓄的控制性水利枢纽工程，现状水利工程主要有抗旱应急输水工程、平原水库工程、引水渠首、输水渠道等。</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1.1.8电力</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博斯坦乡电网覆盖了达到 100%。</w:t>
      </w:r>
    </w:p>
    <w:p>
      <w:pPr>
        <w:pStyle w:val="8"/>
        <w:pageBreakBefore w:val="0"/>
        <w:widowControl w:val="0"/>
        <w:kinsoku/>
        <w:wordWrap/>
        <w:overflowPunct/>
        <w:topLinePunct w:val="0"/>
        <w:autoSpaceDE/>
        <w:bidi w:val="0"/>
        <w:spacing w:line="300" w:lineRule="atLeast"/>
        <w:ind w:left="238" w:right="512" w:firstLine="48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上述导流及排水方案仅供投标人参考，不能作为投标人投标报价的决定因素和实际施工时的导流及排水方案，投标人应根据招标文件提供及踏勘现场所掌握的有关水文、地质资料、信息自行决定导流及排水方式。无论投标人是否采用（或参考）此方案，招标人（或招标代理人）对此不负任何责任。</w:t>
      </w:r>
    </w:p>
    <w:p>
      <w:pPr>
        <w:spacing w:line="320" w:lineRule="exact"/>
        <w:rPr>
          <w:rFonts w:hint="eastAsia" w:ascii="仿宋" w:hAnsi="仿宋" w:eastAsia="仿宋" w:cs="仿宋"/>
          <w:bCs/>
          <w:color w:val="000000"/>
          <w:kern w:val="0"/>
          <w:sz w:val="28"/>
          <w:szCs w:val="28"/>
          <w:highlight w:val="none"/>
          <w:lang w:val="en-US" w:eastAsia="zh-CN" w:bidi="ar-SA"/>
        </w:rPr>
      </w:pPr>
    </w:p>
    <w:p>
      <w:pPr>
        <w:spacing w:line="320" w:lineRule="exact"/>
        <w:rPr>
          <w:rFonts w:hint="eastAsia" w:ascii="仿宋" w:hAnsi="仿宋" w:eastAsia="仿宋" w:cs="仿宋"/>
          <w:bCs/>
          <w:color w:val="000000"/>
          <w:kern w:val="0"/>
          <w:sz w:val="28"/>
          <w:szCs w:val="28"/>
          <w:highlight w:val="none"/>
          <w:lang w:val="en-US" w:eastAsia="zh-CN" w:bidi="ar-SA"/>
        </w:rPr>
      </w:pPr>
    </w:p>
    <w:p>
      <w:pPr>
        <w:spacing w:line="360" w:lineRule="auto"/>
        <w:jc w:val="both"/>
        <w:rPr>
          <w:rFonts w:hint="eastAsia" w:ascii="仿宋" w:hAnsi="仿宋" w:eastAsia="仿宋" w:cs="仿宋"/>
          <w:bCs/>
          <w:color w:val="000000"/>
          <w:kern w:val="0"/>
          <w:sz w:val="28"/>
          <w:szCs w:val="28"/>
          <w:highlight w:val="none"/>
          <w:lang w:val="en-US" w:eastAsia="zh-CN" w:bidi="ar-SA"/>
        </w:rPr>
      </w:pPr>
    </w:p>
    <w:p>
      <w:pPr>
        <w:numPr>
          <w:ilvl w:val="0"/>
          <w:numId w:val="8"/>
        </w:numPr>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br w:type="page"/>
      </w:r>
      <w:bookmarkEnd w:id="39"/>
      <w:r>
        <w:rPr>
          <w:rFonts w:hint="eastAsia" w:ascii="仿宋" w:hAnsi="仿宋" w:eastAsia="仿宋" w:cs="仿宋"/>
          <w:bCs/>
          <w:color w:val="000000"/>
          <w:kern w:val="0"/>
          <w:sz w:val="28"/>
          <w:szCs w:val="28"/>
          <w:highlight w:val="none"/>
          <w:lang w:val="en-US" w:eastAsia="zh-CN" w:bidi="ar-SA"/>
        </w:rPr>
        <w:t>清单参数</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1431"/>
        <w:gridCol w:w="631"/>
        <w:gridCol w:w="631"/>
        <w:gridCol w:w="2484"/>
        <w:gridCol w:w="631"/>
        <w:gridCol w:w="879"/>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名称</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规格参数（公称直径、压力等级、环刚度）</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数量</w:t>
            </w:r>
          </w:p>
        </w:tc>
        <w:tc>
          <w:tcPr>
            <w:tcW w:w="1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技术参数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备注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玻璃纤维增强塑料连续缠绕夹砂管</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公称直径：DN800；</w:t>
            </w:r>
            <w:r>
              <w:rPr>
                <w:rStyle w:val="29"/>
                <w:rFonts w:hAnsi="等线"/>
                <w:lang w:val="en-US" w:eastAsia="zh-CN" w:bidi="ar"/>
              </w:rPr>
              <w:br w:type="textWrapping"/>
            </w:r>
            <w:r>
              <w:rPr>
                <w:rStyle w:val="29"/>
                <w:rFonts w:hAnsi="等线"/>
                <w:lang w:val="en-US" w:eastAsia="zh-CN" w:bidi="ar"/>
              </w:rPr>
              <w:t>压力等级：1.6MPa；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12408 </w:t>
            </w:r>
          </w:p>
        </w:tc>
        <w:tc>
          <w:tcPr>
            <w:tcW w:w="166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仿宋_GB2312" w:hAnsi="等线" w:eastAsia="仿宋_GB2312" w:cs="仿宋_GB2312"/>
                <w:i w:val="0"/>
                <w:iCs w:val="0"/>
                <w:color w:val="000000"/>
                <w:sz w:val="22"/>
                <w:szCs w:val="22"/>
                <w:u w:val="none"/>
              </w:rPr>
            </w:pPr>
            <w:r>
              <w:rPr>
                <w:rStyle w:val="29"/>
                <w:rFonts w:hAnsi="等线"/>
                <w:lang w:val="en-US" w:eastAsia="zh-CN" w:bidi="ar"/>
              </w:rPr>
              <w:t>一、原材料</w:t>
            </w:r>
            <w:r>
              <w:rPr>
                <w:rStyle w:val="29"/>
                <w:rFonts w:hAnsi="等线"/>
                <w:lang w:val="en-US" w:eastAsia="zh-CN" w:bidi="ar"/>
              </w:rPr>
              <w:br w:type="textWrapping"/>
            </w:r>
            <w:r>
              <w:rPr>
                <w:rStyle w:val="29"/>
                <w:rFonts w:hAnsi="等线"/>
                <w:lang w:val="en-US" w:eastAsia="zh-CN" w:bidi="ar"/>
              </w:rPr>
              <w:t>1、增强材料：</w:t>
            </w:r>
            <w:r>
              <w:rPr>
                <w:rStyle w:val="29"/>
                <w:rFonts w:hAnsi="等线"/>
                <w:lang w:val="en-US" w:eastAsia="zh-CN" w:bidi="ar"/>
              </w:rPr>
              <w:br w:type="textWrapping"/>
            </w:r>
            <w:r>
              <w:rPr>
                <w:rStyle w:val="29"/>
                <w:rFonts w:hAnsi="等线"/>
                <w:lang w:val="en-US" w:eastAsia="zh-CN" w:bidi="ar"/>
              </w:rPr>
              <w:t>应采用E玻璃纤维及其制品制造玻璃纤维增强塑料连续缠绕夹砂管，所采用的玻璃纤维无捻粗纱应符合GB/T18369的规定。玻璃纤维制品应符合相应的国家或行业标准的规定。</w:t>
            </w:r>
            <w:r>
              <w:rPr>
                <w:rStyle w:val="29"/>
                <w:rFonts w:hAnsi="等线"/>
                <w:lang w:val="en-US" w:eastAsia="zh-CN" w:bidi="ar"/>
              </w:rPr>
              <w:br w:type="textWrapping"/>
            </w:r>
            <w:r>
              <w:rPr>
                <w:rStyle w:val="29"/>
                <w:rFonts w:hAnsi="等线"/>
                <w:lang w:val="en-US" w:eastAsia="zh-CN" w:bidi="ar"/>
              </w:rPr>
              <w:t>2、树脂</w:t>
            </w:r>
            <w:r>
              <w:rPr>
                <w:rStyle w:val="29"/>
                <w:rFonts w:hAnsi="等线"/>
                <w:lang w:val="en-US" w:eastAsia="zh-CN" w:bidi="ar"/>
              </w:rPr>
              <w:br w:type="textWrapping"/>
            </w:r>
            <w:r>
              <w:rPr>
                <w:rStyle w:val="29"/>
                <w:rFonts w:hAnsi="等线"/>
                <w:lang w:val="en-US" w:eastAsia="zh-CN" w:bidi="ar"/>
              </w:rPr>
              <w:t>（1）所采用的不饱和聚酯树脂应符合GB/T 8237的规定。其他树脂应符合相应的国家或行业规范；</w:t>
            </w:r>
            <w:r>
              <w:rPr>
                <w:rStyle w:val="29"/>
                <w:rFonts w:hAnsi="等线"/>
                <w:lang w:val="en-US" w:eastAsia="zh-CN" w:bidi="ar"/>
              </w:rPr>
              <w:br w:type="textWrapping"/>
            </w:r>
            <w:r>
              <w:rPr>
                <w:rStyle w:val="29"/>
                <w:rFonts w:hAnsi="等线"/>
                <w:lang w:val="en-US" w:eastAsia="zh-CN" w:bidi="ar"/>
              </w:rPr>
              <w:t>（2）内衬层树脂应采用间苯型不饱和聚酯树脂、双酚A型不饱和聚酯树脂或乙烯基酯树脂；</w:t>
            </w:r>
            <w:r>
              <w:rPr>
                <w:rStyle w:val="29"/>
                <w:rFonts w:hAnsi="等线"/>
                <w:lang w:val="en-US" w:eastAsia="zh-CN" w:bidi="ar"/>
              </w:rPr>
              <w:br w:type="textWrapping"/>
            </w:r>
            <w:r>
              <w:rPr>
                <w:rStyle w:val="29"/>
                <w:rFonts w:hAnsi="等线"/>
                <w:lang w:val="en-US" w:eastAsia="zh-CN" w:bidi="ar"/>
              </w:rPr>
              <w:t>（3）树脂浇铸体的性能要求见JC/T 2538-2019附录A。</w:t>
            </w:r>
            <w:r>
              <w:rPr>
                <w:rStyle w:val="29"/>
                <w:rFonts w:hAnsi="等线"/>
                <w:lang w:val="en-US" w:eastAsia="zh-CN" w:bidi="ar"/>
              </w:rPr>
              <w:br w:type="textWrapping"/>
            </w:r>
            <w:r>
              <w:rPr>
                <w:rStyle w:val="29"/>
                <w:rFonts w:hAnsi="等线"/>
                <w:lang w:val="en-US" w:eastAsia="zh-CN" w:bidi="ar"/>
              </w:rPr>
              <w:t>3、石英砂</w:t>
            </w:r>
            <w:r>
              <w:rPr>
                <w:rStyle w:val="29"/>
                <w:rFonts w:hAnsi="等线"/>
                <w:lang w:val="en-US" w:eastAsia="zh-CN" w:bidi="ar"/>
              </w:rPr>
              <w:br w:type="textWrapping"/>
            </w:r>
            <w:r>
              <w:rPr>
                <w:rStyle w:val="29"/>
                <w:rFonts w:hAnsi="等线"/>
                <w:lang w:val="en-US" w:eastAsia="zh-CN" w:bidi="ar"/>
              </w:rPr>
              <w:t>所采用的石英砂应符合相应的国家或行业标准的规定。石英砂的最大粒径应不大于0.8mm，其中粒径小于0.1mm的石英砂含量应不大于1%；石英砂的SiO2含量应大于95%，含水率应不大于0.2%。</w:t>
            </w:r>
            <w:r>
              <w:rPr>
                <w:rStyle w:val="29"/>
                <w:rFonts w:hAnsi="等线"/>
                <w:lang w:val="en-US" w:eastAsia="zh-CN" w:bidi="ar"/>
              </w:rPr>
              <w:br w:type="textWrapping"/>
            </w:r>
            <w:r>
              <w:rPr>
                <w:rStyle w:val="29"/>
                <w:rFonts w:hAnsi="等线"/>
                <w:lang w:val="en-US" w:eastAsia="zh-CN" w:bidi="ar"/>
              </w:rPr>
              <w:t>4、所有原材料性能和质量应符合现行的相应国家和行业标准要求，所有原材料进厂必须有生产厂家的出厂检验报告和合格证，如将不合格的原料投入生产，甲方有权拒绝接收该批货物。</w:t>
            </w:r>
            <w:r>
              <w:rPr>
                <w:rStyle w:val="29"/>
                <w:rFonts w:hAnsi="等线"/>
                <w:lang w:val="en-US" w:eastAsia="zh-CN" w:bidi="ar"/>
              </w:rPr>
              <w:br w:type="textWrapping"/>
            </w:r>
            <w:r>
              <w:rPr>
                <w:rStyle w:val="29"/>
                <w:rFonts w:hAnsi="等线"/>
                <w:lang w:val="en-US" w:eastAsia="zh-CN" w:bidi="ar"/>
              </w:rPr>
              <w:t>二、外观质量</w:t>
            </w:r>
            <w:r>
              <w:rPr>
                <w:rStyle w:val="29"/>
                <w:rFonts w:hAnsi="等线"/>
                <w:lang w:val="en-US" w:eastAsia="zh-CN" w:bidi="ar"/>
              </w:rPr>
              <w:br w:type="textWrapping"/>
            </w:r>
            <w:r>
              <w:rPr>
                <w:rStyle w:val="29"/>
                <w:rFonts w:hAnsi="等线"/>
                <w:lang w:val="en-US" w:eastAsia="zh-CN" w:bidi="ar"/>
              </w:rPr>
              <w:t>管的内表面应光滑平整,无对使用性能有影响的龟裂、分层、针孔、杂质、贫胶区、气泡和纤维浸润不良等现象;管端面应平齐;边棱应无毛刺;外表面保护层无明显缺陷。</w:t>
            </w:r>
            <w:r>
              <w:rPr>
                <w:rStyle w:val="29"/>
                <w:rFonts w:hAnsi="等线"/>
                <w:lang w:val="en-US" w:eastAsia="zh-CN" w:bidi="ar"/>
              </w:rPr>
              <w:br w:type="textWrapping"/>
            </w:r>
            <w:r>
              <w:rPr>
                <w:rStyle w:val="29"/>
                <w:rFonts w:hAnsi="等线"/>
                <w:lang w:val="en-US" w:eastAsia="zh-CN" w:bidi="ar"/>
              </w:rPr>
              <w:t>三、直径</w:t>
            </w:r>
            <w:r>
              <w:rPr>
                <w:rStyle w:val="29"/>
                <w:rFonts w:hAnsi="等线"/>
                <w:lang w:val="en-US" w:eastAsia="zh-CN" w:bidi="ar"/>
              </w:rPr>
              <w:br w:type="textWrapping"/>
            </w:r>
            <w:r>
              <w:rPr>
                <w:rStyle w:val="29"/>
                <w:rFonts w:hAnsi="等线"/>
                <w:lang w:val="en-US" w:eastAsia="zh-CN" w:bidi="ar"/>
              </w:rPr>
              <w:t>采用外径系列，管道外直径、连接口外直径和允许偏差应满足JC/T 2538-2019中表1要求。</w:t>
            </w:r>
            <w:r>
              <w:rPr>
                <w:rStyle w:val="29"/>
                <w:rFonts w:hAnsi="等线"/>
                <w:lang w:val="en-US" w:eastAsia="zh-CN" w:bidi="ar"/>
              </w:rPr>
              <w:br w:type="textWrapping"/>
            </w:r>
            <w:r>
              <w:rPr>
                <w:rStyle w:val="29"/>
                <w:rFonts w:hAnsi="等线"/>
                <w:lang w:val="en-US" w:eastAsia="zh-CN" w:bidi="ar"/>
              </w:rPr>
              <w:t>四、长度</w:t>
            </w:r>
            <w:r>
              <w:rPr>
                <w:rStyle w:val="29"/>
                <w:rFonts w:hAnsi="等线"/>
                <w:lang w:val="en-US" w:eastAsia="zh-CN" w:bidi="ar"/>
              </w:rPr>
              <w:br w:type="textWrapping"/>
            </w:r>
            <w:r>
              <w:rPr>
                <w:rStyle w:val="29"/>
                <w:rFonts w:hAnsi="等线"/>
                <w:lang w:val="en-US" w:eastAsia="zh-CN" w:bidi="ar"/>
              </w:rPr>
              <w:t>长度为12m，长度偏差为标准长度的</w:t>
            </w:r>
            <w:r>
              <w:rPr>
                <w:rStyle w:val="35"/>
                <w:rFonts w:eastAsia="仿宋_GB2312"/>
                <w:lang w:val="en-US" w:eastAsia="zh-CN" w:bidi="ar"/>
              </w:rPr>
              <w:t>±</w:t>
            </w:r>
            <w:r>
              <w:rPr>
                <w:rStyle w:val="29"/>
                <w:rFonts w:hAnsi="等线"/>
                <w:lang w:val="en-US" w:eastAsia="zh-CN" w:bidi="ar"/>
              </w:rPr>
              <w:t>0.5%，且不超过</w:t>
            </w:r>
            <w:r>
              <w:rPr>
                <w:rStyle w:val="35"/>
                <w:rFonts w:eastAsia="仿宋_GB2312"/>
                <w:lang w:val="en-US" w:eastAsia="zh-CN" w:bidi="ar"/>
              </w:rPr>
              <w:t>±</w:t>
            </w:r>
            <w:r>
              <w:rPr>
                <w:rStyle w:val="29"/>
                <w:rFonts w:hAnsi="等线"/>
                <w:lang w:val="en-US" w:eastAsia="zh-CN" w:bidi="ar"/>
              </w:rPr>
              <w:t>60mm。</w:t>
            </w:r>
            <w:r>
              <w:rPr>
                <w:rStyle w:val="29"/>
                <w:rFonts w:hAnsi="等线"/>
                <w:lang w:val="en-US" w:eastAsia="zh-CN" w:bidi="ar"/>
              </w:rPr>
              <w:br w:type="textWrapping"/>
            </w:r>
            <w:r>
              <w:rPr>
                <w:rStyle w:val="29"/>
                <w:rFonts w:hAnsi="等线"/>
                <w:lang w:val="en-US" w:eastAsia="zh-CN" w:bidi="ar"/>
              </w:rPr>
              <w:t>五、管壁厚度</w:t>
            </w:r>
            <w:r>
              <w:rPr>
                <w:rStyle w:val="29"/>
                <w:rFonts w:hAnsi="等线"/>
                <w:lang w:val="en-US" w:eastAsia="zh-CN" w:bidi="ar"/>
              </w:rPr>
              <w:br w:type="textWrapping"/>
            </w:r>
            <w:r>
              <w:rPr>
                <w:rStyle w:val="29"/>
                <w:rFonts w:hAnsi="等线"/>
                <w:lang w:val="en-US" w:eastAsia="zh-CN" w:bidi="ar"/>
              </w:rPr>
              <w:t>任一截面的管壁平均厚度应不小于设计厚度,最小管壁厚度应不小于设计厚度的90%。当管壁设计厚度不大于20mm时，管壁平均厚度应不大于1.15t;当管壁设计厚度大于20mm时,管壁平均厚度应不大于(t+3)mm，t为管壁设计厚度,由管材生产企业通过设计确定,并在技术文件中给出。</w:t>
            </w:r>
            <w:r>
              <w:rPr>
                <w:rStyle w:val="29"/>
                <w:rFonts w:hAnsi="等线"/>
                <w:lang w:val="en-US" w:eastAsia="zh-CN" w:bidi="ar"/>
              </w:rPr>
              <w:br w:type="textWrapping"/>
            </w:r>
            <w:r>
              <w:rPr>
                <w:rStyle w:val="29"/>
                <w:rFonts w:hAnsi="等线"/>
                <w:lang w:val="en-US" w:eastAsia="zh-CN" w:bidi="ar"/>
              </w:rPr>
              <w:t>六、内衬层厚度</w:t>
            </w:r>
            <w:r>
              <w:rPr>
                <w:rStyle w:val="29"/>
                <w:rFonts w:hAnsi="等线"/>
                <w:lang w:val="en-US" w:eastAsia="zh-CN" w:bidi="ar"/>
              </w:rPr>
              <w:br w:type="textWrapping"/>
            </w:r>
            <w:r>
              <w:rPr>
                <w:rStyle w:val="29"/>
                <w:rFonts w:hAnsi="等线"/>
                <w:lang w:val="en-US" w:eastAsia="zh-CN" w:bidi="ar"/>
              </w:rPr>
              <w:t>内衬层厚度应不小于1.2mm。</w:t>
            </w:r>
            <w:r>
              <w:rPr>
                <w:rStyle w:val="29"/>
                <w:rFonts w:hAnsi="等线"/>
                <w:lang w:val="en-US" w:eastAsia="zh-CN" w:bidi="ar"/>
              </w:rPr>
              <w:br w:type="textWrapping"/>
            </w:r>
            <w:r>
              <w:rPr>
                <w:rStyle w:val="29"/>
                <w:rFonts w:hAnsi="等线"/>
                <w:lang w:val="en-US" w:eastAsia="zh-CN" w:bidi="ar"/>
              </w:rPr>
              <w:t>七、管端面垂直度</w:t>
            </w:r>
            <w:r>
              <w:rPr>
                <w:rStyle w:val="29"/>
                <w:rFonts w:hAnsi="等线"/>
                <w:lang w:val="en-US" w:eastAsia="zh-CN" w:bidi="ar"/>
              </w:rPr>
              <w:br w:type="textWrapping"/>
            </w:r>
            <w:r>
              <w:rPr>
                <w:rStyle w:val="29"/>
                <w:rFonts w:hAnsi="等线"/>
                <w:lang w:val="en-US" w:eastAsia="zh-CN" w:bidi="ar"/>
              </w:rPr>
              <w:t>管端面垂直度应满足JC/T 2538-2019中表2要求。</w:t>
            </w:r>
            <w:r>
              <w:rPr>
                <w:rStyle w:val="29"/>
                <w:rFonts w:hAnsi="等线"/>
                <w:lang w:val="en-US" w:eastAsia="zh-CN" w:bidi="ar"/>
              </w:rPr>
              <w:br w:type="textWrapping"/>
            </w:r>
            <w:r>
              <w:rPr>
                <w:rStyle w:val="29"/>
                <w:rFonts w:hAnsi="等线"/>
                <w:lang w:val="en-US" w:eastAsia="zh-CN" w:bidi="ar"/>
              </w:rPr>
              <w:t>八、巴柯尔强度</w:t>
            </w:r>
            <w:r>
              <w:rPr>
                <w:rStyle w:val="29"/>
                <w:rFonts w:hAnsi="等线"/>
                <w:lang w:val="en-US" w:eastAsia="zh-CN" w:bidi="ar"/>
              </w:rPr>
              <w:br w:type="textWrapping"/>
            </w:r>
            <w:r>
              <w:rPr>
                <w:rStyle w:val="29"/>
                <w:rFonts w:hAnsi="等线"/>
                <w:lang w:val="en-US" w:eastAsia="zh-CN" w:bidi="ar"/>
              </w:rPr>
              <w:t>管外表面的巴柯尔强度应不小于40.</w:t>
            </w:r>
            <w:r>
              <w:rPr>
                <w:rStyle w:val="29"/>
                <w:rFonts w:hAnsi="等线"/>
                <w:lang w:val="en-US" w:eastAsia="zh-CN" w:bidi="ar"/>
              </w:rPr>
              <w:br w:type="textWrapping"/>
            </w:r>
            <w:r>
              <w:rPr>
                <w:rStyle w:val="29"/>
                <w:rFonts w:hAnsi="等线"/>
                <w:lang w:val="en-US" w:eastAsia="zh-CN" w:bidi="ar"/>
              </w:rPr>
              <w:t>九、树脂不可溶分含量</w:t>
            </w:r>
            <w:r>
              <w:rPr>
                <w:rStyle w:val="29"/>
                <w:rFonts w:hAnsi="等线"/>
                <w:lang w:val="en-US" w:eastAsia="zh-CN" w:bidi="ar"/>
              </w:rPr>
              <w:br w:type="textWrapping"/>
            </w:r>
            <w:r>
              <w:rPr>
                <w:rStyle w:val="29"/>
                <w:rFonts w:hAnsi="等线"/>
                <w:lang w:val="en-US" w:eastAsia="zh-CN" w:bidi="ar"/>
              </w:rPr>
              <w:t>管壁中树脂的不可溶分含量应不小于90.0%。</w:t>
            </w:r>
            <w:r>
              <w:rPr>
                <w:rStyle w:val="29"/>
                <w:rFonts w:hAnsi="等线"/>
                <w:lang w:val="en-US" w:eastAsia="zh-CN" w:bidi="ar"/>
              </w:rPr>
              <w:br w:type="textWrapping"/>
            </w:r>
            <w:r>
              <w:rPr>
                <w:rStyle w:val="29"/>
                <w:rFonts w:hAnsi="等线"/>
                <w:lang w:val="en-US" w:eastAsia="zh-CN" w:bidi="ar"/>
              </w:rPr>
              <w:t>十、管壁组分质量百分含量</w:t>
            </w:r>
            <w:r>
              <w:rPr>
                <w:rStyle w:val="29"/>
                <w:rFonts w:hAnsi="等线"/>
                <w:lang w:val="en-US" w:eastAsia="zh-CN" w:bidi="ar"/>
              </w:rPr>
              <w:br w:type="textWrapping"/>
            </w:r>
            <w:r>
              <w:rPr>
                <w:rStyle w:val="29"/>
                <w:rFonts w:hAnsi="等线"/>
                <w:lang w:val="en-US" w:eastAsia="zh-CN" w:bidi="ar"/>
              </w:rPr>
              <w:t>1、内衬层树脂含量应不低于65%；</w:t>
            </w:r>
            <w:r>
              <w:rPr>
                <w:rStyle w:val="29"/>
                <w:rFonts w:hAnsi="等线"/>
                <w:lang w:val="en-US" w:eastAsia="zh-CN" w:bidi="ar"/>
              </w:rPr>
              <w:br w:type="textWrapping"/>
            </w:r>
            <w:r>
              <w:rPr>
                <w:rStyle w:val="29"/>
                <w:rFonts w:hAnsi="等线"/>
                <w:lang w:val="en-US" w:eastAsia="zh-CN" w:bidi="ar"/>
              </w:rPr>
              <w:t>2、管壁中的连续玻璃纤维、短切玻璃纤维、树脂和石英砂的含量由管材设计确定，并应在技术文件中明确给出，其中短切玻璃纤维质量含量应不低于9%，各组分的质量百分含量允许偏差为设计值</w:t>
            </w:r>
            <w:r>
              <w:rPr>
                <w:rStyle w:val="35"/>
                <w:rFonts w:eastAsia="仿宋_GB2312"/>
                <w:lang w:val="en-US" w:eastAsia="zh-CN" w:bidi="ar"/>
              </w:rPr>
              <w:t>±</w:t>
            </w:r>
            <w:r>
              <w:rPr>
                <w:rStyle w:val="29"/>
                <w:rFonts w:hAnsi="等线"/>
                <w:lang w:val="en-US" w:eastAsia="zh-CN" w:bidi="ar"/>
              </w:rPr>
              <w:t>3%。</w:t>
            </w:r>
            <w:r>
              <w:rPr>
                <w:rStyle w:val="29"/>
                <w:rFonts w:hAnsi="等线"/>
                <w:lang w:val="en-US" w:eastAsia="zh-CN" w:bidi="ar"/>
              </w:rPr>
              <w:br w:type="textWrapping"/>
            </w:r>
            <w:r>
              <w:rPr>
                <w:rStyle w:val="29"/>
                <w:rFonts w:hAnsi="等线"/>
                <w:lang w:val="en-US" w:eastAsia="zh-CN" w:bidi="ar"/>
              </w:rPr>
              <w:t>十一、初始环刚度</w:t>
            </w:r>
            <w:r>
              <w:rPr>
                <w:rStyle w:val="29"/>
                <w:rFonts w:hAnsi="等线"/>
                <w:lang w:val="en-US" w:eastAsia="zh-CN" w:bidi="ar"/>
              </w:rPr>
              <w:br w:type="textWrapping"/>
            </w:r>
            <w:r>
              <w:rPr>
                <w:rStyle w:val="29"/>
                <w:rFonts w:hAnsi="等线"/>
                <w:lang w:val="en-US" w:eastAsia="zh-CN" w:bidi="ar"/>
              </w:rPr>
              <w:t>初始环刚度应不小于相应的环刚度等级值。</w:t>
            </w:r>
            <w:r>
              <w:rPr>
                <w:rStyle w:val="29"/>
                <w:rFonts w:hAnsi="等线"/>
                <w:lang w:val="en-US" w:eastAsia="zh-CN" w:bidi="ar"/>
              </w:rPr>
              <w:br w:type="textWrapping"/>
            </w:r>
            <w:r>
              <w:rPr>
                <w:rStyle w:val="29"/>
                <w:rFonts w:hAnsi="等线"/>
                <w:lang w:val="en-US" w:eastAsia="zh-CN" w:bidi="ar"/>
              </w:rPr>
              <w:t>十二、初始环向拉伸强力</w:t>
            </w:r>
            <w:r>
              <w:rPr>
                <w:rStyle w:val="29"/>
                <w:rFonts w:hAnsi="等线"/>
                <w:lang w:val="en-US" w:eastAsia="zh-CN" w:bidi="ar"/>
              </w:rPr>
              <w:br w:type="textWrapping"/>
            </w:r>
            <w:r>
              <w:rPr>
                <w:rStyle w:val="29"/>
                <w:rFonts w:hAnsi="等线"/>
                <w:lang w:val="en-US" w:eastAsia="zh-CN" w:bidi="ar"/>
              </w:rPr>
              <w:t>初始环向拉伸强力应满足JC/T 2538-2019中表4要求。</w:t>
            </w:r>
            <w:r>
              <w:rPr>
                <w:rStyle w:val="29"/>
                <w:rFonts w:hAnsi="等线"/>
                <w:lang w:val="en-US" w:eastAsia="zh-CN" w:bidi="ar"/>
              </w:rPr>
              <w:br w:type="textWrapping"/>
            </w:r>
            <w:r>
              <w:rPr>
                <w:rStyle w:val="29"/>
                <w:rFonts w:hAnsi="等线"/>
                <w:lang w:val="en-US" w:eastAsia="zh-CN" w:bidi="ar"/>
              </w:rPr>
              <w:t>十三、初始轴向拉伸强力及拉伸断裂应变</w:t>
            </w:r>
            <w:r>
              <w:rPr>
                <w:rStyle w:val="29"/>
                <w:rFonts w:hAnsi="等线"/>
                <w:lang w:val="en-US" w:eastAsia="zh-CN" w:bidi="ar"/>
              </w:rPr>
              <w:br w:type="textWrapping"/>
            </w:r>
            <w:r>
              <w:rPr>
                <w:rStyle w:val="29"/>
                <w:rFonts w:hAnsi="等线"/>
                <w:lang w:val="en-US" w:eastAsia="zh-CN" w:bidi="ar"/>
              </w:rPr>
              <w:t>管壁初始轴向拉伸强力应满足JC/T 2538-2019中表5要求，管壁轴向拉伸断裂应变不小于0.25%。</w:t>
            </w:r>
            <w:r>
              <w:rPr>
                <w:rStyle w:val="29"/>
                <w:rFonts w:hAnsi="等线"/>
                <w:lang w:val="en-US" w:eastAsia="zh-CN" w:bidi="ar"/>
              </w:rPr>
              <w:br w:type="textWrapping"/>
            </w:r>
            <w:r>
              <w:rPr>
                <w:rStyle w:val="29"/>
                <w:rFonts w:hAnsi="等线"/>
                <w:lang w:val="en-US" w:eastAsia="zh-CN" w:bidi="ar"/>
              </w:rPr>
              <w:t>十四、水压渗漏</w:t>
            </w:r>
            <w:r>
              <w:rPr>
                <w:rStyle w:val="29"/>
                <w:rFonts w:hAnsi="等线"/>
                <w:lang w:val="en-US" w:eastAsia="zh-CN" w:bidi="ar"/>
              </w:rPr>
              <w:br w:type="textWrapping"/>
            </w:r>
            <w:r>
              <w:rPr>
                <w:rStyle w:val="29"/>
                <w:rFonts w:hAnsi="等线"/>
                <w:lang w:val="en-US" w:eastAsia="zh-CN" w:bidi="ar"/>
              </w:rPr>
              <w:t>对整管或带有接头连接好的整管施加该管压力等级1.5倍的水内压，保持2min，管体及连接部位应不渗漏。</w:t>
            </w:r>
            <w:r>
              <w:rPr>
                <w:rStyle w:val="29"/>
                <w:rFonts w:hAnsi="等线"/>
                <w:lang w:val="en-US" w:eastAsia="zh-CN" w:bidi="ar"/>
              </w:rPr>
              <w:br w:type="textWrapping"/>
            </w:r>
            <w:r>
              <w:rPr>
                <w:rStyle w:val="29"/>
                <w:rFonts w:hAnsi="等线"/>
                <w:lang w:val="en-US" w:eastAsia="zh-CN" w:bidi="ar"/>
              </w:rPr>
              <w:t>十五、初始挠曲性</w:t>
            </w:r>
            <w:r>
              <w:rPr>
                <w:rStyle w:val="29"/>
                <w:rFonts w:hAnsi="等线"/>
                <w:lang w:val="en-US" w:eastAsia="zh-CN" w:bidi="ar"/>
              </w:rPr>
              <w:br w:type="textWrapping"/>
            </w:r>
            <w:r>
              <w:rPr>
                <w:rStyle w:val="29"/>
                <w:rFonts w:hAnsi="等线"/>
                <w:lang w:val="en-US" w:eastAsia="zh-CN" w:bidi="ar"/>
              </w:rPr>
              <w:t>每个试样的初始挠曲水平A和挠曲水平B均应满足JC/T 2538-2019中表6要求。</w:t>
            </w:r>
            <w:r>
              <w:rPr>
                <w:rStyle w:val="29"/>
                <w:rFonts w:hAnsi="等线"/>
                <w:lang w:val="en-US" w:eastAsia="zh-CN" w:bidi="ar"/>
              </w:rPr>
              <w:br w:type="textWrapping"/>
            </w:r>
            <w:r>
              <w:rPr>
                <w:rStyle w:val="29"/>
                <w:rFonts w:hAnsi="等线"/>
                <w:lang w:val="en-US" w:eastAsia="zh-CN" w:bidi="ar"/>
              </w:rPr>
              <w:t>十六、检验规则</w:t>
            </w:r>
            <w:r>
              <w:rPr>
                <w:rStyle w:val="29"/>
                <w:rFonts w:hAnsi="等线"/>
                <w:lang w:val="en-US" w:eastAsia="zh-CN" w:bidi="ar"/>
              </w:rPr>
              <w:br w:type="textWrapping"/>
            </w:r>
            <w:r>
              <w:rPr>
                <w:rStyle w:val="29"/>
                <w:rFonts w:hAnsi="等线"/>
                <w:lang w:val="en-US" w:eastAsia="zh-CN" w:bidi="ar"/>
              </w:rPr>
              <w:t>检验分类、检验项目、检验方案、判定规则、检验条件等应按照JC/T 2538-2019执行。</w:t>
            </w:r>
            <w:r>
              <w:rPr>
                <w:rStyle w:val="29"/>
                <w:rFonts w:hAnsi="等线"/>
                <w:lang w:val="en-US" w:eastAsia="zh-CN" w:bidi="ar"/>
              </w:rPr>
              <w:br w:type="textWrapping"/>
            </w:r>
            <w:r>
              <w:rPr>
                <w:rStyle w:val="29"/>
                <w:rFonts w:hAnsi="等线"/>
                <w:lang w:val="en-US" w:eastAsia="zh-CN" w:bidi="ar"/>
              </w:rPr>
              <w:t>十七、标志、包装</w:t>
            </w:r>
            <w:r>
              <w:rPr>
                <w:rStyle w:val="29"/>
                <w:rFonts w:hAnsi="等线"/>
                <w:lang w:val="en-US" w:eastAsia="zh-CN" w:bidi="ar"/>
              </w:rPr>
              <w:br w:type="textWrapping"/>
            </w:r>
            <w:r>
              <w:rPr>
                <w:rStyle w:val="29"/>
                <w:rFonts w:hAnsi="等线"/>
                <w:lang w:val="en-US" w:eastAsia="zh-CN" w:bidi="ar"/>
              </w:rPr>
              <w:t>标志、包装等满足JC/T 2538-2019要求。</w:t>
            </w:r>
            <w:r>
              <w:rPr>
                <w:rStyle w:val="29"/>
                <w:rFonts w:hAnsi="等线"/>
                <w:lang w:val="en-US" w:eastAsia="zh-CN" w:bidi="ar"/>
              </w:rPr>
              <w:br w:type="textWrapping"/>
            </w:r>
            <w:r>
              <w:rPr>
                <w:rStyle w:val="29"/>
                <w:rFonts w:hAnsi="等线"/>
                <w:lang w:val="en-US" w:eastAsia="zh-CN" w:bidi="ar"/>
              </w:rPr>
              <w:t>十八、使用寿命</w:t>
            </w:r>
            <w:r>
              <w:rPr>
                <w:rStyle w:val="29"/>
                <w:rFonts w:hAnsi="等线"/>
                <w:lang w:val="en-US" w:eastAsia="zh-CN" w:bidi="ar"/>
              </w:rPr>
              <w:br w:type="textWrapping"/>
            </w:r>
            <w:r>
              <w:rPr>
                <w:rStyle w:val="29"/>
                <w:rFonts w:hAnsi="等线"/>
                <w:lang w:val="en-US" w:eastAsia="zh-CN" w:bidi="ar"/>
              </w:rPr>
              <w:t>管材及管件在埋地状态下，正常使用寿命30年以上。</w:t>
            </w:r>
            <w:r>
              <w:rPr>
                <w:rStyle w:val="29"/>
                <w:rFonts w:hAnsi="等线"/>
                <w:lang w:val="en-US" w:eastAsia="zh-CN" w:bidi="ar"/>
              </w:rPr>
              <w:br w:type="textWrapping"/>
            </w:r>
            <w:r>
              <w:rPr>
                <w:rStyle w:val="29"/>
                <w:rFonts w:hAnsi="等线"/>
                <w:lang w:val="en-US" w:eastAsia="zh-CN" w:bidi="ar"/>
              </w:rPr>
              <w:t>十九、管件</w:t>
            </w:r>
            <w:r>
              <w:rPr>
                <w:rStyle w:val="29"/>
                <w:rFonts w:hAnsi="等线"/>
                <w:lang w:val="en-US" w:eastAsia="zh-CN" w:bidi="ar"/>
              </w:rPr>
              <w:br w:type="textWrapping"/>
            </w:r>
            <w:r>
              <w:rPr>
                <w:rStyle w:val="29"/>
                <w:rFonts w:hAnsi="等线"/>
                <w:lang w:val="en-US" w:eastAsia="zh-CN" w:bidi="ar"/>
              </w:rPr>
              <w:t>管件必须按照相关设计规范进行设计和制造，使得它的力学性能等于或优于具有相同压力和刚度等级的玻璃钢直管。管件除了要满足各自的特定要求之外，还必须符合JC/T 2538-2019附录E.2.2~ E.2.7要求。</w:t>
            </w:r>
            <w:r>
              <w:rPr>
                <w:rStyle w:val="29"/>
                <w:rFonts w:hAnsi="等线"/>
                <w:lang w:val="en-US" w:eastAsia="zh-CN" w:bidi="ar"/>
              </w:rPr>
              <w:br w:type="textWrapping"/>
            </w:r>
            <w:r>
              <w:rPr>
                <w:rStyle w:val="29"/>
                <w:rFonts w:hAnsi="等线"/>
                <w:lang w:val="en-US" w:eastAsia="zh-CN" w:bidi="ar"/>
              </w:rPr>
              <w:t>二十、接头</w:t>
            </w:r>
            <w:r>
              <w:rPr>
                <w:rStyle w:val="29"/>
                <w:rFonts w:hAnsi="等线"/>
                <w:lang w:val="en-US" w:eastAsia="zh-CN" w:bidi="ar"/>
              </w:rPr>
              <w:br w:type="textWrapping"/>
            </w:r>
            <w:r>
              <w:rPr>
                <w:rStyle w:val="29"/>
                <w:rFonts w:hAnsi="等线"/>
                <w:lang w:val="en-US" w:eastAsia="zh-CN" w:bidi="ar"/>
              </w:rPr>
              <w:t>1、本工程采用套筒式密封圈接头，接头允许偏转角满足JC/T 2538-2019附录D中3.2.2条要求；</w:t>
            </w:r>
            <w:r>
              <w:rPr>
                <w:rStyle w:val="29"/>
                <w:rFonts w:hAnsi="等线"/>
                <w:lang w:val="en-US" w:eastAsia="zh-CN" w:bidi="ar"/>
              </w:rPr>
              <w:br w:type="textWrapping"/>
            </w:r>
            <w:r>
              <w:rPr>
                <w:rStyle w:val="29"/>
                <w:rFonts w:hAnsi="等线"/>
                <w:lang w:val="en-US" w:eastAsia="zh-CN" w:bidi="ar"/>
              </w:rPr>
              <w:t>2、必须对管与管之间连接用的接头进行设计并通过相应的检验，接头的技术要求应不低于管体的相应技术要求；</w:t>
            </w:r>
            <w:r>
              <w:rPr>
                <w:rStyle w:val="29"/>
                <w:rFonts w:hAnsi="等线"/>
                <w:lang w:val="en-US" w:eastAsia="zh-CN" w:bidi="ar"/>
              </w:rPr>
              <w:br w:type="textWrapping"/>
            </w:r>
            <w:r>
              <w:rPr>
                <w:rStyle w:val="29"/>
                <w:rFonts w:hAnsi="等线"/>
                <w:lang w:val="en-US" w:eastAsia="zh-CN" w:bidi="ar"/>
              </w:rPr>
              <w:t>3、接头的测试项目和性能要求按照JC/T 2538-2019附录D的规定。</w:t>
            </w:r>
            <w:r>
              <w:rPr>
                <w:rStyle w:val="29"/>
                <w:rFonts w:hAnsi="等线"/>
                <w:lang w:val="en-US" w:eastAsia="zh-CN" w:bidi="ar"/>
              </w:rPr>
              <w:br w:type="textWrapping"/>
            </w:r>
            <w:r>
              <w:rPr>
                <w:rStyle w:val="29"/>
                <w:rFonts w:hAnsi="等线"/>
                <w:lang w:val="en-US" w:eastAsia="zh-CN" w:bidi="ar"/>
              </w:rPr>
              <w:t>二十一、密封圈</w:t>
            </w:r>
            <w:r>
              <w:rPr>
                <w:rStyle w:val="29"/>
                <w:rFonts w:hAnsi="等线"/>
                <w:lang w:val="en-US" w:eastAsia="zh-CN" w:bidi="ar"/>
              </w:rPr>
              <w:br w:type="textWrapping"/>
            </w:r>
            <w:r>
              <w:rPr>
                <w:rStyle w:val="29"/>
                <w:rFonts w:hAnsi="等线"/>
                <w:lang w:val="en-US" w:eastAsia="zh-CN" w:bidi="ar"/>
              </w:rPr>
              <w:t>密封圈采用三元乙丙橡胶圈，硬度等级宜为55，其性能指标应符合GB/T 21873的规定。</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含管道连接所需的相关管件，含管道冲洗、试压。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1090.01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13524817.62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公称直径：DN800；</w:t>
            </w:r>
            <w:r>
              <w:rPr>
                <w:rStyle w:val="29"/>
                <w:rFonts w:hAnsi="等线"/>
                <w:lang w:val="en-US" w:eastAsia="zh-CN" w:bidi="ar"/>
              </w:rPr>
              <w:br w:type="textWrapping"/>
            </w:r>
            <w:r>
              <w:rPr>
                <w:rStyle w:val="29"/>
                <w:rFonts w:hAnsi="等线"/>
                <w:lang w:val="en-US" w:eastAsia="zh-CN" w:bidi="ar"/>
              </w:rPr>
              <w:t>压力等级：1.0MPa；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2414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956.80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2309706.58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公称直径：DN600；</w:t>
            </w:r>
            <w:r>
              <w:rPr>
                <w:rStyle w:val="29"/>
                <w:rFonts w:hAnsi="等线"/>
                <w:lang w:val="en-US" w:eastAsia="zh-CN" w:bidi="ar"/>
              </w:rPr>
              <w:br w:type="textWrapping"/>
            </w:r>
            <w:r>
              <w:rPr>
                <w:rStyle w:val="29"/>
                <w:rFonts w:hAnsi="等线"/>
                <w:lang w:val="en-US" w:eastAsia="zh-CN" w:bidi="ar"/>
              </w:rPr>
              <w:t>压力等级：1.0MPa；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561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592.27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332265.38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公称直径：DN500；</w:t>
            </w:r>
            <w:r>
              <w:rPr>
                <w:rStyle w:val="29"/>
                <w:rFonts w:hAnsi="等线"/>
                <w:lang w:val="en-US" w:eastAsia="zh-CN" w:bidi="ar"/>
              </w:rPr>
              <w:br w:type="textWrapping"/>
            </w:r>
            <w:r>
              <w:rPr>
                <w:rStyle w:val="29"/>
                <w:rFonts w:hAnsi="等线"/>
                <w:lang w:val="en-US" w:eastAsia="zh-CN" w:bidi="ar"/>
              </w:rPr>
              <w:t>压力等级：1.6MPa；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561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507.92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284941.60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公称直径：DN500；</w:t>
            </w:r>
            <w:r>
              <w:rPr>
                <w:rStyle w:val="29"/>
                <w:rFonts w:hAnsi="等线"/>
                <w:lang w:val="en-US" w:eastAsia="zh-CN" w:bidi="ar"/>
              </w:rPr>
              <w:br w:type="textWrapping"/>
            </w:r>
            <w:r>
              <w:rPr>
                <w:rStyle w:val="29"/>
                <w:rFonts w:hAnsi="等线"/>
                <w:lang w:val="en-US" w:eastAsia="zh-CN" w:bidi="ar"/>
              </w:rPr>
              <w:t>压力等级：0.8MPa；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1903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424.79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808366.51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公称直径：DN400；</w:t>
            </w:r>
            <w:r>
              <w:rPr>
                <w:rStyle w:val="29"/>
                <w:rFonts w:hAnsi="等线"/>
                <w:lang w:val="en-US" w:eastAsia="zh-CN" w:bidi="ar"/>
              </w:rPr>
              <w:br w:type="textWrapping"/>
            </w:r>
            <w:r>
              <w:rPr>
                <w:rStyle w:val="29"/>
                <w:rFonts w:hAnsi="等线"/>
                <w:lang w:val="en-US" w:eastAsia="zh-CN" w:bidi="ar"/>
              </w:rPr>
              <w:t>压力等级：1.6MPa；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561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395.53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221891.09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Style w:val="29"/>
                <w:rFonts w:hAnsi="等线"/>
                <w:lang w:val="en-US" w:eastAsia="zh-CN" w:bidi="ar"/>
              </w:rPr>
              <w:t>公称直径：DN400；</w:t>
            </w:r>
            <w:r>
              <w:rPr>
                <w:rStyle w:val="29"/>
                <w:rFonts w:hAnsi="等线"/>
                <w:lang w:val="en-US" w:eastAsia="zh-CN" w:bidi="ar"/>
              </w:rPr>
              <w:br w:type="textWrapping"/>
            </w:r>
            <w:r>
              <w:rPr>
                <w:rStyle w:val="29"/>
                <w:rFonts w:hAnsi="等线"/>
                <w:lang w:val="en-US" w:eastAsia="zh-CN" w:bidi="ar"/>
              </w:rPr>
              <w:t>压力等级：0.8MPa；</w:t>
            </w:r>
            <w:r>
              <w:rPr>
                <w:rStyle w:val="29"/>
                <w:rFonts w:hAnsi="等线"/>
                <w:lang w:val="en-US" w:eastAsia="zh-CN" w:bidi="ar"/>
              </w:rPr>
              <w:br w:type="textWrapping"/>
            </w:r>
            <w:r>
              <w:rPr>
                <w:rStyle w:val="29"/>
                <w:rFonts w:hAnsi="等线"/>
                <w:lang w:val="en-US" w:eastAsia="zh-CN" w:bidi="ar"/>
              </w:rPr>
              <w:t>环刚度：7500N/</w:t>
            </w:r>
            <w:r>
              <w:rPr>
                <w:rStyle w:val="34"/>
                <w:rFonts w:eastAsia="仿宋_GB2312"/>
                <w:lang w:val="en-US" w:eastAsia="zh-CN" w:bidi="ar"/>
              </w:rPr>
              <w:t>m</w:t>
            </w:r>
            <w:r>
              <w:rPr>
                <w:rStyle w:val="23"/>
                <w:rFonts w:eastAsia="仿宋_GB2312"/>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7001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334.88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2344466.66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PVC-U管</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公称直径：DN355；</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压力等级：0.8MPa；</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4148 </w:t>
            </w:r>
          </w:p>
        </w:tc>
        <w:tc>
          <w:tcPr>
            <w:tcW w:w="166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一、材料</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1、生产管材的材料应为PVC-U混配料。混配料应以PVC树脂为主，其中加入为生产达到本部分要求的管材所必需的添加剂，所有添加剂应分散均匀。</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2、PVC数值应符合GB/T 5761树脂的K值应大于64，氯乙烯单体含量应小于5mg/kg。</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3、任何添加剂的加入不应引起感官的不良感觉、损害产品的加工和粘接性能及影响到本部分规定的其他性能。</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二、外观</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管材内外表面应光滑，无明显划痕、凹陷、可见杂质和其他影响达到本部分要求的表面缺陷。管材端面应切割平整并与轴线垂直。</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管件内外表面应光滑，不允许有脱层、明显气泡、痕纹、冷斑以及色泽不匀等缺陷。</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三、颜色</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色泽应均匀一致。</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四、长度</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管材长度为6m，管材长度、有效长度见GB/T 10002.1中图1所示。长度不允许负偏差。</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五、弯曲度</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弯曲度≤0.5%。</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六、平均外径及偏差</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平均外径及偏差遵循GB/T 10002.1中表5要求。</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七、壁厚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管材任意点壁厚及偏差应符合GB/T 10002.1中表2、表3和表6的规定，管材平均壁厚及允许偏差应符合GB/T 10002.1中表7的规定。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管件承插部位以外的主题壁厚不得小于同规格同压力等级管材壁厚。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八、承口</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采用弹性密封圈式承口，最小深度应符合GB/T 10002.1中表8的规定，密封环槽处的壁厚应不小于相连管材公称壁厚的0.8倍。接口密封圈应符合GB/T 21873。</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九、物理性能</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物理性能应符合GB/T 10002.1中表9的规定。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十、力学性能</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物理性能应符合GB/T 10002.1中表10的规定。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十一、系统适用性试验</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管材与管材，管材与管件连接后应按照GB/T 10002.1中表11要求做系统适用性试验。</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十二、试验方法、检验规则、检验项目</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试验方法、检验规则、检验项目应按照GB/T 10002.1中第七节、第八节要求执行。</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十三、标志、包装</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 xml:space="preserve">标志、包装应按照GB/T 10002.1中9.1、9.2要求执行。 </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含管道连接所需的相关管件，含管道冲洗、试压。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190.32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789465.24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公称直径：DN315；</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压力等级：0.8MPa；</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m</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4148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152.11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630944.39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PCV直通</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公称直径：DN355；</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压力等级：0.8MPa；</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69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39.51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27299.44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公称直径：DN315；</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压力等级：0.8MPa；</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69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仿宋_GB2312" w:hAnsi="等线" w:eastAsia="仿宋_GB2312" w:cs="仿宋_GB2312"/>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31.61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21839.55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B型胶圈</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公称直径：de355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691 </w:t>
            </w:r>
          </w:p>
        </w:tc>
        <w:tc>
          <w:tcPr>
            <w:tcW w:w="16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符合GB/T 21873-2008相关规定</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178.30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12302.69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公称直径：de315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kern w:val="0"/>
                <w:sz w:val="22"/>
                <w:szCs w:val="22"/>
                <w:u w:val="none"/>
                <w:lang w:val="en-US" w:eastAsia="zh-CN" w:bidi="ar"/>
              </w:rPr>
              <w:t xml:space="preserve">691 </w:t>
            </w:r>
          </w:p>
        </w:tc>
        <w:tc>
          <w:tcPr>
            <w:tcW w:w="16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142.45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 xml:space="preserve">9828.93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sz w:val="22"/>
                <w:szCs w:val="22"/>
                <w:u w:val="none"/>
                <w:lang w:val="en-US" w:eastAsia="zh-CN"/>
              </w:rPr>
              <w:t>施工仓库</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150m2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m2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仿宋_GB2312" w:hAnsi="等线" w:eastAsia="仿宋_GB2312" w:cs="仿宋_GB2312"/>
                <w:i w:val="0"/>
                <w:iCs w:val="0"/>
                <w:color w:val="000000"/>
                <w:sz w:val="22"/>
                <w:szCs w:val="22"/>
                <w:u w:val="none"/>
                <w:lang w:val="en-US" w:eastAsia="zh-CN"/>
              </w:rPr>
              <w:t>150.00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等线" w:eastAsia="仿宋_GB2312" w:cs="仿宋_GB2312"/>
                <w:i w:val="0"/>
                <w:iCs w:val="0"/>
                <w:color w:val="000000"/>
                <w:sz w:val="22"/>
                <w:szCs w:val="22"/>
                <w:u w:val="none"/>
              </w:rPr>
            </w:pPr>
            <w:r>
              <w:rPr>
                <w:rFonts w:hint="default" w:ascii="仿宋_GB2312" w:hAnsi="等线" w:eastAsia="仿宋_GB2312" w:cs="仿宋_GB2312"/>
                <w:i w:val="0"/>
                <w:iCs w:val="0"/>
                <w:color w:val="000000"/>
                <w:sz w:val="22"/>
                <w:szCs w:val="22"/>
                <w:u w:val="none"/>
                <w:lang w:val="en-US" w:eastAsia="zh-CN"/>
              </w:rPr>
              <w:t>合计</w:t>
            </w:r>
          </w:p>
        </w:tc>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21340635.67元</w:t>
            </w:r>
          </w:p>
        </w:tc>
      </w:tr>
    </w:tbl>
    <w:p>
      <w:pPr>
        <w:spacing w:line="360" w:lineRule="auto"/>
        <w:ind w:right="-318" w:firstLine="5600" w:firstLineChars="2000"/>
        <w:rPr>
          <w:rFonts w:hint="eastAsia" w:ascii="仿宋" w:hAnsi="仿宋" w:eastAsia="仿宋" w:cs="仿宋"/>
          <w:bCs/>
          <w:color w:val="000000"/>
          <w:kern w:val="0"/>
          <w:sz w:val="28"/>
          <w:szCs w:val="28"/>
          <w:highlight w:val="none"/>
          <w:lang w:val="en-US" w:eastAsia="zh-CN" w:bidi="ar-SA"/>
        </w:rPr>
      </w:pP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清单说明：</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玻璃纤维增强塑料夹砂管</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采用</w:t>
      </w:r>
      <w:bookmarkStart w:id="40" w:name="_Hlk66881627"/>
      <w:r>
        <w:rPr>
          <w:rFonts w:hint="eastAsia" w:ascii="仿宋" w:hAnsi="仿宋" w:eastAsia="仿宋" w:cs="仿宋"/>
          <w:bCs/>
          <w:color w:val="000000"/>
          <w:kern w:val="0"/>
          <w:sz w:val="28"/>
          <w:szCs w:val="28"/>
          <w:highlight w:val="none"/>
          <w:lang w:val="en-US" w:eastAsia="zh-CN" w:bidi="ar-SA"/>
        </w:rPr>
        <w:t>玻璃纤维增强塑料连续缠绕夹砂管</w:t>
      </w:r>
      <w:bookmarkEnd w:id="40"/>
      <w:r>
        <w:rPr>
          <w:rFonts w:hint="eastAsia" w:ascii="仿宋" w:hAnsi="仿宋" w:eastAsia="仿宋" w:cs="仿宋"/>
          <w:bCs/>
          <w:color w:val="000000"/>
          <w:kern w:val="0"/>
          <w:sz w:val="28"/>
          <w:szCs w:val="28"/>
          <w:highlight w:val="none"/>
          <w:lang w:val="en-US" w:eastAsia="zh-CN" w:bidi="ar-SA"/>
        </w:rPr>
        <w:t>：以玻璃纤维及其制品为增强材料，以不饱和聚酯树脂等为基体材料，以石英砂为填料，采用连续缠绕工艺方法制成、套筒式接头连接的管道。</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（1）增强材料</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应采用无碱玻璃纤维及其制品制造，所采用的无碱无捻玻璃纤维纱应符合GB/T 18369的规定。无碱玻璃纤维制品应符合相应国家或行业标准。</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（2）树脂</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1）所采用的不饱和聚酯树脂应符合GB/T 8237的规定。其他树脂应符合相应的国家或行业规范；</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2）内衬层树脂应采用间苯型不饱和聚酯树脂、双酚A型不饱和聚酯树脂或乙烯基酯树脂；</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3）树脂浇铸体的性能要求见《玻璃纤维增强塑料夹砂管》GB/T21238-2016附录A。</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（3）填料</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填料的最大粒径不准许大于2.5 mm和五分之一管壁厚度之间的较小值。其中石英砂的SiO2含量应大于95%,含水量应不大于0.2% ;碳酸钙的CaCO3含量应大于98%,含水量应不大于0.2%。</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（4）外观质量</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管的内表面应光滑平整,无对使用性能有影响的龟裂、分层、针孔、杂质、贫胶区、气泡和纤维浸润不良等现象;管端面应平齐;边棱应无毛刺;外表面无明显缺陷。</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（5）管壁厚度</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任一截面的管壁平均厚度应不小于设计厚度,最小管壁厚度应不小于设计厚度的90%。当管壁设计厚度不大于20mm时，管壁平均厚度应不大于1.15t;当管壁设计厚度大于20mm时,管壁平均厚度应不大于(t+3)mm，t为管壁设计厚度,由管材生产企业通过设计确定,并在技术文件中给出，管壁厚度见</w:t>
      </w:r>
      <w:r>
        <w:rPr>
          <w:rFonts w:hint="eastAsia" w:ascii="仿宋" w:hAnsi="仿宋" w:eastAsia="仿宋" w:cs="仿宋"/>
          <w:bCs/>
          <w:color w:val="000000"/>
          <w:kern w:val="0"/>
          <w:sz w:val="28"/>
          <w:szCs w:val="28"/>
          <w:highlight w:val="none"/>
          <w:lang w:val="en-US" w:eastAsia="zh-CN" w:bidi="ar-SA"/>
        </w:rPr>
        <w:fldChar w:fldCharType="begin"/>
      </w:r>
      <w:r>
        <w:rPr>
          <w:rFonts w:hint="eastAsia" w:ascii="仿宋" w:hAnsi="仿宋" w:eastAsia="仿宋" w:cs="仿宋"/>
          <w:bCs/>
          <w:color w:val="000000"/>
          <w:kern w:val="0"/>
          <w:sz w:val="28"/>
          <w:szCs w:val="28"/>
          <w:highlight w:val="none"/>
          <w:lang w:val="en-US" w:eastAsia="zh-CN" w:bidi="ar-SA"/>
        </w:rPr>
        <w:instrText xml:space="preserve"> REF _Ref63245039 \h  \* MERGEFORMAT </w:instrText>
      </w:r>
      <w:r>
        <w:rPr>
          <w:rFonts w:hint="eastAsia" w:ascii="仿宋" w:hAnsi="仿宋" w:eastAsia="仿宋" w:cs="仿宋"/>
          <w:bCs/>
          <w:color w:val="000000"/>
          <w:kern w:val="0"/>
          <w:sz w:val="28"/>
          <w:szCs w:val="28"/>
          <w:highlight w:val="none"/>
          <w:lang w:val="en-US" w:eastAsia="zh-CN" w:bidi="ar-SA"/>
        </w:rPr>
        <w:fldChar w:fldCharType="separate"/>
      </w:r>
      <w:r>
        <w:rPr>
          <w:rFonts w:hint="eastAsia" w:ascii="仿宋" w:hAnsi="仿宋" w:eastAsia="仿宋" w:cs="仿宋"/>
          <w:bCs/>
          <w:color w:val="000000"/>
          <w:kern w:val="0"/>
          <w:sz w:val="28"/>
          <w:szCs w:val="28"/>
          <w:highlight w:val="none"/>
          <w:lang w:val="en-US" w:eastAsia="zh-CN" w:bidi="ar-SA"/>
        </w:rPr>
        <w:t>表 5.7</w:t>
      </w:r>
      <w:r>
        <w:rPr>
          <w:rFonts w:hint="eastAsia" w:ascii="仿宋" w:hAnsi="仿宋" w:eastAsia="仿宋" w:cs="仿宋"/>
          <w:bCs/>
          <w:color w:val="000000"/>
          <w:kern w:val="0"/>
          <w:sz w:val="28"/>
          <w:szCs w:val="28"/>
          <w:highlight w:val="none"/>
          <w:lang w:val="en-US" w:eastAsia="zh-CN" w:bidi="ar-SA"/>
        </w:rPr>
        <w:noBreakHyphen/>
      </w:r>
      <w:r>
        <w:rPr>
          <w:rFonts w:hint="eastAsia" w:ascii="仿宋" w:hAnsi="仿宋" w:eastAsia="仿宋" w:cs="仿宋"/>
          <w:bCs/>
          <w:color w:val="000000"/>
          <w:kern w:val="0"/>
          <w:sz w:val="28"/>
          <w:szCs w:val="28"/>
          <w:highlight w:val="none"/>
          <w:lang w:val="en-US" w:eastAsia="zh-CN" w:bidi="ar-SA"/>
        </w:rPr>
        <w:t>13</w:t>
      </w:r>
      <w:r>
        <w:rPr>
          <w:rFonts w:hint="eastAsia" w:ascii="仿宋" w:hAnsi="仿宋" w:eastAsia="仿宋" w:cs="仿宋"/>
          <w:bCs/>
          <w:color w:val="000000"/>
          <w:kern w:val="0"/>
          <w:sz w:val="28"/>
          <w:szCs w:val="28"/>
          <w:highlight w:val="none"/>
          <w:lang w:val="en-US" w:eastAsia="zh-CN" w:bidi="ar-SA"/>
        </w:rPr>
        <w:fldChar w:fldCharType="end"/>
      </w:r>
      <w:r>
        <w:rPr>
          <w:rFonts w:hint="eastAsia" w:ascii="仿宋" w:hAnsi="仿宋" w:eastAsia="仿宋" w:cs="仿宋"/>
          <w:bCs/>
          <w:color w:val="000000"/>
          <w:kern w:val="0"/>
          <w:sz w:val="28"/>
          <w:szCs w:val="28"/>
          <w:highlight w:val="none"/>
          <w:lang w:val="en-US" w:eastAsia="zh-CN" w:bidi="ar-SA"/>
        </w:rPr>
        <w:t>。</w:t>
      </w:r>
    </w:p>
    <w:p>
      <w:pPr>
        <w:spacing w:line="340" w:lineRule="exact"/>
        <w:rPr>
          <w:rFonts w:hint="eastAsia" w:ascii="仿宋" w:hAnsi="仿宋" w:eastAsia="仿宋" w:cs="仿宋"/>
          <w:bCs/>
          <w:color w:val="000000"/>
          <w:kern w:val="0"/>
          <w:sz w:val="28"/>
          <w:szCs w:val="28"/>
          <w:highlight w:val="none"/>
          <w:lang w:val="en-US" w:eastAsia="zh-CN" w:bidi="ar-SA"/>
        </w:rPr>
      </w:pPr>
      <w:bookmarkStart w:id="41" w:name="_Ref63245039"/>
    </w:p>
    <w:bookmarkEnd w:id="41"/>
    <w:p>
      <w:pPr>
        <w:spacing w:line="340" w:lineRule="exact"/>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管道壁厚表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公称直径DN</w:t>
            </w:r>
          </w:p>
        </w:tc>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外直径(mm)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DN 800</w:t>
            </w:r>
          </w:p>
        </w:tc>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DN 600</w:t>
            </w:r>
          </w:p>
        </w:tc>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DN 500</w:t>
            </w:r>
          </w:p>
        </w:tc>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DN 400</w:t>
            </w:r>
          </w:p>
        </w:tc>
        <w:tc>
          <w:tcPr>
            <w:tcW w:w="2500" w:type="pct"/>
          </w:tcPr>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412</w:t>
            </w:r>
          </w:p>
        </w:tc>
      </w:tr>
    </w:tbl>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（6）内衬层厚度</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应不小于1.2mm。</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（7）巴柯尔硬度</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管外表面的巴柯尔硬度应不小于40。</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（8）其他</w:t>
      </w:r>
    </w:p>
    <w:p>
      <w:pPr>
        <w:spacing w:line="34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其他指标应符合《玻璃纤维增强塑料连续缠绕夹砂管》JC/T 2538-2019等相关规范要求。</w:t>
      </w:r>
    </w:p>
    <w:p>
      <w:pPr>
        <w:spacing w:line="340" w:lineRule="exact"/>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br w:type="page"/>
      </w:r>
      <w:r>
        <w:rPr>
          <w:rFonts w:hint="eastAsia" w:ascii="仿宋" w:hAnsi="仿宋" w:eastAsia="仿宋" w:cs="仿宋"/>
          <w:bCs/>
          <w:color w:val="000000"/>
          <w:kern w:val="0"/>
          <w:sz w:val="28"/>
          <w:szCs w:val="28"/>
          <w:highlight w:val="none"/>
          <w:lang w:val="en-US" w:eastAsia="zh-CN" w:bidi="ar-SA"/>
        </w:rPr>
        <w:t>清单参数的说明</w:t>
      </w:r>
    </w:p>
    <w:p>
      <w:pPr>
        <w:widowControl/>
        <w:spacing w:line="320" w:lineRule="exact"/>
        <w:ind w:firstLine="280" w:firstLineChars="100"/>
        <w:jc w:val="lef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投标工程量及规格或型号以本工程量清单为准，本工程量清单为招标工程量及招标阶段的规格或型号，具体的技术指标及结构形式应以施工设计图纸为准；管材采用压力应符合设计要求，其性能指标符合国家标准《给水用高密度聚乙烯（PE）管材》（GB/T13663）的要求。</w:t>
      </w:r>
    </w:p>
    <w:p>
      <w:pPr>
        <w:spacing w:line="320" w:lineRule="exact"/>
        <w:ind w:firstLine="280" w:firstLineChars="1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2）上述除材料或设备费外，包括：标准附件费、备品备件费、专用工具费、技术服务费、伴随服务费、检验检测或费、培训费、运输费用、装卸费、保险费、税金等一切费用），除招标文件另有规定外，含安装费。</w:t>
      </w:r>
    </w:p>
    <w:p>
      <w:pPr>
        <w:widowControl/>
        <w:spacing w:line="320" w:lineRule="exact"/>
        <w:ind w:firstLine="280" w:firstLineChars="100"/>
        <w:jc w:val="lef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3）投标人所投的管网材料不包括配套附件，配套附件是指：连接件、紧固件（管箍、螺丝、螺母等）、垫片（密封胶垫、金属或同质材料密封垫片）、胶粘剂等安装母体所必须配套的附件，配套附件的应与所供管道的数量相配套，满足管道的安装要求，其费用包含在主材的单价或合价中，发包人不再另行支付。</w:t>
      </w:r>
    </w:p>
    <w:p>
      <w:pPr>
        <w:adjustRightInd w:val="0"/>
        <w:snapToGrid w:val="0"/>
        <w:spacing w:line="320" w:lineRule="exact"/>
        <w:ind w:firstLine="280" w:firstLineChars="100"/>
        <w:jc w:val="lef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 xml:space="preserve">（4）上述材料或产品需提供当地检验部门的检验合格证明的，其检验费用由投标人计入投标报价中，发包人不再另行支付。 </w:t>
      </w:r>
    </w:p>
    <w:p>
      <w:pPr>
        <w:pStyle w:val="7"/>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（5）本招标文件所指的目的地均为由招标人指定的项目现场（供货至现场），其费用包含在主材的单价或合价中，发包人不再另行支付。特别注意：</w:t>
      </w:r>
    </w:p>
    <w:p>
      <w:pPr>
        <w:pStyle w:val="7"/>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1、投标供应商分项报价不得高于各分项单价价格，如高于各分项报价视为无效报价,即作否决投标处理。</w:t>
      </w:r>
    </w:p>
    <w:p>
      <w:pPr>
        <w:rPr>
          <w:rFonts w:hint="default"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2、全部货物验收合格之日起 5年，在质保期内使用中如出现质量问题，供应商应在6小时内响应，12小时内派出人员到场维修或更换。</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0" w:firstLineChars="200"/>
        <w:jc w:val="both"/>
        <w:textAlignment w:val="auto"/>
        <w:rPr>
          <w:rFonts w:hint="eastAsia" w:ascii="仿宋" w:hAnsi="仿宋" w:eastAsia="仿宋" w:cs="仿宋"/>
          <w:bCs/>
          <w:color w:val="000000"/>
          <w:kern w:val="0"/>
          <w:sz w:val="28"/>
          <w:szCs w:val="28"/>
          <w:highlight w:val="none"/>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0" w:firstLineChars="200"/>
        <w:jc w:val="both"/>
        <w:textAlignment w:val="auto"/>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1.1依据产品质量监督检验部门提供的质量标准，供应商提供的产品必须是最新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1.3此次招标产生的代理费用均由中标企业支付。</w:t>
      </w:r>
    </w:p>
    <w:p>
      <w:pPr>
        <w:pStyle w:val="7"/>
        <w:ind w:firstLine="560" w:firstLineChars="200"/>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1.4保证在接到售后服务请求6小时内予以响应，在12小时内（如遇不可抗力因素除外）派出人员赶赴（到达）现场解决问题。</w:t>
      </w:r>
    </w:p>
    <w:p>
      <w:pPr>
        <w:rPr>
          <w:rFonts w:hint="default" w:eastAsia="仿宋"/>
          <w:lang w:val="en-US" w:eastAsia="zh-CN"/>
        </w:rPr>
      </w:pPr>
      <w:r>
        <w:rPr>
          <w:rFonts w:hint="default" w:eastAsia="仿宋"/>
          <w:lang w:val="en-US" w:eastAsia="zh-CN"/>
        </w:rPr>
        <w:br w:type="page"/>
      </w:r>
    </w:p>
    <w:p>
      <w:pPr>
        <w:autoSpaceDE w:val="0"/>
        <w:autoSpaceDN w:val="0"/>
        <w:adjustRightInd w:val="0"/>
        <w:spacing w:line="240" w:lineRule="auto"/>
        <w:ind w:firstLine="560" w:firstLineChars="200"/>
        <w:jc w:val="center"/>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三、质量标准</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3.1说明</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3.1.1 范围</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本章规定适用于本合同施工图纸和监理人指示的各类管网材料的采购。</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3.1.2 承包人的责任</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（1）供方负责各类货物的供应、质量的检测、检验和验收、移交等工作，以及提供为完成上述所需的全部人工、材料、专用工具、交通运输、和一切辅助作业及辅助设施等。</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（2）供方应负责货物达到要求的各项技术性能、指标和参数。</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（3）供方提供的《工程量清单》中的货物（产品）必须符合国家、或行业的相关的技术要求、质量标准，并承担缺陷责任与保修责任。</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（4）货物应取得国家有关的强制性认证、质量体系认证、批准的生产（经验、销售）许可证书、质量合格证书等。</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（5）所供货物的各项指标和参数应符合验收标准，需方有权委托中国境内有资格单位或机构对性能、指标进行检测或校核。</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（6）本节所引用的规范、规程或质量标准已颁布了新的版本，应以最新颁布的版本为准。</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3.1.3 引用标准和规程规范</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bookmarkStart w:id="42" w:name="_Hlk507977772"/>
      <w:r>
        <w:rPr>
          <w:rFonts w:hint="default" w:ascii="仿宋" w:hAnsi="仿宋" w:eastAsia="仿宋" w:cs="仿宋"/>
          <w:bCs/>
          <w:color w:val="000000"/>
          <w:kern w:val="0"/>
          <w:sz w:val="28"/>
          <w:szCs w:val="28"/>
          <w:highlight w:val="none"/>
          <w:lang w:val="en-US" w:eastAsia="zh-CN" w:bidi="ar-SA"/>
        </w:rPr>
        <w:t>（1）《村镇供水工程技术规范》（SL310）；</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（2）《给水排水管道工程施工及验收规范》（GB50268）；</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w:t>
      </w:r>
      <w:bookmarkStart w:id="43" w:name="_Hlk507977015"/>
      <w:r>
        <w:rPr>
          <w:rFonts w:hint="default" w:ascii="仿宋" w:hAnsi="仿宋" w:eastAsia="仿宋" w:cs="仿宋"/>
          <w:bCs/>
          <w:color w:val="000000"/>
          <w:kern w:val="0"/>
          <w:sz w:val="28"/>
          <w:szCs w:val="28"/>
          <w:highlight w:val="none"/>
          <w:lang w:val="en-US" w:eastAsia="zh-CN" w:bidi="ar-SA"/>
        </w:rPr>
        <w:t>《给水用高密度聚乙烯（PE）管材》（GB/T13663）</w:t>
      </w:r>
      <w:bookmarkEnd w:id="43"/>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（4）《水利水电工程施工质量检验与评定规程》（SL176）</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（5）《水利水电建设工程验收规程》（SL223）。</w:t>
      </w:r>
    </w:p>
    <w:bookmarkEnd w:id="42"/>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3.2管网材料及管道配件的一般规定</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3.2.1本节规定适用于管网工程交付的材料（产品）或设备其各项技术、经济指标所述的标准必须符合国家最新颁布的有关标准。</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3.2.2生产管材的材料应满足以下要求：</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（1）生产管材的材料应以聚乙烯树脂为主，加入为生产符合本标准的管材所必要的添加剂组成的混合。混合料中不允许加入增塑剂。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（2）允许使用满足本标准的本厂的回头料。不得使用其他再加工材料。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3.2.3管材的技术标准必须满足以下要求：</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（1）外观：管材内外表面应光滑、平整、无凹陷、分解变色线和其他影响性能的表面缺陷。管材不应含有可见杂质。管材端面应切割平整并与轴线垂直；</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（2）不透光性：管材应不透光，按GB/T1002.1-2006规定检验；</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（3）管材长度尺寸：管材的长度一般为4m、6m、8m、12m，可由供需双方商定或按招标文件《工程量清单中》的规定。长度极限偏差为长度的+0.1%-0.2%。按GB/T1002.1-2006的规定测量 ，管材长度不包括承口深度；</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（4）管材弯曲度：应符合GB/T1002.1-2006的有关规定；</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（5）平均外径及偏差和不圆度：应符合GB/T1002.1-2006的有关规定；</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（6）壁厚：管材任一点壁厚及偏差应符合GB/T1002.1-2006的有关规定；管材平均壁厚及允许偏差应符合GB/T1002.1-2006的有关规定；</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（7）承口：橡胶密封圈式连接的承口最小深度应符合GB/T1002.1-2006的有关规定；溶剂粘接型承口最小深度、承口中部径尺寸应符合GB/T1002.1-2006的有关规定；溶剂粘接型承口壁厚不得低于管材公称壁厚的75%。</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3.2.4材料的物理、力学性能指标应符合GB/T1002.1-2006的有关规定。</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3.2.5管材性能指标：</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目前在长距离中小管径的管道输水工程中，应用较多为预应力钢筋混凝土管（PCCP）、玻璃钢管、钢管、球墨铸铁管、PE 管和 PVC-U 管等。参考已建工程管材比选的特点以及各种管材在新疆的应用情况，本次工程对上述 6 种管材方案进行介绍。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（1）预应力钢筒混凝土管（PCCP）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PCCP 管是一种钢筒与混凝土制作的复合管，管芯为混凝土，在其外壁或中部埋入钢筒，在管芯上环向缠绕预应力高强钢丝，并在其外部喷水泥砂浆保护层。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PCCP管应用至今已有近 70 年的历史，从管材设计、制造、检测到运输、安装、使用等方面均已实现了规范化，广泛用于长距离输水工程。PCCP 管材在工作状态下，由管芯中（处）的薄钢筒承担管材的抗渗和一定程度的纵向抗拉功能，由缠在管芯外的预应力钢丝和管芯混凝土承受管材的内部水压和外部土荷载及其它动静荷载，通过保护层砂浆保证预应力钢丝免遭侵蚀，因此 PCCP 管结合了钢管和普通预应力混凝土管的优点，充分发挥混凝土抗压、钢丝抗拉、钢筒抗渗等性能，其承受内外压的能力均较高，刚性管壁和粗糙外表面使之有很好的耐久性。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PCCP 管内壁是内衬混凝土，外壁是喷射砂浆保护层，接口处内外均用水泥砂浆嵌缝，外层砂浆保护层的抗侵蚀能力较低。当场地土及地下水对普通水泥具有腐蚀性时，在管道外壁需采取一定的防腐措施。另外 PCCP 管中的预应力钢丝及钢筒还受地基中腐蚀性土或其它杂散电流的影响，应考虑发生电化学腐蚀的可能，应采取阴极保护措施。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PCCP 管的缺点主要是吊装重量大，装卸和搬运相对困难，不可弯曲和切割，单根管道长度一般为 5m 或 6m，接头数量相对较多。施工时需配合应用一些槽内安装的简易设备，运输费用相应也较高。另由于糙率相对较大（糙率系数为 0.011～0.0125），输水阻力相应较大，对于低压输水工程不利。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（2）玻璃纤维增强塑料夹砂管（FRPM）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玻璃纤维增强塑料夹砂管（简称玻璃钢管）是由玻璃纤维纱、不饱和树脂、石英砂为主要原材料复合而成，具有抵抗酸、碱、盐及电腐蚀等介质的侵蚀，耐腐蚀性好，长期运行后内壁不结垢的特点，基本不需要单独作防腐处理。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玻璃钢管结构分为内衬层、结构层、外保护层。内衬层起到防腐蚀、防渗漏的作用；结构层起到增强管道刚度和强度的作用；外保护层起到抗老化、抗紫外线作用。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玻璃钢管的在正常使用情况下，使用寿命一般为 30 年，其优缺点主要表现如下：优点：重量轻，运输、施工安装方便。玻璃钢管单根管道长度可达到 12m 甚至更长，可减少接头数量，降低施工费用，加快施工进度；水力性能优越，内壁光滑，糙率小，水头损失小、节省能耗。缺点是：管道壁薄，运输及安装过程中易因碰撞产生薄弱点，施工中应严加注意，承受外压能力是管材本身刚度和回填材料反作用力的组合，相对承外压能力较弱，管道施工对回填材料和回填料密实度要求较高；由于重量较轻，管沟中水位对空管浮力较大，因此在类似情况施工过程中需采取一定的抗浮措施。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玻璃钢管生产工艺主要有三种：定长缠绕工艺、离心浇筑工艺、连续缠绕工艺。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定长缠绕玻璃钢管是在长度一定的管模上，采用螺旋缠绕或环向缠绕工艺在管道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模具长度内由内至外逐层制造管材的生产方法。管道的标准长度为 12m，连接采用承插式，并设置两道橡胶圈，安装方便。玻璃钢管的法兰、弯头、三通、变径管等可根据需要制作。玻璃钢管为柔性管道，刚度相对较小，接头采用柔性橡胶圈密封，变形可在 1°～3°之内，适应地基不均匀沉降能力相对较强，对于较小的转弯可通过接头借转而不制作弯头。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离心浇铸玻璃钢管也叫 HOBAS 管，是用投料机把玻璃纤维、树脂、石英砂按照一定要求浇筑到旋转着的模具内，固化后形成管材。标准管长为 6m，接头用 EPDM 橡胶做衬圈，外缠玻璃纤维粗纱而成，具有很高的强度和抗蚀、抗老化性能。橡胶衬圈用于密封的一侧呈倒顺牙型，与平口的HOBAS管相接，安装便捷，密封性好，抗震能力强，接口多，适应于低压管道。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连续缠绕玻璃钢管是在连续输出的模具上，把树脂、连续纤维、短切纤维和石英砂按一定要求采用环向缠绕方法连续铺层，经固化后切割成需要的长度，由于其为外径系列管道，可灵活进行管道切断，现场切断后，剩余管道可用于下游管段，仅需要采用瑞卡接头进行连接即可，不浪费施工管道，也不需要单独处理接头，施工方便。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根据《玻璃纤维增强塑料夹砂管》（GB/T 21238-2016）中的相关要求，连续缠绕工艺各项物理指标比离心浇筑工艺和定长缠绕工艺高，其连接和检修较方便，不同生产工艺比选内容详见表 5.4-1，本阶段推荐选用连续缠绕玻璃钢夹砂管。</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（3）钢管（SP）</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目前一般对于大口径、承高压的输水工程可采用螺旋缝埋弧焊钢管。承压流体输 送用螺旋缝埋弧焊钢管（SY5036）是以热轧钢带卷作管坯，经常温螺旋成型，用双面埋弧焊法焊接，钢管承压能力强，焊接性能好，经过各种严格的科学检验和测试，使用安全可靠。</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钢管根据防腐材料可分为涂塑钢管和 3PE 钢管两种。涂塑钢管内防腐采用热熔环氧树脂，外防腐采用热熔聚乙烯。防腐在工厂标准化加工好，质量控制较好。现场补口内壁采用温型液态树脂或不锈钢内衬，外侧采用热收缩带。管道糙率相对较小，内壁较为光滑，摩阻系数较小，是一种安全可靠、性价比高的新型节能管材。3PE 钢管内防腐采用常温型液态树脂或热熔环氧树脂，外防腐采用 3 层结构，依次为热熔型环氧树脂、粘胶层和热缠绕聚乙烯保护层。防腐在工厂标准化加工好，质量控制较好。现场补口内壁采用温型液态树脂，外侧采用热收缩带。管道糙率与涂塑钢管一致，目前在石油天然气管道行业应用广泛，是一种安全可靠，性价比高的传统管材。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钢管的优点是机械强度较好，可以承受较高的内压和外压，抗内压能力在所有管材里面是最强的，可达10MPa以上。钢管富延展性、耐振动及冲击，接头可焊成一体，不需防止脱离，相对来说可以减少一部分弯管镇墩的工程量。钢管制作和焊接较为方便，还可以制成各种管件，对地形的适应性较强，尤其是在穿越河流、公路、山谷和障碍物时最为方便。钢管与设备和各类异型管件连接可采用法兰或焊接的方式，简便可靠。钢管易于维修，便于切割、开孔，对今后运行管理非常便利。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输水钢管最重要的是解决防腐问题，钢管本身容易生锈、抗侵蚀性能较差，外壁腐蚀主要是电化学腐蚀，目前钢管外防腐主要采取涂层防护和阴极保护。钢管的内防腐主要是用水泥砂浆涂衬或内涂层防护，防止管内的水直接和钢管接触，防腐效果较好。与其他管材相比，钢管现场的工作量较大，施工速度较慢，施工现场焊接需要有电源，并保证工作坑内无积水，涌水地点施工困难，安装费用相对较高。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（4）球墨铸铁管（DIP）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铸铁管广泛应用于城镇供排水工程，目前已有近 300 年的使用历史。上世纪 50 年代，球墨铸铁新技术的出现，让铸铁管的性能产生了质的飞跃。球墨铸铁管是使用 18 号以上的铸造铁水经添加球化剂后，经过离心球墨铸铁机高速离心铸造成的管道。球墨铸铁管是目前给水管中应用较多的管材，球墨铸铁管的优点是强度高，使用年代长，安全性高，管道承受压力较高，采用橡胶圈接口，柔性较好，对地基适应性较强，耐腐蚀性强，富有强韧性，耐冲击强度大。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球墨铸铁管一般为 5-6m 长，接头型式有 T 型接口、XT2 型接口、TF 自锚接口、Xanchor 自锚接口和法兰接口等，常用的为 T 型接口，单胶圈密封止水，属于柔性连接。接头施工方便、快捷。外防腐型式采用表面喷锌+环氧煤沥青防腐层。锌喷涂的厚度不小于 130g/㎡，锌层表面喷涂一层平均厚度不小于 70μm 的环氧煤沥青防腐层，本工程还需要采用聚乙烯套进行增强防腐；内防腐形式为水泥砂浆喷涂，厚度为 3-12mm。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（5）PVC-U 管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PVC-U 管是聚乙烯复合管管材，优点是耐腐蚀性好，埋地施工无需内外防腐；密封性良好，采用承插连接，施工较为简单；无毒，安全卫生；属于柔性管材，对地基的适应性较好；耐磨，耐久性等指标均较高。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（6）PE 管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PE 管是用聚乙烯树脂为主要原料，经挤出成型的一种给水管材。优点是耐腐蚀性好，埋地施工无需内外防腐；密封性良好，采用电热熔连接，管材与管件溶为一体，接头较为可靠；无毒，安全卫生；属于柔性管材，对地基的适应性较好；耐磨，耐久性等指标均较高。但目前限于生产工艺水平，最大只能做到 DN1000 的口径；DN500~DN1000 的价格相对昂贵，故一般用于小口径（DN400 以内）的工程。 </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3.2.6生产的材料应满足以下要求：</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（1）生产管材的材料应以聚乙烯树脂或PE混合料，混合料应以聚乙烯树脂或PE树脂为主，加入为生产符合本标准的管件所需的添加剂。</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（2）树脂必须是卫生级，加人的添加剂不得使输送介质产生毒性、引起感官不良感觉或有助于微生物的生长。同时不影响产品的粘接性能以及影响GB/T1002.2-2003规定的其它性能。</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（3）允许使用满足本标准性能的本厂回头料。不得使用外部得到其它再加工材料。   </w:t>
      </w:r>
      <w:bookmarkStart w:id="44" w:name="_Toc96702"/>
    </w:p>
    <w:p>
      <w:pPr>
        <w:autoSpaceDE w:val="0"/>
        <w:autoSpaceDN w:val="0"/>
        <w:adjustRightInd w:val="0"/>
        <w:spacing w:line="240" w:lineRule="auto"/>
        <w:ind w:firstLine="560" w:firstLineChars="200"/>
        <w:jc w:val="center"/>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四、验收标准</w:t>
      </w:r>
      <w:bookmarkEnd w:id="44"/>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 4.1检测和测试</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 （1）发包人或其代表应有权对所供材料进行检验或测试材料，以确认材料能符合合同规定的要求，并且不承担额外的费用。</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 （2）检测和测试可以在供方或其分包人的驻地、交货地点或材料的最终目的地进行,发包人不应承担费用。</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（3）如果任何被检验或测试材料不能满足规格的要求，发包人可以拒绝接受该材料，供方应更换被拒绝的材料，或者经监理确认免费进行必要的修改以满足规定的要求。</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（4）管材的检测人必须是当地技术监督部门（如需对管材进行浸泡试验的，管材的浸泡试验可委托当地水质监测部门），其检测费用由承包人承担。</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（5）管材卫生指标的检测应由省部级卫生疾控部门进行检测认定并出具检测报告。</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（6）到场的材料必须按每批次向发包人提供当年度能证明所供各种规格或型号材料（设备）出厂合格的检验报告。</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（7）到场的材料必须按每批次向发包人提供当年度能证明所供各种规格或型号材料（设备）出厂合格的检验报告。提供的检验报告应是具有合格的、相应检验资质的部门所出具。</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4.2验收</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（1）按照“工程量清单”规定的规格或型号、数量等技术要求由发包人组织会同监理人及承包人对每批次进场管材进行验收交货。</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（2）管材验收按以下标准，并符合以下规范、标准的要求（但不限于）：《水利水电工程施工质量检验与评定规程》（SL176）、《水利水电建设工程验收规程》（SL223）。</w:t>
      </w:r>
    </w:p>
    <w:p>
      <w:pPr>
        <w:autoSpaceDE w:val="0"/>
        <w:autoSpaceDN w:val="0"/>
        <w:adjustRightInd w:val="0"/>
        <w:spacing w:line="240" w:lineRule="auto"/>
        <w:ind w:firstLine="560" w:firstLineChars="200"/>
        <w:jc w:val="center"/>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五、相关服务</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5.1伴随服务</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（1）实施或监督所提供材料现场组装等相关或类似服务。</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  （2）如发包人需要，供方应负责对发包人指定的相关人员进行培训等。</w:t>
      </w:r>
    </w:p>
    <w:p>
      <w:pPr>
        <w:autoSpaceDE w:val="0"/>
        <w:autoSpaceDN w:val="0"/>
        <w:adjustRightInd w:val="0"/>
        <w:spacing w:line="240" w:lineRule="auto"/>
        <w:ind w:firstLine="560" w:firstLineChars="200"/>
        <w:rPr>
          <w:rFonts w:hint="default" w:ascii="仿宋" w:hAnsi="仿宋" w:eastAsia="仿宋" w:cs="仿宋"/>
          <w:bCs/>
          <w:color w:val="000000"/>
          <w:kern w:val="0"/>
          <w:sz w:val="28"/>
          <w:szCs w:val="28"/>
          <w:highlight w:val="none"/>
          <w:lang w:val="en-US" w:eastAsia="zh-CN" w:bidi="ar-SA"/>
        </w:rPr>
      </w:pPr>
      <w:r>
        <w:rPr>
          <w:rFonts w:hint="default" w:ascii="仿宋" w:hAnsi="仿宋" w:eastAsia="仿宋" w:cs="仿宋"/>
          <w:bCs/>
          <w:color w:val="000000"/>
          <w:kern w:val="0"/>
          <w:sz w:val="28"/>
          <w:szCs w:val="28"/>
          <w:highlight w:val="none"/>
          <w:lang w:val="en-US" w:eastAsia="zh-CN" w:bidi="ar-SA"/>
        </w:rPr>
        <w:t xml:space="preserve">  （3）供方提供的伴随服务的费用应包含在材料的合同价中，双方就其实施细节和责任应在协议书中进一步明确。</w:t>
      </w:r>
    </w:p>
    <w:p>
      <w:pPr>
        <w:rPr>
          <w:rFonts w:hint="default"/>
          <w:lang w:val="en-US" w:eastAsia="zh-CN"/>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2"/>
        <w:spacing w:line="240" w:lineRule="auto"/>
        <w:ind w:firstLine="2670" w:firstLineChars="950"/>
        <w:rPr>
          <w:rFonts w:hint="eastAsia" w:ascii="仿宋" w:hAnsi="仿宋" w:eastAsia="仿宋" w:cs="仿宋"/>
          <w:b/>
          <w:color w:val="000000"/>
          <w:sz w:val="28"/>
          <w:szCs w:val="28"/>
          <w:highlight w:val="none"/>
        </w:rPr>
      </w:pPr>
      <w:bookmarkStart w:id="45" w:name="_Toc3029"/>
      <w:bookmarkStart w:id="46" w:name="_Toc2232"/>
      <w:bookmarkStart w:id="47" w:name="_Toc24059"/>
    </w:p>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45"/>
      <w:bookmarkEnd w:id="46"/>
      <w:bookmarkEnd w:id="4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2"/>
        <w:spacing w:line="240" w:lineRule="auto"/>
        <w:rPr>
          <w:rFonts w:hint="eastAsia" w:ascii="仿宋" w:hAnsi="仿宋" w:eastAsia="仿宋" w:cs="仿宋"/>
          <w:bCs/>
          <w:color w:val="000000"/>
          <w:sz w:val="28"/>
          <w:szCs w:val="28"/>
          <w:highlight w:val="none"/>
        </w:rPr>
      </w:pPr>
      <w:bookmarkStart w:id="48" w:name="_Toc27126"/>
      <w:bookmarkStart w:id="49" w:name="_Toc21295"/>
      <w:bookmarkStart w:id="50" w:name="_Toc24300"/>
      <w:r>
        <w:rPr>
          <w:rFonts w:hint="eastAsia" w:ascii="仿宋" w:hAnsi="仿宋" w:eastAsia="仿宋" w:cs="仿宋"/>
          <w:bCs/>
          <w:color w:val="000000"/>
          <w:sz w:val="28"/>
          <w:szCs w:val="28"/>
          <w:highlight w:val="none"/>
        </w:rPr>
        <w:t>1.2 货物</w:t>
      </w:r>
      <w:bookmarkEnd w:id="48"/>
      <w:bookmarkEnd w:id="49"/>
      <w:bookmarkEnd w:id="50"/>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2"/>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2"/>
        <w:spacing w:line="240" w:lineRule="auto"/>
        <w:rPr>
          <w:rFonts w:hint="eastAsia" w:ascii="仿宋" w:hAnsi="仿宋" w:eastAsia="仿宋" w:cs="仿宋"/>
          <w:bCs/>
          <w:color w:val="000000"/>
          <w:sz w:val="28"/>
          <w:szCs w:val="28"/>
          <w:highlight w:val="none"/>
        </w:rPr>
      </w:pPr>
      <w:bookmarkStart w:id="51" w:name="_Toc21631"/>
      <w:bookmarkStart w:id="52" w:name="_Toc23292"/>
      <w:bookmarkStart w:id="53" w:name="_Toc21551"/>
      <w:r>
        <w:rPr>
          <w:rFonts w:hint="eastAsia" w:ascii="仿宋" w:hAnsi="仿宋" w:eastAsia="仿宋" w:cs="仿宋"/>
          <w:bCs/>
          <w:color w:val="000000"/>
          <w:sz w:val="28"/>
          <w:szCs w:val="28"/>
          <w:highlight w:val="none"/>
        </w:rPr>
        <w:t>1.3 价款</w:t>
      </w:r>
      <w:bookmarkEnd w:id="51"/>
      <w:bookmarkEnd w:id="52"/>
      <w:bookmarkEnd w:id="5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2"/>
        <w:spacing w:line="240" w:lineRule="auto"/>
        <w:rPr>
          <w:rFonts w:hint="eastAsia" w:ascii="仿宋" w:hAnsi="仿宋" w:eastAsia="仿宋" w:cs="仿宋"/>
          <w:bCs/>
          <w:color w:val="000000"/>
          <w:sz w:val="28"/>
          <w:szCs w:val="28"/>
          <w:highlight w:val="none"/>
        </w:rPr>
      </w:pPr>
      <w:bookmarkStart w:id="54" w:name="_Toc32071"/>
      <w:bookmarkStart w:id="55" w:name="_Toc19304"/>
      <w:bookmarkStart w:id="56" w:name="_Toc2846"/>
      <w:r>
        <w:rPr>
          <w:rFonts w:hint="eastAsia" w:ascii="仿宋" w:hAnsi="仿宋" w:eastAsia="仿宋" w:cs="仿宋"/>
          <w:bCs/>
          <w:color w:val="000000"/>
          <w:sz w:val="28"/>
          <w:szCs w:val="28"/>
          <w:highlight w:val="none"/>
        </w:rPr>
        <w:t>1.5 货物交付期限、地点和方式</w:t>
      </w:r>
      <w:bookmarkEnd w:id="54"/>
      <w:bookmarkEnd w:id="55"/>
      <w:bookmarkEnd w:id="56"/>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2"/>
        <w:spacing w:line="240" w:lineRule="auto"/>
        <w:rPr>
          <w:rFonts w:hint="eastAsia" w:ascii="仿宋" w:hAnsi="仿宋" w:eastAsia="仿宋" w:cs="仿宋"/>
          <w:bCs/>
          <w:color w:val="000000"/>
          <w:sz w:val="28"/>
          <w:szCs w:val="28"/>
          <w:highlight w:val="none"/>
        </w:rPr>
      </w:pPr>
      <w:bookmarkStart w:id="57" w:name="_Toc19554"/>
      <w:bookmarkStart w:id="58" w:name="_Toc21423"/>
      <w:bookmarkStart w:id="59" w:name="_Toc27250"/>
      <w:r>
        <w:rPr>
          <w:rFonts w:hint="eastAsia" w:ascii="仿宋" w:hAnsi="仿宋" w:eastAsia="仿宋" w:cs="仿宋"/>
          <w:bCs/>
          <w:color w:val="000000"/>
          <w:sz w:val="28"/>
          <w:szCs w:val="28"/>
          <w:highlight w:val="none"/>
        </w:rPr>
        <w:t>1.6 违约责任</w:t>
      </w:r>
      <w:bookmarkEnd w:id="57"/>
      <w:bookmarkEnd w:id="58"/>
      <w:bookmarkEnd w:id="5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2"/>
        <w:spacing w:line="240" w:lineRule="auto"/>
        <w:rPr>
          <w:rFonts w:hint="eastAsia" w:ascii="仿宋" w:hAnsi="仿宋" w:eastAsia="仿宋" w:cs="仿宋"/>
          <w:bCs/>
          <w:color w:val="000000"/>
          <w:sz w:val="28"/>
          <w:szCs w:val="28"/>
          <w:highlight w:val="none"/>
        </w:rPr>
      </w:pPr>
      <w:bookmarkStart w:id="60" w:name="_Toc16021"/>
      <w:bookmarkStart w:id="61" w:name="_Toc15583"/>
      <w:bookmarkStart w:id="62" w:name="_Toc28375"/>
      <w:r>
        <w:rPr>
          <w:rFonts w:hint="eastAsia" w:ascii="仿宋" w:hAnsi="仿宋" w:eastAsia="仿宋" w:cs="仿宋"/>
          <w:bCs/>
          <w:color w:val="000000"/>
          <w:sz w:val="28"/>
          <w:szCs w:val="28"/>
          <w:highlight w:val="none"/>
        </w:rPr>
        <w:t>1.7 合同争议的解决</w:t>
      </w:r>
      <w:bookmarkEnd w:id="60"/>
      <w:bookmarkEnd w:id="61"/>
      <w:bookmarkEnd w:id="6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2"/>
        <w:spacing w:line="240" w:lineRule="auto"/>
        <w:rPr>
          <w:rFonts w:hint="eastAsia" w:ascii="仿宋" w:hAnsi="仿宋" w:eastAsia="仿宋" w:cs="仿宋"/>
          <w:bCs/>
          <w:color w:val="000000"/>
          <w:sz w:val="28"/>
          <w:szCs w:val="28"/>
          <w:highlight w:val="none"/>
        </w:rPr>
      </w:pPr>
      <w:bookmarkStart w:id="63" w:name="_Toc15322"/>
      <w:bookmarkStart w:id="64" w:name="_Toc7245"/>
      <w:bookmarkStart w:id="65" w:name="_Toc11173"/>
      <w:r>
        <w:rPr>
          <w:rFonts w:hint="eastAsia" w:ascii="仿宋" w:hAnsi="仿宋" w:eastAsia="仿宋" w:cs="仿宋"/>
          <w:bCs/>
          <w:color w:val="000000"/>
          <w:sz w:val="28"/>
          <w:szCs w:val="28"/>
          <w:highlight w:val="none"/>
        </w:rPr>
        <w:t>1.8 合同生效</w:t>
      </w:r>
      <w:bookmarkEnd w:id="63"/>
      <w:bookmarkEnd w:id="64"/>
      <w:bookmarkEnd w:id="65"/>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2"/>
        <w:spacing w:line="240" w:lineRule="auto"/>
        <w:ind w:firstLine="2660" w:firstLineChars="950"/>
        <w:rPr>
          <w:rFonts w:hint="eastAsia" w:ascii="仿宋" w:hAnsi="仿宋" w:eastAsia="仿宋" w:cs="仿宋"/>
          <w:bCs/>
          <w:color w:val="000000"/>
          <w:sz w:val="28"/>
          <w:szCs w:val="28"/>
          <w:highlight w:val="none"/>
          <w:lang w:val="zh-CN"/>
        </w:rPr>
      </w:pP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法定代表人或                          </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lang w:val="zh-CN"/>
        </w:rPr>
        <w:t>代表人</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2"/>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2"/>
        <w:spacing w:line="240" w:lineRule="auto"/>
        <w:ind w:firstLine="2660" w:firstLineChars="950"/>
        <w:rPr>
          <w:rFonts w:hint="eastAsia" w:ascii="仿宋" w:hAnsi="仿宋" w:eastAsia="仿宋" w:cs="仿宋"/>
          <w:bCs/>
          <w:color w:val="000000"/>
          <w:sz w:val="28"/>
          <w:szCs w:val="28"/>
          <w:highlight w:val="none"/>
        </w:rPr>
      </w:pPr>
      <w:bookmarkStart w:id="66" w:name="_Toc331685783"/>
    </w:p>
    <w:p>
      <w:pPr>
        <w:pStyle w:val="12"/>
        <w:spacing w:line="240" w:lineRule="auto"/>
        <w:ind w:firstLine="2660" w:firstLineChars="950"/>
        <w:rPr>
          <w:rFonts w:hint="eastAsia" w:ascii="仿宋" w:hAnsi="仿宋" w:eastAsia="仿宋" w:cs="仿宋"/>
          <w:bCs/>
          <w:color w:val="000000"/>
          <w:sz w:val="28"/>
          <w:szCs w:val="28"/>
          <w:highlight w:val="none"/>
        </w:rPr>
      </w:pPr>
    </w:p>
    <w:p>
      <w:pPr>
        <w:pStyle w:val="12"/>
        <w:spacing w:line="240" w:lineRule="auto"/>
        <w:rPr>
          <w:rFonts w:hint="eastAsia" w:ascii="仿宋" w:hAnsi="仿宋" w:eastAsia="仿宋" w:cs="仿宋"/>
          <w:bCs/>
          <w:color w:val="000000"/>
          <w:sz w:val="28"/>
          <w:szCs w:val="28"/>
          <w:highlight w:val="none"/>
        </w:rPr>
      </w:pPr>
    </w:p>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66"/>
    </w:p>
    <w:p>
      <w:pPr>
        <w:pStyle w:val="12"/>
        <w:spacing w:line="240" w:lineRule="auto"/>
        <w:rPr>
          <w:rFonts w:hint="eastAsia" w:ascii="仿宋" w:hAnsi="仿宋" w:eastAsia="仿宋" w:cs="仿宋"/>
          <w:bCs/>
          <w:color w:val="000000"/>
          <w:sz w:val="28"/>
          <w:szCs w:val="28"/>
          <w:highlight w:val="none"/>
        </w:rPr>
      </w:pPr>
      <w:bookmarkStart w:id="67" w:name="_Ref467379214"/>
      <w:bookmarkStart w:id="68" w:name="_Ref467378463"/>
      <w:bookmarkStart w:id="69" w:name="_Ref467379205"/>
      <w:bookmarkStart w:id="70" w:name="_Toc28763"/>
      <w:bookmarkStart w:id="71" w:name="_Ref467379109"/>
      <w:bookmarkStart w:id="72" w:name="_Toc487900349"/>
      <w:bookmarkStart w:id="73" w:name="_Toc259093669"/>
      <w:bookmarkStart w:id="74" w:name="_Ref467379101"/>
      <w:bookmarkStart w:id="75" w:name="_Toc279701240"/>
      <w:bookmarkStart w:id="76" w:name="_Ref467379195"/>
      <w:bookmarkStart w:id="77" w:name="_Toc16917"/>
      <w:bookmarkStart w:id="78" w:name="_Ref467378499"/>
      <w:bookmarkStart w:id="79" w:name="_Ref467379094"/>
      <w:bookmarkStart w:id="80" w:name="_Toc19614"/>
      <w:bookmarkStart w:id="81" w:name="_Ref467379225"/>
      <w:bookmarkStart w:id="82" w:name="_Ref467378404"/>
      <w:r>
        <w:rPr>
          <w:rFonts w:hint="eastAsia" w:ascii="仿宋" w:hAnsi="仿宋" w:eastAsia="仿宋" w:cs="仿宋"/>
          <w:bCs/>
          <w:color w:val="000000"/>
          <w:sz w:val="28"/>
          <w:szCs w:val="28"/>
          <w:highlight w:val="none"/>
        </w:rPr>
        <w:t>2.1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2"/>
        <w:spacing w:line="240" w:lineRule="auto"/>
        <w:rPr>
          <w:rFonts w:hint="eastAsia" w:ascii="仿宋" w:hAnsi="仿宋" w:eastAsia="仿宋" w:cs="仿宋"/>
          <w:bCs/>
          <w:color w:val="000000"/>
          <w:sz w:val="28"/>
          <w:szCs w:val="28"/>
          <w:highlight w:val="none"/>
        </w:rPr>
      </w:pPr>
      <w:bookmarkStart w:id="83" w:name="_Ref467378840"/>
      <w:r>
        <w:rPr>
          <w:rFonts w:hint="eastAsia" w:ascii="仿宋" w:hAnsi="仿宋" w:eastAsia="仿宋" w:cs="仿宋"/>
          <w:bCs/>
          <w:color w:val="000000"/>
          <w:sz w:val="28"/>
          <w:szCs w:val="28"/>
          <w:highlight w:val="none"/>
        </w:rPr>
        <w:t>2.1.4 “甲方”系指与中标供应商签署合同的采购人</w:t>
      </w:r>
      <w:bookmarkEnd w:id="83"/>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2"/>
        <w:spacing w:line="240" w:lineRule="auto"/>
        <w:rPr>
          <w:rFonts w:hint="eastAsia" w:ascii="仿宋" w:hAnsi="仿宋" w:eastAsia="仿宋" w:cs="仿宋"/>
          <w:bCs/>
          <w:color w:val="000000"/>
          <w:sz w:val="28"/>
          <w:szCs w:val="28"/>
          <w:highlight w:val="none"/>
        </w:rPr>
      </w:pPr>
      <w:bookmarkStart w:id="84" w:name="_Ref467379400"/>
      <w:r>
        <w:rPr>
          <w:rFonts w:hint="eastAsia" w:ascii="仿宋" w:hAnsi="仿宋" w:eastAsia="仿宋" w:cs="仿宋"/>
          <w:bCs/>
          <w:color w:val="000000"/>
          <w:sz w:val="28"/>
          <w:szCs w:val="28"/>
          <w:highlight w:val="none"/>
        </w:rPr>
        <w:t>2.1.5 “乙方”系指根据合同约定交付货物的中标供应商</w:t>
      </w:r>
      <w:bookmarkEnd w:id="84"/>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2"/>
        <w:spacing w:line="240" w:lineRule="auto"/>
        <w:rPr>
          <w:rFonts w:hint="eastAsia" w:ascii="仿宋" w:hAnsi="仿宋" w:eastAsia="仿宋" w:cs="仿宋"/>
          <w:bCs/>
          <w:color w:val="000000"/>
          <w:sz w:val="28"/>
          <w:szCs w:val="28"/>
          <w:highlight w:val="none"/>
        </w:rPr>
      </w:pPr>
      <w:bookmarkStart w:id="85" w:name="_Ref467379436"/>
      <w:r>
        <w:rPr>
          <w:rFonts w:hint="eastAsia" w:ascii="仿宋" w:hAnsi="仿宋" w:eastAsia="仿宋" w:cs="仿宋"/>
          <w:bCs/>
          <w:color w:val="000000"/>
          <w:sz w:val="28"/>
          <w:szCs w:val="28"/>
          <w:highlight w:val="none"/>
        </w:rPr>
        <w:t>2.1.6 “现场”系指合同约定货物将要运至或者安装的地点。</w:t>
      </w:r>
      <w:bookmarkEnd w:id="85"/>
    </w:p>
    <w:p>
      <w:pPr>
        <w:pStyle w:val="12"/>
        <w:spacing w:line="240" w:lineRule="auto"/>
        <w:rPr>
          <w:rFonts w:hint="eastAsia" w:ascii="仿宋" w:hAnsi="仿宋" w:eastAsia="仿宋" w:cs="仿宋"/>
          <w:bCs/>
          <w:color w:val="000000"/>
          <w:sz w:val="28"/>
          <w:szCs w:val="28"/>
          <w:highlight w:val="none"/>
        </w:rPr>
      </w:pPr>
      <w:bookmarkStart w:id="86" w:name="_Toc279701241"/>
      <w:bookmarkStart w:id="87" w:name="_Toc487900350"/>
      <w:bookmarkStart w:id="88" w:name="_Toc32504"/>
      <w:bookmarkStart w:id="89" w:name="_Toc259093670"/>
      <w:bookmarkStart w:id="90" w:name="_Toc13336"/>
      <w:bookmarkStart w:id="91" w:name="_Toc27635"/>
      <w:r>
        <w:rPr>
          <w:rFonts w:hint="eastAsia" w:ascii="仿宋" w:hAnsi="仿宋" w:eastAsia="仿宋" w:cs="仿宋"/>
          <w:bCs/>
          <w:color w:val="000000"/>
          <w:sz w:val="28"/>
          <w:szCs w:val="28"/>
          <w:highlight w:val="none"/>
        </w:rPr>
        <w:t>2.2 技术规范</w:t>
      </w:r>
      <w:bookmarkEnd w:id="86"/>
      <w:bookmarkEnd w:id="87"/>
      <w:bookmarkEnd w:id="88"/>
      <w:bookmarkEnd w:id="89"/>
      <w:bookmarkEnd w:id="90"/>
      <w:bookmarkEnd w:id="9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2"/>
        <w:spacing w:line="240" w:lineRule="auto"/>
        <w:rPr>
          <w:rFonts w:hint="eastAsia" w:ascii="仿宋" w:hAnsi="仿宋" w:eastAsia="仿宋" w:cs="仿宋"/>
          <w:bCs/>
          <w:color w:val="000000"/>
          <w:sz w:val="28"/>
          <w:szCs w:val="28"/>
          <w:highlight w:val="none"/>
        </w:rPr>
      </w:pPr>
      <w:bookmarkStart w:id="92" w:name="_Toc259093671"/>
      <w:bookmarkStart w:id="93" w:name="_Toc27853"/>
      <w:bookmarkStart w:id="94" w:name="_Toc279701242"/>
      <w:bookmarkStart w:id="95" w:name="_Toc31634"/>
      <w:bookmarkStart w:id="96" w:name="_Toc9829"/>
      <w:bookmarkStart w:id="97" w:name="_Toc487900351"/>
      <w:r>
        <w:rPr>
          <w:rFonts w:hint="eastAsia" w:ascii="仿宋" w:hAnsi="仿宋" w:eastAsia="仿宋" w:cs="仿宋"/>
          <w:bCs/>
          <w:color w:val="000000"/>
          <w:sz w:val="28"/>
          <w:szCs w:val="28"/>
          <w:highlight w:val="none"/>
        </w:rPr>
        <w:t>2.3 知识产权</w:t>
      </w:r>
      <w:bookmarkEnd w:id="92"/>
      <w:bookmarkEnd w:id="93"/>
      <w:bookmarkEnd w:id="94"/>
      <w:bookmarkEnd w:id="95"/>
      <w:bookmarkEnd w:id="96"/>
      <w:bookmarkEnd w:id="9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2"/>
        <w:spacing w:line="240" w:lineRule="auto"/>
        <w:rPr>
          <w:rFonts w:hint="eastAsia" w:ascii="仿宋" w:hAnsi="仿宋" w:eastAsia="仿宋" w:cs="仿宋"/>
          <w:bCs/>
          <w:color w:val="000000"/>
          <w:sz w:val="28"/>
          <w:szCs w:val="28"/>
          <w:highlight w:val="none"/>
        </w:rPr>
      </w:pPr>
      <w:bookmarkStart w:id="98" w:name="_Toc11932"/>
      <w:bookmarkStart w:id="99" w:name="_Toc29149"/>
      <w:bookmarkStart w:id="100" w:name="_Toc4194"/>
      <w:r>
        <w:rPr>
          <w:rFonts w:hint="eastAsia" w:ascii="仿宋" w:hAnsi="仿宋" w:eastAsia="仿宋" w:cs="仿宋"/>
          <w:bCs/>
          <w:color w:val="000000"/>
          <w:sz w:val="28"/>
          <w:szCs w:val="28"/>
          <w:highlight w:val="none"/>
        </w:rPr>
        <w:t>2.4 包装和装运</w:t>
      </w:r>
      <w:bookmarkEnd w:id="98"/>
      <w:bookmarkEnd w:id="99"/>
      <w:bookmarkEnd w:id="100"/>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2"/>
        <w:spacing w:line="240" w:lineRule="auto"/>
        <w:rPr>
          <w:rFonts w:hint="eastAsia" w:ascii="仿宋" w:hAnsi="仿宋" w:eastAsia="仿宋" w:cs="仿宋"/>
          <w:bCs/>
          <w:color w:val="000000"/>
          <w:sz w:val="28"/>
          <w:szCs w:val="28"/>
          <w:highlight w:val="none"/>
        </w:rPr>
      </w:pPr>
      <w:bookmarkStart w:id="101" w:name="_Ref467379542"/>
      <w:bookmarkStart w:id="102" w:name="_Toc259093674"/>
      <w:bookmarkStart w:id="103" w:name="_Ref467379536"/>
      <w:bookmarkStart w:id="104" w:name="_Ref467379527"/>
      <w:bookmarkStart w:id="105" w:name="_Toc487900354"/>
      <w:bookmarkStart w:id="106" w:name="_Toc279701245"/>
      <w:bookmarkStart w:id="107" w:name="_Ref467378541"/>
      <w:bookmarkStart w:id="108" w:name="_Ref467378591"/>
      <w:bookmarkStart w:id="109" w:name="_Toc19074"/>
      <w:bookmarkStart w:id="110" w:name="_Toc26182"/>
      <w:bookmarkStart w:id="111" w:name="_Toc30272"/>
      <w:r>
        <w:rPr>
          <w:rFonts w:hint="eastAsia" w:ascii="仿宋" w:hAnsi="仿宋" w:eastAsia="仿宋" w:cs="仿宋"/>
          <w:bCs/>
          <w:color w:val="000000"/>
          <w:sz w:val="28"/>
          <w:szCs w:val="28"/>
          <w:highlight w:val="none"/>
        </w:rPr>
        <w:t>2.</w:t>
      </w:r>
      <w:bookmarkEnd w:id="101"/>
      <w:bookmarkEnd w:id="102"/>
      <w:bookmarkEnd w:id="103"/>
      <w:bookmarkEnd w:id="104"/>
      <w:bookmarkEnd w:id="105"/>
      <w:bookmarkEnd w:id="106"/>
      <w:bookmarkEnd w:id="107"/>
      <w:bookmarkEnd w:id="108"/>
      <w:r>
        <w:rPr>
          <w:rFonts w:hint="eastAsia" w:ascii="仿宋" w:hAnsi="仿宋" w:eastAsia="仿宋" w:cs="仿宋"/>
          <w:bCs/>
          <w:color w:val="000000"/>
          <w:sz w:val="28"/>
          <w:szCs w:val="28"/>
          <w:highlight w:val="none"/>
        </w:rPr>
        <w:t>5 履约检查和问题反馈</w:t>
      </w:r>
      <w:bookmarkEnd w:id="109"/>
      <w:bookmarkEnd w:id="110"/>
      <w:bookmarkEnd w:id="111"/>
    </w:p>
    <w:p>
      <w:pPr>
        <w:pStyle w:val="12"/>
        <w:spacing w:line="240" w:lineRule="auto"/>
        <w:rPr>
          <w:rFonts w:hint="eastAsia" w:ascii="仿宋" w:hAnsi="仿宋" w:eastAsia="仿宋" w:cs="仿宋"/>
          <w:b/>
          <w:color w:val="000000"/>
          <w:sz w:val="28"/>
          <w:szCs w:val="28"/>
          <w:highlight w:val="none"/>
        </w:rPr>
      </w:pPr>
      <w:bookmarkStart w:id="112" w:name="_Ref467379657"/>
      <w:r>
        <w:rPr>
          <w:rFonts w:hint="eastAsia" w:ascii="仿宋" w:hAnsi="仿宋" w:eastAsia="仿宋" w:cs="仿宋"/>
          <w:bCs/>
          <w:color w:val="000000"/>
          <w:sz w:val="28"/>
          <w:szCs w:val="28"/>
          <w:highlight w:val="none"/>
        </w:rPr>
        <w:t>2.5.1</w:t>
      </w:r>
      <w:bookmarkEnd w:id="112"/>
      <w:bookmarkStart w:id="113" w:name="_Toc186431854"/>
      <w:bookmarkStart w:id="114" w:name="_Toc279701247"/>
      <w:bookmarkStart w:id="115" w:name="_Ref467379807"/>
      <w:bookmarkStart w:id="116" w:name="_Ref467379793"/>
      <w:bookmarkStart w:id="117" w:name="_Toc259093676"/>
      <w:bookmarkStart w:id="118" w:name="_Toc487900357"/>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13"/>
      <w:bookmarkStart w:id="119" w:name="_Toc186431855"/>
      <w:r>
        <w:rPr>
          <w:rFonts w:hint="eastAsia" w:ascii="仿宋" w:hAnsi="仿宋" w:eastAsia="仿宋" w:cs="仿宋"/>
          <w:bCs/>
          <w:color w:val="000000"/>
          <w:sz w:val="28"/>
          <w:szCs w:val="28"/>
          <w:highlight w:val="none"/>
        </w:rPr>
        <w:t>。</w:t>
      </w:r>
    </w:p>
    <w:bookmarkEnd w:id="119"/>
    <w:p>
      <w:pPr>
        <w:pStyle w:val="12"/>
        <w:spacing w:line="240" w:lineRule="auto"/>
        <w:rPr>
          <w:rFonts w:hint="eastAsia" w:ascii="仿宋" w:hAnsi="仿宋" w:eastAsia="仿宋" w:cs="仿宋"/>
          <w:bCs/>
          <w:color w:val="000000"/>
          <w:sz w:val="28"/>
          <w:szCs w:val="28"/>
          <w:highlight w:val="none"/>
        </w:rPr>
      </w:pPr>
      <w:bookmarkStart w:id="120" w:name="_Toc28451"/>
      <w:bookmarkStart w:id="121" w:name="_Toc19219"/>
      <w:bookmarkStart w:id="122" w:name="_Toc7836"/>
      <w:r>
        <w:rPr>
          <w:rFonts w:hint="eastAsia" w:ascii="仿宋" w:hAnsi="仿宋" w:eastAsia="仿宋" w:cs="仿宋"/>
          <w:bCs/>
          <w:color w:val="000000"/>
          <w:sz w:val="28"/>
          <w:szCs w:val="28"/>
          <w:highlight w:val="none"/>
        </w:rPr>
        <w:t>2.6 结算方式和付款条件</w:t>
      </w:r>
      <w:bookmarkEnd w:id="114"/>
      <w:bookmarkEnd w:id="115"/>
      <w:bookmarkEnd w:id="116"/>
      <w:bookmarkEnd w:id="117"/>
      <w:bookmarkEnd w:id="118"/>
      <w:bookmarkEnd w:id="120"/>
      <w:bookmarkEnd w:id="121"/>
      <w:bookmarkEnd w:id="12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2"/>
        <w:spacing w:line="240" w:lineRule="auto"/>
        <w:rPr>
          <w:rFonts w:hint="eastAsia" w:ascii="仿宋" w:hAnsi="仿宋" w:eastAsia="仿宋" w:cs="仿宋"/>
          <w:bCs/>
          <w:color w:val="000000"/>
          <w:sz w:val="28"/>
          <w:szCs w:val="28"/>
          <w:highlight w:val="none"/>
        </w:rPr>
      </w:pPr>
      <w:bookmarkStart w:id="123" w:name="_Toc259093677"/>
      <w:bookmarkStart w:id="124" w:name="_Ref467379852"/>
      <w:bookmarkStart w:id="125" w:name="_Ref467379923"/>
      <w:bookmarkStart w:id="126" w:name="_Toc487900358"/>
      <w:bookmarkStart w:id="127" w:name="_Ref467379863"/>
      <w:bookmarkStart w:id="128" w:name="_Toc279701248"/>
      <w:bookmarkStart w:id="129" w:name="_Toc3225"/>
      <w:bookmarkStart w:id="130" w:name="_Toc16110"/>
      <w:bookmarkStart w:id="131" w:name="_Toc774"/>
      <w:r>
        <w:rPr>
          <w:rFonts w:hint="eastAsia" w:ascii="仿宋" w:hAnsi="仿宋" w:eastAsia="仿宋" w:cs="仿宋"/>
          <w:bCs/>
          <w:color w:val="000000"/>
          <w:sz w:val="28"/>
          <w:szCs w:val="28"/>
          <w:highlight w:val="none"/>
        </w:rPr>
        <w:t>2.7 技术资料</w:t>
      </w:r>
      <w:bookmarkEnd w:id="123"/>
      <w:bookmarkEnd w:id="124"/>
      <w:bookmarkEnd w:id="125"/>
      <w:bookmarkEnd w:id="126"/>
      <w:bookmarkEnd w:id="127"/>
      <w:bookmarkEnd w:id="128"/>
      <w:r>
        <w:rPr>
          <w:rFonts w:hint="eastAsia" w:ascii="仿宋" w:hAnsi="仿宋" w:eastAsia="仿宋" w:cs="仿宋"/>
          <w:bCs/>
          <w:color w:val="000000"/>
          <w:sz w:val="28"/>
          <w:szCs w:val="28"/>
          <w:highlight w:val="none"/>
        </w:rPr>
        <w:t>和保密义务</w:t>
      </w:r>
      <w:bookmarkEnd w:id="129"/>
      <w:bookmarkEnd w:id="130"/>
      <w:bookmarkEnd w:id="13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2"/>
        <w:spacing w:line="240" w:lineRule="auto"/>
        <w:rPr>
          <w:rFonts w:hint="eastAsia" w:ascii="仿宋" w:hAnsi="仿宋" w:eastAsia="仿宋" w:cs="仿宋"/>
          <w:bCs/>
          <w:color w:val="000000"/>
          <w:sz w:val="28"/>
          <w:szCs w:val="28"/>
          <w:highlight w:val="none"/>
        </w:rPr>
      </w:pPr>
      <w:bookmarkStart w:id="132" w:name="_Toc7860"/>
      <w:r>
        <w:rPr>
          <w:rFonts w:hint="eastAsia" w:ascii="仿宋" w:hAnsi="仿宋" w:eastAsia="仿宋" w:cs="仿宋"/>
          <w:bCs/>
          <w:color w:val="000000"/>
          <w:sz w:val="28"/>
          <w:szCs w:val="28"/>
          <w:highlight w:val="none"/>
        </w:rPr>
        <w:t>2.8 质量保证</w:t>
      </w:r>
      <w:bookmarkEnd w:id="132"/>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2"/>
        <w:spacing w:line="240" w:lineRule="auto"/>
        <w:rPr>
          <w:rFonts w:hint="eastAsia" w:ascii="仿宋" w:hAnsi="仿宋" w:eastAsia="仿宋" w:cs="仿宋"/>
          <w:bCs/>
          <w:color w:val="000000"/>
          <w:sz w:val="28"/>
          <w:szCs w:val="28"/>
          <w:highlight w:val="none"/>
        </w:rPr>
      </w:pPr>
      <w:bookmarkStart w:id="133" w:name="_Toc17244"/>
      <w:bookmarkStart w:id="134" w:name="_Toc279701252"/>
      <w:bookmarkStart w:id="135" w:name="_Toc487900362"/>
      <w:bookmarkStart w:id="136" w:name="_Toc259093681"/>
      <w:r>
        <w:rPr>
          <w:rFonts w:hint="eastAsia" w:ascii="仿宋" w:hAnsi="仿宋" w:eastAsia="仿宋" w:cs="仿宋"/>
          <w:bCs/>
          <w:color w:val="000000"/>
          <w:sz w:val="28"/>
          <w:szCs w:val="28"/>
          <w:highlight w:val="none"/>
        </w:rPr>
        <w:t>2.9 货物的风险负担</w:t>
      </w:r>
      <w:bookmarkEnd w:id="13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2"/>
        <w:spacing w:line="240" w:lineRule="auto"/>
        <w:rPr>
          <w:rFonts w:hint="eastAsia" w:ascii="仿宋" w:hAnsi="仿宋" w:eastAsia="仿宋" w:cs="仿宋"/>
          <w:bCs/>
          <w:color w:val="000000"/>
          <w:sz w:val="28"/>
          <w:szCs w:val="28"/>
          <w:highlight w:val="none"/>
        </w:rPr>
      </w:pPr>
      <w:bookmarkStart w:id="137" w:name="_Toc14055"/>
      <w:r>
        <w:rPr>
          <w:rFonts w:hint="eastAsia" w:ascii="仿宋" w:hAnsi="仿宋" w:eastAsia="仿宋" w:cs="仿宋"/>
          <w:bCs/>
          <w:color w:val="000000"/>
          <w:sz w:val="28"/>
          <w:szCs w:val="28"/>
          <w:highlight w:val="none"/>
        </w:rPr>
        <w:t>2.10 延迟交货</w:t>
      </w:r>
      <w:bookmarkEnd w:id="134"/>
      <w:bookmarkEnd w:id="135"/>
      <w:bookmarkEnd w:id="136"/>
      <w:bookmarkEnd w:id="13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2"/>
        <w:spacing w:line="240" w:lineRule="auto"/>
        <w:rPr>
          <w:rFonts w:hint="eastAsia" w:ascii="仿宋" w:hAnsi="仿宋" w:eastAsia="仿宋" w:cs="仿宋"/>
          <w:b w:val="0"/>
          <w:bCs/>
          <w:color w:val="000000"/>
          <w:sz w:val="28"/>
          <w:szCs w:val="28"/>
          <w:highlight w:val="none"/>
        </w:rPr>
      </w:pPr>
      <w:bookmarkStart w:id="138" w:name="_Toc7502"/>
      <w:bookmarkStart w:id="139" w:name="_Ref467378121"/>
      <w:bookmarkStart w:id="140" w:name="_Toc487900364"/>
      <w:bookmarkStart w:id="141" w:name="_Toc279701254"/>
      <w:bookmarkStart w:id="142" w:name="_Toc259093683"/>
      <w:r>
        <w:rPr>
          <w:rFonts w:hint="eastAsia" w:ascii="仿宋" w:hAnsi="仿宋" w:eastAsia="仿宋" w:cs="仿宋"/>
          <w:b w:val="0"/>
          <w:bCs/>
          <w:color w:val="000000"/>
          <w:sz w:val="28"/>
          <w:szCs w:val="28"/>
          <w:highlight w:val="none"/>
        </w:rPr>
        <w:t>2.11 合同变更</w:t>
      </w:r>
      <w:bookmarkEnd w:id="138"/>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43" w:name="_Toc259093688"/>
      <w:bookmarkStart w:id="144" w:name="_Toc487900369"/>
      <w:bookmarkStart w:id="145" w:name="_Toc279701259"/>
    </w:p>
    <w:p>
      <w:pPr>
        <w:pStyle w:val="12"/>
        <w:spacing w:line="240" w:lineRule="auto"/>
        <w:rPr>
          <w:rFonts w:hint="eastAsia" w:ascii="仿宋" w:hAnsi="仿宋" w:eastAsia="仿宋" w:cs="仿宋"/>
          <w:bCs/>
          <w:color w:val="000000"/>
          <w:sz w:val="28"/>
          <w:szCs w:val="28"/>
          <w:highlight w:val="none"/>
        </w:rPr>
      </w:pPr>
      <w:bookmarkStart w:id="146" w:name="_Toc15237"/>
      <w:bookmarkStart w:id="147" w:name="_Toc10366"/>
      <w:bookmarkStart w:id="148" w:name="_Toc22955"/>
      <w:r>
        <w:rPr>
          <w:rFonts w:hint="eastAsia" w:ascii="仿宋" w:hAnsi="仿宋" w:eastAsia="仿宋" w:cs="仿宋"/>
          <w:bCs/>
          <w:color w:val="000000"/>
          <w:sz w:val="28"/>
          <w:szCs w:val="28"/>
          <w:highlight w:val="none"/>
        </w:rPr>
        <w:t>2.12 合同转让</w:t>
      </w:r>
      <w:bookmarkEnd w:id="143"/>
      <w:bookmarkEnd w:id="144"/>
      <w:bookmarkEnd w:id="145"/>
      <w:r>
        <w:rPr>
          <w:rFonts w:hint="eastAsia" w:ascii="仿宋" w:hAnsi="仿宋" w:eastAsia="仿宋" w:cs="仿宋"/>
          <w:bCs/>
          <w:color w:val="000000"/>
          <w:sz w:val="28"/>
          <w:szCs w:val="28"/>
          <w:highlight w:val="none"/>
        </w:rPr>
        <w:t>和分包</w:t>
      </w:r>
      <w:bookmarkEnd w:id="146"/>
      <w:bookmarkEnd w:id="147"/>
      <w:bookmarkEnd w:id="148"/>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2"/>
        <w:spacing w:line="240" w:lineRule="auto"/>
        <w:rPr>
          <w:rFonts w:hint="eastAsia" w:ascii="仿宋" w:hAnsi="仿宋" w:eastAsia="仿宋" w:cs="仿宋"/>
          <w:bCs/>
          <w:color w:val="000000"/>
          <w:sz w:val="28"/>
          <w:szCs w:val="28"/>
          <w:highlight w:val="none"/>
        </w:rPr>
      </w:pPr>
      <w:bookmarkStart w:id="149" w:name="_Toc14066"/>
      <w:bookmarkStart w:id="150" w:name="_Toc16508"/>
      <w:bookmarkStart w:id="151" w:name="_Toc13566"/>
      <w:r>
        <w:rPr>
          <w:rFonts w:hint="eastAsia" w:ascii="仿宋" w:hAnsi="仿宋" w:eastAsia="仿宋" w:cs="仿宋"/>
          <w:bCs/>
          <w:color w:val="000000"/>
          <w:sz w:val="28"/>
          <w:szCs w:val="28"/>
          <w:highlight w:val="none"/>
        </w:rPr>
        <w:t>2.13 不可抗力</w:t>
      </w:r>
      <w:bookmarkEnd w:id="149"/>
      <w:bookmarkEnd w:id="150"/>
      <w:bookmarkEnd w:id="15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2"/>
        <w:spacing w:line="240" w:lineRule="auto"/>
        <w:rPr>
          <w:rFonts w:hint="eastAsia" w:ascii="仿宋" w:hAnsi="仿宋" w:eastAsia="仿宋" w:cs="仿宋"/>
          <w:bCs/>
          <w:color w:val="000000"/>
          <w:sz w:val="28"/>
          <w:szCs w:val="28"/>
          <w:highlight w:val="none"/>
        </w:rPr>
      </w:pPr>
      <w:bookmarkStart w:id="152" w:name="_Toc689"/>
      <w:bookmarkStart w:id="153" w:name="_Toc259093684"/>
      <w:bookmarkStart w:id="154" w:name="_Toc487900365"/>
      <w:bookmarkStart w:id="155" w:name="_Toc30676"/>
      <w:bookmarkStart w:id="156" w:name="_Toc6969"/>
      <w:bookmarkStart w:id="157" w:name="_Toc279701255"/>
      <w:r>
        <w:rPr>
          <w:rFonts w:hint="eastAsia" w:ascii="仿宋" w:hAnsi="仿宋" w:eastAsia="仿宋" w:cs="仿宋"/>
          <w:bCs/>
          <w:color w:val="000000"/>
          <w:sz w:val="28"/>
          <w:szCs w:val="28"/>
          <w:highlight w:val="none"/>
        </w:rPr>
        <w:t>2.14 税费</w:t>
      </w:r>
      <w:bookmarkEnd w:id="152"/>
      <w:bookmarkEnd w:id="153"/>
      <w:bookmarkEnd w:id="154"/>
      <w:bookmarkEnd w:id="155"/>
      <w:bookmarkEnd w:id="156"/>
      <w:bookmarkEnd w:id="157"/>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2"/>
        <w:spacing w:line="240" w:lineRule="auto"/>
        <w:rPr>
          <w:rFonts w:hint="eastAsia" w:ascii="仿宋" w:hAnsi="仿宋" w:eastAsia="仿宋" w:cs="仿宋"/>
          <w:bCs/>
          <w:color w:val="000000"/>
          <w:sz w:val="28"/>
          <w:szCs w:val="28"/>
          <w:highlight w:val="none"/>
        </w:rPr>
      </w:pPr>
      <w:bookmarkStart w:id="158" w:name="_Toc7102"/>
      <w:bookmarkStart w:id="159" w:name="_Toc487900368"/>
      <w:bookmarkStart w:id="160" w:name="_Toc16959"/>
      <w:bookmarkStart w:id="161" w:name="_Toc259093687"/>
      <w:bookmarkStart w:id="162" w:name="_Toc279701258"/>
      <w:bookmarkStart w:id="163" w:name="_Toc8298"/>
      <w:r>
        <w:rPr>
          <w:rFonts w:hint="eastAsia" w:ascii="仿宋" w:hAnsi="仿宋" w:eastAsia="仿宋" w:cs="仿宋"/>
          <w:bCs/>
          <w:color w:val="000000"/>
          <w:sz w:val="28"/>
          <w:szCs w:val="28"/>
          <w:highlight w:val="none"/>
        </w:rPr>
        <w:t>2.15 乙方破产</w:t>
      </w:r>
      <w:bookmarkEnd w:id="158"/>
      <w:bookmarkEnd w:id="159"/>
      <w:bookmarkEnd w:id="160"/>
      <w:bookmarkEnd w:id="161"/>
      <w:bookmarkEnd w:id="162"/>
      <w:bookmarkEnd w:id="163"/>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2"/>
        <w:spacing w:line="240" w:lineRule="auto"/>
        <w:rPr>
          <w:rFonts w:hint="eastAsia" w:ascii="仿宋" w:hAnsi="仿宋" w:eastAsia="仿宋" w:cs="仿宋"/>
          <w:bCs/>
          <w:color w:val="000000"/>
          <w:sz w:val="28"/>
          <w:szCs w:val="28"/>
          <w:highlight w:val="none"/>
        </w:rPr>
      </w:pPr>
      <w:bookmarkStart w:id="164" w:name="_Toc6134"/>
      <w:bookmarkStart w:id="165" w:name="_Toc29333"/>
      <w:bookmarkStart w:id="166" w:name="_Toc15387"/>
      <w:r>
        <w:rPr>
          <w:rFonts w:hint="eastAsia" w:ascii="仿宋" w:hAnsi="仿宋" w:eastAsia="仿宋" w:cs="仿宋"/>
          <w:bCs/>
          <w:color w:val="000000"/>
          <w:sz w:val="28"/>
          <w:szCs w:val="28"/>
          <w:highlight w:val="none"/>
        </w:rPr>
        <w:t>2.16 合同中止、终止</w:t>
      </w:r>
      <w:bookmarkEnd w:id="164"/>
      <w:bookmarkEnd w:id="165"/>
      <w:bookmarkEnd w:id="166"/>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2"/>
        <w:spacing w:line="240" w:lineRule="auto"/>
        <w:rPr>
          <w:rFonts w:hint="eastAsia" w:ascii="仿宋" w:hAnsi="仿宋" w:eastAsia="仿宋" w:cs="仿宋"/>
          <w:bCs/>
          <w:color w:val="000000"/>
          <w:sz w:val="28"/>
          <w:szCs w:val="28"/>
          <w:highlight w:val="none"/>
        </w:rPr>
      </w:pPr>
      <w:bookmarkStart w:id="167" w:name="_Toc1125"/>
      <w:bookmarkStart w:id="168" w:name="_Toc14563"/>
      <w:bookmarkStart w:id="169" w:name="_Toc6596"/>
      <w:r>
        <w:rPr>
          <w:rFonts w:hint="eastAsia" w:ascii="仿宋" w:hAnsi="仿宋" w:eastAsia="仿宋" w:cs="仿宋"/>
          <w:bCs/>
          <w:color w:val="000000"/>
          <w:sz w:val="28"/>
          <w:szCs w:val="28"/>
          <w:highlight w:val="none"/>
        </w:rPr>
        <w:t>2.17 检验和验收</w:t>
      </w:r>
      <w:bookmarkEnd w:id="167"/>
      <w:bookmarkEnd w:id="168"/>
      <w:bookmarkEnd w:id="169"/>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9"/>
    <w:bookmarkEnd w:id="140"/>
    <w:bookmarkEnd w:id="141"/>
    <w:bookmarkEnd w:id="142"/>
    <w:p>
      <w:pPr>
        <w:pStyle w:val="12"/>
        <w:spacing w:line="240" w:lineRule="auto"/>
        <w:rPr>
          <w:rFonts w:hint="eastAsia" w:ascii="仿宋" w:hAnsi="仿宋" w:eastAsia="仿宋" w:cs="仿宋"/>
          <w:bCs/>
          <w:color w:val="000000"/>
          <w:sz w:val="28"/>
          <w:szCs w:val="28"/>
          <w:highlight w:val="none"/>
        </w:rPr>
      </w:pPr>
      <w:bookmarkStart w:id="170" w:name="_Toc487900371"/>
      <w:bookmarkStart w:id="171" w:name="_Toc279701261"/>
      <w:bookmarkStart w:id="172" w:name="_Toc259093690"/>
      <w:bookmarkStart w:id="173" w:name="_Toc25182"/>
      <w:bookmarkStart w:id="174" w:name="_Toc19604"/>
      <w:bookmarkStart w:id="175" w:name="_Toc11284"/>
      <w:r>
        <w:rPr>
          <w:rFonts w:hint="eastAsia" w:ascii="仿宋" w:hAnsi="仿宋" w:eastAsia="仿宋" w:cs="仿宋"/>
          <w:bCs/>
          <w:color w:val="000000"/>
          <w:sz w:val="28"/>
          <w:szCs w:val="28"/>
          <w:highlight w:val="none"/>
        </w:rPr>
        <w:t>2.18 通知</w:t>
      </w:r>
      <w:bookmarkEnd w:id="170"/>
      <w:bookmarkEnd w:id="171"/>
      <w:bookmarkEnd w:id="172"/>
      <w:r>
        <w:rPr>
          <w:rFonts w:hint="eastAsia" w:ascii="仿宋" w:hAnsi="仿宋" w:eastAsia="仿宋" w:cs="仿宋"/>
          <w:bCs/>
          <w:color w:val="000000"/>
          <w:sz w:val="28"/>
          <w:szCs w:val="28"/>
          <w:highlight w:val="none"/>
        </w:rPr>
        <w:t>和送达</w:t>
      </w:r>
      <w:bookmarkEnd w:id="173"/>
      <w:bookmarkEnd w:id="174"/>
      <w:bookmarkEnd w:id="175"/>
    </w:p>
    <w:p>
      <w:pPr>
        <w:pStyle w:val="12"/>
        <w:spacing w:line="240" w:lineRule="auto"/>
        <w:rPr>
          <w:rFonts w:hint="eastAsia" w:ascii="仿宋" w:hAnsi="仿宋" w:eastAsia="仿宋" w:cs="仿宋"/>
          <w:bCs/>
          <w:color w:val="000000"/>
          <w:sz w:val="28"/>
          <w:szCs w:val="28"/>
          <w:highlight w:val="none"/>
        </w:rPr>
      </w:pPr>
      <w:bookmarkStart w:id="176" w:name="_Toc3135"/>
      <w:bookmarkStart w:id="177" w:name="_Toc6698"/>
      <w:bookmarkStart w:id="178" w:name="_Toc487900372"/>
      <w:bookmarkStart w:id="179" w:name="_Toc279701262"/>
      <w:bookmarkStart w:id="180" w:name="_Toc259093691"/>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76"/>
      <w:bookmarkEnd w:id="177"/>
    </w:p>
    <w:p>
      <w:pPr>
        <w:pStyle w:val="12"/>
        <w:spacing w:line="240" w:lineRule="auto"/>
        <w:rPr>
          <w:rFonts w:hint="eastAsia" w:ascii="仿宋" w:hAnsi="仿宋" w:eastAsia="仿宋" w:cs="仿宋"/>
          <w:bCs/>
          <w:color w:val="000000"/>
          <w:sz w:val="28"/>
          <w:szCs w:val="28"/>
          <w:highlight w:val="none"/>
        </w:rPr>
      </w:pPr>
      <w:bookmarkStart w:id="181" w:name="_Toc23294"/>
      <w:bookmarkStart w:id="182"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1"/>
      <w:bookmarkEnd w:id="182"/>
    </w:p>
    <w:p>
      <w:pPr>
        <w:pStyle w:val="12"/>
        <w:spacing w:line="240" w:lineRule="auto"/>
        <w:rPr>
          <w:rFonts w:hint="eastAsia" w:ascii="仿宋" w:hAnsi="仿宋" w:eastAsia="仿宋" w:cs="仿宋"/>
          <w:bCs/>
          <w:color w:val="000000"/>
          <w:sz w:val="28"/>
          <w:szCs w:val="28"/>
          <w:highlight w:val="none"/>
        </w:rPr>
      </w:pPr>
      <w:bookmarkStart w:id="183" w:name="_Toc30599"/>
      <w:bookmarkStart w:id="184" w:name="_Toc4355"/>
      <w:bookmarkStart w:id="185" w:name="_Toc18540"/>
      <w:r>
        <w:rPr>
          <w:rFonts w:hint="eastAsia" w:ascii="仿宋" w:hAnsi="仿宋" w:eastAsia="仿宋" w:cs="仿宋"/>
          <w:bCs/>
          <w:color w:val="000000"/>
          <w:sz w:val="28"/>
          <w:szCs w:val="28"/>
          <w:highlight w:val="none"/>
        </w:rPr>
        <w:t>2.19 计量单位</w:t>
      </w:r>
      <w:bookmarkEnd w:id="178"/>
      <w:bookmarkEnd w:id="179"/>
      <w:bookmarkEnd w:id="180"/>
      <w:bookmarkEnd w:id="183"/>
      <w:bookmarkEnd w:id="184"/>
      <w:bookmarkEnd w:id="185"/>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2"/>
        <w:spacing w:line="240" w:lineRule="auto"/>
        <w:rPr>
          <w:rFonts w:hint="eastAsia" w:ascii="仿宋" w:hAnsi="仿宋" w:eastAsia="仿宋" w:cs="仿宋"/>
          <w:bCs/>
          <w:color w:val="000000"/>
          <w:sz w:val="28"/>
          <w:szCs w:val="28"/>
          <w:highlight w:val="none"/>
        </w:rPr>
      </w:pPr>
      <w:bookmarkStart w:id="186" w:name="_Toc487900373"/>
      <w:bookmarkStart w:id="187" w:name="_Toc18567"/>
      <w:bookmarkStart w:id="188" w:name="_Toc12773"/>
      <w:bookmarkStart w:id="189" w:name="_Toc279701263"/>
      <w:bookmarkStart w:id="190" w:name="_Toc259093692"/>
      <w:bookmarkStart w:id="191" w:name="_Toc10330"/>
      <w:r>
        <w:rPr>
          <w:rFonts w:hint="eastAsia" w:ascii="仿宋" w:hAnsi="仿宋" w:eastAsia="仿宋" w:cs="仿宋"/>
          <w:bCs/>
          <w:color w:val="000000"/>
          <w:sz w:val="28"/>
          <w:szCs w:val="28"/>
          <w:highlight w:val="none"/>
        </w:rPr>
        <w:t>2.20 合同使用的文字和适用的法律</w:t>
      </w:r>
      <w:bookmarkEnd w:id="186"/>
      <w:bookmarkEnd w:id="187"/>
      <w:bookmarkEnd w:id="188"/>
      <w:bookmarkEnd w:id="189"/>
      <w:bookmarkEnd w:id="190"/>
      <w:bookmarkEnd w:id="19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2"/>
        <w:spacing w:line="240" w:lineRule="auto"/>
        <w:rPr>
          <w:rFonts w:hint="eastAsia" w:ascii="仿宋" w:hAnsi="仿宋" w:eastAsia="仿宋" w:cs="仿宋"/>
          <w:bCs/>
          <w:color w:val="000000"/>
          <w:sz w:val="28"/>
          <w:szCs w:val="28"/>
          <w:highlight w:val="none"/>
        </w:rPr>
      </w:pPr>
      <w:bookmarkStart w:id="192" w:name="_Toc279701264"/>
      <w:bookmarkStart w:id="193" w:name="_Toc3148"/>
      <w:bookmarkStart w:id="194" w:name="_Toc12004"/>
      <w:bookmarkStart w:id="195" w:name="_Toc16673"/>
      <w:bookmarkStart w:id="196" w:name="_Toc259093693"/>
      <w:bookmarkStart w:id="197" w:name="_Toc487900374"/>
      <w:r>
        <w:rPr>
          <w:rFonts w:hint="eastAsia" w:ascii="仿宋" w:hAnsi="仿宋" w:eastAsia="仿宋" w:cs="仿宋"/>
          <w:bCs/>
          <w:color w:val="000000"/>
          <w:sz w:val="28"/>
          <w:szCs w:val="28"/>
          <w:highlight w:val="none"/>
        </w:rPr>
        <w:t>2.21 履约保证金</w:t>
      </w:r>
      <w:bookmarkEnd w:id="192"/>
      <w:bookmarkEnd w:id="193"/>
      <w:bookmarkEnd w:id="194"/>
      <w:bookmarkEnd w:id="195"/>
      <w:bookmarkEnd w:id="196"/>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7"/>
    <w:p>
      <w:pPr>
        <w:pStyle w:val="12"/>
        <w:spacing w:line="240" w:lineRule="auto"/>
        <w:rPr>
          <w:rFonts w:hint="eastAsia" w:ascii="仿宋" w:hAnsi="仿宋" w:eastAsia="仿宋" w:cs="仿宋"/>
          <w:bCs/>
          <w:color w:val="000000"/>
          <w:sz w:val="28"/>
          <w:szCs w:val="28"/>
          <w:highlight w:val="none"/>
        </w:rPr>
      </w:pPr>
      <w:bookmarkStart w:id="198" w:name="_Toc6885"/>
      <w:bookmarkStart w:id="199" w:name="_Toc19890"/>
      <w:bookmarkStart w:id="200" w:name="_Toc14001"/>
      <w:r>
        <w:rPr>
          <w:rFonts w:hint="eastAsia" w:ascii="仿宋" w:hAnsi="仿宋" w:eastAsia="仿宋" w:cs="仿宋"/>
          <w:bCs/>
          <w:color w:val="000000"/>
          <w:sz w:val="28"/>
          <w:szCs w:val="28"/>
          <w:highlight w:val="none"/>
        </w:rPr>
        <w:t>2.22 合同份数</w:t>
      </w:r>
      <w:bookmarkEnd w:id="198"/>
      <w:bookmarkEnd w:id="199"/>
      <w:bookmarkEnd w:id="200"/>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2"/>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201" w:name="_Toc331685784"/>
      <w:r>
        <w:rPr>
          <w:rFonts w:hint="eastAsia" w:ascii="仿宋" w:hAnsi="仿宋" w:eastAsia="仿宋" w:cs="仿宋"/>
          <w:bCs/>
          <w:color w:val="000000"/>
          <w:sz w:val="28"/>
          <w:szCs w:val="28"/>
          <w:highlight w:val="none"/>
        </w:rPr>
        <w:t>第三部分  合同专用条款</w:t>
      </w:r>
      <w:bookmarkEnd w:id="201"/>
    </w:p>
    <w:p>
      <w:pPr>
        <w:pStyle w:val="12"/>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2"/>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2"/>
              <w:spacing w:line="240" w:lineRule="auto"/>
              <w:ind w:firstLine="2670" w:firstLineChars="950"/>
              <w:rPr>
                <w:rFonts w:hint="eastAsia" w:ascii="仿宋" w:hAnsi="仿宋" w:eastAsia="仿宋" w:cs="仿宋"/>
                <w:b/>
                <w:color w:val="000000"/>
                <w:sz w:val="28"/>
                <w:szCs w:val="28"/>
                <w:highlight w:val="none"/>
              </w:rPr>
            </w:pPr>
          </w:p>
        </w:tc>
      </w:tr>
    </w:tbl>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p>
    <w:p>
      <w:pPr>
        <w:pStyle w:val="12"/>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2"/>
        <w:spacing w:line="240" w:lineRule="auto"/>
        <w:ind w:firstLine="2670" w:firstLineChars="950"/>
        <w:rPr>
          <w:rFonts w:hint="eastAsia" w:ascii="仿宋" w:hAnsi="仿宋" w:eastAsia="仿宋" w:cs="仿宋"/>
          <w:b/>
          <w:color w:val="000000"/>
          <w:sz w:val="28"/>
          <w:szCs w:val="28"/>
          <w:highlight w:val="none"/>
        </w:rPr>
      </w:pPr>
    </w:p>
    <w:p>
      <w:pPr>
        <w:pStyle w:val="20"/>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20"/>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20"/>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202"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jc w:val="center"/>
        <w:rPr>
          <w:rFonts w:hint="eastAsia" w:ascii="宋体" w:hAnsi="宋体" w:cs="宋体"/>
          <w:color w:val="000000"/>
          <w:sz w:val="36"/>
          <w:szCs w:val="36"/>
          <w:highlight w:val="none"/>
        </w:rPr>
      </w:pPr>
    </w:p>
    <w:p>
      <w:pPr>
        <w:spacing w:line="240" w:lineRule="auto"/>
        <w:jc w:val="center"/>
        <w:rPr>
          <w:rFonts w:hint="eastAsia" w:ascii="宋体" w:hAnsi="宋体" w:cs="宋体"/>
          <w:color w:val="000000"/>
          <w:sz w:val="36"/>
          <w:szCs w:val="36"/>
          <w:highlight w:val="none"/>
        </w:rPr>
      </w:pPr>
    </w:p>
    <w:p>
      <w:pPr>
        <w:spacing w:line="240" w:lineRule="auto"/>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采购人</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（公章）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21"/>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4"/>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21"/>
        <w:spacing w:line="240" w:lineRule="auto"/>
        <w:ind w:firstLine="798" w:firstLineChars="300"/>
        <w:rPr>
          <w:rFonts w:hint="eastAsia" w:ascii="仿宋" w:hAnsi="仿宋" w:eastAsia="仿宋" w:cs="仿宋"/>
          <w:color w:val="000000"/>
          <w:w w:val="95"/>
          <w:kern w:val="2"/>
          <w:sz w:val="28"/>
          <w:szCs w:val="28"/>
          <w:highlight w:val="none"/>
        </w:rPr>
      </w:pPr>
    </w:p>
    <w:p>
      <w:pPr>
        <w:pStyle w:val="21"/>
        <w:spacing w:line="240" w:lineRule="auto"/>
        <w:ind w:firstLine="798" w:firstLineChars="300"/>
        <w:rPr>
          <w:rFonts w:hint="eastAsia" w:ascii="仿宋" w:hAnsi="仿宋" w:eastAsia="仿宋" w:cs="仿宋"/>
          <w:color w:val="000000"/>
          <w:w w:val="95"/>
          <w:kern w:val="2"/>
          <w:sz w:val="28"/>
          <w:szCs w:val="28"/>
          <w:highlight w:val="none"/>
        </w:rPr>
      </w:pPr>
    </w:p>
    <w:p>
      <w:pPr>
        <w:pStyle w:val="21"/>
        <w:spacing w:line="240" w:lineRule="auto"/>
        <w:ind w:firstLine="798" w:firstLineChars="300"/>
        <w:rPr>
          <w:rFonts w:hint="eastAsia" w:ascii="仿宋" w:hAnsi="仿宋" w:eastAsia="仿宋" w:cs="仿宋"/>
          <w:color w:val="000000"/>
          <w:w w:val="95"/>
          <w:kern w:val="2"/>
          <w:sz w:val="28"/>
          <w:szCs w:val="28"/>
          <w:highlight w:val="none"/>
        </w:rPr>
      </w:pPr>
    </w:p>
    <w:p>
      <w:pPr>
        <w:pStyle w:val="21"/>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投标单位：（公章）   </w:t>
      </w:r>
    </w:p>
    <w:p>
      <w:pPr>
        <w:adjustRightInd w:val="0"/>
        <w:snapToGrid w:val="0"/>
        <w:spacing w:line="240" w:lineRule="auto"/>
        <w:ind w:firstLine="840"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w w:val="95"/>
          <w:sz w:val="28"/>
          <w:szCs w:val="28"/>
          <w:highlight w:val="none"/>
        </w:rPr>
        <w:t>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4"/>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21"/>
        <w:spacing w:line="240" w:lineRule="auto"/>
        <w:ind w:firstLine="3360" w:firstLineChars="1200"/>
        <w:rPr>
          <w:rFonts w:hint="eastAsia" w:ascii="仿宋" w:hAnsi="仿宋" w:eastAsia="仿宋" w:cs="仿宋"/>
          <w:color w:val="000000"/>
          <w:sz w:val="28"/>
          <w:szCs w:val="28"/>
          <w:highlight w:val="none"/>
        </w:rPr>
      </w:pPr>
    </w:p>
    <w:p>
      <w:pPr>
        <w:pStyle w:val="21"/>
        <w:spacing w:line="240" w:lineRule="auto"/>
        <w:ind w:firstLine="3360" w:firstLineChars="1200"/>
        <w:rPr>
          <w:rFonts w:hint="eastAsia" w:ascii="仿宋" w:hAnsi="仿宋" w:eastAsia="仿宋" w:cs="仿宋"/>
          <w:color w:val="000000"/>
          <w:sz w:val="28"/>
          <w:szCs w:val="28"/>
          <w:highlight w:val="none"/>
        </w:rPr>
      </w:pPr>
    </w:p>
    <w:p>
      <w:pPr>
        <w:pStyle w:val="21"/>
        <w:spacing w:line="240" w:lineRule="auto"/>
        <w:ind w:firstLine="3360" w:firstLineChars="1200"/>
        <w:rPr>
          <w:rFonts w:hint="eastAsia" w:ascii="仿宋" w:hAnsi="仿宋" w:eastAsia="仿宋" w:cs="仿宋"/>
          <w:color w:val="000000"/>
          <w:sz w:val="28"/>
          <w:szCs w:val="28"/>
          <w:highlight w:val="none"/>
        </w:rPr>
      </w:pPr>
    </w:p>
    <w:p>
      <w:pPr>
        <w:pStyle w:val="21"/>
        <w:spacing w:line="240" w:lineRule="auto"/>
        <w:ind w:firstLine="3360" w:firstLineChars="1200"/>
        <w:rPr>
          <w:rFonts w:hint="eastAsia" w:ascii="仿宋" w:hAnsi="仿宋" w:eastAsia="仿宋" w:cs="仿宋"/>
          <w:color w:val="000000"/>
          <w:sz w:val="28"/>
          <w:szCs w:val="28"/>
          <w:highlight w:val="none"/>
        </w:rPr>
      </w:pPr>
    </w:p>
    <w:p>
      <w:pPr>
        <w:pStyle w:val="21"/>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21"/>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采购人</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w:t>
      </w: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采购人</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w:t>
      </w: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（签发机关名称）签发的我方营业执照复印件，该执照已经年检，真实有效。</w:t>
      </w: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代表人（或授权代表）签字或盖章：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4"/>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4"/>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highlight w:val="none"/>
        </w:rPr>
        <w:t>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4"/>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4"/>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6、供应商代表授权委托书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采购人</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lang w:val="en-US" w:eastAsia="zh-CN"/>
        </w:rPr>
        <w:t>法定</w:t>
      </w:r>
      <w:r>
        <w:rPr>
          <w:rFonts w:hint="eastAsia" w:ascii="仿宋" w:hAnsi="仿宋" w:eastAsia="仿宋" w:cs="仿宋"/>
          <w:color w:val="000000"/>
          <w:sz w:val="28"/>
          <w:szCs w:val="28"/>
          <w:highlight w:val="none"/>
        </w:rPr>
        <w:t>代表人（签字</w:t>
      </w:r>
      <w:r>
        <w:rPr>
          <w:rFonts w:hint="eastAsia" w:ascii="仿宋" w:hAnsi="仿宋" w:eastAsia="仿宋" w:cs="仿宋"/>
          <w:color w:val="000000"/>
          <w:sz w:val="28"/>
          <w:szCs w:val="28"/>
          <w:highlight w:val="none"/>
          <w:lang w:eastAsia="zh-CN"/>
        </w:rPr>
        <w:t>并</w:t>
      </w:r>
      <w:r>
        <w:rPr>
          <w:rFonts w:hint="eastAsia" w:ascii="仿宋" w:hAnsi="仿宋" w:eastAsia="仿宋" w:cs="仿宋"/>
          <w:color w:val="000000"/>
          <w:sz w:val="28"/>
          <w:szCs w:val="28"/>
          <w:highlight w:val="none"/>
          <w:lang w:val="en-US" w:eastAsia="zh-CN"/>
        </w:rPr>
        <w:t>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203"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被委托人须是投标单位正式员工，须提供社保部门出具的最少近三个月的社保缴纳证明（个人明细表，新成立时间少于三个月的公司，按实际发生提供）及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FF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5"/>
        <w:numPr>
          <w:ilvl w:val="0"/>
          <w:numId w:val="0"/>
        </w:numPr>
        <w:ind w:leftChars="0"/>
        <w:jc w:val="both"/>
        <w:rPr>
          <w:rFonts w:hint="eastAsia"/>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203"/>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提供合格证及售后响应时效和专业售后人员（附相关证明）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提供2021年财务审计报告（2022年新成立公司可不提供审计报告但须提供公司财务制度）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val="en-US" w:eastAsia="zh-CN"/>
        </w:rPr>
        <w:t>三</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4"/>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21"/>
        <w:spacing w:line="240" w:lineRule="auto"/>
        <w:ind w:firstLine="2800" w:firstLineChars="1000"/>
        <w:rPr>
          <w:rFonts w:hint="eastAsia" w:ascii="仿宋" w:hAnsi="仿宋" w:eastAsia="仿宋" w:cs="仿宋"/>
          <w:color w:val="000000"/>
          <w:sz w:val="28"/>
          <w:szCs w:val="28"/>
          <w:highlight w:val="none"/>
        </w:rPr>
      </w:pPr>
    </w:p>
    <w:p>
      <w:pPr>
        <w:pStyle w:val="21"/>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21"/>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204"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204"/>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采购人</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四、技术人员及保证措施及收费标准；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en-US" w:eastAsia="zh-CN"/>
        </w:rPr>
        <w:t>五</w:t>
      </w:r>
      <w:r>
        <w:rPr>
          <w:rFonts w:hint="eastAsia" w:ascii="仿宋" w:hAnsi="仿宋" w:eastAsia="仿宋" w:cs="仿宋"/>
          <w:color w:val="000000"/>
          <w:kern w:val="0"/>
          <w:sz w:val="28"/>
          <w:szCs w:val="28"/>
          <w:highlight w:val="none"/>
          <w:lang w:val="zh-CN"/>
        </w:rPr>
        <w:t>、其他售后服务措施。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供应商</w:t>
      </w:r>
      <w:r>
        <w:rPr>
          <w:rFonts w:hint="eastAsia" w:ascii="仿宋" w:hAnsi="仿宋" w:eastAsia="仿宋" w:cs="仿宋"/>
          <w:color w:val="000000"/>
          <w:kern w:val="0"/>
          <w:sz w:val="28"/>
          <w:szCs w:val="28"/>
          <w:highlight w:val="none"/>
          <w:lang w:val="zh-CN"/>
        </w:rPr>
        <w:t>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pStyle w:val="20"/>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205"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205"/>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rPr>
        <w:t>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pStyle w:val="19"/>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9"/>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代表授权</w:t>
      </w:r>
      <w:r>
        <w:rPr>
          <w:rFonts w:hint="eastAsia" w:ascii="仿宋" w:hAnsi="仿宋" w:eastAsia="仿宋" w:cs="仿宋"/>
          <w:color w:val="000000"/>
          <w:kern w:val="0"/>
          <w:sz w:val="28"/>
          <w:szCs w:val="28"/>
          <w:highlight w:val="none"/>
          <w:lang w:val="en-US" w:eastAsia="zh-CN"/>
        </w:rPr>
        <w:t>人</w:t>
      </w:r>
      <w:r>
        <w:rPr>
          <w:rFonts w:hint="eastAsia" w:ascii="仿宋" w:hAnsi="仿宋" w:eastAsia="仿宋" w:cs="仿宋"/>
          <w:color w:val="000000"/>
          <w:kern w:val="0"/>
          <w:sz w:val="28"/>
          <w:szCs w:val="28"/>
          <w:highlight w:val="none"/>
          <w:lang w:val="zh-CN"/>
        </w:rPr>
        <w:t>：</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numPr>
          <w:ilvl w:val="0"/>
          <w:numId w:val="9"/>
        </w:num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pStyle w:val="2"/>
        <w:rPr>
          <w:rFonts w:hint="eastAsia" w:ascii="仿宋" w:hAnsi="仿宋" w:eastAsia="仿宋" w:cs="仿宋"/>
          <w:b/>
          <w:bCs/>
          <w:color w:val="000000"/>
          <w:sz w:val="32"/>
          <w:szCs w:val="32"/>
          <w:highlight w:val="none"/>
        </w:rPr>
      </w:pPr>
    </w:p>
    <w:p>
      <w:pPr>
        <w:pStyle w:val="2"/>
        <w:rPr>
          <w:rFonts w:hint="eastAsia" w:ascii="仿宋" w:hAnsi="仿宋" w:eastAsia="仿宋" w:cs="仿宋"/>
          <w:b/>
          <w:bCs/>
          <w:color w:val="000000"/>
          <w:sz w:val="32"/>
          <w:szCs w:val="32"/>
          <w:highlight w:val="none"/>
        </w:rPr>
      </w:pPr>
    </w:p>
    <w:p>
      <w:pPr>
        <w:pStyle w:val="2"/>
        <w:numPr>
          <w:ilvl w:val="0"/>
          <w:numId w:val="0"/>
        </w:numPr>
        <w:jc w:val="both"/>
        <w:rPr>
          <w:rFonts w:hint="eastAsia"/>
        </w:rPr>
      </w:pPr>
    </w:p>
    <w:p>
      <w:pPr>
        <w:spacing w:line="240" w:lineRule="auto"/>
        <w:rPr>
          <w:rFonts w:hint="eastAsia" w:ascii="仿宋" w:hAnsi="仿宋" w:eastAsia="仿宋" w:cs="仿宋"/>
          <w:color w:val="000000"/>
          <w:sz w:val="28"/>
          <w:szCs w:val="28"/>
          <w:highlight w:val="none"/>
        </w:rPr>
      </w:pPr>
    </w:p>
    <w:p>
      <w:pPr>
        <w:pStyle w:val="7"/>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pStyle w:val="7"/>
        <w:rPr>
          <w:rFonts w:hint="eastAsia" w:ascii="仿宋" w:hAnsi="仿宋" w:eastAsia="仿宋" w:cs="仿宋"/>
          <w:b/>
          <w:bCs/>
          <w:color w:val="000000"/>
          <w:kern w:val="2"/>
          <w:sz w:val="32"/>
          <w:szCs w:val="32"/>
          <w:highlight w:val="none"/>
          <w:lang w:val="en-US" w:eastAsia="zh-CN" w:bidi="ar-SA"/>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rPr>
          <w:rFonts w:hint="eastAsia" w:ascii="Tahoma" w:hAnsi="Tahoma" w:cs="Tahoma"/>
          <w:b/>
          <w:color w:val="000000"/>
          <w:sz w:val="52"/>
          <w:szCs w:val="52"/>
          <w:highlight w:val="none"/>
        </w:rPr>
      </w:pPr>
      <w:r>
        <w:rPr>
          <w:rFonts w:hint="eastAsia" w:ascii="Tahoma" w:hAnsi="Tahoma" w:cs="Tahoma"/>
          <w:b/>
          <w:color w:val="000000"/>
          <w:sz w:val="52"/>
          <w:szCs w:val="52"/>
          <w:highlight w:val="none"/>
        </w:rPr>
        <w:br w:type="page"/>
      </w:r>
    </w:p>
    <w:p>
      <w:pPr>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所投设备</w:t>
      </w:r>
      <w:r>
        <w:rPr>
          <w:rFonts w:hint="eastAsia" w:ascii="仿宋" w:hAnsi="仿宋" w:eastAsia="仿宋" w:cs="仿宋"/>
          <w:color w:val="000000"/>
          <w:sz w:val="28"/>
          <w:szCs w:val="28"/>
          <w:highlight w:val="none"/>
        </w:rPr>
        <w:t>的产地及厂家信息</w:t>
      </w:r>
      <w:r>
        <w:rPr>
          <w:rFonts w:hint="eastAsia" w:ascii="仿宋" w:hAnsi="仿宋" w:eastAsia="仿宋" w:cs="仿宋"/>
          <w:color w:val="000000"/>
          <w:sz w:val="28"/>
          <w:szCs w:val="28"/>
          <w:highlight w:val="none"/>
          <w:lang w:val="en-US" w:eastAsia="zh-CN"/>
        </w:rPr>
        <w:t>及厂家授权证明</w:t>
      </w:r>
      <w:r>
        <w:rPr>
          <w:rFonts w:hint="eastAsia" w:ascii="仿宋" w:hAnsi="仿宋" w:eastAsia="仿宋" w:cs="仿宋"/>
          <w:color w:val="000000"/>
          <w:sz w:val="28"/>
          <w:szCs w:val="28"/>
          <w:highlight w:val="none"/>
        </w:rPr>
        <w:t>；（根据招标文件要求自拟）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7、售后服务体系和服务网络、产品销售有无故障运行记录证明。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21"/>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21"/>
        <w:spacing w:line="240" w:lineRule="auto"/>
        <w:ind w:firstLine="560" w:firstLineChars="200"/>
        <w:rPr>
          <w:rFonts w:hint="eastAsia" w:ascii="仿宋" w:hAnsi="仿宋" w:eastAsia="仿宋" w:cs="仿宋"/>
          <w:color w:val="000000"/>
          <w:sz w:val="28"/>
          <w:szCs w:val="28"/>
          <w:highlight w:val="none"/>
        </w:rPr>
      </w:pPr>
    </w:p>
    <w:p>
      <w:pPr>
        <w:pStyle w:val="21"/>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202"/>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p>
  <w:p>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0"/>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6B477"/>
    <w:multiLevelType w:val="singleLevel"/>
    <w:tmpl w:val="B796B477"/>
    <w:lvl w:ilvl="0" w:tentative="0">
      <w:start w:val="18"/>
      <w:numFmt w:val="decimal"/>
      <w:suff w:val="nothing"/>
      <w:lvlText w:val="%1、"/>
      <w:lvlJc w:val="left"/>
    </w:lvl>
  </w:abstractNum>
  <w:abstractNum w:abstractNumId="1">
    <w:nsid w:val="C4FD0146"/>
    <w:multiLevelType w:val="singleLevel"/>
    <w:tmpl w:val="C4FD0146"/>
    <w:lvl w:ilvl="0" w:tentative="0">
      <w:start w:val="1"/>
      <w:numFmt w:val="chineseCounting"/>
      <w:suff w:val="nothing"/>
      <w:lvlText w:val="（%1）"/>
      <w:lvlJc w:val="left"/>
      <w:rPr>
        <w:rFonts w:hint="eastAsia"/>
      </w:rPr>
    </w:lvl>
  </w:abstractNum>
  <w:abstractNum w:abstractNumId="2">
    <w:nsid w:val="FBB86814"/>
    <w:multiLevelType w:val="singleLevel"/>
    <w:tmpl w:val="FBB86814"/>
    <w:lvl w:ilvl="0" w:tentative="0">
      <w:start w:val="18"/>
      <w:numFmt w:val="decimal"/>
      <w:suff w:val="nothing"/>
      <w:lvlText w:val="%1．"/>
      <w:lvlJc w:val="left"/>
    </w:lvl>
  </w:abstractNum>
  <w:abstractNum w:abstractNumId="3">
    <w:nsid w:val="FEE42E4D"/>
    <w:multiLevelType w:val="singleLevel"/>
    <w:tmpl w:val="FEE42E4D"/>
    <w:lvl w:ilvl="0" w:tentative="0">
      <w:start w:val="3"/>
      <w:numFmt w:val="chineseCounting"/>
      <w:suff w:val="space"/>
      <w:lvlText w:val="第%1部分"/>
      <w:lvlJc w:val="left"/>
      <w:rPr>
        <w:rFonts w:hint="eastAsia"/>
      </w:rPr>
    </w:lvl>
  </w:abstractNum>
  <w:abstractNum w:abstractNumId="4">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2B03CC"/>
    <w:multiLevelType w:val="singleLevel"/>
    <w:tmpl w:val="282B03CC"/>
    <w:lvl w:ilvl="0" w:tentative="0">
      <w:start w:val="5"/>
      <w:numFmt w:val="chineseCounting"/>
      <w:suff w:val="nothing"/>
      <w:lvlText w:val="%1、"/>
      <w:lvlJc w:val="left"/>
      <w:rPr>
        <w:rFonts w:hint="eastAsia"/>
      </w:rPr>
    </w:lvl>
  </w:abstractNum>
  <w:abstractNum w:abstractNumId="6">
    <w:nsid w:val="3642DBE9"/>
    <w:multiLevelType w:val="singleLevel"/>
    <w:tmpl w:val="3642DBE9"/>
    <w:lvl w:ilvl="0" w:tentative="0">
      <w:start w:val="2"/>
      <w:numFmt w:val="chineseCounting"/>
      <w:suff w:val="nothing"/>
      <w:lvlText w:val="%1、"/>
      <w:lvlJc w:val="left"/>
      <w:rPr>
        <w:rFonts w:hint="eastAsia"/>
      </w:rPr>
    </w:lvl>
  </w:abstractNum>
  <w:abstractNum w:abstractNumId="7">
    <w:nsid w:val="5E2FD820"/>
    <w:multiLevelType w:val="singleLevel"/>
    <w:tmpl w:val="5E2FD820"/>
    <w:lvl w:ilvl="0" w:tentative="0">
      <w:start w:val="15"/>
      <w:numFmt w:val="decimal"/>
      <w:suff w:val="nothing"/>
      <w:lvlText w:val="%1．"/>
      <w:lvlJc w:val="left"/>
    </w:lvl>
  </w:abstractNum>
  <w:abstractNum w:abstractNumId="8">
    <w:nsid w:val="5E53A5B8"/>
    <w:multiLevelType w:val="singleLevel"/>
    <w:tmpl w:val="5E53A5B8"/>
    <w:lvl w:ilvl="0" w:tentative="0">
      <w:start w:val="1"/>
      <w:numFmt w:val="chineseCounting"/>
      <w:suff w:val="nothing"/>
      <w:lvlText w:val="%1、"/>
      <w:lvlJc w:val="left"/>
      <w:rPr>
        <w:rFonts w:hint="eastAsia"/>
      </w:rPr>
    </w:lvl>
  </w:abstractNum>
  <w:num w:numId="1">
    <w:abstractNumId w:val="4"/>
  </w:num>
  <w:num w:numId="2">
    <w:abstractNumId w:val="8"/>
  </w:num>
  <w:num w:numId="3">
    <w:abstractNumId w:val="5"/>
  </w:num>
  <w:num w:numId="4">
    <w:abstractNumId w:val="7"/>
  </w:num>
  <w:num w:numId="5">
    <w:abstractNumId w:val="2"/>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964D85"/>
    <w:rsid w:val="02A840A1"/>
    <w:rsid w:val="02D74720"/>
    <w:rsid w:val="030E642A"/>
    <w:rsid w:val="048E4BB2"/>
    <w:rsid w:val="053576AF"/>
    <w:rsid w:val="05551760"/>
    <w:rsid w:val="0779197C"/>
    <w:rsid w:val="07D32120"/>
    <w:rsid w:val="07DE44F2"/>
    <w:rsid w:val="07FA3303"/>
    <w:rsid w:val="081E6DDF"/>
    <w:rsid w:val="086C7D5A"/>
    <w:rsid w:val="08E00A68"/>
    <w:rsid w:val="09537A50"/>
    <w:rsid w:val="0955682F"/>
    <w:rsid w:val="097F7AA3"/>
    <w:rsid w:val="0A6F6FF6"/>
    <w:rsid w:val="0A8F7180"/>
    <w:rsid w:val="0B022926"/>
    <w:rsid w:val="0C711249"/>
    <w:rsid w:val="0D537587"/>
    <w:rsid w:val="0D60415B"/>
    <w:rsid w:val="0E3D4343"/>
    <w:rsid w:val="0E9B6FB8"/>
    <w:rsid w:val="0ED05074"/>
    <w:rsid w:val="0EE419A3"/>
    <w:rsid w:val="0FBA77C6"/>
    <w:rsid w:val="10205F76"/>
    <w:rsid w:val="10C85B8A"/>
    <w:rsid w:val="10E21197"/>
    <w:rsid w:val="10F35601"/>
    <w:rsid w:val="131F79B6"/>
    <w:rsid w:val="14C87BCC"/>
    <w:rsid w:val="151D78BF"/>
    <w:rsid w:val="15945347"/>
    <w:rsid w:val="15E36027"/>
    <w:rsid w:val="15F10AE6"/>
    <w:rsid w:val="170321A1"/>
    <w:rsid w:val="171D6F79"/>
    <w:rsid w:val="173C4F41"/>
    <w:rsid w:val="17661E1A"/>
    <w:rsid w:val="18CA01EE"/>
    <w:rsid w:val="1A46758E"/>
    <w:rsid w:val="1AAD2373"/>
    <w:rsid w:val="1AEB16AC"/>
    <w:rsid w:val="1B6E45E2"/>
    <w:rsid w:val="1BA94A25"/>
    <w:rsid w:val="1BB47E8D"/>
    <w:rsid w:val="1C8B41F4"/>
    <w:rsid w:val="1CC90F72"/>
    <w:rsid w:val="1CE90448"/>
    <w:rsid w:val="1EE51B46"/>
    <w:rsid w:val="1F0A77AF"/>
    <w:rsid w:val="1F8B33A8"/>
    <w:rsid w:val="1F9A1542"/>
    <w:rsid w:val="201C45C6"/>
    <w:rsid w:val="204273CF"/>
    <w:rsid w:val="206574AC"/>
    <w:rsid w:val="209F125A"/>
    <w:rsid w:val="20E652D9"/>
    <w:rsid w:val="21053FC9"/>
    <w:rsid w:val="21C70299"/>
    <w:rsid w:val="21D16A4B"/>
    <w:rsid w:val="22134700"/>
    <w:rsid w:val="22A316FB"/>
    <w:rsid w:val="22D16807"/>
    <w:rsid w:val="233C57A5"/>
    <w:rsid w:val="23C5460A"/>
    <w:rsid w:val="250979B8"/>
    <w:rsid w:val="257F0DC8"/>
    <w:rsid w:val="28317A85"/>
    <w:rsid w:val="28BB7B60"/>
    <w:rsid w:val="28E04109"/>
    <w:rsid w:val="29806263"/>
    <w:rsid w:val="2A04753A"/>
    <w:rsid w:val="2AD32609"/>
    <w:rsid w:val="2B157E25"/>
    <w:rsid w:val="2B6C0F90"/>
    <w:rsid w:val="2CA522A0"/>
    <w:rsid w:val="2D3B405A"/>
    <w:rsid w:val="2D893ACB"/>
    <w:rsid w:val="2D8A08B1"/>
    <w:rsid w:val="2E602138"/>
    <w:rsid w:val="2EBE0D6E"/>
    <w:rsid w:val="2EC66B80"/>
    <w:rsid w:val="30416E45"/>
    <w:rsid w:val="30561E9A"/>
    <w:rsid w:val="30571D36"/>
    <w:rsid w:val="321A42E3"/>
    <w:rsid w:val="323A06B9"/>
    <w:rsid w:val="32B00E03"/>
    <w:rsid w:val="33652CA6"/>
    <w:rsid w:val="33C443F9"/>
    <w:rsid w:val="34122440"/>
    <w:rsid w:val="349E1B09"/>
    <w:rsid w:val="364032A8"/>
    <w:rsid w:val="367F09ED"/>
    <w:rsid w:val="37A73372"/>
    <w:rsid w:val="38E62358"/>
    <w:rsid w:val="396E46BA"/>
    <w:rsid w:val="39D93384"/>
    <w:rsid w:val="39EE0396"/>
    <w:rsid w:val="3A2A382E"/>
    <w:rsid w:val="3A9F75B9"/>
    <w:rsid w:val="3AC50E38"/>
    <w:rsid w:val="3AEF6A87"/>
    <w:rsid w:val="3CA56759"/>
    <w:rsid w:val="3CC36B23"/>
    <w:rsid w:val="3D0F3AE1"/>
    <w:rsid w:val="3D5800C9"/>
    <w:rsid w:val="3D980253"/>
    <w:rsid w:val="3D9B2067"/>
    <w:rsid w:val="3E0A2E1C"/>
    <w:rsid w:val="3E357FC4"/>
    <w:rsid w:val="3E737A2B"/>
    <w:rsid w:val="3EB97041"/>
    <w:rsid w:val="3EDD67B3"/>
    <w:rsid w:val="40711152"/>
    <w:rsid w:val="40AA1562"/>
    <w:rsid w:val="40B05881"/>
    <w:rsid w:val="40D86760"/>
    <w:rsid w:val="40F90CFB"/>
    <w:rsid w:val="414E6D09"/>
    <w:rsid w:val="415A0CB3"/>
    <w:rsid w:val="41A81CF6"/>
    <w:rsid w:val="41AF090E"/>
    <w:rsid w:val="41F72AA0"/>
    <w:rsid w:val="42C85767"/>
    <w:rsid w:val="431B20CC"/>
    <w:rsid w:val="433B0FC2"/>
    <w:rsid w:val="43B57A26"/>
    <w:rsid w:val="44564E47"/>
    <w:rsid w:val="44D05793"/>
    <w:rsid w:val="45BD632A"/>
    <w:rsid w:val="463601E8"/>
    <w:rsid w:val="46400C90"/>
    <w:rsid w:val="4677539D"/>
    <w:rsid w:val="47612F3F"/>
    <w:rsid w:val="48067D7B"/>
    <w:rsid w:val="49105A9F"/>
    <w:rsid w:val="4A446BD7"/>
    <w:rsid w:val="4A8D1A7F"/>
    <w:rsid w:val="4C034F86"/>
    <w:rsid w:val="4C480675"/>
    <w:rsid w:val="4CD97091"/>
    <w:rsid w:val="4D22765B"/>
    <w:rsid w:val="4D435202"/>
    <w:rsid w:val="4D68321C"/>
    <w:rsid w:val="4D7105E7"/>
    <w:rsid w:val="4D7D2992"/>
    <w:rsid w:val="4F8541DE"/>
    <w:rsid w:val="4FAB0334"/>
    <w:rsid w:val="4FEA2D33"/>
    <w:rsid w:val="503C5C10"/>
    <w:rsid w:val="51726C33"/>
    <w:rsid w:val="51C82720"/>
    <w:rsid w:val="51D237D3"/>
    <w:rsid w:val="51EB49F3"/>
    <w:rsid w:val="52451E1E"/>
    <w:rsid w:val="524A49E2"/>
    <w:rsid w:val="52A37A56"/>
    <w:rsid w:val="52AE690B"/>
    <w:rsid w:val="53383703"/>
    <w:rsid w:val="53501B7E"/>
    <w:rsid w:val="539549E6"/>
    <w:rsid w:val="53AE291E"/>
    <w:rsid w:val="53EF1CD6"/>
    <w:rsid w:val="54171D70"/>
    <w:rsid w:val="54871094"/>
    <w:rsid w:val="54FB0818"/>
    <w:rsid w:val="5503127D"/>
    <w:rsid w:val="55527DDB"/>
    <w:rsid w:val="55903AD1"/>
    <w:rsid w:val="56557F55"/>
    <w:rsid w:val="56762CEB"/>
    <w:rsid w:val="574E1BB7"/>
    <w:rsid w:val="57EB5F3D"/>
    <w:rsid w:val="5806787D"/>
    <w:rsid w:val="581E5BA2"/>
    <w:rsid w:val="591565C0"/>
    <w:rsid w:val="592875B7"/>
    <w:rsid w:val="59573261"/>
    <w:rsid w:val="59894683"/>
    <w:rsid w:val="5A506D33"/>
    <w:rsid w:val="5AA27381"/>
    <w:rsid w:val="5AAC79C6"/>
    <w:rsid w:val="5B002247"/>
    <w:rsid w:val="5BA10E32"/>
    <w:rsid w:val="5BC849A2"/>
    <w:rsid w:val="5C746A46"/>
    <w:rsid w:val="5C7D0608"/>
    <w:rsid w:val="5C7D6C20"/>
    <w:rsid w:val="5D524ECE"/>
    <w:rsid w:val="5D817A7A"/>
    <w:rsid w:val="5E7A304E"/>
    <w:rsid w:val="5F2C2247"/>
    <w:rsid w:val="5F7A5B17"/>
    <w:rsid w:val="5FDB11CA"/>
    <w:rsid w:val="60CA0EDE"/>
    <w:rsid w:val="62BD1B9F"/>
    <w:rsid w:val="630413EE"/>
    <w:rsid w:val="6329635E"/>
    <w:rsid w:val="634618C5"/>
    <w:rsid w:val="635C4AE2"/>
    <w:rsid w:val="637714C2"/>
    <w:rsid w:val="641463FF"/>
    <w:rsid w:val="64AC496E"/>
    <w:rsid w:val="64CF73B4"/>
    <w:rsid w:val="652B68EF"/>
    <w:rsid w:val="65E53F29"/>
    <w:rsid w:val="6622389C"/>
    <w:rsid w:val="665B47C0"/>
    <w:rsid w:val="665C760C"/>
    <w:rsid w:val="66E469FF"/>
    <w:rsid w:val="67E21D39"/>
    <w:rsid w:val="68693F46"/>
    <w:rsid w:val="69106546"/>
    <w:rsid w:val="69467ED8"/>
    <w:rsid w:val="69593E91"/>
    <w:rsid w:val="699A3688"/>
    <w:rsid w:val="6A7D4290"/>
    <w:rsid w:val="6AB9286E"/>
    <w:rsid w:val="6B72532F"/>
    <w:rsid w:val="6B9D726B"/>
    <w:rsid w:val="6C5E4FCE"/>
    <w:rsid w:val="6CDC3C0D"/>
    <w:rsid w:val="6DE4402D"/>
    <w:rsid w:val="6E2B7552"/>
    <w:rsid w:val="6E2C7B8B"/>
    <w:rsid w:val="6EB14732"/>
    <w:rsid w:val="6FFE76F5"/>
    <w:rsid w:val="70181544"/>
    <w:rsid w:val="701A7049"/>
    <w:rsid w:val="709138DC"/>
    <w:rsid w:val="70A6548E"/>
    <w:rsid w:val="70BA2E66"/>
    <w:rsid w:val="71C73997"/>
    <w:rsid w:val="71CD17F9"/>
    <w:rsid w:val="728E392D"/>
    <w:rsid w:val="72C57B36"/>
    <w:rsid w:val="73845F6B"/>
    <w:rsid w:val="738E0175"/>
    <w:rsid w:val="740E2C55"/>
    <w:rsid w:val="742E7056"/>
    <w:rsid w:val="74E27623"/>
    <w:rsid w:val="75496AD7"/>
    <w:rsid w:val="75D21E21"/>
    <w:rsid w:val="762D6CDA"/>
    <w:rsid w:val="764F3356"/>
    <w:rsid w:val="76551650"/>
    <w:rsid w:val="766E49CC"/>
    <w:rsid w:val="769D3D7B"/>
    <w:rsid w:val="77461157"/>
    <w:rsid w:val="782E3C07"/>
    <w:rsid w:val="7853298E"/>
    <w:rsid w:val="78704C20"/>
    <w:rsid w:val="78E549DB"/>
    <w:rsid w:val="795B2325"/>
    <w:rsid w:val="7975521B"/>
    <w:rsid w:val="7A2509BC"/>
    <w:rsid w:val="7A2C526A"/>
    <w:rsid w:val="7BD2548A"/>
    <w:rsid w:val="7BE7419D"/>
    <w:rsid w:val="7C0A4541"/>
    <w:rsid w:val="7C5C4068"/>
    <w:rsid w:val="7C5C5680"/>
    <w:rsid w:val="7D2D466D"/>
    <w:rsid w:val="7D711D1A"/>
    <w:rsid w:val="7DDD5D19"/>
    <w:rsid w:val="7F4F1826"/>
    <w:rsid w:val="7F536433"/>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spacing w:before="312" w:beforeLines="100" w:line="360" w:lineRule="auto"/>
      <w:jc w:val="center"/>
    </w:pPr>
    <w:rPr>
      <w:rFonts w:ascii="宋体" w:hAnsi="宋体"/>
      <w:b/>
      <w:sz w:val="28"/>
      <w:szCs w:val="24"/>
    </w:rPr>
  </w:style>
  <w:style w:type="paragraph" w:styleId="6">
    <w:name w:val="Normal Indent"/>
    <w:basedOn w:val="1"/>
    <w:next w:val="1"/>
    <w:unhideWhenUsed/>
    <w:qFormat/>
    <w:uiPriority w:val="99"/>
    <w:pPr>
      <w:ind w:firstLine="42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0">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1">
    <w:name w:val="p0"/>
    <w:basedOn w:val="1"/>
    <w:qFormat/>
    <w:uiPriority w:val="0"/>
    <w:pPr>
      <w:widowControl/>
      <w:jc w:val="left"/>
    </w:pPr>
    <w:rPr>
      <w:kern w:val="0"/>
      <w:szCs w:val="21"/>
    </w:rPr>
  </w:style>
  <w:style w:type="paragraph" w:customStyle="1" w:styleId="2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3">
    <w:name w:val="font01"/>
    <w:basedOn w:val="16"/>
    <w:qFormat/>
    <w:uiPriority w:val="0"/>
    <w:rPr>
      <w:rFonts w:hint="eastAsia" w:ascii="宋体" w:hAnsi="宋体" w:eastAsia="宋体" w:cs="宋体"/>
      <w:color w:val="000000"/>
      <w:sz w:val="20"/>
      <w:szCs w:val="20"/>
      <w:u w:val="none"/>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101"/>
    <w:basedOn w:val="16"/>
    <w:qFormat/>
    <w:uiPriority w:val="0"/>
    <w:rPr>
      <w:rFonts w:hint="eastAsia" w:ascii="宋体" w:hAnsi="宋体" w:eastAsia="宋体" w:cs="宋体"/>
      <w:b/>
      <w:color w:val="000000"/>
      <w:sz w:val="21"/>
      <w:szCs w:val="21"/>
      <w:u w:val="none"/>
    </w:rPr>
  </w:style>
  <w:style w:type="character" w:customStyle="1" w:styleId="26">
    <w:name w:val="font131"/>
    <w:basedOn w:val="16"/>
    <w:qFormat/>
    <w:uiPriority w:val="0"/>
    <w:rPr>
      <w:rFonts w:ascii="Arial" w:hAnsi="Arial" w:cs="Arial"/>
      <w:b/>
      <w:color w:val="000000"/>
      <w:sz w:val="21"/>
      <w:szCs w:val="21"/>
      <w:u w:val="none"/>
    </w:rPr>
  </w:style>
  <w:style w:type="character" w:customStyle="1" w:styleId="27">
    <w:name w:val="font91"/>
    <w:basedOn w:val="16"/>
    <w:qFormat/>
    <w:uiPriority w:val="0"/>
    <w:rPr>
      <w:rFonts w:hint="eastAsia" w:ascii="宋体" w:hAnsi="宋体" w:eastAsia="宋体" w:cs="宋体"/>
      <w:color w:val="000000"/>
      <w:sz w:val="20"/>
      <w:szCs w:val="20"/>
      <w:u w:val="none"/>
    </w:rPr>
  </w:style>
  <w:style w:type="character" w:customStyle="1" w:styleId="28">
    <w:name w:val="font121"/>
    <w:basedOn w:val="16"/>
    <w:qFormat/>
    <w:uiPriority w:val="0"/>
    <w:rPr>
      <w:rFonts w:hint="eastAsia" w:ascii="宋体" w:hAnsi="宋体" w:eastAsia="宋体" w:cs="宋体"/>
      <w:color w:val="000000"/>
      <w:sz w:val="20"/>
      <w:szCs w:val="20"/>
      <w:u w:val="none"/>
      <w:vertAlign w:val="superscript"/>
    </w:rPr>
  </w:style>
  <w:style w:type="character" w:customStyle="1" w:styleId="29">
    <w:name w:val="font21"/>
    <w:basedOn w:val="16"/>
    <w:qFormat/>
    <w:uiPriority w:val="0"/>
    <w:rPr>
      <w:rFonts w:hint="eastAsia" w:ascii="宋体" w:hAnsi="宋体" w:eastAsia="宋体" w:cs="宋体"/>
      <w:color w:val="000000"/>
      <w:sz w:val="20"/>
      <w:szCs w:val="20"/>
      <w:u w:val="none"/>
    </w:rPr>
  </w:style>
  <w:style w:type="character" w:customStyle="1" w:styleId="30">
    <w:name w:val="font31"/>
    <w:basedOn w:val="16"/>
    <w:qFormat/>
    <w:uiPriority w:val="0"/>
    <w:rPr>
      <w:rFonts w:hint="eastAsia" w:ascii="宋体" w:hAnsi="宋体" w:eastAsia="宋体" w:cs="宋体"/>
      <w:color w:val="000000"/>
      <w:sz w:val="20"/>
      <w:szCs w:val="20"/>
      <w:u w:val="none"/>
      <w:vertAlign w:val="superscript"/>
    </w:rPr>
  </w:style>
  <w:style w:type="paragraph" w:customStyle="1" w:styleId="31">
    <w:name w:val="表头"/>
    <w:basedOn w:val="1"/>
    <w:qFormat/>
    <w:uiPriority w:val="0"/>
    <w:pPr>
      <w:spacing w:before="20" w:beforeLines="20" w:after="20" w:afterLines="20" w:line="240" w:lineRule="auto"/>
      <w:ind w:firstLine="0" w:firstLineChars="0"/>
      <w:jc w:val="left"/>
    </w:pPr>
    <w:rPr>
      <w:rFonts w:ascii="Times New Roman" w:hAnsi="Times New Roman" w:cs="Times New Roman" w:eastAsiaTheme="majorEastAsia"/>
      <w:b/>
      <w:szCs w:val="20"/>
    </w:rPr>
  </w:style>
  <w:style w:type="paragraph" w:customStyle="1" w:styleId="32">
    <w:name w:val="表格文字"/>
    <w:basedOn w:val="1"/>
    <w:qFormat/>
    <w:uiPriority w:val="0"/>
    <w:pPr>
      <w:spacing w:line="240" w:lineRule="atLeast"/>
      <w:ind w:right="-24" w:rightChars="-10" w:firstLine="0" w:firstLineChars="0"/>
      <w:jc w:val="center"/>
    </w:pPr>
    <w:rPr>
      <w:rFonts w:eastAsia="仿宋_GB2312"/>
      <w:sz w:val="18"/>
      <w:szCs w:val="28"/>
    </w:rPr>
  </w:style>
  <w:style w:type="character" w:customStyle="1" w:styleId="33">
    <w:name w:val="apple-style-span"/>
    <w:qFormat/>
    <w:uiPriority w:val="0"/>
  </w:style>
  <w:style w:type="character" w:customStyle="1" w:styleId="34">
    <w:name w:val="font51"/>
    <w:basedOn w:val="16"/>
    <w:uiPriority w:val="0"/>
    <w:rPr>
      <w:rFonts w:ascii="Calibri" w:hAnsi="Calibri" w:cs="Calibri"/>
      <w:color w:val="000000"/>
      <w:sz w:val="22"/>
      <w:szCs w:val="22"/>
      <w:u w:val="none"/>
    </w:rPr>
  </w:style>
  <w:style w:type="character" w:customStyle="1" w:styleId="35">
    <w:name w:val="font61"/>
    <w:basedOn w:val="16"/>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34363</Words>
  <Characters>37639</Characters>
  <Lines>0</Lines>
  <Paragraphs>0</Paragraphs>
  <TotalTime>3</TotalTime>
  <ScaleCrop>false</ScaleCrop>
  <LinksUpToDate>false</LinksUpToDate>
  <CharactersWithSpaces>42000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小赵</cp:lastModifiedBy>
  <cp:lastPrinted>2021-09-24T03:59:00Z</cp:lastPrinted>
  <dcterms:modified xsi:type="dcterms:W3CDTF">2022-04-13T04:23:50Z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969C5AB66C7C479F9D8CF794367CA523</vt:lpwstr>
  </property>
</Properties>
</file>