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2820"/>
          <w:tab w:val="left" w:pos="3165"/>
          <w:tab w:val="center" w:pos="4153"/>
        </w:tabs>
        <w:kinsoku/>
        <w:wordWrap/>
        <w:overflowPunct/>
        <w:topLinePunct w:val="0"/>
        <w:autoSpaceDE w:val="0"/>
        <w:autoSpaceDN w:val="0"/>
        <w:bidi w:val="0"/>
        <w:adjustRightInd w:val="0"/>
        <w:snapToGrid w:val="0"/>
        <w:spacing w:before="0" w:after="0" w:line="240" w:lineRule="auto"/>
        <w:ind w:leftChars="0"/>
        <w:jc w:val="right"/>
        <w:textAlignment w:val="auto"/>
        <w:rPr>
          <w:rFonts w:ascii="仿宋" w:hAnsi="仿宋" w:eastAsia="仿宋" w:cs="宋体"/>
          <w:b/>
          <w:color w:val="000000"/>
          <w:sz w:val="32"/>
          <w:szCs w:val="44"/>
        </w:rPr>
      </w:pPr>
      <w:r>
        <w:rPr>
          <w:rFonts w:hint="eastAsia" w:ascii="仿宋" w:hAnsi="仿宋" w:eastAsia="仿宋" w:cs="宋体"/>
          <w:sz w:val="16"/>
          <w:szCs w:val="20"/>
          <w:lang w:val="en-US" w:eastAsia="zh-CN"/>
        </w:rPr>
        <w:t xml:space="preserve">  </w:t>
      </w:r>
      <w:r>
        <w:rPr>
          <w:rFonts w:hint="eastAsia" w:ascii="宋体" w:hAnsi="宋体" w:eastAsia="宋体" w:cs="宋体"/>
          <w:b/>
          <w:bCs/>
          <w:sz w:val="22"/>
          <w:szCs w:val="22"/>
          <w:lang w:val="en-US" w:eastAsia="zh-CN"/>
        </w:rPr>
        <w:t>采购办备案处</w:t>
      </w:r>
    </w:p>
    <w:p>
      <w:pPr>
        <w:pStyle w:val="3"/>
        <w:keepNext/>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Chars="0"/>
        <w:jc w:val="center"/>
        <w:textAlignment w:val="auto"/>
        <w:rPr>
          <w:highlight w:val="none"/>
        </w:rPr>
      </w:pPr>
      <w:bookmarkStart w:id="0" w:name="_Toc35393797"/>
      <w:bookmarkStart w:id="1" w:name="_Toc28359011"/>
      <w:r>
        <w:rPr>
          <w:rFonts w:hint="eastAsia" w:ascii="华文中宋" w:hAnsi="华文中宋" w:eastAsia="华文中宋"/>
          <w:highlight w:val="none"/>
          <w:lang w:eastAsia="zh-CN"/>
        </w:rPr>
        <w:t>于田县托格日尕孜乡托格日尕孜村振兴示范村-养殖鱼塘建设采购项目</w:t>
      </w:r>
      <w:r>
        <w:rPr>
          <w:rFonts w:hint="eastAsia" w:ascii="华文中宋" w:hAnsi="华文中宋" w:eastAsia="华文中宋"/>
          <w:highlight w:val="none"/>
        </w:rPr>
        <w:t>竞争性谈判公告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于田县托格日尕孜乡托格日尕孜村振兴示范村-养殖鱼塘建设采购项目</w:t>
      </w:r>
      <w:r>
        <w:rPr>
          <w:rFonts w:hint="eastAsia" w:ascii="宋体" w:hAnsi="宋体" w:eastAsia="宋体" w:cs="宋体"/>
          <w:sz w:val="24"/>
          <w:szCs w:val="24"/>
          <w:highlight w:val="none"/>
        </w:rPr>
        <w:t>的潜在供应商应在</w:t>
      </w:r>
      <w:r>
        <w:rPr>
          <w:rFonts w:hint="eastAsia" w:ascii="宋体" w:hAnsi="宋体" w:eastAsia="宋体" w:cs="宋体"/>
          <w:sz w:val="24"/>
          <w:szCs w:val="24"/>
          <w:highlight w:val="none"/>
          <w:lang w:val="en-US" w:eastAsia="zh-CN"/>
        </w:rPr>
        <w:t>新疆惠文建设工程项目管理咨询有限公司（和田市阿恰勒东路11号第十地质大队四楼）获取</w:t>
      </w:r>
      <w:r>
        <w:rPr>
          <w:rFonts w:hint="eastAsia" w:ascii="宋体" w:hAnsi="宋体" w:eastAsia="宋体" w:cs="宋体"/>
          <w:sz w:val="24"/>
          <w:szCs w:val="24"/>
          <w:highlight w:val="none"/>
        </w:rPr>
        <w:t>采购文件，标书售后不退。并于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年</w:t>
      </w:r>
      <w:r>
        <w:rPr>
          <w:rFonts w:hint="eastAsia" w:ascii="宋体" w:hAnsi="宋体" w:cs="宋体"/>
          <w:bCs/>
          <w:sz w:val="24"/>
          <w:szCs w:val="24"/>
          <w:highlight w:val="none"/>
          <w:u w:val="single"/>
          <w:lang w:val="en-US" w:eastAsia="zh-CN"/>
        </w:rPr>
        <w:t>05</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31</w:t>
      </w:r>
      <w:r>
        <w:rPr>
          <w:rFonts w:hint="eastAsia" w:ascii="宋体" w:hAnsi="宋体" w:eastAsia="宋体" w:cs="宋体"/>
          <w:bCs/>
          <w:sz w:val="24"/>
          <w:szCs w:val="24"/>
          <w:highlight w:val="none"/>
          <w:u w:val="single"/>
        </w:rPr>
        <w:t>日</w:t>
      </w:r>
      <w:r>
        <w:rPr>
          <w:rFonts w:hint="eastAsia" w:ascii="宋体" w:hAnsi="宋体" w:cs="宋体"/>
          <w:bCs/>
          <w:sz w:val="24"/>
          <w:szCs w:val="24"/>
          <w:highlight w:val="none"/>
          <w:u w:val="single"/>
          <w:lang w:val="en-US" w:eastAsia="zh-CN"/>
        </w:rPr>
        <w:t>11</w:t>
      </w:r>
      <w:r>
        <w:rPr>
          <w:rFonts w:hint="eastAsia" w:ascii="宋体" w:hAnsi="宋体" w:eastAsia="宋体" w:cs="宋体"/>
          <w:bCs/>
          <w:sz w:val="24"/>
          <w:szCs w:val="24"/>
          <w:highlight w:val="none"/>
          <w:u w:val="single"/>
          <w:lang w:val="en-US" w:eastAsia="zh-CN"/>
        </w:rPr>
        <w:t>时</w:t>
      </w:r>
      <w:r>
        <w:rPr>
          <w:rFonts w:hint="eastAsia" w:ascii="宋体" w:hAnsi="宋体" w:cs="宋体"/>
          <w:bCs/>
          <w:sz w:val="24"/>
          <w:szCs w:val="24"/>
          <w:highlight w:val="none"/>
          <w:u w:val="single"/>
          <w:lang w:val="en-US" w:eastAsia="zh-CN"/>
        </w:rPr>
        <w:t>00</w:t>
      </w:r>
      <w:r>
        <w:rPr>
          <w:rFonts w:hint="eastAsia" w:ascii="宋体" w:hAnsi="宋体" w:eastAsia="宋体" w:cs="宋体"/>
          <w:bCs/>
          <w:sz w:val="24"/>
          <w:szCs w:val="24"/>
          <w:highlight w:val="none"/>
          <w:u w:val="singl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4"/>
          <w:szCs w:val="24"/>
          <w:highlight w:val="none"/>
        </w:rPr>
      </w:pPr>
      <w:bookmarkStart w:id="2" w:name="_Toc28359089"/>
      <w:bookmarkStart w:id="3" w:name="_Toc28359012"/>
      <w:bookmarkStart w:id="4" w:name="_Toc35393629"/>
      <w:bookmarkStart w:id="5" w:name="_Toc35393798"/>
      <w:r>
        <w:rPr>
          <w:rFonts w:hint="eastAsia" w:ascii="宋体" w:hAnsi="宋体" w:eastAsia="宋体" w:cs="宋体"/>
          <w:b/>
          <w:bCs w:val="0"/>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于田县托格日尕孜乡托格日尕孜村振兴示范村-养殖鱼塘建设采购项目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项目编号：YTCGD-JZ-2022-082号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竞争性谈判 □竞争性磋商 □询价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pacing w:val="0"/>
          <w:sz w:val="24"/>
          <w:szCs w:val="24"/>
          <w:highlight w:val="none"/>
          <w:lang w:val="en-US" w:eastAsia="zh-CN"/>
        </w:rPr>
      </w:pPr>
      <w:r>
        <w:rPr>
          <w:rFonts w:hint="eastAsia" w:ascii="宋体" w:hAnsi="宋体" w:eastAsia="宋体" w:cs="宋体"/>
          <w:sz w:val="24"/>
          <w:szCs w:val="24"/>
          <w:highlight w:val="none"/>
          <w:lang w:val="en-US" w:eastAsia="zh-CN"/>
        </w:rPr>
        <w:t>预算</w:t>
      </w:r>
      <w:r>
        <w:rPr>
          <w:rFonts w:hint="eastAsia" w:ascii="宋体" w:hAnsi="宋体" w:cs="宋体"/>
          <w:sz w:val="24"/>
          <w:szCs w:val="24"/>
          <w:highlight w:val="none"/>
          <w:lang w:val="en-US" w:eastAsia="zh-CN"/>
        </w:rPr>
        <w:t>总价</w:t>
      </w: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 xml:space="preserve">997215.98元；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20"/>
          <w:sz w:val="24"/>
          <w:szCs w:val="24"/>
          <w:highlight w:val="none"/>
          <w:lang w:val="en-US" w:eastAsia="zh-CN"/>
        </w:rPr>
      </w:pPr>
      <w:r>
        <w:rPr>
          <w:rFonts w:hint="eastAsia" w:ascii="宋体" w:hAnsi="宋体" w:eastAsia="宋体" w:cs="宋体"/>
          <w:spacing w:val="0"/>
          <w:sz w:val="24"/>
          <w:szCs w:val="24"/>
          <w:highlight w:val="none"/>
        </w:rPr>
        <w:t>最高限价（如有）：</w:t>
      </w:r>
      <w:r>
        <w:rPr>
          <w:rFonts w:hint="eastAsia" w:ascii="宋体" w:hAnsi="宋体" w:cs="宋体"/>
          <w:spacing w:val="0"/>
          <w:sz w:val="24"/>
          <w:szCs w:val="24"/>
          <w:highlight w:val="none"/>
          <w:lang w:val="en-US" w:eastAsia="zh-CN"/>
        </w:rPr>
        <w:t xml:space="preserve">997215.98元；    </w:t>
      </w:r>
      <w:r>
        <w:rPr>
          <w:rFonts w:hint="eastAsia" w:ascii="宋体" w:hAnsi="宋体" w:cs="宋体"/>
          <w:spacing w:val="-20"/>
          <w:sz w:val="24"/>
          <w:szCs w:val="24"/>
          <w:highlight w:val="none"/>
          <w:lang w:val="en-US" w:eastAsia="zh-CN"/>
        </w:rPr>
        <w:t xml:space="preserve">     </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bl>
      <w:tblPr>
        <w:tblStyle w:val="7"/>
        <w:tblW w:w="9202"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58"/>
        <w:gridCol w:w="1810"/>
        <w:gridCol w:w="34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标项序号</w:t>
            </w:r>
          </w:p>
        </w:tc>
        <w:tc>
          <w:tcPr>
            <w:tcW w:w="2358"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sz w:val="22"/>
                <w:szCs w:val="28"/>
                <w:highlight w:val="none"/>
              </w:rPr>
            </w:pPr>
            <w:r>
              <w:rPr>
                <w:rFonts w:hint="eastAsia" w:ascii="宋体" w:hAnsi="宋体" w:cs="宋体"/>
                <w:color w:val="auto"/>
                <w:sz w:val="24"/>
                <w:highlight w:val="none"/>
              </w:rPr>
              <w:t>标项名称</w:t>
            </w:r>
          </w:p>
        </w:tc>
        <w:tc>
          <w:tcPr>
            <w:tcW w:w="1810"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(元)</w:t>
            </w:r>
          </w:p>
        </w:tc>
        <w:tc>
          <w:tcPr>
            <w:tcW w:w="3427"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简要规格描述</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01"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358" w:type="dxa"/>
            <w:noWrap w:val="0"/>
            <w:tcMar>
              <w:top w:w="75" w:type="dxa"/>
              <w:left w:w="150" w:type="dxa"/>
              <w:bottom w:w="75" w:type="dxa"/>
              <w:right w:w="150" w:type="dxa"/>
            </w:tcMar>
            <w:vAlign w:val="center"/>
          </w:tcPr>
          <w:p>
            <w:pPr>
              <w:pStyle w:val="9"/>
              <w:keepNext w:val="0"/>
              <w:keepLines w:val="0"/>
              <w:pageBreakBefore w:val="0"/>
              <w:kinsoku/>
              <w:wordWrap/>
              <w:topLinePunct w:val="0"/>
              <w:autoSpaceDE/>
              <w:autoSpaceDN/>
              <w:bidi w:val="0"/>
              <w:adjustRightInd/>
              <w:snapToGrid w:val="0"/>
              <w:spacing w:before="0" w:beforeAutospacing="0" w:after="0" w:afterAutospacing="0" w:line="240" w:lineRule="auto"/>
              <w:jc w:val="center"/>
              <w:textAlignment w:val="auto"/>
              <w:rPr>
                <w:rFonts w:hint="default" w:ascii="宋体" w:hAnsi="宋体" w:eastAsia="宋体" w:cs="宋体"/>
                <w:spacing w:val="-20"/>
                <w:kern w:val="2"/>
                <w:sz w:val="24"/>
                <w:szCs w:val="24"/>
                <w:highlight w:val="none"/>
                <w:lang w:val="en-US" w:eastAsia="zh-CN" w:bidi="ar-SA"/>
              </w:rPr>
            </w:pPr>
            <w:r>
              <w:rPr>
                <w:rFonts w:hint="eastAsia" w:hAnsi="宋体" w:cs="宋体"/>
                <w:spacing w:val="0"/>
                <w:kern w:val="2"/>
                <w:sz w:val="24"/>
                <w:szCs w:val="24"/>
                <w:highlight w:val="none"/>
                <w:lang w:val="en-US" w:eastAsia="zh-CN" w:bidi="ar-SA"/>
              </w:rPr>
              <w:t>于田县托格日尕孜乡托格日尕孜村振兴示范村-养殖鱼塘建设采购项目</w:t>
            </w:r>
          </w:p>
        </w:tc>
        <w:tc>
          <w:tcPr>
            <w:tcW w:w="1810" w:type="dxa"/>
            <w:noWrap w:val="0"/>
            <w:tcMar>
              <w:top w:w="75" w:type="dxa"/>
              <w:left w:w="150" w:type="dxa"/>
              <w:bottom w:w="75" w:type="dxa"/>
              <w:right w:w="150" w:type="dxa"/>
            </w:tcMar>
            <w:vAlign w:val="center"/>
          </w:tcPr>
          <w:p>
            <w:pPr>
              <w:keepNext w:val="0"/>
              <w:keepLines w:val="0"/>
              <w:pageBreakBefore w:val="0"/>
              <w:widowControl/>
              <w:kinsoku/>
              <w:wordWrap/>
              <w:topLinePunct w:val="0"/>
              <w:autoSpaceDE/>
              <w:autoSpaceDN/>
              <w:bidi w:val="0"/>
              <w:adjustRightInd/>
              <w:snapToGrid w:val="0"/>
              <w:spacing w:line="240" w:lineRule="auto"/>
              <w:ind w:firstLine="24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pacing w:val="0"/>
                <w:sz w:val="24"/>
                <w:szCs w:val="24"/>
                <w:highlight w:val="none"/>
                <w:lang w:val="en-US" w:eastAsia="zh-CN"/>
              </w:rPr>
              <w:t>997215.98</w:t>
            </w:r>
          </w:p>
        </w:tc>
        <w:tc>
          <w:tcPr>
            <w:tcW w:w="3427" w:type="dxa"/>
            <w:noWrap w:val="0"/>
            <w:tcMar>
              <w:top w:w="75" w:type="dxa"/>
              <w:left w:w="150" w:type="dxa"/>
              <w:bottom w:w="75" w:type="dxa"/>
              <w:right w:w="150" w:type="dxa"/>
            </w:tcMar>
            <w:vAlign w:val="center"/>
          </w:tcPr>
          <w:p>
            <w:pPr>
              <w:keepNext w:val="0"/>
              <w:keepLines w:val="0"/>
              <w:pageBreakBefore w:val="0"/>
              <w:kinsoku/>
              <w:wordWrap/>
              <w:overflowPunct w:val="0"/>
              <w:topLinePunct w:val="0"/>
              <w:autoSpaceDE/>
              <w:autoSpaceDN/>
              <w:bidi w:val="0"/>
              <w:adjustRightInd/>
              <w:snapToGrid w:val="0"/>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pacing w:val="0"/>
                <w:kern w:val="2"/>
                <w:sz w:val="24"/>
                <w:szCs w:val="24"/>
                <w:highlight w:val="none"/>
                <w:lang w:val="en-US" w:eastAsia="zh-CN" w:bidi="ar-SA"/>
              </w:rPr>
              <w:t xml:space="preserve">新建养殖鱼塘一个，总面积6777.39平方米及配套相关附属配套设施。（具体规格参数详见招标文件）   </w:t>
            </w:r>
          </w:p>
        </w:tc>
        <w:tc>
          <w:tcPr>
            <w:tcW w:w="806" w:type="dxa"/>
            <w:noWrap w:val="0"/>
            <w:tcMar>
              <w:top w:w="75" w:type="dxa"/>
              <w:left w:w="150" w:type="dxa"/>
              <w:bottom w:w="75" w:type="dxa"/>
              <w:right w:w="150" w:type="dxa"/>
            </w:tcMar>
            <w:vAlign w:val="center"/>
          </w:tcPr>
          <w:p>
            <w:pPr>
              <w:pageBreakBefore w:val="0"/>
              <w:widowControl/>
              <w:kinsoku/>
              <w:wordWrap/>
              <w:topLinePunct w:val="0"/>
              <w:autoSpaceDE/>
              <w:autoSpaceDN/>
              <w:bidi w:val="0"/>
              <w:adjustRightInd/>
              <w:snapToGrid/>
              <w:spacing w:line="240" w:lineRule="auto"/>
              <w:jc w:val="center"/>
              <w:textAlignment w:val="auto"/>
              <w:rPr>
                <w:rFonts w:hint="eastAsia" w:ascii="宋体" w:hAnsi="宋体" w:cs="宋体"/>
                <w:color w:val="auto"/>
                <w:highlight w:val="none"/>
              </w:rPr>
            </w:pPr>
            <w:r>
              <w:rPr>
                <w:rFonts w:hint="eastAsia" w:ascii="宋体" w:hAnsi="宋体" w:cs="宋体"/>
                <w:color w:val="auto"/>
                <w:sz w:val="24"/>
                <w:highlight w:val="none"/>
              </w:rPr>
              <w:t>/</w:t>
            </w:r>
          </w:p>
        </w:tc>
      </w:tr>
    </w:tbl>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cs="宋体"/>
          <w:sz w:val="24"/>
          <w:szCs w:val="24"/>
          <w:highlight w:val="none"/>
          <w:lang w:val="en-US" w:eastAsia="zh-CN"/>
        </w:rPr>
        <w:t>30天（日历天）；</w:t>
      </w:r>
    </w:p>
    <w:p>
      <w:pPr>
        <w:pageBreakBefore w:val="0"/>
        <w:kinsoku/>
        <w:wordWrap/>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i/>
          <w:sz w:val="24"/>
          <w:szCs w:val="24"/>
          <w:highlight w:val="none"/>
        </w:rPr>
        <w:t>否</w:t>
      </w:r>
      <w:r>
        <w:rPr>
          <w:rFonts w:hint="eastAsia" w:ascii="宋体" w:hAnsi="宋体" w:eastAsia="宋体" w:cs="宋体"/>
          <w:sz w:val="24"/>
          <w:szCs w:val="24"/>
          <w:highlight w:val="none"/>
        </w:rPr>
        <w:t>）接受联合体。</w:t>
      </w:r>
      <w:bookmarkStart w:id="6" w:name="_Toc28359090"/>
      <w:bookmarkStart w:id="7" w:name="_Toc28359013"/>
      <w:bookmarkStart w:id="8" w:name="_Toc35393630"/>
      <w:bookmarkStart w:id="9" w:name="_Toc35393799"/>
    </w:p>
    <w:p>
      <w:pPr>
        <w:pageBreakBefore w:val="0"/>
        <w:kinsoku/>
        <w:wordWrap/>
        <w:topLinePunct w:val="0"/>
        <w:autoSpaceDE/>
        <w:autoSpaceDN/>
        <w:bidi w:val="0"/>
        <w:adjustRightInd/>
        <w:snapToGrid/>
        <w:spacing w:line="24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rPr>
        <w:t>、申请人的资格要求：</w:t>
      </w:r>
      <w:bookmarkEnd w:id="6"/>
      <w:bookmarkEnd w:id="7"/>
      <w:bookmarkEnd w:id="8"/>
      <w:bookmarkEnd w:id="9"/>
      <w:bookmarkStart w:id="10" w:name="_Toc35393631"/>
      <w:bookmarkStart w:id="11" w:name="_Toc35393800"/>
      <w:bookmarkStart w:id="12" w:name="_Toc28359091"/>
      <w:bookmarkStart w:id="13" w:name="_Toc28359014"/>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sz w:val="24"/>
          <w:szCs w:val="24"/>
          <w:highlight w:val="none"/>
        </w:rPr>
        <w:t>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513" w:firstLineChars="214"/>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kern w:val="2"/>
          <w:sz w:val="24"/>
          <w:szCs w:val="24"/>
          <w:highlight w:val="none"/>
          <w:lang w:val="en-US" w:eastAsia="zh-CN" w:bidi="ar-SA"/>
        </w:rPr>
        <w:t>无</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3、本项目的特定资格要求：</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（1）具备有效的三证合一营业执照；</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（2）企业具有[</w:t>
      </w:r>
      <w:r>
        <w:rPr>
          <w:rFonts w:hint="eastAsia" w:ascii="宋体" w:hAnsi="宋体" w:cs="宋体"/>
          <w:color w:val="auto"/>
          <w:kern w:val="2"/>
          <w:sz w:val="24"/>
          <w:szCs w:val="24"/>
          <w:lang w:val="en-US" w:eastAsia="zh-CN" w:bidi="ar-SA"/>
        </w:rPr>
        <w:t>市政公用工程施工总承包叁级</w:t>
      </w:r>
      <w:r>
        <w:rPr>
          <w:rFonts w:hint="eastAsia" w:ascii="宋体" w:hAnsi="宋体" w:eastAsia="宋体" w:cs="宋体"/>
          <w:color w:val="auto"/>
          <w:kern w:val="2"/>
          <w:sz w:val="24"/>
          <w:szCs w:val="24"/>
          <w:lang w:val="en-US" w:eastAsia="zh-CN" w:bidi="ar-SA"/>
        </w:rPr>
        <w:t>](含)以上资质、</w:t>
      </w:r>
      <w:r>
        <w:rPr>
          <w:rFonts w:hint="eastAsia" w:ascii="宋体" w:hAnsi="宋体" w:eastAsia="宋体" w:cs="宋体"/>
          <w:color w:val="auto"/>
          <w:kern w:val="2"/>
          <w:sz w:val="24"/>
          <w:szCs w:val="24"/>
          <w:highlight w:val="none"/>
          <w:lang w:val="en-US" w:eastAsia="zh-CN" w:bidi="ar-SA"/>
        </w:rPr>
        <w:t>企业安全生产许可证；</w:t>
      </w:r>
      <w:r>
        <w:rPr>
          <w:rFonts w:hint="eastAsia" w:ascii="宋体" w:hAnsi="宋体" w:eastAsia="宋体" w:cs="宋体"/>
          <w:color w:val="auto"/>
          <w:kern w:val="2"/>
          <w:sz w:val="24"/>
          <w:szCs w:val="24"/>
          <w:lang w:val="en-US" w:eastAsia="zh-CN" w:bidi="ar-SA"/>
        </w:rPr>
        <w:t xml:space="preserve">拟派项目负责人具有二级（含）以上建造师资格（市政公用工程专业）和安全生产考核合格证书B证（均合格有效）。 </w:t>
      </w:r>
      <w:bookmarkStart w:id="40" w:name="_GoBack"/>
      <w:bookmarkEnd w:id="40"/>
      <w:r>
        <w:rPr>
          <w:rFonts w:hint="eastAsia" w:ascii="宋体" w:hAnsi="宋体" w:eastAsia="宋体" w:cs="宋体"/>
          <w:color w:val="auto"/>
          <w:kern w:val="2"/>
          <w:sz w:val="24"/>
          <w:szCs w:val="24"/>
          <w:lang w:val="en-US" w:eastAsia="zh-CN" w:bidi="ar-SA"/>
        </w:rPr>
        <w:t xml:space="preserve"> </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法定代表人身份证明原件（需附法人身份证正反面）及身份证原件或法定代表人授权委托书和委托代理人的身份证原件（授权书需附法人及委托人身份证正反面复印件）及参加开标的人由社保部门出具近3个月的缴纳社保证明</w:t>
      </w:r>
      <w:r>
        <w:rPr>
          <w:rFonts w:hint="eastAsia" w:ascii="宋体" w:hAnsi="宋体" w:eastAsia="宋体" w:cs="宋体"/>
          <w:color w:val="auto"/>
          <w:kern w:val="2"/>
          <w:sz w:val="24"/>
          <w:szCs w:val="24"/>
          <w:highlight w:val="none"/>
          <w:lang w:val="en-US" w:eastAsia="zh-CN" w:bidi="ar-SA"/>
        </w:rPr>
        <w:t>（个人明细表）</w:t>
      </w:r>
      <w:r>
        <w:rPr>
          <w:rFonts w:hint="eastAsia" w:ascii="宋体" w:hAnsi="宋体" w:eastAsia="宋体" w:cs="宋体"/>
          <w:color w:val="auto"/>
          <w:kern w:val="2"/>
          <w:sz w:val="24"/>
          <w:szCs w:val="24"/>
          <w:lang w:val="en-US" w:eastAsia="zh-CN" w:bidi="ar-SA"/>
        </w:rPr>
        <w:t xml:space="preserve">； </w:t>
      </w:r>
    </w:p>
    <w:p>
      <w:pPr>
        <w:spacing w:line="480" w:lineRule="exact"/>
        <w:ind w:firstLine="480" w:firstLineChars="200"/>
        <w:contextualSpacing/>
        <w:rPr>
          <w:rFonts w:hint="eastAsia" w:ascii="宋体" w:hAnsi="宋体" w:cs="宋体"/>
          <w:sz w:val="24"/>
        </w:rPr>
      </w:pPr>
      <w:r>
        <w:rPr>
          <w:rFonts w:hint="eastAsia" w:ascii="宋体" w:hAnsi="宋体" w:cs="宋体"/>
          <w:sz w:val="24"/>
        </w:rPr>
        <w:t>（4）提供2021年度由第三方财务审计机构出具的财务审计报告（2022年1月后新成立的公司可不提供但需提供银行出具的近3个月资信证明）；</w:t>
      </w:r>
    </w:p>
    <w:p>
      <w:pPr>
        <w:spacing w:line="480" w:lineRule="exact"/>
        <w:ind w:firstLine="480" w:firstLineChars="200"/>
        <w:contextualSpacing/>
        <w:rPr>
          <w:rFonts w:hint="eastAsia" w:ascii="宋体" w:hAnsi="宋体" w:cs="宋体"/>
          <w:sz w:val="24"/>
        </w:rPr>
      </w:pPr>
      <w:r>
        <w:rPr>
          <w:rFonts w:hint="eastAsia" w:ascii="宋体" w:hAnsi="宋体" w:eastAsia="宋体" w:cs="宋体"/>
          <w:color w:val="auto"/>
          <w:kern w:val="2"/>
          <w:sz w:val="24"/>
          <w:szCs w:val="24"/>
          <w:lang w:val="en-US" w:eastAsia="zh-CN" w:bidi="ar-SA"/>
        </w:rPr>
        <w:t>（5）提供税务机关出具近3个月的完税证明原件（新成立的按实际发生提供）</w:t>
      </w:r>
      <w:r>
        <w:rPr>
          <w:rFonts w:hint="eastAsia" w:ascii="宋体" w:hAnsi="宋体" w:cs="宋体"/>
          <w:sz w:val="24"/>
        </w:rPr>
        <w:t>；</w:t>
      </w:r>
    </w:p>
    <w:p>
      <w:pPr>
        <w:spacing w:line="480" w:lineRule="exact"/>
        <w:ind w:firstLine="480" w:firstLineChars="200"/>
        <w:contextualSpacing/>
        <w:rPr>
          <w:rFonts w:hint="eastAsia" w:ascii="宋体" w:hAnsi="宋体" w:cs="宋体"/>
          <w:sz w:val="24"/>
        </w:rPr>
      </w:pPr>
      <w:r>
        <w:rPr>
          <w:rFonts w:hint="eastAsia" w:ascii="宋体" w:hAnsi="宋体" w:cs="宋体"/>
          <w:sz w:val="24"/>
        </w:rPr>
        <w:t>（6）提供近三年内（本项目投标报名截止期前）如在</w:t>
      </w:r>
      <w:r>
        <w:rPr>
          <w:rFonts w:hint="eastAsia" w:ascii="宋体" w:hAnsi="宋体" w:eastAsia="宋体" w:cs="宋体"/>
          <w:sz w:val="24"/>
        </w:rPr>
        <w:t>①“信用中国网（www.creditchina.gov.cn）”失信被执行人、税收违法黑名单、政府采购严重违法失信行为记录名单；②“中国政府采购网（www.ccgp.gov.cn）”被列入政府采购严重违法失信行为记录名单的；③“国家企业信用信息公示系统（http://www.gsxt.gov.cn）”列入经营异常名录信息、列入严重违法失信企业名单（黑名单）信息。④中国裁判文书网（http://wenshu.court.gov.cn/）有行贿受贿犯罪记录</w:t>
      </w:r>
      <w:r>
        <w:rPr>
          <w:rFonts w:hint="eastAsia" w:ascii="宋体" w:hAnsi="宋体" w:eastAsia="宋体" w:cs="宋体"/>
          <w:sz w:val="24"/>
          <w:lang w:val="en-US" w:eastAsia="zh-CN"/>
        </w:rPr>
        <w:t>的</w:t>
      </w:r>
      <w:r>
        <w:rPr>
          <w:rFonts w:hint="eastAsia" w:ascii="宋体" w:hAnsi="宋体" w:eastAsia="宋体" w:cs="宋体"/>
          <w:sz w:val="24"/>
        </w:rPr>
        <w:t>将拒绝其参本次政府采购活动</w:t>
      </w:r>
      <w:r>
        <w:rPr>
          <w:rFonts w:hint="eastAsia" w:ascii="宋体" w:hAnsi="宋体" w:cs="宋体"/>
          <w:sz w:val="24"/>
        </w:rPr>
        <w:t>。提供网站查询须在报名期限内公告发布以后（含发布当日）的网站查询结果纸质版清晰件并加盖鲜公章；</w:t>
      </w:r>
    </w:p>
    <w:p>
      <w:pPr>
        <w:spacing w:line="480" w:lineRule="exact"/>
        <w:ind w:firstLine="480" w:firstLineChars="200"/>
        <w:contextualSpacing/>
        <w:rPr>
          <w:rFonts w:hint="eastAsia" w:ascii="宋体" w:hAnsi="宋体" w:cs="宋体"/>
          <w:sz w:val="24"/>
        </w:rPr>
      </w:pPr>
      <w:r>
        <w:rPr>
          <w:rFonts w:hint="eastAsia" w:ascii="宋体" w:hAnsi="宋体" w:cs="宋体"/>
          <w:sz w:val="24"/>
        </w:rPr>
        <w:t>（7）企业法人为同一人或者存在直接控股、管理关系的不同投标人，不得参加同一合同项下的政府采购活动。否则，皆取消投标资格。</w:t>
      </w:r>
    </w:p>
    <w:p>
      <w:pPr>
        <w:spacing w:line="360" w:lineRule="exact"/>
        <w:ind w:firstLine="480" w:firstLineChars="200"/>
        <w:rPr>
          <w:rFonts w:hint="eastAsia" w:ascii="宋体" w:hAnsi="宋体" w:cs="宋体"/>
          <w:sz w:val="24"/>
        </w:rPr>
      </w:pPr>
      <w:r>
        <w:rPr>
          <w:rFonts w:hint="eastAsia" w:ascii="宋体" w:hAnsi="宋体" w:cs="宋体"/>
          <w:sz w:val="24"/>
        </w:rPr>
        <w:t>（8）本项目不接受联合体投标。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2" w:firstLineChars="200"/>
        <w:jc w:val="left"/>
        <w:textAlignment w:val="auto"/>
        <w:rPr>
          <w:rFonts w:hint="eastAsia" w:ascii="宋体" w:hAnsi="宋体" w:eastAsia="宋体" w:cs="宋体"/>
          <w:b/>
          <w:bCs w:val="0"/>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三、获取采购文件</w:t>
      </w:r>
      <w:bookmarkEnd w:id="10"/>
      <w:bookmarkEnd w:id="11"/>
      <w:bookmarkEnd w:id="12"/>
      <w:bookmarkEnd w:id="13"/>
    </w:p>
    <w:p>
      <w:pPr>
        <w:keepNext w:val="0"/>
        <w:keepLines w:val="0"/>
        <w:pageBreakBefore w:val="0"/>
        <w:widowControl w:val="0"/>
        <w:tabs>
          <w:tab w:val="left" w:pos="6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highlight w:val="none"/>
        </w:rPr>
      </w:pPr>
      <w:r>
        <w:rPr>
          <w:rFonts w:hint="eastAsia"/>
          <w:lang w:val="en-US" w:eastAsia="zh-CN"/>
        </w:rPr>
        <w:tab/>
      </w:r>
      <w:bookmarkStart w:id="14" w:name="_Toc35393801"/>
      <w:bookmarkStart w:id="15" w:name="_Toc35393632"/>
      <w:bookmarkStart w:id="16" w:name="_Toc28359015"/>
      <w:bookmarkStart w:id="17" w:name="_Toc28359092"/>
      <w:r>
        <w:rPr>
          <w:rFonts w:hint="eastAsia" w:ascii="宋体" w:hAnsi="宋体" w:eastAsia="宋体" w:cs="宋体"/>
          <w:b w:val="0"/>
          <w:bCs/>
          <w:sz w:val="24"/>
          <w:szCs w:val="24"/>
          <w:highlight w:val="none"/>
        </w:rPr>
        <w:t>时间：</w:t>
      </w:r>
      <w:r>
        <w:rPr>
          <w:rFonts w:hint="eastAsia" w:ascii="宋体" w:hAnsi="宋体" w:cs="宋体"/>
          <w:sz w:val="24"/>
          <w:highlight w:val="none"/>
        </w:rPr>
        <w:t>2022年</w:t>
      </w:r>
      <w:r>
        <w:rPr>
          <w:rFonts w:ascii="宋体" w:hAnsi="宋体" w:cs="宋体"/>
          <w:sz w:val="24"/>
          <w:highlight w:val="none"/>
        </w:rPr>
        <w:t>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 2022年0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rPr>
        <w:t>，每天上午10：00至14:00，下午15:30至19:30（北京时间，法定节假日除外 ）。</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地点：新疆惠文建设工程项目管理咨询有限公司（和田市阿恰勒东路11号第十地质大队四楼）</w:t>
      </w:r>
    </w:p>
    <w:p>
      <w:pPr>
        <w:pageBreakBefore w:val="0"/>
        <w:widowControl w:val="0"/>
        <w:tabs>
          <w:tab w:val="left" w:pos="1437"/>
        </w:tabs>
        <w:kinsoku/>
        <w:wordWrap/>
        <w:overflowPunct/>
        <w:topLinePunct w:val="0"/>
        <w:autoSpaceDE/>
        <w:autoSpaceDN/>
        <w:bidi w:val="0"/>
        <w:adjustRightInd/>
        <w:spacing w:line="480" w:lineRule="exact"/>
        <w:ind w:firstLine="720" w:firstLineChars="3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方式：满足上述投标资质的投标人，携带第二条申请人的资格要求的相关证件（原件及加盖单位鲜公章的复印件各一套核对），审查合格后现场获取招标文件   </w:t>
      </w:r>
    </w:p>
    <w:p>
      <w:pPr>
        <w:pStyle w:val="4"/>
        <w:pageBreakBefore w:val="0"/>
        <w:widowControl w:val="0"/>
        <w:kinsoku/>
        <w:wordWrap/>
        <w:overflowPunct/>
        <w:topLinePunct w:val="0"/>
        <w:autoSpaceDE/>
        <w:autoSpaceDN/>
        <w:bidi w:val="0"/>
        <w:adjustRightInd/>
        <w:snapToGrid w:val="0"/>
        <w:spacing w:before="0" w:after="0" w:line="480" w:lineRule="exac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05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31</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18" w:name="_Toc35393802"/>
      <w:bookmarkStart w:id="19" w:name="_Toc35393633"/>
      <w:bookmarkStart w:id="20" w:name="_Toc28359093"/>
      <w:bookmarkStart w:id="21" w:name="_Toc28359016"/>
      <w:r>
        <w:rPr>
          <w:rFonts w:hint="eastAsia" w:ascii="宋体" w:hAnsi="宋体" w:cs="宋体"/>
          <w:b/>
          <w:bCs/>
          <w:color w:val="auto"/>
          <w:sz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2</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05</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31</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11：00</w:t>
      </w:r>
      <w:r>
        <w:rPr>
          <w:rFonts w:hint="eastAsia" w:ascii="宋体" w:hAnsi="宋体" w:cs="宋体"/>
          <w:bCs/>
          <w:color w:val="auto"/>
          <w:sz w:val="24"/>
          <w:highlight w:val="none"/>
          <w:u w:val="single"/>
        </w:rPr>
        <w:t>分（北京时间）</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bCs/>
          <w:color w:val="auto"/>
          <w:sz w:val="24"/>
          <w:highlight w:val="none"/>
          <w:u w:val="single"/>
        </w:rPr>
      </w:pPr>
      <w:r>
        <w:rPr>
          <w:rFonts w:hint="eastAsia" w:ascii="宋体" w:hAnsi="宋体" w:cs="宋体"/>
          <w:color w:val="auto"/>
          <w:sz w:val="24"/>
          <w:highlight w:val="none"/>
        </w:rPr>
        <w:t>地点：</w:t>
      </w:r>
      <w:r>
        <w:rPr>
          <w:rFonts w:hint="eastAsia" w:ascii="宋体" w:hAnsi="宋体" w:cs="宋体"/>
          <w:sz w:val="24"/>
        </w:rPr>
        <w:t>于田县公共资源交易中心（于田县建德路8号政府老办公楼一楼左边）（腾讯会议不见面开标）</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22" w:name="_Toc28359094"/>
      <w:bookmarkStart w:id="23" w:name="_Toc28359017"/>
      <w:bookmarkStart w:id="24" w:name="_Toc35393803"/>
      <w:bookmarkStart w:id="25" w:name="_Toc35393634"/>
      <w:r>
        <w:rPr>
          <w:rFonts w:hint="eastAsia" w:ascii="宋体" w:hAnsi="宋体" w:cs="宋体"/>
          <w:b/>
          <w:bCs/>
          <w:color w:val="auto"/>
          <w:sz w:val="24"/>
          <w:highlight w:val="none"/>
        </w:rPr>
        <w:t>六、公告期限</w:t>
      </w:r>
      <w:bookmarkEnd w:id="22"/>
      <w:bookmarkEnd w:id="23"/>
      <w:bookmarkEnd w:id="24"/>
      <w:bookmarkEnd w:id="25"/>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个工作日。</w:t>
      </w:r>
    </w:p>
    <w:p>
      <w:pPr>
        <w:pageBreakBefore w:val="0"/>
        <w:widowControl w:val="0"/>
        <w:kinsoku/>
        <w:wordWrap/>
        <w:overflowPunct/>
        <w:topLinePunct w:val="0"/>
        <w:autoSpaceDE/>
        <w:autoSpaceDN/>
        <w:bidi w:val="0"/>
        <w:adjustRightInd/>
        <w:spacing w:line="480" w:lineRule="exact"/>
        <w:textAlignment w:val="auto"/>
        <w:rPr>
          <w:rFonts w:hint="eastAsia" w:ascii="宋体" w:hAnsi="宋体" w:cs="宋体"/>
          <w:b/>
          <w:bCs/>
          <w:color w:val="auto"/>
          <w:sz w:val="24"/>
          <w:highlight w:val="none"/>
        </w:rPr>
      </w:pPr>
      <w:bookmarkStart w:id="26" w:name="_Toc35393635"/>
      <w:bookmarkStart w:id="27" w:name="_Toc35393804"/>
      <w:r>
        <w:rPr>
          <w:rFonts w:hint="eastAsia" w:ascii="宋体" w:hAnsi="宋体" w:cs="宋体"/>
          <w:b/>
          <w:bCs/>
          <w:color w:val="auto"/>
          <w:sz w:val="24"/>
          <w:highlight w:val="none"/>
        </w:rPr>
        <w:t>七、其他补充事宜</w:t>
      </w:r>
      <w:bookmarkEnd w:id="26"/>
      <w:bookmarkEnd w:id="27"/>
    </w:p>
    <w:p>
      <w:pPr>
        <w:pStyle w:val="6"/>
        <w:pageBreakBefore w:val="0"/>
        <w:widowControl w:val="0"/>
        <w:kinsoku/>
        <w:wordWrap/>
        <w:overflowPunct/>
        <w:topLinePunct w:val="0"/>
        <w:autoSpaceDE/>
        <w:autoSpaceDN/>
        <w:bidi w:val="0"/>
        <w:adjustRightInd/>
        <w:spacing w:line="480" w:lineRule="exact"/>
        <w:ind w:firstLine="480"/>
        <w:textAlignment w:val="auto"/>
        <w:rPr>
          <w:rFonts w:hint="eastAsia" w:ascii="新宋体" w:hAnsi="新宋体" w:eastAsia="新宋体"/>
          <w:kern w:val="1"/>
        </w:rPr>
      </w:pPr>
      <w:bookmarkStart w:id="28" w:name="_Toc35393636"/>
      <w:bookmarkStart w:id="29" w:name="_Toc28359095"/>
      <w:bookmarkStart w:id="30" w:name="_Toc28359018"/>
      <w:bookmarkStart w:id="31" w:name="_Toc35393805"/>
      <w:r>
        <w:rPr>
          <w:rFonts w:hint="eastAsia" w:ascii="新宋体" w:hAnsi="新宋体" w:eastAsia="新宋体"/>
          <w:kern w:val="1"/>
          <w:highlight w:val="none"/>
        </w:rPr>
        <w:t>1、投标保证金：</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0000.00元；开户名称：于田县行政服务和公共资源交易中心，开户银行：中国农业银行股份有限公司于田县支行，行号：103896758211，账号：30582101040040596【投标保证金缴纳的截止时间为2022年</w:t>
      </w:r>
      <w:r>
        <w:rPr>
          <w:rFonts w:hint="eastAsia" w:ascii="新宋体" w:hAnsi="新宋体" w:eastAsia="新宋体"/>
          <w:kern w:val="1"/>
          <w:highlight w:val="none"/>
          <w:lang w:val="en-US" w:eastAsia="zh-CN"/>
        </w:rPr>
        <w:t>5</w:t>
      </w:r>
      <w:r>
        <w:rPr>
          <w:rFonts w:hint="eastAsia" w:ascii="新宋体" w:hAnsi="新宋体" w:eastAsia="新宋体"/>
          <w:kern w:val="1"/>
          <w:highlight w:val="none"/>
        </w:rPr>
        <w:t>月</w:t>
      </w:r>
      <w:r>
        <w:rPr>
          <w:rFonts w:hint="eastAsia" w:ascii="新宋体" w:hAnsi="新宋体" w:eastAsia="新宋体"/>
          <w:kern w:val="1"/>
          <w:highlight w:val="none"/>
          <w:lang w:val="en-US" w:eastAsia="zh-CN"/>
        </w:rPr>
        <w:t>31</w:t>
      </w:r>
      <w:r>
        <w:rPr>
          <w:rFonts w:hint="eastAsia" w:ascii="新宋体" w:hAnsi="新宋体" w:eastAsia="新宋体"/>
          <w:kern w:val="1"/>
          <w:highlight w:val="none"/>
        </w:rPr>
        <w:t>日1</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：00（北京时间），缴纳投标保证金时应在付款用途里标明项目名称、用途。投标保证金以进账</w:t>
      </w:r>
      <w:r>
        <w:rPr>
          <w:rFonts w:hint="eastAsia" w:ascii="新宋体" w:hAnsi="新宋体" w:eastAsia="新宋体"/>
          <w:kern w:val="1"/>
        </w:rPr>
        <w:t>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新宋体" w:hAnsi="新宋体" w:eastAsia="新宋体"/>
          <w:b/>
          <w:bCs/>
          <w:kern w:val="1"/>
        </w:rPr>
        <w:t>开标结束后未中标企业现场将开户许可证复印件（须加盖公司公章）递交至于田县公共资源交易中心财务室。</w:t>
      </w:r>
    </w:p>
    <w:p>
      <w:pPr>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cs="宋体"/>
          <w:b/>
          <w:bCs/>
          <w:color w:val="auto"/>
          <w:sz w:val="24"/>
        </w:rPr>
      </w:pPr>
      <w:r>
        <w:rPr>
          <w:rFonts w:hint="eastAsia" w:ascii="宋体" w:hAnsi="宋体" w:cs="宋体"/>
          <w:b/>
          <w:bCs/>
          <w:color w:val="auto"/>
          <w:sz w:val="24"/>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rPr>
      </w:pPr>
      <w:bookmarkStart w:id="32" w:name="_Toc28359019"/>
      <w:bookmarkStart w:id="33" w:name="_Toc28359096"/>
      <w:bookmarkStart w:id="34" w:name="_Toc35393637"/>
      <w:bookmarkStart w:id="35" w:name="_Toc35393806"/>
      <w:r>
        <w:rPr>
          <w:rFonts w:hint="eastAsia" w:ascii="宋体" w:hAnsi="宋体" w:cs="宋体"/>
          <w:color w:val="auto"/>
          <w:sz w:val="24"/>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名    称：</w:t>
      </w:r>
      <w:r>
        <w:rPr>
          <w:rFonts w:hint="eastAsia" w:ascii="宋体" w:hAnsi="宋体" w:cs="宋体"/>
          <w:color w:val="auto"/>
          <w:sz w:val="24"/>
          <w:u w:val="single"/>
          <w:lang w:val="en-US" w:eastAsia="zh-CN"/>
        </w:rPr>
        <w:t>于田县托格日尕孜乡人民政府</w:t>
      </w:r>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default" w:ascii="宋体" w:hAnsi="宋体" w:eastAsia="宋体" w:cs="宋体"/>
          <w:color w:val="auto"/>
          <w:sz w:val="24"/>
          <w:u w:val="single"/>
          <w:lang w:val="en-US" w:eastAsia="zh-CN"/>
        </w:rPr>
      </w:pPr>
      <w:r>
        <w:rPr>
          <w:rFonts w:hint="eastAsia" w:ascii="宋体" w:hAnsi="宋体" w:cs="宋体"/>
          <w:color w:val="auto"/>
          <w:sz w:val="24"/>
        </w:rPr>
        <w:t xml:space="preserve">      地    址：</w:t>
      </w:r>
      <w:r>
        <w:rPr>
          <w:rFonts w:hint="eastAsia" w:ascii="宋体" w:hAnsi="宋体" w:cs="宋体"/>
          <w:color w:val="auto"/>
          <w:sz w:val="24"/>
          <w:u w:val="single"/>
          <w:lang w:val="en-US" w:eastAsia="zh-CN"/>
        </w:rPr>
        <w:t xml:space="preserve">于田县托格日尕孜乡       </w:t>
      </w:r>
    </w:p>
    <w:p>
      <w:pPr>
        <w:keepNext w:val="0"/>
        <w:keepLines w:val="0"/>
        <w:pageBreakBefore w:val="0"/>
        <w:widowControl w:val="0"/>
        <w:kinsoku/>
        <w:wordWrap/>
        <w:overflowPunct/>
        <w:topLinePunct w:val="0"/>
        <w:autoSpaceDE/>
        <w:autoSpaceDN/>
        <w:bidi w:val="0"/>
        <w:adjustRightInd/>
        <w:snapToGrid/>
        <w:spacing w:line="480" w:lineRule="exact"/>
        <w:ind w:left="300" w:hanging="300" w:hangingChars="125"/>
        <w:jc w:val="left"/>
        <w:textAlignment w:val="auto"/>
        <w:rPr>
          <w:rFonts w:hint="eastAsia" w:ascii="宋体" w:hAnsi="宋体" w:cs="宋体"/>
          <w:color w:val="auto"/>
          <w:sz w:val="24"/>
        </w:rPr>
      </w:pPr>
      <w:r>
        <w:rPr>
          <w:rFonts w:hint="eastAsia" w:ascii="宋体" w:hAnsi="宋体" w:cs="宋体"/>
          <w:color w:val="auto"/>
          <w:sz w:val="24"/>
        </w:rPr>
        <w:t xml:space="preserve">      联 系 人：</w:t>
      </w:r>
      <w:r>
        <w:rPr>
          <w:rFonts w:hint="eastAsia" w:ascii="宋体" w:hAnsi="宋体" w:cs="宋体"/>
          <w:color w:val="auto"/>
          <w:sz w:val="24"/>
          <w:u w:val="single"/>
          <w:lang w:eastAsia="zh-CN"/>
        </w:rPr>
        <w:t>陈先生</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left"/>
        <w:textAlignment w:val="auto"/>
        <w:rPr>
          <w:rFonts w:hint="default" w:ascii="宋体" w:hAnsi="宋体" w:cs="宋体"/>
          <w:color w:val="auto"/>
          <w:sz w:val="24"/>
          <w:lang w:val="en-US"/>
        </w:rPr>
      </w:pPr>
      <w:r>
        <w:rPr>
          <w:rFonts w:hint="eastAsia" w:ascii="宋体" w:hAnsi="宋体" w:cs="宋体"/>
          <w:color w:val="auto"/>
          <w:sz w:val="24"/>
        </w:rPr>
        <w:t>联系方式：</w:t>
      </w:r>
      <w:r>
        <w:rPr>
          <w:rFonts w:hint="eastAsia" w:ascii="宋体" w:hAnsi="宋体"/>
          <w:color w:val="auto"/>
          <w:szCs w:val="30"/>
          <w:u w:val="single"/>
          <w:lang w:val="en-US" w:eastAsia="zh-CN"/>
        </w:rPr>
        <w:t xml:space="preserve">15599704243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eastAsia="宋体" w:cs="宋体"/>
          <w:color w:val="auto"/>
          <w:sz w:val="24"/>
          <w:lang w:eastAsia="zh-CN"/>
        </w:rPr>
      </w:pPr>
      <w:bookmarkStart w:id="36" w:name="_Toc35393638"/>
      <w:bookmarkStart w:id="37" w:name="_Toc28359020"/>
      <w:bookmarkStart w:id="38" w:name="_Toc28359097"/>
      <w:bookmarkStart w:id="39" w:name="_Toc35393807"/>
      <w:r>
        <w:rPr>
          <w:rFonts w:hint="eastAsia" w:ascii="宋体" w:hAnsi="宋体" w:cs="宋体"/>
          <w:color w:val="auto"/>
          <w:sz w:val="24"/>
        </w:rPr>
        <w:t>2.采购代理机构信息</w:t>
      </w:r>
      <w:bookmarkEnd w:id="36"/>
      <w:bookmarkEnd w:id="37"/>
      <w:bookmarkEnd w:id="38"/>
      <w:bookmarkEnd w:id="39"/>
      <w:r>
        <w:rPr>
          <w:rFonts w:hint="eastAsia" w:ascii="宋体" w:hAnsi="宋体" w:cs="宋体"/>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u w:val="single"/>
        </w:rPr>
        <w:t>新疆惠文建设工程项目管理咨询有限公司</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和田市阿恰勒东路11号</w:t>
      </w:r>
    </w:p>
    <w:p>
      <w:pPr>
        <w:pStyle w:val="5"/>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hAnsi="宋体" w:cs="宋体"/>
          <w:color w:val="auto"/>
          <w:sz w:val="24"/>
          <w:szCs w:val="24"/>
        </w:rPr>
      </w:pPr>
      <w:r>
        <w:rPr>
          <w:rFonts w:hint="eastAsia" w:hAnsi="宋体" w:cs="宋体"/>
          <w:color w:val="auto"/>
          <w:sz w:val="24"/>
          <w:szCs w:val="24"/>
        </w:rPr>
        <w:t>项目联系人：</w:t>
      </w:r>
      <w:r>
        <w:rPr>
          <w:rFonts w:hint="eastAsia" w:hAnsi="宋体" w:cs="宋体"/>
          <w:color w:val="auto"/>
          <w:sz w:val="24"/>
          <w:szCs w:val="24"/>
          <w:u w:val="single"/>
        </w:rPr>
        <w:t>马玉燕</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both"/>
        <w:textAlignment w:val="auto"/>
        <w:rPr>
          <w:rFonts w:ascii="Tahoma" w:hAnsi="Tahoma" w:eastAsia="黑体" w:cs="Tahoma"/>
          <w:b/>
          <w:color w:val="auto"/>
          <w:sz w:val="44"/>
        </w:rPr>
      </w:pPr>
      <w:r>
        <w:rPr>
          <w:rFonts w:hint="eastAsia" w:ascii="宋体" w:hAnsi="宋体" w:cs="宋体"/>
          <w:color w:val="auto"/>
          <w:sz w:val="24"/>
        </w:rPr>
        <w:t>联系方式：</w:t>
      </w:r>
      <w:r>
        <w:rPr>
          <w:rFonts w:hint="eastAsia" w:ascii="宋体" w:hAnsi="宋体" w:cs="宋体"/>
          <w:color w:val="auto"/>
          <w:sz w:val="24"/>
          <w:u w:val="single"/>
        </w:rPr>
        <w:t>13999656168/0903-2520049</w:t>
      </w:r>
    </w:p>
    <w:p>
      <w:pPr>
        <w:spacing w:line="360" w:lineRule="auto"/>
        <w:jc w:val="center"/>
        <w:rPr>
          <w:rFonts w:ascii="Tahoma" w:hAnsi="Tahoma" w:eastAsia="黑体" w:cs="Tahoma"/>
          <w:b/>
          <w:color w:val="auto"/>
          <w:sz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D1D1"/>
    <w:multiLevelType w:val="singleLevel"/>
    <w:tmpl w:val="A695D1D1"/>
    <w:lvl w:ilvl="0" w:tentative="0">
      <w:start w:val="1"/>
      <w:numFmt w:val="decimal"/>
      <w:suff w:val="nothing"/>
      <w:lvlText w:val="%1、"/>
      <w:lvlJc w:val="left"/>
    </w:lvl>
  </w:abstractNum>
  <w:abstractNum w:abstractNumId="1">
    <w:nsid w:val="00000000"/>
    <w:multiLevelType w:val="multilevel"/>
    <w:tmpl w:val="00000000"/>
    <w:lvl w:ilvl="0" w:tentative="0">
      <w:start w:val="1"/>
      <w:numFmt w:val="decimal"/>
      <w:lvlText w:val="%1．"/>
      <w:lvlJc w:val="left"/>
      <w:pPr>
        <w:tabs>
          <w:tab w:val="left" w:pos="780"/>
        </w:tabs>
        <w:ind w:left="780" w:hanging="360"/>
      </w:pPr>
      <w:rPr>
        <w:rFonts w:hint="default"/>
      </w:rPr>
    </w:lvl>
    <w:lvl w:ilvl="1" w:tentative="0">
      <w:start w:val="1"/>
      <w:numFmt w:val="japaneseCounting"/>
      <w:lvlText w:val="%2、"/>
      <w:lvlJc w:val="left"/>
      <w:pPr>
        <w:tabs>
          <w:tab w:val="left" w:pos="1560"/>
        </w:tabs>
        <w:ind w:left="1560" w:hanging="720"/>
      </w:pPr>
      <w:rPr>
        <w:rFonts w:hint="default"/>
      </w:rPr>
    </w:lvl>
    <w:lvl w:ilvl="2" w:tentative="0">
      <w:start w:val="1"/>
      <w:numFmt w:val="decimalEnclosedCircle"/>
      <w:lvlText w:val="%3"/>
      <w:lvlJc w:val="left"/>
      <w:pPr>
        <w:tabs>
          <w:tab w:val="left" w:pos="1620"/>
        </w:tabs>
        <w:ind w:left="1620" w:hanging="360"/>
      </w:pPr>
      <w:rPr>
        <w:rFonts w:hint="eastAsia"/>
      </w:rPr>
    </w:lvl>
    <w:lvl w:ilvl="3" w:tentative="0">
      <w:start w:val="1"/>
      <w:numFmt w:val="decimal"/>
      <w:lvlText w:val="%4、"/>
      <w:lvlJc w:val="left"/>
      <w:pPr>
        <w:tabs>
          <w:tab w:val="left" w:pos="2400"/>
        </w:tabs>
        <w:ind w:left="2400" w:hanging="720"/>
      </w:pPr>
      <w:rPr>
        <w:rFonts w:hint="eastAsia"/>
      </w:rPr>
    </w:lvl>
    <w:lvl w:ilvl="4" w:tentative="0">
      <w:start w:val="1"/>
      <w:numFmt w:val="upperLetter"/>
      <w:pStyle w:val="3"/>
      <w:lvlText w:val="%5、"/>
      <w:lvlJc w:val="left"/>
      <w:pPr>
        <w:tabs>
          <w:tab w:val="left" w:pos="2820"/>
        </w:tabs>
        <w:ind w:left="2820" w:hanging="720"/>
      </w:pPr>
      <w:rPr>
        <w:rFonts w:hint="eastAsia"/>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ZmZjNWRmYjRhNTAyMTk3ZjkxM2MzOTMxN2E0NzAifQ=="/>
  </w:docVars>
  <w:rsids>
    <w:rsidRoot w:val="10B00EAA"/>
    <w:rsid w:val="10B00EAA"/>
    <w:rsid w:val="311E11C0"/>
    <w:rsid w:val="574E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4"/>
        <w:numId w:val="1"/>
      </w:numPr>
      <w:tabs>
        <w:tab w:val="left" w:pos="0"/>
        <w:tab w:val="clear" w:pos="2820"/>
      </w:tabs>
      <w:ind w:hanging="2820"/>
      <w:outlineLvl w:val="0"/>
    </w:pPr>
    <w:rPr>
      <w:rFonts w:ascii="仿宋_GB2312" w:eastAsia="仿宋_GB2312"/>
      <w:sz w:val="32"/>
      <w:szCs w:val="32"/>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5">
    <w:name w:val="Plain Text"/>
    <w:basedOn w:val="1"/>
    <w:qFormat/>
    <w:uiPriority w:val="0"/>
    <w:rPr>
      <w:rFonts w:ascii="宋体" w:hAnsi="Courier New"/>
      <w:sz w:val="11"/>
      <w:szCs w:val="20"/>
    </w:rPr>
  </w:style>
  <w:style w:type="paragraph" w:styleId="6">
    <w:name w:val="Normal (Web)"/>
    <w:basedOn w:val="1"/>
    <w:qFormat/>
    <w:uiPriority w:val="0"/>
    <w:pPr>
      <w:spacing w:line="300" w:lineRule="auto"/>
    </w:pPr>
    <w:rPr>
      <w:sz w:val="24"/>
      <w:szCs w:val="24"/>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1824</Words>
  <Characters>2083</Characters>
  <Lines>0</Lines>
  <Paragraphs>0</Paragraphs>
  <TotalTime>0</TotalTime>
  <ScaleCrop>false</ScaleCrop>
  <LinksUpToDate>false</LinksUpToDate>
  <CharactersWithSpaces>2171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2022-05-16T05:26:00Z</dcterms:created>
  <dc:creator>张亮</dc:creator>
  <cp:lastModifiedBy>张亮</cp:lastModifiedBy>
  <dcterms:modified xsi:type="dcterms:W3CDTF">2022-05-17T03:25:46Z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06EA0E92B368421F837379935062762D</vt:lpwstr>
  </property>
</Properties>
</file>