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64" w:line="500" w:lineRule="exact"/>
        <w:jc w:val="center"/>
        <w:outlineLvl w:val="5"/>
        <w:rPr>
          <w:rFonts w:ascii="宋体" w:hAnsi="宋体" w:eastAsia="宋体" w:cs="宋体"/>
          <w:b/>
          <w:bCs/>
          <w:sz w:val="36"/>
          <w:szCs w:val="36"/>
        </w:rPr>
      </w:pPr>
    </w:p>
    <w:p>
      <w:pPr>
        <w:keepNext/>
        <w:keepLines/>
        <w:spacing w:before="240" w:after="64" w:line="500" w:lineRule="exact"/>
        <w:jc w:val="center"/>
        <w:outlineLvl w:val="5"/>
        <w:rPr>
          <w:rFonts w:ascii="宋体" w:hAnsi="宋体" w:eastAsia="宋体" w:cs="宋体"/>
          <w:b/>
          <w:bCs/>
          <w:sz w:val="44"/>
          <w:szCs w:val="44"/>
        </w:rPr>
      </w:pPr>
      <w:r>
        <w:rPr>
          <w:rFonts w:hint="eastAsia" w:ascii="宋体" w:hAnsi="宋体" w:eastAsia="宋体" w:cs="宋体"/>
          <w:b/>
          <w:bCs/>
          <w:sz w:val="44"/>
          <w:szCs w:val="44"/>
        </w:rPr>
        <w:t>哈巴河县城市管理服务平台建设项目--监理</w:t>
      </w:r>
    </w:p>
    <w:p>
      <w:pPr>
        <w:keepNext/>
        <w:keepLines/>
        <w:spacing w:before="240" w:after="64" w:line="500" w:lineRule="exact"/>
        <w:outlineLvl w:val="5"/>
        <w:rPr>
          <w:rFonts w:ascii="宋体" w:hAnsi="宋体" w:eastAsia="宋体" w:cs="宋体"/>
          <w:b/>
          <w:bCs/>
          <w:szCs w:val="21"/>
        </w:rPr>
      </w:pPr>
    </w:p>
    <w:p>
      <w:pPr>
        <w:pStyle w:val="2"/>
        <w:rPr>
          <w:rFonts w:ascii="宋体" w:hAnsi="宋体" w:eastAsia="宋体" w:cs="宋体"/>
          <w:bCs/>
          <w:szCs w:val="21"/>
          <w:lang w:eastAsia="zh-CN"/>
        </w:rPr>
      </w:pPr>
    </w:p>
    <w:p>
      <w:pPr>
        <w:pStyle w:val="2"/>
        <w:rPr>
          <w:rFonts w:ascii="宋体" w:hAnsi="宋体" w:eastAsia="宋体" w:cs="宋体"/>
          <w:bCs/>
          <w:szCs w:val="21"/>
          <w:lang w:eastAsia="zh-CN"/>
        </w:rPr>
      </w:pPr>
    </w:p>
    <w:p>
      <w:pPr>
        <w:pStyle w:val="2"/>
        <w:rPr>
          <w:rFonts w:ascii="宋体" w:hAnsi="宋体" w:eastAsia="宋体" w:cs="宋体"/>
          <w:bCs/>
          <w:szCs w:val="21"/>
          <w:lang w:eastAsia="zh-CN"/>
        </w:rPr>
      </w:pPr>
    </w:p>
    <w:p>
      <w:pPr>
        <w:keepNext/>
        <w:keepLines/>
        <w:spacing w:before="240" w:after="64" w:line="500" w:lineRule="exact"/>
        <w:outlineLvl w:val="5"/>
        <w:rPr>
          <w:rFonts w:ascii="宋体" w:hAnsi="宋体" w:eastAsia="宋体" w:cs="宋体"/>
          <w:b/>
          <w:bCs/>
          <w:szCs w:val="21"/>
        </w:rPr>
      </w:pPr>
    </w:p>
    <w:p>
      <w:pPr>
        <w:pStyle w:val="2"/>
        <w:rPr>
          <w:lang w:eastAsia="zh-CN"/>
        </w:rPr>
      </w:pPr>
    </w:p>
    <w:p>
      <w:pPr>
        <w:keepNext/>
        <w:keepLines/>
        <w:spacing w:before="240" w:after="64" w:line="500" w:lineRule="exact"/>
        <w:jc w:val="center"/>
        <w:outlineLvl w:val="5"/>
        <w:rPr>
          <w:rFonts w:ascii="宋体" w:hAnsi="宋体" w:eastAsia="宋体" w:cs="宋体"/>
          <w:b/>
          <w:bCs/>
          <w:sz w:val="56"/>
          <w:szCs w:val="56"/>
        </w:rPr>
      </w:pPr>
      <w:r>
        <w:rPr>
          <w:rFonts w:hint="eastAsia" w:ascii="宋体" w:hAnsi="宋体" w:eastAsia="宋体" w:cs="宋体"/>
          <w:b/>
          <w:bCs/>
          <w:sz w:val="56"/>
          <w:szCs w:val="56"/>
        </w:rPr>
        <w:t>竞争性磋商文件</w:t>
      </w:r>
    </w:p>
    <w:p>
      <w:pPr>
        <w:spacing w:line="500" w:lineRule="exact"/>
        <w:ind w:firstLine="420" w:firstLineChars="200"/>
        <w:rPr>
          <w:rFonts w:ascii="宋体" w:hAnsi="宋体" w:eastAsia="宋体" w:cs="宋体"/>
          <w:szCs w:val="21"/>
        </w:rPr>
      </w:pPr>
    </w:p>
    <w:p>
      <w:pPr>
        <w:spacing w:line="500" w:lineRule="exact"/>
        <w:ind w:firstLine="420" w:firstLineChars="200"/>
        <w:rPr>
          <w:rFonts w:ascii="宋体" w:hAnsi="宋体" w:eastAsia="宋体" w:cs="宋体"/>
          <w:szCs w:val="21"/>
        </w:rPr>
      </w:pPr>
    </w:p>
    <w:p>
      <w:pPr>
        <w:spacing w:line="500" w:lineRule="exact"/>
        <w:ind w:firstLine="420" w:firstLineChars="200"/>
        <w:rPr>
          <w:rFonts w:ascii="宋体" w:hAnsi="宋体" w:eastAsia="宋体" w:cs="宋体"/>
          <w:szCs w:val="21"/>
        </w:rPr>
      </w:pPr>
    </w:p>
    <w:p>
      <w:pPr>
        <w:spacing w:line="500" w:lineRule="exact"/>
        <w:ind w:firstLine="420" w:firstLineChars="200"/>
        <w:rPr>
          <w:rFonts w:ascii="宋体" w:hAnsi="宋体" w:eastAsia="宋体" w:cs="宋体"/>
          <w:szCs w:val="21"/>
        </w:rPr>
      </w:pPr>
    </w:p>
    <w:p>
      <w:pPr>
        <w:pStyle w:val="2"/>
        <w:rPr>
          <w:rFonts w:ascii="宋体" w:hAnsi="宋体" w:eastAsia="宋体" w:cs="宋体"/>
          <w:szCs w:val="21"/>
          <w:lang w:eastAsia="zh-CN"/>
        </w:rPr>
      </w:pPr>
    </w:p>
    <w:p>
      <w:pPr>
        <w:pStyle w:val="2"/>
        <w:rPr>
          <w:rFonts w:ascii="宋体" w:hAnsi="宋体" w:eastAsia="宋体" w:cs="宋体"/>
          <w:szCs w:val="21"/>
          <w:lang w:eastAsia="zh-CN"/>
        </w:rPr>
      </w:pPr>
    </w:p>
    <w:p>
      <w:pPr>
        <w:pStyle w:val="2"/>
        <w:rPr>
          <w:rFonts w:ascii="宋体" w:hAnsi="宋体" w:eastAsia="宋体" w:cs="宋体"/>
          <w:szCs w:val="21"/>
          <w:lang w:eastAsia="zh-CN"/>
        </w:rPr>
      </w:pPr>
    </w:p>
    <w:p>
      <w:pPr>
        <w:pStyle w:val="2"/>
        <w:rPr>
          <w:rFonts w:ascii="宋体" w:hAnsi="宋体" w:eastAsia="宋体" w:cs="宋体"/>
          <w:szCs w:val="21"/>
          <w:lang w:eastAsia="zh-CN"/>
        </w:rPr>
      </w:pPr>
    </w:p>
    <w:p>
      <w:pPr>
        <w:pStyle w:val="2"/>
        <w:rPr>
          <w:rFonts w:ascii="宋体" w:hAnsi="宋体" w:eastAsia="宋体" w:cs="宋体"/>
          <w:szCs w:val="21"/>
          <w:lang w:eastAsia="zh-CN"/>
        </w:rPr>
      </w:pPr>
    </w:p>
    <w:p>
      <w:pPr>
        <w:pStyle w:val="2"/>
        <w:rPr>
          <w:lang w:eastAsia="zh-CN"/>
        </w:rPr>
      </w:pPr>
    </w:p>
    <w:p>
      <w:pPr>
        <w:pStyle w:val="2"/>
        <w:rPr>
          <w:lang w:eastAsia="zh-CN"/>
        </w:rPr>
      </w:pPr>
    </w:p>
    <w:p>
      <w:pPr>
        <w:pStyle w:val="2"/>
        <w:rPr>
          <w:lang w:eastAsia="zh-CN"/>
        </w:rPr>
      </w:pPr>
    </w:p>
    <w:p>
      <w:pPr>
        <w:widowControl/>
        <w:spacing w:line="360" w:lineRule="auto"/>
        <w:jc w:val="left"/>
        <w:rPr>
          <w:rFonts w:ascii="仿宋_GB2312" w:hAnsi="宋体" w:eastAsia="仿宋_GB2312"/>
          <w:b/>
          <w:sz w:val="28"/>
          <w:szCs w:val="28"/>
        </w:rPr>
      </w:pPr>
      <w:r>
        <w:rPr>
          <w:rFonts w:hint="eastAsia" w:ascii="仿宋_GB2312" w:hAnsi="宋体" w:eastAsia="仿宋_GB2312"/>
          <w:b/>
          <w:sz w:val="28"/>
          <w:szCs w:val="28"/>
        </w:rPr>
        <w:t>招标单位：哈巴河县住房和城乡建设局（盖章）</w:t>
      </w:r>
    </w:p>
    <w:p>
      <w:pPr>
        <w:widowControl/>
        <w:spacing w:line="360" w:lineRule="auto"/>
        <w:jc w:val="left"/>
        <w:rPr>
          <w:rFonts w:ascii="仿宋_GB2312" w:hAnsi="宋体" w:eastAsia="仿宋_GB2312"/>
          <w:b/>
          <w:sz w:val="28"/>
          <w:szCs w:val="28"/>
        </w:rPr>
      </w:pPr>
      <w:r>
        <w:rPr>
          <w:rFonts w:hint="eastAsia" w:ascii="仿宋_GB2312" w:hAnsi="宋体" w:eastAsia="仿宋_GB2312"/>
          <w:b/>
          <w:sz w:val="28"/>
          <w:szCs w:val="28"/>
        </w:rPr>
        <w:t>文件编号：ZFCGH-ZYHXZB2022-022</w:t>
      </w:r>
    </w:p>
    <w:p>
      <w:pPr>
        <w:widowControl/>
        <w:spacing w:line="360" w:lineRule="auto"/>
        <w:jc w:val="left"/>
        <w:rPr>
          <w:rFonts w:ascii="仿宋_GB2312" w:hAnsi="宋体" w:eastAsia="仿宋_GB2312"/>
          <w:b/>
          <w:sz w:val="28"/>
          <w:szCs w:val="28"/>
        </w:rPr>
      </w:pPr>
      <w:r>
        <w:rPr>
          <w:rFonts w:hint="eastAsia" w:ascii="仿宋_GB2312" w:hAnsi="宋体" w:eastAsia="仿宋_GB2312"/>
          <w:b/>
          <w:sz w:val="28"/>
          <w:szCs w:val="28"/>
        </w:rPr>
        <w:t>招标代理公司: 新疆泽源和忻项目管理咨询有限公司(盖章)</w:t>
      </w:r>
    </w:p>
    <w:p>
      <w:pPr>
        <w:spacing w:line="360" w:lineRule="auto"/>
        <w:jc w:val="left"/>
        <w:rPr>
          <w:rFonts w:ascii="仿宋_GB2312" w:hAnsi="宋体" w:eastAsia="仿宋_GB2312"/>
          <w:b/>
          <w:sz w:val="28"/>
          <w:szCs w:val="28"/>
        </w:rPr>
      </w:pPr>
      <w:r>
        <w:rPr>
          <w:rFonts w:hint="eastAsia" w:ascii="仿宋_GB2312" w:hAnsi="宋体" w:eastAsia="仿宋_GB2312"/>
          <w:b/>
          <w:sz w:val="28"/>
          <w:szCs w:val="28"/>
        </w:rPr>
        <w:t>法定代表人(签字或盖章):</w:t>
      </w:r>
    </w:p>
    <w:p>
      <w:pPr>
        <w:spacing w:line="360" w:lineRule="auto"/>
        <w:jc w:val="left"/>
        <w:rPr>
          <w:rFonts w:ascii="仿宋_GB2312" w:hAnsi="宋体" w:eastAsia="仿宋_GB2312"/>
          <w:b/>
          <w:sz w:val="28"/>
          <w:szCs w:val="28"/>
        </w:rPr>
      </w:pPr>
      <w:r>
        <w:rPr>
          <w:rFonts w:hint="eastAsia" w:ascii="仿宋_GB2312" w:hAnsi="宋体" w:eastAsia="仿宋_GB2312"/>
          <w:b/>
          <w:sz w:val="28"/>
          <w:szCs w:val="28"/>
        </w:rPr>
        <w:t>项目联系人: 邓胜楠</w:t>
      </w:r>
    </w:p>
    <w:p>
      <w:pPr>
        <w:spacing w:line="360" w:lineRule="auto"/>
        <w:jc w:val="left"/>
        <w:rPr>
          <w:rFonts w:ascii="仿宋_GB2312" w:hAnsi="宋体" w:eastAsia="仿宋_GB2312"/>
          <w:b/>
          <w:sz w:val="28"/>
          <w:szCs w:val="28"/>
        </w:rPr>
      </w:pPr>
      <w:r>
        <w:rPr>
          <w:rFonts w:hint="eastAsia" w:ascii="仿宋_GB2312" w:hAnsi="宋体" w:eastAsia="仿宋_GB2312"/>
          <w:b/>
          <w:sz w:val="28"/>
          <w:szCs w:val="28"/>
        </w:rPr>
        <w:t>联系电话:18935826608</w:t>
      </w:r>
    </w:p>
    <w:p>
      <w:pPr>
        <w:widowControl/>
        <w:jc w:val="left"/>
        <w:rPr>
          <w:rFonts w:ascii="宋体" w:hAnsi="宋体" w:eastAsia="宋体" w:cs="宋体"/>
          <w:sz w:val="28"/>
          <w:szCs w:val="28"/>
        </w:rPr>
      </w:pPr>
      <w:r>
        <w:rPr>
          <w:rFonts w:ascii="宋体" w:hAnsi="宋体" w:eastAsia="宋体" w:cs="宋体"/>
          <w:sz w:val="28"/>
          <w:szCs w:val="28"/>
        </w:rPr>
        <w:br w:type="page"/>
      </w:r>
    </w:p>
    <w:sdt>
      <w:sdtPr>
        <w:rPr>
          <w:rFonts w:ascii="宋体" w:hAnsi="宋体" w:eastAsia="宋体" w:cs="Times New Roman"/>
          <w:kern w:val="0"/>
          <w:sz w:val="28"/>
          <w:szCs w:val="32"/>
        </w:rPr>
        <w:id w:val="147467812"/>
        <w:docPartObj>
          <w:docPartGallery w:val="Table of Contents"/>
          <w:docPartUnique/>
        </w:docPartObj>
      </w:sdtPr>
      <w:sdtEndPr>
        <w:rPr>
          <w:rFonts w:ascii="宋体" w:hAnsi="宋体" w:eastAsia="宋体" w:cs="Times New Roman"/>
          <w:kern w:val="0"/>
          <w:sz w:val="24"/>
          <w:szCs w:val="24"/>
        </w:rPr>
      </w:sdtEndPr>
      <w:sdtContent>
        <w:p>
          <w:pPr>
            <w:jc w:val="center"/>
            <w:rPr>
              <w:sz w:val="28"/>
              <w:szCs w:val="32"/>
            </w:rPr>
          </w:pPr>
          <w:r>
            <w:rPr>
              <w:rFonts w:ascii="宋体" w:hAnsi="宋体"/>
              <w:sz w:val="28"/>
              <w:szCs w:val="32"/>
            </w:rPr>
            <w:t>目录</w:t>
          </w:r>
        </w:p>
        <w:p>
          <w:pPr>
            <w:pStyle w:val="39"/>
            <w:tabs>
              <w:tab w:val="right" w:leader="dot" w:pos="8948"/>
            </w:tabs>
            <w:rPr>
              <w:sz w:val="24"/>
              <w:szCs w:val="24"/>
            </w:rPr>
          </w:pPr>
          <w:r>
            <w:fldChar w:fldCharType="begin"/>
          </w:r>
          <w:r>
            <w:instrText xml:space="preserve"> HYPERLINK \l "_Toc1264_WPSOffice_Level1" </w:instrText>
          </w:r>
          <w:r>
            <w:fldChar w:fldCharType="separate"/>
          </w:r>
          <w:sdt>
            <w:sdtPr>
              <w:rPr>
                <w:rFonts w:ascii="宋体" w:hAnsi="Courier New" w:cs="Courier New"/>
                <w:b/>
                <w:bCs/>
                <w:kern w:val="2"/>
                <w:sz w:val="28"/>
                <w:szCs w:val="28"/>
              </w:rPr>
              <w:id w:val="1148278"/>
            </w:sdtPr>
            <w:sdtEndPr>
              <w:rPr>
                <w:rFonts w:ascii="宋体" w:hAnsi="Courier New" w:cs="Courier New"/>
                <w:b/>
                <w:bCs/>
                <w:kern w:val="2"/>
                <w:sz w:val="28"/>
                <w:szCs w:val="28"/>
              </w:rPr>
            </w:sdtEndPr>
            <w:sdtContent>
              <w:r>
                <w:rPr>
                  <w:rFonts w:hint="eastAsia" w:ascii="宋体" w:hAnsi="宋体" w:cs="宋体"/>
                  <w:b/>
                  <w:bCs/>
                  <w:sz w:val="24"/>
                  <w:szCs w:val="24"/>
                </w:rPr>
                <w:t>第一部分　商务部分</w:t>
              </w:r>
            </w:sdtContent>
          </w:sdt>
          <w:r>
            <w:rPr>
              <w:b/>
              <w:bCs/>
              <w:sz w:val="24"/>
              <w:szCs w:val="24"/>
            </w:rPr>
            <w:tab/>
          </w:r>
          <w:bookmarkStart w:id="0" w:name="_Toc1264_WPSOffice_Level1Page"/>
          <w:r>
            <w:rPr>
              <w:b/>
              <w:bCs/>
              <w:sz w:val="24"/>
              <w:szCs w:val="24"/>
            </w:rPr>
            <w:t>1</w:t>
          </w:r>
          <w:bookmarkEnd w:id="0"/>
          <w:r>
            <w:rPr>
              <w:b/>
              <w:bCs/>
              <w:sz w:val="24"/>
              <w:szCs w:val="24"/>
            </w:rPr>
            <w:fldChar w:fldCharType="end"/>
          </w:r>
        </w:p>
        <w:p>
          <w:pPr>
            <w:pStyle w:val="40"/>
            <w:tabs>
              <w:tab w:val="right" w:leader="dot" w:pos="8948"/>
            </w:tabs>
            <w:ind w:left="420"/>
            <w:rPr>
              <w:sz w:val="24"/>
              <w:szCs w:val="24"/>
            </w:rPr>
          </w:pPr>
          <w:r>
            <w:fldChar w:fldCharType="begin"/>
          </w:r>
          <w:r>
            <w:instrText xml:space="preserve"> HYPERLINK \l "_Toc3037_WPSOffice_Level2" </w:instrText>
          </w:r>
          <w:r>
            <w:fldChar w:fldCharType="separate"/>
          </w:r>
          <w:r>
            <w:rPr>
              <w:rFonts w:hint="eastAsia" w:ascii="宋体" w:hAnsi="宋体" w:cs="宋体"/>
              <w:sz w:val="24"/>
              <w:szCs w:val="24"/>
            </w:rPr>
            <w:t>第一章　磋商公告</w:t>
          </w:r>
          <w:r>
            <w:rPr>
              <w:sz w:val="24"/>
              <w:szCs w:val="24"/>
            </w:rPr>
            <w:tab/>
          </w:r>
          <w:bookmarkStart w:id="1" w:name="_Toc3037_WPSOffice_Level2Page"/>
          <w:r>
            <w:rPr>
              <w:sz w:val="24"/>
              <w:szCs w:val="24"/>
            </w:rPr>
            <w:t>1</w:t>
          </w:r>
          <w:bookmarkEnd w:id="1"/>
          <w:r>
            <w:rPr>
              <w:sz w:val="24"/>
              <w:szCs w:val="24"/>
            </w:rPr>
            <w:fldChar w:fldCharType="end"/>
          </w:r>
        </w:p>
        <w:p>
          <w:pPr>
            <w:pStyle w:val="40"/>
            <w:tabs>
              <w:tab w:val="right" w:leader="dot" w:pos="8948"/>
            </w:tabs>
            <w:ind w:left="420"/>
            <w:rPr>
              <w:sz w:val="24"/>
              <w:szCs w:val="24"/>
            </w:rPr>
          </w:pPr>
          <w:r>
            <w:fldChar w:fldCharType="begin"/>
          </w:r>
          <w:r>
            <w:instrText xml:space="preserve"> HYPERLINK \l "_Toc13785_WPSOffice_Level2" </w:instrText>
          </w:r>
          <w:r>
            <w:fldChar w:fldCharType="separate"/>
          </w:r>
          <w:r>
            <w:rPr>
              <w:rFonts w:hint="eastAsia" w:ascii="宋体" w:hAnsi="宋体" w:cs="宋体"/>
              <w:sz w:val="24"/>
              <w:szCs w:val="24"/>
            </w:rPr>
            <w:t>第二章　磋商须知</w:t>
          </w:r>
          <w:r>
            <w:rPr>
              <w:sz w:val="24"/>
              <w:szCs w:val="24"/>
            </w:rPr>
            <w:tab/>
          </w:r>
          <w:bookmarkStart w:id="2" w:name="_Toc13785_WPSOffice_Level2Page"/>
          <w:r>
            <w:rPr>
              <w:sz w:val="24"/>
              <w:szCs w:val="24"/>
            </w:rPr>
            <w:t>4</w:t>
          </w:r>
          <w:bookmarkEnd w:id="2"/>
          <w:r>
            <w:rPr>
              <w:sz w:val="24"/>
              <w:szCs w:val="24"/>
            </w:rPr>
            <w:fldChar w:fldCharType="end"/>
          </w:r>
        </w:p>
        <w:p>
          <w:pPr>
            <w:pStyle w:val="40"/>
            <w:tabs>
              <w:tab w:val="right" w:leader="dot" w:pos="8948"/>
            </w:tabs>
            <w:ind w:left="420"/>
            <w:rPr>
              <w:sz w:val="24"/>
              <w:szCs w:val="24"/>
            </w:rPr>
          </w:pPr>
          <w:r>
            <w:fldChar w:fldCharType="begin"/>
          </w:r>
          <w:r>
            <w:instrText xml:space="preserve"> HYPERLINK \l "_Toc10890_WPSOffice_Level2" </w:instrText>
          </w:r>
          <w:r>
            <w:fldChar w:fldCharType="separate"/>
          </w:r>
          <w:r>
            <w:rPr>
              <w:rFonts w:hint="eastAsia" w:ascii="宋体" w:hAnsi="宋体" w:cs="宋体"/>
              <w:sz w:val="24"/>
              <w:szCs w:val="24"/>
            </w:rPr>
            <w:t>第三章　评审方法及标准</w:t>
          </w:r>
          <w:r>
            <w:rPr>
              <w:sz w:val="24"/>
              <w:szCs w:val="24"/>
            </w:rPr>
            <w:tab/>
          </w:r>
          <w:r>
            <w:rPr>
              <w:sz w:val="24"/>
              <w:szCs w:val="24"/>
            </w:rPr>
            <w:fldChar w:fldCharType="end"/>
          </w:r>
          <w:r>
            <w:rPr>
              <w:sz w:val="24"/>
              <w:szCs w:val="24"/>
            </w:rPr>
            <w:t>24</w:t>
          </w:r>
        </w:p>
        <w:p>
          <w:pPr>
            <w:pStyle w:val="40"/>
            <w:tabs>
              <w:tab w:val="right" w:leader="dot" w:pos="8948"/>
            </w:tabs>
            <w:ind w:left="420"/>
            <w:rPr>
              <w:sz w:val="24"/>
              <w:szCs w:val="24"/>
            </w:rPr>
          </w:pPr>
          <w:r>
            <w:fldChar w:fldCharType="begin"/>
          </w:r>
          <w:r>
            <w:instrText xml:space="preserve"> HYPERLINK \l "_Toc29544_WPSOffice_Level2" </w:instrText>
          </w:r>
          <w:r>
            <w:fldChar w:fldCharType="separate"/>
          </w:r>
          <w:r>
            <w:rPr>
              <w:rFonts w:hint="eastAsia" w:ascii="宋体" w:hAnsi="宋体" w:cs="宋体"/>
              <w:sz w:val="24"/>
              <w:szCs w:val="24"/>
            </w:rPr>
            <w:t>第四章　合同草案条款</w:t>
          </w:r>
          <w:r>
            <w:rPr>
              <w:sz w:val="24"/>
              <w:szCs w:val="24"/>
            </w:rPr>
            <w:tab/>
          </w:r>
          <w:r>
            <w:rPr>
              <w:sz w:val="24"/>
              <w:szCs w:val="24"/>
            </w:rPr>
            <w:fldChar w:fldCharType="end"/>
          </w:r>
          <w:r>
            <w:rPr>
              <w:sz w:val="24"/>
              <w:szCs w:val="24"/>
            </w:rPr>
            <w:t>27</w:t>
          </w:r>
        </w:p>
        <w:p>
          <w:pPr>
            <w:pStyle w:val="40"/>
            <w:tabs>
              <w:tab w:val="right" w:leader="dot" w:pos="8948"/>
            </w:tabs>
            <w:ind w:left="420"/>
            <w:rPr>
              <w:sz w:val="24"/>
              <w:szCs w:val="24"/>
            </w:rPr>
          </w:pPr>
          <w:r>
            <w:fldChar w:fldCharType="begin"/>
          </w:r>
          <w:r>
            <w:instrText xml:space="preserve"> HYPERLINK \l "_Toc11566_WPSOffice_Level2" </w:instrText>
          </w:r>
          <w:r>
            <w:fldChar w:fldCharType="separate"/>
          </w:r>
          <w:r>
            <w:rPr>
              <w:rFonts w:hint="eastAsia" w:ascii="宋体" w:hAnsi="宋体"/>
              <w:sz w:val="24"/>
              <w:szCs w:val="24"/>
            </w:rPr>
            <w:t>第五章 磋商文件格式</w:t>
          </w:r>
          <w:r>
            <w:rPr>
              <w:sz w:val="24"/>
              <w:szCs w:val="24"/>
            </w:rPr>
            <w:tab/>
          </w:r>
          <w:r>
            <w:rPr>
              <w:sz w:val="24"/>
              <w:szCs w:val="24"/>
            </w:rPr>
            <w:fldChar w:fldCharType="end"/>
          </w:r>
          <w:r>
            <w:rPr>
              <w:sz w:val="24"/>
              <w:szCs w:val="24"/>
            </w:rPr>
            <w:t>30</w:t>
          </w:r>
        </w:p>
        <w:p>
          <w:pPr>
            <w:pStyle w:val="39"/>
            <w:tabs>
              <w:tab w:val="right" w:leader="dot" w:pos="8948"/>
            </w:tabs>
            <w:rPr>
              <w:sz w:val="24"/>
              <w:szCs w:val="24"/>
            </w:rPr>
          </w:pPr>
          <w:r>
            <w:fldChar w:fldCharType="begin"/>
          </w:r>
          <w:r>
            <w:instrText xml:space="preserve"> HYPERLINK \l "_Toc13785_WPSOffice_Level1" </w:instrText>
          </w:r>
          <w:r>
            <w:fldChar w:fldCharType="separate"/>
          </w:r>
          <w:r>
            <w:rPr>
              <w:rFonts w:hint="eastAsia" w:ascii="Calibri" w:hAnsi="宋体" w:cs="宋体"/>
              <w:b/>
              <w:bCs/>
              <w:sz w:val="24"/>
              <w:szCs w:val="24"/>
            </w:rPr>
            <w:t>第二部分　技术部分</w:t>
          </w:r>
          <w:r>
            <w:rPr>
              <w:b/>
              <w:bCs/>
              <w:sz w:val="24"/>
              <w:szCs w:val="24"/>
            </w:rPr>
            <w:tab/>
          </w:r>
          <w:r>
            <w:rPr>
              <w:b/>
              <w:bCs/>
              <w:sz w:val="24"/>
              <w:szCs w:val="24"/>
            </w:rPr>
            <w:fldChar w:fldCharType="end"/>
          </w:r>
          <w:r>
            <w:rPr>
              <w:b/>
              <w:bCs/>
              <w:sz w:val="24"/>
              <w:szCs w:val="24"/>
            </w:rPr>
            <w:t>47</w:t>
          </w:r>
        </w:p>
        <w:p>
          <w:pPr>
            <w:pStyle w:val="40"/>
            <w:tabs>
              <w:tab w:val="right" w:leader="dot" w:pos="8948"/>
            </w:tabs>
            <w:ind w:left="420"/>
            <w:rPr>
              <w:sz w:val="24"/>
              <w:szCs w:val="24"/>
            </w:rPr>
          </w:pPr>
          <w:r>
            <w:fldChar w:fldCharType="begin"/>
          </w:r>
          <w:r>
            <w:instrText xml:space="preserve"> HYPERLINK \l "_Toc26416_WPSOffice_Level2" </w:instrText>
          </w:r>
          <w:r>
            <w:fldChar w:fldCharType="separate"/>
          </w:r>
          <w:r>
            <w:rPr>
              <w:rFonts w:hint="eastAsia" w:ascii="宋体" w:hAnsi="宋体" w:cs="宋体"/>
              <w:sz w:val="24"/>
              <w:szCs w:val="24"/>
            </w:rPr>
            <w:t>第六章　项目采购需求</w:t>
          </w:r>
          <w:r>
            <w:rPr>
              <w:sz w:val="24"/>
              <w:szCs w:val="24"/>
            </w:rPr>
            <w:tab/>
          </w:r>
          <w:r>
            <w:rPr>
              <w:sz w:val="24"/>
              <w:szCs w:val="24"/>
            </w:rPr>
            <w:fldChar w:fldCharType="end"/>
          </w:r>
          <w:r>
            <w:rPr>
              <w:sz w:val="24"/>
              <w:szCs w:val="24"/>
            </w:rPr>
            <w:t>47</w:t>
          </w:r>
        </w:p>
        <w:p>
          <w:pPr>
            <w:pStyle w:val="40"/>
            <w:tabs>
              <w:tab w:val="right" w:leader="dot" w:pos="8948"/>
            </w:tabs>
            <w:ind w:left="420"/>
            <w:rPr>
              <w:rFonts w:ascii="宋体" w:hAnsi="宋体"/>
              <w:sz w:val="24"/>
              <w:szCs w:val="24"/>
            </w:rPr>
          </w:pPr>
        </w:p>
      </w:sdtContent>
    </w:sdt>
    <w:p>
      <w:pPr>
        <w:spacing w:line="500" w:lineRule="exact"/>
        <w:ind w:firstLine="560" w:firstLineChars="200"/>
        <w:jc w:val="center"/>
        <w:rPr>
          <w:rFonts w:ascii="宋体" w:hAnsi="宋体" w:eastAsia="宋体" w:cs="宋体"/>
          <w:sz w:val="28"/>
          <w:szCs w:val="28"/>
        </w:rPr>
      </w:pPr>
    </w:p>
    <w:p>
      <w:pPr>
        <w:spacing w:line="500" w:lineRule="exact"/>
        <w:ind w:firstLine="560" w:firstLineChars="200"/>
        <w:rPr>
          <w:rFonts w:ascii="宋体" w:hAnsi="宋体" w:eastAsia="宋体" w:cs="宋体"/>
          <w:sz w:val="28"/>
          <w:szCs w:val="28"/>
        </w:rPr>
        <w:sectPr>
          <w:headerReference r:id="rId3" w:type="default"/>
          <w:footerReference r:id="rId4" w:type="default"/>
          <w:pgSz w:w="11907" w:h="16840"/>
          <w:pgMar w:top="1440" w:right="1400" w:bottom="1440" w:left="1559" w:header="851" w:footer="624" w:gutter="0"/>
          <w:cols w:space="720" w:num="1"/>
          <w:docGrid w:linePitch="312" w:charSpace="0"/>
        </w:sectPr>
      </w:pPr>
      <w:r>
        <w:rPr>
          <w:rFonts w:hint="eastAsia" w:ascii="宋体" w:hAnsi="宋体" w:eastAsia="宋体" w:cs="宋体"/>
          <w:sz w:val="28"/>
          <w:szCs w:val="28"/>
        </w:rPr>
        <w:br w:type="page"/>
      </w:r>
    </w:p>
    <w:p>
      <w:pPr>
        <w:spacing w:line="500" w:lineRule="exact"/>
        <w:ind w:firstLine="640" w:firstLineChars="200"/>
        <w:jc w:val="center"/>
        <w:rPr>
          <w:rFonts w:ascii="宋体" w:hAnsi="宋体" w:eastAsia="宋体" w:cs="宋体"/>
          <w:sz w:val="32"/>
          <w:szCs w:val="32"/>
        </w:rPr>
      </w:pPr>
      <w:r>
        <w:rPr>
          <w:rFonts w:hint="eastAsia" w:ascii="宋体" w:hAnsi="宋体" w:eastAsia="宋体" w:cs="宋体"/>
          <w:sz w:val="32"/>
          <w:szCs w:val="32"/>
        </w:rPr>
        <w:t>第一部分　商务部分</w:t>
      </w:r>
    </w:p>
    <w:p>
      <w:pPr>
        <w:keepNext/>
        <w:keepLines/>
        <w:spacing w:before="240" w:after="64" w:line="500" w:lineRule="exact"/>
        <w:jc w:val="center"/>
        <w:outlineLvl w:val="6"/>
        <w:rPr>
          <w:rFonts w:ascii="宋体" w:hAnsi="宋体" w:eastAsia="宋体" w:cs="宋体"/>
          <w:b/>
          <w:bCs/>
          <w:sz w:val="30"/>
          <w:szCs w:val="30"/>
        </w:rPr>
      </w:pPr>
      <w:r>
        <w:rPr>
          <w:rFonts w:hint="eastAsia" w:ascii="宋体" w:hAnsi="宋体" w:eastAsia="宋体" w:cs="宋体"/>
          <w:b/>
          <w:bCs/>
          <w:sz w:val="30"/>
          <w:szCs w:val="30"/>
        </w:rPr>
        <w:t>第一章　竞争性磋商公告</w:t>
      </w:r>
    </w:p>
    <w:p>
      <w:pPr>
        <w:pStyle w:val="3"/>
        <w:tabs>
          <w:tab w:val="left" w:pos="0"/>
        </w:tabs>
        <w:autoSpaceDE w:val="0"/>
        <w:autoSpaceDN w:val="0"/>
        <w:adjustRightInd w:val="0"/>
        <w:spacing w:before="0" w:after="0" w:line="360" w:lineRule="auto"/>
        <w:jc w:val="center"/>
        <w:rPr>
          <w:rFonts w:ascii="华文中宋" w:hAnsi="华文中宋" w:eastAsia="华文中宋"/>
          <w:sz w:val="48"/>
          <w:szCs w:val="32"/>
          <w:highlight w:val="none"/>
        </w:rPr>
      </w:pPr>
      <w:r>
        <w:rPr>
          <w:rFonts w:hint="eastAsia" w:ascii="华文中宋" w:hAnsi="华文中宋" w:eastAsia="华文中宋"/>
          <w:sz w:val="48"/>
          <w:szCs w:val="32"/>
          <w:highlight w:val="none"/>
        </w:rPr>
        <w:t xml:space="preserve"> 哈巴河县城市管理服务平台建设项目</w:t>
      </w:r>
      <w:r>
        <w:rPr>
          <w:rFonts w:hint="eastAsia" w:ascii="华文中宋" w:hAnsi="华文中宋" w:eastAsia="华文中宋"/>
          <w:sz w:val="48"/>
          <w:szCs w:val="32"/>
          <w:highlight w:val="none"/>
          <w:lang w:val="en-US" w:eastAsia="zh-CN"/>
        </w:rPr>
        <w:t>--</w:t>
      </w:r>
      <w:r>
        <w:rPr>
          <w:rFonts w:hint="eastAsia" w:ascii="华文中宋" w:hAnsi="华文中宋" w:eastAsia="华文中宋"/>
          <w:sz w:val="48"/>
          <w:szCs w:val="32"/>
          <w:highlight w:val="none"/>
        </w:rPr>
        <w:t>监理竞争性</w:t>
      </w:r>
      <w:r>
        <w:rPr>
          <w:rFonts w:hint="eastAsia" w:ascii="华文中宋" w:hAnsi="华文中宋" w:eastAsia="华文中宋"/>
          <w:sz w:val="48"/>
          <w:szCs w:val="32"/>
          <w:highlight w:val="none"/>
          <w:lang w:eastAsia="zh-CN"/>
        </w:rPr>
        <w:t>磋商</w:t>
      </w:r>
      <w:r>
        <w:rPr>
          <w:rFonts w:hint="eastAsia" w:ascii="华文中宋" w:hAnsi="华文中宋" w:eastAsia="华文中宋"/>
          <w:sz w:val="48"/>
          <w:szCs w:val="32"/>
          <w:highlight w:val="none"/>
        </w:rPr>
        <w:t>公告</w:t>
      </w:r>
    </w:p>
    <w:p>
      <w:pPr>
        <w:rPr>
          <w:highlight w:val="none"/>
        </w:rPr>
      </w:pPr>
    </w:p>
    <w:p>
      <w:pPr>
        <w:pBdr>
          <w:top w:val="single" w:color="auto" w:sz="4" w:space="1"/>
          <w:left w:val="single" w:color="auto" w:sz="4" w:space="4"/>
          <w:bottom w:val="single" w:color="auto" w:sz="4" w:space="1"/>
          <w:right w:val="single" w:color="auto" w:sz="4" w:space="4"/>
        </w:pBdr>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sz w:val="28"/>
          <w:szCs w:val="28"/>
          <w:highlight w:val="none"/>
          <w:u w:val="single"/>
          <w:lang w:eastAsia="zh-CN"/>
        </w:rPr>
        <w:t xml:space="preserve"> 哈巴河县</w:t>
      </w:r>
      <w:r>
        <w:rPr>
          <w:rFonts w:hint="eastAsia" w:ascii="仿宋" w:hAnsi="仿宋" w:eastAsia="仿宋"/>
          <w:color w:val="auto"/>
          <w:sz w:val="28"/>
          <w:szCs w:val="28"/>
          <w:highlight w:val="none"/>
          <w:u w:val="single"/>
          <w:lang w:eastAsia="zh-CN"/>
        </w:rPr>
        <w:t>城市管理服务平台建设项目--监理</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lang w:val="en-US" w:eastAsia="zh-CN"/>
        </w:rPr>
        <w:t>新疆泽源和忻项目管理咨询有限公司（阿勒泰市东风路翡翠湾小区2栋5层3号）</w:t>
      </w:r>
      <w:r>
        <w:rPr>
          <w:rFonts w:hint="eastAsia" w:ascii="仿宋" w:hAnsi="仿宋" w:eastAsia="仿宋"/>
          <w:color w:val="auto"/>
          <w:sz w:val="28"/>
          <w:szCs w:val="28"/>
          <w:highlight w:val="none"/>
        </w:rPr>
        <w:t>获取采购文件，并于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4"/>
        <w:spacing w:line="360" w:lineRule="auto"/>
        <w:rPr>
          <w:rFonts w:ascii="黑体" w:hAnsi="黑体" w:cs="宋体"/>
          <w:b w:val="0"/>
          <w:color w:val="auto"/>
          <w:sz w:val="28"/>
          <w:szCs w:val="28"/>
          <w:highlight w:val="none"/>
        </w:rPr>
      </w:pPr>
      <w:bookmarkStart w:id="3" w:name="_Toc28359089"/>
      <w:bookmarkStart w:id="4" w:name="_Toc35393629"/>
      <w:bookmarkStart w:id="5" w:name="_Toc35393798"/>
      <w:bookmarkStart w:id="6" w:name="_Toc28359012"/>
      <w:r>
        <w:rPr>
          <w:rFonts w:hint="eastAsia" w:ascii="黑体" w:hAnsi="黑体" w:cs="宋体"/>
          <w:b w:val="0"/>
          <w:color w:val="auto"/>
          <w:sz w:val="28"/>
          <w:szCs w:val="28"/>
          <w:highlight w:val="none"/>
        </w:rPr>
        <w:t>一、项目基本情况</w:t>
      </w:r>
      <w:bookmarkEnd w:id="3"/>
      <w:bookmarkEnd w:id="4"/>
      <w:bookmarkEnd w:id="5"/>
      <w:bookmarkEnd w:id="6"/>
    </w:p>
    <w:p>
      <w:pPr>
        <w:ind w:left="1958" w:leftChars="266" w:hanging="1400" w:hangingChars="5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ZFCGH-ZYHXZB2022-022</w:t>
      </w:r>
    </w:p>
    <w:p>
      <w:pPr>
        <w:ind w:left="1958"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哈巴河县城市管理服务平台建设项目--监理</w:t>
      </w:r>
    </w:p>
    <w:p>
      <w:pPr>
        <w:ind w:left="558" w:leftChars="266"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Segoe UI Emoji" w:hAnsi="Segoe UI Emoji" w:eastAsia="仿宋" w:cs="Segoe UI Emoji"/>
          <w:color w:val="auto"/>
          <w:sz w:val="28"/>
          <w:szCs w:val="28"/>
          <w:highlight w:val="none"/>
          <w:lang w:eastAsia="zh-CN"/>
        </w:rPr>
        <w:t>□</w:t>
      </w:r>
      <w:r>
        <w:rPr>
          <w:rFonts w:hint="eastAsia" w:ascii="仿宋" w:hAnsi="仿宋" w:eastAsia="仿宋" w:cs="仿宋"/>
          <w:color w:val="auto"/>
          <w:sz w:val="28"/>
          <w:szCs w:val="28"/>
          <w:highlight w:val="none"/>
        </w:rPr>
        <w:t>竞争性</w:t>
      </w:r>
      <w:r>
        <w:rPr>
          <w:rFonts w:hint="eastAsia" w:ascii="仿宋" w:hAnsi="仿宋" w:eastAsia="仿宋" w:cs="仿宋"/>
          <w:color w:val="auto"/>
          <w:sz w:val="28"/>
          <w:szCs w:val="28"/>
          <w:highlight w:val="none"/>
          <w:lang w:eastAsia="zh-CN"/>
        </w:rPr>
        <w:t>谈判</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rPr>
        <w:sym w:font="Wingdings 2" w:char="0052"/>
      </w:r>
      <w:r>
        <w:rPr>
          <w:rFonts w:hint="eastAsia" w:ascii="仿宋" w:hAnsi="仿宋" w:eastAsia="仿宋"/>
          <w:color w:val="auto"/>
          <w:sz w:val="28"/>
          <w:szCs w:val="28"/>
          <w:highlight w:val="none"/>
        </w:rPr>
        <w:t xml:space="preserve">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810000元</w:t>
      </w:r>
    </w:p>
    <w:p>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hint="eastAsia" w:ascii="仿宋" w:hAnsi="仿宋" w:eastAsia="仿宋"/>
          <w:color w:val="auto"/>
          <w:sz w:val="28"/>
          <w:szCs w:val="28"/>
          <w:highlight w:val="none"/>
          <w:lang w:eastAsia="zh-CN"/>
        </w:rPr>
        <w:t>哈巴河县城市管理服务平台建设项目监理</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合同履约期限：详见磋商文件</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（否）</w:t>
      </w:r>
      <w:r>
        <w:rPr>
          <w:rFonts w:hint="eastAsia" w:ascii="仿宋" w:hAnsi="仿宋" w:eastAsia="仿宋"/>
          <w:sz w:val="28"/>
          <w:szCs w:val="28"/>
          <w:highlight w:val="none"/>
        </w:rPr>
        <w:t>接受联合体</w:t>
      </w:r>
      <w:r>
        <w:rPr>
          <w:rFonts w:hint="eastAsia" w:ascii="仿宋" w:hAnsi="仿宋" w:eastAsia="仿宋"/>
          <w:sz w:val="28"/>
          <w:szCs w:val="28"/>
          <w:highlight w:val="none"/>
          <w:lang w:eastAsia="zh-CN"/>
        </w:rPr>
        <w:t>投标</w:t>
      </w:r>
      <w:r>
        <w:rPr>
          <w:rFonts w:hint="eastAsia" w:ascii="仿宋" w:hAnsi="仿宋" w:eastAsia="仿宋"/>
          <w:sz w:val="28"/>
          <w:szCs w:val="28"/>
          <w:highlight w:val="none"/>
        </w:rPr>
        <w:t>。</w:t>
      </w:r>
    </w:p>
    <w:p>
      <w:pPr>
        <w:pStyle w:val="4"/>
        <w:numPr>
          <w:ilvl w:val="0"/>
          <w:numId w:val="1"/>
        </w:numPr>
        <w:spacing w:line="360" w:lineRule="auto"/>
        <w:rPr>
          <w:rFonts w:ascii="黑体" w:hAnsi="黑体" w:cs="宋体"/>
          <w:b w:val="0"/>
          <w:sz w:val="28"/>
          <w:szCs w:val="28"/>
          <w:highlight w:val="none"/>
        </w:rPr>
      </w:pPr>
      <w:bookmarkStart w:id="7" w:name="_Toc35393799"/>
      <w:bookmarkStart w:id="8" w:name="_Toc28359090"/>
      <w:bookmarkStart w:id="9" w:name="_Toc28359013"/>
      <w:bookmarkStart w:id="10" w:name="_Toc35393630"/>
      <w:r>
        <w:rPr>
          <w:rFonts w:hint="eastAsia" w:ascii="黑体" w:hAnsi="黑体" w:cs="宋体"/>
          <w:b w:val="0"/>
          <w:sz w:val="28"/>
          <w:szCs w:val="28"/>
          <w:highlight w:val="none"/>
        </w:rPr>
        <w:t>申请人的资格要求：</w:t>
      </w:r>
      <w:bookmarkEnd w:id="7"/>
      <w:bookmarkEnd w:id="8"/>
      <w:bookmarkEnd w:id="9"/>
      <w:bookmarkEnd w:id="10"/>
    </w:p>
    <w:p>
      <w:pPr>
        <w:numPr>
          <w:ilvl w:val="0"/>
          <w:numId w:val="2"/>
        </w:numPr>
        <w:rPr>
          <w:rFonts w:hint="eastAsia" w:ascii="仿宋" w:hAnsi="仿宋" w:eastAsia="仿宋"/>
          <w:sz w:val="28"/>
          <w:szCs w:val="28"/>
          <w:highlight w:val="none"/>
        </w:rPr>
      </w:pPr>
      <w:r>
        <w:rPr>
          <w:rFonts w:hint="eastAsia" w:ascii="仿宋" w:hAnsi="仿宋" w:eastAsia="仿宋"/>
          <w:sz w:val="28"/>
          <w:szCs w:val="28"/>
          <w:highlight w:val="none"/>
        </w:rPr>
        <w:t>投标人必须符合《中华人民共和国政府采购法》第二十二条规定。</w:t>
      </w:r>
    </w:p>
    <w:p>
      <w:pPr>
        <w:numPr>
          <w:ilvl w:val="0"/>
          <w:numId w:val="2"/>
        </w:numPr>
        <w:rPr>
          <w:rFonts w:hint="eastAsia" w:ascii="仿宋" w:hAnsi="仿宋" w:eastAsia="仿宋"/>
          <w:sz w:val="28"/>
          <w:szCs w:val="28"/>
          <w:highlight w:val="none"/>
        </w:rPr>
      </w:pPr>
      <w:r>
        <w:rPr>
          <w:rFonts w:hint="eastAsia" w:ascii="仿宋" w:hAnsi="仿宋" w:eastAsia="仿宋"/>
          <w:sz w:val="28"/>
          <w:szCs w:val="28"/>
          <w:highlight w:val="none"/>
          <w:lang w:eastAsia="zh-CN"/>
        </w:rPr>
        <w:t>落实政府采购政策需满足的资格要求：该项目专门面向中小企业采购，企业需提供</w:t>
      </w:r>
      <w:r>
        <w:rPr>
          <w:rFonts w:hint="eastAsia" w:ascii="仿宋" w:hAnsi="仿宋" w:eastAsia="仿宋" w:cs="宋体"/>
          <w:sz w:val="28"/>
          <w:szCs w:val="28"/>
          <w:highlight w:val="none"/>
        </w:rPr>
        <w:t>中小企业声明函原件</w:t>
      </w:r>
      <w:r>
        <w:rPr>
          <w:rFonts w:hint="eastAsia" w:ascii="仿宋" w:hAnsi="仿宋" w:eastAsia="仿宋" w:cs="宋体"/>
          <w:sz w:val="28"/>
          <w:szCs w:val="28"/>
          <w:highlight w:val="none"/>
          <w:lang w:eastAsia="zh-CN"/>
        </w:rPr>
        <w:t>。</w:t>
      </w:r>
    </w:p>
    <w:p>
      <w:pPr>
        <w:pStyle w:val="4"/>
        <w:spacing w:line="360" w:lineRule="auto"/>
        <w:rPr>
          <w:rFonts w:hint="eastAsia" w:ascii="仿宋" w:hAnsi="仿宋" w:eastAsia="仿宋"/>
          <w:color w:val="auto"/>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、本项目的特定资格</w:t>
      </w:r>
      <w:r>
        <w:rPr>
          <w:rFonts w:hint="eastAsia" w:ascii="仿宋" w:hAnsi="仿宋" w:eastAsia="仿宋"/>
          <w:color w:val="auto"/>
          <w:sz w:val="28"/>
          <w:szCs w:val="28"/>
          <w:highlight w:val="none"/>
        </w:rPr>
        <w:t>要求：</w:t>
      </w:r>
      <w:bookmarkStart w:id="11" w:name="_Toc28359014"/>
      <w:bookmarkStart w:id="12" w:name="_Toc35393800"/>
      <w:bookmarkStart w:id="13" w:name="_Toc28359091"/>
      <w:bookmarkStart w:id="14" w:name="_Toc35393631"/>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1、提供有效的营业执照；</w:t>
      </w:r>
    </w:p>
    <w:p>
      <w:pPr>
        <w:pStyle w:val="4"/>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2、具有健全的财务制度能够提供近</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2020</w:t>
      </w:r>
      <w:r>
        <w:rPr>
          <w:rFonts w:hint="eastAsia" w:ascii="仿宋" w:hAnsi="仿宋" w:eastAsia="仿宋"/>
          <w:color w:val="auto"/>
          <w:sz w:val="28"/>
          <w:szCs w:val="28"/>
          <w:highlight w:val="none"/>
          <w:lang w:eastAsia="zh-CN"/>
        </w:rPr>
        <w:t>年度或</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lang w:eastAsia="zh-CN"/>
        </w:rPr>
        <w:t>年度</w:t>
      </w:r>
      <w:r>
        <w:rPr>
          <w:rFonts w:hint="eastAsia" w:ascii="仿宋" w:hAnsi="仿宋" w:eastAsia="仿宋"/>
          <w:color w:val="auto"/>
          <w:sz w:val="28"/>
          <w:szCs w:val="28"/>
          <w:highlight w:val="none"/>
        </w:rPr>
        <w:t>）财务审计报告；</w:t>
      </w:r>
    </w:p>
    <w:p>
      <w:pPr>
        <w:pStyle w:val="4"/>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3、近</w:t>
      </w:r>
      <w:r>
        <w:rPr>
          <w:rFonts w:hint="eastAsia" w:ascii="仿宋" w:hAnsi="仿宋" w:eastAsia="仿宋"/>
          <w:color w:val="auto"/>
          <w:sz w:val="28"/>
          <w:szCs w:val="28"/>
          <w:highlight w:val="none"/>
          <w:lang w:eastAsia="zh-CN"/>
        </w:rPr>
        <w:t>三</w:t>
      </w:r>
      <w:r>
        <w:rPr>
          <w:rFonts w:hint="eastAsia" w:ascii="仿宋" w:hAnsi="仿宋" w:eastAsia="仿宋"/>
          <w:color w:val="auto"/>
          <w:sz w:val="28"/>
          <w:szCs w:val="28"/>
          <w:highlight w:val="none"/>
        </w:rPr>
        <w:t>年（2019 年5月1日至今）内承接并完成不少于一项类似信息化工程监理业绩</w:t>
      </w:r>
      <w:r>
        <w:rPr>
          <w:rFonts w:hint="eastAsia" w:ascii="仿宋" w:hAnsi="仿宋" w:eastAsia="仿宋"/>
          <w:color w:val="auto"/>
          <w:sz w:val="28"/>
          <w:szCs w:val="28"/>
          <w:highlight w:val="none"/>
          <w:lang w:eastAsia="zh-CN"/>
        </w:rPr>
        <w:t>，提供中标通知书或合同</w:t>
      </w:r>
      <w:r>
        <w:rPr>
          <w:rFonts w:hint="eastAsia" w:ascii="仿宋" w:hAnsi="仿宋" w:eastAsia="仿宋"/>
          <w:color w:val="auto"/>
          <w:sz w:val="28"/>
          <w:szCs w:val="28"/>
          <w:highlight w:val="none"/>
        </w:rPr>
        <w:t>；</w:t>
      </w:r>
    </w:p>
    <w:p>
      <w:pPr>
        <w:pStyle w:val="4"/>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4、供应商未被列入“信用中国”网站中“记录失信被执行人或重大税收违法案件当事人名单或政府采购严重违法失信行为”的记录名单；</w:t>
      </w:r>
    </w:p>
    <w:p>
      <w:pPr>
        <w:pStyle w:val="4"/>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5、企业法人证明及法定代表人身份证或法定代表人授权委托书及委托代理人身份证；</w:t>
      </w:r>
    </w:p>
    <w:p>
      <w:pPr>
        <w:pStyle w:val="4"/>
        <w:spacing w:line="360" w:lineRule="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6、项目总监要求：总监理工程师必须具备信息系统监理师证书或</w:t>
      </w:r>
      <w:r>
        <w:rPr>
          <w:rFonts w:hint="eastAsia" w:ascii="仿宋" w:hAnsi="仿宋" w:eastAsia="仿宋"/>
          <w:sz w:val="28"/>
          <w:szCs w:val="28"/>
          <w:highlight w:val="none"/>
          <w:lang w:eastAsia="zh-CN"/>
        </w:rPr>
        <w:t>通信工程专业的</w:t>
      </w:r>
      <w:r>
        <w:rPr>
          <w:rFonts w:hint="eastAsia" w:ascii="仿宋" w:hAnsi="仿宋" w:eastAsia="仿宋"/>
          <w:sz w:val="28"/>
          <w:szCs w:val="28"/>
          <w:highlight w:val="none"/>
        </w:rPr>
        <w:t>注册监理工程师（</w:t>
      </w:r>
      <w:r>
        <w:rPr>
          <w:rFonts w:hint="eastAsia" w:ascii="仿宋" w:hAnsi="仿宋" w:eastAsia="仿宋"/>
          <w:sz w:val="28"/>
          <w:szCs w:val="28"/>
          <w:highlight w:val="none"/>
          <w:lang w:eastAsia="zh-CN"/>
        </w:rPr>
        <w:t>证书需在</w:t>
      </w:r>
      <w:r>
        <w:rPr>
          <w:rFonts w:hint="eastAsia" w:ascii="仿宋" w:hAnsi="仿宋" w:eastAsia="仿宋"/>
          <w:sz w:val="28"/>
          <w:szCs w:val="28"/>
          <w:highlight w:val="none"/>
        </w:rPr>
        <w:t>有效期内）；</w:t>
      </w:r>
    </w:p>
    <w:p>
      <w:pPr>
        <w:pStyle w:val="4"/>
        <w:spacing w:line="360" w:lineRule="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7、本项目不接受联合体投标。</w:t>
      </w:r>
    </w:p>
    <w:p>
      <w:pPr>
        <w:pStyle w:val="4"/>
        <w:spacing w:line="360" w:lineRule="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 xml:space="preserve"> 备注：与招标人存在利害关系且可能影响招标公正性的单位，不得参加投标。单位负责人</w:t>
      </w:r>
      <w:r>
        <w:rPr>
          <w:rFonts w:hint="eastAsia" w:ascii="仿宋" w:hAnsi="仿宋" w:eastAsia="仿宋" w:cs="Times New Roman"/>
          <w:color w:val="auto"/>
          <w:kern w:val="2"/>
          <w:sz w:val="28"/>
          <w:szCs w:val="28"/>
          <w:highlight w:val="none"/>
          <w:lang w:val="en-US" w:eastAsia="zh-CN" w:bidi="ar-SA"/>
        </w:rPr>
        <w:t xml:space="preserve">为同一人或者存在控股、管理关系的不同单位，不得参加同一标段投标，否则，相关投标均无效。 </w:t>
      </w:r>
    </w:p>
    <w:p>
      <w:pPr>
        <w:pStyle w:val="4"/>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rPr>
        <w:t>三、获取采购文件</w:t>
      </w:r>
      <w:bookmarkEnd w:id="11"/>
      <w:bookmarkEnd w:id="12"/>
      <w:bookmarkEnd w:id="13"/>
      <w:bookmarkEnd w:id="14"/>
    </w:p>
    <w:p>
      <w:pP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18</w:t>
      </w:r>
      <w:r>
        <w:rPr>
          <w:rFonts w:hint="eastAsia" w:ascii="仿宋" w:hAnsi="仿宋" w:eastAsia="仿宋" w:cs="宋体"/>
          <w:color w:val="auto"/>
          <w:sz w:val="28"/>
          <w:szCs w:val="28"/>
          <w:highlight w:val="none"/>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25</w:t>
      </w:r>
      <w:r>
        <w:rPr>
          <w:rFonts w:hint="eastAsia" w:ascii="仿宋" w:hAnsi="仿宋" w:eastAsia="仿宋" w:cs="宋体"/>
          <w:color w:val="auto"/>
          <w:sz w:val="28"/>
          <w:szCs w:val="28"/>
          <w:highlight w:val="none"/>
        </w:rPr>
        <w:t>日北京时间上午</w:t>
      </w:r>
      <w:r>
        <w:rPr>
          <w:rFonts w:hint="eastAsia" w:ascii="仿宋" w:hAnsi="仿宋" w:eastAsia="仿宋" w:cs="宋体"/>
          <w:color w:val="auto"/>
          <w:sz w:val="28"/>
          <w:szCs w:val="28"/>
          <w:highlight w:val="none"/>
          <w:u w:val="single"/>
        </w:rPr>
        <w:t>10:00-13：30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地点：新疆泽源和忻项目管理咨询有限公司（阿勒泰市东风路翡翠湾小区2栋5层3号）</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eastAsia="zh-CN"/>
        </w:rPr>
        <w:t>报名成功后购买</w:t>
      </w:r>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w:t>
      </w:r>
      <w:r>
        <w:rPr>
          <w:rFonts w:hint="eastAsia" w:ascii="仿宋" w:hAnsi="仿宋" w:eastAsia="仿宋" w:cs="宋体"/>
          <w:sz w:val="28"/>
          <w:szCs w:val="28"/>
          <w:highlight w:val="none"/>
        </w:rPr>
        <w:t>元/份，售后不退。</w:t>
      </w:r>
    </w:p>
    <w:p>
      <w:pPr>
        <w:pStyle w:val="4"/>
        <w:spacing w:line="360" w:lineRule="auto"/>
        <w:rPr>
          <w:rFonts w:ascii="黑体" w:hAnsi="黑体" w:cs="宋体"/>
          <w:b w:val="0"/>
          <w:color w:val="auto"/>
          <w:sz w:val="28"/>
          <w:szCs w:val="28"/>
          <w:highlight w:val="none"/>
        </w:rPr>
      </w:pPr>
      <w:bookmarkStart w:id="15" w:name="_Toc35393632"/>
      <w:bookmarkStart w:id="16" w:name="_Toc28359092"/>
      <w:bookmarkStart w:id="17" w:name="_Toc35393801"/>
      <w:bookmarkStart w:id="18" w:name="_Toc28359015"/>
      <w:r>
        <w:rPr>
          <w:rFonts w:hint="eastAsia" w:ascii="黑体" w:hAnsi="黑体" w:cs="宋体"/>
          <w:b w:val="0"/>
          <w:sz w:val="28"/>
          <w:szCs w:val="28"/>
          <w:highlight w:val="none"/>
        </w:rPr>
        <w:t>四、响</w:t>
      </w:r>
      <w:r>
        <w:rPr>
          <w:rFonts w:hint="eastAsia" w:ascii="黑体" w:hAnsi="黑体" w:cs="宋体"/>
          <w:b w:val="0"/>
          <w:color w:val="auto"/>
          <w:sz w:val="28"/>
          <w:szCs w:val="28"/>
          <w:highlight w:val="none"/>
        </w:rPr>
        <w:t>应文件提交</w:t>
      </w:r>
      <w:bookmarkEnd w:id="15"/>
      <w:bookmarkEnd w:id="16"/>
      <w:bookmarkEnd w:id="17"/>
      <w:bookmarkEnd w:id="18"/>
    </w:p>
    <w:p>
      <w:pPr>
        <w:rPr>
          <w:rFonts w:ascii="仿宋" w:hAnsi="仿宋" w:eastAsia="仿宋"/>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上</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bookmarkStart w:id="19" w:name="_Toc35393803"/>
      <w:bookmarkStart w:id="20" w:name="_Toc28359094"/>
      <w:bookmarkStart w:id="21" w:name="_Toc28359017"/>
      <w:bookmarkStart w:id="22" w:name="_Toc35393634"/>
      <w:r>
        <w:rPr>
          <w:rFonts w:hint="eastAsia" w:ascii="仿宋" w:hAnsi="仿宋" w:eastAsia="仿宋"/>
          <w:color w:val="auto"/>
          <w:sz w:val="28"/>
          <w:szCs w:val="28"/>
          <w:highlight w:val="none"/>
        </w:rPr>
        <w:t xml:space="preserve">：新疆泽源和忻项目管理咨询有限公司（阿勒泰市东风路翡翠湾小区2栋5层3号）五楼会议室 </w:t>
      </w:r>
    </w:p>
    <w:p>
      <w:pPr>
        <w:pStyle w:val="4"/>
        <w:spacing w:line="360" w:lineRule="auto"/>
        <w:rPr>
          <w:rFonts w:hint="eastAsia" w:ascii="黑体" w:hAnsi="黑体" w:cs="宋体"/>
          <w:b w:val="0"/>
          <w:color w:val="auto"/>
          <w:sz w:val="28"/>
          <w:szCs w:val="28"/>
          <w:highlight w:val="none"/>
        </w:rPr>
      </w:pPr>
      <w:r>
        <w:rPr>
          <w:rFonts w:hint="eastAsia" w:ascii="黑体" w:hAnsi="黑体" w:cs="宋体"/>
          <w:b w:val="0"/>
          <w:color w:val="auto"/>
          <w:sz w:val="28"/>
          <w:szCs w:val="28"/>
          <w:highlight w:val="none"/>
        </w:rPr>
        <w:t>五、响应文件开启 </w:t>
      </w:r>
    </w:p>
    <w:p>
      <w:pPr>
        <w:rPr>
          <w:rFonts w:ascii="仿宋" w:hAnsi="仿宋" w:eastAsia="仿宋"/>
          <w:color w:val="auto"/>
          <w:sz w:val="28"/>
          <w:szCs w:val="28"/>
          <w:highlight w:val="none"/>
        </w:rPr>
      </w:pPr>
      <w:r>
        <w:rPr>
          <w:rFonts w:hint="eastAsia" w:ascii="仿宋" w:hAnsi="仿宋" w:eastAsia="仿宋"/>
          <w:color w:val="auto"/>
          <w:sz w:val="28"/>
          <w:szCs w:val="28"/>
          <w:highlight w:val="none"/>
        </w:rPr>
        <w:t>开启时间：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上</w:t>
      </w:r>
      <w:r>
        <w:rPr>
          <w:rFonts w:hint="eastAsia" w:ascii="仿宋" w:hAnsi="仿宋" w:eastAsia="仿宋"/>
          <w:color w:val="auto"/>
          <w:sz w:val="28"/>
          <w:szCs w:val="28"/>
          <w:highlight w:val="none"/>
        </w:rPr>
        <w:t>午</w:t>
      </w:r>
      <w:r>
        <w:rPr>
          <w:rFonts w:hint="eastAsia" w:ascii="仿宋" w:hAnsi="仿宋" w:eastAsia="仿宋"/>
          <w:color w:val="auto"/>
          <w:sz w:val="28"/>
          <w:szCs w:val="28"/>
          <w:highlight w:val="none"/>
          <w:u w:val="single"/>
          <w:lang w:val="en-US" w:eastAsia="zh-CN"/>
        </w:rPr>
        <w:t>11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u w:val="single"/>
          <w:lang w:val="en-US" w:eastAsia="zh-CN"/>
        </w:rPr>
        <w:t>00</w:t>
      </w:r>
      <w:r>
        <w:rPr>
          <w:rFonts w:hint="eastAsia" w:ascii="仿宋" w:hAnsi="仿宋" w:eastAsia="仿宋"/>
          <w:color w:val="auto"/>
          <w:sz w:val="28"/>
          <w:szCs w:val="28"/>
          <w:highlight w:val="none"/>
        </w:rPr>
        <w:t>时（北京时间）</w:t>
      </w:r>
    </w:p>
    <w:p>
      <w:pP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地点：新疆泽源和忻项目管理咨询有限公司（阿勒泰市东风路翡翠湾小区2栋5层3号）五楼会议室 </w:t>
      </w:r>
    </w:p>
    <w:p>
      <w:pPr>
        <w:spacing w:line="360" w:lineRule="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eastAsia="zh-CN"/>
        </w:rPr>
        <w:t>六</w:t>
      </w:r>
      <w:r>
        <w:rPr>
          <w:rFonts w:hint="eastAsia" w:ascii="黑体" w:hAnsi="黑体" w:eastAsia="黑体" w:cs="宋体"/>
          <w:bCs/>
          <w:color w:val="auto"/>
          <w:sz w:val="28"/>
          <w:szCs w:val="28"/>
          <w:highlight w:val="none"/>
        </w:rPr>
        <w:t>、公告期限</w:t>
      </w:r>
      <w:bookmarkEnd w:id="19"/>
      <w:bookmarkEnd w:id="20"/>
      <w:bookmarkEnd w:id="21"/>
      <w:bookmarkEnd w:id="22"/>
    </w:p>
    <w:p>
      <w:pP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pPr>
        <w:pStyle w:val="4"/>
        <w:numPr>
          <w:ilvl w:val="0"/>
          <w:numId w:val="0"/>
        </w:numPr>
        <w:spacing w:line="360" w:lineRule="auto"/>
        <w:rPr>
          <w:rFonts w:ascii="黑体" w:hAnsi="黑体" w:cs="宋体"/>
          <w:b w:val="0"/>
          <w:color w:val="auto"/>
          <w:sz w:val="28"/>
          <w:szCs w:val="28"/>
          <w:highlight w:val="none"/>
        </w:rPr>
      </w:pPr>
      <w:bookmarkStart w:id="23" w:name="_Toc35393804"/>
      <w:bookmarkStart w:id="24" w:name="_Toc35393635"/>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其他补充事宜</w:t>
      </w:r>
      <w:bookmarkEnd w:id="23"/>
      <w:bookmarkEnd w:id="24"/>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报名资料：</w:t>
      </w:r>
      <w:r>
        <w:rPr>
          <w:rFonts w:hint="eastAsia" w:ascii="仿宋" w:hAnsi="仿宋" w:eastAsia="仿宋" w:cs="宋体"/>
          <w:sz w:val="28"/>
          <w:szCs w:val="28"/>
          <w:highlight w:val="none"/>
          <w:lang w:eastAsia="zh-CN"/>
        </w:rPr>
        <w:t>①</w:t>
      </w:r>
      <w:r>
        <w:rPr>
          <w:rFonts w:hint="eastAsia" w:ascii="仿宋" w:hAnsi="仿宋" w:eastAsia="仿宋" w:cs="宋体"/>
          <w:sz w:val="28"/>
          <w:szCs w:val="28"/>
          <w:highlight w:val="none"/>
        </w:rPr>
        <w:t>企业法人证明及法定代表人</w:t>
      </w:r>
      <w:r>
        <w:rPr>
          <w:rFonts w:hint="eastAsia" w:ascii="仿宋" w:hAnsi="仿宋" w:eastAsia="仿宋" w:cs="宋体"/>
          <w:sz w:val="28"/>
          <w:szCs w:val="28"/>
          <w:highlight w:val="none"/>
          <w:lang w:eastAsia="zh-CN"/>
        </w:rPr>
        <w:t>身份证或法定代表人</w:t>
      </w:r>
      <w:r>
        <w:rPr>
          <w:rFonts w:hint="eastAsia" w:ascii="仿宋" w:hAnsi="仿宋" w:eastAsia="仿宋" w:cs="宋体"/>
          <w:sz w:val="28"/>
          <w:szCs w:val="28"/>
          <w:highlight w:val="none"/>
        </w:rPr>
        <w:t>授权委托书及委托代理人身份证</w:t>
      </w:r>
      <w:r>
        <w:rPr>
          <w:rFonts w:hint="eastAsia" w:ascii="仿宋" w:hAnsi="仿宋" w:eastAsia="仿宋" w:cs="宋体"/>
          <w:sz w:val="28"/>
          <w:szCs w:val="28"/>
          <w:highlight w:val="none"/>
          <w:lang w:eastAsia="zh-CN"/>
        </w:rPr>
        <w:t>②</w:t>
      </w:r>
      <w:r>
        <w:rPr>
          <w:rFonts w:hint="eastAsia" w:ascii="仿宋" w:hAnsi="仿宋" w:eastAsia="仿宋" w:cs="宋体"/>
          <w:sz w:val="28"/>
          <w:szCs w:val="28"/>
          <w:highlight w:val="none"/>
        </w:rPr>
        <w:t>营业执照</w:t>
      </w:r>
      <w:r>
        <w:rPr>
          <w:rFonts w:hint="eastAsia" w:ascii="仿宋" w:hAnsi="仿宋" w:eastAsia="仿宋" w:cs="宋体"/>
          <w:sz w:val="28"/>
          <w:szCs w:val="28"/>
          <w:highlight w:val="none"/>
          <w:lang w:eastAsia="zh-CN"/>
        </w:rPr>
        <w:t>③近一年的财务审计报告④近三年类似业绩提供</w:t>
      </w:r>
      <w:r>
        <w:rPr>
          <w:rFonts w:hint="eastAsia" w:ascii="仿宋" w:hAnsi="仿宋" w:eastAsia="仿宋" w:cs="宋体"/>
          <w:sz w:val="30"/>
          <w:szCs w:val="30"/>
          <w:highlight w:val="none"/>
          <w:lang w:eastAsia="zh-CN"/>
        </w:rPr>
        <w:t>中标通知书或合同</w:t>
      </w:r>
      <w:r>
        <w:rPr>
          <w:rFonts w:hint="eastAsia" w:ascii="仿宋" w:hAnsi="仿宋" w:eastAsia="仿宋" w:cs="宋体"/>
          <w:sz w:val="28"/>
          <w:szCs w:val="28"/>
          <w:highlight w:val="none"/>
          <w:lang w:eastAsia="zh-CN"/>
        </w:rPr>
        <w:t>⑤总监理工程师证书⑥</w:t>
      </w:r>
      <w:r>
        <w:rPr>
          <w:rFonts w:hint="eastAsia" w:ascii="仿宋" w:hAnsi="仿宋" w:eastAsia="仿宋" w:cs="宋体"/>
          <w:sz w:val="28"/>
          <w:szCs w:val="28"/>
          <w:highlight w:val="none"/>
        </w:rPr>
        <w:t>中小企业声明函原件（附件1）</w:t>
      </w:r>
      <w:r>
        <w:rPr>
          <w:rFonts w:hint="eastAsia" w:ascii="仿宋" w:hAnsi="仿宋" w:eastAsia="仿宋" w:cs="宋体"/>
          <w:sz w:val="28"/>
          <w:szCs w:val="28"/>
          <w:highlight w:val="none"/>
          <w:lang w:eastAsia="zh-CN"/>
        </w:rPr>
        <w:t>⑦</w:t>
      </w:r>
      <w:r>
        <w:rPr>
          <w:rFonts w:hint="eastAsia" w:ascii="仿宋" w:hAnsi="仿宋" w:eastAsia="仿宋" w:cs="宋体"/>
          <w:sz w:val="28"/>
          <w:szCs w:val="28"/>
          <w:highlight w:val="none"/>
        </w:rPr>
        <w:t>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以上资料需提供原件及2份加盖公章的扫描件送至新疆泽源和忻项目管理咨询有限公司（阿勒泰市东风路翡翠湾小区2栋5层3号）领取</w:t>
      </w:r>
      <w:r>
        <w:rPr>
          <w:rFonts w:hint="eastAsia" w:ascii="仿宋" w:hAnsi="仿宋" w:eastAsia="仿宋" w:cs="宋体"/>
          <w:sz w:val="28"/>
          <w:szCs w:val="28"/>
          <w:highlight w:val="none"/>
          <w:lang w:eastAsia="zh-CN"/>
        </w:rPr>
        <w:t>磋商</w:t>
      </w:r>
      <w:r>
        <w:rPr>
          <w:rFonts w:hint="eastAsia" w:ascii="仿宋" w:hAnsi="仿宋" w:eastAsia="仿宋" w:cs="宋体"/>
          <w:sz w:val="28"/>
          <w:szCs w:val="28"/>
          <w:highlight w:val="none"/>
        </w:rPr>
        <w:t>文件。</w:t>
      </w:r>
    </w:p>
    <w:p>
      <w:pPr>
        <w:pStyle w:val="4"/>
        <w:spacing w:line="360" w:lineRule="auto"/>
        <w:rPr>
          <w:rFonts w:ascii="黑体" w:hAnsi="黑体" w:cs="宋体"/>
          <w:b w:val="0"/>
          <w:sz w:val="28"/>
          <w:szCs w:val="28"/>
          <w:highlight w:val="none"/>
        </w:rPr>
      </w:pPr>
      <w:bookmarkStart w:id="25" w:name="_Toc35393805"/>
      <w:bookmarkStart w:id="26" w:name="_Toc28359018"/>
      <w:bookmarkStart w:id="27" w:name="_Toc35393636"/>
      <w:bookmarkStart w:id="28" w:name="_Toc28359095"/>
      <w:r>
        <w:rPr>
          <w:rFonts w:hint="eastAsia" w:ascii="黑体" w:hAnsi="黑体" w:cs="宋体"/>
          <w:b w:val="0"/>
          <w:sz w:val="28"/>
          <w:szCs w:val="28"/>
          <w:highlight w:val="none"/>
          <w:lang w:eastAsia="zh-CN"/>
        </w:rPr>
        <w:t>八</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5"/>
      <w:bookmarkEnd w:id="26"/>
      <w:bookmarkEnd w:id="27"/>
      <w:bookmarkEnd w:id="28"/>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1.采购人信息</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名称： 哈巴河县住房和城乡建设局</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地址： 哈巴河县人民西路</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联系方式：15349962867</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2.采购代理机构信息</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名    称：新疆泽源和忻项目管理咨询有限公司</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single"/>
        </w:rPr>
        <w:t>联 系 人：邓女士　　　　　　　　   　　</w:t>
      </w:r>
    </w:p>
    <w:p>
      <w:pPr>
        <w:spacing w:line="360" w:lineRule="auto"/>
        <w:ind w:left="1129" w:leftChars="371" w:hanging="350" w:hangingChars="125"/>
        <w:jc w:val="left"/>
        <w:rPr>
          <w:rFonts w:ascii="仿宋" w:hAnsi="仿宋" w:eastAsia="仿宋"/>
          <w:sz w:val="28"/>
          <w:szCs w:val="28"/>
          <w:highlight w:val="none"/>
          <w:u w:val="single"/>
        </w:rPr>
      </w:pPr>
      <w:r>
        <w:rPr>
          <w:rFonts w:hint="eastAsia" w:ascii="仿宋" w:hAnsi="仿宋" w:eastAsia="仿宋"/>
          <w:sz w:val="28"/>
          <w:szCs w:val="28"/>
          <w:highlight w:val="none"/>
          <w:u w:val="single"/>
        </w:rPr>
        <w:t>联系方式：18935826608　　　</w:t>
      </w:r>
    </w:p>
    <w:p>
      <w:pPr>
        <w:rPr>
          <w:highlight w:val="none"/>
        </w:rPr>
      </w:pPr>
    </w:p>
    <w:p>
      <w:pPr>
        <w:rPr>
          <w:highlight w:val="none"/>
        </w:rPr>
      </w:pPr>
    </w:p>
    <w:p>
      <w:pPr>
        <w:ind w:firstLine="5040" w:firstLineChars="1800"/>
        <w:rPr>
          <w:highlight w:val="none"/>
        </w:rPr>
      </w:pPr>
      <w:r>
        <w:rPr>
          <w:rFonts w:hint="eastAsia" w:ascii="宋体" w:hAnsi="宋体"/>
          <w:kern w:val="0"/>
          <w:sz w:val="28"/>
          <w:szCs w:val="28"/>
          <w:highlight w:val="none"/>
        </w:rPr>
        <w:t xml:space="preserve">                    </w:t>
      </w:r>
    </w:p>
    <w:p>
      <w:pPr>
        <w:ind w:firstLine="5040" w:firstLineChars="1800"/>
        <w:rPr>
          <w:rFonts w:ascii="宋体" w:hAnsi="宋体"/>
          <w:color w:val="0000FF"/>
          <w:kern w:val="0"/>
          <w:sz w:val="28"/>
          <w:szCs w:val="28"/>
          <w:highlight w:val="none"/>
        </w:rPr>
      </w:pPr>
    </w:p>
    <w:p>
      <w:pPr>
        <w:rPr>
          <w:highlight w:val="none"/>
        </w:rPr>
      </w:pPr>
    </w:p>
    <w:p>
      <w:pPr>
        <w:rPr>
          <w:rFonts w:ascii="宋体" w:hAnsi="宋体" w:eastAsia="宋体" w:cs="宋体"/>
          <w:szCs w:val="21"/>
          <w:highlight w:val="none"/>
        </w:rPr>
      </w:pPr>
      <w:r>
        <w:rPr>
          <w:rFonts w:ascii="宋体" w:hAnsi="宋体" w:eastAsia="宋体" w:cs="宋体"/>
          <w:szCs w:val="21"/>
          <w:highlight w:val="none"/>
        </w:rPr>
        <w:br w:type="page"/>
      </w:r>
    </w:p>
    <w:p>
      <w:pPr>
        <w:pStyle w:val="2"/>
        <w:rPr>
          <w:highlight w:val="none"/>
        </w:rPr>
      </w:pPr>
    </w:p>
    <w:p>
      <w:pPr>
        <w:pStyle w:val="2"/>
        <w:rPr>
          <w:highlight w:val="none"/>
          <w:lang w:eastAsia="zh-CN"/>
        </w:rPr>
      </w:pPr>
    </w:p>
    <w:p>
      <w:pPr>
        <w:keepNext/>
        <w:keepLines/>
        <w:spacing w:before="240" w:after="64" w:line="500" w:lineRule="exact"/>
        <w:jc w:val="center"/>
        <w:outlineLvl w:val="6"/>
        <w:rPr>
          <w:rFonts w:ascii="宋体" w:hAnsi="宋体" w:eastAsia="宋体" w:cs="宋体"/>
          <w:b/>
          <w:bCs/>
          <w:sz w:val="30"/>
          <w:szCs w:val="30"/>
          <w:highlight w:val="none"/>
        </w:rPr>
      </w:pPr>
      <w:r>
        <w:rPr>
          <w:rFonts w:hint="eastAsia" w:ascii="宋体" w:hAnsi="宋体" w:eastAsia="宋体" w:cs="宋体"/>
          <w:b/>
          <w:bCs/>
          <w:sz w:val="30"/>
          <w:szCs w:val="30"/>
          <w:highlight w:val="none"/>
        </w:rPr>
        <w:t>第二章　磋商须知前附表</w:t>
      </w:r>
    </w:p>
    <w:tbl>
      <w:tblPr>
        <w:tblStyle w:val="21"/>
        <w:tblpPr w:leftFromText="180" w:rightFromText="180" w:vertAnchor="text" w:horzAnchor="page" w:tblpX="1857" w:tblpY="626"/>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62"/>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序号</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名称</w:t>
            </w:r>
          </w:p>
        </w:tc>
        <w:tc>
          <w:tcPr>
            <w:tcW w:w="6607"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1</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采购项目</w:t>
            </w:r>
          </w:p>
        </w:tc>
        <w:tc>
          <w:tcPr>
            <w:tcW w:w="6607" w:type="dxa"/>
            <w:vAlign w:val="center"/>
          </w:tcPr>
          <w:p>
            <w:pPr>
              <w:rPr>
                <w:rFonts w:ascii="宋体" w:hAnsi="宋体" w:eastAsia="宋体" w:cs="宋体"/>
                <w:szCs w:val="21"/>
                <w:highlight w:val="none"/>
              </w:rPr>
            </w:pPr>
            <w:r>
              <w:rPr>
                <w:rFonts w:hint="eastAsia" w:eastAsia="宋体"/>
                <w:highlight w:val="none"/>
              </w:rPr>
              <w:t>哈巴河县城市管理服务平台建设项目--监理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2</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采购预算</w:t>
            </w:r>
          </w:p>
        </w:tc>
        <w:tc>
          <w:tcPr>
            <w:tcW w:w="6607" w:type="dxa"/>
            <w:vAlign w:val="center"/>
          </w:tcPr>
          <w:p>
            <w:pPr>
              <w:rPr>
                <w:rFonts w:asciiTheme="minorEastAsia" w:hAnsiTheme="minorEastAsia"/>
                <w:szCs w:val="21"/>
                <w:highlight w:val="none"/>
              </w:rPr>
            </w:pPr>
            <w:r>
              <w:rPr>
                <w:rFonts w:hint="eastAsia" w:cs="宋体" w:asciiTheme="minorEastAsia" w:hAnsiTheme="minorEastAsia"/>
                <w:szCs w:val="21"/>
                <w:highlight w:val="none"/>
                <w:lang w:val="en-US" w:eastAsia="zh-CN"/>
              </w:rPr>
              <w:t>810000</w:t>
            </w:r>
            <w:r>
              <w:rPr>
                <w:rFonts w:hint="eastAsia" w:cs="宋体" w:asciiTheme="minorEastAsia" w:hAnsiTheme="minorEastAsia"/>
                <w:szCs w:val="21"/>
                <w:highlight w:val="none"/>
              </w:rPr>
              <w:t>元</w:t>
            </w:r>
          </w:p>
          <w:p>
            <w:pPr>
              <w:rPr>
                <w:rFonts w:ascii="宋体" w:hAnsi="宋体" w:eastAsia="宋体" w:cs="宋体"/>
                <w:szCs w:val="21"/>
                <w:highlight w:val="none"/>
              </w:rPr>
            </w:pPr>
            <w:r>
              <w:rPr>
                <w:rFonts w:hint="eastAsia" w:ascii="宋体" w:hAnsi="宋体" w:eastAsia="宋体" w:cs="宋体"/>
                <w:szCs w:val="21"/>
                <w:highlight w:val="none"/>
              </w:rPr>
              <w:t>供应商投标报价不得超过最高限价，否则按无效投标处理。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3</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服务期限</w:t>
            </w:r>
          </w:p>
        </w:tc>
        <w:tc>
          <w:tcPr>
            <w:tcW w:w="6607" w:type="dxa"/>
            <w:vAlign w:val="center"/>
          </w:tcPr>
          <w:p>
            <w:pPr>
              <w:spacing w:line="5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自合同签订之日起至监理对象竣工验收完成，获得竣工验收证书</w:t>
            </w:r>
            <w:r>
              <w:rPr>
                <w:rFonts w:hint="eastAsia" w:ascii="宋体" w:hAnsi="宋体" w:eastAsia="宋体" w:cs="宋体"/>
                <w:szCs w:val="21"/>
                <w:highlight w:val="none"/>
                <w:lang w:eastAsia="zh-CN"/>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4</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采购内容</w:t>
            </w:r>
          </w:p>
        </w:tc>
        <w:tc>
          <w:tcPr>
            <w:tcW w:w="6607" w:type="dxa"/>
            <w:vAlign w:val="center"/>
          </w:tcPr>
          <w:p>
            <w:pPr>
              <w:rPr>
                <w:rFonts w:ascii="宋体" w:hAnsi="宋体" w:eastAsia="宋体" w:cs="宋体"/>
                <w:szCs w:val="21"/>
                <w:highlight w:val="none"/>
              </w:rPr>
            </w:pPr>
            <w:r>
              <w:rPr>
                <w:rFonts w:hint="eastAsia" w:ascii="宋体" w:hAnsi="宋体" w:eastAsia="宋体" w:cs="宋体"/>
                <w:szCs w:val="21"/>
                <w:highlight w:val="none"/>
              </w:rPr>
              <w:t>详见第六章《采购需求》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5</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公告媒体</w:t>
            </w:r>
          </w:p>
        </w:tc>
        <w:tc>
          <w:tcPr>
            <w:tcW w:w="6607"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6</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采购人</w:t>
            </w:r>
          </w:p>
        </w:tc>
        <w:tc>
          <w:tcPr>
            <w:tcW w:w="6607"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名称： 哈巴河县住房和城乡建设局</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地址： 哈巴河县人民西路</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联系方式：15349962867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7</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采购代理机构</w:t>
            </w:r>
          </w:p>
        </w:tc>
        <w:tc>
          <w:tcPr>
            <w:tcW w:w="6607" w:type="dxa"/>
            <w:vAlign w:val="center"/>
          </w:tcPr>
          <w:p>
            <w:pPr>
              <w:spacing w:line="400" w:lineRule="exact"/>
              <w:ind w:left="630" w:hanging="630" w:hangingChars="300"/>
              <w:rPr>
                <w:rFonts w:ascii="宋体" w:hAnsi="宋体" w:eastAsia="宋体" w:cs="宋体"/>
                <w:szCs w:val="21"/>
                <w:highlight w:val="none"/>
              </w:rPr>
            </w:pPr>
            <w:r>
              <w:rPr>
                <w:rFonts w:hint="eastAsia" w:ascii="宋体" w:hAnsi="宋体" w:eastAsia="宋体" w:cs="宋体"/>
                <w:szCs w:val="21"/>
                <w:highlight w:val="none"/>
              </w:rPr>
              <w:t xml:space="preserve">名称：新疆泽源和忻项目管理咨询有限公司  </w:t>
            </w:r>
          </w:p>
          <w:p>
            <w:pPr>
              <w:spacing w:line="400" w:lineRule="exact"/>
              <w:ind w:left="840" w:hanging="840" w:hangingChars="400"/>
              <w:rPr>
                <w:rFonts w:ascii="宋体" w:hAnsi="宋体" w:eastAsia="宋体" w:cs="宋体"/>
                <w:szCs w:val="21"/>
                <w:highlight w:val="none"/>
              </w:rPr>
            </w:pPr>
            <w:r>
              <w:rPr>
                <w:rFonts w:hint="eastAsia" w:ascii="宋体" w:hAnsi="宋体" w:eastAsia="宋体" w:cs="宋体"/>
                <w:szCs w:val="21"/>
                <w:highlight w:val="none"/>
              </w:rPr>
              <w:t xml:space="preserve">地址：阿勒泰市东风路翡翠湾小区2栋5层3号  </w:t>
            </w:r>
          </w:p>
          <w:p>
            <w:pPr>
              <w:spacing w:line="400" w:lineRule="exact"/>
              <w:rPr>
                <w:rFonts w:ascii="宋体" w:hAnsi="宋体" w:eastAsia="宋体" w:cs="宋体"/>
                <w:szCs w:val="21"/>
                <w:highlight w:val="none"/>
              </w:rPr>
            </w:pPr>
            <w:r>
              <w:rPr>
                <w:rFonts w:hint="eastAsia" w:ascii="宋体" w:hAnsi="宋体" w:eastAsia="宋体" w:cs="宋体"/>
                <w:szCs w:val="21"/>
                <w:highlight w:val="none"/>
              </w:rPr>
              <w:t>电话：18935826608</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联系人：邓胜楠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8</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供应商产生方法</w:t>
            </w:r>
          </w:p>
        </w:tc>
        <w:tc>
          <w:tcPr>
            <w:tcW w:w="6607"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☑公告</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□供应商库抽取</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9</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供应商资质条件、能力、信誉</w:t>
            </w:r>
          </w:p>
        </w:tc>
        <w:tc>
          <w:tcPr>
            <w:tcW w:w="6607" w:type="dxa"/>
            <w:vAlign w:val="center"/>
          </w:tcPr>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1、投标人必须符合《中华人民共和国政府采购法》第二十二条规定。</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2、落实政府采购政策需满足的资格要求：该项目专门面向中小企业采购，企业需提供中小企业声明函原件。</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3、本项目的特定资格要求：</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3.1、提供有效的营业执照；</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3.2、具有健全的财务制度能够提供近一年（2020年度或2021年度）财务审计报告；</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3.3、近三年（2019 年5月1日至今）内承接并完成不少于一项类似信息化工程监理业绩，提供中标通知书或合同；</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3.4、供应商未被列入“信用中国”网站中“记录失信被执行人或重大税收违法案件当事人名单或政府采购严重违法失信行为”的记录名单；</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3.5、企业法人证明及法定代表人身份证或法定代表人授权委托书及委托代理人身份证；</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3.6、项目总监要求：总监理工程师必须具备信息系统监理师证书或通信工程专业的注册监理工程师（证书需在有效期内）；</w:t>
            </w:r>
          </w:p>
          <w:p>
            <w:pPr>
              <w:shd w:val="clear" w:color="auto" w:fill="FFFFFF"/>
              <w:spacing w:line="360" w:lineRule="auto"/>
              <w:ind w:firstLine="480"/>
              <w:rPr>
                <w:rFonts w:hint="eastAsia" w:asciiTheme="minorEastAsia" w:hAnsiTheme="minorEastAsia"/>
                <w:color w:val="000000"/>
                <w:szCs w:val="21"/>
                <w:highlight w:val="none"/>
              </w:rPr>
            </w:pPr>
            <w:r>
              <w:rPr>
                <w:rFonts w:hint="eastAsia" w:asciiTheme="minorEastAsia" w:hAnsiTheme="minorEastAsia"/>
                <w:color w:val="000000"/>
                <w:szCs w:val="21"/>
                <w:highlight w:val="none"/>
              </w:rPr>
              <w:t>3.7、本项目不接受联合体投标。</w:t>
            </w:r>
          </w:p>
          <w:p>
            <w:pPr>
              <w:shd w:val="clear" w:color="auto" w:fill="FFFFFF"/>
              <w:spacing w:line="360" w:lineRule="auto"/>
              <w:ind w:firstLine="480"/>
              <w:rPr>
                <w:rFonts w:asciiTheme="minorEastAsia" w:hAnsiTheme="minorEastAsia"/>
                <w:color w:val="000000"/>
                <w:szCs w:val="21"/>
                <w:highlight w:val="none"/>
              </w:rPr>
            </w:pPr>
            <w:r>
              <w:rPr>
                <w:rFonts w:hint="eastAsia" w:asciiTheme="minorEastAsia" w:hAnsiTheme="minorEastAsia"/>
                <w:color w:val="000000"/>
                <w:szCs w:val="21"/>
                <w:highlight w:val="none"/>
              </w:rPr>
              <w:t xml:space="preserve"> 备注：与招标人存在利害关系且可能影响招标公正性的单位，不得参加投标。单位负责人为同一人或者存在控股、管理关系的不同单位，不得参加同一标段投标，否则，相关投标均无效。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10</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项目现场勘察</w:t>
            </w:r>
          </w:p>
        </w:tc>
        <w:tc>
          <w:tcPr>
            <w:tcW w:w="6607" w:type="dxa"/>
            <w:vAlign w:val="center"/>
          </w:tcPr>
          <w:p>
            <w:pPr>
              <w:spacing w:line="500" w:lineRule="exact"/>
              <w:rPr>
                <w:rFonts w:ascii="宋体" w:hAnsi="宋体" w:eastAsia="宋体" w:cs="宋体"/>
                <w:szCs w:val="21"/>
                <w:highlight w:val="none"/>
              </w:rPr>
            </w:pPr>
            <w:r>
              <w:rPr>
                <w:rFonts w:hint="eastAsia" w:ascii="MS Mincho" w:hAnsi="MS Mincho" w:eastAsia="MS Mincho" w:cs="MS Mincho"/>
                <w:szCs w:val="21"/>
                <w:highlight w:val="none"/>
              </w:rPr>
              <w:t>☑</w:t>
            </w:r>
            <w:r>
              <w:rPr>
                <w:rFonts w:hint="eastAsia" w:ascii="宋体" w:hAnsi="宋体" w:eastAsia="宋体" w:cs="宋体"/>
                <w:szCs w:val="21"/>
                <w:highlight w:val="none"/>
              </w:rPr>
              <w:t>不组织</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8"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11</w:t>
            </w:r>
          </w:p>
        </w:tc>
        <w:tc>
          <w:tcPr>
            <w:tcW w:w="1662"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联合体</w:t>
            </w:r>
          </w:p>
        </w:tc>
        <w:tc>
          <w:tcPr>
            <w:tcW w:w="6607" w:type="dxa"/>
            <w:vAlign w:val="center"/>
          </w:tcPr>
          <w:p>
            <w:pPr>
              <w:spacing w:line="500" w:lineRule="exact"/>
              <w:rPr>
                <w:rFonts w:ascii="宋体" w:hAnsi="宋体" w:eastAsia="宋体" w:cs="宋体"/>
                <w:szCs w:val="21"/>
                <w:highlight w:val="none"/>
              </w:rPr>
            </w:pPr>
            <w:r>
              <w:rPr>
                <w:rFonts w:hint="eastAsia" w:ascii="MS Mincho" w:hAnsi="MS Mincho" w:eastAsia="MS Mincho" w:cs="MS Mincho"/>
                <w:szCs w:val="21"/>
                <w:highlight w:val="none"/>
              </w:rPr>
              <w:t>☑</w:t>
            </w:r>
            <w:r>
              <w:rPr>
                <w:rFonts w:hint="eastAsia" w:ascii="宋体" w:hAnsi="宋体" w:eastAsia="宋体" w:cs="宋体"/>
                <w:szCs w:val="21"/>
                <w:highlight w:val="none"/>
              </w:rPr>
              <w:t>不接受</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12</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进口产品</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8" w:type="dxa"/>
            <w:vMerge w:val="restart"/>
            <w:vAlign w:val="center"/>
          </w:tcPr>
          <w:p>
            <w:pPr>
              <w:spacing w:line="500" w:lineRule="exact"/>
              <w:rPr>
                <w:rFonts w:ascii="宋体" w:hAnsi="宋体" w:eastAsia="宋体" w:cs="宋体"/>
                <w:szCs w:val="21"/>
              </w:rPr>
            </w:pPr>
            <w:r>
              <w:rPr>
                <w:rFonts w:hint="eastAsia" w:ascii="宋体" w:hAnsi="宋体" w:eastAsia="宋体" w:cs="宋体"/>
                <w:szCs w:val="21"/>
              </w:rPr>
              <w:t>13</w:t>
            </w:r>
          </w:p>
        </w:tc>
        <w:tc>
          <w:tcPr>
            <w:tcW w:w="1662" w:type="dxa"/>
            <w:vAlign w:val="center"/>
          </w:tcPr>
          <w:p>
            <w:pPr>
              <w:rPr>
                <w:rFonts w:ascii="宋体" w:hAnsi="宋体" w:eastAsia="宋体" w:cs="宋体"/>
                <w:szCs w:val="21"/>
              </w:rPr>
            </w:pPr>
            <w:r>
              <w:rPr>
                <w:rFonts w:hint="eastAsia" w:ascii="宋体" w:hAnsi="宋体" w:eastAsia="宋体" w:cs="宋体"/>
                <w:szCs w:val="21"/>
              </w:rPr>
              <w:t>政府采购强制采购：节能产品</w:t>
            </w:r>
          </w:p>
        </w:tc>
        <w:tc>
          <w:tcPr>
            <w:tcW w:w="6607" w:type="dxa"/>
            <w:vAlign w:val="center"/>
          </w:tcPr>
          <w:p>
            <w:pPr>
              <w:spacing w:line="500" w:lineRule="exact"/>
              <w:rPr>
                <w:rFonts w:ascii="宋体" w:hAnsi="宋体" w:eastAsia="宋体" w:cs="宋体"/>
                <w:szCs w:val="21"/>
              </w:rPr>
            </w:pPr>
            <w:r>
              <w:rPr>
                <w:rFonts w:hint="eastAsia" w:ascii="MS Mincho" w:hAnsi="MS Mincho" w:eastAsia="MS Mincho" w:cs="MS Mincho"/>
                <w:szCs w:val="21"/>
              </w:rPr>
              <w:t>☑</w:t>
            </w:r>
            <w:r>
              <w:rPr>
                <w:rFonts w:hint="eastAsia" w:ascii="宋体" w:hAnsi="宋体" w:eastAsia="宋体" w:cs="宋体"/>
                <w:szCs w:val="21"/>
              </w:rPr>
              <w:t>否</w:t>
            </w:r>
          </w:p>
          <w:p>
            <w:pPr>
              <w:spacing w:line="500" w:lineRule="exact"/>
              <w:rPr>
                <w:rFonts w:ascii="宋体" w:hAnsi="宋体" w:eastAsia="宋体" w:cs="宋体"/>
                <w:szCs w:val="21"/>
              </w:rPr>
            </w:pPr>
            <w:r>
              <w:rPr>
                <w:rFonts w:hint="eastAsia" w:ascii="宋体" w:hAnsi="宋体" w:eastAsia="宋体" w:cs="宋体"/>
                <w:szCs w:val="21"/>
              </w:rPr>
              <w:t>□是，采购《节能产品政府采购清单》(第　期)内的产品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Merge w:val="continue"/>
            <w:vAlign w:val="center"/>
          </w:tcPr>
          <w:p>
            <w:pPr>
              <w:spacing w:line="500" w:lineRule="exact"/>
              <w:rPr>
                <w:rFonts w:ascii="宋体" w:hAnsi="宋体" w:eastAsia="宋体" w:cs="宋体"/>
                <w:szCs w:val="21"/>
              </w:rPr>
            </w:pPr>
          </w:p>
        </w:tc>
        <w:tc>
          <w:tcPr>
            <w:tcW w:w="1662" w:type="dxa"/>
            <w:vAlign w:val="center"/>
          </w:tcPr>
          <w:p>
            <w:pPr>
              <w:rPr>
                <w:rFonts w:ascii="宋体" w:hAnsi="宋体" w:eastAsia="宋体" w:cs="宋体"/>
                <w:szCs w:val="21"/>
              </w:rPr>
            </w:pPr>
            <w:r>
              <w:rPr>
                <w:rFonts w:hint="eastAsia" w:ascii="宋体" w:hAnsi="宋体" w:eastAsia="宋体" w:cs="宋体"/>
                <w:szCs w:val="21"/>
              </w:rPr>
              <w:t>政府采购强制采购：信息安全认证</w:t>
            </w:r>
          </w:p>
        </w:tc>
        <w:tc>
          <w:tcPr>
            <w:tcW w:w="6607" w:type="dxa"/>
            <w:vAlign w:val="center"/>
          </w:tcPr>
          <w:p>
            <w:pPr>
              <w:spacing w:line="500" w:lineRule="exact"/>
              <w:rPr>
                <w:rFonts w:ascii="宋体" w:hAnsi="宋体" w:eastAsia="宋体" w:cs="宋体"/>
                <w:szCs w:val="21"/>
              </w:rPr>
            </w:pPr>
            <w:r>
              <w:rPr>
                <w:rFonts w:hint="eastAsia" w:ascii="MS Mincho" w:hAnsi="MS Mincho" w:eastAsia="MS Mincho" w:cs="MS Mincho"/>
                <w:szCs w:val="21"/>
              </w:rPr>
              <w:t>☑</w:t>
            </w:r>
            <w:r>
              <w:rPr>
                <w:rFonts w:hint="eastAsia" w:ascii="宋体" w:hAnsi="宋体" w:eastAsia="宋体" w:cs="宋体"/>
                <w:szCs w:val="21"/>
              </w:rPr>
              <w:t>否</w:t>
            </w:r>
          </w:p>
          <w:p>
            <w:pPr>
              <w:spacing w:line="500" w:lineRule="exact"/>
              <w:rPr>
                <w:rFonts w:ascii="宋体" w:hAnsi="宋体" w:eastAsia="宋体" w:cs="宋体"/>
                <w:szCs w:val="21"/>
              </w:rPr>
            </w:pPr>
            <w:r>
              <w:rPr>
                <w:rFonts w:hint="eastAsia" w:ascii="宋体" w:hAnsi="宋体" w:eastAsia="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14</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支持中小企业发展</w:t>
            </w:r>
          </w:p>
        </w:tc>
        <w:tc>
          <w:tcPr>
            <w:tcW w:w="6607" w:type="dxa"/>
            <w:vAlign w:val="center"/>
          </w:tcPr>
          <w:p>
            <w:pPr>
              <w:spacing w:line="500" w:lineRule="exact"/>
              <w:rPr>
                <w:rFonts w:ascii="宋体" w:hAnsi="宋体" w:eastAsia="宋体" w:cs="宋体"/>
                <w:szCs w:val="21"/>
              </w:rPr>
            </w:pPr>
            <w:r>
              <w:rPr>
                <w:rFonts w:hint="eastAsia" w:ascii="MS Mincho" w:hAnsi="MS Mincho" w:eastAsia="MS Mincho" w:cs="MS Mincho"/>
                <w:szCs w:val="21"/>
              </w:rPr>
              <w:t>☑</w:t>
            </w:r>
            <w:r>
              <w:rPr>
                <w:rFonts w:hint="eastAsia" w:ascii="宋体" w:hAnsi="宋体" w:eastAsia="宋体" w:cs="宋体"/>
                <w:szCs w:val="21"/>
              </w:rPr>
              <w:t>专门面向中小企业采购项目</w:t>
            </w:r>
          </w:p>
          <w:p>
            <w:pPr>
              <w:spacing w:line="500" w:lineRule="exact"/>
              <w:rPr>
                <w:rFonts w:ascii="宋体" w:hAnsi="宋体" w:eastAsia="宋体" w:cs="宋体"/>
                <w:szCs w:val="21"/>
              </w:rPr>
            </w:pPr>
            <w:r>
              <w:rPr>
                <w:rFonts w:hint="eastAsia" w:ascii="宋体" w:hAnsi="宋体" w:eastAsia="宋体" w:cs="宋体"/>
                <w:szCs w:val="21"/>
              </w:rPr>
              <w:t>□非专门面向中小企业采购项目(价格扣除)：</w:t>
            </w:r>
          </w:p>
          <w:p>
            <w:pPr>
              <w:spacing w:line="500" w:lineRule="exact"/>
              <w:rPr>
                <w:rFonts w:ascii="宋体" w:hAnsi="宋体" w:eastAsia="宋体" w:cs="宋体"/>
                <w:szCs w:val="21"/>
              </w:rPr>
            </w:pPr>
            <w:r>
              <w:rPr>
                <w:rFonts w:hint="eastAsia" w:ascii="宋体" w:hAnsi="宋体" w:eastAsia="宋体" w:cs="宋体"/>
                <w:szCs w:val="21"/>
              </w:rPr>
              <w:t>①对小型和微型企业产品的价格给予6%～10%的扣除，用扣除后的价格参与评审。本项目的扣除比例为：小型企业扣除__</w:t>
            </w:r>
            <w:r>
              <w:rPr>
                <w:rFonts w:hint="eastAsia" w:ascii="宋体" w:hAnsi="宋体" w:eastAsia="宋体" w:cs="宋体"/>
                <w:szCs w:val="21"/>
                <w:u w:val="single"/>
              </w:rPr>
              <w:t>_6_</w:t>
            </w:r>
            <w:r>
              <w:rPr>
                <w:rFonts w:hint="eastAsia" w:ascii="宋体" w:hAnsi="宋体" w:eastAsia="宋体" w:cs="宋体"/>
                <w:szCs w:val="21"/>
              </w:rPr>
              <w:t>__%，微型企业扣除___</w:t>
            </w:r>
            <w:r>
              <w:rPr>
                <w:rFonts w:hint="eastAsia" w:ascii="宋体" w:hAnsi="宋体" w:eastAsia="宋体" w:cs="宋体"/>
                <w:szCs w:val="21"/>
                <w:u w:val="single"/>
              </w:rPr>
              <w:t>6_</w:t>
            </w:r>
            <w:r>
              <w:rPr>
                <w:rFonts w:hint="eastAsia" w:ascii="宋体" w:hAnsi="宋体" w:eastAsia="宋体" w:cs="宋体"/>
                <w:szCs w:val="21"/>
              </w:rPr>
              <w:t>__%。</w:t>
            </w:r>
          </w:p>
          <w:p>
            <w:pPr>
              <w:spacing w:line="500" w:lineRule="exact"/>
              <w:rPr>
                <w:rFonts w:ascii="宋体" w:hAnsi="宋体" w:eastAsia="宋体" w:cs="宋体"/>
                <w:szCs w:val="21"/>
              </w:rPr>
            </w:pPr>
            <w:r>
              <w:rPr>
                <w:rFonts w:hint="eastAsia" w:ascii="宋体" w:hAnsi="宋体" w:eastAsia="宋体" w:cs="宋体"/>
                <w:szCs w:val="21"/>
              </w:rPr>
              <w:t>②本项目接受联合体投标的，若小型和微型企业的协议合同金额占到联合体协议合同总金额30%以上的，可给予联合体2%～3%的扣除，用扣除后的价格参与评审。本项目的扣除比例为：______%。</w:t>
            </w:r>
          </w:p>
          <w:p>
            <w:pPr>
              <w:spacing w:line="500" w:lineRule="exact"/>
              <w:rPr>
                <w:rFonts w:ascii="宋体" w:hAnsi="宋体" w:eastAsia="宋体" w:cs="宋体"/>
                <w:szCs w:val="21"/>
              </w:rPr>
            </w:pPr>
            <w:r>
              <w:rPr>
                <w:rFonts w:hint="eastAsia" w:ascii="宋体" w:hAnsi="宋体" w:eastAsia="宋体" w:cs="宋体"/>
                <w:szCs w:val="21"/>
              </w:rPr>
              <w:t>□非专门面向中小企业采购项目(其他优惠)：____________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15</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支持监狱企业发展</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□专门面向监狱企业采购项目</w:t>
            </w:r>
          </w:p>
          <w:p>
            <w:pPr>
              <w:spacing w:line="500" w:lineRule="exact"/>
              <w:rPr>
                <w:rFonts w:ascii="宋体" w:hAnsi="宋体" w:eastAsia="宋体" w:cs="宋体"/>
                <w:szCs w:val="21"/>
              </w:rPr>
            </w:pPr>
            <w:r>
              <w:rPr>
                <w:rFonts w:hint="eastAsia" w:ascii="MS Mincho" w:hAnsi="MS Mincho" w:eastAsia="MS Mincho" w:cs="MS Mincho"/>
                <w:szCs w:val="21"/>
              </w:rPr>
              <w:t>☑</w:t>
            </w:r>
            <w:r>
              <w:rPr>
                <w:rFonts w:hint="eastAsia" w:ascii="宋体" w:hAnsi="宋体" w:eastAsia="宋体" w:cs="宋体"/>
                <w:szCs w:val="21"/>
              </w:rPr>
              <w:t>非专门面向监狱采购项目(价格扣除)：监狱企业可视同小微企业在价格评审时给予6%～10%的扣除，用扣除后的价格参与评审。本项目的扣除比例为：扣除__</w:t>
            </w:r>
            <w:r>
              <w:rPr>
                <w:rFonts w:hint="eastAsia" w:ascii="宋体" w:hAnsi="宋体" w:eastAsia="宋体" w:cs="宋体"/>
                <w:szCs w:val="21"/>
                <w:u w:val="single"/>
              </w:rPr>
              <w:t>6</w:t>
            </w:r>
            <w:r>
              <w:rPr>
                <w:rFonts w:hint="eastAsia" w:ascii="宋体" w:hAnsi="宋体" w:eastAsia="宋体" w:cs="宋体"/>
                <w:szCs w:val="21"/>
              </w:rPr>
              <w:t>___%。</w:t>
            </w:r>
          </w:p>
          <w:p>
            <w:pPr>
              <w:spacing w:line="500" w:lineRule="exact"/>
              <w:rPr>
                <w:rFonts w:ascii="宋体" w:hAnsi="宋体" w:eastAsia="宋体" w:cs="宋体"/>
                <w:szCs w:val="21"/>
              </w:rPr>
            </w:pPr>
            <w:r>
              <w:rPr>
                <w:rFonts w:hint="eastAsia" w:ascii="宋体" w:hAnsi="宋体" w:eastAsia="宋体" w:cs="宋体"/>
                <w:szCs w:val="21"/>
              </w:rPr>
              <w:t>□非专门面向监狱采购项目(其他优惠)：____________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16</w:t>
            </w:r>
          </w:p>
        </w:tc>
        <w:tc>
          <w:tcPr>
            <w:tcW w:w="1662" w:type="dxa"/>
            <w:vAlign w:val="center"/>
          </w:tcPr>
          <w:p>
            <w:pPr>
              <w:rPr>
                <w:rFonts w:ascii="宋体" w:hAnsi="宋体" w:eastAsia="宋体" w:cs="宋体"/>
                <w:szCs w:val="21"/>
              </w:rPr>
            </w:pPr>
            <w:r>
              <w:rPr>
                <w:rFonts w:hint="eastAsia" w:ascii="宋体" w:hAnsi="宋体" w:eastAsia="宋体" w:cs="宋体"/>
                <w:szCs w:val="21"/>
              </w:rPr>
              <w:t>其他法律法规强制性规定的</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17</w:t>
            </w:r>
          </w:p>
        </w:tc>
        <w:tc>
          <w:tcPr>
            <w:tcW w:w="1662" w:type="dxa"/>
            <w:vAlign w:val="center"/>
          </w:tcPr>
          <w:p>
            <w:pPr>
              <w:rPr>
                <w:rFonts w:ascii="宋体" w:hAnsi="宋体" w:eastAsia="宋体" w:cs="宋体"/>
                <w:szCs w:val="21"/>
              </w:rPr>
            </w:pPr>
            <w:r>
              <w:rPr>
                <w:rFonts w:hint="eastAsia" w:ascii="宋体" w:hAnsi="宋体" w:eastAsia="宋体" w:cs="宋体"/>
                <w:szCs w:val="21"/>
              </w:rPr>
              <w:t>供应商须提供的其他资料</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18</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澄清或者修改时间</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提交首次响应文件前5日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19</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递交磋商响应文件的截止时间和地点</w:t>
            </w:r>
          </w:p>
        </w:tc>
        <w:tc>
          <w:tcPr>
            <w:tcW w:w="6607"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color w:val="000000"/>
                <w:szCs w:val="21"/>
                <w:highlight w:val="none"/>
                <w:u w:val="single"/>
              </w:rPr>
              <w:t>2022</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5</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u w:val="single"/>
              </w:rPr>
              <w:t xml:space="preserve"> 11 </w:t>
            </w:r>
            <w:r>
              <w:rPr>
                <w:rFonts w:hint="eastAsia" w:ascii="宋体" w:hAnsi="宋体" w:eastAsia="宋体" w:cs="宋体"/>
                <w:color w:val="000000"/>
                <w:szCs w:val="21"/>
                <w:highlight w:val="none"/>
              </w:rPr>
              <w:t>时</w:t>
            </w:r>
            <w:r>
              <w:rPr>
                <w:rFonts w:hint="eastAsia" w:ascii="宋体" w:hAnsi="宋体" w:eastAsia="宋体" w:cs="宋体"/>
                <w:color w:val="000000"/>
                <w:szCs w:val="21"/>
                <w:highlight w:val="none"/>
                <w:u w:val="single"/>
              </w:rPr>
              <w:t xml:space="preserve">  00 </w:t>
            </w:r>
            <w:r>
              <w:rPr>
                <w:rFonts w:hint="eastAsia" w:ascii="宋体" w:hAnsi="宋体" w:eastAsia="宋体" w:cs="宋体"/>
                <w:color w:val="000000"/>
                <w:szCs w:val="21"/>
                <w:highlight w:val="none"/>
              </w:rPr>
              <w:t>分</w:t>
            </w:r>
            <w:r>
              <w:rPr>
                <w:rFonts w:hint="eastAsia" w:ascii="宋体" w:hAnsi="宋体" w:eastAsia="宋体" w:cs="宋体"/>
                <w:szCs w:val="21"/>
                <w:highlight w:val="none"/>
              </w:rPr>
              <w:t>(北京时间)</w:t>
            </w:r>
          </w:p>
          <w:p>
            <w:pPr>
              <w:spacing w:line="500" w:lineRule="exact"/>
              <w:ind w:left="630" w:hanging="630" w:hangingChars="300"/>
              <w:rPr>
                <w:rFonts w:ascii="宋体" w:hAnsi="宋体" w:eastAsia="宋体" w:cs="宋体"/>
                <w:szCs w:val="21"/>
                <w:highlight w:val="none"/>
              </w:rPr>
            </w:pPr>
            <w:r>
              <w:rPr>
                <w:rFonts w:hint="eastAsia" w:ascii="宋体" w:hAnsi="宋体" w:eastAsia="宋体" w:cs="宋体"/>
                <w:szCs w:val="21"/>
                <w:highlight w:val="none"/>
              </w:rPr>
              <w:t>地点：</w:t>
            </w:r>
            <w:r>
              <w:rPr>
                <w:rFonts w:hint="eastAsia" w:ascii="宋体" w:hAnsi="宋体" w:eastAsia="宋体" w:cs="宋体"/>
                <w:color w:val="000000"/>
                <w:szCs w:val="21"/>
                <w:highlight w:val="none"/>
                <w:u w:val="single"/>
              </w:rPr>
              <w:t>新疆泽源和忻项目管理咨询有限公司（阿勒泰市东风路翡翠湾小区2栋5层3号）五楼会议室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20</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磋商响应文件开启时间和地点</w:t>
            </w:r>
          </w:p>
        </w:tc>
        <w:tc>
          <w:tcPr>
            <w:tcW w:w="6607" w:type="dxa"/>
            <w:vAlign w:val="center"/>
          </w:tcPr>
          <w:p>
            <w:pPr>
              <w:spacing w:line="500" w:lineRule="exact"/>
              <w:rPr>
                <w:rFonts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color w:val="000000"/>
                <w:szCs w:val="21"/>
                <w:highlight w:val="none"/>
                <w:u w:val="single"/>
              </w:rPr>
              <w:t>2022</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5</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u w:val="single"/>
              </w:rPr>
              <w:t xml:space="preserve"> 11 </w:t>
            </w:r>
            <w:r>
              <w:rPr>
                <w:rFonts w:hint="eastAsia" w:ascii="宋体" w:hAnsi="宋体" w:eastAsia="宋体" w:cs="宋体"/>
                <w:color w:val="000000"/>
                <w:szCs w:val="21"/>
                <w:highlight w:val="none"/>
              </w:rPr>
              <w:t>时</w:t>
            </w:r>
            <w:r>
              <w:rPr>
                <w:rFonts w:hint="eastAsia" w:ascii="宋体" w:hAnsi="宋体" w:eastAsia="宋体" w:cs="宋体"/>
                <w:color w:val="000000"/>
                <w:szCs w:val="21"/>
                <w:highlight w:val="none"/>
                <w:u w:val="single"/>
              </w:rPr>
              <w:t xml:space="preserve"> 00 </w:t>
            </w:r>
            <w:r>
              <w:rPr>
                <w:rFonts w:hint="eastAsia" w:ascii="宋体" w:hAnsi="宋体" w:eastAsia="宋体" w:cs="宋体"/>
                <w:color w:val="000000"/>
                <w:szCs w:val="21"/>
                <w:highlight w:val="none"/>
              </w:rPr>
              <w:t>分</w:t>
            </w:r>
            <w:r>
              <w:rPr>
                <w:rFonts w:hint="eastAsia" w:ascii="宋体" w:hAnsi="宋体" w:eastAsia="宋体" w:cs="宋体"/>
                <w:szCs w:val="21"/>
                <w:highlight w:val="none"/>
              </w:rPr>
              <w:t>(北京时间)</w:t>
            </w:r>
          </w:p>
          <w:p>
            <w:pPr>
              <w:spacing w:line="500" w:lineRule="exact"/>
              <w:rPr>
                <w:rFonts w:ascii="宋体" w:hAnsi="宋体" w:eastAsia="宋体" w:cs="宋体"/>
                <w:szCs w:val="21"/>
                <w:highlight w:val="none"/>
              </w:rPr>
            </w:pPr>
            <w:r>
              <w:rPr>
                <w:rFonts w:hint="eastAsia" w:ascii="宋体" w:hAnsi="宋体" w:eastAsia="宋体" w:cs="宋体"/>
                <w:szCs w:val="21"/>
                <w:highlight w:val="none"/>
              </w:rPr>
              <w:t>地点：</w:t>
            </w:r>
            <w:r>
              <w:rPr>
                <w:rFonts w:hint="eastAsia" w:ascii="宋体" w:hAnsi="宋体" w:eastAsia="宋体" w:cs="宋体"/>
                <w:color w:val="000000"/>
                <w:szCs w:val="21"/>
                <w:highlight w:val="none"/>
                <w:u w:val="single"/>
              </w:rPr>
              <w:t>新疆泽源和忻项目管理咨询有限公司（阿勒泰市东风路翡翠湾小区2栋5层3号）五楼会议室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Merge w:val="restart"/>
            <w:vAlign w:val="center"/>
          </w:tcPr>
          <w:p>
            <w:pPr>
              <w:spacing w:line="500" w:lineRule="exact"/>
              <w:rPr>
                <w:rFonts w:ascii="宋体" w:hAnsi="宋体" w:eastAsia="宋体" w:cs="宋体"/>
                <w:szCs w:val="21"/>
              </w:rPr>
            </w:pPr>
            <w:r>
              <w:rPr>
                <w:rFonts w:hint="eastAsia" w:ascii="宋体" w:hAnsi="宋体" w:eastAsia="宋体" w:cs="宋体"/>
                <w:szCs w:val="21"/>
              </w:rPr>
              <w:t>21</w:t>
            </w:r>
          </w:p>
        </w:tc>
        <w:tc>
          <w:tcPr>
            <w:tcW w:w="1662" w:type="dxa"/>
            <w:vMerge w:val="restart"/>
            <w:vAlign w:val="center"/>
          </w:tcPr>
          <w:p>
            <w:pPr>
              <w:spacing w:line="500" w:lineRule="exact"/>
              <w:rPr>
                <w:rFonts w:ascii="宋体" w:hAnsi="宋体" w:eastAsia="宋体" w:cs="宋体"/>
                <w:szCs w:val="21"/>
              </w:rPr>
            </w:pPr>
            <w:r>
              <w:rPr>
                <w:rFonts w:hint="eastAsia" w:ascii="宋体" w:hAnsi="宋体" w:eastAsia="宋体" w:cs="宋体"/>
                <w:szCs w:val="21"/>
              </w:rPr>
              <w:t>磋商保证金</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Merge w:val="continue"/>
            <w:vAlign w:val="center"/>
          </w:tcPr>
          <w:p>
            <w:pPr>
              <w:spacing w:line="500" w:lineRule="exact"/>
              <w:rPr>
                <w:rFonts w:ascii="宋体" w:hAnsi="宋体" w:eastAsia="宋体" w:cs="宋体"/>
                <w:szCs w:val="21"/>
              </w:rPr>
            </w:pPr>
          </w:p>
        </w:tc>
        <w:tc>
          <w:tcPr>
            <w:tcW w:w="1662" w:type="dxa"/>
            <w:vMerge w:val="continue"/>
            <w:vAlign w:val="center"/>
          </w:tcPr>
          <w:p>
            <w:pPr>
              <w:spacing w:line="500" w:lineRule="exact"/>
              <w:rPr>
                <w:rFonts w:ascii="宋体" w:hAnsi="宋体" w:eastAsia="宋体" w:cs="宋体"/>
                <w:szCs w:val="21"/>
              </w:rPr>
            </w:pPr>
          </w:p>
        </w:tc>
        <w:tc>
          <w:tcPr>
            <w:tcW w:w="6607" w:type="dxa"/>
            <w:vAlign w:val="center"/>
          </w:tcPr>
          <w:p>
            <w:pPr>
              <w:spacing w:line="400" w:lineRule="exact"/>
              <w:rPr>
                <w:rFonts w:ascii="宋体" w:hAnsi="宋体" w:eastAsia="宋体" w:cs="宋体"/>
                <w:color w:val="000000"/>
                <w:szCs w:val="21"/>
              </w:rPr>
            </w:pPr>
            <w:r>
              <w:rPr>
                <w:rFonts w:hint="eastAsia" w:ascii="宋体" w:hAnsi="宋体" w:eastAsia="宋体" w:cs="宋体"/>
                <w:color w:val="000000"/>
                <w:szCs w:val="21"/>
              </w:rPr>
              <w:t>本项目的磋商保证金为人民币</w:t>
            </w:r>
            <w:r>
              <w:rPr>
                <w:rFonts w:hint="eastAsia" w:ascii="宋体" w:hAnsi="宋体" w:eastAsia="宋体" w:cs="宋体"/>
                <w:color w:val="000000"/>
                <w:szCs w:val="21"/>
                <w:u w:val="single"/>
                <w:lang w:val="en-US" w:eastAsia="zh-CN"/>
              </w:rPr>
              <w:t>15000.00</w:t>
            </w:r>
            <w:r>
              <w:rPr>
                <w:rFonts w:hint="eastAsia" w:ascii="宋体" w:hAnsi="宋体" w:eastAsia="宋体" w:cs="宋体"/>
                <w:color w:val="000000"/>
                <w:szCs w:val="21"/>
              </w:rPr>
              <w:t>元（人民币），提交方式为：保证金应以转账、电汇、支票、汇票、本票或者金融机构、担保机构出具的保函等非现金形式提交。</w:t>
            </w:r>
          </w:p>
          <w:p>
            <w:pPr>
              <w:spacing w:line="400" w:lineRule="exact"/>
              <w:rPr>
                <w:rFonts w:ascii="宋体" w:hAnsi="宋体" w:eastAsia="宋体" w:cs="宋体"/>
                <w:color w:val="000000"/>
                <w:szCs w:val="21"/>
              </w:rPr>
            </w:pPr>
            <w:r>
              <w:rPr>
                <w:rFonts w:hint="eastAsia" w:ascii="宋体" w:hAnsi="宋体" w:eastAsia="宋体" w:cs="宋体"/>
                <w:color w:val="000000"/>
                <w:szCs w:val="21"/>
              </w:rPr>
              <w:t>接受投标保证金的银行及帐号：</w:t>
            </w:r>
          </w:p>
          <w:p>
            <w:pPr>
              <w:spacing w:line="400" w:lineRule="exact"/>
              <w:rPr>
                <w:rFonts w:ascii="宋体" w:hAnsi="宋体" w:eastAsia="宋体" w:cs="宋体"/>
                <w:color w:val="000000"/>
                <w:szCs w:val="21"/>
              </w:rPr>
            </w:pPr>
            <w:r>
              <w:rPr>
                <w:rFonts w:hint="eastAsia" w:ascii="宋体" w:hAnsi="宋体" w:eastAsia="宋体" w:cs="宋体"/>
                <w:color w:val="000000"/>
                <w:szCs w:val="21"/>
              </w:rPr>
              <w:t>开户名称：新疆泽源和忻项目管理咨询有限公司阿勒泰分公司</w:t>
            </w:r>
          </w:p>
          <w:p>
            <w:pPr>
              <w:spacing w:line="400" w:lineRule="exact"/>
              <w:rPr>
                <w:rFonts w:ascii="宋体" w:hAnsi="宋体" w:eastAsia="宋体" w:cs="宋体"/>
                <w:color w:val="000000"/>
                <w:szCs w:val="21"/>
              </w:rPr>
            </w:pPr>
            <w:r>
              <w:rPr>
                <w:rFonts w:hint="eastAsia" w:ascii="宋体" w:hAnsi="宋体" w:eastAsia="宋体" w:cs="宋体"/>
                <w:color w:val="000000"/>
                <w:szCs w:val="21"/>
              </w:rPr>
              <w:t xml:space="preserve">开户银行：中国农业银行股份有限公司阿勒泰团结路支行 </w:t>
            </w:r>
          </w:p>
          <w:p>
            <w:pPr>
              <w:spacing w:line="400" w:lineRule="exact"/>
              <w:rPr>
                <w:rFonts w:ascii="宋体" w:hAnsi="宋体" w:eastAsia="宋体" w:cs="宋体"/>
                <w:color w:val="000000"/>
                <w:szCs w:val="21"/>
              </w:rPr>
            </w:pPr>
            <w:r>
              <w:rPr>
                <w:rFonts w:hint="eastAsia" w:ascii="宋体" w:hAnsi="宋体" w:eastAsia="宋体" w:cs="宋体"/>
                <w:color w:val="000000"/>
                <w:szCs w:val="21"/>
              </w:rPr>
              <w:t>帐    号：30151101040006135</w:t>
            </w:r>
          </w:p>
          <w:p>
            <w:pPr>
              <w:spacing w:line="400" w:lineRule="exact"/>
              <w:rPr>
                <w:rFonts w:ascii="宋体" w:hAnsi="宋体" w:eastAsia="宋体" w:cs="宋体"/>
                <w:szCs w:val="21"/>
              </w:rPr>
            </w:pPr>
            <w:r>
              <w:rPr>
                <w:rFonts w:hint="eastAsia" w:ascii="宋体" w:hAnsi="宋体" w:eastAsia="宋体" w:cs="宋体"/>
                <w:color w:val="000000"/>
                <w:szCs w:val="21"/>
              </w:rPr>
              <w:t>注：投标保证金须在2022年5月</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日11：00前到帐。否则投标不予受理。供应商按上述要求从基本户递交投标保证金后，请携带银行电汇或转账凭据到阿勒泰市东风路翡翠湾小区2栋5层3号领取招标代理机构开具的投标保证金收款收据。供应商在开具保函支付保费时，必须从投标人基本账户支付，并将保费支付凭证列入投标文件并加盖公章由评标委员会查验，否则视为未从基本账户缴纳投标保证金否则投标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Merge w:val="continue"/>
            <w:vAlign w:val="center"/>
          </w:tcPr>
          <w:p>
            <w:pPr>
              <w:spacing w:line="500" w:lineRule="exact"/>
              <w:rPr>
                <w:rFonts w:ascii="宋体" w:hAnsi="宋体" w:eastAsia="宋体" w:cs="宋体"/>
                <w:szCs w:val="21"/>
              </w:rPr>
            </w:pPr>
          </w:p>
        </w:tc>
        <w:tc>
          <w:tcPr>
            <w:tcW w:w="1662" w:type="dxa"/>
            <w:vMerge w:val="continue"/>
            <w:vAlign w:val="center"/>
          </w:tcPr>
          <w:p>
            <w:pPr>
              <w:spacing w:line="500" w:lineRule="exact"/>
              <w:rPr>
                <w:rFonts w:ascii="宋体" w:hAnsi="宋体" w:eastAsia="宋体" w:cs="宋体"/>
                <w:szCs w:val="21"/>
              </w:rPr>
            </w:pPr>
          </w:p>
        </w:tc>
        <w:tc>
          <w:tcPr>
            <w:tcW w:w="6607" w:type="dxa"/>
            <w:vAlign w:val="center"/>
          </w:tcPr>
          <w:p>
            <w:pPr>
              <w:rPr>
                <w:rFonts w:ascii="宋体" w:hAnsi="宋体" w:eastAsia="宋体" w:cs="宋体"/>
                <w:szCs w:val="21"/>
              </w:rPr>
            </w:pPr>
            <w:r>
              <w:rPr>
                <w:rFonts w:hint="eastAsia" w:ascii="宋体" w:hAnsi="宋体" w:eastAsia="宋体" w:cs="宋体"/>
                <w:szCs w:val="21"/>
              </w:rPr>
              <w:t>注：以电汇方式递交磋商保证金，保证金</w:t>
            </w:r>
            <w:r>
              <w:rPr>
                <w:rFonts w:hint="eastAsia" w:ascii="宋体" w:hAnsi="Courier New" w:eastAsia="宋体" w:cs="Courier New"/>
                <w:color w:val="000000"/>
                <w:szCs w:val="21"/>
              </w:rPr>
              <w:t>打款时需备注“项目名称”，保证金以到账时间为准</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22</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磋商响应有效期</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u w:val="single"/>
              </w:rPr>
              <w:t>__30_</w:t>
            </w:r>
            <w:r>
              <w:rPr>
                <w:rFonts w:hint="eastAsia" w:ascii="宋体" w:hAnsi="宋体" w:eastAsia="宋体" w:cs="宋体"/>
                <w:szCs w:val="21"/>
              </w:rPr>
              <w:t>_日(日历日)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23</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响应文件份数</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正本</w:t>
            </w:r>
            <w:r>
              <w:rPr>
                <w:rFonts w:hint="eastAsia" w:ascii="宋体" w:hAnsi="宋体" w:eastAsia="宋体" w:cs="宋体"/>
                <w:szCs w:val="21"/>
                <w:u w:val="single"/>
              </w:rPr>
              <w:t>1</w:t>
            </w:r>
            <w:r>
              <w:rPr>
                <w:rFonts w:hint="eastAsia" w:ascii="宋体" w:hAnsi="宋体" w:eastAsia="宋体" w:cs="宋体"/>
                <w:szCs w:val="21"/>
              </w:rPr>
              <w:t>份</w:t>
            </w:r>
          </w:p>
          <w:p>
            <w:pPr>
              <w:spacing w:line="500" w:lineRule="exact"/>
              <w:rPr>
                <w:rFonts w:ascii="宋体" w:hAnsi="宋体" w:eastAsia="宋体" w:cs="宋体"/>
                <w:szCs w:val="21"/>
              </w:rPr>
            </w:pPr>
            <w:r>
              <w:rPr>
                <w:rFonts w:hint="eastAsia" w:ascii="宋体" w:hAnsi="宋体" w:eastAsia="宋体" w:cs="宋体"/>
                <w:szCs w:val="21"/>
              </w:rPr>
              <w:t>副本</w:t>
            </w:r>
            <w:r>
              <w:rPr>
                <w:rFonts w:hint="eastAsia" w:ascii="宋体" w:hAnsi="宋体" w:eastAsia="宋体" w:cs="宋体"/>
                <w:szCs w:val="21"/>
                <w:u w:val="single"/>
              </w:rPr>
              <w:t>2</w:t>
            </w:r>
            <w:r>
              <w:rPr>
                <w:rFonts w:hint="eastAsia" w:ascii="宋体" w:hAnsi="宋体" w:eastAsia="宋体" w:cs="宋体"/>
                <w:szCs w:val="21"/>
              </w:rPr>
              <w:t>份</w:t>
            </w:r>
          </w:p>
          <w:p>
            <w:pPr>
              <w:spacing w:line="500" w:lineRule="exact"/>
              <w:rPr>
                <w:rFonts w:ascii="宋体" w:hAnsi="宋体" w:eastAsia="宋体" w:cs="宋体"/>
                <w:szCs w:val="21"/>
              </w:rPr>
            </w:pPr>
            <w:r>
              <w:rPr>
                <w:rFonts w:hint="eastAsia" w:ascii="宋体" w:hAnsi="宋体" w:eastAsia="宋体" w:cs="宋体"/>
                <w:szCs w:val="21"/>
              </w:rPr>
              <w:t>电子文件</w:t>
            </w:r>
            <w:r>
              <w:rPr>
                <w:rFonts w:hint="eastAsia" w:ascii="宋体" w:hAnsi="宋体" w:eastAsia="宋体" w:cs="宋体"/>
                <w:szCs w:val="21"/>
                <w:u w:val="single"/>
              </w:rPr>
              <w:t xml:space="preserve"> 3 </w:t>
            </w:r>
            <w:r>
              <w:rPr>
                <w:rFonts w:hint="eastAsia" w:ascii="宋体" w:hAnsi="宋体" w:eastAsia="宋体" w:cs="宋体"/>
                <w:szCs w:val="21"/>
              </w:rPr>
              <w:t>份：电子光盘2份，U盘1份，(</w:t>
            </w:r>
            <w:r>
              <w:rPr>
                <w:rFonts w:hint="eastAsia" w:ascii="MS Mincho" w:hAnsi="MS Mincho" w:eastAsia="MS Mincho" w:cs="MS Mincho"/>
                <w:szCs w:val="21"/>
              </w:rPr>
              <w:t>☑</w:t>
            </w:r>
            <w:r>
              <w:rPr>
                <w:rFonts w:hint="eastAsia" w:ascii="宋体" w:hAnsi="宋体" w:eastAsia="宋体" w:cs="宋体"/>
                <w:szCs w:val="21"/>
              </w:rPr>
              <w:t>扫描件(PDF格式，必须与响应文件正本一致)，□ Word，可多选)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24</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响应文件封套上应载明的信息</w:t>
            </w:r>
          </w:p>
        </w:tc>
        <w:tc>
          <w:tcPr>
            <w:tcW w:w="6607" w:type="dxa"/>
            <w:vAlign w:val="center"/>
          </w:tcPr>
          <w:p>
            <w:pPr>
              <w:spacing w:line="500" w:lineRule="exact"/>
              <w:rPr>
                <w:rFonts w:ascii="宋体" w:hAnsi="宋体" w:eastAsia="宋体" w:cs="宋体"/>
                <w:color w:val="auto"/>
                <w:szCs w:val="21"/>
                <w:u w:val="single"/>
              </w:rPr>
            </w:pPr>
            <w:r>
              <w:rPr>
                <w:rFonts w:hint="eastAsia" w:ascii="宋体" w:hAnsi="宋体" w:eastAsia="宋体" w:cs="宋体"/>
                <w:color w:val="auto"/>
                <w:szCs w:val="21"/>
              </w:rPr>
              <w:t>项目名称：</w:t>
            </w:r>
            <w:r>
              <w:rPr>
                <w:rFonts w:hint="eastAsia" w:ascii="宋体" w:hAnsi="宋体" w:eastAsia="宋体" w:cs="宋体"/>
                <w:color w:val="auto"/>
                <w:szCs w:val="21"/>
                <w:u w:val="single"/>
              </w:rPr>
              <w:t>哈巴河县城市管理服务平台建设项目--监理</w:t>
            </w:r>
          </w:p>
          <w:p>
            <w:pPr>
              <w:spacing w:line="500" w:lineRule="exact"/>
              <w:rPr>
                <w:rFonts w:hint="eastAsia" w:ascii="宋体" w:hAnsi="宋体" w:eastAsia="宋体" w:cs="宋体"/>
                <w:color w:val="auto"/>
                <w:szCs w:val="21"/>
              </w:rPr>
            </w:pPr>
            <w:r>
              <w:rPr>
                <w:rFonts w:hint="eastAsia" w:ascii="宋体" w:hAnsi="宋体" w:eastAsia="宋体" w:cs="宋体"/>
                <w:color w:val="auto"/>
                <w:szCs w:val="21"/>
              </w:rPr>
              <w:t>项目编号：</w:t>
            </w:r>
          </w:p>
          <w:p>
            <w:pPr>
              <w:spacing w:line="5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投标人名称：</w:t>
            </w:r>
          </w:p>
          <w:p>
            <w:pPr>
              <w:spacing w:line="5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法定代表人或授权委托人签字或盖章：</w:t>
            </w:r>
          </w:p>
          <w:p>
            <w:pPr>
              <w:spacing w:line="500" w:lineRule="exact"/>
              <w:rPr>
                <w:rFonts w:ascii="宋体" w:hAnsi="宋体" w:eastAsia="宋体" w:cs="宋体"/>
                <w:color w:val="auto"/>
                <w:szCs w:val="21"/>
              </w:rPr>
            </w:pPr>
            <w:r>
              <w:rPr>
                <w:rFonts w:hint="eastAsia" w:ascii="宋体" w:hAnsi="宋体" w:eastAsia="宋体" w:cs="宋体"/>
                <w:color w:val="auto"/>
                <w:szCs w:val="21"/>
                <w:u w:val="single"/>
              </w:rPr>
              <w:t>2022</w:t>
            </w:r>
            <w:r>
              <w:rPr>
                <w:rFonts w:hint="eastAsia" w:ascii="宋体" w:hAnsi="宋体" w:eastAsia="宋体" w:cs="宋体"/>
                <w:color w:val="auto"/>
                <w:szCs w:val="21"/>
              </w:rPr>
              <w:t>年</w:t>
            </w:r>
            <w:r>
              <w:rPr>
                <w:rFonts w:hint="eastAsia" w:ascii="宋体" w:hAnsi="宋体" w:eastAsia="宋体" w:cs="宋体"/>
                <w:color w:val="auto"/>
                <w:szCs w:val="21"/>
                <w:u w:val="single"/>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w:t>
            </w:r>
            <w:r>
              <w:rPr>
                <w:rFonts w:hint="eastAsia" w:ascii="宋体" w:hAnsi="宋体" w:eastAsia="宋体" w:cs="宋体"/>
                <w:color w:val="auto"/>
                <w:szCs w:val="21"/>
                <w:u w:val="single"/>
              </w:rPr>
              <w:t xml:space="preserve"> 11 </w:t>
            </w:r>
            <w:r>
              <w:rPr>
                <w:rFonts w:hint="eastAsia" w:ascii="宋体" w:hAnsi="宋体" w:eastAsia="宋体" w:cs="宋体"/>
                <w:color w:val="auto"/>
                <w:szCs w:val="21"/>
              </w:rPr>
              <w:t>时</w:t>
            </w:r>
            <w:r>
              <w:rPr>
                <w:rFonts w:hint="eastAsia" w:ascii="宋体" w:hAnsi="宋体" w:eastAsia="宋体" w:cs="宋体"/>
                <w:color w:val="auto"/>
                <w:szCs w:val="21"/>
                <w:u w:val="single"/>
              </w:rPr>
              <w:t xml:space="preserve"> 00</w:t>
            </w:r>
            <w:r>
              <w:rPr>
                <w:rFonts w:hint="eastAsia" w:ascii="宋体" w:hAnsi="宋体" w:eastAsia="宋体" w:cs="宋体"/>
                <w:color w:val="auto"/>
                <w:szCs w:val="21"/>
              </w:rPr>
              <w:t>分前不得拆封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25</w:t>
            </w:r>
          </w:p>
        </w:tc>
        <w:tc>
          <w:tcPr>
            <w:tcW w:w="1662" w:type="dxa"/>
            <w:vAlign w:val="center"/>
          </w:tcPr>
          <w:p>
            <w:pPr>
              <w:spacing w:line="500" w:lineRule="exact"/>
              <w:rPr>
                <w:rFonts w:ascii="宋体" w:hAnsi="宋体" w:eastAsia="宋体" w:cs="宋体"/>
                <w:szCs w:val="21"/>
              </w:rPr>
            </w:pPr>
            <w:r>
              <w:rPr>
                <w:rFonts w:hint="eastAsia" w:ascii="宋体" w:hAnsi="宋体"/>
                <w:b/>
                <w:bCs/>
                <w:kern w:val="0"/>
                <w:sz w:val="24"/>
              </w:rPr>
              <w:t>查验证件</w:t>
            </w:r>
          </w:p>
        </w:tc>
        <w:tc>
          <w:tcPr>
            <w:tcW w:w="6607" w:type="dxa"/>
            <w:vAlign w:val="center"/>
          </w:tcPr>
          <w:p>
            <w:pPr>
              <w:spacing w:line="350" w:lineRule="exact"/>
              <w:rPr>
                <w:rFonts w:ascii="宋体" w:hAnsi="宋体"/>
                <w:color w:val="auto"/>
                <w:szCs w:val="21"/>
              </w:rPr>
            </w:pPr>
            <w:r>
              <w:rPr>
                <w:rFonts w:hint="eastAsia" w:ascii="宋体" w:hAnsi="宋体"/>
                <w:color w:val="auto"/>
                <w:szCs w:val="21"/>
              </w:rPr>
              <w:t>开标前，请各投标人随身携带下列有效证件以备随时查验：</w:t>
            </w:r>
          </w:p>
          <w:p>
            <w:pPr>
              <w:numPr>
                <w:ilvl w:val="0"/>
                <w:numId w:val="3"/>
              </w:numPr>
              <w:spacing w:line="350" w:lineRule="exact"/>
              <w:rPr>
                <w:rFonts w:ascii="宋体" w:hAnsi="宋体"/>
                <w:b/>
                <w:bCs/>
                <w:color w:val="auto"/>
                <w:szCs w:val="21"/>
              </w:rPr>
            </w:pPr>
            <w:r>
              <w:rPr>
                <w:rFonts w:hint="eastAsia" w:ascii="宋体" w:hAnsi="宋体"/>
                <w:b/>
                <w:bCs/>
                <w:color w:val="auto"/>
                <w:szCs w:val="21"/>
              </w:rPr>
              <w:t>企业法人证明或法定代表人授权委托书及委托代理人身份证；法定代表人授权委托书应当单独提供，并与投标文件中所提供的相一致。以上证件均应当为原件；</w:t>
            </w:r>
          </w:p>
          <w:p>
            <w:pPr>
              <w:numPr>
                <w:ilvl w:val="0"/>
                <w:numId w:val="3"/>
              </w:numPr>
              <w:spacing w:line="350" w:lineRule="exact"/>
              <w:rPr>
                <w:rFonts w:ascii="宋体" w:hAnsi="宋体"/>
                <w:b/>
                <w:bCs/>
                <w:color w:val="auto"/>
                <w:szCs w:val="21"/>
              </w:rPr>
            </w:pPr>
            <w:r>
              <w:rPr>
                <w:rFonts w:hint="eastAsia" w:ascii="宋体" w:hAnsi="宋体"/>
                <w:b/>
                <w:bCs/>
                <w:color w:val="auto"/>
                <w:szCs w:val="21"/>
              </w:rPr>
              <w:t>企业有效营业执照副本原件</w:t>
            </w:r>
            <w:r>
              <w:rPr>
                <w:rFonts w:hint="eastAsia" w:ascii="宋体" w:hAnsi="宋体"/>
                <w:b/>
                <w:bCs/>
                <w:color w:val="auto"/>
                <w:szCs w:val="21"/>
                <w:lang w:eastAsia="zh-CN"/>
              </w:rPr>
              <w:t>或彩印件</w:t>
            </w:r>
          </w:p>
          <w:p>
            <w:pPr>
              <w:numPr>
                <w:ilvl w:val="0"/>
                <w:numId w:val="3"/>
              </w:numPr>
              <w:spacing w:line="350" w:lineRule="exact"/>
              <w:rPr>
                <w:rFonts w:ascii="宋体" w:hAnsi="宋体"/>
                <w:b/>
                <w:bCs/>
                <w:color w:val="auto"/>
                <w:szCs w:val="21"/>
              </w:rPr>
            </w:pPr>
            <w:r>
              <w:rPr>
                <w:rFonts w:hint="eastAsia" w:ascii="宋体" w:hAnsi="宋体"/>
                <w:b/>
                <w:bCs/>
                <w:color w:val="auto"/>
                <w:szCs w:val="21"/>
              </w:rPr>
              <w:t>本工程拟派总监的证书原件</w:t>
            </w:r>
            <w:r>
              <w:rPr>
                <w:rFonts w:hint="eastAsia" w:ascii="宋体" w:hAnsi="宋体"/>
                <w:b/>
                <w:bCs/>
                <w:color w:val="auto"/>
                <w:szCs w:val="21"/>
                <w:lang w:eastAsia="zh-CN"/>
              </w:rPr>
              <w:t>或彩印件</w:t>
            </w:r>
            <w:r>
              <w:rPr>
                <w:rFonts w:hint="eastAsia" w:ascii="宋体" w:hAnsi="宋体"/>
                <w:b/>
                <w:bCs/>
                <w:color w:val="auto"/>
                <w:szCs w:val="21"/>
              </w:rPr>
              <w:t>；</w:t>
            </w:r>
          </w:p>
          <w:p>
            <w:pPr>
              <w:numPr>
                <w:ilvl w:val="0"/>
                <w:numId w:val="3"/>
              </w:numPr>
              <w:spacing w:line="350" w:lineRule="exact"/>
              <w:rPr>
                <w:color w:val="auto"/>
                <w:szCs w:val="21"/>
              </w:rPr>
            </w:pPr>
            <w:r>
              <w:rPr>
                <w:rFonts w:hint="eastAsia" w:ascii="宋体" w:hAnsi="宋体"/>
                <w:b/>
                <w:bCs/>
                <w:color w:val="auto"/>
                <w:szCs w:val="21"/>
              </w:rPr>
              <w:t>信用查询；</w:t>
            </w:r>
          </w:p>
          <w:p>
            <w:pPr>
              <w:numPr>
                <w:ilvl w:val="0"/>
                <w:numId w:val="3"/>
              </w:numPr>
              <w:spacing w:line="350" w:lineRule="exact"/>
              <w:rPr>
                <w:color w:val="auto"/>
                <w:szCs w:val="21"/>
              </w:rPr>
            </w:pPr>
            <w:r>
              <w:rPr>
                <w:rFonts w:hint="eastAsia" w:ascii="宋体" w:hAnsi="宋体"/>
                <w:b/>
                <w:bCs/>
                <w:color w:val="auto"/>
                <w:szCs w:val="21"/>
              </w:rPr>
              <w:t>保证金收据原件；</w:t>
            </w:r>
          </w:p>
          <w:p>
            <w:pPr>
              <w:spacing w:line="500" w:lineRule="exact"/>
              <w:rPr>
                <w:rFonts w:ascii="宋体" w:hAnsi="宋体" w:eastAsia="宋体" w:cs="宋体"/>
                <w:color w:val="auto"/>
                <w:szCs w:val="21"/>
                <w:u w:val="single"/>
              </w:rPr>
            </w:pPr>
            <w:r>
              <w:rPr>
                <w:rFonts w:hint="eastAsia" w:ascii="宋体" w:hAnsi="宋体"/>
                <w:color w:val="auto"/>
                <w:szCs w:val="21"/>
              </w:rPr>
              <w:t>证件齐全、满足要求的供应商为有效供应商。上述证件的公证件，本次招标不予认可。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26</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信用查询</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27</w:t>
            </w:r>
          </w:p>
        </w:tc>
        <w:tc>
          <w:tcPr>
            <w:tcW w:w="1662" w:type="dxa"/>
            <w:vAlign w:val="center"/>
          </w:tcPr>
          <w:p>
            <w:pPr>
              <w:rPr>
                <w:rFonts w:ascii="宋体" w:hAnsi="宋体" w:eastAsia="宋体" w:cs="宋体"/>
                <w:szCs w:val="21"/>
              </w:rPr>
            </w:pPr>
            <w:r>
              <w:rPr>
                <w:rFonts w:hint="eastAsia" w:ascii="宋体" w:hAnsi="宋体" w:eastAsia="宋体" w:cs="宋体"/>
                <w:szCs w:val="21"/>
              </w:rPr>
              <w:t>提供服务的时间、地点、服务项目期限</w:t>
            </w:r>
          </w:p>
        </w:tc>
        <w:tc>
          <w:tcPr>
            <w:tcW w:w="6607" w:type="dxa"/>
            <w:vAlign w:val="center"/>
          </w:tcPr>
          <w:p>
            <w:pPr>
              <w:rPr>
                <w:rFonts w:ascii="宋体" w:hAnsi="宋体" w:eastAsia="宋体" w:cs="宋体"/>
                <w:szCs w:val="21"/>
              </w:rPr>
            </w:pPr>
            <w:r>
              <w:rPr>
                <w:rFonts w:hint="eastAsia" w:ascii="宋体" w:hAnsi="宋体" w:eastAsia="宋体" w:cs="宋体"/>
                <w:szCs w:val="21"/>
              </w:rPr>
              <w:t>提供服务的时间、地点：</w:t>
            </w:r>
            <w:r>
              <w:rPr>
                <w:rFonts w:hint="eastAsia" w:ascii="宋体" w:hAnsi="宋体" w:eastAsia="宋体" w:cs="宋体"/>
                <w:color w:val="000000"/>
                <w:szCs w:val="21"/>
              </w:rPr>
              <w:t>以甲方签订合同为准</w:t>
            </w:r>
          </w:p>
          <w:p>
            <w:pPr>
              <w:rPr>
                <w:rFonts w:ascii="宋体" w:hAnsi="宋体" w:eastAsia="宋体" w:cs="宋体"/>
                <w:szCs w:val="21"/>
              </w:rPr>
            </w:pPr>
            <w:r>
              <w:rPr>
                <w:rFonts w:hint="eastAsia" w:ascii="宋体" w:hAnsi="宋体" w:eastAsia="宋体" w:cs="宋体"/>
                <w:szCs w:val="21"/>
              </w:rPr>
              <w:t>项目服务期限：</w:t>
            </w:r>
            <w:r>
              <w:rPr>
                <w:rFonts w:hint="eastAsia" w:ascii="宋体" w:hAnsi="宋体" w:eastAsia="宋体" w:cs="宋体"/>
                <w:color w:val="000000"/>
                <w:szCs w:val="21"/>
              </w:rPr>
              <w:t>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28</w:t>
            </w:r>
          </w:p>
        </w:tc>
        <w:tc>
          <w:tcPr>
            <w:tcW w:w="1662" w:type="dxa"/>
            <w:vAlign w:val="center"/>
          </w:tcPr>
          <w:p>
            <w:pPr>
              <w:rPr>
                <w:rFonts w:ascii="宋体" w:hAnsi="宋体" w:eastAsia="宋体" w:cs="宋体"/>
                <w:szCs w:val="21"/>
              </w:rPr>
            </w:pPr>
            <w:r>
              <w:rPr>
                <w:rFonts w:hint="eastAsia" w:ascii="宋体" w:hAnsi="宋体" w:eastAsia="宋体" w:cs="宋体"/>
                <w:szCs w:val="21"/>
              </w:rPr>
              <w:t>采购资金的支付方式和时间</w:t>
            </w:r>
          </w:p>
        </w:tc>
        <w:tc>
          <w:tcPr>
            <w:tcW w:w="6607" w:type="dxa"/>
            <w:vAlign w:val="center"/>
          </w:tcPr>
          <w:p>
            <w:pPr>
              <w:spacing w:line="400" w:lineRule="exact"/>
              <w:rPr>
                <w:rFonts w:ascii="宋体" w:hAnsi="宋体" w:eastAsia="宋体" w:cs="宋体"/>
                <w:color w:val="000000"/>
                <w:szCs w:val="21"/>
              </w:rPr>
            </w:pPr>
            <w:r>
              <w:rPr>
                <w:rFonts w:hint="eastAsia" w:ascii="宋体" w:hAnsi="宋体" w:eastAsia="宋体" w:cs="宋体"/>
                <w:szCs w:val="21"/>
              </w:rPr>
              <w:t>①</w:t>
            </w:r>
            <w:r>
              <w:rPr>
                <w:rFonts w:hint="eastAsia" w:ascii="宋体" w:hAnsi="宋体" w:eastAsia="宋体" w:cs="宋体"/>
                <w:color w:val="000000"/>
                <w:szCs w:val="21"/>
              </w:rPr>
              <w:t>方式：以甲方签订合同为准</w:t>
            </w:r>
          </w:p>
          <w:p>
            <w:pPr>
              <w:rPr>
                <w:rFonts w:ascii="宋体" w:hAnsi="宋体" w:eastAsia="宋体" w:cs="宋体"/>
                <w:szCs w:val="21"/>
              </w:rPr>
            </w:pPr>
            <w:r>
              <w:rPr>
                <w:rFonts w:hint="eastAsia" w:ascii="宋体" w:hAnsi="宋体" w:eastAsia="宋体" w:cs="宋体"/>
                <w:color w:val="000000"/>
                <w:szCs w:val="21"/>
              </w:rPr>
              <w:t>②时间：以甲方签订合同为准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29</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采购代理服务费</w:t>
            </w:r>
          </w:p>
        </w:tc>
        <w:tc>
          <w:tcPr>
            <w:tcW w:w="6607" w:type="dxa"/>
            <w:vAlign w:val="center"/>
          </w:tcPr>
          <w:p>
            <w:pPr>
              <w:spacing w:line="500" w:lineRule="exact"/>
              <w:rPr>
                <w:rFonts w:ascii="宋体" w:hAnsi="宋体" w:eastAsia="宋体" w:cs="宋体"/>
                <w:szCs w:val="21"/>
              </w:rPr>
            </w:pPr>
            <w:r>
              <w:rPr>
                <w:rFonts w:hint="eastAsia" w:ascii="宋体" w:hAnsi="宋体" w:eastAsia="宋体" w:cs="宋体"/>
                <w:szCs w:val="21"/>
              </w:rPr>
              <w:t>以中标金额参照原国家计委［2002］1980号文件、发改价格[2011]534号文件和发改办价格[2003]857号文件的有关规定执行。本项目招标代理费由中标人参照以上规定支付。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ascii="宋体" w:hAnsi="宋体" w:eastAsia="宋体" w:cs="宋体"/>
                <w:szCs w:val="21"/>
              </w:rPr>
            </w:pPr>
            <w:r>
              <w:rPr>
                <w:rFonts w:hint="eastAsia" w:ascii="宋体" w:hAnsi="宋体" w:eastAsia="宋体" w:cs="宋体"/>
                <w:szCs w:val="21"/>
              </w:rPr>
              <w:t>30</w:t>
            </w:r>
          </w:p>
        </w:tc>
        <w:tc>
          <w:tcPr>
            <w:tcW w:w="1662" w:type="dxa"/>
            <w:vAlign w:val="center"/>
          </w:tcPr>
          <w:p>
            <w:pPr>
              <w:spacing w:line="500" w:lineRule="exact"/>
              <w:rPr>
                <w:rFonts w:ascii="宋体" w:hAnsi="宋体" w:eastAsia="宋体" w:cs="宋体"/>
                <w:szCs w:val="21"/>
              </w:rPr>
            </w:pPr>
            <w:r>
              <w:rPr>
                <w:rFonts w:hint="eastAsia" w:ascii="宋体" w:hAnsi="宋体" w:eastAsia="宋体" w:cs="宋体"/>
                <w:szCs w:val="21"/>
              </w:rPr>
              <w:t>备注</w:t>
            </w:r>
          </w:p>
        </w:tc>
        <w:tc>
          <w:tcPr>
            <w:tcW w:w="6607" w:type="dxa"/>
            <w:vAlign w:val="center"/>
          </w:tcPr>
          <w:p>
            <w:pPr>
              <w:spacing w:line="360" w:lineRule="auto"/>
              <w:rPr>
                <w:rFonts w:ascii="宋体" w:hAnsi="宋体"/>
                <w:szCs w:val="21"/>
              </w:rPr>
            </w:pPr>
            <w:r>
              <w:rPr>
                <w:rFonts w:hint="eastAsia" w:ascii="宋体" w:hAnsi="宋体"/>
                <w:szCs w:val="21"/>
              </w:rPr>
              <w:t>1.为保证本项目质量，良好的售后服务，最低磋商报价不作为中标的唯一依据。</w:t>
            </w:r>
          </w:p>
          <w:p>
            <w:pPr>
              <w:snapToGrid w:val="0"/>
              <w:spacing w:line="360" w:lineRule="auto"/>
              <w:rPr>
                <w:rFonts w:ascii="宋体" w:hAnsi="宋体"/>
                <w:szCs w:val="21"/>
              </w:rPr>
            </w:pPr>
            <w:r>
              <w:rPr>
                <w:rFonts w:hint="eastAsia" w:ascii="宋体" w:hAnsi="宋体"/>
                <w:szCs w:val="21"/>
              </w:rPr>
              <w:t>2.采购人若发现成交候选供应商在磋商过程中提供虚假证明文件，故意隐瞒公司不良信誉和财务状况，以及存在可能对合同圆满履行造成风险的其他因素等，则按规定取消其成交资格，监管部门依法进行处理。</w:t>
            </w:r>
          </w:p>
          <w:p>
            <w:pPr>
              <w:snapToGrid w:val="0"/>
              <w:spacing w:line="360" w:lineRule="auto"/>
              <w:rPr>
                <w:rFonts w:ascii="宋体" w:hAnsi="宋体"/>
                <w:szCs w:val="21"/>
              </w:rPr>
            </w:pPr>
            <w:r>
              <w:rPr>
                <w:rFonts w:ascii="宋体" w:hAnsi="宋体"/>
                <w:szCs w:val="21"/>
              </w:rPr>
              <w:t>3</w:t>
            </w:r>
            <w:r>
              <w:rPr>
                <w:rFonts w:hint="eastAsia" w:ascii="宋体" w:hAnsi="宋体"/>
                <w:szCs w:val="21"/>
              </w:rPr>
              <w:t>、望本项目供应商对企业业绩真实性负责，否则，将依法按规查处。如磋商文件出现前后不一致的情况，以供应商须知前附表为准，由此原因造成的否定其磋商资格情况，由供应商承担后果。</w:t>
            </w:r>
          </w:p>
          <w:p>
            <w:pPr>
              <w:spacing w:line="50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8" w:type="dxa"/>
            <w:vAlign w:val="center"/>
          </w:tcPr>
          <w:p>
            <w:pPr>
              <w:spacing w:line="500" w:lineRule="exact"/>
              <w:rPr>
                <w:rFonts w:hint="default" w:ascii="宋体" w:hAnsi="宋体" w:eastAsia="宋体" w:cs="宋体"/>
                <w:szCs w:val="21"/>
                <w:lang w:val="en-US" w:eastAsia="zh-CN"/>
              </w:rPr>
            </w:pPr>
            <w:r>
              <w:rPr>
                <w:rFonts w:hint="eastAsia" w:ascii="宋体" w:hAnsi="宋体" w:eastAsia="宋体" w:cs="宋体"/>
                <w:szCs w:val="21"/>
                <w:lang w:val="en-US" w:eastAsia="zh-CN"/>
              </w:rPr>
              <w:t>31</w:t>
            </w:r>
          </w:p>
        </w:tc>
        <w:tc>
          <w:tcPr>
            <w:tcW w:w="1662" w:type="dxa"/>
            <w:vAlign w:val="center"/>
          </w:tcPr>
          <w:p>
            <w:pPr>
              <w:spacing w:line="500" w:lineRule="exact"/>
              <w:rPr>
                <w:rFonts w:hint="eastAsia" w:ascii="宋体" w:hAnsi="宋体" w:eastAsia="宋体" w:cs="宋体"/>
                <w:szCs w:val="21"/>
                <w:lang w:eastAsia="zh-CN"/>
              </w:rPr>
            </w:pPr>
            <w:r>
              <w:rPr>
                <w:rFonts w:hint="eastAsia" w:ascii="宋体" w:hAnsi="宋体" w:eastAsia="宋体" w:cs="宋体"/>
                <w:szCs w:val="21"/>
                <w:lang w:eastAsia="zh-CN"/>
              </w:rPr>
              <w:t>履约保证金</w:t>
            </w:r>
          </w:p>
        </w:tc>
        <w:tc>
          <w:tcPr>
            <w:tcW w:w="6607" w:type="dxa"/>
            <w:vAlign w:val="center"/>
          </w:tcPr>
          <w:p>
            <w:pPr>
              <w:spacing w:line="500" w:lineRule="exact"/>
              <w:rPr>
                <w:rFonts w:hint="eastAsia" w:ascii="宋体" w:hAnsi="宋体" w:eastAsia="宋体" w:cs="宋体"/>
                <w:szCs w:val="21"/>
                <w:lang w:eastAsia="zh-CN"/>
              </w:rPr>
            </w:pPr>
            <w:r>
              <w:rPr>
                <w:rFonts w:hint="eastAsia" w:ascii="宋体" w:hAnsi="宋体" w:eastAsia="宋体" w:cs="宋体"/>
                <w:szCs w:val="21"/>
                <w:lang w:eastAsia="zh-CN"/>
              </w:rPr>
              <w:t>甲乙双方协商，不超过中标金额的10%</w:t>
            </w:r>
          </w:p>
        </w:tc>
      </w:tr>
    </w:tbl>
    <w:p>
      <w:pPr>
        <w:spacing w:line="500" w:lineRule="exact"/>
        <w:ind w:firstLine="420" w:firstLineChars="200"/>
        <w:rPr>
          <w:rFonts w:ascii="宋体" w:hAnsi="宋体" w:eastAsia="宋体" w:cs="宋体"/>
          <w:szCs w:val="21"/>
        </w:rPr>
      </w:pPr>
    </w:p>
    <w:p>
      <w:pPr>
        <w:spacing w:line="500" w:lineRule="exact"/>
        <w:ind w:firstLine="420" w:firstLineChars="200"/>
        <w:rPr>
          <w:rFonts w:ascii="宋体" w:hAnsi="宋体" w:eastAsia="宋体" w:cs="宋体"/>
          <w:szCs w:val="21"/>
        </w:rPr>
      </w:pPr>
      <w:r>
        <w:rPr>
          <w:rFonts w:hint="eastAsia" w:ascii="宋体" w:hAnsi="宋体" w:eastAsia="宋体" w:cs="宋体"/>
          <w:szCs w:val="21"/>
        </w:rPr>
        <w:br w:type="page"/>
      </w:r>
    </w:p>
    <w:p>
      <w:pPr>
        <w:keepNext/>
        <w:keepLines/>
        <w:spacing w:before="240" w:after="64" w:line="500" w:lineRule="exact"/>
        <w:jc w:val="center"/>
        <w:outlineLvl w:val="5"/>
        <w:rPr>
          <w:rFonts w:ascii="宋体" w:hAnsi="宋体" w:eastAsia="宋体" w:cs="宋体"/>
          <w:b/>
          <w:bCs/>
          <w:szCs w:val="21"/>
        </w:rPr>
      </w:pPr>
      <w:r>
        <w:rPr>
          <w:rFonts w:hint="eastAsia" w:ascii="宋体" w:hAnsi="宋体" w:eastAsia="宋体" w:cs="宋体"/>
          <w:b/>
          <w:bCs/>
          <w:szCs w:val="21"/>
        </w:rPr>
        <w:t>磋商须知正文</w:t>
      </w:r>
    </w:p>
    <w:p>
      <w:pPr>
        <w:spacing w:line="500" w:lineRule="exact"/>
        <w:ind w:firstLine="420" w:firstLineChars="200"/>
        <w:rPr>
          <w:rFonts w:ascii="宋体" w:hAnsi="宋体" w:eastAsia="宋体" w:cs="宋体"/>
          <w:szCs w:val="21"/>
        </w:rPr>
      </w:pPr>
      <w:r>
        <w:rPr>
          <w:rFonts w:hint="eastAsia" w:ascii="宋体" w:hAnsi="宋体" w:eastAsia="宋体" w:cs="宋体"/>
          <w:szCs w:val="21"/>
        </w:rPr>
        <w:t>一、总则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1.定义</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　“采购人”是指依法进行政府采购的国家机关、事业单位、团体组织。本次政府采购的采购人名称、地址、电话、联系人见磋商须知前附表。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　“采购代理机构”是指接受采购人委托，代理采购项目的集中采购机构和其他采购代理机构。本次政府采购的采购代理机构名称、地址、电话、联系人见磋商须知前附表。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　“供应商”是指响应磋商文件要求、参加磋商采购的法人、其他组织或者自然人。本次政府采购项目邀请的供应商通过磋商须知前附表所述方式产生。</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　“磋商小组”是依据《政府采购磋商采购方式管理暂行办法》有关规定组建，依法履行磋商采购活动职责的3人以上单数的磋商成员。</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　“货物”是指各种形态和种类的物品，包括原材料、燃料、设备、产品等。</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　“服务”是指除货物和工程以外的其他政府采购对象。</w:t>
      </w:r>
    </w:p>
    <w:p>
      <w:pPr>
        <w:spacing w:line="500" w:lineRule="exact"/>
        <w:ind w:firstLine="420" w:firstLineChars="200"/>
        <w:rPr>
          <w:rFonts w:ascii="宋体" w:hAnsi="宋体" w:eastAsia="宋体" w:cs="宋体"/>
          <w:szCs w:val="21"/>
        </w:rPr>
      </w:pPr>
      <w:r>
        <w:rPr>
          <w:rFonts w:hint="eastAsia" w:ascii="宋体" w:hAnsi="宋体" w:eastAsia="宋体" w:cs="宋体"/>
          <w:szCs w:val="21"/>
        </w:rPr>
        <w:t>1.7　“节能产品”或者“环保产品”是指国务院有关部门发布的《节能产品政府采购清单》或者《环境标志产品政府采购清单》的产品。</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　“进口产品”是指通过中国海关报关验放进入中国境内且产自关境外的产品。</w:t>
      </w:r>
    </w:p>
    <w:p>
      <w:pPr>
        <w:spacing w:line="500" w:lineRule="exact"/>
        <w:ind w:firstLine="420" w:firstLineChars="200"/>
        <w:rPr>
          <w:rFonts w:ascii="宋体" w:hAnsi="宋体" w:eastAsia="宋体" w:cs="宋体"/>
          <w:szCs w:val="21"/>
        </w:rPr>
      </w:pPr>
      <w:r>
        <w:rPr>
          <w:rFonts w:hint="eastAsia" w:ascii="宋体" w:hAnsi="宋体" w:eastAsia="宋体" w:cs="宋体"/>
          <w:szCs w:val="21"/>
        </w:rPr>
        <w:t>2.采购项目预算</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　本项目采购资金已列入政府采购预算，预算金额见磋商须知前附表。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3.供应商的资格要求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　供应商应当符合磋商须知前附表中规定的下列资格条件要求：</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1、投标人必须符合《中华人民共和国政府采购法》第二十二条规定。</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2、落实政府采购政策需满足的资格要求：该项目专门面向中小企业采购，企业需提供中小企业声明函原件。</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3、本项目的特定资格要求：</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3.1、提供有效的营业执照；</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3.2、具有健全的财务制度能够提供近一年（</w:t>
      </w:r>
      <w:r>
        <w:rPr>
          <w:rFonts w:hint="eastAsia" w:ascii="宋体" w:hAnsi="宋体" w:eastAsia="宋体" w:cs="宋体"/>
          <w:szCs w:val="21"/>
          <w:lang w:val="en-US" w:eastAsia="zh-CN"/>
        </w:rPr>
        <w:t>2020</w:t>
      </w:r>
      <w:r>
        <w:rPr>
          <w:rFonts w:hint="eastAsia" w:ascii="宋体" w:hAnsi="宋体" w:eastAsia="宋体" w:cs="宋体"/>
          <w:szCs w:val="21"/>
        </w:rPr>
        <w:t>年度或</w:t>
      </w:r>
      <w:r>
        <w:rPr>
          <w:rFonts w:hint="eastAsia" w:ascii="宋体" w:hAnsi="宋体" w:eastAsia="宋体" w:cs="宋体"/>
          <w:szCs w:val="21"/>
          <w:lang w:val="en-US" w:eastAsia="zh-CN"/>
        </w:rPr>
        <w:t>2021</w:t>
      </w:r>
      <w:r>
        <w:rPr>
          <w:rFonts w:hint="eastAsia" w:ascii="宋体" w:hAnsi="宋体" w:eastAsia="宋体" w:cs="宋体"/>
          <w:szCs w:val="21"/>
        </w:rPr>
        <w:t>年度）财务审计报告；</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3.3、近三年（2019 年5月1日至今）内承接并完成不少于一项类似信息化工程监理业绩，提供中标通知书或合同；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3.4、供应商未被列入“信用中国”网站中“记录失信被执行人或重大税收违法案件当事人名单或政府采购严重违法失信行为”的记录名单；</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3.5、企业法人证明及法定代表人身份证或法定代表人授权委托书及委托代理人身份证；</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3.6、项目总监要求：总监理工程师必须具备信息系统监理师证书或通信工程专业的注册监理工程师（证书需在有效期内）；</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3.7、本项目不接受联合体投标。</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 备注：与招标人存在利害关系且可能影响招标公正性的单位，不得参加投标。单位负责人为同一人或者存在控股、管理关系的不同单位，不得参加同一标段投标，否则，相关投标均无效。 3.1.2　政府强制采购资格条件。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3.1.3　其他特定资格条件。(详见磋商须知前附表)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　供应商存在下列情形之一的不得参加磋商：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4.参与磋商的费用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4.1　无论磋商的结果如何，供应商应自行承担所有与磋商采购活动有关的全部费用。</w:t>
      </w:r>
    </w:p>
    <w:p>
      <w:pPr>
        <w:spacing w:line="500" w:lineRule="exact"/>
        <w:ind w:firstLine="420" w:firstLineChars="200"/>
        <w:rPr>
          <w:rFonts w:ascii="宋体" w:hAnsi="宋体" w:eastAsia="宋体" w:cs="宋体"/>
          <w:szCs w:val="21"/>
        </w:rPr>
      </w:pPr>
      <w:r>
        <w:rPr>
          <w:rFonts w:hint="eastAsia" w:ascii="宋体" w:hAnsi="宋体" w:eastAsia="宋体" w:cs="宋体"/>
          <w:szCs w:val="21"/>
        </w:rPr>
        <w:t>5.授权委托</w:t>
      </w:r>
    </w:p>
    <w:p>
      <w:pPr>
        <w:spacing w:line="500" w:lineRule="exact"/>
        <w:ind w:firstLine="420" w:firstLineChars="200"/>
        <w:rPr>
          <w:rFonts w:ascii="宋体" w:hAnsi="宋体" w:eastAsia="宋体" w:cs="宋体"/>
          <w:szCs w:val="21"/>
        </w:rPr>
      </w:pPr>
      <w:r>
        <w:rPr>
          <w:rFonts w:hint="eastAsia" w:ascii="宋体" w:hAnsi="宋体" w:eastAsia="宋体" w:cs="宋体"/>
          <w:szCs w:val="21"/>
        </w:rPr>
        <w:t>5.1　供应商代表为供应商法定代表人的，应持有法定代表人身份证明。供应商代表不是供应商法定代表人的，应持有法定代表人授权书，并附授权代表的身份证明。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6.联合体形式</w:t>
      </w:r>
    </w:p>
    <w:p>
      <w:pPr>
        <w:spacing w:line="500" w:lineRule="exact"/>
        <w:ind w:firstLine="420" w:firstLineChars="200"/>
        <w:rPr>
          <w:rFonts w:ascii="宋体" w:hAnsi="宋体" w:eastAsia="宋体" w:cs="宋体"/>
          <w:szCs w:val="21"/>
        </w:rPr>
      </w:pPr>
      <w:r>
        <w:rPr>
          <w:rFonts w:hint="eastAsia" w:ascii="宋体" w:hAnsi="宋体" w:eastAsia="宋体" w:cs="宋体"/>
          <w:szCs w:val="21"/>
        </w:rPr>
        <w:t>6.1　本项目是否接受联合体参与及相关要求见磋商须知前附表。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6.2　供应商为联合体形式的，应同时遵守以下规定：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(1)联合体各方必须签订联合体协议书，明确联合体牵头人和各方权利、义务及分工、合同工作量比例；</w:t>
      </w:r>
    </w:p>
    <w:p>
      <w:pPr>
        <w:spacing w:line="500" w:lineRule="exact"/>
        <w:ind w:firstLine="420" w:firstLineChars="200"/>
        <w:rPr>
          <w:rFonts w:ascii="宋体" w:hAnsi="宋体" w:eastAsia="宋体" w:cs="宋体"/>
          <w:szCs w:val="21"/>
        </w:rPr>
      </w:pPr>
      <w:r>
        <w:rPr>
          <w:rFonts w:hint="eastAsia" w:ascii="宋体" w:hAnsi="宋体" w:eastAsia="宋体" w:cs="宋体"/>
          <w:szCs w:val="21"/>
        </w:rPr>
        <w:t>(2)联合体各方均应当符合本章第3.1款规定的供应商基本资格条件；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(3)除磋商须知前附表中另有规定，联合体各方中至少有一方应当符合本章第3.1款规定的供应商特定资格条件；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(4)联合体中有同类资质的供应商按照联合体分工承担相同工作的，应当按照资质等级较低的供应商确定资质等级；</w:t>
      </w:r>
    </w:p>
    <w:p>
      <w:pPr>
        <w:spacing w:line="500" w:lineRule="exact"/>
        <w:ind w:firstLine="420" w:firstLineChars="200"/>
        <w:rPr>
          <w:rFonts w:ascii="宋体" w:hAnsi="宋体" w:eastAsia="宋体" w:cs="宋体"/>
          <w:szCs w:val="21"/>
        </w:rPr>
      </w:pPr>
      <w:r>
        <w:rPr>
          <w:rFonts w:hint="eastAsia" w:ascii="宋体" w:hAnsi="宋体" w:eastAsia="宋体" w:cs="宋体"/>
          <w:szCs w:val="21"/>
        </w:rPr>
        <w:t>(5)联合体各方不得再单独或与其他供应商组成新的联合体参加同一项目的采购活动。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7.项目现场勘察</w:t>
      </w:r>
    </w:p>
    <w:p>
      <w:pPr>
        <w:spacing w:line="500" w:lineRule="exact"/>
        <w:ind w:firstLine="420" w:firstLineChars="200"/>
        <w:rPr>
          <w:rFonts w:ascii="宋体" w:hAnsi="宋体" w:eastAsia="宋体" w:cs="宋体"/>
          <w:szCs w:val="21"/>
        </w:rPr>
      </w:pPr>
      <w:r>
        <w:rPr>
          <w:rFonts w:hint="eastAsia" w:ascii="宋体" w:hAnsi="宋体" w:eastAsia="宋体" w:cs="宋体"/>
          <w:szCs w:val="21"/>
        </w:rPr>
        <w:t>7.1　本项目是否组织现场勘察见磋商须知前附表。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7.2　供应商应按磋商须知前附表中规定对采购项目现场和周围环境的现场考察。供应商未在指定时间进行勘察的，采购人不再另行组织。</w:t>
      </w:r>
    </w:p>
    <w:p>
      <w:pPr>
        <w:spacing w:line="500" w:lineRule="exact"/>
        <w:ind w:firstLine="420" w:firstLineChars="200"/>
        <w:rPr>
          <w:rFonts w:ascii="宋体" w:hAnsi="宋体" w:eastAsia="宋体" w:cs="宋体"/>
          <w:szCs w:val="21"/>
        </w:rPr>
      </w:pPr>
      <w:r>
        <w:rPr>
          <w:rFonts w:hint="eastAsia" w:ascii="宋体" w:hAnsi="宋体" w:eastAsia="宋体" w:cs="宋体"/>
          <w:szCs w:val="21"/>
        </w:rPr>
        <w:t>7.3　勘察现场的费用由供应商自己承担，勘察期间所发生的人身伤害及财产损失由供应商自己负责。</w:t>
      </w:r>
    </w:p>
    <w:p>
      <w:pPr>
        <w:spacing w:line="500" w:lineRule="exact"/>
        <w:ind w:firstLine="420" w:firstLineChars="200"/>
        <w:rPr>
          <w:rFonts w:ascii="宋体" w:hAnsi="宋体" w:eastAsia="宋体" w:cs="宋体"/>
          <w:szCs w:val="21"/>
        </w:rPr>
      </w:pPr>
      <w:r>
        <w:rPr>
          <w:rFonts w:hint="eastAsia" w:ascii="宋体" w:hAnsi="宋体" w:eastAsia="宋体" w:cs="宋体"/>
          <w:szCs w:val="21"/>
        </w:rPr>
        <w:t>7.4　采购人不对供应商据此而做出的推论、理解和结论负责。一旦成交，供应商不得以任何借口，提出额外补偿，或延长合同期限的要求。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8.采购进口产品</w:t>
      </w:r>
    </w:p>
    <w:p>
      <w:pPr>
        <w:spacing w:line="500" w:lineRule="exact"/>
        <w:ind w:firstLine="420" w:firstLineChars="200"/>
        <w:rPr>
          <w:rFonts w:ascii="宋体" w:hAnsi="宋体" w:eastAsia="宋体" w:cs="宋体"/>
          <w:szCs w:val="21"/>
        </w:rPr>
      </w:pPr>
      <w:r>
        <w:rPr>
          <w:rFonts w:hint="eastAsia" w:ascii="宋体" w:hAnsi="宋体" w:eastAsia="宋体" w:cs="宋体"/>
          <w:szCs w:val="21"/>
        </w:rPr>
        <w:t>8.1　本项目是否采购进口产品及相关要求见磋商须知前附表。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9.政府采购政策支持与其他规定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9.1　产品属于政府强制采购节能产品范围，必须将是否列入最新一期节能清单作为采购产品的资格条件。本项目的详细要求见磋商须知前附表。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9.2　对列入最新一期节能清单(非强制类)、环保清单内的产品，应分别予以相应的加分或价格扣除；对于同时列入“两个清单”的产品，应当优先于只获得其中一项认证的产品。本项目的详细要求见磋商须知前附表。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9.3　供应商享受支持中小企业发展政策优惠的，可用扣除后的最后报价参与价格比较。本项目价格扣除比例及相关要求见磋商须知前附表。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9.4　监狱企业视同小型、微型企业，享受促进中小企业发展政策优惠，可用扣除后的最后报价参与价格比较。本项目价格扣除比例及相关要求见磋商须知前附表。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9.6　其他法律法规强制性规定。本项目的详细要求见磋商须知前附表。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二、磋商文件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10.1磋商文件的组成</w:t>
      </w:r>
    </w:p>
    <w:p>
      <w:pPr>
        <w:spacing w:line="500" w:lineRule="exact"/>
        <w:ind w:firstLine="420" w:firstLineChars="200"/>
        <w:jc w:val="left"/>
        <w:rPr>
          <w:rFonts w:ascii="宋体" w:hAnsi="宋体" w:eastAsia="宋体" w:cs="宋体"/>
          <w:szCs w:val="21"/>
        </w:rPr>
      </w:pPr>
      <w:r>
        <w:rPr>
          <w:rFonts w:hint="eastAsia" w:ascii="宋体" w:hAnsi="宋体" w:eastAsia="宋体" w:cs="宋体"/>
          <w:szCs w:val="21"/>
        </w:rPr>
        <w:t>第一部分　商务部分</w:t>
      </w:r>
    </w:p>
    <w:p>
      <w:pPr>
        <w:numPr>
          <w:ilvl w:val="0"/>
          <w:numId w:val="4"/>
        </w:numPr>
        <w:spacing w:line="500" w:lineRule="exact"/>
        <w:rPr>
          <w:rFonts w:ascii="宋体" w:hAnsi="宋体" w:eastAsia="宋体" w:cs="宋体"/>
          <w:szCs w:val="21"/>
        </w:rPr>
      </w:pPr>
      <w:r>
        <w:rPr>
          <w:rFonts w:hint="eastAsia" w:ascii="宋体" w:hAnsi="宋体" w:eastAsia="宋体" w:cs="宋体"/>
          <w:szCs w:val="21"/>
        </w:rPr>
        <w:t>竞争性磋商公告</w:t>
      </w:r>
    </w:p>
    <w:p>
      <w:pPr>
        <w:numPr>
          <w:ilvl w:val="0"/>
          <w:numId w:val="4"/>
        </w:numPr>
        <w:spacing w:line="500" w:lineRule="exact"/>
        <w:rPr>
          <w:rFonts w:ascii="宋体" w:hAnsi="宋体" w:eastAsia="宋体" w:cs="宋体"/>
          <w:szCs w:val="21"/>
        </w:rPr>
      </w:pPr>
      <w:r>
        <w:rPr>
          <w:rFonts w:hint="eastAsia" w:ascii="宋体" w:hAnsi="宋体" w:eastAsia="宋体" w:cs="宋体"/>
          <w:szCs w:val="21"/>
        </w:rPr>
        <w:t>磋商须知</w:t>
      </w:r>
    </w:p>
    <w:p>
      <w:pPr>
        <w:numPr>
          <w:ilvl w:val="0"/>
          <w:numId w:val="4"/>
        </w:numPr>
        <w:spacing w:line="500" w:lineRule="exact"/>
        <w:rPr>
          <w:rFonts w:ascii="宋体" w:hAnsi="宋体" w:eastAsia="宋体" w:cs="宋体"/>
          <w:szCs w:val="21"/>
        </w:rPr>
      </w:pPr>
      <w:r>
        <w:rPr>
          <w:rFonts w:hint="eastAsia" w:ascii="宋体" w:hAnsi="宋体" w:eastAsia="宋体" w:cs="宋体"/>
          <w:szCs w:val="21"/>
        </w:rPr>
        <w:t>评审方法及标准</w:t>
      </w:r>
    </w:p>
    <w:p>
      <w:pPr>
        <w:numPr>
          <w:ilvl w:val="0"/>
          <w:numId w:val="4"/>
        </w:numPr>
        <w:spacing w:line="500" w:lineRule="exact"/>
        <w:rPr>
          <w:rFonts w:ascii="宋体" w:hAnsi="宋体" w:eastAsia="宋体" w:cs="宋体"/>
          <w:szCs w:val="21"/>
        </w:rPr>
      </w:pPr>
      <w:r>
        <w:rPr>
          <w:rFonts w:hint="eastAsia" w:ascii="宋体" w:hAnsi="宋体" w:eastAsia="宋体" w:cs="宋体"/>
          <w:szCs w:val="21"/>
        </w:rPr>
        <w:t>合同草案条款</w:t>
      </w:r>
    </w:p>
    <w:p>
      <w:pPr>
        <w:numPr>
          <w:ilvl w:val="0"/>
          <w:numId w:val="4"/>
        </w:numPr>
        <w:spacing w:line="500" w:lineRule="exact"/>
        <w:rPr>
          <w:rFonts w:ascii="宋体" w:hAnsi="宋体" w:eastAsia="宋体" w:cs="宋体"/>
          <w:szCs w:val="21"/>
        </w:rPr>
      </w:pPr>
      <w:r>
        <w:rPr>
          <w:rFonts w:hint="eastAsia" w:ascii="宋体" w:hAnsi="宋体" w:eastAsia="宋体" w:cs="宋体"/>
          <w:szCs w:val="21"/>
        </w:rPr>
        <w:t>响应文件组成</w:t>
      </w:r>
    </w:p>
    <w:p>
      <w:pPr>
        <w:spacing w:line="500" w:lineRule="exact"/>
        <w:ind w:firstLine="420" w:firstLineChars="200"/>
        <w:rPr>
          <w:rFonts w:ascii="宋体" w:hAnsi="宋体" w:eastAsia="宋体" w:cs="宋体"/>
          <w:szCs w:val="21"/>
        </w:rPr>
      </w:pPr>
      <w:r>
        <w:rPr>
          <w:rFonts w:hint="eastAsia" w:ascii="宋体" w:hAnsi="宋体" w:eastAsia="宋体" w:cs="宋体"/>
          <w:szCs w:val="21"/>
        </w:rPr>
        <w:t>第二部分　技术部分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　第六章　项目采购需求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10.2　磋商须知前附表规定的提交首次响应文件截止时间前，对磋商文件进行澄清或者修改的内容，为磋商文件的组成部分。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10.3　磋商小组根据与供应商磋商情况可能实质性变动的内容，包括采购需求中的技术、服务要求以及合同草案条款，对磋商文件作出的实质性变动是磋商文件的有效组成部分。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10.4　供应商应仔细阅读磋商文件的全部内容，按照磋商文件要求编制响应文件。任何对磋商文件的忽略或误解不能作为响应文件存在缺陷或瑕疵的理由，其风险由供应商承担。</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11.磋商文件的澄清或者修改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11.1　在磋商须知前附表规定的提交首次响应文件截止之日前，采购人、采购代理机构或者磋商小组可以对已发出的磋商文件进行必要的澄清或者修改。</w:t>
      </w:r>
    </w:p>
    <w:p>
      <w:pPr>
        <w:spacing w:line="500" w:lineRule="exact"/>
        <w:ind w:firstLine="420" w:firstLineChars="200"/>
        <w:rPr>
          <w:rFonts w:ascii="宋体" w:hAnsi="宋体" w:eastAsia="宋体" w:cs="宋体"/>
          <w:szCs w:val="21"/>
        </w:rPr>
      </w:pPr>
      <w:r>
        <w:rPr>
          <w:rFonts w:hint="eastAsia" w:ascii="宋体" w:hAnsi="宋体" w:eastAsia="宋体" w:cs="宋体"/>
          <w:szCs w:val="21"/>
        </w:rPr>
        <w:t>11.2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12.偏离</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12.1　本条所称偏离为响应文件对磋商文件的偏离，即不满足或不响应磋商文件的要求。偏离分为实质性和非实质性要求条款偏离。</w:t>
      </w:r>
    </w:p>
    <w:p>
      <w:pPr>
        <w:spacing w:line="500" w:lineRule="exact"/>
        <w:ind w:firstLine="420" w:firstLineChars="200"/>
        <w:rPr>
          <w:rFonts w:ascii="宋体" w:hAnsi="宋体" w:eastAsia="宋体" w:cs="宋体"/>
          <w:szCs w:val="21"/>
        </w:rPr>
      </w:pPr>
      <w:r>
        <w:rPr>
          <w:rFonts w:hint="eastAsia" w:ascii="宋体" w:hAnsi="宋体" w:eastAsia="宋体" w:cs="宋体"/>
          <w:szCs w:val="21"/>
        </w:rPr>
        <w:t>12.2　除政府采购法律法规相关规定外，磋商文件中用“拒绝”“不接受”“无效”“不得”“必须”“应当”等文字规定或标注“★”符号的条款为实质性要求条款(即重要条款)，对其中任何一条的偏离，在评审时将其视为无效响应。</w:t>
      </w:r>
    </w:p>
    <w:p>
      <w:pPr>
        <w:spacing w:line="500" w:lineRule="exact"/>
        <w:ind w:firstLine="420" w:firstLineChars="200"/>
        <w:rPr>
          <w:rFonts w:ascii="宋体" w:hAnsi="宋体" w:eastAsia="宋体" w:cs="宋体"/>
          <w:b/>
          <w:szCs w:val="21"/>
        </w:rPr>
      </w:pPr>
      <w:r>
        <w:rPr>
          <w:rFonts w:hint="eastAsia" w:ascii="宋体" w:hAnsi="宋体" w:eastAsia="宋体" w:cs="宋体"/>
          <w:b/>
          <w:szCs w:val="21"/>
        </w:rPr>
        <w:t>三、响应文件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13.一般要求</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13.1　供应商应仔细阅读磋商文件的所有内容，按磋商文件的要求编制响应文件，并保证所提供的全部资料的真实性，以使其响应文件对磋商文件做出实质性的响应。</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13.2　供应商提交的响应文件及供应商与采购人或采购代理机构、磋商小组就有关磋商的所有来往函电必须使用中文。供应商可以提交其他语言的资料，但应附中文注释，在有差异时以中文为准。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13.3　除技术要求另有规定外，本文件所要求使用的计量单位均采用国家法定的度、量、衡标准单位计量。未列明时亦默认为我国法定计量单位。</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13.4　供应商应按磋商文件中提供的响应文件格式填写。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13.5　磋商响应文件应采用书面形式，磋商文件中要求提供电子版的，必须按要求提供。</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14.响应文件的组成(采购人可根据实际情况对以下项目标注★)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14.1　响应文件应包括但不限于下列内容：</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14.1.1商务部分 </w:t>
      </w:r>
    </w:p>
    <w:p>
      <w:pPr>
        <w:spacing w:line="360" w:lineRule="auto"/>
        <w:ind w:firstLine="630" w:firstLineChars="300"/>
        <w:jc w:val="left"/>
        <w:outlineLvl w:val="1"/>
        <w:rPr>
          <w:rFonts w:ascii="宋体" w:hAnsi="宋体" w:eastAsia="宋体" w:cs="宋体"/>
          <w:szCs w:val="21"/>
        </w:rPr>
      </w:pPr>
      <w:r>
        <w:rPr>
          <w:rFonts w:hint="eastAsia" w:ascii="宋体" w:hAnsi="宋体" w:eastAsia="宋体" w:cs="宋体"/>
          <w:szCs w:val="21"/>
        </w:rPr>
        <w:t>1、磋商承诺函</w:t>
      </w:r>
    </w:p>
    <w:p>
      <w:pPr>
        <w:spacing w:line="360" w:lineRule="auto"/>
        <w:ind w:firstLine="630" w:firstLineChars="300"/>
        <w:rPr>
          <w:rFonts w:ascii="宋体" w:hAnsi="宋体" w:eastAsia="宋体" w:cs="宋体"/>
          <w:szCs w:val="21"/>
        </w:rPr>
      </w:pPr>
      <w:r>
        <w:rPr>
          <w:rFonts w:hint="eastAsia" w:ascii="宋体" w:hAnsi="宋体" w:eastAsia="宋体" w:cs="宋体"/>
          <w:szCs w:val="21"/>
        </w:rPr>
        <w:t>2、磋商报价明细表</w:t>
      </w:r>
    </w:p>
    <w:p>
      <w:pPr>
        <w:spacing w:line="360" w:lineRule="auto"/>
        <w:ind w:firstLine="630" w:firstLineChars="300"/>
        <w:rPr>
          <w:rFonts w:ascii="宋体" w:hAnsi="宋体" w:eastAsia="宋体" w:cs="宋体"/>
          <w:szCs w:val="21"/>
        </w:rPr>
      </w:pPr>
      <w:r>
        <w:rPr>
          <w:rFonts w:hint="eastAsia" w:ascii="宋体" w:hAnsi="宋体" w:eastAsia="宋体" w:cs="宋体"/>
          <w:szCs w:val="21"/>
        </w:rPr>
        <w:t>3、磋商保证金凭证</w:t>
      </w:r>
    </w:p>
    <w:p>
      <w:pPr>
        <w:spacing w:line="360" w:lineRule="auto"/>
        <w:ind w:firstLine="630" w:firstLineChars="300"/>
        <w:rPr>
          <w:rFonts w:ascii="宋体" w:hAnsi="宋体" w:eastAsia="宋体" w:cs="宋体"/>
          <w:szCs w:val="21"/>
        </w:rPr>
      </w:pPr>
      <w:r>
        <w:rPr>
          <w:rFonts w:hint="eastAsia" w:ascii="宋体" w:hAnsi="宋体" w:eastAsia="宋体" w:cs="宋体"/>
          <w:szCs w:val="21"/>
        </w:rPr>
        <w:t>4、 技术条款偏离表</w:t>
      </w:r>
    </w:p>
    <w:p>
      <w:pPr>
        <w:spacing w:line="360" w:lineRule="auto"/>
        <w:ind w:firstLine="630" w:firstLineChars="300"/>
        <w:rPr>
          <w:rFonts w:ascii="宋体" w:hAnsi="宋体" w:eastAsia="宋体" w:cs="宋体"/>
          <w:szCs w:val="21"/>
        </w:rPr>
      </w:pPr>
      <w:r>
        <w:rPr>
          <w:rFonts w:hint="eastAsia" w:ascii="宋体" w:hAnsi="宋体" w:eastAsia="宋体" w:cs="宋体"/>
          <w:szCs w:val="21"/>
        </w:rPr>
        <w:t>5、 商务条款偏离表</w:t>
      </w:r>
    </w:p>
    <w:p>
      <w:pPr>
        <w:spacing w:line="360" w:lineRule="auto"/>
        <w:ind w:firstLine="630" w:firstLineChars="300"/>
        <w:rPr>
          <w:rFonts w:ascii="宋体" w:hAnsi="宋体" w:eastAsia="宋体" w:cs="宋体"/>
          <w:szCs w:val="21"/>
        </w:rPr>
      </w:pPr>
      <w:r>
        <w:rPr>
          <w:rFonts w:hint="eastAsia" w:ascii="宋体" w:hAnsi="宋体" w:eastAsia="宋体" w:cs="宋体"/>
          <w:szCs w:val="21"/>
        </w:rPr>
        <w:t>6、 法定代表人身份证明书</w:t>
      </w:r>
    </w:p>
    <w:p>
      <w:pPr>
        <w:spacing w:line="360" w:lineRule="auto"/>
        <w:ind w:firstLine="630" w:firstLineChars="300"/>
        <w:rPr>
          <w:rFonts w:ascii="宋体" w:hAnsi="宋体" w:eastAsia="宋体" w:cs="宋体"/>
          <w:szCs w:val="21"/>
        </w:rPr>
      </w:pPr>
      <w:r>
        <w:rPr>
          <w:rFonts w:hint="eastAsia" w:ascii="宋体" w:hAnsi="宋体" w:eastAsia="宋体" w:cs="宋体"/>
          <w:szCs w:val="21"/>
        </w:rPr>
        <w:t>7、法定代表人授权委托书</w:t>
      </w:r>
    </w:p>
    <w:p>
      <w:pPr>
        <w:spacing w:line="360" w:lineRule="auto"/>
        <w:ind w:firstLine="630" w:firstLineChars="300"/>
        <w:rPr>
          <w:rFonts w:ascii="宋体" w:hAnsi="宋体" w:eastAsia="宋体" w:cs="宋体"/>
          <w:szCs w:val="21"/>
        </w:rPr>
      </w:pPr>
      <w:r>
        <w:rPr>
          <w:rFonts w:hint="eastAsia" w:ascii="宋体" w:hAnsi="宋体" w:eastAsia="宋体" w:cs="宋体"/>
          <w:szCs w:val="21"/>
        </w:rPr>
        <w:t>8、服务承诺书</w:t>
      </w:r>
    </w:p>
    <w:p>
      <w:pPr>
        <w:spacing w:line="360" w:lineRule="auto"/>
        <w:ind w:firstLine="630" w:firstLineChars="300"/>
        <w:rPr>
          <w:rFonts w:ascii="宋体" w:hAnsi="宋体" w:eastAsia="宋体" w:cs="宋体"/>
          <w:szCs w:val="21"/>
        </w:rPr>
      </w:pPr>
      <w:r>
        <w:rPr>
          <w:rFonts w:hint="eastAsia" w:ascii="宋体" w:hAnsi="宋体" w:eastAsia="宋体" w:cs="宋体"/>
          <w:szCs w:val="21"/>
        </w:rPr>
        <w:t>9、服务方案</w:t>
      </w:r>
    </w:p>
    <w:p>
      <w:pPr>
        <w:spacing w:line="360" w:lineRule="auto"/>
        <w:ind w:firstLine="630" w:firstLineChars="300"/>
        <w:rPr>
          <w:rFonts w:ascii="宋体" w:hAnsi="宋体" w:eastAsia="宋体" w:cs="宋体"/>
          <w:szCs w:val="21"/>
        </w:rPr>
      </w:pPr>
      <w:r>
        <w:rPr>
          <w:rFonts w:hint="eastAsia" w:ascii="宋体" w:hAnsi="宋体" w:eastAsia="宋体" w:cs="宋体"/>
          <w:szCs w:val="21"/>
        </w:rPr>
        <w:t>10、其它相关资料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14.2 本项目是否要求提供样品的见磋商须知前附表。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14.3磋商须知前附表规定供应商在磋商时提供样品的，供应商有以下情形之一的，在磋商时将其视为无效响应文件。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（1）未在磋商须知前附表规定的提交时间、地点提交的；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（2）供应商提供的样品与响应文件中型号、规格不一致的。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14.4　在磋商过程中，供应商根据磋商小组书面形式要求提交的最后报价(或者重新提交的响应文件和最后报价)是响应文件的有效组成部分。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14.5　磋商文件规定可能发生实质性变动的，供应商应当在《技术/商务响应与偏离表》中的对应内容处注明。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14.6　供应商无论成交与否，其响应文件不予退还。</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15.1　供应商应按磋商文件规定的服务要求、责任范围和合同条件，以人民币进行报价。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15.3　供应商的最终报价不得超过采购项目预算。本次采购项目的预算见磋商须知前附表。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16.磋商保证金</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16.1　本项目是否交纳磋商保证金要求见磋商须知前附表。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16.2　磋商须知前附表规定交纳磋商保证金的，应以支票、汇票、本票、网上银行或金融机构、担保机构出具的保函等非现金形式，在磋商须知前附表规定的提交首次响应文件截止时间前，向采购人或采购代理机构交纳不超过采购项目预算2%的谈判保证金(数额采用四舍五入，计算至元)。磋商保证金有效期应当与本章磋商须知前附表规定的磋商响应有效期一致。未按磋商文件规定提交保证金的，采购人或采购代理机构应当拒绝接收供应商的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16.3　供应商为联合体的，可以由联合体中的一方或者共同交纳保证金，其交纳的保证金，对联合体各方均具有约束力。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16.4　未成交供应商的保证金，在成交通知书发出后5个工作日内退还；成交供应商的保证金，在采购合同签订后5个工作日内退还，但因供应商自身原因导致无法及时退还的除外。</w:t>
      </w:r>
    </w:p>
    <w:p>
      <w:pPr>
        <w:spacing w:line="500" w:lineRule="exact"/>
        <w:ind w:firstLine="420" w:firstLineChars="200"/>
        <w:rPr>
          <w:rFonts w:ascii="宋体" w:hAnsi="宋体" w:eastAsia="宋体" w:cs="宋体"/>
          <w:szCs w:val="21"/>
        </w:rPr>
      </w:pPr>
      <w:r>
        <w:rPr>
          <w:rFonts w:hint="eastAsia" w:ascii="宋体" w:hAnsi="宋体" w:eastAsia="宋体" w:cs="宋体"/>
          <w:szCs w:val="21"/>
        </w:rPr>
        <w:t>16.5　有下列情形之一的，保证金不予退还：</w:t>
      </w:r>
    </w:p>
    <w:p>
      <w:pPr>
        <w:spacing w:line="500" w:lineRule="exact"/>
        <w:ind w:firstLine="420" w:firstLineChars="200"/>
        <w:rPr>
          <w:rFonts w:ascii="宋体" w:hAnsi="宋体" w:eastAsia="宋体" w:cs="宋体"/>
          <w:szCs w:val="21"/>
        </w:rPr>
      </w:pPr>
      <w:r>
        <w:rPr>
          <w:rFonts w:hint="eastAsia" w:ascii="宋体" w:hAnsi="宋体" w:eastAsia="宋体" w:cs="宋体"/>
          <w:szCs w:val="21"/>
        </w:rPr>
        <w:t>(1)供应商在磋商须知前附表规定的提交首次响应文件截止时间后撤回响应文件的；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(2)供应商在响应文件中提供虚假材料的；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(3)除因不可抗力或磋商文件认可的情形以外，成交供应商不与采购人签订合同的；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(4)供应商与采购人、其他供应商或者采购代理机构恶意串通的；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(5)磋商文件规定的其他情形。</w:t>
      </w:r>
    </w:p>
    <w:p>
      <w:pPr>
        <w:spacing w:line="500" w:lineRule="exact"/>
        <w:ind w:firstLine="420" w:firstLineChars="200"/>
        <w:rPr>
          <w:rFonts w:ascii="宋体" w:hAnsi="宋体" w:eastAsia="宋体" w:cs="宋体"/>
          <w:b/>
          <w:szCs w:val="21"/>
        </w:rPr>
      </w:pPr>
      <w:r>
        <w:rPr>
          <w:rFonts w:hint="eastAsia" w:ascii="宋体" w:hAnsi="宋体" w:eastAsia="宋体" w:cs="宋体"/>
          <w:b/>
          <w:szCs w:val="21"/>
        </w:rPr>
        <w:t>17.磋商响应有效期</w:t>
      </w:r>
    </w:p>
    <w:p>
      <w:pPr>
        <w:spacing w:line="500" w:lineRule="exact"/>
        <w:ind w:firstLine="420" w:firstLineChars="200"/>
        <w:rPr>
          <w:rFonts w:ascii="宋体" w:hAnsi="宋体" w:eastAsia="宋体" w:cs="宋体"/>
          <w:szCs w:val="21"/>
        </w:rPr>
      </w:pPr>
      <w:r>
        <w:rPr>
          <w:rFonts w:hint="eastAsia" w:ascii="宋体" w:hAnsi="宋体" w:eastAsia="宋体" w:cs="宋体"/>
          <w:szCs w:val="21"/>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18.响应文件的签署及规定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18.1　供应商应根据磋商须知前附表规定提交响应文件。纸质文件的正本和副本应装订成册。正本和副本的封面上应标记“正本”或“副本”的字样，当正本和副本有差异时，以正本为准。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spacing w:line="500" w:lineRule="exact"/>
        <w:ind w:firstLine="420" w:firstLineChars="200"/>
        <w:rPr>
          <w:rFonts w:ascii="宋体" w:hAnsi="宋体" w:eastAsia="宋体" w:cs="宋体"/>
          <w:szCs w:val="21"/>
        </w:rPr>
      </w:pPr>
      <w:r>
        <w:rPr>
          <w:rFonts w:hint="eastAsia" w:ascii="宋体" w:hAnsi="宋体" w:eastAsia="宋体" w:cs="宋体"/>
          <w:szCs w:val="21"/>
        </w:rPr>
        <w:t>18.3　在磋商过程中，供应商按磋商文件规定和磋商小组要求重新提交的响应文件和最后报价，应打印或用不褪色墨水书写，并由法定代表人或其授权代表签字，加盖单位公章。否则，将导致响应文件无效。</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19.响应文件的密封和标记</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19.1　响应文件按正本和副本分别包装，注明“正本”或“副本”，加贴封条，并在封套的封口处加盖供应商单位公章或由法定代表人或其授权代表签字。</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19.2　响应文件封套或外包装上应写明的内容见磋商须知前附表。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19.3　响应文件如果未按上述规定密封和标记，采购人或采购代理机构应当拒绝接收。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20.响应文件的递交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20.1　响应文件应在磋商须知前附表规定的提交时间和指定地点提交。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20.2　在截止时间后送达的响应文件为无效文件，采购人、采购代理机构或磋商小组应当拒收。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21.响应文件的补充、修改或者撤回</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pPr>
        <w:spacing w:line="500" w:lineRule="exact"/>
        <w:ind w:firstLine="420" w:firstLineChars="200"/>
        <w:rPr>
          <w:rFonts w:ascii="宋体" w:hAnsi="宋体" w:eastAsia="宋体" w:cs="宋体"/>
          <w:szCs w:val="21"/>
        </w:rPr>
      </w:pPr>
      <w:r>
        <w:rPr>
          <w:rFonts w:hint="eastAsia" w:ascii="宋体" w:hAnsi="宋体" w:eastAsia="宋体" w:cs="宋体"/>
          <w:szCs w:val="21"/>
        </w:rPr>
        <w:t>21.2　补充、修改的内容与响应文件不一致时，以补充、修改的内容为准。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四、磋商与评审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22.磋商小组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22.1　磋商与评审由依法组建的磋商小组负责，磋商小组由采购人代表和评审专家组成。</w:t>
      </w:r>
    </w:p>
    <w:p>
      <w:pPr>
        <w:spacing w:line="500" w:lineRule="exact"/>
        <w:ind w:firstLine="420" w:firstLineChars="200"/>
        <w:rPr>
          <w:rFonts w:ascii="宋体" w:hAnsi="宋体" w:eastAsia="宋体" w:cs="宋体"/>
          <w:szCs w:val="21"/>
        </w:rPr>
      </w:pPr>
      <w:r>
        <w:rPr>
          <w:rFonts w:hint="eastAsia" w:ascii="宋体" w:hAnsi="宋体" w:eastAsia="宋体" w:cs="宋体"/>
          <w:szCs w:val="21"/>
        </w:rPr>
        <w:t>23.初步审查</w:t>
      </w:r>
    </w:p>
    <w:p>
      <w:pPr>
        <w:spacing w:line="500" w:lineRule="exact"/>
        <w:ind w:firstLine="420" w:firstLineChars="200"/>
        <w:rPr>
          <w:rFonts w:ascii="宋体" w:hAnsi="宋体" w:eastAsia="宋体" w:cs="宋体"/>
          <w:szCs w:val="21"/>
        </w:rPr>
      </w:pPr>
      <w:r>
        <w:rPr>
          <w:rFonts w:hint="eastAsia" w:ascii="宋体" w:hAnsi="宋体" w:eastAsia="宋体" w:cs="宋体"/>
          <w:szCs w:val="21"/>
        </w:rPr>
        <w:t>23.1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rPr>
        <w:t xml:space="preserve"> 磋商报价文件要求加盖供应商章、法定代表人章处未加盖印章的；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(2) </w:t>
      </w:r>
      <w:r>
        <w:rPr>
          <w:rFonts w:ascii="宋体" w:hAnsi="宋体"/>
          <w:szCs w:val="21"/>
        </w:rPr>
        <w:t>供应商的法定代表人授权他人进行</w:t>
      </w:r>
      <w:r>
        <w:rPr>
          <w:rFonts w:hint="eastAsia" w:ascii="宋体" w:hAnsi="宋体"/>
          <w:szCs w:val="21"/>
        </w:rPr>
        <w:t>磋商</w:t>
      </w:r>
      <w:r>
        <w:rPr>
          <w:rFonts w:ascii="宋体" w:hAnsi="宋体"/>
          <w:szCs w:val="21"/>
        </w:rPr>
        <w:t>时，其授权委托书无效的；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(3) </w:t>
      </w:r>
      <w:r>
        <w:rPr>
          <w:rFonts w:ascii="宋体" w:hAnsi="宋体"/>
          <w:szCs w:val="21"/>
        </w:rPr>
        <w:t>竞争性</w:t>
      </w:r>
      <w:r>
        <w:rPr>
          <w:rFonts w:hint="eastAsia" w:ascii="宋体" w:hAnsi="宋体"/>
          <w:szCs w:val="21"/>
        </w:rPr>
        <w:t>磋商</w:t>
      </w:r>
      <w:r>
        <w:rPr>
          <w:rFonts w:ascii="宋体" w:hAnsi="宋体"/>
          <w:szCs w:val="21"/>
        </w:rPr>
        <w:t>报价文件与竞争性</w:t>
      </w:r>
      <w:r>
        <w:rPr>
          <w:rFonts w:hint="eastAsia" w:ascii="宋体" w:hAnsi="宋体"/>
          <w:szCs w:val="21"/>
        </w:rPr>
        <w:t>磋商</w:t>
      </w:r>
      <w:r>
        <w:rPr>
          <w:rFonts w:ascii="宋体" w:hAnsi="宋体"/>
          <w:szCs w:val="21"/>
        </w:rPr>
        <w:t>文件要求存在重大偏离的，特别在</w:t>
      </w:r>
      <w:r>
        <w:rPr>
          <w:rFonts w:hint="eastAsia" w:ascii="宋体" w:hAnsi="宋体"/>
          <w:szCs w:val="21"/>
        </w:rPr>
        <w:t>采购</w:t>
      </w:r>
      <w:r>
        <w:rPr>
          <w:rFonts w:ascii="宋体" w:hAnsi="宋体"/>
          <w:szCs w:val="21"/>
        </w:rPr>
        <w:t>范围、</w:t>
      </w:r>
      <w:r>
        <w:rPr>
          <w:rFonts w:hint="eastAsia" w:ascii="宋体" w:hAnsi="宋体"/>
          <w:szCs w:val="21"/>
        </w:rPr>
        <w:t>服务周期</w:t>
      </w:r>
      <w:r>
        <w:rPr>
          <w:rFonts w:ascii="宋体" w:hAnsi="宋体"/>
          <w:szCs w:val="21"/>
        </w:rPr>
        <w:t>等方面有重大改变的；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(4) </w:t>
      </w:r>
      <w:r>
        <w:rPr>
          <w:rFonts w:ascii="宋体" w:hAnsi="宋体"/>
          <w:szCs w:val="21"/>
        </w:rPr>
        <w:t>竞争性</w:t>
      </w:r>
      <w:r>
        <w:rPr>
          <w:rFonts w:hint="eastAsia" w:ascii="宋体" w:hAnsi="宋体"/>
          <w:szCs w:val="21"/>
        </w:rPr>
        <w:t>磋商</w:t>
      </w:r>
      <w:r>
        <w:rPr>
          <w:rFonts w:ascii="宋体" w:hAnsi="宋体"/>
          <w:szCs w:val="21"/>
        </w:rPr>
        <w:t>报价文件未按规定的格式填写，内容不全或关键字迹模糊无法辨认的；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 xml:space="preserve">(5) </w:t>
      </w:r>
      <w:r>
        <w:rPr>
          <w:rFonts w:ascii="宋体" w:hAnsi="宋体"/>
          <w:szCs w:val="21"/>
        </w:rPr>
        <w:t>供应商递交多份内容不同的竞争性</w:t>
      </w:r>
      <w:r>
        <w:rPr>
          <w:rFonts w:hint="eastAsia" w:ascii="宋体" w:hAnsi="宋体"/>
          <w:szCs w:val="21"/>
          <w:lang w:eastAsia="zh-CN"/>
        </w:rPr>
        <w:t>磋商</w:t>
      </w:r>
      <w:r>
        <w:rPr>
          <w:rFonts w:ascii="宋体" w:hAnsi="宋体"/>
          <w:szCs w:val="21"/>
        </w:rPr>
        <w:t>报价文件，或存在多份报价；</w:t>
      </w:r>
    </w:p>
    <w:p>
      <w:pPr>
        <w:spacing w:line="500" w:lineRule="exact"/>
        <w:ind w:firstLine="420" w:firstLineChars="200"/>
        <w:rPr>
          <w:rFonts w:ascii="宋体" w:hAnsi="宋体"/>
        </w:rPr>
      </w:pPr>
      <w:r>
        <w:rPr>
          <w:rFonts w:hint="eastAsia" w:ascii="宋体" w:hAnsi="宋体" w:eastAsia="宋体" w:cs="宋体"/>
          <w:szCs w:val="21"/>
        </w:rPr>
        <w:t xml:space="preserve">(6) </w:t>
      </w:r>
      <w:r>
        <w:rPr>
          <w:rFonts w:hint="eastAsia" w:ascii="宋体" w:hAnsi="宋体"/>
        </w:rPr>
        <w:t>服务要求不满足磋商文件要求的；</w:t>
      </w:r>
    </w:p>
    <w:p>
      <w:pPr>
        <w:spacing w:line="500" w:lineRule="exact"/>
        <w:ind w:firstLine="420" w:firstLineChars="200"/>
        <w:rPr>
          <w:rFonts w:ascii="宋体" w:hAnsi="宋体"/>
        </w:rPr>
      </w:pPr>
      <w:r>
        <w:rPr>
          <w:rFonts w:hint="eastAsia" w:ascii="宋体" w:hAnsi="宋体" w:eastAsia="宋体" w:cs="宋体"/>
          <w:szCs w:val="21"/>
        </w:rPr>
        <w:t xml:space="preserve"> (7)</w:t>
      </w:r>
      <w:r>
        <w:rPr>
          <w:rFonts w:hint="eastAsia" w:ascii="宋体" w:hAnsi="宋体"/>
        </w:rPr>
        <w:t>服务承诺未提供的；</w:t>
      </w:r>
    </w:p>
    <w:p>
      <w:pPr>
        <w:spacing w:line="500" w:lineRule="exact"/>
        <w:ind w:firstLine="420" w:firstLineChars="200"/>
        <w:rPr>
          <w:rFonts w:ascii="宋体" w:hAnsi="宋体"/>
        </w:rPr>
      </w:pPr>
      <w:r>
        <w:rPr>
          <w:rFonts w:hint="eastAsia" w:ascii="宋体" w:hAnsi="宋体" w:eastAsia="宋体" w:cs="Times New Roman"/>
          <w:szCs w:val="21"/>
        </w:rPr>
        <w:t>（8）</w:t>
      </w:r>
      <w:r>
        <w:rPr>
          <w:rFonts w:hint="eastAsia" w:ascii="宋体" w:hAnsi="宋体"/>
        </w:rPr>
        <w:t>磋商报价文件不符合磋商文件实质性要求的；</w:t>
      </w:r>
    </w:p>
    <w:p>
      <w:pPr>
        <w:spacing w:line="500" w:lineRule="exact"/>
        <w:ind w:firstLine="420" w:firstLineChars="200"/>
        <w:rPr>
          <w:rFonts w:ascii="宋体" w:hAnsi="宋体"/>
          <w:szCs w:val="21"/>
        </w:rPr>
      </w:pPr>
      <w:r>
        <w:rPr>
          <w:rFonts w:hint="eastAsia" w:ascii="宋体" w:hAnsi="宋体"/>
        </w:rPr>
        <w:t>（9）</w:t>
      </w:r>
      <w:r>
        <w:rPr>
          <w:rFonts w:ascii="宋体" w:hAnsi="宋体"/>
          <w:szCs w:val="21"/>
        </w:rPr>
        <w:t>供应商的</w:t>
      </w:r>
      <w:r>
        <w:rPr>
          <w:rFonts w:hint="eastAsia" w:ascii="宋体" w:hAnsi="宋体"/>
          <w:szCs w:val="21"/>
        </w:rPr>
        <w:t>谈判</w:t>
      </w:r>
      <w:r>
        <w:rPr>
          <w:rFonts w:ascii="宋体" w:hAnsi="宋体"/>
          <w:szCs w:val="21"/>
        </w:rPr>
        <w:t>报价经</w:t>
      </w:r>
      <w:r>
        <w:rPr>
          <w:rFonts w:hint="eastAsia" w:ascii="宋体" w:hAnsi="宋体"/>
          <w:szCs w:val="21"/>
        </w:rPr>
        <w:t>谈判小组</w:t>
      </w:r>
      <w:r>
        <w:rPr>
          <w:rFonts w:ascii="宋体" w:hAnsi="宋体"/>
          <w:szCs w:val="21"/>
        </w:rPr>
        <w:t>认定低于成本竞价的；</w:t>
      </w:r>
    </w:p>
    <w:p>
      <w:pPr>
        <w:spacing w:line="500" w:lineRule="exact"/>
        <w:ind w:firstLine="420" w:firstLineChars="200"/>
        <w:rPr>
          <w:rFonts w:ascii="宋体" w:hAnsi="宋体" w:eastAsia="宋体" w:cs="宋体"/>
          <w:szCs w:val="21"/>
        </w:rPr>
      </w:pPr>
      <w:r>
        <w:rPr>
          <w:rFonts w:hint="eastAsia" w:ascii="宋体" w:hAnsi="宋体"/>
          <w:szCs w:val="21"/>
        </w:rPr>
        <w:t>（10）</w:t>
      </w:r>
      <w:r>
        <w:rPr>
          <w:rFonts w:hint="eastAsia"/>
        </w:rPr>
        <w:t>磋商保证金缴纳凭证未提供的；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24.澄清</w:t>
      </w:r>
    </w:p>
    <w:p>
      <w:pPr>
        <w:spacing w:line="500" w:lineRule="exact"/>
        <w:ind w:firstLine="420" w:firstLineChars="200"/>
        <w:rPr>
          <w:rFonts w:ascii="宋体" w:hAnsi="宋体" w:eastAsia="宋体" w:cs="宋体"/>
          <w:szCs w:val="21"/>
        </w:rPr>
      </w:pPr>
      <w:r>
        <w:rPr>
          <w:rFonts w:hint="eastAsia" w:ascii="宋体" w:hAnsi="宋体" w:eastAsia="宋体" w:cs="宋体"/>
          <w:szCs w:val="21"/>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25.磋商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25.1　初审结束后，磋商小组所有成员集中与单一供应商分别进行磋商，并给予所有参加磋商的供应商平等的磋商机会。供应商应派其法定代表人或授权代表参加磋商。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25.2　在磋商过程中，磋商小组可以根据磋商文件和磋商情况实质性变动采购需求中的技术、服务要求以及合同草案条款，但不得变动磋商文件中的其他内容。实质性变动的内容，须经采购人代表确认。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25.3　对磋商文件作出的实质性变动是磋商文件的有效组成部分，磋商小组应当及时以书面形式同时通知所有参加磋商的供应商。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25.5　磋商文件不能详细列明采购标的技术、服务要求，需经磋商由供应商提供最终设计方案或解决方案的，磋商结束后，磋商小组应当按照少数服从多数的原则投票推荐3家以上供应商的设计方案或者解决方案。</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25.6　磋商小组应当根据实际情况与供应商进行磋商，并确定磋商的轮次。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25.7　已提交响应文件的供应商，在提交最后报价之前，可以根据磋商情况退出磋商。采购人或采购代理机构应当退还退出磋商的供应商的磋商保证金。</w:t>
      </w:r>
    </w:p>
    <w:p>
      <w:pPr>
        <w:spacing w:line="500" w:lineRule="exact"/>
        <w:ind w:firstLine="420" w:firstLineChars="200"/>
        <w:rPr>
          <w:rFonts w:ascii="宋体" w:hAnsi="宋体" w:eastAsia="宋体" w:cs="宋体"/>
          <w:szCs w:val="21"/>
        </w:rPr>
      </w:pPr>
      <w:r>
        <w:rPr>
          <w:rFonts w:hint="eastAsia" w:ascii="宋体" w:hAnsi="宋体" w:eastAsia="宋体" w:cs="宋体"/>
          <w:szCs w:val="21"/>
        </w:rPr>
        <w:t>25.8　磋商结束后，供应商按照磋商小组要求重新提交的响应文件，不满足磋商文件及变动后的技术、服务要求以及合同草案条款的实质性要求的，将视为无效响应文件。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26.最后报价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26.1　磋商结束后，磋商小组应当要求所有实质性响应的供应商在规定时间内提交最后报价，提交最后报价的供应商不得少于3家。</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26.3　最后报价是供应商响应文件的有效组成部分。如磋商小组没有对磋商文件作实质性变动或增加新的需求，最后报价不得高于首轮报价。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26.4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27.最后报价评审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27.1　最后报价计算错误修正的原则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(1)最后报价的大写金额和小写金额不一致的，以大写金额为准。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(2)总价金额与按分项报价汇总金额不一致的，以分项报价金额计算结果为准。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(3)分项报价金额小数点有明显错位的，应以总价为准，并修改分项报价。</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(4)如果供应商不接受对其错误的更正，其最后报价将被视为无效报价或确定为无效响应。</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27.2　最后报价的价格扣除原则</w:t>
      </w:r>
    </w:p>
    <w:p>
      <w:pPr>
        <w:spacing w:line="500" w:lineRule="exact"/>
        <w:ind w:firstLine="420" w:firstLineChars="200"/>
        <w:rPr>
          <w:rFonts w:ascii="宋体" w:hAnsi="宋体" w:eastAsia="宋体" w:cs="宋体"/>
          <w:szCs w:val="21"/>
        </w:rPr>
      </w:pPr>
      <w:r>
        <w:rPr>
          <w:rFonts w:hint="eastAsia" w:ascii="宋体" w:hAnsi="宋体" w:eastAsia="宋体" w:cs="宋体"/>
          <w:szCs w:val="21"/>
        </w:rPr>
        <w:t>(1)节能产品(视具体项目适用)：供应商所投产品中，如有符合政策的节能产品的，对节能产品在评审时按磋商须知前附表的规定对其最终报价给予价格扣除或在评审时予以加分。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(2)环境标志产品(视具体项目适用)：供应商所投产品中，如有符合政策的环境标志产品的，对环境标志产品在评审时按磋商须知前附表的规定对其最终报价给予价格扣除或在评审时予以加分。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(3)对小型或微型企业以及监狱企业，在评审时按磋商须知前附表的规定对其最终报价给予价格扣除。</w:t>
      </w:r>
    </w:p>
    <w:p>
      <w:pPr>
        <w:spacing w:line="500" w:lineRule="exact"/>
        <w:ind w:firstLine="420" w:firstLineChars="200"/>
        <w:rPr>
          <w:rFonts w:ascii="宋体" w:hAnsi="宋体" w:eastAsia="宋体" w:cs="宋体"/>
          <w:szCs w:val="21"/>
        </w:rPr>
      </w:pPr>
      <w:r>
        <w:rPr>
          <w:rFonts w:hint="eastAsia" w:ascii="宋体" w:hAnsi="宋体" w:eastAsia="宋体" w:cs="宋体"/>
          <w:szCs w:val="21"/>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pPr>
        <w:spacing w:line="500" w:lineRule="exact"/>
        <w:ind w:firstLine="420" w:firstLineChars="200"/>
        <w:rPr>
          <w:rFonts w:ascii="宋体" w:hAnsi="宋体" w:eastAsia="宋体" w:cs="宋体"/>
          <w:szCs w:val="21"/>
        </w:rPr>
      </w:pPr>
      <w:r>
        <w:rPr>
          <w:rFonts w:hint="eastAsia" w:ascii="宋体" w:hAnsi="宋体" w:eastAsia="宋体" w:cs="宋体"/>
          <w:szCs w:val="21"/>
        </w:rPr>
        <w:t>27.3  价格得分：以供应商的最后报价作为价格评分依据。供应商的评审价为按上述条款修正并给予价格扣除优惠后的价格。</w:t>
      </w:r>
    </w:p>
    <w:p>
      <w:pPr>
        <w:spacing w:line="500" w:lineRule="exact"/>
        <w:ind w:firstLine="420" w:firstLineChars="200"/>
        <w:rPr>
          <w:rFonts w:ascii="宋体" w:hAnsi="宋体" w:eastAsia="宋体" w:cs="宋体"/>
          <w:szCs w:val="21"/>
        </w:rPr>
      </w:pPr>
      <w:r>
        <w:rPr>
          <w:rFonts w:hint="eastAsia" w:ascii="宋体" w:hAnsi="宋体" w:eastAsia="宋体" w:cs="宋体"/>
          <w:szCs w:val="21"/>
        </w:rPr>
        <w:t>价格评分统一采用低价优先法计算，即满足磋商文件要求且价格最低的评审价为评审基准价，其价格分为满分。其他供应商的价格分统一按照下列公式计算：</w:t>
      </w:r>
    </w:p>
    <w:p>
      <w:pPr>
        <w:spacing w:line="500" w:lineRule="exact"/>
        <w:ind w:firstLine="420" w:firstLineChars="200"/>
        <w:rPr>
          <w:rFonts w:ascii="宋体" w:hAnsi="宋体" w:eastAsia="宋体" w:cs="宋体"/>
          <w:szCs w:val="21"/>
        </w:rPr>
      </w:pPr>
      <w:r>
        <w:rPr>
          <w:rFonts w:hint="eastAsia" w:ascii="宋体" w:hAnsi="宋体" w:eastAsia="宋体" w:cs="宋体"/>
          <w:szCs w:val="21"/>
        </w:rPr>
        <w:t>价格评分＝(评审基准价/评审价)×价格分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价格低于市场成本价，经磋商小组讨论须其提供低价说明；</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28.综合评审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28.1　经磋商确定最终采购需求和提交最后报价的供应商后，由磋商小组采用综合评分法对提交最后报价的供应商的响应文件和最后报价进行综合评分。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28.2　评审办法及标准见第三章。</w:t>
      </w:r>
    </w:p>
    <w:p>
      <w:pPr>
        <w:spacing w:line="500" w:lineRule="exact"/>
        <w:ind w:firstLine="420" w:firstLineChars="200"/>
        <w:rPr>
          <w:rFonts w:ascii="宋体" w:hAnsi="宋体" w:eastAsia="宋体" w:cs="宋体"/>
          <w:szCs w:val="21"/>
        </w:rPr>
      </w:pPr>
      <w:r>
        <w:rPr>
          <w:rFonts w:hint="eastAsia" w:ascii="宋体" w:hAnsi="宋体" w:eastAsia="宋体" w:cs="宋体"/>
          <w:szCs w:val="21"/>
        </w:rPr>
        <w:t>28.3　评审时，磋商小组成员应当独立对每个有效响应的文件进行评价、打分，然后汇总每个供应商每项评分因素的得分。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29.提出成交供应商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29.1　磋商小组应当按照综合评分由高到低的顺序提出3名以上成交候选供应商，并编写评审报告。市场竞争不充分的科研项目、需要扶持的科技成果转化项目，以及政府购买服务项目，可以推荐2家成交候选供应商。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29.2　评审得分相同的，按照最后报价由低到高的顺序推荐。评审得分且最后报价相同的，按照技术指标优劣顺序推荐。</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30.确定成交供应商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30.1　采购代理机构应当在评审结束之日起2个工作日内将评审报告送采购人确认。</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30.2　采购人应当在收到评审报告之日起5个工作日内，从评审报告提出的成交候选供应商中，按照排序由低到高的原则确定成交供应商，也可以书面授权磋商小组直接确定成交供应商。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30.3　采购人自行组织磋商的，应当在评审结束之日起5个工作日内确定成交供应商。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31.磋商终止</w:t>
      </w:r>
    </w:p>
    <w:p>
      <w:pPr>
        <w:spacing w:line="500" w:lineRule="exact"/>
        <w:ind w:firstLine="420" w:firstLineChars="200"/>
        <w:rPr>
          <w:rFonts w:ascii="宋体" w:hAnsi="宋体" w:eastAsia="宋体" w:cs="宋体"/>
          <w:szCs w:val="21"/>
        </w:rPr>
      </w:pPr>
      <w:r>
        <w:rPr>
          <w:rFonts w:hint="eastAsia" w:ascii="宋体" w:hAnsi="宋体" w:eastAsia="宋体" w:cs="宋体"/>
          <w:szCs w:val="21"/>
        </w:rPr>
        <w:t>31.1　出现下列情形之一的，采购人或者采购代理机构应当终止磋商采购活动，在财政部指定的媒体上发布项目终止公告并说明原因，重新开展采购活动：</w:t>
      </w:r>
    </w:p>
    <w:p>
      <w:pPr>
        <w:spacing w:line="500" w:lineRule="exact"/>
        <w:ind w:firstLine="420" w:firstLineChars="200"/>
        <w:rPr>
          <w:rFonts w:ascii="宋体" w:hAnsi="宋体" w:eastAsia="宋体" w:cs="宋体"/>
          <w:szCs w:val="21"/>
        </w:rPr>
      </w:pPr>
      <w:r>
        <w:rPr>
          <w:rFonts w:hint="eastAsia" w:ascii="宋体" w:hAnsi="宋体" w:eastAsia="宋体" w:cs="宋体"/>
          <w:szCs w:val="21"/>
        </w:rPr>
        <w:t>(1)因情况变化，不再符合规定的磋商采购方式适用情形的；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(2)出现影响采购公正的违法、违规行为的；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(4)因重大变故，采购任务取消的。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32.重新评审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32.1　除资格性检查认定错误、分值汇总计算错误、分项评分超出评分标准范围、客观分评分不一致、经磋商小组一致认定评分畸高、畸低的情形外，采购人或者采购代理机构不得以任何理由组织重新评审。</w:t>
      </w:r>
    </w:p>
    <w:p>
      <w:pPr>
        <w:spacing w:line="500" w:lineRule="exact"/>
        <w:ind w:firstLine="420" w:firstLineChars="200"/>
        <w:rPr>
          <w:rFonts w:ascii="宋体" w:hAnsi="宋体" w:eastAsia="宋体" w:cs="宋体"/>
          <w:szCs w:val="21"/>
        </w:rPr>
      </w:pPr>
      <w:r>
        <w:rPr>
          <w:rFonts w:hint="eastAsia" w:ascii="宋体" w:hAnsi="宋体" w:eastAsia="宋体" w:cs="宋体"/>
          <w:szCs w:val="21"/>
        </w:rPr>
        <w:t>33.保密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33.1　磋商小组成员以及与评审工作有关的人员不得泄露评审情况以及评审过程中获悉的国家秘密、商业秘密。</w:t>
      </w:r>
    </w:p>
    <w:p>
      <w:pPr>
        <w:spacing w:line="500" w:lineRule="exact"/>
        <w:ind w:firstLine="420" w:firstLineChars="200"/>
        <w:rPr>
          <w:rFonts w:ascii="宋体" w:hAnsi="宋体" w:eastAsia="宋体" w:cs="宋体"/>
          <w:szCs w:val="21"/>
        </w:rPr>
      </w:pPr>
      <w:r>
        <w:rPr>
          <w:rFonts w:hint="eastAsia" w:ascii="宋体" w:hAnsi="宋体" w:eastAsia="宋体" w:cs="宋体"/>
          <w:szCs w:val="21"/>
        </w:rPr>
        <w:t>34.禁止行为</w:t>
      </w:r>
    </w:p>
    <w:p>
      <w:pPr>
        <w:spacing w:line="500" w:lineRule="exact"/>
        <w:ind w:firstLine="420" w:firstLineChars="200"/>
        <w:rPr>
          <w:rFonts w:ascii="宋体" w:hAnsi="宋体" w:eastAsia="宋体" w:cs="宋体"/>
          <w:szCs w:val="21"/>
        </w:rPr>
      </w:pPr>
      <w:r>
        <w:rPr>
          <w:rFonts w:hint="eastAsia" w:ascii="宋体" w:hAnsi="宋体" w:eastAsia="宋体" w:cs="宋体"/>
          <w:szCs w:val="21"/>
        </w:rPr>
        <w:t>34.1　供应商不得与采购人、采购代理机构、其他供应商恶意串通；不得向采购人、采购代理机构或者磋商小组成员行贿或者提供其他不正当利益；不得提供虚假材料谋取成交；不得以任何方式干扰、影响采购工作。</w:t>
      </w:r>
    </w:p>
    <w:p>
      <w:pPr>
        <w:spacing w:line="500" w:lineRule="exact"/>
        <w:ind w:firstLine="420" w:firstLineChars="200"/>
        <w:rPr>
          <w:rFonts w:ascii="宋体" w:hAnsi="宋体" w:eastAsia="宋体" w:cs="宋体"/>
          <w:szCs w:val="21"/>
        </w:rPr>
      </w:pPr>
      <w:r>
        <w:rPr>
          <w:rFonts w:hint="eastAsia" w:ascii="宋体" w:hAnsi="宋体" w:eastAsia="宋体" w:cs="宋体"/>
          <w:szCs w:val="21"/>
        </w:rPr>
        <w:t>五、成交结果信息公布与签订合同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35.成交信息的公布</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35.1　成交供应商确定之日起2个工作日内，采购人或者采购代理机构应在磋商须知前附表中规定的公告媒体上公布成交结果信息。</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35.2　磋商文件随成交结果同时公告。但成交结果公告前磋商文件已公告的，不再重复公告。</w:t>
      </w:r>
    </w:p>
    <w:p>
      <w:pPr>
        <w:spacing w:line="500" w:lineRule="exact"/>
        <w:ind w:firstLine="420" w:firstLineChars="200"/>
        <w:rPr>
          <w:rFonts w:ascii="宋体" w:hAnsi="宋体" w:eastAsia="宋体" w:cs="宋体"/>
          <w:szCs w:val="21"/>
        </w:rPr>
      </w:pPr>
      <w:r>
        <w:rPr>
          <w:rFonts w:hint="eastAsia" w:ascii="宋体" w:hAnsi="宋体" w:eastAsia="宋体" w:cs="宋体"/>
          <w:szCs w:val="21"/>
        </w:rPr>
        <w:t>35.3　采用书面推荐供应商参加采购活动的，在公告结果同时公告采购人和评审专家的推荐意见。</w:t>
      </w:r>
    </w:p>
    <w:p>
      <w:pPr>
        <w:spacing w:line="500" w:lineRule="exact"/>
        <w:ind w:firstLine="420" w:firstLineChars="200"/>
        <w:rPr>
          <w:rFonts w:ascii="宋体" w:hAnsi="宋体" w:eastAsia="宋体" w:cs="宋体"/>
          <w:szCs w:val="21"/>
        </w:rPr>
      </w:pPr>
      <w:r>
        <w:rPr>
          <w:rFonts w:hint="eastAsia" w:ascii="宋体" w:hAnsi="宋体" w:eastAsia="宋体" w:cs="宋体"/>
          <w:szCs w:val="21"/>
        </w:rPr>
        <w:t>36.成交通知</w:t>
      </w:r>
    </w:p>
    <w:p>
      <w:pPr>
        <w:spacing w:line="500" w:lineRule="exact"/>
        <w:ind w:firstLine="420" w:firstLineChars="200"/>
        <w:rPr>
          <w:rFonts w:ascii="宋体" w:hAnsi="宋体" w:eastAsia="宋体" w:cs="宋体"/>
          <w:szCs w:val="21"/>
        </w:rPr>
      </w:pPr>
      <w:r>
        <w:rPr>
          <w:rFonts w:hint="eastAsia" w:ascii="宋体" w:hAnsi="宋体" w:eastAsia="宋体" w:cs="宋体"/>
          <w:szCs w:val="21"/>
        </w:rPr>
        <w:t>36.1　成交供应商确定后，采购人或采购代理机构在发布成交公告的同时以书面形式向成交供应商发出成交通知书。成交通知书对采购人和成交供应商具有同等法律效力。</w:t>
      </w:r>
    </w:p>
    <w:p>
      <w:pPr>
        <w:spacing w:line="500" w:lineRule="exact"/>
        <w:ind w:firstLine="420" w:firstLineChars="200"/>
        <w:rPr>
          <w:rFonts w:ascii="宋体" w:hAnsi="宋体" w:eastAsia="宋体" w:cs="宋体"/>
          <w:szCs w:val="21"/>
        </w:rPr>
      </w:pPr>
      <w:r>
        <w:rPr>
          <w:rFonts w:hint="eastAsia" w:ascii="宋体" w:hAnsi="宋体" w:eastAsia="宋体" w:cs="宋体"/>
          <w:szCs w:val="21"/>
        </w:rPr>
        <w:t>37.履约保证金</w:t>
      </w:r>
    </w:p>
    <w:p>
      <w:pPr>
        <w:spacing w:line="500" w:lineRule="exact"/>
        <w:ind w:firstLine="420" w:firstLineChars="200"/>
        <w:rPr>
          <w:rFonts w:ascii="宋体" w:hAnsi="宋体" w:eastAsia="宋体" w:cs="宋体"/>
          <w:szCs w:val="21"/>
        </w:rPr>
      </w:pPr>
      <w:r>
        <w:rPr>
          <w:rFonts w:hint="eastAsia" w:ascii="宋体" w:hAnsi="宋体" w:eastAsia="宋体" w:cs="宋体"/>
          <w:szCs w:val="21"/>
        </w:rPr>
        <w:t>37.1　成交供应商按照磋商须知前附表的规定，在签订采购合同前，向采购人提交履约保证金。联合体成交的，履约保证金以联合体各方或联合体中牵头人的名义提交。</w:t>
      </w:r>
    </w:p>
    <w:p>
      <w:pPr>
        <w:spacing w:line="500" w:lineRule="exact"/>
        <w:ind w:firstLine="420" w:firstLineChars="200"/>
        <w:rPr>
          <w:rFonts w:ascii="宋体" w:hAnsi="宋体" w:eastAsia="宋体" w:cs="宋体"/>
          <w:szCs w:val="21"/>
        </w:rPr>
      </w:pPr>
      <w:r>
        <w:rPr>
          <w:rFonts w:hint="eastAsia" w:ascii="宋体" w:hAnsi="宋体" w:eastAsia="宋体" w:cs="宋体"/>
          <w:szCs w:val="21"/>
        </w:rPr>
        <w:t>37.2　成交供应商没有按照磋商须知前附表的规定提交履约保证金的，视为放弃成交资格，其磋商保证金不予退还。</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38.签订合同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38.1　磋商文件、成交供应商的响应文件及补充文件等均为签订政府采购合同的依据。</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38.2　成交供应商应当在成交通知书发出之日起30日内与采购人签订政府采购合同。</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500" w:lineRule="exact"/>
        <w:ind w:firstLine="420" w:firstLineChars="200"/>
        <w:rPr>
          <w:rFonts w:ascii="宋体" w:hAnsi="宋体" w:eastAsia="宋体" w:cs="宋体"/>
          <w:szCs w:val="21"/>
        </w:rPr>
      </w:pPr>
      <w:r>
        <w:rPr>
          <w:rFonts w:hint="eastAsia" w:ascii="宋体" w:hAnsi="宋体" w:eastAsia="宋体" w:cs="宋体"/>
          <w:szCs w:val="21"/>
        </w:rPr>
        <w:t>38.4　自政府采购合同签订之日起2个工作日内，本项目政府采购合同在磋商须知前附表规定的媒体上公告，但政府采购合同中涉及国家秘密、商业秘密的内容除外。</w:t>
      </w:r>
    </w:p>
    <w:p>
      <w:pPr>
        <w:spacing w:line="500" w:lineRule="exact"/>
        <w:ind w:firstLine="420" w:firstLineChars="200"/>
        <w:rPr>
          <w:rFonts w:ascii="宋体" w:hAnsi="宋体" w:eastAsia="宋体" w:cs="宋体"/>
          <w:szCs w:val="21"/>
        </w:rPr>
      </w:pPr>
      <w:r>
        <w:rPr>
          <w:rFonts w:hint="eastAsia" w:ascii="宋体" w:hAnsi="宋体" w:eastAsia="宋体" w:cs="宋体"/>
          <w:szCs w:val="21"/>
        </w:rPr>
        <w:t>六、其他规定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39.采购代理服务费</w:t>
      </w:r>
    </w:p>
    <w:p>
      <w:pPr>
        <w:spacing w:line="500" w:lineRule="exact"/>
        <w:ind w:firstLine="420" w:firstLineChars="200"/>
        <w:rPr>
          <w:rFonts w:ascii="宋体" w:hAnsi="宋体" w:eastAsia="宋体" w:cs="宋体"/>
          <w:szCs w:val="21"/>
        </w:rPr>
      </w:pPr>
      <w:r>
        <w:rPr>
          <w:rFonts w:hint="eastAsia" w:ascii="宋体" w:hAnsi="宋体" w:eastAsia="宋体" w:cs="宋体"/>
          <w:szCs w:val="21"/>
        </w:rPr>
        <w:t>39.1　成交供应商是否交纳采购代理服务费及相关要求见磋商须知前附表。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40.询问、质疑、投诉</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40.1　供应商对政府采购活动事项有疑问的，可以向采购人提出询问，采购人应当及时作出答复，但答复的内容不得涉及商业秘密。</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40.2　供应商认为磋商文件、磋商过程和成交结果使自己的权益受到损害的，可以在知道或者应知其权益受到损害之日起7个工作日内，以书面形式向采购人提出质疑。</w:t>
      </w:r>
    </w:p>
    <w:p>
      <w:pPr>
        <w:spacing w:line="500" w:lineRule="exact"/>
        <w:ind w:firstLine="420" w:firstLineChars="200"/>
        <w:rPr>
          <w:rFonts w:ascii="宋体" w:hAnsi="宋体" w:eastAsia="宋体" w:cs="宋体"/>
          <w:szCs w:val="21"/>
        </w:rPr>
      </w:pPr>
      <w:r>
        <w:rPr>
          <w:rFonts w:hint="eastAsia" w:ascii="宋体" w:hAnsi="宋体" w:eastAsia="宋体" w:cs="宋体"/>
          <w:szCs w:val="21"/>
        </w:rPr>
        <w:t>40.3　供应商对采购人或采购代理机构的答复不满意，或采购人或采购代理机构未在规定的期限作出答复的，可在答复期满后15个工作日内，按政府采购法律法规规定及程序，向财政部提出投诉。</w:t>
      </w:r>
    </w:p>
    <w:p>
      <w:pPr>
        <w:spacing w:line="500" w:lineRule="exact"/>
        <w:ind w:firstLine="420" w:firstLineChars="200"/>
        <w:rPr>
          <w:rFonts w:ascii="宋体" w:hAnsi="宋体" w:eastAsia="宋体" w:cs="宋体"/>
          <w:szCs w:val="21"/>
        </w:rPr>
      </w:pPr>
      <w:r>
        <w:rPr>
          <w:rFonts w:hint="eastAsia" w:ascii="宋体" w:hAnsi="宋体" w:eastAsia="宋体" w:cs="宋体"/>
          <w:szCs w:val="21"/>
        </w:rPr>
        <w:t>41.成交供应商有下列情形之一的，将被列入不良行为记录名单，在1～3年内禁止参加政府采购活动，并予以通报：</w:t>
      </w:r>
    </w:p>
    <w:p>
      <w:pPr>
        <w:spacing w:line="500" w:lineRule="exact"/>
        <w:ind w:firstLine="420" w:firstLineChars="200"/>
        <w:rPr>
          <w:rFonts w:ascii="宋体" w:hAnsi="宋体" w:eastAsia="宋体" w:cs="宋体"/>
          <w:szCs w:val="21"/>
        </w:rPr>
      </w:pPr>
      <w:r>
        <w:rPr>
          <w:rFonts w:hint="eastAsia" w:ascii="宋体" w:hAnsi="宋体" w:eastAsia="宋体" w:cs="宋体"/>
          <w:szCs w:val="21"/>
        </w:rPr>
        <w:t>(1)成交后无正当理由不与采购人签订合同的；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(2)未按照采购文件确定的事项签订政府采购合同，或者与采购人另行订立背离合同实质性内容的协议的；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(3)拒绝履行合同义务的；</w:t>
      </w:r>
    </w:p>
    <w:p>
      <w:pPr>
        <w:spacing w:line="500" w:lineRule="exact"/>
        <w:ind w:firstLine="420" w:firstLineChars="200"/>
        <w:rPr>
          <w:rFonts w:ascii="宋体" w:hAnsi="宋体" w:eastAsia="宋体" w:cs="宋体"/>
          <w:szCs w:val="21"/>
        </w:rPr>
      </w:pPr>
      <w:r>
        <w:rPr>
          <w:rFonts w:hint="eastAsia" w:ascii="宋体" w:hAnsi="宋体" w:eastAsia="宋体" w:cs="宋体"/>
          <w:szCs w:val="21"/>
        </w:rPr>
        <w:t>(4)《政府采购法》第七十七条和《政府采购法实施条例》第七十二条规定的其他情形；</w:t>
      </w:r>
    </w:p>
    <w:p>
      <w:pPr>
        <w:spacing w:line="500" w:lineRule="exact"/>
        <w:ind w:firstLine="420" w:firstLineChars="200"/>
        <w:rPr>
          <w:rFonts w:ascii="宋体" w:hAnsi="宋体" w:eastAsia="宋体" w:cs="宋体"/>
          <w:szCs w:val="21"/>
        </w:rPr>
      </w:pPr>
      <w:r>
        <w:rPr>
          <w:rFonts w:hint="eastAsia" w:ascii="宋体" w:hAnsi="宋体" w:eastAsia="宋体" w:cs="宋体"/>
          <w:szCs w:val="21"/>
        </w:rPr>
        <w:t>(5)其他违反法律法规相关规定的情形。</w:t>
      </w:r>
    </w:p>
    <w:p>
      <w:pPr>
        <w:spacing w:line="500" w:lineRule="exact"/>
        <w:ind w:firstLine="420" w:firstLineChars="200"/>
        <w:rPr>
          <w:rFonts w:ascii="宋体" w:hAnsi="宋体" w:eastAsia="宋体" w:cs="宋体"/>
          <w:szCs w:val="21"/>
        </w:rPr>
      </w:pPr>
      <w:r>
        <w:rPr>
          <w:rFonts w:hint="eastAsia" w:ascii="宋体" w:hAnsi="宋体" w:eastAsia="宋体" w:cs="宋体"/>
          <w:szCs w:val="21"/>
        </w:rPr>
        <w:t>42.其他规定</w:t>
      </w:r>
    </w:p>
    <w:p>
      <w:pPr>
        <w:spacing w:line="500" w:lineRule="exact"/>
        <w:ind w:firstLine="420" w:firstLineChars="200"/>
        <w:rPr>
          <w:rFonts w:ascii="宋体" w:hAnsi="宋体" w:eastAsia="宋体" w:cs="宋体"/>
          <w:szCs w:val="21"/>
        </w:rPr>
      </w:pPr>
      <w:r>
        <w:rPr>
          <w:rFonts w:hint="eastAsia" w:ascii="宋体" w:hAnsi="宋体" w:eastAsia="宋体" w:cs="宋体"/>
          <w:szCs w:val="21"/>
        </w:rPr>
        <w:t>42.1　磋商文件的其他规定见磋商须知前附表。</w:t>
      </w:r>
    </w:p>
    <w:p>
      <w:pPr>
        <w:spacing w:line="500" w:lineRule="exact"/>
        <w:ind w:firstLine="420" w:firstLineChars="200"/>
        <w:rPr>
          <w:rFonts w:ascii="宋体" w:hAnsi="宋体" w:eastAsia="宋体" w:cs="宋体"/>
          <w:szCs w:val="21"/>
        </w:rPr>
      </w:pPr>
      <w:r>
        <w:rPr>
          <w:rFonts w:hint="eastAsia" w:ascii="宋体" w:hAnsi="宋体" w:eastAsia="宋体" w:cs="宋体"/>
          <w:szCs w:val="21"/>
        </w:rPr>
        <w:t>43.未尽事宜</w:t>
      </w:r>
    </w:p>
    <w:p>
      <w:pPr>
        <w:spacing w:line="500" w:lineRule="exact"/>
        <w:ind w:firstLine="420" w:firstLineChars="200"/>
        <w:rPr>
          <w:rFonts w:ascii="宋体" w:hAnsi="宋体" w:eastAsia="宋体" w:cs="宋体"/>
          <w:szCs w:val="21"/>
        </w:rPr>
      </w:pPr>
      <w:r>
        <w:rPr>
          <w:rFonts w:hint="eastAsia" w:ascii="宋体" w:hAnsi="宋体" w:eastAsia="宋体" w:cs="宋体"/>
          <w:szCs w:val="21"/>
        </w:rPr>
        <w:t>43.1　其他未尽事宜按政府采购法律法规的规定执行。</w:t>
      </w:r>
    </w:p>
    <w:p>
      <w:pPr>
        <w:spacing w:line="500" w:lineRule="exact"/>
        <w:ind w:firstLine="420" w:firstLineChars="200"/>
        <w:rPr>
          <w:rFonts w:ascii="宋体" w:hAnsi="宋体" w:eastAsia="宋体" w:cs="宋体"/>
          <w:szCs w:val="21"/>
        </w:rPr>
      </w:pPr>
      <w:r>
        <w:rPr>
          <w:rFonts w:hint="eastAsia" w:ascii="宋体" w:hAnsi="宋体" w:eastAsia="宋体" w:cs="宋体"/>
          <w:szCs w:val="21"/>
        </w:rPr>
        <w:t>44.文件解释权</w:t>
      </w:r>
    </w:p>
    <w:p>
      <w:pPr>
        <w:spacing w:line="500" w:lineRule="exact"/>
        <w:ind w:firstLine="420" w:firstLineChars="200"/>
        <w:rPr>
          <w:rFonts w:ascii="宋体" w:hAnsi="宋体" w:eastAsia="宋体" w:cs="宋体"/>
          <w:szCs w:val="21"/>
        </w:rPr>
      </w:pPr>
      <w:r>
        <w:rPr>
          <w:rFonts w:hint="eastAsia" w:ascii="宋体" w:hAnsi="宋体" w:eastAsia="宋体" w:cs="宋体"/>
          <w:szCs w:val="21"/>
        </w:rPr>
        <w:t>44.1　本磋商文件的解释权归采购人(或采购代理机构)所有。</w:t>
      </w:r>
    </w:p>
    <w:p>
      <w:pPr>
        <w:widowControl/>
        <w:spacing w:line="360" w:lineRule="auto"/>
        <w:ind w:firstLine="420" w:firstLineChars="200"/>
        <w:jc w:val="left"/>
        <w:rPr>
          <w:rFonts w:cs="宋体" w:asciiTheme="minorEastAsia" w:hAnsiTheme="minorEastAsia"/>
          <w:kern w:val="0"/>
          <w:sz w:val="24"/>
          <w:szCs w:val="24"/>
        </w:rPr>
      </w:pPr>
      <w:r>
        <w:rPr>
          <w:rFonts w:hint="eastAsia" w:ascii="宋体" w:hAnsi="宋体" w:eastAsia="宋体" w:cs="宋体"/>
          <w:szCs w:val="21"/>
        </w:rPr>
        <w:br w:type="page"/>
      </w:r>
    </w:p>
    <w:p>
      <w:pPr>
        <w:keepNext/>
        <w:keepLines/>
        <w:spacing w:before="240" w:after="64" w:line="500" w:lineRule="exact"/>
        <w:jc w:val="center"/>
        <w:outlineLvl w:val="6"/>
        <w:rPr>
          <w:rFonts w:ascii="宋体" w:hAnsi="宋体" w:eastAsia="宋体" w:cs="宋体"/>
          <w:b/>
          <w:bCs/>
          <w:sz w:val="30"/>
          <w:szCs w:val="30"/>
        </w:rPr>
      </w:pPr>
      <w:r>
        <w:rPr>
          <w:rFonts w:hint="eastAsia" w:ascii="宋体" w:hAnsi="宋体" w:eastAsia="宋体" w:cs="宋体"/>
          <w:b/>
          <w:bCs/>
          <w:sz w:val="30"/>
          <w:szCs w:val="30"/>
        </w:rPr>
        <w:t>第三章　评审方法及标准</w:t>
      </w:r>
    </w:p>
    <w:p>
      <w:pPr>
        <w:ind w:firstLine="420" w:firstLineChars="200"/>
        <w:rPr>
          <w:rFonts w:ascii="宋体" w:hAnsi="宋体" w:eastAsia="宋体" w:cs="宋体"/>
          <w:szCs w:val="21"/>
        </w:rPr>
      </w:pPr>
      <w:r>
        <w:rPr>
          <w:rFonts w:hint="eastAsia" w:ascii="宋体" w:hAnsi="宋体" w:eastAsia="宋体" w:cs="宋体"/>
          <w:szCs w:val="21"/>
        </w:rPr>
        <w:t>1.评审方法</w:t>
      </w:r>
    </w:p>
    <w:p>
      <w:pPr>
        <w:ind w:firstLine="420" w:firstLineChars="200"/>
        <w:rPr>
          <w:rFonts w:ascii="宋体" w:hAnsi="宋体" w:eastAsia="宋体" w:cs="宋体"/>
          <w:szCs w:val="21"/>
        </w:rPr>
      </w:pPr>
      <w:r>
        <w:rPr>
          <w:rFonts w:hint="eastAsia" w:ascii="宋体" w:hAnsi="宋体" w:eastAsia="宋体" w:cs="宋体"/>
          <w:szCs w:val="21"/>
        </w:rPr>
        <w:t>1.1评审方法：综合评分法，是指响应文件满足磋商文件全部实质性要求且按评审因素的量化指标评审得分最高的供应商为成交候选供应商的评审方法。</w:t>
      </w:r>
    </w:p>
    <w:p>
      <w:pPr>
        <w:ind w:firstLine="420" w:firstLineChars="200"/>
        <w:rPr>
          <w:rFonts w:ascii="宋体" w:hAnsi="宋体" w:eastAsia="宋体" w:cs="宋体"/>
          <w:szCs w:val="21"/>
        </w:rPr>
      </w:pPr>
      <w:r>
        <w:rPr>
          <w:rFonts w:hint="eastAsia" w:ascii="宋体" w:hAnsi="宋体" w:eastAsia="宋体" w:cs="宋体"/>
          <w:szCs w:val="21"/>
        </w:rPr>
        <w:t>2.资格审查</w:t>
      </w:r>
      <w:r>
        <w:rPr>
          <w:rFonts w:ascii="宋体" w:hAnsi="宋体" w:eastAsia="宋体" w:cs="宋体"/>
          <w:szCs w:val="21"/>
        </w:rPr>
        <w:t>标准</w:t>
      </w:r>
    </w:p>
    <w:tbl>
      <w:tblPr>
        <w:tblStyle w:val="21"/>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序号</w:t>
            </w:r>
          </w:p>
        </w:tc>
        <w:tc>
          <w:tcPr>
            <w:tcW w:w="853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c>
          <w:tcPr>
            <w:tcW w:w="85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1</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Theme="minorEastAsia" w:hAnsiTheme="minorEastAsia"/>
                <w:color w:val="000000"/>
                <w:szCs w:val="21"/>
              </w:rPr>
              <w:t>提供有效的营业执照</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2</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color w:val="FF0000"/>
                <w:szCs w:val="24"/>
              </w:rPr>
            </w:pPr>
            <w:r>
              <w:rPr>
                <w:rFonts w:hint="eastAsia" w:asciiTheme="minorEastAsia" w:hAnsiTheme="minorEastAsia"/>
                <w:color w:val="000000"/>
                <w:szCs w:val="21"/>
              </w:rPr>
              <w:t>健全的财务制度，能够提供近以年（</w:t>
            </w:r>
            <w:r>
              <w:rPr>
                <w:rFonts w:hint="eastAsia" w:asciiTheme="minorEastAsia" w:hAnsiTheme="minorEastAsia"/>
                <w:color w:val="000000"/>
                <w:szCs w:val="21"/>
                <w:lang w:val="en-US" w:eastAsia="zh-CN"/>
              </w:rPr>
              <w:t>2020</w:t>
            </w:r>
            <w:r>
              <w:rPr>
                <w:rFonts w:hint="eastAsia" w:asciiTheme="minorEastAsia" w:hAnsiTheme="minorEastAsia"/>
                <w:color w:val="000000"/>
                <w:szCs w:val="21"/>
              </w:rPr>
              <w:t>年度或</w:t>
            </w:r>
            <w:r>
              <w:rPr>
                <w:rFonts w:hint="eastAsia" w:asciiTheme="minorEastAsia" w:hAnsiTheme="minorEastAsia"/>
                <w:color w:val="000000"/>
                <w:szCs w:val="21"/>
                <w:lang w:val="en-US" w:eastAsia="zh-CN"/>
              </w:rPr>
              <w:t>2021</w:t>
            </w:r>
            <w:r>
              <w:rPr>
                <w:rFonts w:hint="eastAsia" w:asciiTheme="minorEastAsia" w:hAnsiTheme="minorEastAsia"/>
                <w:color w:val="000000"/>
                <w:szCs w:val="21"/>
              </w:rPr>
              <w:t>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3</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Cs w:val="21"/>
              </w:rPr>
            </w:pPr>
            <w:r>
              <w:rPr>
                <w:rFonts w:hint="eastAsia" w:asciiTheme="minorEastAsia" w:hAnsiTheme="minorEastAsia"/>
                <w:color w:val="000000"/>
                <w:szCs w:val="21"/>
              </w:rPr>
              <w:t>近三年（20</w:t>
            </w:r>
            <w:r>
              <w:rPr>
                <w:rFonts w:asciiTheme="minorEastAsia" w:hAnsiTheme="minorEastAsia"/>
                <w:color w:val="000000"/>
                <w:szCs w:val="21"/>
              </w:rPr>
              <w:t>19</w:t>
            </w:r>
            <w:r>
              <w:rPr>
                <w:rFonts w:hint="eastAsia" w:asciiTheme="minorEastAsia" w:hAnsiTheme="minorEastAsia"/>
                <w:color w:val="000000"/>
                <w:szCs w:val="21"/>
              </w:rPr>
              <w:t xml:space="preserve"> 年</w:t>
            </w:r>
            <w:r>
              <w:rPr>
                <w:rFonts w:asciiTheme="minorEastAsia" w:hAnsiTheme="minorEastAsia"/>
                <w:color w:val="000000"/>
                <w:szCs w:val="21"/>
              </w:rPr>
              <w:t>5</w:t>
            </w:r>
            <w:r>
              <w:rPr>
                <w:rFonts w:hint="eastAsia" w:asciiTheme="minorEastAsia" w:hAnsiTheme="minorEastAsia"/>
                <w:color w:val="000000"/>
                <w:szCs w:val="21"/>
              </w:rPr>
              <w:t>月1日至今）内承接并完成不少于一项类似信息化工程监理业绩；提供中标通知书或合同；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4</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highlight w:val="none"/>
              </w:rPr>
            </w:pPr>
            <w:r>
              <w:rPr>
                <w:rFonts w:hint="eastAsia" w:ascii="宋体" w:hAnsi="宋体"/>
                <w:szCs w:val="21"/>
                <w:highlight w:val="none"/>
              </w:rPr>
              <w:t>总监理工程师必须具备信息系统监理师证书或通信工程专业的注册监理工程师（证书需在有效期内）；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5</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供应商未被列入“信用中国”网站中“记录失信被执行人或重大税收违法案件当事人名单或政府采购严重违法失信行为”的记录名单；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6</w:t>
            </w:r>
          </w:p>
        </w:tc>
        <w:tc>
          <w:tcPr>
            <w:tcW w:w="853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Theme="minorEastAsia" w:hAnsiTheme="minorEastAsia"/>
                <w:color w:val="000000"/>
                <w:szCs w:val="21"/>
              </w:rPr>
              <w:t>法人代表或其委托代理人应携带本人身份证原件及复印件，委托代理人还应携带《法人代表授权委托书》原件</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7</w:t>
            </w:r>
          </w:p>
        </w:tc>
        <w:tc>
          <w:tcPr>
            <w:tcW w:w="85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color w:val="000000"/>
                <w:szCs w:val="21"/>
              </w:rPr>
            </w:pPr>
            <w:r>
              <w:rPr>
                <w:rFonts w:hint="eastAsia" w:ascii="宋体" w:hAnsi="宋体" w:eastAsia="宋体" w:cs="Times New Roman"/>
                <w:bCs/>
                <w:szCs w:val="24"/>
              </w:rPr>
              <w:t>本项目不接受联合体</w:t>
            </w:r>
            <w:r>
              <w:rPr>
                <w:rFonts w:ascii="宋体" w:hAnsi="宋体" w:eastAsia="宋体" w:cs="Times New Roman"/>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8</w:t>
            </w:r>
          </w:p>
        </w:tc>
        <w:tc>
          <w:tcPr>
            <w:tcW w:w="85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Cs w:val="24"/>
              </w:rPr>
            </w:pPr>
            <w:r>
              <w:rPr>
                <w:rFonts w:ascii="宋体" w:hAnsi="宋体"/>
                <w:kern w:val="0"/>
                <w:szCs w:val="21"/>
              </w:rPr>
              <w:t>投标人须在招标文件规定时间内按照投标人须知前附表第16项规定缴纳投标保证金，投标人若未按招标文件要求缴纳投标保证金的，其投标文件将被拒绝。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Cs/>
                <w:szCs w:val="24"/>
                <w:lang w:val="en-US" w:eastAsia="zh-CN"/>
              </w:rPr>
            </w:pPr>
            <w:r>
              <w:rPr>
                <w:rFonts w:hint="eastAsia" w:ascii="宋体" w:hAnsi="宋体" w:eastAsia="宋体" w:cs="Times New Roman"/>
                <w:bCs/>
                <w:szCs w:val="24"/>
                <w:lang w:val="en-US" w:eastAsia="zh-CN"/>
              </w:rPr>
              <w:t>9</w:t>
            </w:r>
          </w:p>
        </w:tc>
        <w:tc>
          <w:tcPr>
            <w:tcW w:w="85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Theme="minorEastAsia"/>
                <w:kern w:val="0"/>
                <w:szCs w:val="21"/>
                <w:lang w:eastAsia="zh-CN"/>
              </w:rPr>
            </w:pPr>
            <w:r>
              <w:rPr>
                <w:rFonts w:hint="eastAsia" w:ascii="宋体" w:hAnsi="宋体"/>
                <w:kern w:val="0"/>
                <w:szCs w:val="21"/>
                <w:lang w:eastAsia="zh-CN"/>
              </w:rPr>
              <w:t>是否为中小企业并提供中小企业声明函；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备注</w:t>
            </w:r>
          </w:p>
        </w:tc>
        <w:tc>
          <w:tcPr>
            <w:tcW w:w="85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Cs w:val="24"/>
              </w:rPr>
            </w:pPr>
            <w:r>
              <w:rPr>
                <w:rFonts w:hint="eastAsia" w:ascii="宋体" w:hAnsi="宋体" w:eastAsia="宋体" w:cs="Times New Roman"/>
                <w:bCs/>
                <w:szCs w:val="24"/>
              </w:rPr>
              <w:t>再次重申：投标人请认真阅读和理解上述内容，避免投标文件中有违背上述审查标准之一的情况发生而造成废标。</w:t>
            </w:r>
          </w:p>
        </w:tc>
      </w:tr>
    </w:tbl>
    <w:p>
      <w:pPr>
        <w:ind w:firstLine="420" w:firstLineChars="200"/>
        <w:rPr>
          <w:rFonts w:ascii="宋体" w:hAnsi="宋体" w:eastAsia="宋体" w:cs="宋体"/>
          <w:szCs w:val="21"/>
        </w:rPr>
      </w:pPr>
      <w:r>
        <w:rPr>
          <w:rFonts w:hint="eastAsia" w:ascii="宋体" w:hAnsi="宋体"/>
          <w:bCs/>
        </w:rPr>
        <w:t>备注：如果投标文件中有一项未通过审查标准，评标委员会将认定整个投标文件不响应磋商文件而予以废标，并且不允许投标人通过修改或撤销其不符合要求的差异或保留，使之成为具有响应性的投标。</w:t>
      </w:r>
    </w:p>
    <w:p>
      <w:pPr>
        <w:spacing w:line="440" w:lineRule="exact"/>
        <w:ind w:firstLine="420" w:firstLineChars="200"/>
        <w:jc w:val="left"/>
        <w:rPr>
          <w:rFonts w:ascii="宋体" w:hAnsi="宋体" w:eastAsia="宋体" w:cs="Times New Roman"/>
          <w:bCs/>
          <w:szCs w:val="24"/>
        </w:rPr>
      </w:pPr>
      <w:r>
        <w:rPr>
          <w:rFonts w:hint="eastAsia" w:ascii="宋体" w:hAnsi="宋体" w:eastAsia="宋体" w:cs="Times New Roman"/>
          <w:bCs/>
          <w:szCs w:val="24"/>
        </w:rPr>
        <w:t>3.初步审查标准</w:t>
      </w:r>
    </w:p>
    <w:tbl>
      <w:tblPr>
        <w:tblStyle w:val="2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序号</w:t>
            </w:r>
          </w:p>
        </w:tc>
        <w:tc>
          <w:tcPr>
            <w:tcW w:w="77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c>
          <w:tcPr>
            <w:tcW w:w="77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ascii="宋体" w:hAnsi="宋体" w:eastAsia="宋体" w:cs="Times New Roman"/>
                <w:bCs/>
                <w:szCs w:val="24"/>
              </w:rPr>
              <w:t>1</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宋体" w:hAnsi="宋体"/>
              </w:rPr>
              <w:t>磋商报价文件要求加盖供应商章、法定代表人章处未加盖印章的；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2</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color w:val="FF0000"/>
                <w:szCs w:val="24"/>
              </w:rPr>
            </w:pPr>
            <w:r>
              <w:rPr>
                <w:rFonts w:ascii="宋体" w:hAnsi="宋体"/>
                <w:szCs w:val="21"/>
              </w:rPr>
              <w:t>供应商的法定代表人授权他人进行</w:t>
            </w:r>
            <w:r>
              <w:rPr>
                <w:rFonts w:hint="eastAsia" w:ascii="宋体" w:hAnsi="宋体"/>
                <w:szCs w:val="21"/>
              </w:rPr>
              <w:t>磋商</w:t>
            </w:r>
            <w:r>
              <w:rPr>
                <w:rFonts w:ascii="宋体" w:hAnsi="宋体"/>
                <w:szCs w:val="21"/>
              </w:rPr>
              <w:t>时，其授权委托书无效的；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3</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ascii="宋体" w:hAnsi="宋体"/>
                <w:szCs w:val="21"/>
              </w:rPr>
              <w:t>竞争性</w:t>
            </w:r>
            <w:r>
              <w:rPr>
                <w:rFonts w:hint="eastAsia" w:ascii="宋体" w:hAnsi="宋体"/>
                <w:szCs w:val="21"/>
              </w:rPr>
              <w:t>磋商</w:t>
            </w:r>
            <w:r>
              <w:rPr>
                <w:rFonts w:ascii="宋体" w:hAnsi="宋体"/>
                <w:szCs w:val="21"/>
              </w:rPr>
              <w:t>报价文件与竞争性</w:t>
            </w:r>
            <w:r>
              <w:rPr>
                <w:rFonts w:hint="eastAsia" w:ascii="宋体" w:hAnsi="宋体"/>
                <w:szCs w:val="21"/>
              </w:rPr>
              <w:t>磋商</w:t>
            </w:r>
            <w:r>
              <w:rPr>
                <w:rFonts w:ascii="宋体" w:hAnsi="宋体"/>
                <w:szCs w:val="21"/>
              </w:rPr>
              <w:t>文件要求存在重大偏离的，特别在</w:t>
            </w:r>
            <w:r>
              <w:rPr>
                <w:rFonts w:hint="eastAsia" w:ascii="宋体" w:hAnsi="宋体"/>
                <w:szCs w:val="21"/>
              </w:rPr>
              <w:t>采购</w:t>
            </w:r>
            <w:r>
              <w:rPr>
                <w:rFonts w:ascii="宋体" w:hAnsi="宋体"/>
                <w:szCs w:val="21"/>
              </w:rPr>
              <w:t>范围、</w:t>
            </w:r>
            <w:r>
              <w:rPr>
                <w:rFonts w:hint="eastAsia" w:ascii="宋体" w:hAnsi="宋体"/>
                <w:szCs w:val="21"/>
              </w:rPr>
              <w:t>服务周期</w:t>
            </w:r>
            <w:r>
              <w:rPr>
                <w:rFonts w:ascii="宋体" w:hAnsi="宋体"/>
                <w:szCs w:val="21"/>
              </w:rPr>
              <w:t>等方面有重大改变的；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4</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ascii="宋体" w:hAnsi="宋体"/>
                <w:szCs w:val="21"/>
              </w:rPr>
              <w:t>竞争性</w:t>
            </w:r>
            <w:r>
              <w:rPr>
                <w:rFonts w:hint="eastAsia" w:ascii="宋体" w:hAnsi="宋体"/>
                <w:szCs w:val="21"/>
              </w:rPr>
              <w:t>磋商</w:t>
            </w:r>
            <w:r>
              <w:rPr>
                <w:rFonts w:ascii="宋体" w:hAnsi="宋体"/>
                <w:szCs w:val="21"/>
              </w:rPr>
              <w:t>报价文件未按规定的格式填写，内容不全或关键字迹模糊无法辨认的；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5</w:t>
            </w:r>
          </w:p>
        </w:tc>
        <w:tc>
          <w:tcPr>
            <w:tcW w:w="77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ascii="宋体" w:hAnsi="宋体"/>
                <w:szCs w:val="21"/>
              </w:rPr>
              <w:t>供应商递交多份内容不同的竞争性</w:t>
            </w:r>
            <w:r>
              <w:rPr>
                <w:rFonts w:hint="eastAsia" w:ascii="宋体" w:hAnsi="宋体"/>
                <w:szCs w:val="21"/>
                <w:lang w:eastAsia="zh-CN"/>
              </w:rPr>
              <w:t>磋商</w:t>
            </w:r>
            <w:r>
              <w:rPr>
                <w:rFonts w:ascii="宋体" w:hAnsi="宋体"/>
                <w:szCs w:val="21"/>
              </w:rPr>
              <w:t>报价文件，或存在多份报价；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6</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宋体" w:hAnsi="宋体"/>
              </w:rPr>
              <w:t>服务要求不满足磋商文件要求的；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Cs/>
                <w:szCs w:val="24"/>
                <w:lang w:val="en-US" w:eastAsia="zh-CN"/>
              </w:rPr>
            </w:pPr>
            <w:r>
              <w:rPr>
                <w:rFonts w:hint="eastAsia" w:ascii="宋体" w:hAnsi="宋体" w:eastAsia="宋体" w:cs="Times New Roman"/>
                <w:bCs/>
                <w:szCs w:val="24"/>
                <w:lang w:val="en-US" w:eastAsia="zh-CN"/>
              </w:rPr>
              <w:t>7</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rPr>
            </w:pPr>
            <w:r>
              <w:rPr>
                <w:rFonts w:hint="eastAsia" w:ascii="宋体" w:hAnsi="宋体"/>
              </w:rPr>
              <w:t>服务承诺未提供的；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Cs/>
                <w:szCs w:val="24"/>
                <w:lang w:val="en-US" w:eastAsia="zh-CN"/>
              </w:rPr>
            </w:pPr>
            <w:r>
              <w:rPr>
                <w:rFonts w:hint="eastAsia" w:ascii="宋体" w:hAnsi="宋体" w:eastAsia="宋体" w:cs="Times New Roman"/>
                <w:bCs/>
                <w:szCs w:val="24"/>
                <w:lang w:val="en-US" w:eastAsia="zh-CN"/>
              </w:rPr>
              <w:t>8</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Cs/>
                <w:szCs w:val="24"/>
              </w:rPr>
            </w:pPr>
            <w:r>
              <w:rPr>
                <w:rFonts w:hint="eastAsia" w:ascii="宋体" w:hAnsi="宋体"/>
              </w:rPr>
              <w:t>磋商报价文件不符合磋商文件实质性要求的；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bCs/>
                <w:szCs w:val="24"/>
                <w:lang w:val="en-US" w:eastAsia="zh-CN"/>
              </w:rPr>
            </w:pPr>
            <w:r>
              <w:rPr>
                <w:rFonts w:hint="eastAsia" w:ascii="宋体" w:hAnsi="宋体" w:eastAsia="宋体" w:cs="Times New Roman"/>
                <w:bCs/>
                <w:szCs w:val="24"/>
                <w:lang w:val="en-US" w:eastAsia="zh-CN"/>
              </w:rPr>
              <w:t>9</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ascii="宋体" w:hAnsi="宋体"/>
                <w:szCs w:val="21"/>
              </w:rPr>
              <w:t>供应商的</w:t>
            </w:r>
            <w:r>
              <w:rPr>
                <w:rFonts w:hint="eastAsia" w:ascii="宋体" w:hAnsi="宋体"/>
                <w:szCs w:val="21"/>
              </w:rPr>
              <w:t>磋商</w:t>
            </w:r>
            <w:r>
              <w:rPr>
                <w:rFonts w:ascii="宋体" w:hAnsi="宋体"/>
                <w:szCs w:val="21"/>
              </w:rPr>
              <w:t>报价经</w:t>
            </w:r>
            <w:r>
              <w:rPr>
                <w:rFonts w:hint="eastAsia" w:ascii="宋体" w:hAnsi="宋体"/>
                <w:szCs w:val="21"/>
              </w:rPr>
              <w:t>谈判小组</w:t>
            </w:r>
            <w:r>
              <w:rPr>
                <w:rFonts w:ascii="宋体" w:hAnsi="宋体"/>
                <w:szCs w:val="21"/>
              </w:rPr>
              <w:t>认定低于成本竞价的；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bCs/>
                <w:szCs w:val="24"/>
                <w:lang w:val="en-US" w:eastAsia="zh-CN"/>
              </w:rPr>
            </w:pPr>
            <w:r>
              <w:rPr>
                <w:rFonts w:hint="eastAsia" w:ascii="宋体" w:hAnsi="宋体" w:eastAsia="宋体" w:cs="Times New Roman"/>
                <w:bCs/>
                <w:szCs w:val="24"/>
                <w:lang w:val="en-US" w:eastAsia="zh-CN"/>
              </w:rPr>
              <w:t>10</w:t>
            </w:r>
          </w:p>
        </w:tc>
        <w:tc>
          <w:tcPr>
            <w:tcW w:w="775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rPr>
              <w:t>磋商保证金缴纳凭证未提供的；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4"/>
              </w:rPr>
            </w:pPr>
            <w:r>
              <w:rPr>
                <w:rFonts w:hint="eastAsia" w:ascii="宋体" w:hAnsi="宋体" w:eastAsia="宋体" w:cs="Times New Roman"/>
                <w:bCs/>
                <w:szCs w:val="24"/>
              </w:rPr>
              <w:t>备注</w:t>
            </w:r>
          </w:p>
        </w:tc>
        <w:tc>
          <w:tcPr>
            <w:tcW w:w="77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zCs w:val="24"/>
              </w:rPr>
            </w:pPr>
            <w:r>
              <w:rPr>
                <w:rFonts w:hint="eastAsia" w:ascii="宋体" w:hAnsi="宋体" w:eastAsia="宋体" w:cs="Times New Roman"/>
                <w:bCs/>
                <w:szCs w:val="24"/>
              </w:rPr>
              <w:t>再次重申：投标人请认真阅读和理解上述内容，避免投标文件中有违背上述审查标准之一的情况发生而造成废标。</w:t>
            </w:r>
          </w:p>
        </w:tc>
      </w:tr>
    </w:tbl>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b/>
        </w:rPr>
        <w:t>　</w:t>
      </w:r>
      <w:r>
        <w:rPr>
          <w:rFonts w:hint="eastAsia" w:ascii="宋体" w:hAnsi="宋体"/>
          <w:bCs/>
        </w:rPr>
        <w:t>备注：如果投标文件中有一项未通过审查标准，评标委员会将认定整个投标文件不响应磋商文件而予以废标，并且不允许投标人通过修改或撤销其不符合要求的差异或保留，使之成为具有响应性的投标。</w:t>
      </w:r>
    </w:p>
    <w:p>
      <w:pPr>
        <w:ind w:firstLine="420" w:firstLineChars="200"/>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4.评分标准</w:t>
      </w:r>
    </w:p>
    <w:p>
      <w:pPr>
        <w:ind w:firstLine="420" w:firstLineChars="200"/>
        <w:rPr>
          <w:rFonts w:ascii="宋体" w:hAnsi="宋体" w:eastAsia="宋体" w:cs="宋体"/>
          <w:szCs w:val="21"/>
        </w:rPr>
      </w:pPr>
    </w:p>
    <w:tbl>
      <w:tblPr>
        <w:tblStyle w:val="21"/>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14"/>
        <w:gridCol w:w="5567"/>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rPr>
                <w:rFonts w:ascii="宋体" w:hAnsi="宋体" w:eastAsia="宋体" w:cs="宋体"/>
                <w:szCs w:val="21"/>
              </w:rPr>
            </w:pPr>
            <w:r>
              <w:rPr>
                <w:rFonts w:hint="eastAsia" w:ascii="宋体" w:hAnsi="宋体" w:eastAsia="宋体" w:cs="宋体"/>
                <w:szCs w:val="21"/>
              </w:rPr>
              <w:t>序号</w:t>
            </w:r>
          </w:p>
        </w:tc>
        <w:tc>
          <w:tcPr>
            <w:tcW w:w="1414" w:type="dxa"/>
            <w:vAlign w:val="center"/>
          </w:tcPr>
          <w:p>
            <w:pPr>
              <w:rPr>
                <w:rFonts w:ascii="宋体" w:hAnsi="宋体" w:eastAsia="宋体" w:cs="宋体"/>
                <w:szCs w:val="21"/>
              </w:rPr>
            </w:pPr>
            <w:r>
              <w:rPr>
                <w:rFonts w:hint="eastAsia" w:ascii="宋体" w:hAnsi="宋体" w:eastAsia="宋体" w:cs="宋体"/>
                <w:szCs w:val="21"/>
              </w:rPr>
              <w:t>评分因素</w:t>
            </w:r>
          </w:p>
        </w:tc>
        <w:tc>
          <w:tcPr>
            <w:tcW w:w="5567" w:type="dxa"/>
            <w:vAlign w:val="center"/>
          </w:tcPr>
          <w:p>
            <w:pPr>
              <w:rPr>
                <w:rFonts w:ascii="宋体" w:hAnsi="宋体" w:eastAsia="宋体" w:cs="宋体"/>
                <w:szCs w:val="21"/>
              </w:rPr>
            </w:pPr>
            <w:r>
              <w:rPr>
                <w:rFonts w:hint="eastAsia" w:ascii="宋体" w:hAnsi="宋体" w:eastAsia="宋体" w:cs="宋体"/>
                <w:szCs w:val="21"/>
              </w:rPr>
              <w:t>评审内容</w:t>
            </w:r>
          </w:p>
        </w:tc>
        <w:tc>
          <w:tcPr>
            <w:tcW w:w="923" w:type="dxa"/>
            <w:vAlign w:val="center"/>
          </w:tcPr>
          <w:p>
            <w:pPr>
              <w:rPr>
                <w:rFonts w:ascii="宋体" w:hAnsi="宋体" w:eastAsia="宋体" w:cs="宋体"/>
                <w:szCs w:val="21"/>
              </w:rPr>
            </w:pPr>
            <w:r>
              <w:rPr>
                <w:rFonts w:hint="eastAsia" w:ascii="宋体" w:hAnsi="宋体" w:eastAsia="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076" w:type="dxa"/>
            <w:vAlign w:val="center"/>
          </w:tcPr>
          <w:p>
            <w:pPr>
              <w:rPr>
                <w:rFonts w:ascii="宋体" w:hAnsi="宋体" w:eastAsia="宋体" w:cs="宋体"/>
                <w:szCs w:val="21"/>
              </w:rPr>
            </w:pPr>
            <w:r>
              <w:rPr>
                <w:rFonts w:hint="eastAsia" w:ascii="宋体" w:hAnsi="宋体" w:eastAsia="宋体" w:cs="宋体"/>
                <w:szCs w:val="21"/>
              </w:rPr>
              <w:t>价格部分</w:t>
            </w:r>
          </w:p>
          <w:p>
            <w:pPr>
              <w:rPr>
                <w:rFonts w:ascii="宋体" w:hAnsi="宋体" w:eastAsia="宋体" w:cs="宋体"/>
                <w:szCs w:val="21"/>
              </w:rPr>
            </w:pPr>
            <w:r>
              <w:rPr>
                <w:rFonts w:hint="eastAsia" w:ascii="宋体" w:hAnsi="宋体" w:eastAsia="宋体" w:cs="宋体"/>
                <w:szCs w:val="21"/>
              </w:rPr>
              <w:t>（10分）</w:t>
            </w:r>
          </w:p>
        </w:tc>
        <w:tc>
          <w:tcPr>
            <w:tcW w:w="1414" w:type="dxa"/>
            <w:vAlign w:val="center"/>
          </w:tcPr>
          <w:p>
            <w:pPr>
              <w:ind w:firstLine="315" w:firstLineChars="150"/>
              <w:jc w:val="center"/>
              <w:rPr>
                <w:rFonts w:ascii="宋体" w:hAnsi="宋体" w:eastAsia="宋体" w:cs="宋体"/>
                <w:szCs w:val="21"/>
              </w:rPr>
            </w:pPr>
            <w:r>
              <w:rPr>
                <w:rFonts w:hint="eastAsia" w:ascii="宋体" w:hAnsi="宋体" w:eastAsia="宋体" w:cs="宋体"/>
                <w:szCs w:val="21"/>
              </w:rPr>
              <w:t>价格</w:t>
            </w:r>
          </w:p>
        </w:tc>
        <w:tc>
          <w:tcPr>
            <w:tcW w:w="5567" w:type="dxa"/>
            <w:vAlign w:val="center"/>
          </w:tcPr>
          <w:p>
            <w:pPr>
              <w:rPr>
                <w:rFonts w:ascii="宋体" w:hAnsi="宋体" w:eastAsia="宋体" w:cs="宋体"/>
                <w:szCs w:val="21"/>
              </w:rPr>
            </w:pPr>
            <w:r>
              <w:rPr>
                <w:rFonts w:hint="eastAsia" w:ascii="宋体" w:hAnsi="宋体" w:eastAsia="宋体" w:cs="宋体"/>
                <w:szCs w:val="21"/>
              </w:rPr>
              <w:t>磋商报价得分＝(磋商基准价/最后磋商报价)×价格分值</w:t>
            </w:r>
          </w:p>
          <w:p>
            <w:pPr>
              <w:rPr>
                <w:rFonts w:ascii="宋体" w:hAnsi="宋体" w:eastAsia="宋体" w:cs="宋体"/>
                <w:szCs w:val="21"/>
                <w:highlight w:val="yellow"/>
              </w:rPr>
            </w:pPr>
            <w:r>
              <w:rPr>
                <w:rFonts w:hint="eastAsia" w:ascii="宋体" w:hAnsi="宋体" w:eastAsia="宋体" w:cs="宋体"/>
                <w:szCs w:val="21"/>
              </w:rPr>
              <w:t>磋商基准价为满足磋商文件要求且最后报价最低的供应商的价格</w:t>
            </w:r>
          </w:p>
        </w:tc>
        <w:tc>
          <w:tcPr>
            <w:tcW w:w="923" w:type="dxa"/>
            <w:vAlign w:val="center"/>
          </w:tcPr>
          <w:p>
            <w:pPr>
              <w:jc w:val="center"/>
              <w:rPr>
                <w:rFonts w:ascii="宋体" w:hAnsi="宋体" w:eastAsia="宋体" w:cs="宋体"/>
                <w:szCs w:val="21"/>
              </w:rPr>
            </w:pPr>
            <w:r>
              <w:rPr>
                <w:rFonts w:hint="eastAsia" w:ascii="宋体" w:hAnsi="宋体" w:eastAsia="宋体" w:cs="宋体"/>
                <w:szCs w:val="21"/>
              </w:rPr>
              <w:t>10</w:t>
            </w:r>
          </w:p>
        </w:tc>
      </w:tr>
    </w:tbl>
    <w:p>
      <w:pPr>
        <w:spacing w:line="500" w:lineRule="exact"/>
        <w:jc w:val="center"/>
        <w:rPr>
          <w:rFonts w:ascii="宋体" w:hAnsi="宋体" w:eastAsia="宋体" w:cs="Times New Roman"/>
          <w:b/>
          <w:bCs/>
          <w:sz w:val="24"/>
          <w:szCs w:val="24"/>
          <w:shd w:val="clear" w:color="auto" w:fill="FFFFFF"/>
        </w:rPr>
      </w:pPr>
      <w:r>
        <w:rPr>
          <w:rFonts w:hint="eastAsia" w:ascii="宋体" w:hAnsi="宋体" w:eastAsia="宋体" w:cs="Times New Roman"/>
          <w:b/>
          <w:bCs/>
          <w:sz w:val="24"/>
          <w:szCs w:val="24"/>
          <w:shd w:val="clear" w:color="auto" w:fill="FFFFFF"/>
        </w:rPr>
        <w:t>商务、</w:t>
      </w:r>
      <w:r>
        <w:rPr>
          <w:rFonts w:ascii="宋体" w:hAnsi="宋体" w:eastAsia="宋体" w:cs="Times New Roman"/>
          <w:b/>
          <w:bCs/>
          <w:sz w:val="24"/>
          <w:szCs w:val="24"/>
          <w:shd w:val="clear" w:color="auto" w:fill="FFFFFF"/>
        </w:rPr>
        <w:t>技术部分评分</w:t>
      </w:r>
      <w:r>
        <w:rPr>
          <w:rFonts w:hint="eastAsia" w:ascii="宋体" w:hAnsi="宋体" w:eastAsia="宋体" w:cs="Times New Roman"/>
          <w:b/>
          <w:bCs/>
          <w:sz w:val="24"/>
          <w:szCs w:val="24"/>
          <w:shd w:val="clear" w:color="auto" w:fill="FFFFFF"/>
        </w:rPr>
        <w:t>标准（90分）</w:t>
      </w:r>
    </w:p>
    <w:tbl>
      <w:tblPr>
        <w:tblStyle w:val="2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10"/>
        <w:gridCol w:w="6520"/>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098" w:type="dxa"/>
            <w:vAlign w:val="center"/>
          </w:tcPr>
          <w:p>
            <w:pPr>
              <w:adjustRightInd w:val="0"/>
              <w:snapToGrid w:val="0"/>
              <w:spacing w:line="440" w:lineRule="exact"/>
              <w:jc w:val="center"/>
              <w:rPr>
                <w:rFonts w:ascii="宋体" w:hAnsi="宋体" w:eastAsia="宋体" w:cs="Times New Roman"/>
                <w:sz w:val="24"/>
                <w:szCs w:val="24"/>
              </w:rPr>
            </w:pPr>
            <w:bookmarkStart w:id="29" w:name="OLE_LINK2"/>
            <w:r>
              <w:rPr>
                <w:rFonts w:hint="eastAsia" w:ascii="宋体" w:hAnsi="宋体" w:eastAsia="宋体" w:cs="Times New Roman"/>
                <w:sz w:val="24"/>
                <w:szCs w:val="24"/>
              </w:rPr>
              <w:t>评分项目</w:t>
            </w:r>
          </w:p>
        </w:tc>
        <w:tc>
          <w:tcPr>
            <w:tcW w:w="1210" w:type="dxa"/>
            <w:vAlign w:val="center"/>
          </w:tcPr>
          <w:p>
            <w:pPr>
              <w:widowControl/>
              <w:jc w:val="center"/>
              <w:rPr>
                <w:rFonts w:cs="宋体" w:asciiTheme="majorEastAsia" w:hAnsiTheme="majorEastAsia" w:eastAsiaTheme="majorEastAsia"/>
                <w:b/>
                <w:kern w:val="0"/>
                <w:szCs w:val="21"/>
              </w:rPr>
            </w:pPr>
            <w:r>
              <w:rPr>
                <w:rFonts w:hint="eastAsia" w:cs="宋体" w:asciiTheme="majorEastAsia" w:hAnsiTheme="majorEastAsia" w:eastAsiaTheme="majorEastAsia"/>
                <w:b/>
                <w:kern w:val="0"/>
                <w:szCs w:val="21"/>
              </w:rPr>
              <w:t>评分内容</w:t>
            </w:r>
          </w:p>
        </w:tc>
        <w:tc>
          <w:tcPr>
            <w:tcW w:w="6520" w:type="dxa"/>
            <w:vAlign w:val="center"/>
          </w:tcPr>
          <w:p>
            <w:pPr>
              <w:adjustRightInd w:val="0"/>
              <w:snapToGrid w:val="0"/>
              <w:spacing w:line="440" w:lineRule="exact"/>
              <w:jc w:val="center"/>
              <w:rPr>
                <w:rFonts w:ascii="宋体" w:hAnsi="宋体" w:eastAsia="宋体" w:cs="Times New Roman"/>
                <w:sz w:val="24"/>
                <w:szCs w:val="24"/>
              </w:rPr>
            </w:pPr>
            <w:r>
              <w:rPr>
                <w:rFonts w:hint="eastAsia" w:ascii="宋体" w:hAnsi="宋体" w:eastAsia="宋体" w:cs="Times New Roman"/>
                <w:sz w:val="24"/>
                <w:szCs w:val="24"/>
              </w:rPr>
              <w:t>评分标准</w:t>
            </w:r>
          </w:p>
        </w:tc>
        <w:tc>
          <w:tcPr>
            <w:tcW w:w="1059" w:type="dxa"/>
          </w:tcPr>
          <w:p>
            <w:pPr>
              <w:adjustRightInd w:val="0"/>
              <w:snapToGrid w:val="0"/>
              <w:spacing w:line="440" w:lineRule="exact"/>
              <w:jc w:val="center"/>
              <w:rPr>
                <w:rFonts w:ascii="宋体" w:hAnsi="宋体" w:eastAsia="宋体" w:cs="Times New Roman"/>
                <w:sz w:val="24"/>
                <w:szCs w:val="24"/>
              </w:rPr>
            </w:pPr>
            <w:r>
              <w:rPr>
                <w:rFonts w:hint="eastAsia" w:ascii="宋体" w:hAnsi="宋体" w:eastAsia="宋体" w:cs="Times New Roman"/>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1098" w:type="dxa"/>
            <w:vMerge w:val="restart"/>
            <w:vAlign w:val="center"/>
          </w:tcPr>
          <w:p>
            <w:pPr>
              <w:rPr>
                <w:rFonts w:ascii="宋体" w:hAnsi="宋体" w:eastAsia="宋体" w:cs="宋体"/>
                <w:szCs w:val="21"/>
              </w:rPr>
            </w:pPr>
            <w:r>
              <w:rPr>
                <w:rFonts w:hint="eastAsia" w:ascii="宋体" w:hAnsi="宋体" w:eastAsia="宋体" w:cs="宋体"/>
                <w:szCs w:val="21"/>
              </w:rPr>
              <w:t>商务、</w:t>
            </w:r>
            <w:r>
              <w:rPr>
                <w:rFonts w:hint="eastAsia" w:ascii="宋体" w:hAnsi="宋体" w:eastAsia="宋体" w:cs="Times New Roman"/>
                <w:szCs w:val="21"/>
              </w:rPr>
              <w:t>技术</w:t>
            </w:r>
            <w:r>
              <w:rPr>
                <w:rFonts w:hint="eastAsia" w:ascii="宋体" w:hAnsi="宋体" w:eastAsia="宋体" w:cs="宋体"/>
                <w:szCs w:val="21"/>
              </w:rPr>
              <w:t>部分（90分）</w:t>
            </w:r>
          </w:p>
          <w:p>
            <w:pPr>
              <w:adjustRightInd w:val="0"/>
              <w:snapToGrid w:val="0"/>
              <w:spacing w:line="360" w:lineRule="exact"/>
              <w:jc w:val="left"/>
              <w:rPr>
                <w:rFonts w:ascii="宋体" w:hAnsi="宋体" w:eastAsia="宋体" w:cs="宋体"/>
                <w:szCs w:val="21"/>
              </w:rPr>
            </w:pPr>
          </w:p>
        </w:tc>
        <w:tc>
          <w:tcPr>
            <w:tcW w:w="1210" w:type="dxa"/>
            <w:vAlign w:val="center"/>
          </w:tcPr>
          <w:p>
            <w:pPr>
              <w:jc w:val="center"/>
              <w:rPr>
                <w:rFonts w:asciiTheme="minorEastAsia" w:hAnsiTheme="minorEastAsia"/>
                <w:spacing w:val="-2"/>
                <w:szCs w:val="21"/>
              </w:rPr>
            </w:pPr>
            <w:r>
              <w:rPr>
                <w:rFonts w:hint="eastAsia" w:asciiTheme="minorEastAsia" w:hAnsiTheme="minorEastAsia"/>
                <w:spacing w:val="-2"/>
                <w:szCs w:val="21"/>
              </w:rPr>
              <w:t>本项目的总监理工程师的业绩（12 分）</w:t>
            </w:r>
          </w:p>
        </w:tc>
        <w:tc>
          <w:tcPr>
            <w:tcW w:w="6520" w:type="dxa"/>
          </w:tcPr>
          <w:p>
            <w:pPr>
              <w:rPr>
                <w:rFonts w:asciiTheme="minorEastAsia" w:hAnsiTheme="minorEastAsia"/>
                <w:spacing w:val="-2"/>
                <w:szCs w:val="21"/>
              </w:rPr>
            </w:pPr>
            <w:r>
              <w:rPr>
                <w:rFonts w:hint="eastAsia" w:asciiTheme="minorEastAsia" w:hAnsiTheme="minorEastAsia"/>
                <w:spacing w:val="-2"/>
                <w:szCs w:val="21"/>
              </w:rPr>
              <w:t>项目总监近三年（201</w:t>
            </w:r>
            <w:r>
              <w:rPr>
                <w:rFonts w:asciiTheme="minorEastAsia" w:hAnsiTheme="minorEastAsia"/>
                <w:spacing w:val="-2"/>
                <w:szCs w:val="21"/>
              </w:rPr>
              <w:t>9</w:t>
            </w:r>
            <w:r>
              <w:rPr>
                <w:rFonts w:hint="eastAsia" w:asciiTheme="minorEastAsia" w:hAnsiTheme="minorEastAsia"/>
                <w:spacing w:val="-2"/>
                <w:szCs w:val="21"/>
              </w:rPr>
              <w:t>年</w:t>
            </w:r>
            <w:r>
              <w:rPr>
                <w:rFonts w:asciiTheme="minorEastAsia" w:hAnsiTheme="minorEastAsia"/>
                <w:spacing w:val="-2"/>
                <w:szCs w:val="21"/>
              </w:rPr>
              <w:t>5</w:t>
            </w:r>
            <w:r>
              <w:rPr>
                <w:rFonts w:hint="eastAsia" w:asciiTheme="minorEastAsia" w:hAnsiTheme="minorEastAsia"/>
                <w:spacing w:val="-2"/>
                <w:szCs w:val="21"/>
              </w:rPr>
              <w:t>月</w:t>
            </w:r>
            <w:r>
              <w:rPr>
                <w:rFonts w:asciiTheme="minorEastAsia" w:hAnsiTheme="minorEastAsia"/>
                <w:spacing w:val="-2"/>
                <w:szCs w:val="21"/>
              </w:rPr>
              <w:t>1</w:t>
            </w:r>
            <w:r>
              <w:rPr>
                <w:rFonts w:hint="eastAsia" w:asciiTheme="minorEastAsia" w:hAnsiTheme="minorEastAsia"/>
                <w:spacing w:val="-2"/>
                <w:szCs w:val="21"/>
              </w:rPr>
              <w:t>日-至今）担任过的信息化工程监理项目总监理工程师，每提供一项类似信息化工程监理业绩证明材料的得</w:t>
            </w:r>
            <w:r>
              <w:rPr>
                <w:rFonts w:asciiTheme="minorEastAsia" w:hAnsiTheme="minorEastAsia"/>
                <w:spacing w:val="-2"/>
                <w:szCs w:val="21"/>
              </w:rPr>
              <w:t>3</w:t>
            </w:r>
            <w:r>
              <w:rPr>
                <w:rFonts w:hint="eastAsia" w:asciiTheme="minorEastAsia" w:hAnsiTheme="minorEastAsia"/>
                <w:spacing w:val="-2"/>
                <w:szCs w:val="21"/>
              </w:rPr>
              <w:t>分（投资额</w:t>
            </w:r>
            <w:r>
              <w:rPr>
                <w:rFonts w:asciiTheme="minorEastAsia" w:hAnsiTheme="minorEastAsia"/>
                <w:spacing w:val="-2"/>
                <w:szCs w:val="21"/>
              </w:rPr>
              <w:t>1000</w:t>
            </w:r>
            <w:r>
              <w:rPr>
                <w:rFonts w:hint="eastAsia" w:asciiTheme="minorEastAsia" w:hAnsiTheme="minorEastAsia"/>
                <w:spacing w:val="-2"/>
                <w:szCs w:val="21"/>
              </w:rPr>
              <w:t>万以上业绩每项得</w:t>
            </w:r>
            <w:r>
              <w:rPr>
                <w:rFonts w:asciiTheme="minorEastAsia" w:hAnsiTheme="minorEastAsia"/>
                <w:spacing w:val="-2"/>
                <w:szCs w:val="21"/>
              </w:rPr>
              <w:t>6</w:t>
            </w:r>
            <w:r>
              <w:rPr>
                <w:rFonts w:hint="eastAsia" w:asciiTheme="minorEastAsia" w:hAnsiTheme="minorEastAsia"/>
                <w:spacing w:val="-2"/>
                <w:szCs w:val="21"/>
              </w:rPr>
              <w:t>分），最多得12分。</w:t>
            </w:r>
          </w:p>
          <w:p>
            <w:pPr>
              <w:rPr>
                <w:rFonts w:asciiTheme="minorEastAsia" w:hAnsiTheme="minorEastAsia"/>
                <w:spacing w:val="-2"/>
                <w:szCs w:val="21"/>
              </w:rPr>
            </w:pPr>
            <w:r>
              <w:rPr>
                <w:rFonts w:hint="eastAsia" w:asciiTheme="minorEastAsia" w:hAnsiTheme="minorEastAsia"/>
                <w:spacing w:val="-2"/>
                <w:szCs w:val="21"/>
              </w:rPr>
              <w:t>注：业绩证明材料须提供中标通知书</w:t>
            </w:r>
            <w:r>
              <w:rPr>
                <w:rFonts w:hint="eastAsia" w:asciiTheme="minorEastAsia" w:hAnsiTheme="minorEastAsia"/>
                <w:spacing w:val="-2"/>
                <w:szCs w:val="21"/>
                <w:lang w:eastAsia="zh-CN"/>
              </w:rPr>
              <w:t>或</w:t>
            </w:r>
            <w:r>
              <w:rPr>
                <w:rFonts w:hint="eastAsia" w:asciiTheme="minorEastAsia" w:hAnsiTheme="minorEastAsia"/>
                <w:spacing w:val="-2"/>
                <w:szCs w:val="21"/>
              </w:rPr>
              <w:t>监理合同清晰版扫描件，且材料须反应项目总监理工程师信息，提供不全或内容不清晰或未提供者不予计算，提供近半年内连续三个月社保证明。</w:t>
            </w:r>
          </w:p>
        </w:tc>
        <w:tc>
          <w:tcPr>
            <w:tcW w:w="1059" w:type="dxa"/>
            <w:vAlign w:val="center"/>
          </w:tcPr>
          <w:p>
            <w:pPr>
              <w:jc w:val="center"/>
              <w:rPr>
                <w:rFonts w:cs="宋体" w:asciiTheme="minorEastAsia" w:hAnsiTheme="minorEastAsia"/>
                <w:szCs w:val="21"/>
              </w:rPr>
            </w:pPr>
            <w:r>
              <w:rPr>
                <w:rFonts w:cs="宋体" w:asciiTheme="minorEastAsia" w:hAnsiTheme="minorEastAsia"/>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其他主要监理人员（1</w:t>
            </w:r>
            <w:r>
              <w:rPr>
                <w:rFonts w:asciiTheme="majorEastAsia" w:hAnsiTheme="majorEastAsia" w:eastAsiaTheme="majorEastAsia"/>
                <w:szCs w:val="21"/>
              </w:rPr>
              <w:t>2</w:t>
            </w:r>
            <w:r>
              <w:rPr>
                <w:rFonts w:hint="eastAsia" w:asciiTheme="majorEastAsia" w:hAnsiTheme="majorEastAsia" w:eastAsiaTheme="majorEastAsia"/>
                <w:szCs w:val="21"/>
              </w:rPr>
              <w:t>分）</w:t>
            </w:r>
          </w:p>
        </w:tc>
        <w:tc>
          <w:tcPr>
            <w:tcW w:w="6520" w:type="dxa"/>
            <w:vAlign w:val="center"/>
          </w:tcPr>
          <w:p>
            <w:pPr>
              <w:widowControl/>
              <w:jc w:val="left"/>
              <w:rPr>
                <w:rFonts w:asciiTheme="minorEastAsia" w:hAnsiTheme="minorEastAsia"/>
                <w:spacing w:val="-2"/>
                <w:szCs w:val="21"/>
              </w:rPr>
            </w:pPr>
            <w:r>
              <w:rPr>
                <w:rFonts w:hint="eastAsia" w:asciiTheme="minorEastAsia" w:hAnsiTheme="minorEastAsia"/>
                <w:spacing w:val="-2"/>
                <w:szCs w:val="21"/>
              </w:rPr>
              <w:t>1、提供的其他主要人员近三年（20</w:t>
            </w:r>
            <w:r>
              <w:rPr>
                <w:rFonts w:asciiTheme="minorEastAsia" w:hAnsiTheme="minorEastAsia"/>
                <w:spacing w:val="-2"/>
                <w:szCs w:val="21"/>
              </w:rPr>
              <w:t>19</w:t>
            </w:r>
            <w:r>
              <w:rPr>
                <w:rFonts w:hint="eastAsia" w:asciiTheme="minorEastAsia" w:hAnsiTheme="minorEastAsia"/>
                <w:spacing w:val="-2"/>
                <w:szCs w:val="21"/>
              </w:rPr>
              <w:t>年</w:t>
            </w:r>
            <w:r>
              <w:rPr>
                <w:rFonts w:asciiTheme="minorEastAsia" w:hAnsiTheme="minorEastAsia"/>
                <w:spacing w:val="-2"/>
                <w:szCs w:val="21"/>
              </w:rPr>
              <w:t>5</w:t>
            </w:r>
            <w:r>
              <w:rPr>
                <w:rFonts w:hint="eastAsia" w:asciiTheme="minorEastAsia" w:hAnsiTheme="minorEastAsia"/>
                <w:spacing w:val="-2"/>
                <w:szCs w:val="21"/>
              </w:rPr>
              <w:t>月1日-至今）具有类似信息化工程监理业绩经验（担任项目总监或专业监理工程师），每提供一项业绩证明材料的得3分，最高得6分；</w:t>
            </w:r>
          </w:p>
          <w:p>
            <w:pPr>
              <w:widowControl/>
              <w:jc w:val="left"/>
              <w:rPr>
                <w:rFonts w:asciiTheme="minorEastAsia" w:hAnsiTheme="minorEastAsia"/>
                <w:spacing w:val="-2"/>
                <w:szCs w:val="21"/>
              </w:rPr>
            </w:pPr>
            <w:r>
              <w:rPr>
                <w:rFonts w:hint="eastAsia" w:asciiTheme="minorEastAsia" w:hAnsiTheme="minorEastAsia"/>
                <w:spacing w:val="-2"/>
                <w:szCs w:val="21"/>
              </w:rPr>
              <w:t>2、在满足招标文件要求的基础上，每多提供一名具备信息化项目管理能力相关资格的人得3分，最高得6分；</w:t>
            </w:r>
          </w:p>
          <w:p>
            <w:pPr>
              <w:widowControl/>
              <w:jc w:val="left"/>
              <w:rPr>
                <w:rFonts w:asciiTheme="minorEastAsia" w:hAnsiTheme="minorEastAsia"/>
                <w:spacing w:val="-2"/>
                <w:szCs w:val="21"/>
              </w:rPr>
            </w:pPr>
            <w:r>
              <w:rPr>
                <w:rFonts w:hint="eastAsia" w:asciiTheme="minorEastAsia" w:hAnsiTheme="minorEastAsia"/>
                <w:spacing w:val="-2"/>
                <w:szCs w:val="21"/>
              </w:rPr>
              <w:t>注：业绩经验可以提供中标通知书或合同或委托方证明等证明材料，提供的证明材料必须能够反应人员信息，否则不予认可。职称等证书以证书清晰版扫描件为准，未提供不予认可。投标时须在其他主要人员信息中，清晰标明投标提供的“其他主要人员”和“增加其他主要人员”，</w:t>
            </w:r>
          </w:p>
          <w:p>
            <w:pPr>
              <w:widowControl/>
              <w:jc w:val="left"/>
              <w:rPr>
                <w:rFonts w:asciiTheme="minorEastAsia" w:hAnsiTheme="minorEastAsia"/>
                <w:spacing w:val="-2"/>
                <w:szCs w:val="21"/>
              </w:rPr>
            </w:pPr>
            <w:r>
              <w:rPr>
                <w:rFonts w:hint="eastAsia" w:asciiTheme="minorEastAsia" w:hAnsiTheme="minorEastAsia"/>
                <w:spacing w:val="-2"/>
                <w:szCs w:val="21"/>
              </w:rPr>
              <w:t>如未标明，将按先后顺序认定序号在前的为其他主要人员。投标人为本项目提供的人员必须为本单位人员，能够提供近半年内连续三个月社保证明。</w:t>
            </w:r>
          </w:p>
        </w:tc>
        <w:tc>
          <w:tcPr>
            <w:tcW w:w="1059" w:type="dxa"/>
            <w:vAlign w:val="center"/>
          </w:tcPr>
          <w:p>
            <w:pPr>
              <w:jc w:val="center"/>
              <w:rPr>
                <w:rFonts w:cs="宋体" w:asciiTheme="minorEastAsia" w:hAnsiTheme="minorEastAsia"/>
                <w:kern w:val="0"/>
                <w:szCs w:val="21"/>
              </w:rPr>
            </w:pPr>
            <w:r>
              <w:rPr>
                <w:rFonts w:cs="宋体" w:asciiTheme="minorEastAsia" w:hAnsiTheme="minorEastAsia"/>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Align w:val="center"/>
          </w:tcPr>
          <w:p>
            <w:pPr>
              <w:widowControl/>
              <w:jc w:val="center"/>
              <w:rPr>
                <w:rFonts w:asciiTheme="minorEastAsia" w:hAnsiTheme="minorEastAsia"/>
                <w:spacing w:val="-2"/>
                <w:szCs w:val="21"/>
              </w:rPr>
            </w:pPr>
            <w:r>
              <w:rPr>
                <w:rFonts w:hint="eastAsia" w:asciiTheme="minorEastAsia" w:hAnsiTheme="minorEastAsia"/>
                <w:spacing w:val="-2"/>
                <w:szCs w:val="21"/>
              </w:rPr>
              <w:t>企业综合实力</w:t>
            </w:r>
          </w:p>
          <w:p>
            <w:pPr>
              <w:widowControl/>
              <w:jc w:val="center"/>
              <w:rPr>
                <w:rFonts w:asciiTheme="minorEastAsia" w:hAnsiTheme="minorEastAsia"/>
                <w:spacing w:val="-2"/>
                <w:szCs w:val="21"/>
              </w:rPr>
            </w:pPr>
            <w:r>
              <w:rPr>
                <w:rFonts w:hint="eastAsia" w:asciiTheme="minorEastAsia" w:hAnsiTheme="minorEastAsia"/>
                <w:spacing w:val="-2"/>
                <w:szCs w:val="21"/>
              </w:rPr>
              <w:t>（</w:t>
            </w:r>
            <w:r>
              <w:rPr>
                <w:rFonts w:asciiTheme="minorEastAsia" w:hAnsiTheme="minorEastAsia"/>
                <w:spacing w:val="-2"/>
                <w:szCs w:val="21"/>
              </w:rPr>
              <w:t>16</w:t>
            </w:r>
            <w:r>
              <w:rPr>
                <w:rFonts w:hint="eastAsia" w:asciiTheme="minorEastAsia" w:hAnsiTheme="minorEastAsia"/>
                <w:spacing w:val="-2"/>
                <w:szCs w:val="21"/>
              </w:rPr>
              <w:t>分）</w:t>
            </w:r>
          </w:p>
        </w:tc>
        <w:tc>
          <w:tcPr>
            <w:tcW w:w="6520" w:type="dxa"/>
            <w:vAlign w:val="center"/>
          </w:tcPr>
          <w:p>
            <w:pPr>
              <w:widowControl/>
              <w:jc w:val="left"/>
              <w:rPr>
                <w:rFonts w:asciiTheme="minorEastAsia" w:hAnsiTheme="minorEastAsia"/>
                <w:spacing w:val="-2"/>
                <w:szCs w:val="21"/>
              </w:rPr>
            </w:pPr>
            <w:r>
              <w:rPr>
                <w:rFonts w:hint="eastAsia" w:asciiTheme="minorEastAsia" w:hAnsiTheme="minorEastAsia"/>
                <w:spacing w:val="-2"/>
                <w:szCs w:val="21"/>
              </w:rPr>
              <w:t>提供近三年（20</w:t>
            </w:r>
            <w:r>
              <w:rPr>
                <w:rFonts w:asciiTheme="minorEastAsia" w:hAnsiTheme="minorEastAsia"/>
                <w:spacing w:val="-2"/>
                <w:szCs w:val="21"/>
              </w:rPr>
              <w:t>19</w:t>
            </w:r>
            <w:r>
              <w:rPr>
                <w:rFonts w:hint="eastAsia" w:asciiTheme="minorEastAsia" w:hAnsiTheme="minorEastAsia"/>
                <w:spacing w:val="-2"/>
                <w:szCs w:val="21"/>
              </w:rPr>
              <w:t>年</w:t>
            </w:r>
            <w:r>
              <w:rPr>
                <w:rFonts w:asciiTheme="minorEastAsia" w:hAnsiTheme="minorEastAsia"/>
                <w:spacing w:val="-2"/>
                <w:szCs w:val="21"/>
              </w:rPr>
              <w:t>5</w:t>
            </w:r>
            <w:r>
              <w:rPr>
                <w:rFonts w:hint="eastAsia" w:asciiTheme="minorEastAsia" w:hAnsiTheme="minorEastAsia"/>
                <w:spacing w:val="-2"/>
                <w:szCs w:val="21"/>
              </w:rPr>
              <w:t>月1日至投标截止时间）承担过投资额</w:t>
            </w:r>
            <w:r>
              <w:rPr>
                <w:rFonts w:asciiTheme="minorEastAsia" w:hAnsiTheme="minorEastAsia"/>
                <w:spacing w:val="-2"/>
                <w:szCs w:val="21"/>
              </w:rPr>
              <w:t>1000</w:t>
            </w:r>
            <w:r>
              <w:rPr>
                <w:rFonts w:hint="eastAsia" w:asciiTheme="minorEastAsia" w:hAnsiTheme="minorEastAsia"/>
                <w:spacing w:val="-2"/>
                <w:szCs w:val="21"/>
              </w:rPr>
              <w:t>万以上类似信息化工程监理项目业绩，每提供一项有效业绩证明材料的得</w:t>
            </w:r>
            <w:r>
              <w:rPr>
                <w:rFonts w:asciiTheme="minorEastAsia" w:hAnsiTheme="minorEastAsia"/>
                <w:spacing w:val="-2"/>
                <w:szCs w:val="21"/>
              </w:rPr>
              <w:t>4</w:t>
            </w:r>
            <w:r>
              <w:rPr>
                <w:rFonts w:hint="eastAsia" w:asciiTheme="minorEastAsia" w:hAnsiTheme="minorEastAsia"/>
                <w:spacing w:val="-2"/>
                <w:szCs w:val="21"/>
              </w:rPr>
              <w:t>分，最多得</w:t>
            </w:r>
            <w:r>
              <w:rPr>
                <w:rFonts w:asciiTheme="minorEastAsia" w:hAnsiTheme="minorEastAsia"/>
                <w:spacing w:val="-2"/>
                <w:szCs w:val="21"/>
              </w:rPr>
              <w:t>16</w:t>
            </w:r>
            <w:r>
              <w:rPr>
                <w:rFonts w:hint="eastAsia" w:asciiTheme="minorEastAsia" w:hAnsiTheme="minorEastAsia"/>
                <w:spacing w:val="-2"/>
                <w:szCs w:val="21"/>
              </w:rPr>
              <w:t>分。</w:t>
            </w:r>
          </w:p>
          <w:p>
            <w:pPr>
              <w:widowControl/>
              <w:jc w:val="left"/>
              <w:rPr>
                <w:rFonts w:asciiTheme="minorEastAsia" w:hAnsiTheme="minorEastAsia"/>
                <w:spacing w:val="-2"/>
                <w:szCs w:val="21"/>
              </w:rPr>
            </w:pPr>
            <w:r>
              <w:rPr>
                <w:rFonts w:hint="eastAsia" w:asciiTheme="minorEastAsia" w:hAnsiTheme="minorEastAsia"/>
                <w:spacing w:val="-2"/>
                <w:szCs w:val="21"/>
              </w:rPr>
              <w:t>注：业绩证明材料须提供中标通知书</w:t>
            </w:r>
            <w:r>
              <w:rPr>
                <w:rFonts w:hint="eastAsia" w:asciiTheme="minorEastAsia" w:hAnsiTheme="minorEastAsia"/>
                <w:spacing w:val="-2"/>
                <w:szCs w:val="21"/>
                <w:lang w:eastAsia="zh-CN"/>
              </w:rPr>
              <w:t>或</w:t>
            </w:r>
            <w:r>
              <w:rPr>
                <w:rFonts w:hint="eastAsia" w:asciiTheme="minorEastAsia" w:hAnsiTheme="minorEastAsia"/>
                <w:spacing w:val="-2"/>
                <w:szCs w:val="21"/>
              </w:rPr>
              <w:t>监理合同清晰版扫描件，且材须反应项目投资金额、建设内容及监理内容，提供不全或内容不清晰完整或未提供者不予计算。</w:t>
            </w:r>
          </w:p>
        </w:tc>
        <w:tc>
          <w:tcPr>
            <w:tcW w:w="1059" w:type="dxa"/>
            <w:vAlign w:val="center"/>
          </w:tcPr>
          <w:p>
            <w:pPr>
              <w:jc w:val="center"/>
              <w:rPr>
                <w:rFonts w:cs="宋体" w:asciiTheme="minorEastAsia" w:hAnsiTheme="minorEastAsia"/>
                <w:kern w:val="0"/>
                <w:szCs w:val="21"/>
              </w:rPr>
            </w:pPr>
            <w:r>
              <w:rPr>
                <w:rFonts w:cs="宋体" w:asciiTheme="minorEastAsia" w:hAnsiTheme="minorEastAsia"/>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Align w:val="center"/>
          </w:tcPr>
          <w:p>
            <w:pPr>
              <w:widowControl/>
              <w:jc w:val="center"/>
              <w:rPr>
                <w:rFonts w:asciiTheme="minorEastAsia" w:hAnsiTheme="minorEastAsia"/>
                <w:spacing w:val="-2"/>
                <w:szCs w:val="21"/>
              </w:rPr>
            </w:pPr>
            <w:r>
              <w:rPr>
                <w:rFonts w:hint="eastAsia" w:asciiTheme="minorEastAsia" w:hAnsiTheme="minorEastAsia"/>
                <w:spacing w:val="-2"/>
                <w:szCs w:val="21"/>
              </w:rPr>
              <w:t>监理承诺（</w:t>
            </w:r>
            <w:r>
              <w:rPr>
                <w:rFonts w:asciiTheme="minorEastAsia" w:hAnsiTheme="minorEastAsia"/>
                <w:spacing w:val="-2"/>
                <w:szCs w:val="21"/>
              </w:rPr>
              <w:t>6</w:t>
            </w:r>
            <w:r>
              <w:rPr>
                <w:rFonts w:hint="eastAsia" w:asciiTheme="minorEastAsia" w:hAnsiTheme="minorEastAsia"/>
                <w:spacing w:val="-2"/>
                <w:szCs w:val="21"/>
              </w:rPr>
              <w:t>分）</w:t>
            </w:r>
          </w:p>
        </w:tc>
        <w:tc>
          <w:tcPr>
            <w:tcW w:w="6520" w:type="dxa"/>
            <w:vAlign w:val="center"/>
          </w:tcPr>
          <w:p>
            <w:pPr>
              <w:widowControl/>
              <w:jc w:val="left"/>
              <w:rPr>
                <w:rFonts w:asciiTheme="minorEastAsia" w:hAnsiTheme="minorEastAsia"/>
                <w:spacing w:val="-2"/>
                <w:szCs w:val="21"/>
              </w:rPr>
            </w:pPr>
            <w:r>
              <w:rPr>
                <w:rFonts w:hint="eastAsia" w:asciiTheme="minorEastAsia" w:hAnsiTheme="minorEastAsia"/>
                <w:spacing w:val="-2"/>
                <w:szCs w:val="21"/>
              </w:rPr>
              <w:t>提供人员驻场监理服务承诺，承诺内容包括：项目总监及其他主要人员能够根据项目进度及招标人（委托人）要求随时提供驻场监理服务、提供人员如经验能力不足或不符合实际监理工作需求或不能达到招标人（委托人）考核时必须按不低于招标时要求标准进行更换直至符合要求、按照招标文件要求提供备选人员信息及应急增加人员信息（仅需提供姓名、性别、专业、从业（监理）年限、职称等信息，不需提供证明材料）、平台建设周期增加时监理承诺、其他监理承诺等。提供承诺清</w:t>
            </w:r>
          </w:p>
          <w:p>
            <w:pPr>
              <w:widowControl/>
              <w:jc w:val="left"/>
              <w:rPr>
                <w:rFonts w:asciiTheme="minorEastAsia" w:hAnsiTheme="minorEastAsia"/>
                <w:spacing w:val="-2"/>
                <w:szCs w:val="21"/>
              </w:rPr>
            </w:pPr>
            <w:r>
              <w:rPr>
                <w:rFonts w:hint="eastAsia" w:asciiTheme="minorEastAsia" w:hAnsiTheme="minorEastAsia"/>
                <w:spacing w:val="-2"/>
                <w:szCs w:val="21"/>
              </w:rPr>
              <w:t>晰完整的得</w:t>
            </w:r>
            <w:r>
              <w:rPr>
                <w:rFonts w:asciiTheme="minorEastAsia" w:hAnsiTheme="minorEastAsia"/>
                <w:spacing w:val="-2"/>
                <w:szCs w:val="21"/>
              </w:rPr>
              <w:t>6</w:t>
            </w:r>
            <w:r>
              <w:rPr>
                <w:rFonts w:hint="eastAsia" w:asciiTheme="minorEastAsia" w:hAnsiTheme="minorEastAsia"/>
                <w:spacing w:val="-2"/>
                <w:szCs w:val="21"/>
              </w:rPr>
              <w:t>分，每缺失一项（或不清晰明确）的扣1分，扣完为止。</w:t>
            </w:r>
          </w:p>
        </w:tc>
        <w:tc>
          <w:tcPr>
            <w:tcW w:w="1059" w:type="dxa"/>
            <w:vAlign w:val="center"/>
          </w:tcPr>
          <w:p>
            <w:pPr>
              <w:jc w:val="center"/>
              <w:rPr>
                <w:rFonts w:cs="宋体" w:asciiTheme="minorEastAsia" w:hAnsiTheme="minorEastAsia"/>
                <w:kern w:val="0"/>
                <w:szCs w:val="21"/>
              </w:rPr>
            </w:pPr>
            <w:r>
              <w:rPr>
                <w:rFonts w:cs="宋体" w:asciiTheme="minorEastAsia" w:hAnsiTheme="minorEastAsia"/>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98" w:type="dxa"/>
            <w:vMerge w:val="continue"/>
            <w:vAlign w:val="center"/>
          </w:tcPr>
          <w:p>
            <w:pPr>
              <w:adjustRightInd w:val="0"/>
              <w:snapToGrid w:val="0"/>
              <w:spacing w:line="360" w:lineRule="exact"/>
              <w:jc w:val="left"/>
              <w:rPr>
                <w:rFonts w:ascii="宋体" w:hAnsi="宋体"/>
                <w:b/>
                <w:color w:val="000000"/>
                <w:sz w:val="18"/>
                <w:szCs w:val="18"/>
              </w:rPr>
            </w:pPr>
          </w:p>
        </w:tc>
        <w:tc>
          <w:tcPr>
            <w:tcW w:w="1210" w:type="dxa"/>
            <w:vMerge w:val="restart"/>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服务方案</w:t>
            </w:r>
          </w:p>
          <w:p>
            <w:pPr>
              <w:jc w:val="center"/>
              <w:rPr>
                <w:rFonts w:asciiTheme="majorEastAsia" w:hAnsiTheme="majorEastAsia" w:eastAsiaTheme="majorEastAsia"/>
                <w:szCs w:val="21"/>
              </w:rPr>
            </w:pPr>
            <w:r>
              <w:rPr>
                <w:rFonts w:hint="eastAsia" w:asciiTheme="majorEastAsia" w:hAnsiTheme="majorEastAsia" w:eastAsiaTheme="majorEastAsia"/>
                <w:szCs w:val="21"/>
              </w:rPr>
              <w:t>（</w:t>
            </w:r>
            <w:r>
              <w:rPr>
                <w:rFonts w:asciiTheme="majorEastAsia" w:hAnsiTheme="majorEastAsia" w:eastAsiaTheme="majorEastAsia"/>
                <w:szCs w:val="21"/>
              </w:rPr>
              <w:t>40</w:t>
            </w:r>
            <w:r>
              <w:rPr>
                <w:rFonts w:hint="eastAsia" w:asciiTheme="majorEastAsia" w:hAnsiTheme="majorEastAsia" w:eastAsiaTheme="majorEastAsia"/>
                <w:szCs w:val="21"/>
              </w:rPr>
              <w:t>）</w:t>
            </w: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项目理解：监理工作目标明确；项目认识到位；对项目建设背景、相关技术情况理解准确；具有科学合理的监理实施方案等。对投标人根据项目的实际情况提供的总体服务方案进行综合评审。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ind w:right="84" w:rightChars="40"/>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质量控制：提出的质量控制措施科学、合理，有针对性；针对本招标项目的重点和难点提出确保工程质量的建议及采取的强化监理措施</w:t>
            </w:r>
          </w:p>
          <w:p>
            <w:pPr>
              <w:widowControl/>
              <w:rPr>
                <w:rFonts w:asciiTheme="minorEastAsia" w:hAnsiTheme="minorEastAsia"/>
                <w:spacing w:val="-2"/>
                <w:szCs w:val="21"/>
              </w:rPr>
            </w:pPr>
            <w:r>
              <w:rPr>
                <w:rFonts w:hint="eastAsia" w:asciiTheme="minorEastAsia" w:hAnsiTheme="minorEastAsia"/>
                <w:spacing w:val="-2"/>
                <w:szCs w:val="21"/>
              </w:rPr>
              <w:t>合理。对投标人根据项目的实际情况提供的总体质量控制方案进行综合评审。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安全控制：安全控制措施科学、合理，有针对性；应对突发事件有应急措施与响应方案；提出安全文明施工措施。对投标人根据项目的实际情况提供安全控制措施进行综合评审。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进度控制：进度控制措施科学、合理，有针对性；建立工程监理日志制度；能提出组织工程进度协调的方案,根据建设单位进度计划严格督促施工进度。对投标人根据本项目的实际情况制定的进度控制方案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投资控制：控制投资措施科学、合理，有针对性；具有项目投资控制经验；对工程用款计划及结算资料审核，能提出有效的控制措施和合理化建议。对投标人根据本项目提供的投资控制方案进行综合评审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vAlign w:val="center"/>
          </w:tcPr>
          <w:p>
            <w:pPr>
              <w:spacing w:line="280" w:lineRule="exact"/>
              <w:jc w:val="center"/>
              <w:rPr>
                <w:rFonts w:asciiTheme="majorEastAsia" w:hAnsiTheme="majorEastAsia" w:eastAsiaTheme="majorEastAsia"/>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合同管理：对投标人根据本项目提供的合同管理的方法和措施，合同文本的提供、关键条款的预警、执行过程的管理、风险管理的方法和措施进行综合评审。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tcPr>
          <w:p>
            <w:pPr>
              <w:snapToGrid w:val="0"/>
              <w:jc w:val="center"/>
              <w:rPr>
                <w:rFonts w:ascii="宋体" w:hAnsi="宋体" w:eastAsia="宋体" w:cs="Times New Roman"/>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信息安全管理：对投标人根据本项目提供的信息安全及管理的方法和措施，信息资料的收集存储、整理移交、过程资料管理、配置管理的方法和措施进行综合评审。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tcPr>
          <w:p>
            <w:pPr>
              <w:snapToGrid w:val="0"/>
              <w:jc w:val="center"/>
              <w:rPr>
                <w:rFonts w:ascii="宋体" w:hAnsi="宋体" w:eastAsia="宋体" w:cs="Times New Roman"/>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工程组织协调：对投标人根据本项目提供的工程组织协调的方法和措施（对项目管理和项目涉及的各种关系有较好的协调措施，促进项目顺</w:t>
            </w:r>
          </w:p>
          <w:p>
            <w:pPr>
              <w:widowControl/>
              <w:rPr>
                <w:rFonts w:asciiTheme="minorEastAsia" w:hAnsiTheme="minorEastAsia"/>
                <w:spacing w:val="-2"/>
                <w:szCs w:val="21"/>
              </w:rPr>
            </w:pPr>
            <w:r>
              <w:rPr>
                <w:rFonts w:hint="eastAsia" w:asciiTheme="minorEastAsia" w:hAnsiTheme="minorEastAsia"/>
                <w:spacing w:val="-2"/>
                <w:szCs w:val="21"/>
              </w:rPr>
              <w:t>利进行）进行综合评审。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Merge w:val="continue"/>
          </w:tcPr>
          <w:p>
            <w:pPr>
              <w:snapToGrid w:val="0"/>
              <w:jc w:val="center"/>
              <w:rPr>
                <w:rFonts w:ascii="宋体" w:hAnsi="宋体" w:eastAsia="宋体" w:cs="Times New Roman"/>
                <w:szCs w:val="21"/>
              </w:rPr>
            </w:pPr>
          </w:p>
        </w:tc>
        <w:tc>
          <w:tcPr>
            <w:tcW w:w="6520" w:type="dxa"/>
            <w:vAlign w:val="center"/>
          </w:tcPr>
          <w:p>
            <w:pPr>
              <w:widowControl/>
              <w:rPr>
                <w:rFonts w:asciiTheme="minorEastAsia" w:hAnsiTheme="minorEastAsia"/>
                <w:spacing w:val="-2"/>
                <w:szCs w:val="21"/>
              </w:rPr>
            </w:pPr>
            <w:r>
              <w:rPr>
                <w:rFonts w:hint="eastAsia" w:asciiTheme="minorEastAsia" w:hAnsiTheme="minorEastAsia"/>
                <w:spacing w:val="-2"/>
                <w:szCs w:val="21"/>
              </w:rPr>
              <w:t>工程验收管理：对投标人根据本项目提供的验收标准和实施方法（对系统建设各阶段的验收和总体验收的进行详细说明）进行综合评审。</w:t>
            </w:r>
          </w:p>
        </w:tc>
        <w:tc>
          <w:tcPr>
            <w:tcW w:w="1059" w:type="dxa"/>
            <w:vAlign w:val="center"/>
          </w:tcPr>
          <w:p>
            <w:pPr>
              <w:widowControl/>
              <w:jc w:val="center"/>
              <w:rPr>
                <w:rFonts w:asciiTheme="minorEastAsia" w:hAnsiTheme="minorEastAsia"/>
                <w:spacing w:val="-2"/>
                <w:szCs w:val="21"/>
              </w:rPr>
            </w:pPr>
            <w:r>
              <w:rPr>
                <w:rFonts w:asciiTheme="minorEastAsia" w:hAnsiTheme="minorEastAsia"/>
                <w:spacing w:val="-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098" w:type="dxa"/>
            <w:vMerge w:val="continue"/>
            <w:vAlign w:val="center"/>
          </w:tcPr>
          <w:p>
            <w:pPr>
              <w:adjustRightInd w:val="0"/>
              <w:snapToGrid w:val="0"/>
              <w:spacing w:line="360" w:lineRule="exact"/>
              <w:jc w:val="left"/>
              <w:rPr>
                <w:rFonts w:ascii="宋体" w:hAnsi="宋体" w:eastAsia="宋体" w:cs="Times New Roman"/>
                <w:szCs w:val="21"/>
              </w:rPr>
            </w:pPr>
          </w:p>
        </w:tc>
        <w:tc>
          <w:tcPr>
            <w:tcW w:w="1210" w:type="dxa"/>
            <w:vAlign w:val="center"/>
          </w:tcPr>
          <w:p>
            <w:pPr>
              <w:widowControl/>
              <w:rPr>
                <w:rFonts w:asciiTheme="minorEastAsia" w:hAnsiTheme="minorEastAsia"/>
                <w:spacing w:val="-2"/>
                <w:szCs w:val="21"/>
              </w:rPr>
            </w:pPr>
            <w:r>
              <w:rPr>
                <w:rFonts w:hint="eastAsia" w:asciiTheme="minorEastAsia" w:hAnsiTheme="minorEastAsia"/>
                <w:spacing w:val="-2"/>
                <w:szCs w:val="21"/>
              </w:rPr>
              <w:t>信息化项目管理（4）</w:t>
            </w:r>
          </w:p>
        </w:tc>
        <w:tc>
          <w:tcPr>
            <w:tcW w:w="6520" w:type="dxa"/>
            <w:vAlign w:val="center"/>
          </w:tcPr>
          <w:p>
            <w:pPr>
              <w:rPr>
                <w:rFonts w:asciiTheme="minorEastAsia" w:hAnsiTheme="minorEastAsia"/>
                <w:spacing w:val="-2"/>
                <w:szCs w:val="21"/>
              </w:rPr>
            </w:pPr>
            <w:r>
              <w:rPr>
                <w:rFonts w:hint="eastAsia" w:asciiTheme="minorEastAsia" w:hAnsiTheme="minorEastAsia"/>
                <w:spacing w:val="-2"/>
                <w:szCs w:val="21"/>
              </w:rPr>
              <w:t>能够提供本公司（投标单位）自有信息化的项目管理平台，对项目的进度、问题、风险和文档进行实时查看、动态管理。投标单位必须提供项目管理平台截图和具体操作说明：1、项目基本信息（项目名称、合同额、项目负责人）；2、项目实施计划（监理流程）；3、图文资料（监理文档、图片资料）；4、问题风险管理（监理过程中总结的相关问题）。符合一项得1分，</w:t>
            </w:r>
            <w:r>
              <w:rPr>
                <w:rFonts w:hint="eastAsia" w:asciiTheme="minorEastAsia" w:hAnsiTheme="minorEastAsia"/>
                <w:szCs w:val="21"/>
              </w:rPr>
              <w:t>未提供或不符合不得分</w:t>
            </w:r>
            <w:r>
              <w:rPr>
                <w:rFonts w:hint="eastAsia" w:asciiTheme="minorEastAsia" w:hAnsiTheme="minorEastAsia"/>
                <w:spacing w:val="-2"/>
                <w:szCs w:val="21"/>
              </w:rPr>
              <w:t>。</w:t>
            </w:r>
          </w:p>
        </w:tc>
        <w:tc>
          <w:tcPr>
            <w:tcW w:w="1059" w:type="dxa"/>
            <w:vAlign w:val="center"/>
          </w:tcPr>
          <w:p>
            <w:pPr>
              <w:jc w:val="center"/>
              <w:rPr>
                <w:rFonts w:asciiTheme="minorEastAsia" w:hAnsiTheme="minorEastAsia"/>
                <w:spacing w:val="-2"/>
                <w:szCs w:val="21"/>
              </w:rPr>
            </w:pPr>
            <w:r>
              <w:rPr>
                <w:rFonts w:hint="eastAsia" w:asciiTheme="minorEastAsia" w:hAnsiTheme="minorEastAsia"/>
                <w:spacing w:val="-2"/>
                <w:szCs w:val="21"/>
              </w:rPr>
              <w:t>4</w:t>
            </w:r>
          </w:p>
        </w:tc>
      </w:tr>
      <w:bookmarkEnd w:id="29"/>
    </w:tbl>
    <w:p>
      <w:pPr>
        <w:tabs>
          <w:tab w:val="left" w:pos="2880"/>
        </w:tabs>
        <w:snapToGrid w:val="0"/>
        <w:spacing w:line="500" w:lineRule="exact"/>
        <w:rPr>
          <w:rFonts w:ascii="宋体" w:hAnsi="宋体" w:eastAsia="宋体" w:cs="Times New Roman"/>
          <w:b/>
          <w:sz w:val="30"/>
          <w:szCs w:val="30"/>
        </w:rPr>
      </w:pPr>
    </w:p>
    <w:p>
      <w:pPr>
        <w:pageBreakBefore/>
        <w:tabs>
          <w:tab w:val="left" w:pos="2880"/>
        </w:tabs>
        <w:snapToGrid w:val="0"/>
        <w:spacing w:line="500" w:lineRule="exact"/>
        <w:jc w:val="center"/>
        <w:rPr>
          <w:rFonts w:ascii="宋体" w:hAnsi="宋体" w:eastAsia="宋体" w:cs="Times New Roman"/>
          <w:b/>
          <w:sz w:val="30"/>
          <w:szCs w:val="30"/>
        </w:rPr>
      </w:pPr>
      <w:r>
        <w:rPr>
          <w:rFonts w:hint="eastAsia" w:ascii="宋体" w:hAnsi="宋体" w:eastAsia="宋体" w:cs="Times New Roman"/>
          <w:b/>
          <w:sz w:val="30"/>
          <w:szCs w:val="30"/>
        </w:rPr>
        <w:t>第四章　合同条款</w:t>
      </w:r>
    </w:p>
    <w:p>
      <w:pPr>
        <w:keepNext/>
        <w:jc w:val="center"/>
        <w:outlineLvl w:val="0"/>
        <w:rPr>
          <w:rFonts w:ascii="黑体" w:hAnsi="宋体" w:eastAsia="黑体" w:cs="Times New Roman"/>
          <w:sz w:val="30"/>
          <w:szCs w:val="30"/>
        </w:rPr>
      </w:pPr>
      <w:bookmarkStart w:id="30" w:name="_Toc30087"/>
    </w:p>
    <w:p>
      <w:pPr>
        <w:keepNext/>
        <w:jc w:val="center"/>
        <w:outlineLvl w:val="0"/>
        <w:rPr>
          <w:rFonts w:ascii="黑体" w:hAnsi="宋体" w:eastAsia="黑体" w:cs="Times New Roman"/>
          <w:sz w:val="30"/>
          <w:szCs w:val="30"/>
        </w:rPr>
      </w:pPr>
    </w:p>
    <w:p>
      <w:pPr>
        <w:keepNext/>
        <w:jc w:val="center"/>
        <w:outlineLvl w:val="0"/>
        <w:rPr>
          <w:rFonts w:ascii="黑体" w:hAnsi="宋体" w:eastAsia="黑体" w:cs="Times New Roman"/>
          <w:sz w:val="30"/>
          <w:szCs w:val="30"/>
        </w:rPr>
      </w:pPr>
    </w:p>
    <w:p>
      <w:pPr>
        <w:spacing w:line="360" w:lineRule="auto"/>
        <w:jc w:val="center"/>
        <w:rPr>
          <w:rFonts w:cs="Times New Roman" w:asciiTheme="minorEastAsia" w:hAnsiTheme="minorEastAsia"/>
          <w:bCs/>
          <w:sz w:val="72"/>
          <w:szCs w:val="72"/>
        </w:rPr>
      </w:pPr>
      <w:r>
        <w:rPr>
          <w:rFonts w:hint="eastAsia" w:cs="Times New Roman" w:asciiTheme="minorEastAsia" w:hAnsiTheme="minorEastAsia"/>
          <w:bCs/>
          <w:sz w:val="72"/>
          <w:szCs w:val="72"/>
        </w:rPr>
        <w:t>建设工程监理合同</w:t>
      </w:r>
    </w:p>
    <w:p>
      <w:pPr>
        <w:spacing w:line="360" w:lineRule="auto"/>
        <w:ind w:firstLine="960" w:firstLineChars="200"/>
        <w:jc w:val="center"/>
        <w:rPr>
          <w:rFonts w:cs="Times New Roman" w:asciiTheme="minorEastAsia" w:hAnsiTheme="minorEastAsia"/>
          <w:bCs/>
          <w:sz w:val="48"/>
          <w:szCs w:val="48"/>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480" w:firstLineChars="200"/>
        <w:jc w:val="center"/>
        <w:rPr>
          <w:rFonts w:cs="Times New Roman" w:asciiTheme="minorEastAsia" w:hAnsiTheme="minorEastAsia"/>
          <w:b/>
          <w:bCs/>
          <w:sz w:val="24"/>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after="120"/>
        <w:ind w:left="420" w:leftChars="200" w:firstLine="420" w:firstLineChars="200"/>
        <w:rPr>
          <w:rFonts w:cs="Times New Roman" w:asciiTheme="minorEastAsia" w:hAnsiTheme="minorEastAsia"/>
          <w:b/>
          <w:bCs/>
          <w:szCs w:val="24"/>
        </w:rPr>
      </w:pPr>
    </w:p>
    <w:p>
      <w:pPr>
        <w:spacing w:line="360" w:lineRule="auto"/>
        <w:ind w:firstLine="480" w:firstLineChars="200"/>
        <w:jc w:val="center"/>
        <w:rPr>
          <w:rFonts w:cs="Times New Roman" w:asciiTheme="minorEastAsia" w:hAnsiTheme="minorEastAsia"/>
          <w:b/>
          <w:bCs/>
          <w:sz w:val="24"/>
          <w:szCs w:val="24"/>
        </w:rPr>
      </w:pPr>
    </w:p>
    <w:p>
      <w:pPr>
        <w:spacing w:line="360" w:lineRule="auto"/>
        <w:ind w:firstLine="2800" w:firstLineChars="700"/>
        <w:jc w:val="left"/>
        <w:rPr>
          <w:rFonts w:cs="Times New Roman" w:asciiTheme="minorEastAsia" w:hAnsiTheme="minorEastAsia"/>
          <w:w w:val="125"/>
          <w:sz w:val="32"/>
          <w:szCs w:val="32"/>
        </w:rPr>
      </w:pPr>
      <w:r>
        <w:rPr>
          <w:rFonts w:hint="eastAsia" w:cs="Times New Roman" w:asciiTheme="minorEastAsia" w:hAnsiTheme="minorEastAsia"/>
          <w:bCs/>
          <w:w w:val="125"/>
          <w:sz w:val="32"/>
          <w:szCs w:val="32"/>
        </w:rPr>
        <w:t>住房和城乡建设部</w:t>
      </w:r>
    </w:p>
    <w:p>
      <w:pPr>
        <w:spacing w:line="360" w:lineRule="auto"/>
        <w:ind w:firstLine="2640" w:firstLineChars="1100"/>
        <w:jc w:val="left"/>
        <w:rPr>
          <w:rFonts w:cs="Times New Roman" w:asciiTheme="minorEastAsia" w:hAnsiTheme="minorEastAsia"/>
          <w:bCs/>
          <w:sz w:val="32"/>
          <w:szCs w:val="32"/>
        </w:rPr>
      </w:pPr>
      <w:r>
        <w:rPr>
          <w:rFonts w:cs="Times New Roman" w:asciiTheme="minorEastAsia" w:hAnsiTheme="minorEastAsia"/>
          <w:sz w:val="24"/>
          <w:szCs w:val="24"/>
        </w:rPr>
        <w:pict>
          <v:shape id="文本框 4" o:spid="_x0000_s2051" o:spt="202" type="#_x0000_t202" style="position:absolute;left:0pt;margin-left:335.45pt;margin-top:1.8pt;height:38.4pt;width:50.7pt;mso-wrap-distance-bottom:0pt;mso-wrap-distance-left:9pt;mso-wrap-distance-right:9pt;mso-wrap-distance-top:0pt;z-index:251659264;mso-width-relative:page;mso-height-relative:page;" stroked="f" coordsize="21600,21600">
            <v:path/>
            <v:fill focussize="0,0"/>
            <v:stroke on="f" joinstyle="miter"/>
            <v:imagedata o:title=""/>
            <o:lock v:ext="edit"/>
            <v:textbox>
              <w:txbxContent>
                <w:p>
                  <w:pPr>
                    <w:spacing w:line="360" w:lineRule="auto"/>
                    <w:jc w:val="center"/>
                    <w:rPr>
                      <w:rFonts w:asciiTheme="minorEastAsia" w:hAnsiTheme="minorEastAsia"/>
                      <w:bCs/>
                      <w:sz w:val="32"/>
                      <w:szCs w:val="32"/>
                    </w:rPr>
                  </w:pPr>
                  <w:r>
                    <w:rPr>
                      <w:rFonts w:hint="eastAsia" w:asciiTheme="minorEastAsia" w:hAnsiTheme="minorEastAsia"/>
                      <w:sz w:val="32"/>
                      <w:szCs w:val="32"/>
                    </w:rPr>
                    <w:t>制定</w:t>
                  </w:r>
                </w:p>
              </w:txbxContent>
            </v:textbox>
            <w10:wrap type="square"/>
          </v:shape>
        </w:pict>
      </w:r>
    </w:p>
    <w:p>
      <w:pPr>
        <w:spacing w:line="360" w:lineRule="auto"/>
        <w:ind w:firstLine="2880" w:firstLineChars="900"/>
        <w:jc w:val="left"/>
        <w:rPr>
          <w:rFonts w:cs="Times New Roman" w:asciiTheme="minorEastAsia" w:hAnsiTheme="minorEastAsia"/>
          <w:sz w:val="24"/>
          <w:szCs w:val="24"/>
        </w:rPr>
      </w:pPr>
      <w:r>
        <w:rPr>
          <w:rFonts w:hint="eastAsia" w:cs="Times New Roman" w:asciiTheme="minorEastAsia" w:hAnsiTheme="minorEastAsia"/>
          <w:bCs/>
          <w:sz w:val="32"/>
          <w:szCs w:val="32"/>
        </w:rPr>
        <w:t>国家工商行政管理总局</w:t>
      </w:r>
    </w:p>
    <w:p>
      <w:pPr>
        <w:spacing w:line="360" w:lineRule="auto"/>
        <w:jc w:val="center"/>
        <w:rPr>
          <w:rFonts w:cs="Times New Roman" w:asciiTheme="minorEastAsia" w:hAnsiTheme="minorEastAsia"/>
          <w:bCs/>
          <w:sz w:val="32"/>
          <w:szCs w:val="24"/>
        </w:rPr>
      </w:pPr>
      <w:r>
        <w:rPr>
          <w:rFonts w:hint="eastAsia" w:cs="Times New Roman" w:asciiTheme="minorEastAsia" w:hAnsiTheme="minorEastAsia"/>
          <w:bCs/>
          <w:sz w:val="32"/>
          <w:szCs w:val="24"/>
        </w:rPr>
        <w:t>二〇二一年十一月</w:t>
      </w:r>
    </w:p>
    <w:p>
      <w:pPr>
        <w:spacing w:line="360" w:lineRule="auto"/>
        <w:ind w:firstLine="480" w:firstLineChars="200"/>
        <w:jc w:val="center"/>
        <w:rPr>
          <w:rFonts w:cs="Times New Roman" w:asciiTheme="minorEastAsia" w:hAnsiTheme="minorEastAsia"/>
          <w:b/>
          <w:bCs/>
          <w:sz w:val="24"/>
          <w:szCs w:val="24"/>
        </w:rPr>
      </w:pPr>
    </w:p>
    <w:p>
      <w:pPr>
        <w:keepNext/>
        <w:keepLines/>
        <w:spacing w:line="360" w:lineRule="auto"/>
        <w:jc w:val="center"/>
        <w:outlineLvl w:val="0"/>
        <w:rPr>
          <w:rFonts w:ascii="Times New Roman" w:hAnsi="Times New Roman" w:eastAsia="华文中宋" w:cs="Times New Roman"/>
          <w:bCs/>
          <w:kern w:val="44"/>
          <w:sz w:val="32"/>
          <w:szCs w:val="44"/>
        </w:rPr>
      </w:pPr>
    </w:p>
    <w:p>
      <w:pPr>
        <w:keepNext/>
        <w:keepLines/>
        <w:spacing w:line="360" w:lineRule="auto"/>
        <w:jc w:val="center"/>
        <w:outlineLvl w:val="0"/>
        <w:rPr>
          <w:rFonts w:cs="Times New Roman" w:asciiTheme="minorEastAsia" w:hAnsiTheme="minorEastAsia"/>
          <w:bCs/>
          <w:kern w:val="44"/>
          <w:sz w:val="32"/>
          <w:szCs w:val="44"/>
        </w:rPr>
      </w:pPr>
      <w:r>
        <w:rPr>
          <w:rFonts w:hint="eastAsia" w:cs="Times New Roman" w:asciiTheme="minorEastAsia" w:hAnsiTheme="minorEastAsia"/>
          <w:bCs/>
          <w:kern w:val="44"/>
          <w:sz w:val="32"/>
          <w:szCs w:val="44"/>
        </w:rPr>
        <w:t>第一部分  协议书</w:t>
      </w:r>
    </w:p>
    <w:p>
      <w:pPr>
        <w:keepNext/>
        <w:keepLines/>
        <w:spacing w:line="360" w:lineRule="auto"/>
        <w:jc w:val="center"/>
        <w:outlineLvl w:val="0"/>
        <w:rPr>
          <w:rFonts w:ascii="Times New Roman" w:hAnsi="Times New Roman" w:eastAsia="华文中宋" w:cs="Times New Roman"/>
          <w:bCs/>
          <w:kern w:val="44"/>
          <w:sz w:val="32"/>
          <w:szCs w:val="44"/>
        </w:rPr>
      </w:pPr>
    </w:p>
    <w:p>
      <w:pPr>
        <w:adjustRightInd w:val="0"/>
        <w:snapToGrid w:val="0"/>
        <w:spacing w:line="520" w:lineRule="exact"/>
        <w:ind w:firstLine="275" w:firstLineChars="250"/>
        <w:rPr>
          <w:rFonts w:ascii="仿宋_GB2312" w:hAnsi="宋体" w:eastAsia="仿宋_GB2312" w:cs="Times New Roman"/>
          <w:b/>
          <w:sz w:val="11"/>
          <w:szCs w:val="13"/>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委托人（全称）：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监理人（全称）：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w:t>
      </w:r>
      <w:r>
        <w:rPr>
          <w:rFonts w:ascii="宋体" w:hAnsi="宋体" w:eastAsia="宋体" w:cs="Times New Roman"/>
          <w:sz w:val="24"/>
          <w:szCs w:val="24"/>
        </w:rPr>
        <w:t>《中华人民共和国民法典》</w:t>
      </w:r>
      <w:r>
        <w:rPr>
          <w:rFonts w:hint="eastAsia" w:ascii="宋体" w:hAnsi="宋体" w:eastAsia="宋体" w:cs="Times New Roman"/>
          <w:sz w:val="24"/>
          <w:szCs w:val="24"/>
        </w:rPr>
        <w:t>、《中华人民共和国建筑法》及其他有关法律、法规，遵循平等、自愿、公平和诚信的原则，双方就下述工程委托监理与相关服务事项协商一致，签立本合同。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一、工程概况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1.工程名称：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2.工程地点：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3.工程规模：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4.工程概算投资额：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二、词语限定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协议书中相关词语的含义与通用条件中的定义与解释相同。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三、组成本合同的文件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协议书；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中标通知书；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 投标文件；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 专用条件；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 通用条件；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 附录，即：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本合同签订后，双方依法签订的补充协议也是本合同文件的组成部分。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四、总监理工程师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总监理工程师姓名：   ，身份证号码：    ，资格证号码：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五、签约酬金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签约酬金（大写）：    。</w:t>
      </w:r>
    </w:p>
    <w:p>
      <w:pPr>
        <w:numPr>
          <w:ilvl w:val="0"/>
          <w:numId w:val="5"/>
        </w:num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监理期限</w:t>
      </w:r>
    </w:p>
    <w:p>
      <w:pPr>
        <w:spacing w:after="120"/>
        <w:ind w:left="840" w:leftChars="400"/>
        <w:rPr>
          <w:rFonts w:ascii="Times New Roman" w:hAnsi="Times New Roman" w:eastAsia="仿宋" w:cs="Times New Roman"/>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签订监理合同至所承担监理任务的工程建设项目竣工验收后结束。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七、双方承诺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监理人向委托人承诺，按照本合同规定，承担本合同专用条件中议定范围内的监理业务。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委托人向监理人承诺，按照本合同约定派遣相应的人员，提供房屋、资料、设备，并按本合同约定支付酬金。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八、合同订立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订立地点：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本合同一式 六 份，具有同等法律效力，双方各执 三 份。</w:t>
      </w:r>
    </w:p>
    <w:p>
      <w:pPr>
        <w:spacing w:line="360" w:lineRule="auto"/>
        <w:ind w:firstLine="480" w:firstLineChars="200"/>
        <w:rPr>
          <w:rFonts w:ascii="宋体" w:hAnsi="宋体" w:eastAsia="宋体" w:cs="Times New Roman"/>
          <w:sz w:val="24"/>
          <w:szCs w:val="24"/>
        </w:rPr>
      </w:pPr>
    </w:p>
    <w:tbl>
      <w:tblPr>
        <w:tblStyle w:val="21"/>
        <w:tblW w:w="9302" w:type="dxa"/>
        <w:tblCellSpacing w:w="15" w:type="dxa"/>
        <w:tblInd w:w="0" w:type="dxa"/>
        <w:tblLayout w:type="fixed"/>
        <w:tblCellMar>
          <w:top w:w="0" w:type="dxa"/>
          <w:left w:w="0" w:type="dxa"/>
          <w:bottom w:w="0" w:type="dxa"/>
          <w:right w:w="0" w:type="dxa"/>
        </w:tblCellMar>
      </w:tblPr>
      <w:tblGrid>
        <w:gridCol w:w="4651"/>
        <w:gridCol w:w="4651"/>
      </w:tblGrid>
      <w:tr>
        <w:tblPrEx>
          <w:tblCellMar>
            <w:top w:w="0" w:type="dxa"/>
            <w:left w:w="0" w:type="dxa"/>
            <w:bottom w:w="0" w:type="dxa"/>
            <w:right w:w="0" w:type="dxa"/>
          </w:tblCellMar>
        </w:tblPrEx>
        <w:trPr>
          <w:trHeight w:val="1310" w:hRule="atLeast"/>
          <w:tblCellSpacing w:w="15" w:type="dxa"/>
        </w:trPr>
        <w:tc>
          <w:tcPr>
            <w:tcW w:w="4606" w:type="dxa"/>
          </w:tcPr>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委托人：（盖章） </w:t>
            </w:r>
          </w:p>
          <w:p>
            <w:pPr>
              <w:spacing w:line="360" w:lineRule="auto"/>
              <w:rPr>
                <w:rFonts w:ascii="宋体" w:hAnsi="宋体" w:eastAsia="宋体" w:cs="Times New Roman"/>
                <w:sz w:val="24"/>
                <w:szCs w:val="24"/>
              </w:rPr>
            </w:pPr>
          </w:p>
        </w:tc>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监理人：（盖章）</w:t>
            </w:r>
          </w:p>
        </w:tc>
      </w:tr>
      <w:tr>
        <w:tblPrEx>
          <w:tblCellMar>
            <w:top w:w="0" w:type="dxa"/>
            <w:left w:w="0" w:type="dxa"/>
            <w:bottom w:w="0" w:type="dxa"/>
            <w:right w:w="0" w:type="dxa"/>
          </w:tblCellMar>
        </w:tblPrEx>
        <w:trPr>
          <w:tblCellSpacing w:w="15" w:type="dxa"/>
        </w:trPr>
        <w:tc>
          <w:tcPr>
            <w:tcW w:w="4606" w:type="dxa"/>
          </w:tcPr>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住所： </w:t>
            </w:r>
          </w:p>
          <w:p>
            <w:pPr>
              <w:spacing w:line="360" w:lineRule="auto"/>
              <w:ind w:firstLine="480" w:firstLineChars="200"/>
              <w:rPr>
                <w:rFonts w:ascii="宋体" w:hAnsi="宋体" w:eastAsia="宋体" w:cs="Times New Roman"/>
                <w:sz w:val="24"/>
                <w:szCs w:val="24"/>
              </w:rPr>
            </w:pPr>
          </w:p>
        </w:tc>
        <w:tc>
          <w:tcPr>
            <w:tcW w:w="4606" w:type="dxa"/>
          </w:tcPr>
          <w:p>
            <w:pPr>
              <w:spacing w:line="360" w:lineRule="auto"/>
              <w:ind w:left="1140" w:leftChars="200" w:hanging="720" w:hangingChars="300"/>
              <w:rPr>
                <w:rFonts w:ascii="宋体" w:hAnsi="宋体" w:eastAsia="宋体" w:cs="Times New Roman"/>
                <w:sz w:val="24"/>
                <w:szCs w:val="24"/>
              </w:rPr>
            </w:pPr>
            <w:r>
              <w:rPr>
                <w:rFonts w:hint="eastAsia" w:ascii="宋体" w:hAnsi="宋体" w:eastAsia="宋体" w:cs="Times New Roman"/>
                <w:sz w:val="24"/>
                <w:szCs w:val="24"/>
              </w:rPr>
              <w:t xml:space="preserve">住所： </w:t>
            </w:r>
          </w:p>
        </w:tc>
      </w:tr>
      <w:tr>
        <w:tblPrEx>
          <w:tblCellMar>
            <w:top w:w="0" w:type="dxa"/>
            <w:left w:w="0" w:type="dxa"/>
            <w:bottom w:w="0" w:type="dxa"/>
            <w:right w:w="0" w:type="dxa"/>
          </w:tblCellMar>
        </w:tblPrEx>
        <w:trPr>
          <w:tblCellSpacing w:w="15" w:type="dxa"/>
        </w:trPr>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法定代表人或其授权的代理人：</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（签字）</w:t>
            </w:r>
          </w:p>
        </w:tc>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法定代表人或其授权的代理人：</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（签字）</w:t>
            </w:r>
          </w:p>
        </w:tc>
      </w:tr>
      <w:tr>
        <w:tblPrEx>
          <w:tblCellMar>
            <w:top w:w="0" w:type="dxa"/>
            <w:left w:w="0" w:type="dxa"/>
            <w:bottom w:w="0" w:type="dxa"/>
            <w:right w:w="0" w:type="dxa"/>
          </w:tblCellMar>
        </w:tblPrEx>
        <w:trPr>
          <w:tblCellSpacing w:w="15" w:type="dxa"/>
        </w:trPr>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开户银行：</w:t>
            </w:r>
          </w:p>
        </w:tc>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开户银行： </w:t>
            </w:r>
          </w:p>
        </w:tc>
      </w:tr>
      <w:tr>
        <w:tblPrEx>
          <w:tblCellMar>
            <w:top w:w="0" w:type="dxa"/>
            <w:left w:w="0" w:type="dxa"/>
            <w:bottom w:w="0" w:type="dxa"/>
            <w:right w:w="0" w:type="dxa"/>
          </w:tblCellMar>
        </w:tblPrEx>
        <w:trPr>
          <w:trHeight w:val="405" w:hRule="atLeast"/>
          <w:tblCellSpacing w:w="15" w:type="dxa"/>
        </w:trPr>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账号：</w:t>
            </w:r>
          </w:p>
        </w:tc>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账号： </w:t>
            </w:r>
          </w:p>
        </w:tc>
      </w:tr>
      <w:tr>
        <w:tblPrEx>
          <w:tblCellMar>
            <w:top w:w="0" w:type="dxa"/>
            <w:left w:w="0" w:type="dxa"/>
            <w:bottom w:w="0" w:type="dxa"/>
            <w:right w:w="0" w:type="dxa"/>
          </w:tblCellMar>
        </w:tblPrEx>
        <w:trPr>
          <w:trHeight w:val="1148" w:hRule="atLeast"/>
          <w:tblCellSpacing w:w="15" w:type="dxa"/>
        </w:trPr>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电话：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传真：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电子邮箱：</w:t>
            </w:r>
          </w:p>
        </w:tc>
        <w:tc>
          <w:tcPr>
            <w:tcW w:w="4606" w:type="dxa"/>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电话：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传真：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电子邮箱：</w:t>
            </w:r>
          </w:p>
        </w:tc>
      </w:tr>
    </w:tbl>
    <w:p>
      <w:pPr>
        <w:spacing w:line="360" w:lineRule="auto"/>
        <w:ind w:firstLine="1200" w:firstLineChars="500"/>
        <w:rPr>
          <w:rFonts w:ascii="宋体" w:hAnsi="宋体" w:eastAsia="宋体" w:cs="Times New Roman"/>
          <w:sz w:val="24"/>
          <w:szCs w:val="24"/>
        </w:rPr>
      </w:pPr>
      <w:r>
        <w:rPr>
          <w:rFonts w:hint="eastAsia" w:ascii="宋体" w:hAnsi="宋体" w:eastAsia="宋体" w:cs="Times New Roman"/>
          <w:sz w:val="24"/>
          <w:szCs w:val="24"/>
        </w:rPr>
        <w:t>本合同签订于：      年     月     日。</w:t>
      </w:r>
    </w:p>
    <w:p>
      <w:pPr>
        <w:adjustRightInd w:val="0"/>
        <w:snapToGrid w:val="0"/>
        <w:spacing w:line="300" w:lineRule="auto"/>
        <w:ind w:left="632" w:leftChars="301" w:firstLine="480" w:firstLineChars="200"/>
        <w:rPr>
          <w:rFonts w:ascii="仿宋_GB2312" w:hAnsi="宋体" w:eastAsia="仿宋_GB2312" w:cs="Times New Roman"/>
          <w:sz w:val="24"/>
          <w:szCs w:val="32"/>
        </w:rPr>
      </w:pPr>
    </w:p>
    <w:p>
      <w:pPr>
        <w:adjustRightInd w:val="0"/>
        <w:snapToGrid w:val="0"/>
        <w:spacing w:line="300" w:lineRule="auto"/>
        <w:ind w:left="632" w:leftChars="301" w:firstLine="480" w:firstLineChars="200"/>
        <w:rPr>
          <w:rFonts w:ascii="仿宋_GB2312" w:hAnsi="宋体" w:eastAsia="仿宋_GB2312" w:cs="Times New Roman"/>
          <w:sz w:val="24"/>
          <w:szCs w:val="32"/>
        </w:rPr>
      </w:pPr>
      <w:r>
        <w:rPr>
          <w:rFonts w:ascii="仿宋_GB2312" w:hAnsi="宋体" w:eastAsia="仿宋_GB2312" w:cs="Times New Roman"/>
          <w:sz w:val="24"/>
          <w:szCs w:val="32"/>
        </w:rPr>
        <w:br w:type="page"/>
      </w:r>
    </w:p>
    <w:p>
      <w:pPr>
        <w:keepNext/>
        <w:keepLines/>
        <w:spacing w:line="360" w:lineRule="auto"/>
        <w:jc w:val="center"/>
        <w:outlineLvl w:val="0"/>
        <w:rPr>
          <w:rFonts w:cs="Times New Roman" w:asciiTheme="minorEastAsia" w:hAnsiTheme="minorEastAsia"/>
          <w:bCs/>
          <w:kern w:val="44"/>
          <w:sz w:val="32"/>
          <w:szCs w:val="44"/>
        </w:rPr>
      </w:pPr>
      <w:r>
        <w:rPr>
          <w:rFonts w:hint="eastAsia" w:cs="Times New Roman" w:asciiTheme="minorEastAsia" w:hAnsiTheme="minorEastAsia"/>
          <w:bCs/>
          <w:kern w:val="44"/>
          <w:sz w:val="32"/>
          <w:szCs w:val="44"/>
        </w:rPr>
        <w:t>第二部分  通用条件</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1. 定义与解释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 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除根据上下文另有其意义外，组成本合同的全部文件中的下列名词和用语应具有本款所赋予的含义：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 “工程”是指按照本合同约定实施监理与相关服务的建设工程。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1.1.2 “委托人”是指本合同中委托监理与相关服务的一方，及其合法的继承人或受让人。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1.1.3 “监理人”是指本合同中提供监理与相关服务的一方，及其合法的继承人。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1.1.4 “承包人”是指在工程范围内与委托人签订勘察、设计、施工等有关合同的当事人，及其合法的继承人。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1.1.6 “相关服务”是指监理人受委托人的委托 ，按照本合同约定，在勘察、设计、保修等阶段提供的服务活动。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1.1.7 “正常工作”指本合同订立时通用条件和专用条件中约定的监理人的工作。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1.1.8 “附加工作”是指本合同约定的正常工作以外监理人的工作。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1.1.9 “项目监理机构”是指监理人派驻工程负责履行本合同的组织机构。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1.1.10 “总监理工程师”是指由监理人的法定代表人书面授权，全面负责履行本合同、主持项目监理机构工作的注册监理工程师。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1.1.11 “酬金”是指监理人履行本合同义务，委托人按照本合同约定给付监理人的金额。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1.1.12 “正常工作酬金”是指监理人完成正常工作，委托人应给付监理人并在协议书中载明的签约酬金额。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1.1.13 “附加工作酬金”是指监理人完成附加工作，委托人应给付监理人的金额。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1.1.14 “一方”是指委托人或监理人；“双方”是指委托人和监理人；“第三方”是指除委托人和监理人以外的有关方。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1.1.15 “书面形式”是指合同书、信件和数据电文（包括电报、电传、传真、电子数据交换和电子邮件）等可以有形地表现所载内容的形式。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1.1.16 “天”是指第一天零时至第二天零时的时间。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1.1.17“月”是指按公历从一个月中任何一天开始的一个公历月时间。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 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1.2.1本合同使用中文书写、解释和说明。如专用条件约定使用两种及以上语言文字时，应以中文为准。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1.2.2 组成本合同的下列文件彼此应能相互解释、互为说明。除专用条件另有约定外，本合同文件的解释顺序如下：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（1）协议书；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（2）中标通知书（适用于招标工程）或委托书（适用于非招标工程）；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（3）专用条件及附录A、附录B；</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（4）通用条件；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（5）投标文件（适用于招标工程）或监理与相关服务建议书（适用于非招标工程）。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双方签订的补充协议与其他文件发生矛盾或歧义时，属于同一类内容的文件，应以最新签署的为准。</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2. 监理人的义务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 监理的范围和工作内容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 监理范围在专用条件中约定。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2.1.2 除专用条件另有约定外，监理工作内容包括：</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（1）收到工程设计文件后编制监理规划，并在第一次工地会议7天前报委托人。根据有关规定和监理工作需要，编制监理实施细则；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（2）熟悉工程设计文件，并参加由委托人主持的图纸会审和设计交底会议；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（3）参加由委托人主持的第一次工地会议；主持监理例会并根据工程需要主持或参加专题会议；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（4）审查施工承包人提交的施工组织设计，重点审查其中的质量安全技术措施、专项施工方案与工程建设强制性标准的符合性；</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（5）检查施工承包人工程质量、安全生产管理制度及组织机构和人员资格；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（6）检查施工承包人专职安全生产管理人员的配备情况；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（7）审查施工承包人提交的施工进度计划，核查承包人对施工进度计划的调整；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（8）检查施工承包人的试验室；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（9）审核施工分包人资质条件；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（10）查验施工承包人的施工测量放线成果；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（11）审查工程开工条件，对条件具备的签发开工令；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（12）审查施工承包人报送的工程材料、构配件、设备质量证明文件的有效性和符合性，并按规定对用于工程的材料采取平行检验或见证取样方式进行抽检；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（13）审核施工承包人提交的工程款支付申请，签发或出具工程款支付证书，并报委托人审核、批准；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（14）在巡视、旁站和检验过程中，发现工程质量、施工安全存在事故隐患的，要求施工承包人整改并报委托人；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（15）经委托人同意，签发工程暂停令和复工令；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（16）审查施工承包人提交的采用新材料、新工艺、新技术、新设备的论证材料及相关验收标准；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（17）验收隐蔽工程、分部分项工程；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（18）审查施工承包人提交的工程变更申请，协调处理施工进度调整、费用索赔、合同争议等事项；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（19）审查施工承包人提交的竣工验收申请，编写工程质量评估报告；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（20）参加工程竣工验收，签署竣工验收意见；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（21）审查施工承包人提交的竣工结算申请并报委托人；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（22）编制、整理工程监理归档文件并报委托人。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2.1.3 相关服务的范围和内容在附录A中约定。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 监理与相关服务依据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2.2.1 监理依据包括：</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（1）适用的法律、行政法规及部门规章；</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（2）与工程有关的标准；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（3）工程设计及有关文件；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（4）本合同及委托人与第三方签订的与实施工程有关的其他合同。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双方根据工程的行业和地域特点，在专用条件中具体约定监理依据。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2.2.2 相关服务依据在专用条件中约定。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 项目监理机构和人员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2.3.1 监理人应组建满足工作需要的项目监理机构，配备必要的检测设备。项目监理机构的主要人员应具有相应的资格条件。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2.3.2本合同履行过程中，总监理工程师及重要岗位监理人员应保持相对稳定，以保证监理工作正常进行。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2.3.4 监理人应及时更换有下列情形之一的监理人员：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（1）严重过失行为的；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（2）有违法行为不能履行职责的；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（3）涉嫌犯罪的；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（4）不能胜任岗位职责的；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（5）严重违反职业道德的；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（6）专用条件约定的其他情形。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2.3.5 委托人可要求监理人更换不能胜任本职工作的项目监理机构人员。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 履行职责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监理人应遵循职业道德准则和行为规范，严格按照法律法规、工程建设有关标准及本合同履行职责。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2.4.1 在监理与相关服务范围内，委托人和承包人提出的意见和要求，监理人应及时提出处置意见。当委托人与承包人之间发生合同争议时，监理人应协助委托人、承包人协商解决。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2.4.2 当委托人与承包人之间的合同争议提交仲裁机构仲裁或人民法院审理时，监理人应提供必要的证明资料。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2.4.3 监理人应在专用条件约定的授权范围内，处理委托人与承包人所签订合同的变更事宜。如果变更超过授权范围，应以书面形式报委托人批准。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2.4.4 除专用条件另有约定外，监理人发现承包人的人员不能胜任本职工作的，有权要求承包人予以调换。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2.5 提交报告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监理人应按专用条件约定的种类、时间和份数向委托人提交监理与相关服务的报告。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2.6 文件资料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在本合同履行期内，监理人应在现场保留工作所用的图纸、报告及记录监理工作的相关文件。工程竣工后，应当按照档案管理规定将监理有关文件归档。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2.7 使用委托人的财产</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b/>
          <w:bCs/>
          <w:sz w:val="24"/>
          <w:szCs w:val="24"/>
        </w:rPr>
        <w:t>3．委托人的义务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3.1 告知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委托人应在委托人与承包人签订的合同中明确监理人、总监理工程师和授予项目监理机构的权限。如有变更，应及时通知承包人。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 提供资料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委托人应按照附录B约定，无偿向监理人提供工程有关的资料。在本合同履行过程中，委托人应及时向监理人提供最新的与工程有关的资料。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 提供工作条件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委托人应为监理人完成监理与相关服务提供必要的条件。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3.3.1 委托人应按照附录B约定，派遣相应的人员，提供房屋、设备，供监理人无偿使用。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3.3.2 委托人应负责协调工程建设中所有外部关系，为监理人履行本合同提供必要的外部条件。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3.4 委托人代表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3.5 委托人意见或要求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在本合同约定的监理与相关服务工作范围内，委托人对承包人的任何意见或要求应通知监理人，由监理人向承包人发出相应指令。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3.6 答复</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委托人应在专用条件约定的时间内，对监理人以书面形式提交并要求作出决定的事宜，给予书面答复。逾期未答复的，视为委托人认可。</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3.7 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委托人应按本合同约定，向监理人支付酬金。</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4. 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 监理人的违约责任</w:t>
      </w:r>
    </w:p>
    <w:p>
      <w:pPr>
        <w:spacing w:after="120"/>
        <w:ind w:left="420" w:leftChars="200"/>
        <w:rPr>
          <w:rFonts w:ascii="Times New Roman" w:hAnsi="Times New Roman" w:eastAsia="仿宋" w:cs="Times New Roman"/>
          <w:szCs w:val="24"/>
        </w:rPr>
      </w:pPr>
      <w:r>
        <w:rPr>
          <w:rFonts w:hint="eastAsia" w:ascii="宋体" w:hAnsi="宋体" w:eastAsia="宋体" w:cs="Times New Roman"/>
          <w:sz w:val="24"/>
          <w:szCs w:val="24"/>
        </w:rPr>
        <w:t>4.1.1监理人未履行本合同义务的，应承担委托人全部责任。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4.1.2 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4.1.3 监理人向委托人的索赔不成立时，监理人应赔偿委托人由此发生的费用。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 委托人的违约责任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委托人未履行本合同义务的，应承担相应的责任。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4.2.1 委托人违反本合同约定造成监理人损失的，委托人应予以赔偿。</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4.2.2 委托人向监理人的索赔不成立时，应赔偿监理人由此引起的费用。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4.2.3 委托人未能按期支付酬金超过28天，应按专用条件约定支付逾期付款利息。</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4.3 除外责任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因非监理人的原因，且监理人无过错，发生工程质量事故、安全事故、工期延误等造成的损失，监理人不承担赔偿责任。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因不可抗力导致本合同全部或部分不能履行时，双方各自承担其因此而造成的损失、损害。</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5. 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5.1 支付货币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除专用条件另有约定外，酬金均以人民币支付。涉及外币支付的，所采用的货币种类、比例和汇率在专用条件中约定。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5.2 支付申请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监理人应在本合同约定的每次应付款时间的7天前，向委托人提交支付申请书。支付申请书应当说明当期应付款总额，并列出当期应支付的款项及其金额。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5.3 支付酬金</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甲乙双方协商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5.4 有争议部分的付款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6. 合同生效、变更、暂停、解除与终止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6.1生效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除法律另有规定或者专用条件另有约定外，委托人和监理人的法定代表人或其授权代理人在协议书上签字并盖单位章后本合同生效。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6.2.1 任何一方提出变更请求时，双方经协商一致后可进行变更。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6.2.4合同签订后，遇有与工程相关的法律法规、标准颁布或修订的，双方应遵照执行。由此引起监理与相关服务的范围、时间、酬金变化的，双方应通过协商进行相应调整。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6.2.5 因非监理人原因造成工程概算投资额或建筑安装工程费增加时，正常工作酬金应作相应调整。调整方法在专用条件中约定。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6.2.6 因工程规模、监理范围的变化导致监理人的正常工作量减少时，正常工作酬金应作相应调整。调整方法在专用条件中约定。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 暂停与解除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因解除本合同或解除监理人的部分义务导致监理人遭受的损失，除依法可以免除责任的情况外，应由委托人予以补偿，补偿金额由双方协商确定。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解除本合同的协议必须采取书面形式，协议未达成之前，本合同仍然有效。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6.3.5 因不可抗力致使本合同部分或全部不能履行时，一方应立即通知另一方，可暂停或解除本合同。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6.3.6 本合同解除后，本合同约定的有关结算、清理、争议解决方式的条件仍然有效。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6.4 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以下条件全部满足时，本合同即告终止：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（1）监理人完成本合同约定的全部工作；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（2）委托人与监理人结清并支付全部酬金。</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7. 争议解决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7.1协商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双方应本着诚信原则协商解决彼此间的争议。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7.2调解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如果双方不能在14天内或双方商定的其他时间内解决本合同争议，可以将其提交给专用条件约定的或事后达成协议的调解人进行调解。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7.3仲裁或诉讼</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双方均有权不经调解直接向专用条件约定的仲裁机构申请仲裁或向有管辖权的人民法院提起诉讼。</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8. 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8.1 外出考察费用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经委托人同意，监理人员外出考察发生的费用由委托人审核后支付。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8.2 检测费用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委托人要求监理人进行的材料和设备检测所发生的费用，由委托人支付，支付时间在专用条件中约定。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8.3 咨询费用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经委托人同意，根据工程需要由监理人组织的相关咨询论证会以及聘请相关专家等发生的费用由委托人支付，支付时间在专用条件中约定。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8.4 奖励</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8.5 守法诚信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监理人及其工作人员不得从与实施工程有关的第三方处获得任何经济利益。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8.6 保密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双方不得泄露对方申明的保密资料，亦不得泄露与实施工程有关的第三方所提供的保密资料，保密事项在专用条件中约定。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8.7 通知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本合同涉及的通知均应当采用书面形式，并在送达对方时生效，收件人应书面签收。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8.8 著作权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监理人对其编制的文件拥有著作权。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360" w:lineRule="auto"/>
        <w:rPr>
          <w:rFonts w:ascii="宋体" w:hAnsi="宋体" w:eastAsia="宋体" w:cs="Times New Roman"/>
          <w:sz w:val="24"/>
          <w:szCs w:val="24"/>
        </w:rPr>
      </w:pPr>
    </w:p>
    <w:p>
      <w:pPr>
        <w:spacing w:after="120"/>
        <w:ind w:left="420" w:leftChars="200" w:firstLine="480" w:firstLineChars="200"/>
        <w:rPr>
          <w:rFonts w:ascii="宋体" w:hAnsi="宋体" w:eastAsia="宋体" w:cs="Times New Roman"/>
          <w:sz w:val="24"/>
          <w:szCs w:val="24"/>
        </w:rPr>
      </w:pPr>
    </w:p>
    <w:p>
      <w:pPr>
        <w:spacing w:after="120"/>
        <w:ind w:left="420" w:leftChars="200" w:firstLine="480" w:firstLineChars="200"/>
        <w:rPr>
          <w:rFonts w:ascii="宋体" w:hAnsi="宋体" w:eastAsia="宋体" w:cs="Times New Roman"/>
          <w:sz w:val="24"/>
          <w:szCs w:val="24"/>
        </w:rPr>
      </w:pPr>
    </w:p>
    <w:p>
      <w:pPr>
        <w:spacing w:after="120"/>
        <w:ind w:left="420" w:leftChars="200" w:firstLine="480" w:firstLineChars="200"/>
        <w:rPr>
          <w:rFonts w:ascii="宋体" w:hAnsi="宋体" w:eastAsia="宋体" w:cs="Times New Roman"/>
          <w:sz w:val="24"/>
          <w:szCs w:val="24"/>
        </w:rPr>
      </w:pPr>
    </w:p>
    <w:p>
      <w:pPr>
        <w:spacing w:line="360" w:lineRule="auto"/>
        <w:ind w:firstLine="560" w:firstLineChars="20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第三部分专用条件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 定义与解释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  解释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1.2.1 本合同文件除使用中文外，还可用 无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1.2.2 约定本合同文件的解释顺序为：执行通用条款1.2.2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监理人义务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 监理的范围和内容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2.1.1 监理范围包括： 根据招标文件要求，承担本工程施工准备阶段，施工阶段和验收阶段的监理工作。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 监理与相关服务依据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2.2.1 监理依据包括： 《中华人民共和国民法典》、《信息技术服务监理(GB/T19668系列)》，自治区及兵团信息化工程监理有关规定、规章及有关政策性文件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2.2.2 相关服务依据包括：</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（1）《中华人民共和国民法典》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（2）《项目承建合同》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（3）现行国家有关信息系统工程建设的标准和规定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（4）现行国家有关信息系统工程监理工作的规范条文和法规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（5）现行地方有关信息系统工程建设的标准和规定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2.3项目监理机构和人员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2.3.4 更换监理人员的其他情形：   /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 履行职责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2.4.3 对监理人的授权范围：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（1）选择工程分包人的认可权。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（2）对工程建设有关事项包括设计标准、生产工艺设计和使用功能要求，向委托人的建议权。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对工程设计中的技术问题，按照安全和优化的原则，向设计人提出建议；如果拟提出的建议可能会提高工程造价，或延长工期，应当事先征得委托人的同意。当发现工程设计不符合国家现行的建设工程质量标准时，监理人应当书面报告委托人要求设计人更正。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（4）审批工程施工组织设计和技术方案，按照保质量、保工期和降低成本的原则，向承包人提出建议，并向委托人提出书面报告。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（5）征得委托人同意，监理人有权发布开工令、停工令、复工令，但事先向委托人报告。如在紧急情况下未能事先报告时，则应在24小时内向委托人作出书面报告。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工程上使用的材料和施工质量的检验权。对于不符合设计要求和合同约定及国家质量标准的材料、构配件、设备，有权通知承包人停止使用；对于不符合规范质量标准的工序、分项分部工程和不安全施工作业有权通知承包人停工整改、返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（7）工程施工进度的检查、监督权，以及工程实际竣工日期提前或超过工程施工合同规定的竣工期限的签认权。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（8）在工程施工合同约定的工程价格范围内，工程款支付的审核和签认权。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2.4.4 监理人有权要求承包人调换其人员的限制条件：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（1）监理人要求承包人调换项目经理的，应事先和委托人协商，委托人同意后提前7天向承包人发出调换项目经理通知；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（2）监理人要求承包人调换其他管理人员的，应提前7天通知委托人 。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2.5 提交报告</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监理人应提交报告的种类(包括监理规划、监理月报及约定的专项报告)、时间和份数：</w:t>
      </w:r>
      <w:r>
        <w:rPr>
          <w:rFonts w:hint="eastAsia" w:ascii="宋体" w:hAnsi="宋体" w:eastAsia="宋体" w:cs="Times New Roman"/>
          <w:sz w:val="24"/>
          <w:szCs w:val="24"/>
          <w:u w:val="single"/>
        </w:rPr>
        <w:t>监理人应在项目整体验收通过后十五日内，向委托人提供一份装订完成的监理资料（含监理各阶段文档，随工所产生的承建单位提交报审文档、影像照片。</w:t>
      </w:r>
    </w:p>
    <w:p>
      <w:pPr>
        <w:numPr>
          <w:ilvl w:val="0"/>
          <w:numId w:val="6"/>
        </w:num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委托人义务  </w:t>
      </w:r>
    </w:p>
    <w:p>
      <w:pPr>
        <w:tabs>
          <w:tab w:val="left" w:pos="0"/>
        </w:tabs>
        <w:spacing w:after="120"/>
        <w:ind w:left="12" w:leftChars="6" w:firstLine="703"/>
        <w:rPr>
          <w:rFonts w:ascii="宋体" w:hAnsi="宋体" w:eastAsia="宋体" w:cs="Times New Roman"/>
          <w:sz w:val="24"/>
          <w:szCs w:val="24"/>
        </w:rPr>
      </w:pPr>
      <w:r>
        <w:rPr>
          <w:rFonts w:hint="eastAsia" w:ascii="Times New Roman" w:hAnsi="Times New Roman" w:eastAsia="仿宋" w:cs="Times New Roman"/>
          <w:szCs w:val="24"/>
        </w:rPr>
        <w:t>3.1</w:t>
      </w:r>
      <w:r>
        <w:rPr>
          <w:rFonts w:hint="eastAsia" w:ascii="宋体" w:hAnsi="宋体" w:eastAsia="宋体" w:cs="Times New Roman"/>
          <w:sz w:val="24"/>
          <w:szCs w:val="24"/>
        </w:rPr>
        <w:t>委托人应提供的项目资料及提供时间：委托人在木合同正式签订后一周内，提供所监理项目的招标文件、投标文件、技术开发合同。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3.2委托人应在</w:t>
      </w:r>
      <w:r>
        <w:rPr>
          <w:rFonts w:hint="eastAsia" w:ascii="宋体" w:hAnsi="宋体" w:eastAsia="宋体" w:cs="Times New Roman"/>
          <w:sz w:val="24"/>
          <w:szCs w:val="24"/>
          <w:u w:val="single"/>
        </w:rPr>
        <w:t xml:space="preserve"> 五 </w:t>
      </w:r>
      <w:r>
        <w:rPr>
          <w:rFonts w:hint="eastAsia" w:ascii="宋体" w:hAnsi="宋体" w:eastAsia="宋体" w:cs="Times New Roman"/>
          <w:sz w:val="24"/>
          <w:szCs w:val="24"/>
        </w:rPr>
        <w:t>天内，对监理人书面提交并要求做出决定的事宜给予书面答复。</w:t>
      </w:r>
    </w:p>
    <w:p>
      <w:pPr>
        <w:spacing w:after="120"/>
        <w:ind w:left="691" w:leftChars="200" w:hanging="271" w:hangingChars="113"/>
        <w:rPr>
          <w:rFonts w:ascii="宋体" w:hAnsi="宋体" w:eastAsia="宋体" w:cs="Times New Roman"/>
          <w:sz w:val="24"/>
          <w:szCs w:val="24"/>
        </w:rPr>
      </w:pPr>
      <w:r>
        <w:rPr>
          <w:rFonts w:hint="eastAsia" w:ascii="宋体" w:hAnsi="宋体" w:eastAsia="宋体" w:cs="Times New Roman"/>
          <w:sz w:val="24"/>
          <w:szCs w:val="24"/>
        </w:rPr>
        <w:t>3.3委托人的常驻代表为</w:t>
      </w:r>
      <w:r>
        <w:rPr>
          <w:rFonts w:hint="eastAsia" w:ascii="宋体" w:hAnsi="宋体" w:eastAsia="宋体" w:cs="Times New Roman"/>
          <w:sz w:val="24"/>
          <w:szCs w:val="24"/>
          <w:u w:val="single"/>
        </w:rPr>
        <w:t>_/_</w:t>
      </w:r>
    </w:p>
    <w:p>
      <w:pPr>
        <w:spacing w:after="120"/>
        <w:ind w:left="691" w:leftChars="200" w:hanging="271" w:hangingChars="113"/>
        <w:rPr>
          <w:rFonts w:ascii="宋体" w:hAnsi="宋体" w:eastAsia="宋体" w:cs="Times New Roman"/>
          <w:sz w:val="24"/>
          <w:szCs w:val="24"/>
        </w:rPr>
      </w:pPr>
      <w:r>
        <w:rPr>
          <w:rFonts w:hint="eastAsia" w:ascii="宋体" w:hAnsi="宋体" w:eastAsia="宋体" w:cs="Times New Roman"/>
          <w:sz w:val="24"/>
          <w:szCs w:val="24"/>
        </w:rPr>
        <w:t>3.4 委托人免费向监理机构提供如下设施∶</w:t>
      </w:r>
    </w:p>
    <w:p>
      <w:pPr>
        <w:spacing w:after="120"/>
        <w:ind w:left="691" w:leftChars="200" w:hanging="271" w:hangingChars="113"/>
        <w:rPr>
          <w:rFonts w:ascii="宋体" w:hAnsi="宋体" w:eastAsia="宋体" w:cs="Times New Roman"/>
          <w:sz w:val="24"/>
          <w:szCs w:val="24"/>
        </w:rPr>
      </w:pPr>
      <w:r>
        <w:rPr>
          <w:rFonts w:hint="eastAsia" w:ascii="宋体" w:hAnsi="宋体" w:eastAsia="宋体" w:cs="Times New Roman"/>
          <w:sz w:val="24"/>
          <w:szCs w:val="24"/>
        </w:rPr>
        <w:t>临时办公室、场所，办公设备由监理机构自带，日常运维由委托人保障。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 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 监理人违约责任</w:t>
      </w:r>
    </w:p>
    <w:p>
      <w:pPr>
        <w:spacing w:after="120" w:line="360" w:lineRule="auto"/>
        <w:ind w:left="420" w:leftChars="200"/>
        <w:rPr>
          <w:rFonts w:ascii="Times New Roman" w:hAnsi="Times New Roman" w:eastAsia="仿宋" w:cs="Times New Roman"/>
          <w:szCs w:val="24"/>
        </w:rPr>
      </w:pPr>
      <w:r>
        <w:rPr>
          <w:rFonts w:hint="eastAsia" w:ascii="宋体" w:hAnsi="宋体" w:eastAsia="宋体" w:cs="Times New Roman"/>
          <w:sz w:val="24"/>
          <w:szCs w:val="24"/>
        </w:rPr>
        <w:t>4.1.1监理人未履行本合同义务的，应承担委托人全部责任。</w:t>
      </w:r>
    </w:p>
    <w:p>
      <w:pPr>
        <w:spacing w:after="120" w:line="360" w:lineRule="auto"/>
        <w:ind w:firstLine="480" w:firstLineChars="200"/>
        <w:rPr>
          <w:rFonts w:ascii="Times New Roman" w:hAnsi="Times New Roman" w:eastAsia="仿宋" w:cs="Times New Roman"/>
          <w:szCs w:val="24"/>
        </w:rPr>
      </w:pPr>
      <w:r>
        <w:rPr>
          <w:rFonts w:hint="eastAsia" w:ascii="宋体" w:hAnsi="宋体" w:eastAsia="宋体" w:cs="Times New Roman"/>
          <w:sz w:val="24"/>
          <w:szCs w:val="24"/>
        </w:rPr>
        <w:t>4.1.2如果乙方不能按甲方的需求提供服务，或服务质量、服务时限达不到要求，从应完成服务内容之日起开始计收违约金，每延期5个工作日，应向甲方支付合同价款</w:t>
      </w:r>
      <w:r>
        <w:rPr>
          <w:rFonts w:hint="eastAsia" w:ascii="宋体" w:hAnsi="宋体" w:eastAsia="宋体" w:cs="Times New Roman"/>
          <w:sz w:val="24"/>
          <w:szCs w:val="24"/>
          <w:u w:val="single"/>
        </w:rPr>
        <w:t xml:space="preserve"> 3%</w:t>
      </w:r>
      <w:r>
        <w:rPr>
          <w:rFonts w:hint="eastAsia" w:ascii="宋体" w:hAnsi="宋体" w:eastAsia="宋体" w:cs="Times New Roman"/>
          <w:sz w:val="24"/>
          <w:szCs w:val="24"/>
        </w:rPr>
        <w:t>的违约金，不足5个工作日的，按照 5个工作日计算；逾期</w:t>
      </w:r>
      <w:r>
        <w:rPr>
          <w:rFonts w:hint="eastAsia" w:ascii="宋体" w:hAnsi="宋体" w:eastAsia="宋体" w:cs="Times New Roman"/>
          <w:sz w:val="24"/>
          <w:szCs w:val="24"/>
          <w:u w:val="single"/>
        </w:rPr>
        <w:t xml:space="preserve">30 </w:t>
      </w:r>
      <w:r>
        <w:rPr>
          <w:rFonts w:hint="eastAsia" w:ascii="宋体" w:hAnsi="宋体" w:eastAsia="宋体" w:cs="Times New Roman"/>
          <w:sz w:val="24"/>
          <w:szCs w:val="24"/>
        </w:rPr>
        <w:t>个工作日以上，应视为严重违约，甲方有权单方解除本合同，乙方除向甲方退回全部所收款外，还应向甲方支付合同价款</w:t>
      </w:r>
      <w:r>
        <w:rPr>
          <w:rFonts w:hint="eastAsia" w:ascii="宋体" w:hAnsi="宋体" w:eastAsia="宋体" w:cs="Times New Roman"/>
          <w:sz w:val="24"/>
          <w:szCs w:val="24"/>
          <w:u w:val="single"/>
        </w:rPr>
        <w:t xml:space="preserve"> 30%</w:t>
      </w:r>
      <w:r>
        <w:rPr>
          <w:rFonts w:hint="eastAsia" w:ascii="宋体" w:hAnsi="宋体" w:eastAsia="宋体" w:cs="Times New Roman"/>
          <w:sz w:val="24"/>
          <w:szCs w:val="24"/>
        </w:rPr>
        <w:t>的违约金。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4.1.3监理人赔偿金额按下列方法确定：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赔偿金＝直接经济损失×正常工作酬金÷工程概算投资额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 委托人的违约责任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4.2.3 委托人逾期付款利息按下列方法确定：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逾期付款利息＝当期应付款总额×全国银行间同业拆借中心公布的贷款市场报价利率×拖延支付天数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 支付</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5.1 支付货币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币种为： 人民币 ，比例为： 100% ，汇率为：</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 xml:space="preserve"> 。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5.3 支付酬金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正常工作酬金的支付：</w:t>
      </w:r>
    </w:p>
    <w:p>
      <w:pPr>
        <w:snapToGrid w:val="0"/>
        <w:spacing w:before="120" w:after="120" w:line="520" w:lineRule="exact"/>
        <w:ind w:firstLine="480" w:firstLineChars="200"/>
        <w:rPr>
          <w:rFonts w:hint="eastAsia" w:ascii="宋体" w:hAnsi="宋体" w:eastAsia="宋体" w:cs="Times New Roman"/>
          <w:bCs/>
          <w:color w:val="FF0000"/>
          <w:sz w:val="24"/>
          <w:szCs w:val="24"/>
          <w:lang w:val="en-US" w:eastAsia="zh-CN"/>
        </w:rPr>
      </w:pPr>
      <w:r>
        <w:rPr>
          <w:rFonts w:hint="eastAsia" w:ascii="宋体" w:hAnsi="宋体" w:eastAsia="宋体" w:cs="Times New Roman"/>
          <w:bCs/>
          <w:color w:val="FF0000"/>
          <w:sz w:val="24"/>
          <w:szCs w:val="24"/>
          <w:lang w:val="en-US" w:eastAsia="zh-CN"/>
        </w:rPr>
        <w:t>甲乙双方协商确定</w:t>
      </w:r>
    </w:p>
    <w:p>
      <w:pPr>
        <w:snapToGrid w:val="0"/>
        <w:spacing w:before="120" w:after="120" w:line="52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5.3.3支付的货币单位为：人民币。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 合同生效、变更、暂停、解除与终止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6.1 生效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本合同生效条件： 执行通用条款6.1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 变更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6.2.1由于委托人、第三方责任、设计变更及不良地质条件等非监理人原因致使正常的监理服务受到阻碍或延误；或在本合同履行过程中，委托人要求监理机构完成监理合同约定范围和内容以外的服务。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6.2.2 除不可抗力外， 因非监理人原因导致本合同期限延长时，附加工作酬金按下列方法确定：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附加工作酬金=本合同期限延长时间（天）×正常工作酬金÷协议书约定的监理与相关服务期限（天）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6.2.3附加工作酬金按下列方法确定：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附加工作酬金=善后工作及恢复服务的准备工作时间（天）×正常工作酬金÷协议书约定的监理与相关服务期限（天）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6.2.5 正常工作酬金增加额按下列方法确定：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正常工作酬金增加额=工程投资额增加额×正常工作酬金÷工程概算投资额</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6.2.6 因工程规模、监理范围的变化导致监理人的正常工作量减少时，按减少工作量的比例从协议书约定的正常工作酬金中扣减相同比例的酬金。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6.2.7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6.3 暂停与解除</w:t>
      </w:r>
    </w:p>
    <w:p>
      <w:pPr>
        <w:spacing w:after="120" w:line="360" w:lineRule="auto"/>
        <w:ind w:left="420" w:leftChars="200" w:firstLine="480" w:firstLineChars="200"/>
        <w:rPr>
          <w:rFonts w:ascii="宋体" w:hAnsi="宋体" w:eastAsia="宋体" w:cs="Times New Roman"/>
          <w:sz w:val="24"/>
          <w:szCs w:val="24"/>
        </w:rPr>
      </w:pPr>
      <w:r>
        <w:rPr>
          <w:rFonts w:hint="eastAsia" w:ascii="宋体" w:hAnsi="宋体" w:eastAsia="宋体" w:cs="Times New Roman"/>
          <w:sz w:val="24"/>
          <w:szCs w:val="24"/>
        </w:rPr>
        <w:t>除双方协商一致可以解除本合同外，当一方无正当理由未履行本合同约定的义务时，另一方可以根据本合同约定暂停履行本合同直至解除本合同。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 争议解决</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7.2 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本合同争议进行调解时，可提交  无  进行调解。</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7.3 仲裁或诉讼</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合同争议的最终解决方式为下列第 （2） 种方式：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（1）提请  </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 xml:space="preserve">  仲裁委员会进行仲裁。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（2）向 项目所在地 人民法院提起诉讼。</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 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8.2 检测费用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委托人应在检测工作完成后</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天内支付检测费用。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8.3 咨询费用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委托人应在咨询工作完成后</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天内支付咨询费用。</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8.4 奖励</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合理化建议的奖励金额按下列方法确定为：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奖励金额＝工程投资节省额×奖励金额的比率；</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奖励金额的比率为</w:t>
      </w:r>
      <w:r>
        <w:rPr>
          <w:rFonts w:hint="eastAsia" w:ascii="宋体" w:hAnsi="宋体" w:eastAsia="宋体" w:cs="Times New Roman"/>
          <w:sz w:val="24"/>
          <w:szCs w:val="24"/>
          <w:u w:val="single"/>
        </w:rPr>
        <w:t xml:space="preserve"> / </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8.5著作权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监理人在本合同履行期间及本合同终止后两年内出版涉及本工程的有关监理与相关服务的资料的限制条件：  涉及本工程设计及专项技术内容的，监理人应事先征得委托人同意，不经委托人同意不得出版相关内容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 补充条款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暂无</w:t>
      </w:r>
    </w:p>
    <w:p>
      <w:pPr>
        <w:ind w:firstLine="3570" w:firstLineChars="1700"/>
        <w:rPr>
          <w:rFonts w:cs="Times New Roman" w:asciiTheme="minorEastAsia" w:hAnsiTheme="minorEastAsia"/>
          <w:szCs w:val="20"/>
        </w:rPr>
      </w:pPr>
    </w:p>
    <w:p>
      <w:pPr>
        <w:widowControl/>
        <w:jc w:val="left"/>
        <w:rPr>
          <w:rFonts w:cs="Times New Roman" w:asciiTheme="minorEastAsia" w:hAnsiTheme="minorEastAsia"/>
          <w:b/>
          <w:sz w:val="30"/>
          <w:szCs w:val="30"/>
        </w:rPr>
      </w:pPr>
      <w:r>
        <w:rPr>
          <w:rFonts w:cs="Times New Roman" w:asciiTheme="minorEastAsia" w:hAnsiTheme="minorEastAsia"/>
          <w:b/>
          <w:sz w:val="30"/>
          <w:szCs w:val="30"/>
        </w:rPr>
        <w:br w:type="page"/>
      </w:r>
    </w:p>
    <w:p>
      <w:pPr>
        <w:spacing w:line="500" w:lineRule="exact"/>
        <w:ind w:firstLine="600" w:firstLineChars="200"/>
        <w:jc w:val="center"/>
        <w:rPr>
          <w:rFonts w:ascii="宋体" w:hAnsi="宋体" w:eastAsia="宋体" w:cs="Times New Roman"/>
          <w:b/>
          <w:sz w:val="30"/>
          <w:szCs w:val="30"/>
        </w:rPr>
      </w:pPr>
      <w:r>
        <w:rPr>
          <w:rFonts w:hint="eastAsia" w:ascii="宋体" w:hAnsi="宋体" w:eastAsia="宋体" w:cs="Times New Roman"/>
          <w:b/>
          <w:sz w:val="30"/>
          <w:szCs w:val="30"/>
        </w:rPr>
        <w:t>第五章 投标文件格式</w:t>
      </w:r>
      <w:bookmarkEnd w:id="30"/>
    </w:p>
    <w:p>
      <w:pPr>
        <w:spacing w:line="400" w:lineRule="exact"/>
        <w:jc w:val="lef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r>
        <w:rPr>
          <w:rFonts w:hint="eastAsia" w:ascii="仿宋" w:hAnsi="仿宋" w:eastAsia="仿宋" w:cs="仿宋"/>
          <w:color w:val="000000"/>
          <w:sz w:val="24"/>
          <w:szCs w:val="24"/>
        </w:rPr>
        <w:t>正本/副本</w:t>
      </w: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spacing w:line="400" w:lineRule="exact"/>
        <w:jc w:val="right"/>
        <w:rPr>
          <w:rFonts w:ascii="仿宋" w:hAnsi="仿宋" w:eastAsia="仿宋" w:cs="仿宋"/>
          <w:color w:val="000000"/>
          <w:sz w:val="24"/>
          <w:szCs w:val="24"/>
        </w:rPr>
      </w:pPr>
    </w:p>
    <w:p>
      <w:pPr>
        <w:autoSpaceDE w:val="0"/>
        <w:autoSpaceDN w:val="0"/>
        <w:adjustRightInd w:val="0"/>
        <w:spacing w:line="500" w:lineRule="exact"/>
        <w:jc w:val="center"/>
        <w:rPr>
          <w:rFonts w:ascii="宋体" w:hAnsi="宋体" w:eastAsia="宋体" w:cs="Times New Roman"/>
          <w:b/>
          <w:kern w:val="0"/>
          <w:sz w:val="48"/>
          <w:szCs w:val="48"/>
        </w:rPr>
      </w:pPr>
    </w:p>
    <w:p>
      <w:pPr>
        <w:autoSpaceDE w:val="0"/>
        <w:autoSpaceDN w:val="0"/>
        <w:adjustRightInd w:val="0"/>
        <w:spacing w:line="500" w:lineRule="exact"/>
        <w:jc w:val="center"/>
        <w:rPr>
          <w:rFonts w:ascii="宋体" w:hAnsi="宋体" w:eastAsia="宋体" w:cs="Times New Roman"/>
          <w:b/>
          <w:kern w:val="0"/>
          <w:sz w:val="48"/>
          <w:szCs w:val="48"/>
        </w:rPr>
      </w:pPr>
      <w:r>
        <w:rPr>
          <w:rFonts w:hint="eastAsia" w:ascii="宋体" w:hAnsi="宋体" w:eastAsia="宋体" w:cs="Times New Roman"/>
          <w:b/>
          <w:kern w:val="0"/>
          <w:sz w:val="48"/>
          <w:szCs w:val="48"/>
        </w:rPr>
        <w:t>磋 商 响 应 文 件</w:t>
      </w:r>
    </w:p>
    <w:p>
      <w:pPr>
        <w:autoSpaceDE w:val="0"/>
        <w:autoSpaceDN w:val="0"/>
        <w:adjustRightInd w:val="0"/>
        <w:spacing w:line="500" w:lineRule="exact"/>
        <w:jc w:val="center"/>
        <w:rPr>
          <w:rFonts w:ascii="宋体" w:hAnsi="宋体" w:eastAsia="宋体" w:cs="Times New Roman"/>
          <w:b/>
          <w:kern w:val="0"/>
          <w:sz w:val="44"/>
          <w:szCs w:val="44"/>
        </w:rPr>
      </w:pPr>
    </w:p>
    <w:p>
      <w:pPr>
        <w:autoSpaceDE w:val="0"/>
        <w:autoSpaceDN w:val="0"/>
        <w:adjustRightInd w:val="0"/>
        <w:spacing w:line="500" w:lineRule="exact"/>
        <w:jc w:val="left"/>
        <w:rPr>
          <w:rFonts w:ascii="宋体" w:hAnsi="宋体" w:eastAsia="宋体" w:cs="Times New Roman"/>
          <w:b/>
          <w:kern w:val="0"/>
          <w:sz w:val="22"/>
        </w:rPr>
      </w:pPr>
      <w:r>
        <w:rPr>
          <w:rFonts w:hint="eastAsia" w:ascii="宋体" w:hAnsi="宋体" w:eastAsia="宋体" w:cs="Times New Roman"/>
          <w:b/>
          <w:kern w:val="0"/>
          <w:sz w:val="22"/>
        </w:rPr>
        <w:t>    </w:t>
      </w:r>
    </w:p>
    <w:p>
      <w:pPr>
        <w:autoSpaceDE w:val="0"/>
        <w:autoSpaceDN w:val="0"/>
        <w:adjustRightInd w:val="0"/>
        <w:spacing w:line="500" w:lineRule="exact"/>
        <w:jc w:val="left"/>
        <w:rPr>
          <w:rFonts w:ascii="宋体" w:hAnsi="宋体" w:eastAsia="宋体" w:cs="Times New Roman"/>
          <w:b/>
          <w:kern w:val="0"/>
          <w:sz w:val="22"/>
        </w:rPr>
      </w:pPr>
      <w:r>
        <w:rPr>
          <w:rFonts w:hint="eastAsia" w:ascii="宋体" w:hAnsi="宋体" w:eastAsia="宋体" w:cs="Times New Roman"/>
          <w:b/>
          <w:kern w:val="0"/>
          <w:sz w:val="22"/>
        </w:rPr>
        <w:t>     </w:t>
      </w:r>
    </w:p>
    <w:p>
      <w:pPr>
        <w:autoSpaceDE w:val="0"/>
        <w:autoSpaceDN w:val="0"/>
        <w:adjustRightInd w:val="0"/>
        <w:spacing w:line="500" w:lineRule="exact"/>
        <w:rPr>
          <w:rFonts w:ascii="宋体" w:hAnsi="宋体" w:eastAsia="宋体" w:cs="Times New Roman"/>
          <w:kern w:val="0"/>
          <w:sz w:val="22"/>
        </w:rPr>
      </w:pPr>
    </w:p>
    <w:p>
      <w:pPr>
        <w:autoSpaceDE w:val="0"/>
        <w:autoSpaceDN w:val="0"/>
        <w:adjustRightInd w:val="0"/>
        <w:spacing w:line="500" w:lineRule="exact"/>
        <w:ind w:firstLine="567"/>
        <w:rPr>
          <w:rFonts w:ascii="宋体" w:hAnsi="宋体" w:eastAsia="宋体" w:cs="Times New Roman"/>
          <w:kern w:val="0"/>
          <w:sz w:val="22"/>
        </w:rPr>
      </w:pPr>
    </w:p>
    <w:p>
      <w:pPr>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项目名称：</w:t>
      </w:r>
    </w:p>
    <w:p>
      <w:pPr>
        <w:spacing w:line="500" w:lineRule="exact"/>
        <w:ind w:left="1680" w:hanging="1680"/>
        <w:jc w:val="center"/>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项目编号：</w:t>
      </w:r>
    </w:p>
    <w:p>
      <w:pPr>
        <w:autoSpaceDE w:val="0"/>
        <w:autoSpaceDN w:val="0"/>
        <w:adjustRightInd w:val="0"/>
        <w:spacing w:line="500" w:lineRule="exact"/>
        <w:ind w:firstLine="560" w:firstLineChars="200"/>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投标单位名称（盖章）：</w:t>
      </w:r>
    </w:p>
    <w:p>
      <w:pPr>
        <w:autoSpaceDE w:val="0"/>
        <w:autoSpaceDN w:val="0"/>
        <w:adjustRightInd w:val="0"/>
        <w:spacing w:line="500" w:lineRule="exact"/>
        <w:ind w:firstLine="567"/>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法定代表人或全权代表（签字或盖章）：</w:t>
      </w:r>
    </w:p>
    <w:p>
      <w:pPr>
        <w:autoSpaceDE w:val="0"/>
        <w:autoSpaceDN w:val="0"/>
        <w:adjustRightInd w:val="0"/>
        <w:spacing w:line="500" w:lineRule="exact"/>
        <w:ind w:firstLine="560" w:firstLineChars="200"/>
        <w:rPr>
          <w:rFonts w:ascii="宋体" w:hAnsi="宋体" w:eastAsia="宋体" w:cs="Times New Roman"/>
          <w:kern w:val="0"/>
          <w:sz w:val="28"/>
          <w:szCs w:val="28"/>
        </w:rPr>
      </w:pPr>
    </w:p>
    <w:p>
      <w:pPr>
        <w:autoSpaceDE w:val="0"/>
        <w:autoSpaceDN w:val="0"/>
        <w:adjustRightInd w:val="0"/>
        <w:spacing w:line="500" w:lineRule="exact"/>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项目联系人：</w:t>
      </w:r>
    </w:p>
    <w:p>
      <w:pPr>
        <w:autoSpaceDE w:val="0"/>
        <w:autoSpaceDN w:val="0"/>
        <w:adjustRightInd w:val="0"/>
        <w:spacing w:line="500" w:lineRule="exact"/>
        <w:ind w:firstLine="560" w:firstLineChars="200"/>
        <w:rPr>
          <w:rFonts w:ascii="宋体" w:hAnsi="宋体" w:eastAsia="宋体" w:cs="Times New Roman"/>
          <w:kern w:val="0"/>
          <w:sz w:val="28"/>
          <w:szCs w:val="28"/>
        </w:rPr>
      </w:pPr>
    </w:p>
    <w:p>
      <w:pPr>
        <w:autoSpaceDE w:val="0"/>
        <w:autoSpaceDN w:val="0"/>
        <w:adjustRightInd w:val="0"/>
        <w:spacing w:line="500" w:lineRule="exact"/>
        <w:ind w:firstLine="560" w:firstLineChars="200"/>
        <w:jc w:val="left"/>
        <w:rPr>
          <w:rFonts w:ascii="宋体" w:hAnsi="宋体" w:eastAsia="宋体" w:cs="Times New Roman"/>
          <w:kern w:val="0"/>
          <w:sz w:val="28"/>
          <w:szCs w:val="28"/>
        </w:rPr>
      </w:pPr>
      <w:r>
        <w:rPr>
          <w:rFonts w:hint="eastAsia" w:ascii="宋体" w:hAnsi="宋体" w:eastAsia="宋体" w:cs="Times New Roman"/>
          <w:kern w:val="0"/>
          <w:sz w:val="28"/>
          <w:szCs w:val="28"/>
        </w:rPr>
        <w:t>联系方式：</w:t>
      </w:r>
    </w:p>
    <w:p>
      <w:pPr>
        <w:autoSpaceDE w:val="0"/>
        <w:autoSpaceDN w:val="0"/>
        <w:adjustRightInd w:val="0"/>
        <w:spacing w:line="500" w:lineRule="exact"/>
        <w:ind w:firstLine="560" w:firstLineChars="200"/>
        <w:jc w:val="center"/>
        <w:rPr>
          <w:rFonts w:ascii="宋体" w:hAnsi="宋体" w:eastAsia="宋体" w:cs="Times New Roman"/>
          <w:kern w:val="0"/>
          <w:sz w:val="28"/>
          <w:szCs w:val="28"/>
        </w:rPr>
      </w:pPr>
      <w:r>
        <w:rPr>
          <w:rFonts w:hint="eastAsia" w:ascii="宋体" w:hAnsi="宋体" w:eastAsia="宋体" w:cs="Times New Roman"/>
          <w:kern w:val="0"/>
          <w:sz w:val="28"/>
          <w:szCs w:val="28"/>
        </w:rPr>
        <w:t>日  期：2022年   月   日</w:t>
      </w:r>
    </w:p>
    <w:p>
      <w:pPr>
        <w:widowControl/>
        <w:jc w:val="center"/>
        <w:rPr>
          <w:rFonts w:ascii="宋体" w:hAnsi="宋体" w:eastAsia="宋体" w:cs="Times New Roman"/>
          <w:b/>
          <w:kern w:val="0"/>
          <w:sz w:val="30"/>
          <w:szCs w:val="30"/>
        </w:rPr>
      </w:pPr>
    </w:p>
    <w:p>
      <w:pPr>
        <w:widowControl/>
        <w:jc w:val="center"/>
        <w:rPr>
          <w:rFonts w:ascii="宋体" w:hAnsi="宋体" w:eastAsia="宋体" w:cs="Times New Roman"/>
          <w:b/>
          <w:kern w:val="0"/>
          <w:sz w:val="30"/>
          <w:szCs w:val="30"/>
        </w:rPr>
      </w:pPr>
    </w:p>
    <w:p>
      <w:pPr>
        <w:pageBreakBefore/>
        <w:widowControl/>
        <w:jc w:val="center"/>
        <w:rPr>
          <w:rFonts w:ascii="宋体" w:hAnsi="宋体" w:eastAsia="宋体" w:cs="Times New Roman"/>
          <w:b/>
          <w:kern w:val="0"/>
          <w:sz w:val="30"/>
          <w:szCs w:val="30"/>
        </w:rPr>
      </w:pPr>
      <w:r>
        <w:rPr>
          <w:rFonts w:hint="eastAsia" w:ascii="宋体" w:hAnsi="宋体" w:eastAsia="宋体" w:cs="Times New Roman"/>
          <w:b/>
          <w:kern w:val="0"/>
          <w:sz w:val="30"/>
          <w:szCs w:val="30"/>
        </w:rPr>
        <w:t>目 录</w:t>
      </w:r>
    </w:p>
    <w:p>
      <w:pPr>
        <w:widowControl/>
        <w:jc w:val="center"/>
        <w:rPr>
          <w:rFonts w:ascii="宋体" w:hAnsi="宋体" w:eastAsia="宋体" w:cs="Times New Roman"/>
          <w:b/>
          <w:kern w:val="0"/>
          <w:sz w:val="28"/>
          <w:szCs w:val="28"/>
        </w:rPr>
      </w:pPr>
      <w:r>
        <w:rPr>
          <w:rFonts w:hint="eastAsia" w:ascii="宋体" w:hAnsi="宋体" w:eastAsia="宋体" w:cs="Times New Roman"/>
          <w:b/>
          <w:kern w:val="0"/>
          <w:sz w:val="28"/>
          <w:szCs w:val="28"/>
        </w:rPr>
        <w:t>（自行编制</w:t>
      </w:r>
      <w:r>
        <w:rPr>
          <w:rFonts w:ascii="宋体" w:hAnsi="宋体" w:eastAsia="宋体" w:cs="Times New Roman"/>
          <w:b/>
          <w:kern w:val="0"/>
          <w:sz w:val="28"/>
          <w:szCs w:val="28"/>
        </w:rPr>
        <w:t>，标明页码</w:t>
      </w:r>
      <w:r>
        <w:rPr>
          <w:rFonts w:hint="eastAsia" w:ascii="宋体" w:hAnsi="宋体" w:eastAsia="宋体" w:cs="Times New Roman"/>
          <w:b/>
          <w:kern w:val="0"/>
          <w:sz w:val="28"/>
          <w:szCs w:val="28"/>
        </w:rPr>
        <w:t>）</w:t>
      </w:r>
    </w:p>
    <w:p>
      <w:pPr>
        <w:widowControl/>
        <w:jc w:val="left"/>
        <w:rPr>
          <w:rFonts w:ascii="宋体" w:hAnsi="宋体" w:eastAsia="宋体" w:cs="Times New Roman"/>
          <w:b/>
          <w:kern w:val="0"/>
          <w:sz w:val="30"/>
          <w:szCs w:val="30"/>
        </w:rPr>
      </w:pPr>
      <w:r>
        <w:rPr>
          <w:rFonts w:ascii="宋体" w:hAnsi="宋体" w:eastAsia="宋体" w:cs="Times New Roman"/>
          <w:b/>
          <w:kern w:val="0"/>
          <w:sz w:val="30"/>
          <w:szCs w:val="30"/>
        </w:rPr>
        <w:br w:type="page"/>
      </w:r>
    </w:p>
    <w:p>
      <w:pPr>
        <w:pageBreakBefore/>
        <w:spacing w:line="360" w:lineRule="auto"/>
        <w:jc w:val="center"/>
        <w:outlineLvl w:val="1"/>
        <w:rPr>
          <w:b/>
          <w:kern w:val="0"/>
          <w:sz w:val="24"/>
          <w:szCs w:val="24"/>
        </w:rPr>
      </w:pPr>
      <w:bookmarkStart w:id="31" w:name="_Toc71135164"/>
      <w:bookmarkStart w:id="32" w:name="_Toc13995233"/>
      <w:r>
        <w:rPr>
          <w:rFonts w:hint="eastAsia"/>
          <w:b/>
          <w:kern w:val="0"/>
          <w:sz w:val="24"/>
          <w:szCs w:val="24"/>
        </w:rPr>
        <w:t>一、磋商承诺函</w:t>
      </w:r>
    </w:p>
    <w:p>
      <w:pPr>
        <w:spacing w:line="360" w:lineRule="auto"/>
        <w:jc w:val="center"/>
        <w:rPr>
          <w:b/>
          <w:bCs/>
          <w:szCs w:val="21"/>
        </w:rPr>
      </w:pPr>
      <w:r>
        <w:rPr>
          <w:rFonts w:hint="eastAsia"/>
          <w:b/>
          <w:bCs/>
          <w:szCs w:val="21"/>
        </w:rPr>
        <w:t>磋商承诺</w:t>
      </w:r>
      <w:r>
        <w:rPr>
          <w:b/>
          <w:bCs/>
          <w:szCs w:val="21"/>
        </w:rPr>
        <w:t>函</w:t>
      </w:r>
    </w:p>
    <w:p>
      <w:pPr>
        <w:spacing w:line="480" w:lineRule="auto"/>
        <w:ind w:firstLine="420" w:firstLineChars="200"/>
        <w:rPr>
          <w:rFonts w:ascii="宋体" w:hAnsi="宋体"/>
          <w:szCs w:val="21"/>
        </w:rPr>
      </w:pPr>
      <w:r>
        <w:rPr>
          <w:rFonts w:hint="eastAsia" w:ascii="宋体" w:hAnsi="宋体"/>
          <w:szCs w:val="21"/>
        </w:rPr>
        <w:t>致：</w:t>
      </w:r>
    </w:p>
    <w:p>
      <w:pPr>
        <w:spacing w:line="480" w:lineRule="auto"/>
        <w:ind w:left="210" w:leftChars="100" w:firstLine="210" w:firstLineChars="100"/>
        <w:rPr>
          <w:rFonts w:ascii="宋体" w:hAnsi="宋体"/>
          <w:szCs w:val="21"/>
        </w:rPr>
      </w:pPr>
      <w:r>
        <w:t>1.在研究了</w:t>
      </w:r>
      <w:r>
        <w:rPr>
          <w:rFonts w:hint="eastAsia"/>
        </w:rPr>
        <w:t>竞争性</w:t>
      </w:r>
      <w:r>
        <w:t>磋商文件（含补遗书第号）之后，我方愿意对本采购项目按照（大写）元整（小写</w:t>
      </w:r>
      <w:r>
        <w:rPr>
          <w:u w:val="single"/>
        </w:rPr>
        <w:t xml:space="preserve">¥        </w:t>
      </w:r>
      <w:r>
        <w:t>元）的价格进行报价；遵照</w:t>
      </w:r>
      <w:r>
        <w:rPr>
          <w:rFonts w:hint="eastAsia"/>
        </w:rPr>
        <w:t>磋商</w:t>
      </w:r>
      <w:r>
        <w:t>文件的要求承担本合同的服务工作</w:t>
      </w:r>
      <w:r>
        <w:rPr>
          <w:rFonts w:hint="eastAsia"/>
        </w:rPr>
        <w:t>，</w:t>
      </w:r>
      <w:r>
        <w:rPr>
          <w:rFonts w:hint="eastAsia" w:ascii="宋体" w:hAnsi="宋体"/>
          <w:szCs w:val="21"/>
        </w:rPr>
        <w:t>提交下述竞争性磋商报价文件。</w:t>
      </w:r>
    </w:p>
    <w:p>
      <w:pPr>
        <w:spacing w:line="480" w:lineRule="auto"/>
        <w:rPr>
          <w:rFonts w:ascii="宋体" w:hAnsi="宋体"/>
          <w:szCs w:val="21"/>
        </w:rPr>
      </w:pPr>
      <w:r>
        <w:rPr>
          <w:rFonts w:hint="eastAsia" w:ascii="宋体" w:hAnsi="宋体"/>
          <w:szCs w:val="21"/>
        </w:rPr>
        <w:t>1、磋商报价明细表；2、磋商保证金凭证；3、技术条款偏离表；4、 商务条款偏离表；5、 法定代表人身份证明书；6、法定代表人授权委托书；7、供应商资格声明；8、服务承诺书；9、 服务方案；10、其它相关资料；11、服务质量保证措施</w:t>
      </w:r>
    </w:p>
    <w:p>
      <w:pPr>
        <w:widowControl/>
        <w:spacing w:line="480" w:lineRule="auto"/>
        <w:ind w:right="18" w:firstLine="426"/>
      </w:pPr>
      <w:r>
        <w:t>2.本项目</w:t>
      </w:r>
      <w:r>
        <w:rPr>
          <w:rFonts w:hint="eastAsia"/>
        </w:rPr>
        <w:t>服务</w:t>
      </w:r>
      <w:r>
        <w:t>周期</w:t>
      </w:r>
      <w:r>
        <w:rPr>
          <w:rFonts w:hint="eastAsia"/>
        </w:rPr>
        <w:t>：</w:t>
      </w:r>
    </w:p>
    <w:p>
      <w:pPr>
        <w:widowControl/>
        <w:spacing w:line="480" w:lineRule="auto"/>
        <w:ind w:firstLine="420" w:firstLineChars="200"/>
        <w:jc w:val="left"/>
        <w:rPr>
          <w:rFonts w:ascii="宋体" w:hAnsi="宋体"/>
          <w:kern w:val="0"/>
          <w:szCs w:val="21"/>
          <w:u w:val="single"/>
        </w:rPr>
      </w:pPr>
      <w:r>
        <w:rPr>
          <w:rFonts w:hint="eastAsia" w:ascii="宋体" w:hAnsi="宋体"/>
          <w:kern w:val="0"/>
          <w:szCs w:val="21"/>
        </w:rPr>
        <w:t>服务周期：</w:t>
      </w:r>
      <w:r>
        <w:rPr>
          <w:rFonts w:hint="eastAsia" w:cs="宋体" w:asciiTheme="majorEastAsia" w:hAnsiTheme="majorEastAsia" w:eastAsiaTheme="majorEastAsia"/>
          <w:szCs w:val="21"/>
          <w:u w:val="single"/>
        </w:rPr>
        <w:t>自合同签订之日起至监理对象竣工验收</w:t>
      </w:r>
      <w:r>
        <w:rPr>
          <w:rFonts w:hint="eastAsia" w:ascii="宋体" w:hAnsi="宋体"/>
          <w:szCs w:val="21"/>
          <w:u w:val="single"/>
        </w:rPr>
        <w:t>。</w:t>
      </w:r>
    </w:p>
    <w:p>
      <w:pPr>
        <w:spacing w:line="480" w:lineRule="auto"/>
        <w:ind w:firstLine="420" w:firstLineChars="200"/>
        <w:rPr>
          <w:rFonts w:ascii="宋体" w:hAnsi="宋体"/>
          <w:szCs w:val="21"/>
        </w:rPr>
      </w:pPr>
      <w:r>
        <w:rPr>
          <w:rFonts w:hint="eastAsia" w:ascii="宋体" w:hAnsi="宋体"/>
          <w:szCs w:val="21"/>
        </w:rPr>
        <w:t>在此，签字代表宣布同意如下：</w:t>
      </w:r>
    </w:p>
    <w:p>
      <w:pPr>
        <w:spacing w:line="480" w:lineRule="auto"/>
        <w:ind w:firstLine="420" w:firstLineChars="200"/>
        <w:rPr>
          <w:rFonts w:ascii="宋体" w:hAnsi="宋体"/>
          <w:szCs w:val="21"/>
        </w:rPr>
      </w:pPr>
      <w:r>
        <w:rPr>
          <w:rFonts w:hint="eastAsia" w:ascii="宋体" w:hAnsi="宋体"/>
          <w:szCs w:val="21"/>
        </w:rPr>
        <w:t>所附磋商报价明细表中规定的应提交和交付的服务总价为人民币金额数，（并同时用文字和数字表示的磋商总价）。</w:t>
      </w:r>
    </w:p>
    <w:p>
      <w:pPr>
        <w:spacing w:line="480" w:lineRule="auto"/>
        <w:ind w:firstLine="420" w:firstLineChars="200"/>
        <w:rPr>
          <w:rFonts w:ascii="宋体" w:hAnsi="宋体"/>
          <w:szCs w:val="21"/>
        </w:rPr>
      </w:pPr>
      <w:r>
        <w:rPr>
          <w:rFonts w:hint="eastAsia" w:ascii="宋体" w:hAnsi="宋体"/>
          <w:szCs w:val="21"/>
        </w:rPr>
        <w:t>供应商将按磋商文件的规定履行合同责任和义务。</w:t>
      </w:r>
    </w:p>
    <w:p>
      <w:pPr>
        <w:spacing w:line="480" w:lineRule="auto"/>
        <w:ind w:firstLine="420" w:firstLineChars="200"/>
        <w:rPr>
          <w:rFonts w:ascii="宋体" w:hAnsi="宋体"/>
          <w:szCs w:val="21"/>
        </w:rPr>
      </w:pPr>
      <w:r>
        <w:rPr>
          <w:rFonts w:hint="eastAsia" w:ascii="宋体" w:hAnsi="宋体"/>
          <w:szCs w:val="21"/>
        </w:rPr>
        <w:t>供应商已详细审查全部磋商文件。我们完全理解并同意放弃对这方面有不明及误解的权力。</w:t>
      </w:r>
    </w:p>
    <w:p>
      <w:pPr>
        <w:spacing w:line="480" w:lineRule="auto"/>
        <w:ind w:firstLine="420" w:firstLineChars="200"/>
        <w:rPr>
          <w:rFonts w:ascii="宋体" w:hAnsi="宋体"/>
          <w:szCs w:val="21"/>
        </w:rPr>
      </w:pPr>
      <w:r>
        <w:rPr>
          <w:rFonts w:hint="eastAsia" w:ascii="宋体" w:hAnsi="宋体"/>
          <w:szCs w:val="21"/>
        </w:rPr>
        <w:t>本投标有效期为自开标日起</w:t>
      </w:r>
      <w:r>
        <w:rPr>
          <w:rFonts w:hint="eastAsia" w:ascii="宋体" w:hAnsi="宋体"/>
          <w:szCs w:val="21"/>
          <w:u w:val="single"/>
        </w:rPr>
        <w:t xml:space="preserve">  30  </w:t>
      </w:r>
      <w:r>
        <w:rPr>
          <w:rFonts w:hint="eastAsia" w:ascii="宋体" w:hAnsi="宋体"/>
          <w:szCs w:val="21"/>
        </w:rPr>
        <w:t>个日历日。</w:t>
      </w:r>
    </w:p>
    <w:p>
      <w:pPr>
        <w:spacing w:line="480" w:lineRule="auto"/>
        <w:ind w:firstLine="420" w:firstLineChars="200"/>
        <w:rPr>
          <w:rFonts w:ascii="宋体" w:hAnsi="宋体"/>
          <w:szCs w:val="21"/>
        </w:rPr>
      </w:pPr>
      <w:r>
        <w:rPr>
          <w:rFonts w:hint="eastAsia" w:ascii="宋体" w:hAnsi="宋体"/>
          <w:szCs w:val="21"/>
        </w:rPr>
        <w:t>如果在规定的开标时间后，供应商在投标有效期内撤回投标，其磋商保证金将被贵方没收。</w:t>
      </w:r>
    </w:p>
    <w:p>
      <w:pPr>
        <w:spacing w:line="480" w:lineRule="auto"/>
        <w:ind w:firstLine="420" w:firstLineChars="200"/>
        <w:rPr>
          <w:rFonts w:ascii="宋体" w:hAnsi="宋体"/>
          <w:szCs w:val="21"/>
        </w:rPr>
      </w:pPr>
      <w:r>
        <w:rPr>
          <w:rFonts w:hint="eastAsia" w:ascii="宋体" w:hAnsi="宋体"/>
          <w:szCs w:val="21"/>
        </w:rPr>
        <w:t>如果我们的磋商报价文件被接受，我们将严格履行磋商文件中规定的每一项要求，按期、按质、按量履行服务义务。</w:t>
      </w:r>
    </w:p>
    <w:p>
      <w:pPr>
        <w:spacing w:line="480" w:lineRule="auto"/>
        <w:ind w:firstLine="420" w:firstLineChars="200"/>
        <w:rPr>
          <w:rFonts w:ascii="宋体" w:hAnsi="宋体"/>
          <w:szCs w:val="21"/>
        </w:rPr>
      </w:pPr>
      <w:r>
        <w:rPr>
          <w:rFonts w:hint="eastAsia" w:ascii="宋体" w:hAnsi="宋体"/>
          <w:szCs w:val="21"/>
        </w:rPr>
        <w:t>根据供应商须知第</w:t>
      </w:r>
      <w:r>
        <w:rPr>
          <w:rFonts w:ascii="宋体" w:hAnsi="宋体"/>
          <w:szCs w:val="21"/>
        </w:rPr>
        <w:t>2</w:t>
      </w:r>
      <w:r>
        <w:rPr>
          <w:rFonts w:hint="eastAsia" w:ascii="宋体" w:hAnsi="宋体"/>
          <w:szCs w:val="21"/>
        </w:rPr>
        <w:t>条规定，我方承诺，与买方聘请的为此项目提供咨询服务的公司及任何附属机构均无关联，我方不是买方的附属机构。</w:t>
      </w:r>
    </w:p>
    <w:p>
      <w:pPr>
        <w:spacing w:line="480" w:lineRule="auto"/>
        <w:ind w:firstLine="420" w:firstLineChars="200"/>
        <w:rPr>
          <w:rFonts w:ascii="宋体" w:hAnsi="宋体"/>
          <w:szCs w:val="21"/>
        </w:rPr>
      </w:pPr>
      <w:r>
        <w:rPr>
          <w:rFonts w:hint="eastAsia" w:ascii="宋体" w:hAnsi="宋体"/>
          <w:szCs w:val="21"/>
        </w:rPr>
        <w:t>供应商同意提供按照贵方可能要求的与其投标有关的一切数据或资料，完全理解贵方不一定接受最低磋商报价的投标。</w:t>
      </w:r>
    </w:p>
    <w:p>
      <w:pPr>
        <w:spacing w:line="480" w:lineRule="auto"/>
        <w:ind w:firstLine="420" w:firstLineChars="200"/>
        <w:rPr>
          <w:rFonts w:ascii="宋体" w:hAnsi="宋体"/>
          <w:szCs w:val="21"/>
        </w:rPr>
      </w:pPr>
      <w:r>
        <w:rPr>
          <w:rFonts w:hint="eastAsia" w:ascii="宋体" w:hAnsi="宋体"/>
          <w:szCs w:val="21"/>
        </w:rPr>
        <w:t>若我方获得中标，我方保证按有关规定向贵方支付招标代理服务费。我方承诺接受磋商文件及澄清修改部分（如有）的全部条款（包括磋商报价文件递交截止时间、保证金、资格评审条件、成交标准以及招标需求等其他所有条款）且无任何异议，现向贵公司提出承诺报价。</w:t>
      </w:r>
    </w:p>
    <w:p>
      <w:pPr>
        <w:spacing w:line="480" w:lineRule="auto"/>
        <w:ind w:firstLine="420" w:firstLineChars="200"/>
        <w:rPr>
          <w:rFonts w:ascii="宋体" w:hAnsi="宋体"/>
          <w:szCs w:val="21"/>
        </w:rPr>
      </w:pPr>
      <w:r>
        <w:rPr>
          <w:rFonts w:hint="eastAsia" w:ascii="宋体" w:hAnsi="宋体"/>
          <w:szCs w:val="21"/>
        </w:rPr>
        <w:t>与本投标有关的一切正式往来信函请寄：</w:t>
      </w:r>
    </w:p>
    <w:tbl>
      <w:tblPr>
        <w:tblStyle w:val="21"/>
        <w:tblW w:w="8494" w:type="dxa"/>
        <w:tblInd w:w="0" w:type="dxa"/>
        <w:tblLayout w:type="fixed"/>
        <w:tblCellMar>
          <w:top w:w="0" w:type="dxa"/>
          <w:left w:w="108" w:type="dxa"/>
          <w:bottom w:w="0" w:type="dxa"/>
          <w:right w:w="108" w:type="dxa"/>
        </w:tblCellMar>
      </w:tblPr>
      <w:tblGrid>
        <w:gridCol w:w="4219"/>
        <w:gridCol w:w="4275"/>
      </w:tblGrid>
      <w:tr>
        <w:tblPrEx>
          <w:tblCellMar>
            <w:top w:w="0" w:type="dxa"/>
            <w:left w:w="108" w:type="dxa"/>
            <w:bottom w:w="0" w:type="dxa"/>
            <w:right w:w="108" w:type="dxa"/>
          </w:tblCellMar>
        </w:tblPrEx>
        <w:tc>
          <w:tcPr>
            <w:tcW w:w="4219" w:type="dxa"/>
            <w:tcBorders>
              <w:top w:val="nil"/>
              <w:left w:val="nil"/>
              <w:bottom w:val="nil"/>
              <w:right w:val="nil"/>
            </w:tcBorders>
          </w:tcPr>
          <w:p>
            <w:pPr>
              <w:spacing w:line="480" w:lineRule="auto"/>
              <w:ind w:firstLine="420" w:firstLineChars="200"/>
              <w:rPr>
                <w:rFonts w:ascii="宋体" w:hAnsi="宋体"/>
                <w:szCs w:val="21"/>
              </w:rPr>
            </w:pPr>
            <w:r>
              <w:rPr>
                <w:rFonts w:hint="eastAsia" w:ascii="宋体" w:hAnsi="宋体"/>
                <w:szCs w:val="21"/>
              </w:rPr>
              <w:t>地址</w:t>
            </w:r>
          </w:p>
          <w:p>
            <w:pPr>
              <w:spacing w:line="480" w:lineRule="auto"/>
              <w:ind w:firstLine="420" w:firstLineChars="200"/>
              <w:rPr>
                <w:rFonts w:ascii="宋体" w:hAnsi="宋体"/>
                <w:szCs w:val="21"/>
              </w:rPr>
            </w:pPr>
            <w:r>
              <w:rPr>
                <w:rFonts w:hint="eastAsia" w:ascii="宋体" w:hAnsi="宋体"/>
                <w:szCs w:val="21"/>
              </w:rPr>
              <w:t>电话</w:t>
            </w:r>
          </w:p>
        </w:tc>
        <w:tc>
          <w:tcPr>
            <w:tcW w:w="4275" w:type="dxa"/>
            <w:tcBorders>
              <w:top w:val="nil"/>
              <w:left w:val="nil"/>
              <w:bottom w:val="nil"/>
              <w:right w:val="nil"/>
            </w:tcBorders>
          </w:tcPr>
          <w:p>
            <w:pPr>
              <w:spacing w:line="480" w:lineRule="auto"/>
              <w:ind w:firstLine="420" w:firstLineChars="200"/>
              <w:rPr>
                <w:rFonts w:ascii="宋体" w:hAnsi="宋体"/>
                <w:szCs w:val="21"/>
              </w:rPr>
            </w:pPr>
            <w:r>
              <w:rPr>
                <w:rFonts w:hint="eastAsia" w:ascii="宋体" w:hAnsi="宋体"/>
                <w:szCs w:val="21"/>
              </w:rPr>
              <w:t>传真</w:t>
            </w:r>
          </w:p>
          <w:p>
            <w:pPr>
              <w:spacing w:line="480" w:lineRule="auto"/>
              <w:ind w:firstLine="420" w:firstLineChars="200"/>
              <w:rPr>
                <w:rFonts w:ascii="宋体" w:hAnsi="宋体"/>
                <w:szCs w:val="21"/>
              </w:rPr>
            </w:pPr>
            <w:r>
              <w:rPr>
                <w:rFonts w:hint="eastAsia" w:ascii="宋体" w:hAnsi="宋体"/>
                <w:szCs w:val="21"/>
              </w:rPr>
              <w:t>电子函件</w:t>
            </w:r>
          </w:p>
        </w:tc>
      </w:tr>
    </w:tbl>
    <w:p>
      <w:pPr>
        <w:spacing w:line="480" w:lineRule="auto"/>
        <w:ind w:firstLine="420" w:firstLineChars="200"/>
        <w:rPr>
          <w:rFonts w:ascii="宋体" w:hAnsi="宋体"/>
          <w:szCs w:val="21"/>
        </w:rPr>
      </w:pPr>
      <w:r>
        <w:rPr>
          <w:rFonts w:hint="eastAsia" w:ascii="宋体" w:hAnsi="宋体"/>
          <w:szCs w:val="21"/>
        </w:rPr>
        <w:t>供应商授权代表签字     供应商名称</w:t>
      </w:r>
    </w:p>
    <w:p>
      <w:pPr>
        <w:spacing w:line="480" w:lineRule="auto"/>
        <w:ind w:firstLine="420" w:firstLineChars="200"/>
        <w:rPr>
          <w:rFonts w:ascii="宋体" w:hAnsi="宋体"/>
          <w:szCs w:val="21"/>
        </w:rPr>
      </w:pPr>
      <w:r>
        <w:rPr>
          <w:rFonts w:hint="eastAsia" w:ascii="宋体" w:hAnsi="宋体"/>
          <w:szCs w:val="21"/>
        </w:rPr>
        <w:t>供应商公章   日期</w:t>
      </w:r>
    </w:p>
    <w:p>
      <w:pPr>
        <w:spacing w:line="360" w:lineRule="auto"/>
        <w:ind w:firstLine="420" w:firstLineChars="200"/>
        <w:rPr>
          <w:rFonts w:ascii="宋体" w:hAnsi="宋体"/>
          <w:szCs w:val="21"/>
        </w:rPr>
        <w:sectPr>
          <w:footerReference r:id="rId7" w:type="first"/>
          <w:headerReference r:id="rId5" w:type="default"/>
          <w:footerReference r:id="rId6" w:type="default"/>
          <w:pgSz w:w="11906" w:h="16838"/>
          <w:pgMar w:top="1386" w:right="1298" w:bottom="1134" w:left="799" w:header="709" w:footer="794" w:gutter="567"/>
          <w:cols w:space="720" w:num="1"/>
          <w:docGrid w:type="linesAndChars" w:linePitch="312" w:charSpace="0"/>
        </w:sectPr>
      </w:pPr>
    </w:p>
    <w:p>
      <w:pPr>
        <w:spacing w:line="360" w:lineRule="auto"/>
        <w:ind w:firstLine="420" w:firstLineChars="200"/>
        <w:rPr>
          <w:rFonts w:ascii="宋体" w:hAnsi="宋体"/>
          <w:szCs w:val="21"/>
        </w:rPr>
      </w:pPr>
    </w:p>
    <w:p>
      <w:pPr>
        <w:keepNext/>
        <w:keepLines/>
        <w:spacing w:before="156" w:beforeLines="50" w:after="156" w:afterLines="50" w:line="360" w:lineRule="auto"/>
        <w:ind w:left="551" w:leftChars="-67" w:hanging="691" w:hangingChars="288"/>
        <w:jc w:val="center"/>
        <w:outlineLvl w:val="1"/>
        <w:rPr>
          <w:b/>
          <w:kern w:val="0"/>
          <w:sz w:val="24"/>
          <w:szCs w:val="24"/>
        </w:rPr>
      </w:pPr>
      <w:bookmarkStart w:id="33" w:name="_Toc71135163"/>
      <w:bookmarkStart w:id="34" w:name="_Toc13995232"/>
      <w:r>
        <w:rPr>
          <w:rFonts w:hint="eastAsia"/>
          <w:b/>
          <w:kern w:val="0"/>
          <w:sz w:val="24"/>
          <w:szCs w:val="24"/>
        </w:rPr>
        <w:t>二、磋商报价明细表</w:t>
      </w:r>
      <w:bookmarkEnd w:id="33"/>
      <w:bookmarkEnd w:id="34"/>
    </w:p>
    <w:p>
      <w:pPr>
        <w:spacing w:line="360" w:lineRule="auto"/>
        <w:jc w:val="center"/>
        <w:rPr>
          <w:rFonts w:ascii="宋体" w:hAnsi="宋体" w:cs="宋体"/>
          <w:b/>
          <w:kern w:val="0"/>
        </w:rPr>
      </w:pPr>
      <w:r>
        <w:rPr>
          <w:rFonts w:hint="eastAsia" w:ascii="宋体" w:hAnsi="宋体" w:cs="宋体"/>
          <w:b/>
          <w:kern w:val="0"/>
        </w:rPr>
        <w:t>磋商报价明细表</w:t>
      </w:r>
    </w:p>
    <w:p/>
    <w:p/>
    <w:p>
      <w:pPr>
        <w:jc w:val="right"/>
        <w:rPr>
          <w:rFonts w:ascii="宋体" w:hAnsi="宋体" w:eastAsia="宋体"/>
          <w:sz w:val="28"/>
          <w:szCs w:val="28"/>
        </w:rPr>
      </w:pPr>
      <w:r>
        <w:rPr>
          <w:rFonts w:hint="eastAsia" w:ascii="宋体" w:hAnsi="宋体" w:eastAsia="宋体"/>
          <w:sz w:val="28"/>
          <w:szCs w:val="28"/>
        </w:rPr>
        <w:t>单位：元</w:t>
      </w:r>
    </w:p>
    <w:p/>
    <w:tbl>
      <w:tblPr>
        <w:tblStyle w:val="22"/>
        <w:tblpPr w:leftFromText="180" w:rightFromText="180" w:vertAnchor="text" w:horzAnchor="page" w:tblpX="1896" w:tblpY="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261"/>
        <w:gridCol w:w="2409"/>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29" w:type="dxa"/>
            <w:vAlign w:val="center"/>
          </w:tcPr>
          <w:p>
            <w:pPr>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3261" w:type="dxa"/>
            <w:vAlign w:val="center"/>
          </w:tcPr>
          <w:p>
            <w:pPr>
              <w:jc w:val="center"/>
            </w:pPr>
            <w:r>
              <w:rPr>
                <w:rFonts w:hint="eastAsia" w:ascii="宋体" w:hAnsi="宋体" w:eastAsia="宋体" w:cs="宋体"/>
                <w:color w:val="000000"/>
                <w:kern w:val="0"/>
                <w:sz w:val="28"/>
                <w:szCs w:val="28"/>
              </w:rPr>
              <w:t>项目</w:t>
            </w:r>
          </w:p>
        </w:tc>
        <w:tc>
          <w:tcPr>
            <w:tcW w:w="2409" w:type="dxa"/>
            <w:vAlign w:val="center"/>
          </w:tcPr>
          <w:p>
            <w:pPr>
              <w:jc w:val="center"/>
            </w:pPr>
            <w:r>
              <w:rPr>
                <w:rFonts w:hint="eastAsia" w:ascii="宋体" w:hAnsi="宋体" w:eastAsia="宋体" w:cs="宋体"/>
                <w:color w:val="000000"/>
                <w:kern w:val="0"/>
                <w:sz w:val="28"/>
                <w:szCs w:val="28"/>
              </w:rPr>
              <w:t>金额</w:t>
            </w:r>
          </w:p>
        </w:tc>
        <w:tc>
          <w:tcPr>
            <w:tcW w:w="1503" w:type="dxa"/>
            <w:vAlign w:val="center"/>
          </w:tcPr>
          <w:p>
            <w:pPr>
              <w:jc w:val="center"/>
            </w:pPr>
            <w:r>
              <w:rPr>
                <w:rFonts w:hint="eastAsia" w:ascii="宋体" w:hAnsi="宋体" w:eastAsia="宋体" w:cs="宋体"/>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9"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261" w:type="dxa"/>
            <w:vAlign w:val="center"/>
          </w:tcPr>
          <w:p>
            <w:pPr>
              <w:jc w:val="center"/>
              <w:rPr>
                <w:sz w:val="24"/>
                <w:szCs w:val="24"/>
              </w:rPr>
            </w:pPr>
            <w:r>
              <w:rPr>
                <w:rFonts w:hint="eastAsia" w:ascii="宋体" w:hAnsi="宋体" w:eastAsia="宋体" w:cs="宋体"/>
                <w:color w:val="000000"/>
                <w:kern w:val="0"/>
                <w:sz w:val="24"/>
                <w:szCs w:val="24"/>
              </w:rPr>
              <w:t>监理人员费</w:t>
            </w:r>
          </w:p>
        </w:tc>
        <w:tc>
          <w:tcPr>
            <w:tcW w:w="2409" w:type="dxa"/>
            <w:vAlign w:val="center"/>
          </w:tcPr>
          <w:p>
            <w:pPr>
              <w:jc w:val="center"/>
              <w:rPr>
                <w:sz w:val="24"/>
                <w:szCs w:val="24"/>
              </w:rPr>
            </w:pPr>
          </w:p>
        </w:tc>
        <w:tc>
          <w:tcPr>
            <w:tcW w:w="15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29"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261" w:type="dxa"/>
            <w:vAlign w:val="center"/>
          </w:tcPr>
          <w:p>
            <w:pPr>
              <w:jc w:val="center"/>
              <w:rPr>
                <w:sz w:val="24"/>
                <w:szCs w:val="24"/>
              </w:rPr>
            </w:pPr>
            <w:r>
              <w:rPr>
                <w:rFonts w:hint="eastAsia" w:ascii="宋体" w:hAnsi="宋体" w:eastAsia="宋体" w:cs="宋体"/>
                <w:color w:val="000000"/>
                <w:kern w:val="0"/>
                <w:sz w:val="24"/>
                <w:szCs w:val="24"/>
              </w:rPr>
              <w:t>设施设备购置和使用费</w:t>
            </w:r>
          </w:p>
        </w:tc>
        <w:tc>
          <w:tcPr>
            <w:tcW w:w="2409" w:type="dxa"/>
            <w:vAlign w:val="center"/>
          </w:tcPr>
          <w:p>
            <w:pPr>
              <w:jc w:val="center"/>
              <w:rPr>
                <w:sz w:val="24"/>
                <w:szCs w:val="24"/>
              </w:rPr>
            </w:pPr>
          </w:p>
        </w:tc>
        <w:tc>
          <w:tcPr>
            <w:tcW w:w="15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29"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261" w:type="dxa"/>
            <w:vAlign w:val="center"/>
          </w:tcPr>
          <w:p>
            <w:pPr>
              <w:jc w:val="center"/>
              <w:rPr>
                <w:sz w:val="24"/>
                <w:szCs w:val="24"/>
              </w:rPr>
            </w:pPr>
            <w:r>
              <w:rPr>
                <w:rFonts w:hint="eastAsia" w:ascii="宋体" w:hAnsi="宋体" w:eastAsia="宋体" w:cs="宋体"/>
                <w:color w:val="000000"/>
                <w:kern w:val="0"/>
                <w:sz w:val="24"/>
                <w:szCs w:val="24"/>
              </w:rPr>
              <w:t>管理费</w:t>
            </w:r>
          </w:p>
        </w:tc>
        <w:tc>
          <w:tcPr>
            <w:tcW w:w="2409" w:type="dxa"/>
            <w:vAlign w:val="center"/>
          </w:tcPr>
          <w:p>
            <w:pPr>
              <w:jc w:val="center"/>
              <w:rPr>
                <w:sz w:val="24"/>
                <w:szCs w:val="24"/>
              </w:rPr>
            </w:pPr>
          </w:p>
        </w:tc>
        <w:tc>
          <w:tcPr>
            <w:tcW w:w="15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29"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261" w:type="dxa"/>
            <w:vAlign w:val="center"/>
          </w:tcPr>
          <w:p>
            <w:pPr>
              <w:jc w:val="center"/>
              <w:rPr>
                <w:sz w:val="24"/>
                <w:szCs w:val="24"/>
              </w:rPr>
            </w:pPr>
            <w:r>
              <w:rPr>
                <w:rFonts w:hint="eastAsia" w:ascii="宋体" w:hAnsi="宋体" w:eastAsia="宋体" w:cs="宋体"/>
                <w:color w:val="000000"/>
                <w:kern w:val="0"/>
                <w:sz w:val="24"/>
                <w:szCs w:val="24"/>
              </w:rPr>
              <w:t>税金</w:t>
            </w:r>
          </w:p>
        </w:tc>
        <w:tc>
          <w:tcPr>
            <w:tcW w:w="2409" w:type="dxa"/>
            <w:vAlign w:val="center"/>
          </w:tcPr>
          <w:p>
            <w:pPr>
              <w:jc w:val="center"/>
              <w:rPr>
                <w:sz w:val="24"/>
                <w:szCs w:val="24"/>
              </w:rPr>
            </w:pPr>
          </w:p>
        </w:tc>
        <w:tc>
          <w:tcPr>
            <w:tcW w:w="15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29"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261" w:type="dxa"/>
            <w:vAlign w:val="center"/>
          </w:tcPr>
          <w:p>
            <w:pPr>
              <w:jc w:val="center"/>
              <w:rPr>
                <w:rFonts w:hint="eastAsia"/>
                <w:sz w:val="24"/>
                <w:szCs w:val="24"/>
              </w:rPr>
            </w:pPr>
            <w:r>
              <w:rPr>
                <w:rFonts w:ascii="宋体" w:hAnsi="宋体" w:eastAsia="宋体" w:cs="宋体"/>
                <w:color w:val="000000"/>
                <w:kern w:val="0"/>
                <w:sz w:val="24"/>
                <w:szCs w:val="24"/>
              </w:rPr>
              <w:t>…</w:t>
            </w:r>
          </w:p>
        </w:tc>
        <w:tc>
          <w:tcPr>
            <w:tcW w:w="2409" w:type="dxa"/>
            <w:vAlign w:val="center"/>
          </w:tcPr>
          <w:p>
            <w:pPr>
              <w:jc w:val="center"/>
              <w:rPr>
                <w:sz w:val="24"/>
                <w:szCs w:val="24"/>
              </w:rPr>
            </w:pPr>
          </w:p>
        </w:tc>
        <w:tc>
          <w:tcPr>
            <w:tcW w:w="15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29"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261"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其他费用</w:t>
            </w:r>
          </w:p>
        </w:tc>
        <w:tc>
          <w:tcPr>
            <w:tcW w:w="2409" w:type="dxa"/>
            <w:vAlign w:val="center"/>
          </w:tcPr>
          <w:p>
            <w:pPr>
              <w:jc w:val="center"/>
              <w:rPr>
                <w:sz w:val="24"/>
                <w:szCs w:val="24"/>
              </w:rPr>
            </w:pPr>
          </w:p>
        </w:tc>
        <w:tc>
          <w:tcPr>
            <w:tcW w:w="15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29" w:type="dxa"/>
            <w:vAlign w:val="center"/>
          </w:tcPr>
          <w:p>
            <w:pPr>
              <w:jc w:val="center"/>
              <w:rPr>
                <w:rFonts w:hint="eastAsia" w:ascii="宋体" w:hAnsi="宋体" w:eastAsia="宋体" w:cs="宋体"/>
                <w:color w:val="000000"/>
                <w:kern w:val="0"/>
                <w:sz w:val="24"/>
                <w:szCs w:val="24"/>
              </w:rPr>
            </w:pPr>
          </w:p>
        </w:tc>
        <w:tc>
          <w:tcPr>
            <w:tcW w:w="3261"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2409" w:type="dxa"/>
            <w:vAlign w:val="center"/>
          </w:tcPr>
          <w:p>
            <w:pPr>
              <w:jc w:val="center"/>
              <w:rPr>
                <w:sz w:val="24"/>
                <w:szCs w:val="24"/>
              </w:rPr>
            </w:pPr>
          </w:p>
        </w:tc>
        <w:tc>
          <w:tcPr>
            <w:tcW w:w="1503" w:type="dxa"/>
            <w:vAlign w:val="center"/>
          </w:tcPr>
          <w:p>
            <w:pPr>
              <w:jc w:val="center"/>
            </w:pPr>
          </w:p>
        </w:tc>
      </w:tr>
    </w:tbl>
    <w:p>
      <w:pPr>
        <w:rPr>
          <w:rFonts w:ascii="宋体" w:hAnsi="宋体" w:cs="宋体"/>
          <w:kern w:val="0"/>
          <w:sz w:val="20"/>
        </w:rPr>
      </w:pPr>
    </w:p>
    <w:p>
      <w:pPr>
        <w:spacing w:line="360" w:lineRule="auto"/>
        <w:ind w:firstLine="8400" w:firstLineChars="4000"/>
        <w:jc w:val="left"/>
        <w:rPr>
          <w:rFonts w:ascii="Calibri" w:hAnsi="Calibri"/>
          <w:szCs w:val="21"/>
        </w:rPr>
      </w:pPr>
    </w:p>
    <w:p>
      <w:pPr>
        <w:spacing w:line="360" w:lineRule="auto"/>
        <w:jc w:val="left"/>
        <w:rPr>
          <w:rFonts w:ascii="Calibri" w:hAnsi="Calibri"/>
          <w:szCs w:val="21"/>
        </w:rPr>
      </w:pPr>
      <w:r>
        <w:rPr>
          <w:rFonts w:hint="eastAsia" w:ascii="Calibri" w:hAnsi="Calibri"/>
          <w:szCs w:val="21"/>
        </w:rPr>
        <w:t>供应商：（盖章）</w:t>
      </w:r>
    </w:p>
    <w:p>
      <w:pPr>
        <w:spacing w:line="360" w:lineRule="auto"/>
        <w:ind w:firstLine="8820" w:firstLineChars="4200"/>
        <w:jc w:val="left"/>
        <w:rPr>
          <w:rFonts w:ascii="Calibri" w:hAnsi="Calibri"/>
          <w:szCs w:val="21"/>
        </w:rPr>
      </w:pPr>
    </w:p>
    <w:p>
      <w:pPr>
        <w:spacing w:line="360" w:lineRule="auto"/>
        <w:jc w:val="left"/>
        <w:rPr>
          <w:rFonts w:ascii="Calibri" w:hAnsi="Calibri"/>
          <w:szCs w:val="21"/>
        </w:rPr>
      </w:pPr>
      <w:r>
        <w:rPr>
          <w:rFonts w:hint="eastAsia" w:ascii="Calibri" w:hAnsi="Calibri"/>
          <w:szCs w:val="21"/>
        </w:rPr>
        <w:t>法定代表人：（盖章）</w:t>
      </w:r>
      <w:bookmarkStart w:id="50" w:name="_GoBack"/>
      <w:bookmarkEnd w:id="50"/>
    </w:p>
    <w:p>
      <w:pPr>
        <w:widowControl/>
        <w:jc w:val="left"/>
        <w:rPr>
          <w:b/>
          <w:kern w:val="0"/>
          <w:sz w:val="24"/>
          <w:szCs w:val="24"/>
        </w:rPr>
      </w:pPr>
      <w:r>
        <w:rPr>
          <w:b/>
          <w:kern w:val="0"/>
          <w:sz w:val="24"/>
          <w:szCs w:val="24"/>
        </w:rPr>
        <w:br w:type="page"/>
      </w:r>
    </w:p>
    <w:p>
      <w:pPr>
        <w:keepNext/>
        <w:keepLines/>
        <w:spacing w:before="156" w:beforeLines="50" w:after="156" w:afterLines="50" w:line="360" w:lineRule="auto"/>
        <w:ind w:left="551" w:leftChars="-67" w:hanging="691" w:hangingChars="288"/>
        <w:jc w:val="center"/>
        <w:outlineLvl w:val="1"/>
        <w:rPr>
          <w:b/>
          <w:kern w:val="0"/>
          <w:sz w:val="24"/>
          <w:szCs w:val="24"/>
        </w:rPr>
      </w:pPr>
      <w:r>
        <w:rPr>
          <w:rFonts w:hint="eastAsia"/>
          <w:b/>
          <w:kern w:val="0"/>
          <w:sz w:val="24"/>
          <w:szCs w:val="24"/>
        </w:rPr>
        <w:t>三、磋商保证金</w:t>
      </w:r>
    </w:p>
    <w:p>
      <w:pPr>
        <w:tabs>
          <w:tab w:val="center" w:pos="4156"/>
        </w:tabs>
        <w:spacing w:line="360" w:lineRule="auto"/>
        <w:contextualSpacing/>
        <w:jc w:val="center"/>
        <w:rPr>
          <w:rFonts w:ascii="宋体" w:hAnsi="宋体" w:eastAsia="宋体" w:cs="Times New Roman"/>
          <w:sz w:val="24"/>
          <w:szCs w:val="24"/>
        </w:rPr>
      </w:pPr>
    </w:p>
    <w:p>
      <w:pPr>
        <w:tabs>
          <w:tab w:val="center" w:pos="4156"/>
        </w:tabs>
        <w:spacing w:line="360" w:lineRule="auto"/>
        <w:contextualSpacing/>
        <w:jc w:val="center"/>
        <w:rPr>
          <w:rFonts w:ascii="宋体" w:hAnsi="宋体" w:eastAsia="宋体" w:cs="Times New Roman"/>
          <w:sz w:val="24"/>
          <w:szCs w:val="24"/>
        </w:rPr>
      </w:pPr>
    </w:p>
    <w:p>
      <w:pPr>
        <w:tabs>
          <w:tab w:val="center" w:pos="4156"/>
        </w:tabs>
        <w:spacing w:line="360" w:lineRule="auto"/>
        <w:contextualSpacing/>
        <w:jc w:val="center"/>
        <w:rPr>
          <w:rFonts w:ascii="宋体" w:hAnsi="宋体" w:eastAsia="宋体" w:cs="Times New Roman"/>
          <w:sz w:val="24"/>
          <w:szCs w:val="24"/>
        </w:rPr>
      </w:pPr>
    </w:p>
    <w:p>
      <w:pPr>
        <w:tabs>
          <w:tab w:val="center" w:pos="4156"/>
        </w:tabs>
        <w:spacing w:line="360" w:lineRule="auto"/>
        <w:contextualSpacing/>
        <w:jc w:val="center"/>
        <w:rPr>
          <w:rFonts w:ascii="宋体" w:hAnsi="宋体" w:eastAsia="宋体" w:cs="MingLiU_HKSCS"/>
          <w:sz w:val="24"/>
          <w:szCs w:val="24"/>
        </w:rPr>
      </w:pPr>
      <w:r>
        <w:rPr>
          <w:rFonts w:ascii="宋体" w:hAnsi="宋体" w:eastAsia="宋体" w:cs="Times New Roman"/>
          <w:sz w:val="24"/>
          <w:szCs w:val="24"/>
        </w:rPr>
        <w:t>(</w:t>
      </w:r>
      <w:r>
        <w:rPr>
          <w:rFonts w:hint="eastAsia" w:ascii="宋体" w:hAnsi="宋体" w:eastAsia="宋体" w:cs="Times New Roman"/>
          <w:sz w:val="24"/>
          <w:szCs w:val="24"/>
        </w:rPr>
        <w:t>示例略</w:t>
      </w:r>
      <w:r>
        <w:rPr>
          <w:rFonts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Times New Roman" w:hAnsi="Times New Roman" w:eastAsia="MingLiU_HKSCS" w:cs="Times New Roman"/>
          <w:sz w:val="28"/>
          <w:szCs w:val="28"/>
        </w:rPr>
      </w:pPr>
      <w:r>
        <w:rPr>
          <w:rFonts w:hint="eastAsia" w:ascii="宋体" w:hAnsi="宋体" w:eastAsia="宋体" w:cs="Times New Roman"/>
          <w:sz w:val="24"/>
          <w:szCs w:val="24"/>
        </w:rPr>
        <w:t>备注：</w:t>
      </w:r>
      <w:r>
        <w:rPr>
          <w:rFonts w:hint="eastAsia" w:ascii="Times New Roman" w:hAnsi="Times New Roman" w:eastAsia="宋体" w:cs="Times New Roman"/>
          <w:sz w:val="24"/>
          <w:szCs w:val="24"/>
        </w:rPr>
        <w:t>提供汇款单或转账凭证复印件</w:t>
      </w:r>
      <w:r>
        <w:rPr>
          <w:rFonts w:hint="eastAsia" w:ascii="宋体" w:hAnsi="宋体" w:eastAsia="宋体" w:cs="Times New Roman"/>
          <w:b/>
          <w:sz w:val="24"/>
          <w:szCs w:val="24"/>
        </w:rPr>
        <w:t>。</w:t>
      </w:r>
    </w:p>
    <w:p>
      <w:pPr>
        <w:spacing w:line="360" w:lineRule="auto"/>
        <w:ind w:right="-97"/>
        <w:jc w:val="center"/>
        <w:rPr>
          <w:rFonts w:ascii="Times New Roman" w:hAnsi="Times New Roman" w:eastAsia="宋体" w:cs="Times New Roman"/>
          <w:b/>
          <w:sz w:val="24"/>
          <w:szCs w:val="24"/>
        </w:rPr>
      </w:pPr>
    </w:p>
    <w:p>
      <w:pPr>
        <w:keepNext/>
        <w:keepLines/>
        <w:spacing w:before="156" w:beforeLines="50" w:after="156" w:afterLines="50" w:line="360" w:lineRule="auto"/>
        <w:ind w:left="551" w:leftChars="-67" w:hanging="691" w:hangingChars="288"/>
        <w:jc w:val="left"/>
        <w:outlineLvl w:val="1"/>
        <w:rPr>
          <w:b/>
          <w:kern w:val="0"/>
          <w:sz w:val="24"/>
          <w:szCs w:val="24"/>
        </w:rPr>
      </w:pPr>
    </w:p>
    <w:p>
      <w:pPr>
        <w:widowControl/>
        <w:jc w:val="left"/>
        <w:rPr>
          <w:b/>
          <w:kern w:val="0"/>
          <w:sz w:val="24"/>
          <w:szCs w:val="24"/>
        </w:rPr>
      </w:pPr>
      <w:r>
        <w:rPr>
          <w:b/>
          <w:kern w:val="0"/>
          <w:sz w:val="24"/>
          <w:szCs w:val="24"/>
        </w:rPr>
        <w:br w:type="page"/>
      </w:r>
    </w:p>
    <w:p>
      <w:pPr>
        <w:widowControl/>
        <w:jc w:val="left"/>
        <w:rPr>
          <w:b/>
          <w:kern w:val="0"/>
          <w:sz w:val="24"/>
          <w:szCs w:val="24"/>
        </w:rPr>
      </w:pPr>
    </w:p>
    <w:p>
      <w:pPr>
        <w:keepNext/>
        <w:keepLines/>
        <w:spacing w:line="360" w:lineRule="auto"/>
        <w:jc w:val="center"/>
        <w:outlineLvl w:val="1"/>
        <w:rPr>
          <w:b/>
          <w:kern w:val="0"/>
          <w:sz w:val="24"/>
          <w:szCs w:val="24"/>
        </w:rPr>
      </w:pPr>
      <w:r>
        <w:rPr>
          <w:rFonts w:hint="eastAsia"/>
          <w:b/>
          <w:kern w:val="0"/>
          <w:sz w:val="24"/>
          <w:szCs w:val="24"/>
        </w:rPr>
        <w:t>四、技术条款偏离表</w:t>
      </w:r>
      <w:bookmarkEnd w:id="31"/>
      <w:bookmarkEnd w:id="32"/>
    </w:p>
    <w:p>
      <w:pPr>
        <w:keepNext/>
        <w:keepLines/>
        <w:spacing w:line="360" w:lineRule="auto"/>
        <w:jc w:val="center"/>
        <w:outlineLvl w:val="1"/>
        <w:rPr>
          <w:b/>
          <w:kern w:val="0"/>
          <w:sz w:val="24"/>
          <w:szCs w:val="24"/>
        </w:rPr>
      </w:pP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7"/>
        <w:gridCol w:w="1418"/>
        <w:gridCol w:w="1417"/>
        <w:gridCol w:w="141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pPr>
              <w:jc w:val="center"/>
              <w:rPr>
                <w:rFonts w:ascii="Calibri" w:hAnsi="Calibri"/>
                <w:szCs w:val="21"/>
              </w:rPr>
            </w:pPr>
            <w:r>
              <w:rPr>
                <w:rFonts w:ascii="Calibri" w:hAnsi="Calibri"/>
                <w:szCs w:val="21"/>
              </w:rPr>
              <w:t>序号</w:t>
            </w:r>
          </w:p>
        </w:tc>
        <w:tc>
          <w:tcPr>
            <w:tcW w:w="1417" w:type="dxa"/>
            <w:vAlign w:val="center"/>
          </w:tcPr>
          <w:p>
            <w:pPr>
              <w:jc w:val="center"/>
              <w:rPr>
                <w:rFonts w:ascii="Calibri" w:hAnsi="Calibri"/>
                <w:szCs w:val="21"/>
              </w:rPr>
            </w:pPr>
            <w:r>
              <w:rPr>
                <w:rFonts w:hint="eastAsia" w:ascii="宋体" w:hAnsi="宋体" w:eastAsia="宋体" w:cs="宋体"/>
                <w:szCs w:val="21"/>
              </w:rPr>
              <w:t>服务内容</w:t>
            </w:r>
          </w:p>
        </w:tc>
        <w:tc>
          <w:tcPr>
            <w:tcW w:w="1418" w:type="dxa"/>
            <w:vAlign w:val="center"/>
          </w:tcPr>
          <w:p>
            <w:pPr>
              <w:jc w:val="center"/>
              <w:rPr>
                <w:rFonts w:ascii="Calibri" w:hAnsi="Calibri"/>
                <w:szCs w:val="21"/>
              </w:rPr>
            </w:pPr>
            <w:r>
              <w:rPr>
                <w:rFonts w:ascii="Calibri" w:hAnsi="Calibri"/>
                <w:szCs w:val="21"/>
              </w:rPr>
              <w:t>磋商文件条目号</w:t>
            </w:r>
          </w:p>
        </w:tc>
        <w:tc>
          <w:tcPr>
            <w:tcW w:w="1417" w:type="dxa"/>
            <w:vAlign w:val="center"/>
          </w:tcPr>
          <w:p>
            <w:pPr>
              <w:jc w:val="center"/>
              <w:rPr>
                <w:rFonts w:ascii="Calibri" w:hAnsi="Calibri"/>
                <w:szCs w:val="21"/>
              </w:rPr>
            </w:pPr>
            <w:r>
              <w:rPr>
                <w:rFonts w:ascii="Calibri" w:hAnsi="Calibri"/>
                <w:szCs w:val="21"/>
              </w:rPr>
              <w:t>磋商文件要求规格</w:t>
            </w:r>
          </w:p>
        </w:tc>
        <w:tc>
          <w:tcPr>
            <w:tcW w:w="1418" w:type="dxa"/>
            <w:vAlign w:val="center"/>
          </w:tcPr>
          <w:p>
            <w:pPr>
              <w:jc w:val="center"/>
              <w:rPr>
                <w:rFonts w:ascii="Calibri" w:hAnsi="Calibri"/>
                <w:szCs w:val="21"/>
              </w:rPr>
            </w:pPr>
            <w:r>
              <w:rPr>
                <w:rFonts w:ascii="Calibri" w:hAnsi="Calibri"/>
                <w:szCs w:val="21"/>
              </w:rPr>
              <w:t>投标规格</w:t>
            </w:r>
          </w:p>
        </w:tc>
        <w:tc>
          <w:tcPr>
            <w:tcW w:w="1417" w:type="dxa"/>
            <w:vAlign w:val="center"/>
          </w:tcPr>
          <w:p>
            <w:pPr>
              <w:jc w:val="center"/>
              <w:rPr>
                <w:rFonts w:ascii="Calibri" w:hAnsi="Calibri"/>
                <w:szCs w:val="21"/>
              </w:rPr>
            </w:pPr>
            <w:r>
              <w:rPr>
                <w:rFonts w:ascii="Calibri" w:hAnsi="Calibri"/>
                <w:szCs w:val="21"/>
              </w:rPr>
              <w:t>偏离</w:t>
            </w:r>
          </w:p>
        </w:tc>
        <w:tc>
          <w:tcPr>
            <w:tcW w:w="1418" w:type="dxa"/>
            <w:vAlign w:val="center"/>
          </w:tcPr>
          <w:p>
            <w:pPr>
              <w:jc w:val="center"/>
              <w:rPr>
                <w:rFonts w:ascii="Calibri" w:hAnsi="Calibri"/>
                <w:szCs w:val="21"/>
              </w:rPr>
            </w:pPr>
            <w:r>
              <w:rPr>
                <w:rFonts w:ascii="Calibri" w:hAnsi="Calibri"/>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tcPr>
          <w:p>
            <w:pPr>
              <w:jc w:val="left"/>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c>
          <w:tcPr>
            <w:tcW w:w="1417" w:type="dxa"/>
            <w:vAlign w:val="center"/>
          </w:tcPr>
          <w:p>
            <w:pPr>
              <w:jc w:val="center"/>
              <w:rPr>
                <w:rFonts w:ascii="Calibri" w:hAnsi="Calibri"/>
                <w:szCs w:val="21"/>
              </w:rPr>
            </w:pPr>
          </w:p>
        </w:tc>
        <w:tc>
          <w:tcPr>
            <w:tcW w:w="1418" w:type="dxa"/>
            <w:vAlign w:val="center"/>
          </w:tcPr>
          <w:p>
            <w:pPr>
              <w:jc w:val="center"/>
              <w:rPr>
                <w:rFonts w:ascii="Calibri" w:hAnsi="Calibri"/>
                <w:szCs w:val="21"/>
              </w:rPr>
            </w:pPr>
          </w:p>
        </w:tc>
      </w:tr>
    </w:tbl>
    <w:p>
      <w:pPr>
        <w:jc w:val="left"/>
        <w:rPr>
          <w:rFonts w:ascii="Calibri" w:hAnsi="Calibri"/>
          <w:szCs w:val="21"/>
        </w:rPr>
      </w:pPr>
      <w:r>
        <w:rPr>
          <w:rFonts w:ascii="Calibri" w:hAnsi="Calibri"/>
          <w:szCs w:val="21"/>
        </w:rPr>
        <w:t>备注：供应商应根据其提供的服务，对照磋商文件“</w:t>
      </w:r>
      <w:r>
        <w:rPr>
          <w:rFonts w:hint="eastAsia" w:ascii="Calibri" w:hAnsi="Calibri"/>
          <w:szCs w:val="21"/>
        </w:rPr>
        <w:t>用户需求书</w:t>
      </w:r>
      <w:r>
        <w:rPr>
          <w:rFonts w:ascii="Calibri" w:hAnsi="Calibri"/>
          <w:szCs w:val="21"/>
        </w:rPr>
        <w:t>”中的要求，有差异的，则在此表中列明实际响应的的内容提要并加以说明，以便查对。本表包括</w:t>
      </w:r>
      <w:r>
        <w:rPr>
          <w:rFonts w:hint="eastAsia" w:ascii="Calibri" w:hAnsi="Calibri"/>
          <w:szCs w:val="21"/>
        </w:rPr>
        <w:t>所有</w:t>
      </w:r>
      <w:r>
        <w:rPr>
          <w:rFonts w:ascii="Calibri" w:hAnsi="Calibri"/>
          <w:szCs w:val="21"/>
        </w:rPr>
        <w:t>的技术响应及差异。无差异</w:t>
      </w:r>
      <w:r>
        <w:rPr>
          <w:rFonts w:hint="eastAsia" w:ascii="Calibri" w:hAnsi="Calibri"/>
          <w:szCs w:val="21"/>
        </w:rPr>
        <w:t>说明</w:t>
      </w:r>
      <w:r>
        <w:rPr>
          <w:rFonts w:ascii="Calibri" w:hAnsi="Calibri"/>
          <w:szCs w:val="21"/>
        </w:rPr>
        <w:t>表示完全响应。</w:t>
      </w:r>
    </w:p>
    <w:p>
      <w:pPr>
        <w:spacing w:line="480" w:lineRule="auto"/>
        <w:ind w:firstLine="4200" w:firstLineChars="2000"/>
        <w:jc w:val="left"/>
        <w:rPr>
          <w:rFonts w:ascii="Calibri" w:hAnsi="Calibri"/>
          <w:szCs w:val="21"/>
        </w:rPr>
      </w:pPr>
      <w:r>
        <w:rPr>
          <w:rFonts w:hint="eastAsia" w:ascii="Calibri" w:hAnsi="Calibri"/>
          <w:szCs w:val="21"/>
        </w:rPr>
        <w:t>供应商：（盖章）</w:t>
      </w:r>
    </w:p>
    <w:p>
      <w:pPr>
        <w:spacing w:line="480" w:lineRule="auto"/>
        <w:ind w:firstLine="4200" w:firstLineChars="2000"/>
        <w:jc w:val="left"/>
        <w:rPr>
          <w:rFonts w:ascii="Calibri" w:hAnsi="Calibri"/>
          <w:szCs w:val="21"/>
        </w:rPr>
      </w:pPr>
    </w:p>
    <w:p>
      <w:pPr>
        <w:spacing w:line="480" w:lineRule="auto"/>
        <w:ind w:firstLine="4200" w:firstLineChars="2000"/>
        <w:jc w:val="left"/>
        <w:rPr>
          <w:rFonts w:ascii="Calibri" w:hAnsi="Calibri"/>
          <w:szCs w:val="21"/>
        </w:rPr>
      </w:pPr>
      <w:r>
        <w:rPr>
          <w:rFonts w:hint="eastAsia" w:ascii="Calibri" w:hAnsi="Calibri"/>
          <w:szCs w:val="21"/>
        </w:rPr>
        <w:t>法定代表人：（盖章）</w:t>
      </w: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widowControl/>
        <w:jc w:val="left"/>
        <w:rPr>
          <w:rFonts w:ascii="Calibri" w:hAnsi="Calibri"/>
          <w:szCs w:val="21"/>
        </w:rPr>
      </w:pPr>
      <w:r>
        <w:rPr>
          <w:rFonts w:ascii="Calibri" w:hAnsi="Calibri"/>
          <w:szCs w:val="21"/>
        </w:rPr>
        <w:br w:type="page"/>
      </w:r>
    </w:p>
    <w:p>
      <w:pPr>
        <w:jc w:val="center"/>
        <w:rPr>
          <w:b/>
          <w:kern w:val="0"/>
          <w:sz w:val="24"/>
          <w:szCs w:val="24"/>
        </w:rPr>
      </w:pPr>
      <w:bookmarkStart w:id="35" w:name="_Toc13995234"/>
      <w:bookmarkStart w:id="36" w:name="_Toc71135165"/>
      <w:r>
        <w:rPr>
          <w:rFonts w:hint="eastAsia"/>
          <w:b/>
          <w:kern w:val="0"/>
          <w:sz w:val="24"/>
          <w:szCs w:val="24"/>
        </w:rPr>
        <w:t>五、商务条款偏离表</w:t>
      </w:r>
      <w:bookmarkEnd w:id="35"/>
      <w:bookmarkEnd w:id="36"/>
    </w:p>
    <w:p>
      <w:pPr>
        <w:keepNext/>
        <w:keepLines/>
        <w:spacing w:line="360" w:lineRule="auto"/>
        <w:jc w:val="center"/>
        <w:outlineLvl w:val="1"/>
        <w:rPr>
          <w:b/>
          <w:kern w:val="0"/>
          <w:sz w:val="24"/>
          <w:szCs w:val="24"/>
        </w:rPr>
      </w:pP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97"/>
        <w:gridCol w:w="2197"/>
        <w:gridCol w:w="2197"/>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r>
              <w:rPr>
                <w:rFonts w:ascii="Calibri" w:hAnsi="Calibri"/>
                <w:szCs w:val="21"/>
              </w:rPr>
              <w:t>序号</w:t>
            </w:r>
          </w:p>
        </w:tc>
        <w:tc>
          <w:tcPr>
            <w:tcW w:w="2197" w:type="dxa"/>
            <w:vAlign w:val="center"/>
          </w:tcPr>
          <w:p>
            <w:pPr>
              <w:jc w:val="center"/>
              <w:rPr>
                <w:rFonts w:ascii="Calibri" w:hAnsi="Calibri"/>
                <w:szCs w:val="21"/>
              </w:rPr>
            </w:pPr>
            <w:r>
              <w:rPr>
                <w:rFonts w:ascii="Calibri" w:hAnsi="Calibri"/>
                <w:szCs w:val="21"/>
              </w:rPr>
              <w:t>磋商文件条目号</w:t>
            </w:r>
          </w:p>
        </w:tc>
        <w:tc>
          <w:tcPr>
            <w:tcW w:w="2197" w:type="dxa"/>
            <w:vAlign w:val="center"/>
          </w:tcPr>
          <w:p>
            <w:pPr>
              <w:jc w:val="center"/>
              <w:rPr>
                <w:rFonts w:ascii="Calibri" w:hAnsi="Calibri"/>
                <w:szCs w:val="21"/>
              </w:rPr>
            </w:pPr>
            <w:r>
              <w:rPr>
                <w:rFonts w:ascii="Calibri" w:hAnsi="Calibri"/>
                <w:szCs w:val="21"/>
              </w:rPr>
              <w:t>磋商文件的商务条款</w:t>
            </w:r>
          </w:p>
        </w:tc>
        <w:tc>
          <w:tcPr>
            <w:tcW w:w="2197" w:type="dxa"/>
            <w:vAlign w:val="center"/>
          </w:tcPr>
          <w:p>
            <w:pPr>
              <w:jc w:val="center"/>
              <w:rPr>
                <w:rFonts w:ascii="Calibri" w:hAnsi="Calibri"/>
                <w:szCs w:val="21"/>
              </w:rPr>
            </w:pPr>
            <w:r>
              <w:rPr>
                <w:rFonts w:ascii="Calibri" w:hAnsi="Calibri"/>
                <w:szCs w:val="21"/>
              </w:rPr>
              <w:t>磋商报价文件的商务条款</w:t>
            </w:r>
          </w:p>
        </w:tc>
        <w:tc>
          <w:tcPr>
            <w:tcW w:w="2198" w:type="dxa"/>
            <w:vAlign w:val="center"/>
          </w:tcPr>
          <w:p>
            <w:pPr>
              <w:jc w:val="center"/>
              <w:rPr>
                <w:rFonts w:ascii="Calibri" w:hAnsi="Calibri"/>
                <w:szCs w:val="21"/>
              </w:rPr>
            </w:pPr>
            <w:r>
              <w:rPr>
                <w:rFonts w:ascii="Calibri" w:hAnsi="Calibri"/>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7" w:type="dxa"/>
            <w:vAlign w:val="center"/>
          </w:tcPr>
          <w:p>
            <w:pPr>
              <w:jc w:val="center"/>
              <w:rPr>
                <w:rFonts w:ascii="Calibri" w:hAnsi="Calibri"/>
                <w:szCs w:val="21"/>
              </w:rPr>
            </w:pPr>
          </w:p>
        </w:tc>
        <w:tc>
          <w:tcPr>
            <w:tcW w:w="2198" w:type="dxa"/>
            <w:vAlign w:val="center"/>
          </w:tcPr>
          <w:p>
            <w:pPr>
              <w:jc w:val="center"/>
              <w:rPr>
                <w:rFonts w:ascii="Calibri" w:hAnsi="Calibri"/>
                <w:szCs w:val="21"/>
              </w:rPr>
            </w:pPr>
          </w:p>
        </w:tc>
      </w:tr>
    </w:tbl>
    <w:p>
      <w:pPr>
        <w:jc w:val="left"/>
        <w:rPr>
          <w:rFonts w:ascii="Calibri" w:hAnsi="Calibri"/>
          <w:szCs w:val="21"/>
        </w:rPr>
      </w:pPr>
      <w:r>
        <w:rPr>
          <w:rFonts w:ascii="Calibri" w:hAnsi="Calibri"/>
          <w:szCs w:val="21"/>
        </w:rPr>
        <w:t>备注：供应商商务条款有差异的，则在此表中列明实际响应的内容提要并加以说明，以便查对，无差异说明表示完全响应。</w:t>
      </w:r>
    </w:p>
    <w:p>
      <w:pPr>
        <w:spacing w:line="480" w:lineRule="auto"/>
        <w:ind w:firstLine="4200" w:firstLineChars="2000"/>
        <w:jc w:val="left"/>
        <w:rPr>
          <w:rFonts w:ascii="Calibri" w:hAnsi="Calibri"/>
          <w:szCs w:val="21"/>
        </w:rPr>
      </w:pPr>
      <w:r>
        <w:rPr>
          <w:rFonts w:hint="eastAsia" w:ascii="Calibri" w:hAnsi="Calibri"/>
          <w:szCs w:val="21"/>
        </w:rPr>
        <w:t>供应商：（盖章）</w:t>
      </w:r>
    </w:p>
    <w:p>
      <w:pPr>
        <w:spacing w:line="480" w:lineRule="auto"/>
        <w:ind w:firstLine="4200" w:firstLineChars="2000"/>
        <w:jc w:val="left"/>
        <w:rPr>
          <w:rFonts w:ascii="Calibri" w:hAnsi="Calibri"/>
          <w:szCs w:val="21"/>
        </w:rPr>
      </w:pPr>
      <w:r>
        <w:rPr>
          <w:rFonts w:hint="eastAsia" w:ascii="Calibri" w:hAnsi="Calibri"/>
          <w:szCs w:val="21"/>
        </w:rPr>
        <w:t>法定代表人：（盖章）</w:t>
      </w:r>
      <w:r>
        <w:rPr>
          <w:rFonts w:ascii="Calibri" w:hAnsi="Calibri"/>
          <w:szCs w:val="21"/>
        </w:rPr>
        <w:br w:type="page"/>
      </w:r>
    </w:p>
    <w:p>
      <w:pPr>
        <w:keepNext/>
        <w:keepLines/>
        <w:spacing w:line="360" w:lineRule="auto"/>
        <w:jc w:val="center"/>
        <w:outlineLvl w:val="1"/>
        <w:rPr>
          <w:b/>
          <w:kern w:val="0"/>
          <w:sz w:val="24"/>
          <w:szCs w:val="24"/>
        </w:rPr>
      </w:pPr>
      <w:bookmarkStart w:id="37" w:name="_Toc71135166"/>
      <w:bookmarkStart w:id="38" w:name="_Toc13995235"/>
      <w:r>
        <w:rPr>
          <w:rFonts w:hint="eastAsia"/>
          <w:b/>
          <w:kern w:val="0"/>
          <w:sz w:val="24"/>
          <w:szCs w:val="24"/>
        </w:rPr>
        <w:t>六、法定代表人身份证明书</w:t>
      </w:r>
      <w:bookmarkEnd w:id="37"/>
      <w:bookmarkEnd w:id="38"/>
    </w:p>
    <w:p>
      <w:pPr>
        <w:jc w:val="left"/>
        <w:rPr>
          <w:rFonts w:ascii="Calibri" w:hAnsi="Calibri"/>
          <w:szCs w:val="21"/>
        </w:rPr>
      </w:pPr>
    </w:p>
    <w:p>
      <w:pPr>
        <w:jc w:val="left"/>
        <w:rPr>
          <w:rFonts w:ascii="Calibri" w:hAnsi="Calibri"/>
          <w:szCs w:val="21"/>
        </w:rPr>
      </w:pPr>
    </w:p>
    <w:p>
      <w:pPr>
        <w:spacing w:line="520" w:lineRule="exact"/>
        <w:jc w:val="left"/>
        <w:rPr>
          <w:rFonts w:ascii="Calibri" w:hAnsi="Calibri"/>
          <w:szCs w:val="21"/>
          <w:u w:val="single"/>
        </w:rPr>
      </w:pPr>
      <w:r>
        <w:rPr>
          <w:rFonts w:hint="eastAsia" w:ascii="Calibri" w:hAnsi="Calibri"/>
          <w:szCs w:val="21"/>
        </w:rPr>
        <w:t>投标人：</w:t>
      </w:r>
    </w:p>
    <w:p>
      <w:pPr>
        <w:spacing w:line="520" w:lineRule="exact"/>
        <w:jc w:val="left"/>
        <w:rPr>
          <w:rFonts w:ascii="Calibri" w:hAnsi="Calibri"/>
          <w:szCs w:val="21"/>
          <w:u w:val="single"/>
        </w:rPr>
      </w:pPr>
      <w:r>
        <w:rPr>
          <w:rFonts w:hint="eastAsia" w:ascii="Calibri" w:hAnsi="Calibri"/>
          <w:szCs w:val="21"/>
        </w:rPr>
        <w:t>单位性质：</w:t>
      </w:r>
    </w:p>
    <w:p>
      <w:pPr>
        <w:spacing w:line="520" w:lineRule="exact"/>
        <w:jc w:val="left"/>
        <w:rPr>
          <w:rFonts w:ascii="Calibri" w:hAnsi="Calibri"/>
          <w:szCs w:val="21"/>
          <w:u w:val="single"/>
        </w:rPr>
      </w:pPr>
      <w:r>
        <w:rPr>
          <w:rFonts w:hint="eastAsia" w:ascii="Calibri" w:hAnsi="Calibri"/>
          <w:szCs w:val="21"/>
        </w:rPr>
        <w:t>地址：</w:t>
      </w:r>
    </w:p>
    <w:p>
      <w:pPr>
        <w:spacing w:line="520" w:lineRule="exact"/>
        <w:jc w:val="left"/>
        <w:rPr>
          <w:rFonts w:ascii="Calibri" w:hAnsi="Calibri"/>
          <w:szCs w:val="21"/>
          <w:u w:val="single"/>
        </w:rPr>
      </w:pPr>
      <w:r>
        <w:rPr>
          <w:rFonts w:hint="eastAsia" w:ascii="Calibri" w:hAnsi="Calibri"/>
          <w:szCs w:val="21"/>
        </w:rPr>
        <w:t>成立时间：年</w:t>
      </w:r>
      <w:r>
        <w:rPr>
          <w:rFonts w:hint="eastAsia" w:ascii="Calibri" w:hAnsi="Calibri"/>
          <w:szCs w:val="21"/>
          <w:u w:val="single"/>
        </w:rPr>
        <w:t>___________</w:t>
      </w:r>
      <w:r>
        <w:rPr>
          <w:rFonts w:hint="eastAsia" w:ascii="Calibri" w:hAnsi="Calibri"/>
          <w:szCs w:val="21"/>
        </w:rPr>
        <w:t>月日</w:t>
      </w:r>
    </w:p>
    <w:p>
      <w:pPr>
        <w:spacing w:line="520" w:lineRule="exact"/>
        <w:jc w:val="left"/>
        <w:rPr>
          <w:rFonts w:ascii="Calibri" w:hAnsi="Calibri"/>
          <w:szCs w:val="21"/>
          <w:u w:val="single"/>
        </w:rPr>
      </w:pPr>
      <w:r>
        <w:rPr>
          <w:rFonts w:hint="eastAsia" w:ascii="Calibri" w:hAnsi="Calibri"/>
          <w:szCs w:val="21"/>
        </w:rPr>
        <w:t>经营期限：</w:t>
      </w: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u w:val="single"/>
        </w:rPr>
      </w:pPr>
      <w:r>
        <w:rPr>
          <w:rFonts w:hint="eastAsia" w:ascii="Calibri" w:hAnsi="Calibri"/>
          <w:szCs w:val="21"/>
        </w:rPr>
        <w:t>姓名：性别：</w:t>
      </w:r>
    </w:p>
    <w:p>
      <w:pPr>
        <w:spacing w:line="520" w:lineRule="exact"/>
        <w:jc w:val="left"/>
        <w:rPr>
          <w:rFonts w:ascii="Calibri" w:hAnsi="Calibri"/>
          <w:szCs w:val="21"/>
          <w:u w:val="single"/>
        </w:rPr>
      </w:pPr>
      <w:r>
        <w:rPr>
          <w:rFonts w:hint="eastAsia" w:ascii="Calibri" w:hAnsi="Calibri"/>
          <w:szCs w:val="21"/>
        </w:rPr>
        <w:t>年龄：职务：</w:t>
      </w:r>
    </w:p>
    <w:p>
      <w:pPr>
        <w:spacing w:line="520" w:lineRule="exact"/>
        <w:jc w:val="left"/>
        <w:rPr>
          <w:rFonts w:ascii="Calibri" w:hAnsi="Calibri"/>
          <w:szCs w:val="21"/>
          <w:u w:val="single"/>
        </w:rPr>
      </w:pPr>
    </w:p>
    <w:p>
      <w:pPr>
        <w:spacing w:line="520" w:lineRule="exact"/>
        <w:jc w:val="left"/>
        <w:rPr>
          <w:rFonts w:ascii="Calibri" w:hAnsi="Calibri"/>
          <w:szCs w:val="21"/>
        </w:rPr>
      </w:pPr>
      <w:r>
        <w:rPr>
          <w:rFonts w:hint="eastAsia" w:ascii="Calibri" w:hAnsi="Calibri"/>
          <w:szCs w:val="21"/>
          <w:u w:val="single"/>
        </w:rPr>
        <w:t>系</w:t>
      </w:r>
      <w:r>
        <w:rPr>
          <w:rFonts w:hint="eastAsia" w:ascii="Calibri" w:hAnsi="Calibri"/>
          <w:szCs w:val="21"/>
        </w:rPr>
        <w:t>（供应商名称）的法定代表人</w:t>
      </w:r>
    </w:p>
    <w:p>
      <w:pPr>
        <w:spacing w:line="520" w:lineRule="exact"/>
        <w:jc w:val="left"/>
        <w:rPr>
          <w:rFonts w:ascii="Calibri" w:hAnsi="Calibri"/>
          <w:szCs w:val="21"/>
        </w:rPr>
      </w:pPr>
    </w:p>
    <w:p>
      <w:pPr>
        <w:spacing w:line="520" w:lineRule="exact"/>
        <w:jc w:val="left"/>
        <w:rPr>
          <w:rFonts w:ascii="Calibri" w:hAnsi="Calibri"/>
          <w:szCs w:val="21"/>
        </w:rPr>
      </w:pPr>
      <w:r>
        <w:rPr>
          <w:rFonts w:hint="eastAsia" w:ascii="Calibri" w:hAnsi="Calibri"/>
          <w:szCs w:val="21"/>
        </w:rPr>
        <w:t>特此声明</w:t>
      </w:r>
    </w:p>
    <w:p>
      <w:pPr>
        <w:spacing w:line="520" w:lineRule="exact"/>
        <w:jc w:val="left"/>
        <w:rPr>
          <w:rFonts w:ascii="Calibri" w:hAnsi="Calibri"/>
          <w:szCs w:val="21"/>
        </w:rPr>
      </w:pPr>
    </w:p>
    <w:p>
      <w:pPr>
        <w:spacing w:line="520" w:lineRule="exact"/>
        <w:jc w:val="left"/>
        <w:rPr>
          <w:rFonts w:ascii="Calibri" w:hAnsi="Calibri"/>
          <w:szCs w:val="21"/>
        </w:rPr>
      </w:pPr>
      <w:r>
        <w:rPr>
          <w:rFonts w:hint="eastAsia" w:ascii="Calibri" w:hAnsi="Calibri"/>
          <w:szCs w:val="21"/>
        </w:rPr>
        <w:t>附：法定代表人身份证明</w:t>
      </w: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rPr>
      </w:pPr>
    </w:p>
    <w:p>
      <w:pPr>
        <w:spacing w:line="520" w:lineRule="exact"/>
        <w:jc w:val="left"/>
        <w:rPr>
          <w:rFonts w:ascii="Calibri" w:hAnsi="Calibri"/>
          <w:szCs w:val="21"/>
        </w:rPr>
      </w:pPr>
    </w:p>
    <w:p>
      <w:pPr>
        <w:spacing w:line="480" w:lineRule="auto"/>
        <w:ind w:right="420" w:firstLine="4200" w:firstLineChars="2000"/>
        <w:rPr>
          <w:rFonts w:ascii="Calibri" w:hAnsi="Calibri"/>
          <w:szCs w:val="21"/>
        </w:rPr>
      </w:pPr>
      <w:r>
        <w:rPr>
          <w:rFonts w:hint="eastAsia" w:ascii="Calibri" w:hAnsi="Calibri"/>
          <w:szCs w:val="21"/>
        </w:rPr>
        <w:t>供应商：（盖章）</w:t>
      </w:r>
    </w:p>
    <w:p>
      <w:pPr>
        <w:spacing w:line="480" w:lineRule="auto"/>
        <w:ind w:right="840" w:firstLine="4200" w:firstLineChars="2000"/>
        <w:rPr>
          <w:rFonts w:ascii="Calibri" w:hAnsi="Calibri"/>
          <w:szCs w:val="21"/>
        </w:rPr>
      </w:pPr>
      <w:r>
        <w:rPr>
          <w:rFonts w:hint="eastAsia" w:ascii="Calibri" w:hAnsi="Calibri"/>
          <w:szCs w:val="21"/>
        </w:rPr>
        <w:t>日期：年月日</w:t>
      </w:r>
      <w:r>
        <w:rPr>
          <w:rFonts w:ascii="Calibri" w:hAnsi="Calibri"/>
          <w:szCs w:val="21"/>
        </w:rPr>
        <w:br w:type="page"/>
      </w:r>
    </w:p>
    <w:p>
      <w:pPr>
        <w:keepNext/>
        <w:keepLines/>
        <w:spacing w:line="360" w:lineRule="auto"/>
        <w:jc w:val="center"/>
        <w:outlineLvl w:val="1"/>
        <w:rPr>
          <w:b/>
          <w:kern w:val="0"/>
          <w:sz w:val="24"/>
          <w:szCs w:val="24"/>
        </w:rPr>
      </w:pPr>
      <w:bookmarkStart w:id="39" w:name="_Toc13995236"/>
      <w:bookmarkStart w:id="40" w:name="_Toc71135167"/>
      <w:r>
        <w:rPr>
          <w:rFonts w:hint="eastAsia"/>
          <w:b/>
          <w:kern w:val="0"/>
          <w:sz w:val="24"/>
          <w:szCs w:val="24"/>
        </w:rPr>
        <w:t>七、法定代表人授权委托书</w:t>
      </w:r>
      <w:bookmarkEnd w:id="39"/>
      <w:bookmarkEnd w:id="40"/>
    </w:p>
    <w:p>
      <w:pPr>
        <w:jc w:val="left"/>
        <w:rPr>
          <w:rFonts w:ascii="Calibri" w:hAnsi="Calibri"/>
          <w:szCs w:val="21"/>
        </w:rPr>
      </w:pPr>
    </w:p>
    <w:p>
      <w:pPr>
        <w:spacing w:line="440" w:lineRule="exact"/>
        <w:ind w:firstLine="420" w:firstLineChars="200"/>
        <w:jc w:val="left"/>
        <w:rPr>
          <w:rFonts w:ascii="Calibri" w:hAnsi="Calibri"/>
          <w:szCs w:val="21"/>
        </w:rPr>
      </w:pPr>
      <w:r>
        <w:rPr>
          <w:rFonts w:hint="eastAsia" w:ascii="Calibri" w:hAnsi="Calibri"/>
          <w:szCs w:val="21"/>
        </w:rPr>
        <w:t>本人（姓名）系（供应商名称）的法定代表人，现拟派我单位（姓名）为我方委托代理人。委托代理人根据授权，就</w:t>
      </w:r>
      <w:r>
        <w:rPr>
          <w:rFonts w:hint="eastAsia" w:ascii="Calibri" w:hAnsi="Calibri"/>
          <w:szCs w:val="21"/>
          <w:u w:val="single"/>
        </w:rPr>
        <w:t xml:space="preserve">       ________  </w:t>
      </w:r>
      <w:r>
        <w:rPr>
          <w:rFonts w:hint="eastAsia" w:ascii="Calibri" w:hAnsi="Calibri"/>
          <w:szCs w:val="21"/>
        </w:rPr>
        <w:t>（项目名称）的投标，以本公司名义处理一切与之有关的事务，其法律后果由我方承担。</w:t>
      </w:r>
    </w:p>
    <w:p>
      <w:pPr>
        <w:spacing w:line="440" w:lineRule="exact"/>
        <w:jc w:val="left"/>
        <w:rPr>
          <w:rFonts w:ascii="Calibri" w:hAnsi="Calibri"/>
          <w:szCs w:val="21"/>
        </w:rPr>
      </w:pPr>
    </w:p>
    <w:p>
      <w:pPr>
        <w:spacing w:line="440" w:lineRule="exact"/>
        <w:jc w:val="left"/>
        <w:rPr>
          <w:rFonts w:ascii="Calibri" w:hAnsi="Calibri"/>
          <w:szCs w:val="21"/>
          <w:u w:val="single"/>
        </w:rPr>
      </w:pPr>
      <w:r>
        <w:rPr>
          <w:rFonts w:hint="eastAsia" w:ascii="Calibri" w:hAnsi="Calibri"/>
          <w:szCs w:val="21"/>
        </w:rPr>
        <w:t>代理人：性别：年龄：</w:t>
      </w:r>
    </w:p>
    <w:p>
      <w:pPr>
        <w:spacing w:line="440" w:lineRule="exact"/>
        <w:jc w:val="left"/>
        <w:rPr>
          <w:rFonts w:ascii="Calibri" w:hAnsi="Calibri"/>
          <w:szCs w:val="21"/>
          <w:u w:val="single"/>
        </w:rPr>
      </w:pPr>
    </w:p>
    <w:p>
      <w:pPr>
        <w:spacing w:line="440" w:lineRule="exact"/>
        <w:jc w:val="left"/>
        <w:rPr>
          <w:rFonts w:ascii="Calibri" w:hAnsi="Calibri"/>
          <w:szCs w:val="21"/>
          <w:u w:val="single"/>
        </w:rPr>
      </w:pPr>
      <w:r>
        <w:rPr>
          <w:rFonts w:hint="eastAsia" w:ascii="Calibri" w:hAnsi="Calibri"/>
          <w:szCs w:val="21"/>
        </w:rPr>
        <w:t>单位：部门：职务：</w:t>
      </w:r>
    </w:p>
    <w:p>
      <w:pPr>
        <w:spacing w:line="440" w:lineRule="exact"/>
        <w:jc w:val="left"/>
        <w:rPr>
          <w:rFonts w:ascii="Calibri" w:hAnsi="Calibri"/>
          <w:szCs w:val="21"/>
          <w:u w:val="single"/>
        </w:rPr>
      </w:pPr>
    </w:p>
    <w:p>
      <w:pPr>
        <w:spacing w:line="440" w:lineRule="exact"/>
        <w:jc w:val="left"/>
        <w:rPr>
          <w:rFonts w:ascii="Calibri" w:hAnsi="Calibri"/>
          <w:szCs w:val="21"/>
        </w:rPr>
      </w:pPr>
    </w:p>
    <w:p>
      <w:pPr>
        <w:spacing w:line="440" w:lineRule="exact"/>
        <w:jc w:val="left"/>
        <w:rPr>
          <w:rFonts w:ascii="Calibri" w:hAnsi="Calibri"/>
          <w:szCs w:val="21"/>
        </w:rPr>
      </w:pPr>
      <w:r>
        <w:rPr>
          <w:rFonts w:hint="eastAsia" w:ascii="Calibri" w:hAnsi="Calibri"/>
          <w:szCs w:val="21"/>
        </w:rPr>
        <w:t>代理人无转委权，特此声明。</w:t>
      </w:r>
    </w:p>
    <w:p>
      <w:pPr>
        <w:spacing w:line="440" w:lineRule="exact"/>
        <w:jc w:val="left"/>
        <w:rPr>
          <w:rFonts w:ascii="Calibri" w:hAnsi="Calibri"/>
          <w:szCs w:val="21"/>
        </w:rPr>
      </w:pPr>
      <w:r>
        <w:rPr>
          <w:rFonts w:hint="eastAsia" w:ascii="Calibri" w:hAnsi="Calibri"/>
          <w:szCs w:val="21"/>
        </w:rPr>
        <w:t>附：授权委托人身份证明。</w:t>
      </w: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spacing w:line="480" w:lineRule="auto"/>
        <w:ind w:firstLine="4200" w:firstLineChars="2000"/>
        <w:rPr>
          <w:rFonts w:ascii="Calibri" w:hAnsi="Calibri"/>
          <w:szCs w:val="21"/>
        </w:rPr>
      </w:pPr>
      <w:r>
        <w:rPr>
          <w:rFonts w:hint="eastAsia" w:ascii="Calibri" w:hAnsi="Calibri"/>
          <w:szCs w:val="21"/>
        </w:rPr>
        <w:t>供应商：（盖章）</w:t>
      </w:r>
    </w:p>
    <w:p>
      <w:pPr>
        <w:spacing w:line="480" w:lineRule="auto"/>
        <w:ind w:firstLine="4200" w:firstLineChars="2000"/>
        <w:rPr>
          <w:rFonts w:ascii="Calibri" w:hAnsi="Calibri"/>
          <w:szCs w:val="21"/>
        </w:rPr>
      </w:pPr>
      <w:r>
        <w:rPr>
          <w:rFonts w:hint="eastAsia" w:ascii="Calibri" w:hAnsi="Calibri"/>
          <w:szCs w:val="21"/>
        </w:rPr>
        <w:t>法定代表人：_________________________(盖章)</w:t>
      </w:r>
    </w:p>
    <w:p>
      <w:pPr>
        <w:spacing w:line="480" w:lineRule="auto"/>
        <w:ind w:firstLine="4200" w:firstLineChars="2000"/>
        <w:jc w:val="left"/>
        <w:rPr>
          <w:rFonts w:ascii="Calibri" w:hAnsi="Calibri"/>
          <w:szCs w:val="21"/>
        </w:rPr>
      </w:pPr>
      <w:r>
        <w:rPr>
          <w:rFonts w:hint="eastAsia" w:ascii="Calibri" w:hAnsi="Calibri"/>
          <w:szCs w:val="21"/>
        </w:rPr>
        <w:t>日期：年月日</w:t>
      </w:r>
      <w:r>
        <w:rPr>
          <w:rFonts w:ascii="Calibri" w:hAnsi="Calibri"/>
          <w:szCs w:val="21"/>
        </w:rPr>
        <w:br w:type="page"/>
      </w:r>
    </w:p>
    <w:p>
      <w:pPr>
        <w:keepNext/>
        <w:keepLines/>
        <w:spacing w:line="360" w:lineRule="auto"/>
        <w:jc w:val="center"/>
        <w:outlineLvl w:val="1"/>
        <w:rPr>
          <w:b/>
          <w:kern w:val="0"/>
          <w:sz w:val="24"/>
          <w:szCs w:val="24"/>
        </w:rPr>
      </w:pPr>
      <w:bookmarkStart w:id="41" w:name="_Toc13995239"/>
      <w:bookmarkStart w:id="42" w:name="_Toc71135169"/>
      <w:r>
        <w:rPr>
          <w:rFonts w:hint="eastAsia"/>
          <w:b/>
          <w:kern w:val="0"/>
          <w:sz w:val="24"/>
          <w:szCs w:val="24"/>
        </w:rPr>
        <w:t>八、供应商资格声明</w:t>
      </w:r>
      <w:bookmarkEnd w:id="41"/>
      <w:bookmarkEnd w:id="42"/>
    </w:p>
    <w:p>
      <w:pPr>
        <w:spacing w:line="480" w:lineRule="auto"/>
        <w:jc w:val="center"/>
        <w:rPr>
          <w:rFonts w:ascii="Calibri" w:hAnsi="Calibri"/>
          <w:b/>
          <w:szCs w:val="21"/>
        </w:rPr>
      </w:pPr>
      <w:r>
        <w:rPr>
          <w:rFonts w:hint="eastAsia" w:ascii="Calibri" w:hAnsi="Calibri"/>
          <w:b/>
          <w:szCs w:val="21"/>
        </w:rPr>
        <w:t>8-1 供应商基本情况</w:t>
      </w:r>
    </w:p>
    <w:tbl>
      <w:tblPr>
        <w:tblStyle w:val="2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977"/>
        <w:gridCol w:w="618"/>
        <w:gridCol w:w="798"/>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供应商名称</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供应商类型</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注册地址</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邮政编码</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成立时间</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企业性质</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营业执照号</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注册资金</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法定代表人</w:t>
            </w:r>
          </w:p>
        </w:tc>
        <w:tc>
          <w:tcPr>
            <w:tcW w:w="977" w:type="dxa"/>
            <w:vAlign w:val="center"/>
          </w:tcPr>
          <w:p>
            <w:pPr>
              <w:rPr>
                <w:rFonts w:ascii="Calibri" w:hAnsi="Calibri"/>
                <w:b/>
                <w:szCs w:val="21"/>
              </w:rPr>
            </w:pPr>
            <w:r>
              <w:rPr>
                <w:rFonts w:hint="eastAsia" w:ascii="Calibri" w:hAnsi="Calibri"/>
                <w:b/>
                <w:szCs w:val="21"/>
              </w:rPr>
              <w:t>姓名</w:t>
            </w:r>
          </w:p>
        </w:tc>
        <w:tc>
          <w:tcPr>
            <w:tcW w:w="618" w:type="dxa"/>
            <w:vAlign w:val="center"/>
          </w:tcPr>
          <w:p>
            <w:pPr>
              <w:rPr>
                <w:rFonts w:ascii="Calibri" w:hAnsi="Calibri"/>
                <w:b/>
                <w:szCs w:val="21"/>
              </w:rPr>
            </w:pPr>
          </w:p>
        </w:tc>
        <w:tc>
          <w:tcPr>
            <w:tcW w:w="798" w:type="dxa"/>
            <w:vAlign w:val="center"/>
          </w:tcPr>
          <w:p>
            <w:pPr>
              <w:rPr>
                <w:rFonts w:ascii="Calibri" w:hAnsi="Calibri"/>
                <w:b/>
                <w:szCs w:val="21"/>
              </w:rPr>
            </w:pPr>
            <w:r>
              <w:rPr>
                <w:rFonts w:hint="eastAsia" w:ascii="Calibri" w:hAnsi="Calibri"/>
                <w:b/>
                <w:szCs w:val="21"/>
              </w:rPr>
              <w:t>职称</w:t>
            </w:r>
          </w:p>
        </w:tc>
        <w:tc>
          <w:tcPr>
            <w:tcW w:w="2393" w:type="dxa"/>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Merge w:val="restart"/>
            <w:vAlign w:val="center"/>
          </w:tcPr>
          <w:p>
            <w:pPr>
              <w:rPr>
                <w:rFonts w:ascii="Calibri" w:hAnsi="Calibri"/>
                <w:b/>
                <w:szCs w:val="21"/>
              </w:rPr>
            </w:pPr>
            <w:r>
              <w:rPr>
                <w:rFonts w:hint="eastAsia" w:ascii="Calibri" w:hAnsi="Calibri"/>
                <w:b/>
                <w:szCs w:val="21"/>
              </w:rPr>
              <w:t>联系方式</w:t>
            </w:r>
          </w:p>
        </w:tc>
        <w:tc>
          <w:tcPr>
            <w:tcW w:w="977" w:type="dxa"/>
            <w:vAlign w:val="center"/>
          </w:tcPr>
          <w:p>
            <w:pPr>
              <w:rPr>
                <w:rFonts w:ascii="Calibri" w:hAnsi="Calibri"/>
                <w:b/>
                <w:szCs w:val="21"/>
              </w:rPr>
            </w:pPr>
            <w:r>
              <w:rPr>
                <w:rFonts w:hint="eastAsia" w:ascii="Calibri" w:hAnsi="Calibri"/>
                <w:b/>
                <w:szCs w:val="21"/>
              </w:rPr>
              <w:t>联系人</w:t>
            </w:r>
          </w:p>
        </w:tc>
        <w:tc>
          <w:tcPr>
            <w:tcW w:w="1416" w:type="dxa"/>
            <w:gridSpan w:val="2"/>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电话</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Merge w:val="continue"/>
            <w:vAlign w:val="center"/>
          </w:tcPr>
          <w:p>
            <w:pPr>
              <w:rPr>
                <w:rFonts w:ascii="Calibri" w:hAnsi="Calibri"/>
                <w:b/>
                <w:szCs w:val="21"/>
              </w:rPr>
            </w:pPr>
          </w:p>
        </w:tc>
        <w:tc>
          <w:tcPr>
            <w:tcW w:w="977" w:type="dxa"/>
            <w:vAlign w:val="center"/>
          </w:tcPr>
          <w:p>
            <w:pPr>
              <w:rPr>
                <w:rFonts w:ascii="Calibri" w:hAnsi="Calibri"/>
                <w:b/>
                <w:szCs w:val="21"/>
              </w:rPr>
            </w:pPr>
            <w:r>
              <w:rPr>
                <w:rFonts w:hint="eastAsia" w:ascii="Calibri" w:hAnsi="Calibri"/>
                <w:b/>
                <w:szCs w:val="21"/>
              </w:rPr>
              <w:t>传真</w:t>
            </w:r>
          </w:p>
        </w:tc>
        <w:tc>
          <w:tcPr>
            <w:tcW w:w="1416" w:type="dxa"/>
            <w:gridSpan w:val="2"/>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网址</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pPr>
              <w:rPr>
                <w:rFonts w:ascii="Calibri" w:hAnsi="Calibri"/>
                <w:b/>
                <w:szCs w:val="21"/>
              </w:rPr>
            </w:pPr>
            <w:r>
              <w:rPr>
                <w:rFonts w:hint="eastAsia" w:ascii="Calibri" w:hAnsi="Calibri"/>
                <w:b/>
                <w:szCs w:val="21"/>
              </w:rPr>
              <w:t>开户银行</w:t>
            </w:r>
          </w:p>
        </w:tc>
        <w:tc>
          <w:tcPr>
            <w:tcW w:w="2393" w:type="dxa"/>
            <w:gridSpan w:val="3"/>
            <w:vAlign w:val="center"/>
          </w:tcPr>
          <w:p>
            <w:pPr>
              <w:rPr>
                <w:rFonts w:ascii="Calibri" w:hAnsi="Calibri"/>
                <w:b/>
                <w:szCs w:val="21"/>
              </w:rPr>
            </w:pPr>
          </w:p>
        </w:tc>
        <w:tc>
          <w:tcPr>
            <w:tcW w:w="2393" w:type="dxa"/>
            <w:vAlign w:val="center"/>
          </w:tcPr>
          <w:p>
            <w:pPr>
              <w:rPr>
                <w:rFonts w:ascii="Calibri" w:hAnsi="Calibri"/>
                <w:b/>
                <w:szCs w:val="21"/>
              </w:rPr>
            </w:pPr>
            <w:r>
              <w:rPr>
                <w:rFonts w:hint="eastAsia" w:ascii="Calibri" w:hAnsi="Calibri"/>
                <w:b/>
                <w:szCs w:val="21"/>
              </w:rPr>
              <w:t>账号</w:t>
            </w:r>
          </w:p>
        </w:tc>
        <w:tc>
          <w:tcPr>
            <w:tcW w:w="2393" w:type="dxa"/>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392" w:type="dxa"/>
            <w:vAlign w:val="center"/>
          </w:tcPr>
          <w:p>
            <w:pPr>
              <w:rPr>
                <w:rFonts w:ascii="Calibri" w:hAnsi="Calibri"/>
                <w:b/>
                <w:szCs w:val="21"/>
              </w:rPr>
            </w:pPr>
            <w:r>
              <w:rPr>
                <w:rFonts w:hint="eastAsia" w:ascii="Calibri" w:hAnsi="Calibri"/>
                <w:b/>
                <w:szCs w:val="21"/>
              </w:rPr>
              <w:t>员工总人数</w:t>
            </w:r>
          </w:p>
        </w:tc>
        <w:tc>
          <w:tcPr>
            <w:tcW w:w="7179" w:type="dxa"/>
            <w:gridSpan w:val="5"/>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pPr>
              <w:rPr>
                <w:rFonts w:ascii="Calibri" w:hAnsi="Calibri"/>
                <w:b/>
                <w:szCs w:val="21"/>
              </w:rPr>
            </w:pPr>
            <w:r>
              <w:rPr>
                <w:rFonts w:hint="eastAsia" w:ascii="Calibri" w:hAnsi="Calibri"/>
                <w:b/>
                <w:szCs w:val="21"/>
              </w:rPr>
              <w:t>组织机构</w:t>
            </w:r>
          </w:p>
        </w:tc>
        <w:tc>
          <w:tcPr>
            <w:tcW w:w="7179" w:type="dxa"/>
            <w:gridSpan w:val="5"/>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pPr>
              <w:rPr>
                <w:rFonts w:ascii="Calibri" w:hAnsi="Calibri"/>
                <w:b/>
                <w:szCs w:val="21"/>
              </w:rPr>
            </w:pPr>
            <w:r>
              <w:rPr>
                <w:rFonts w:hint="eastAsia" w:ascii="Calibri" w:hAnsi="Calibri"/>
                <w:b/>
                <w:szCs w:val="21"/>
              </w:rPr>
              <w:t>经营范围</w:t>
            </w:r>
          </w:p>
        </w:tc>
        <w:tc>
          <w:tcPr>
            <w:tcW w:w="7179" w:type="dxa"/>
            <w:gridSpan w:val="5"/>
            <w:vAlign w:val="center"/>
          </w:tcPr>
          <w:p>
            <w:pP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pPr>
              <w:rPr>
                <w:rFonts w:ascii="Calibri" w:hAnsi="Calibri"/>
                <w:b/>
                <w:szCs w:val="21"/>
              </w:rPr>
            </w:pPr>
            <w:r>
              <w:rPr>
                <w:rFonts w:hint="eastAsia" w:ascii="Calibri" w:hAnsi="Calibri"/>
                <w:b/>
                <w:szCs w:val="21"/>
              </w:rPr>
              <w:t>备注</w:t>
            </w:r>
          </w:p>
        </w:tc>
        <w:tc>
          <w:tcPr>
            <w:tcW w:w="7179" w:type="dxa"/>
            <w:gridSpan w:val="5"/>
            <w:vAlign w:val="center"/>
          </w:tcPr>
          <w:p>
            <w:pPr>
              <w:rPr>
                <w:rFonts w:ascii="Calibri" w:hAnsi="Calibri"/>
                <w:b/>
                <w:szCs w:val="21"/>
              </w:rPr>
            </w:pPr>
          </w:p>
        </w:tc>
      </w:tr>
    </w:tbl>
    <w:p>
      <w:pPr>
        <w:rPr>
          <w:rFonts w:ascii="Calibri" w:hAnsi="Calibri"/>
          <w:b/>
          <w:szCs w:val="21"/>
        </w:rPr>
      </w:pPr>
      <w:r>
        <w:rPr>
          <w:rFonts w:hint="eastAsia" w:ascii="Calibri" w:hAnsi="Calibri"/>
          <w:b/>
          <w:szCs w:val="21"/>
        </w:rPr>
        <w:t>备注：本表后应附企业法人营业执照、</w:t>
      </w:r>
      <w:r>
        <w:rPr>
          <w:rFonts w:hint="eastAsia" w:ascii="宋体" w:hAnsi="宋体"/>
          <w:b/>
          <w:szCs w:val="21"/>
        </w:rPr>
        <w:t>社保缴费证明、信用中国及中国政府采购网网站截图及磋商文件要求</w:t>
      </w:r>
      <w:r>
        <w:rPr>
          <w:rFonts w:hint="eastAsia" w:ascii="Calibri" w:hAnsi="Calibri"/>
          <w:b/>
          <w:szCs w:val="21"/>
        </w:rPr>
        <w:t>等其他相关资料</w:t>
      </w:r>
    </w:p>
    <w:p>
      <w:pPr>
        <w:rPr>
          <w:rFonts w:ascii="Calibri" w:hAnsi="Calibri"/>
          <w:b/>
          <w:szCs w:val="21"/>
        </w:rPr>
      </w:pPr>
      <w:r>
        <w:rPr>
          <w:rFonts w:ascii="Calibri" w:hAnsi="Calibri"/>
          <w:b/>
          <w:szCs w:val="21"/>
        </w:rPr>
        <w:br w:type="page"/>
      </w:r>
    </w:p>
    <w:p>
      <w:pPr>
        <w:jc w:val="center"/>
        <w:rPr>
          <w:rFonts w:ascii="Calibri" w:hAnsi="Calibri"/>
          <w:szCs w:val="21"/>
        </w:rPr>
      </w:pPr>
      <w:r>
        <w:rPr>
          <w:rFonts w:hint="eastAsia" w:ascii="Calibri" w:hAnsi="Calibri"/>
          <w:b/>
          <w:szCs w:val="21"/>
        </w:rPr>
        <w:t>8-2近年财务状况表</w:t>
      </w: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r>
        <w:rPr>
          <w:rFonts w:hint="eastAsia" w:ascii="Calibri" w:hAnsi="Calibri"/>
          <w:b/>
          <w:szCs w:val="21"/>
        </w:rPr>
        <w:t>2020年度或2021年度财务审计报告</w:t>
      </w: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tabs>
          <w:tab w:val="left" w:pos="3495"/>
          <w:tab w:val="center" w:pos="4677"/>
        </w:tabs>
        <w:jc w:val="center"/>
        <w:rPr>
          <w:rFonts w:ascii="Calibri" w:hAnsi="Calibri"/>
          <w:b/>
          <w:szCs w:val="21"/>
        </w:rPr>
      </w:pPr>
    </w:p>
    <w:p>
      <w:pPr>
        <w:pageBreakBefore/>
        <w:tabs>
          <w:tab w:val="left" w:pos="3495"/>
          <w:tab w:val="center" w:pos="4677"/>
        </w:tabs>
        <w:jc w:val="center"/>
        <w:rPr>
          <w:rFonts w:ascii="Calibri" w:hAnsi="Calibri"/>
          <w:b/>
          <w:szCs w:val="21"/>
        </w:rPr>
      </w:pPr>
      <w:r>
        <w:rPr>
          <w:rFonts w:hint="eastAsia" w:ascii="Calibri" w:hAnsi="Calibri"/>
          <w:b/>
          <w:szCs w:val="21"/>
        </w:rPr>
        <w:t>8-3（2019年5月1日至今）类似业绩表</w:t>
      </w:r>
    </w:p>
    <w:p>
      <w:pPr>
        <w:tabs>
          <w:tab w:val="left" w:pos="3495"/>
          <w:tab w:val="center" w:pos="4677"/>
        </w:tabs>
        <w:jc w:val="center"/>
        <w:rPr>
          <w:rFonts w:ascii="Calibri" w:hAnsi="Calibri"/>
          <w:b/>
          <w:szCs w:val="21"/>
        </w:rPr>
      </w:pP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项目名称</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采购人名称</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采购人地址</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采购人联系人及电话</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hint="eastAsia" w:ascii="Calibri" w:hAnsi="Calibri"/>
                <w:szCs w:val="21"/>
              </w:rPr>
              <w:t>服务</w:t>
            </w:r>
            <w:r>
              <w:rPr>
                <w:rFonts w:ascii="Calibri" w:hAnsi="Calibri"/>
                <w:szCs w:val="21"/>
              </w:rPr>
              <w:t>内容</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hint="eastAsia" w:ascii="Calibri" w:hAnsi="Calibri"/>
                <w:szCs w:val="21"/>
              </w:rPr>
              <w:t>服务</w:t>
            </w:r>
            <w:r>
              <w:rPr>
                <w:rFonts w:ascii="Calibri" w:hAnsi="Calibri"/>
                <w:szCs w:val="21"/>
              </w:rPr>
              <w:t>数量</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签约日期</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合同价格</w:t>
            </w:r>
          </w:p>
        </w:tc>
        <w:tc>
          <w:tcPr>
            <w:tcW w:w="6429" w:type="dxa"/>
            <w:vAlign w:val="center"/>
          </w:tcPr>
          <w:p>
            <w:pPr>
              <w:jc w:val="center"/>
              <w:rPr>
                <w:rFonts w:ascii="Calibri" w:hAnsi="Calibri"/>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pPr>
              <w:jc w:val="center"/>
              <w:rPr>
                <w:rFonts w:ascii="Calibri" w:hAnsi="Calibri"/>
                <w:szCs w:val="21"/>
              </w:rPr>
            </w:pPr>
            <w:r>
              <w:rPr>
                <w:rFonts w:ascii="Calibri" w:hAnsi="Calibri"/>
                <w:szCs w:val="21"/>
              </w:rPr>
              <w:t>备注</w:t>
            </w:r>
          </w:p>
        </w:tc>
        <w:tc>
          <w:tcPr>
            <w:tcW w:w="6429" w:type="dxa"/>
            <w:vAlign w:val="center"/>
          </w:tcPr>
          <w:p>
            <w:pPr>
              <w:jc w:val="center"/>
              <w:rPr>
                <w:rFonts w:ascii="Calibri" w:hAnsi="Calibri"/>
                <w:b/>
                <w:szCs w:val="21"/>
              </w:rPr>
            </w:pPr>
          </w:p>
        </w:tc>
      </w:tr>
    </w:tbl>
    <w:p>
      <w:pPr>
        <w:ind w:firstLine="315" w:firstLineChars="150"/>
        <w:jc w:val="left"/>
        <w:rPr>
          <w:rFonts w:ascii="Calibri" w:hAnsi="Calibri"/>
          <w:szCs w:val="21"/>
        </w:rPr>
      </w:pPr>
      <w:r>
        <w:rPr>
          <w:rFonts w:hint="eastAsia" w:ascii="Calibri" w:hAnsi="Calibri"/>
          <w:szCs w:val="21"/>
        </w:rPr>
        <w:t>备注：1.本表后须附类似业绩的证明资料（</w:t>
      </w:r>
      <w:r>
        <w:rPr>
          <w:rFonts w:hint="eastAsia" w:asciiTheme="minorEastAsia" w:hAnsiTheme="minorEastAsia"/>
          <w:spacing w:val="-2"/>
          <w:szCs w:val="21"/>
        </w:rPr>
        <w:t>需提供中标通知书</w:t>
      </w:r>
      <w:r>
        <w:rPr>
          <w:rFonts w:hint="eastAsia" w:asciiTheme="minorEastAsia" w:hAnsiTheme="minorEastAsia"/>
          <w:spacing w:val="-2"/>
          <w:szCs w:val="21"/>
          <w:lang w:eastAsia="zh-CN"/>
        </w:rPr>
        <w:t>或</w:t>
      </w:r>
      <w:r>
        <w:rPr>
          <w:rFonts w:hint="eastAsia" w:asciiTheme="minorEastAsia" w:hAnsiTheme="minorEastAsia"/>
          <w:spacing w:val="-2"/>
          <w:szCs w:val="21"/>
        </w:rPr>
        <w:t>合同。案例是以提供的投标单位自身合同为准，要求必须提供与最终用户签订的合同首页、合同金额所在页、主要服务内容页复印件作为证明</w:t>
      </w:r>
      <w:r>
        <w:rPr>
          <w:rFonts w:hint="eastAsia" w:ascii="Calibri" w:hAnsi="Calibri"/>
          <w:szCs w:val="21"/>
        </w:rPr>
        <w:t>）</w:t>
      </w:r>
    </w:p>
    <w:p>
      <w:pPr>
        <w:ind w:firstLine="945" w:firstLineChars="450"/>
        <w:jc w:val="left"/>
        <w:rPr>
          <w:rFonts w:ascii="Calibri" w:hAnsi="Calibri"/>
          <w:szCs w:val="21"/>
        </w:rPr>
        <w:sectPr>
          <w:footerReference r:id="rId8" w:type="first"/>
          <w:pgSz w:w="11906" w:h="16838"/>
          <w:pgMar w:top="1386" w:right="1298" w:bottom="1134" w:left="799" w:header="709" w:footer="794" w:gutter="567"/>
          <w:cols w:space="720" w:num="1"/>
          <w:docGrid w:type="linesAndChars" w:linePitch="312" w:charSpace="0"/>
        </w:sectPr>
      </w:pPr>
      <w:r>
        <w:rPr>
          <w:rFonts w:hint="eastAsia" w:ascii="Calibri" w:hAnsi="Calibri"/>
          <w:szCs w:val="21"/>
        </w:rPr>
        <w:t>2.每张表格只填写一个项目信息，并标明序号。</w:t>
      </w:r>
    </w:p>
    <w:p>
      <w:pPr>
        <w:keepNext/>
        <w:keepLines/>
        <w:spacing w:line="360" w:lineRule="auto"/>
        <w:jc w:val="center"/>
        <w:outlineLvl w:val="1"/>
        <w:rPr>
          <w:rFonts w:ascii="Calibri" w:hAnsi="Calibri"/>
          <w:b/>
          <w:kern w:val="44"/>
          <w:szCs w:val="21"/>
        </w:rPr>
      </w:pPr>
      <w:bookmarkStart w:id="43" w:name="_Toc13995240"/>
      <w:bookmarkStart w:id="44" w:name="_Toc71135170"/>
      <w:r>
        <w:rPr>
          <w:rFonts w:hint="eastAsia" w:ascii="Calibri" w:hAnsi="Calibri"/>
          <w:b/>
          <w:kern w:val="44"/>
          <w:szCs w:val="21"/>
        </w:rPr>
        <w:t>九、服务承诺书</w:t>
      </w:r>
      <w:bookmarkEnd w:id="43"/>
      <w:bookmarkEnd w:id="44"/>
    </w:p>
    <w:p>
      <w:pPr>
        <w:spacing w:line="440" w:lineRule="exact"/>
        <w:jc w:val="left"/>
        <w:rPr>
          <w:rFonts w:ascii="Calibri" w:hAnsi="Calibri"/>
          <w:szCs w:val="21"/>
        </w:rPr>
      </w:pPr>
      <w:r>
        <w:rPr>
          <w:rFonts w:hint="eastAsia" w:ascii="Calibri" w:hAnsi="Calibri"/>
          <w:szCs w:val="21"/>
        </w:rPr>
        <w:tab/>
      </w:r>
      <w:r>
        <w:rPr>
          <w:rFonts w:hint="eastAsia" w:ascii="Calibri" w:hAnsi="Calibri"/>
          <w:szCs w:val="21"/>
        </w:rPr>
        <w:t>该承诺书格式及内容根据磋商文件由投标商自行确定：</w:t>
      </w:r>
    </w:p>
    <w:p>
      <w:pPr>
        <w:numPr>
          <w:ilvl w:val="0"/>
          <w:numId w:val="7"/>
        </w:numPr>
        <w:spacing w:line="440" w:lineRule="exact"/>
        <w:contextualSpacing/>
        <w:jc w:val="left"/>
        <w:rPr>
          <w:rFonts w:ascii="Calibri" w:hAnsi="Calibri"/>
          <w:kern w:val="0"/>
          <w:szCs w:val="21"/>
          <w:lang w:eastAsia="en-US" w:bidi="en-US"/>
        </w:rPr>
      </w:pPr>
      <w:r>
        <w:rPr>
          <w:rFonts w:hint="eastAsia" w:ascii="Calibri" w:hAnsi="Calibri"/>
          <w:kern w:val="0"/>
          <w:szCs w:val="21"/>
          <w:lang w:bidi="en-US"/>
        </w:rPr>
        <w:t>..............</w:t>
      </w:r>
    </w:p>
    <w:p>
      <w:pPr>
        <w:numPr>
          <w:ilvl w:val="0"/>
          <w:numId w:val="7"/>
        </w:numPr>
        <w:spacing w:line="440" w:lineRule="exact"/>
        <w:contextualSpacing/>
        <w:jc w:val="left"/>
        <w:rPr>
          <w:rFonts w:ascii="Calibri" w:hAnsi="Calibri"/>
          <w:kern w:val="0"/>
          <w:szCs w:val="21"/>
          <w:lang w:eastAsia="en-US" w:bidi="en-US"/>
        </w:rPr>
      </w:pPr>
      <w:r>
        <w:rPr>
          <w:rFonts w:hint="eastAsia" w:ascii="Calibri" w:hAnsi="Calibri"/>
          <w:kern w:val="0"/>
          <w:szCs w:val="21"/>
          <w:lang w:bidi="en-US"/>
        </w:rPr>
        <w:t>..............</w:t>
      </w:r>
    </w:p>
    <w:p>
      <w:pPr>
        <w:numPr>
          <w:ilvl w:val="0"/>
          <w:numId w:val="7"/>
        </w:numPr>
        <w:spacing w:line="440" w:lineRule="exact"/>
        <w:contextualSpacing/>
        <w:jc w:val="left"/>
        <w:rPr>
          <w:rFonts w:ascii="Calibri" w:hAnsi="Calibri"/>
          <w:kern w:val="0"/>
          <w:szCs w:val="21"/>
          <w:lang w:eastAsia="en-US" w:bidi="en-US"/>
        </w:rPr>
      </w:pPr>
      <w:r>
        <w:rPr>
          <w:rFonts w:hint="eastAsia" w:ascii="Calibri" w:hAnsi="Calibri"/>
          <w:kern w:val="0"/>
          <w:szCs w:val="21"/>
          <w:lang w:bidi="en-US"/>
        </w:rPr>
        <w:t>..............</w:t>
      </w:r>
    </w:p>
    <w:p>
      <w:pPr>
        <w:spacing w:line="440" w:lineRule="exact"/>
        <w:jc w:val="left"/>
        <w:rPr>
          <w:rFonts w:ascii="Calibri" w:hAnsi="Calibri"/>
          <w:szCs w:val="21"/>
        </w:rPr>
      </w:pPr>
    </w:p>
    <w:p>
      <w:pPr>
        <w:spacing w:line="440" w:lineRule="exact"/>
        <w:jc w:val="left"/>
        <w:rPr>
          <w:rFonts w:ascii="Calibri" w:hAnsi="Calibri"/>
          <w:szCs w:val="21"/>
        </w:rPr>
      </w:pPr>
    </w:p>
    <w:p>
      <w:pPr>
        <w:spacing w:line="440" w:lineRule="exact"/>
        <w:jc w:val="left"/>
        <w:rPr>
          <w:rFonts w:ascii="Calibri" w:hAnsi="Calibri"/>
          <w:szCs w:val="21"/>
        </w:rPr>
      </w:pPr>
    </w:p>
    <w:p>
      <w:pPr>
        <w:spacing w:line="480" w:lineRule="auto"/>
        <w:ind w:firstLine="4200" w:firstLineChars="2000"/>
        <w:rPr>
          <w:rFonts w:ascii="Calibri" w:hAnsi="Calibri"/>
          <w:szCs w:val="21"/>
        </w:rPr>
      </w:pPr>
      <w:r>
        <w:rPr>
          <w:rFonts w:hint="eastAsia" w:ascii="Calibri" w:hAnsi="Calibri"/>
          <w:szCs w:val="21"/>
        </w:rPr>
        <w:t>供应商：（盖章）</w:t>
      </w:r>
    </w:p>
    <w:p>
      <w:pPr>
        <w:spacing w:line="480" w:lineRule="auto"/>
        <w:ind w:firstLine="4200" w:firstLineChars="2000"/>
        <w:rPr>
          <w:rFonts w:ascii="Calibri" w:hAnsi="Calibri"/>
          <w:szCs w:val="21"/>
        </w:rPr>
      </w:pPr>
      <w:r>
        <w:rPr>
          <w:rFonts w:hint="eastAsia" w:ascii="Calibri" w:hAnsi="Calibri"/>
          <w:szCs w:val="21"/>
        </w:rPr>
        <w:t>日期：年月日</w:t>
      </w:r>
    </w:p>
    <w:p>
      <w:pPr>
        <w:spacing w:line="440" w:lineRule="exact"/>
        <w:jc w:val="right"/>
        <w:rPr>
          <w:rFonts w:ascii="Calibri" w:hAnsi="Calibri"/>
          <w:szCs w:val="21"/>
        </w:rPr>
      </w:pPr>
      <w:r>
        <w:rPr>
          <w:rFonts w:ascii="Calibri" w:hAnsi="Calibri"/>
          <w:szCs w:val="21"/>
        </w:rPr>
        <w:br w:type="page"/>
      </w:r>
    </w:p>
    <w:p>
      <w:pPr>
        <w:keepNext/>
        <w:keepLines/>
        <w:spacing w:line="360" w:lineRule="auto"/>
        <w:jc w:val="center"/>
        <w:outlineLvl w:val="1"/>
        <w:rPr>
          <w:rFonts w:ascii="Calibri" w:hAnsi="Calibri"/>
          <w:b/>
          <w:kern w:val="44"/>
          <w:szCs w:val="21"/>
        </w:rPr>
      </w:pPr>
      <w:bookmarkStart w:id="45" w:name="_Toc13995241"/>
      <w:bookmarkStart w:id="46" w:name="_Toc71135171"/>
      <w:r>
        <w:rPr>
          <w:rFonts w:hint="eastAsia" w:ascii="Calibri" w:hAnsi="Calibri"/>
          <w:b/>
          <w:kern w:val="44"/>
          <w:szCs w:val="21"/>
        </w:rPr>
        <w:t>十、服务方案</w:t>
      </w:r>
      <w:bookmarkEnd w:id="45"/>
      <w:bookmarkEnd w:id="46"/>
    </w:p>
    <w:p>
      <w:pPr>
        <w:spacing w:line="440" w:lineRule="exact"/>
        <w:ind w:firstLine="420" w:firstLineChars="200"/>
        <w:jc w:val="left"/>
        <w:rPr>
          <w:rFonts w:ascii="Calibri" w:hAnsi="Calibri"/>
          <w:szCs w:val="21"/>
        </w:rPr>
        <w:sectPr>
          <w:pgSz w:w="11906" w:h="16838"/>
          <w:pgMar w:top="1418" w:right="1418" w:bottom="1418" w:left="1701" w:header="851" w:footer="992" w:gutter="0"/>
          <w:cols w:space="720" w:num="1"/>
          <w:titlePg/>
          <w:docGrid w:linePitch="332" w:charSpace="0"/>
        </w:sectPr>
      </w:pPr>
      <w:r>
        <w:rPr>
          <w:rFonts w:hint="eastAsia" w:ascii="Calibri" w:hAnsi="Calibri"/>
          <w:szCs w:val="21"/>
        </w:rPr>
        <w:t>供应商须提交拟完成本项目的服务方案，服务方案的格式和内容由供应商根据本项目的具体情况自行拟定，但包括但不限于：</w:t>
      </w:r>
      <w:r>
        <w:rPr>
          <w:rFonts w:hint="eastAsia" w:asciiTheme="majorEastAsia" w:hAnsiTheme="majorEastAsia" w:eastAsiaTheme="majorEastAsia"/>
          <w:bCs/>
          <w:szCs w:val="21"/>
        </w:rPr>
        <w:t>工作范围和任务目标的理解</w:t>
      </w:r>
      <w:r>
        <w:rPr>
          <w:rFonts w:hint="eastAsia" w:ascii="Calibri" w:hAnsi="Calibri"/>
          <w:szCs w:val="21"/>
        </w:rPr>
        <w:t>、</w:t>
      </w:r>
      <w:r>
        <w:rPr>
          <w:rFonts w:hint="eastAsia" w:asciiTheme="majorEastAsia" w:hAnsiTheme="majorEastAsia" w:eastAsiaTheme="majorEastAsia"/>
          <w:bCs/>
          <w:szCs w:val="21"/>
        </w:rPr>
        <w:t>服务质量及保证措施</w:t>
      </w:r>
      <w:r>
        <w:rPr>
          <w:rFonts w:hint="eastAsia" w:ascii="Calibri" w:hAnsi="Calibri"/>
          <w:szCs w:val="21"/>
        </w:rPr>
        <w:t>、信息化</w:t>
      </w:r>
      <w:r>
        <w:rPr>
          <w:rFonts w:hint="eastAsia" w:asciiTheme="majorEastAsia" w:hAnsiTheme="majorEastAsia" w:eastAsiaTheme="majorEastAsia"/>
          <w:bCs/>
          <w:szCs w:val="21"/>
        </w:rPr>
        <w:t>项目管理</w:t>
      </w:r>
      <w:r>
        <w:rPr>
          <w:rFonts w:hint="eastAsia" w:ascii="Calibri" w:hAnsi="Calibri"/>
          <w:szCs w:val="21"/>
        </w:rPr>
        <w:t>、</w:t>
      </w:r>
      <w:r>
        <w:rPr>
          <w:rFonts w:hint="eastAsia" w:cs="宋体" w:asciiTheme="majorEastAsia" w:hAnsiTheme="majorEastAsia" w:eastAsiaTheme="majorEastAsia"/>
          <w:szCs w:val="21"/>
        </w:rPr>
        <w:t>项目的重难点分析，能够提出合理化建议</w:t>
      </w:r>
      <w:r>
        <w:rPr>
          <w:rFonts w:hint="eastAsia" w:ascii="Calibri" w:hAnsi="Calibri"/>
          <w:szCs w:val="21"/>
        </w:rPr>
        <w:t>，格式自拟。</w:t>
      </w:r>
    </w:p>
    <w:p>
      <w:pPr>
        <w:widowControl/>
        <w:spacing w:after="200" w:line="440" w:lineRule="exact"/>
        <w:ind w:left="359" w:leftChars="171" w:firstLine="420" w:firstLineChars="200"/>
        <w:contextualSpacing/>
        <w:jc w:val="left"/>
        <w:rPr>
          <w:rFonts w:ascii="Calibri" w:hAnsi="Calibri"/>
          <w:kern w:val="0"/>
          <w:szCs w:val="21"/>
          <w:lang w:bidi="en-US"/>
        </w:rPr>
      </w:pPr>
    </w:p>
    <w:p>
      <w:pPr>
        <w:keepNext/>
        <w:keepLines/>
        <w:spacing w:before="156" w:beforeLines="50" w:after="156" w:afterLines="50" w:line="480" w:lineRule="auto"/>
        <w:ind w:left="466" w:leftChars="-67" w:hanging="607" w:hangingChars="288"/>
        <w:jc w:val="center"/>
        <w:outlineLvl w:val="1"/>
        <w:rPr>
          <w:rFonts w:ascii="Calibri" w:hAnsi="Calibri"/>
          <w:b/>
          <w:kern w:val="44"/>
          <w:szCs w:val="21"/>
        </w:rPr>
      </w:pPr>
      <w:bookmarkStart w:id="47" w:name="_Toc13995242"/>
      <w:bookmarkStart w:id="48" w:name="_Toc71135172"/>
      <w:r>
        <w:rPr>
          <w:rFonts w:hint="eastAsia" w:ascii="Calibri" w:hAnsi="Calibri"/>
          <w:b/>
          <w:kern w:val="44"/>
          <w:szCs w:val="21"/>
        </w:rPr>
        <w:t>十一、其它相关资料</w:t>
      </w:r>
      <w:bookmarkEnd w:id="47"/>
      <w:bookmarkEnd w:id="48"/>
    </w:p>
    <w:p>
      <w:pPr>
        <w:numPr>
          <w:ilvl w:val="0"/>
          <w:numId w:val="8"/>
        </w:numPr>
        <w:spacing w:line="360" w:lineRule="auto"/>
        <w:jc w:val="left"/>
        <w:rPr>
          <w:rFonts w:ascii="Calibri" w:hAnsi="Calibri"/>
          <w:szCs w:val="21"/>
        </w:rPr>
      </w:pPr>
      <w:r>
        <w:rPr>
          <w:rFonts w:hint="eastAsia" w:ascii="Calibri" w:hAnsi="Calibri"/>
          <w:szCs w:val="21"/>
        </w:rPr>
        <w:t>根据磋商文件的要求和供应商认为需要提供的资料</w:t>
      </w:r>
    </w:p>
    <w:p>
      <w:pPr>
        <w:ind w:left="360"/>
        <w:jc w:val="center"/>
        <w:rPr>
          <w:rFonts w:ascii="宋体" w:hAnsi="宋体" w:eastAsia="宋体" w:cs="宋体"/>
          <w:sz w:val="28"/>
          <w:szCs w:val="28"/>
        </w:rPr>
      </w:pPr>
      <w:r>
        <w:rPr>
          <w:rFonts w:ascii="Calibri" w:hAnsi="Calibri"/>
          <w:szCs w:val="21"/>
        </w:rPr>
        <w:br w:type="page"/>
      </w:r>
      <w:r>
        <w:rPr>
          <w:rFonts w:hint="eastAsia" w:ascii="宋体" w:hAnsi="宋体" w:eastAsia="宋体" w:cs="宋体"/>
          <w:sz w:val="28"/>
          <w:szCs w:val="28"/>
        </w:rPr>
        <w:t>第二部分　技术部分</w:t>
      </w:r>
    </w:p>
    <w:p>
      <w:pPr>
        <w:autoSpaceDE w:val="0"/>
        <w:autoSpaceDN w:val="0"/>
        <w:adjustRightInd w:val="0"/>
        <w:jc w:val="center"/>
        <w:outlineLvl w:val="0"/>
        <w:rPr>
          <w:rFonts w:cs="Times New Roman" w:asciiTheme="minorEastAsia" w:hAnsiTheme="minorEastAsia"/>
          <w:sz w:val="30"/>
          <w:szCs w:val="30"/>
        </w:rPr>
      </w:pPr>
      <w:r>
        <w:rPr>
          <w:rFonts w:hint="eastAsia" w:cs="Times New Roman" w:asciiTheme="minorEastAsia" w:hAnsiTheme="minorEastAsia"/>
          <w:sz w:val="30"/>
          <w:szCs w:val="30"/>
        </w:rPr>
        <w:t>第六章采购需求</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rPr>
      </w:pPr>
      <w:r>
        <w:rPr>
          <w:rFonts w:hint="eastAsia" w:ascii="宋体" w:hAnsi="宋体" w:eastAsia="宋体" w:cs="宋体"/>
          <w:b/>
          <w:kern w:val="0"/>
          <w:szCs w:val="21"/>
        </w:rPr>
        <w:t>一、监理内容</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监理主要内容包括但不限于：按GB/T 19668－2014《信息化项目监理规范》系列标准开展监理工作，配合哈巴河县住房和城乡建设局对哈巴河县城市管理服务平台建设项目所涉及全过程的需求调研、详细方案设计、开发测试、设备采购、系统集成实施和验收全过程监理。</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rPr>
      </w:pPr>
      <w:r>
        <w:rPr>
          <w:rFonts w:hint="eastAsia" w:ascii="宋体" w:hAnsi="宋体" w:eastAsia="宋体" w:cs="宋体"/>
          <w:b/>
          <w:kern w:val="0"/>
          <w:szCs w:val="21"/>
        </w:rPr>
        <w:t>二、监理目标</w:t>
      </w:r>
    </w:p>
    <w:p>
      <w:pPr>
        <w:spacing w:line="360" w:lineRule="auto"/>
        <w:ind w:firstLine="420" w:firstLineChars="200"/>
        <w:rPr>
          <w:rFonts w:ascii="宋体" w:hAnsi="宋体" w:eastAsia="宋体" w:cs="宋体"/>
          <w:szCs w:val="21"/>
        </w:rPr>
      </w:pPr>
      <w:r>
        <w:rPr>
          <w:rFonts w:hint="eastAsia" w:ascii="宋体" w:hAnsi="宋体" w:eastAsia="宋体" w:cs="宋体"/>
          <w:szCs w:val="21"/>
        </w:rPr>
        <w:t>根据合同的要求，按规定的质量、时间和费用完成合同约定的内容，避免各种风险对项目造成的不利影响。</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rPr>
      </w:pPr>
      <w:r>
        <w:rPr>
          <w:rFonts w:hint="eastAsia" w:ascii="宋体" w:hAnsi="宋体" w:eastAsia="宋体" w:cs="宋体"/>
          <w:b/>
          <w:kern w:val="0"/>
          <w:szCs w:val="21"/>
        </w:rPr>
        <w:t>三、监理依据</w:t>
      </w:r>
    </w:p>
    <w:p>
      <w:pPr>
        <w:spacing w:line="360" w:lineRule="auto"/>
        <w:ind w:firstLine="420" w:firstLineChars="200"/>
        <w:rPr>
          <w:rFonts w:ascii="宋体" w:hAnsi="宋体" w:eastAsia="宋体" w:cs="宋体"/>
          <w:szCs w:val="21"/>
        </w:rPr>
      </w:pPr>
      <w:r>
        <w:rPr>
          <w:rFonts w:hint="eastAsia" w:ascii="宋体" w:hAnsi="宋体" w:eastAsia="宋体" w:cs="宋体"/>
          <w:szCs w:val="21"/>
        </w:rPr>
        <w:t>《信息技术服务监理规范》系列标准(GB/T 19668.1-2014)</w:t>
      </w:r>
    </w:p>
    <w:p>
      <w:pPr>
        <w:spacing w:line="360" w:lineRule="auto"/>
        <w:ind w:firstLine="420" w:firstLineChars="200"/>
        <w:rPr>
          <w:rFonts w:ascii="宋体" w:hAnsi="宋体" w:eastAsia="宋体" w:cs="宋体"/>
          <w:szCs w:val="21"/>
        </w:rPr>
      </w:pPr>
      <w:r>
        <w:rPr>
          <w:rFonts w:hint="eastAsia" w:ascii="宋体" w:hAnsi="宋体" w:eastAsia="宋体" w:cs="宋体"/>
          <w:szCs w:val="21"/>
        </w:rPr>
        <w:t>《计算机软件需求规格说明规范》(GB/T 9385-2008)</w:t>
      </w:r>
    </w:p>
    <w:p>
      <w:pPr>
        <w:spacing w:line="360" w:lineRule="auto"/>
        <w:ind w:firstLine="420" w:firstLineChars="200"/>
        <w:rPr>
          <w:rFonts w:ascii="宋体" w:hAnsi="宋体" w:eastAsia="宋体" w:cs="宋体"/>
          <w:szCs w:val="21"/>
        </w:rPr>
      </w:pPr>
      <w:r>
        <w:rPr>
          <w:rFonts w:hint="eastAsia" w:ascii="宋体" w:hAnsi="宋体" w:eastAsia="宋体" w:cs="宋体"/>
          <w:szCs w:val="21"/>
        </w:rPr>
        <w:t>《计算机软件文档编制规范》(GB/T 8567-2006)</w:t>
      </w:r>
    </w:p>
    <w:p>
      <w:pPr>
        <w:spacing w:line="360" w:lineRule="auto"/>
        <w:ind w:firstLine="420" w:firstLineChars="200"/>
        <w:rPr>
          <w:rFonts w:ascii="宋体" w:hAnsi="宋体" w:eastAsia="宋体" w:cs="宋体"/>
          <w:szCs w:val="21"/>
        </w:rPr>
      </w:pPr>
      <w:r>
        <w:rPr>
          <w:rFonts w:hint="eastAsia" w:ascii="宋体" w:hAnsi="宋体" w:eastAsia="宋体" w:cs="宋体"/>
          <w:szCs w:val="21"/>
        </w:rPr>
        <w:t>《计算机软件测试文档编制规范》(GB/T 9386-2008)</w:t>
      </w:r>
    </w:p>
    <w:p>
      <w:pPr>
        <w:spacing w:line="360" w:lineRule="auto"/>
        <w:ind w:firstLine="420" w:firstLineChars="200"/>
        <w:rPr>
          <w:rFonts w:ascii="宋体" w:hAnsi="宋体" w:eastAsia="宋体" w:cs="宋体"/>
          <w:szCs w:val="21"/>
        </w:rPr>
      </w:pPr>
      <w:r>
        <w:rPr>
          <w:rFonts w:hint="eastAsia" w:ascii="宋体" w:hAnsi="宋体" w:eastAsia="宋体" w:cs="宋体"/>
          <w:szCs w:val="21"/>
        </w:rPr>
        <w:t>《信息技术 软件生存周期过程》(GB/T 8566-2007)</w:t>
      </w:r>
    </w:p>
    <w:p>
      <w:pPr>
        <w:spacing w:line="360" w:lineRule="auto"/>
        <w:ind w:firstLine="420" w:firstLineChars="200"/>
        <w:rPr>
          <w:rFonts w:ascii="宋体" w:hAnsi="宋体" w:eastAsia="宋体" w:cs="宋体"/>
          <w:szCs w:val="21"/>
        </w:rPr>
      </w:pPr>
      <w:r>
        <w:rPr>
          <w:rFonts w:hint="eastAsia" w:ascii="宋体" w:hAnsi="宋体" w:eastAsia="宋体" w:cs="宋体"/>
          <w:szCs w:val="21"/>
        </w:rPr>
        <w:t>《软件工程 产品质量》(GB/T 16260-2006)</w:t>
      </w:r>
    </w:p>
    <w:p>
      <w:pPr>
        <w:spacing w:line="360" w:lineRule="auto"/>
        <w:ind w:firstLine="420" w:firstLineChars="200"/>
        <w:rPr>
          <w:rFonts w:ascii="宋体" w:hAnsi="宋体" w:eastAsia="宋体" w:cs="宋体"/>
          <w:szCs w:val="21"/>
        </w:rPr>
      </w:pPr>
      <w:r>
        <w:rPr>
          <w:rFonts w:hint="eastAsia" w:ascii="宋体" w:hAnsi="宋体" w:eastAsia="宋体" w:cs="宋体"/>
          <w:szCs w:val="21"/>
        </w:rPr>
        <w:t>项目实施建设合同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项目所涉及的相关技术标准规范</w:t>
      </w:r>
    </w:p>
    <w:p>
      <w:pPr>
        <w:tabs>
          <w:tab w:val="left" w:pos="720"/>
        </w:tabs>
        <w:adjustRightInd w:val="0"/>
        <w:spacing w:line="360" w:lineRule="auto"/>
        <w:ind w:firstLine="422" w:firstLineChars="200"/>
        <w:jc w:val="left"/>
        <w:textAlignment w:val="baseline"/>
        <w:outlineLvl w:val="3"/>
        <w:rPr>
          <w:rFonts w:ascii="宋体" w:hAnsi="宋体" w:eastAsia="宋体" w:cs="宋体"/>
          <w:b/>
          <w:kern w:val="0"/>
          <w:szCs w:val="21"/>
        </w:rPr>
      </w:pPr>
      <w:r>
        <w:rPr>
          <w:rFonts w:hint="eastAsia" w:ascii="宋体" w:hAnsi="宋体" w:eastAsia="宋体" w:cs="宋体"/>
          <w:b/>
          <w:kern w:val="0"/>
          <w:szCs w:val="21"/>
        </w:rPr>
        <w:t>四、服务内容</w:t>
      </w:r>
    </w:p>
    <w:p>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依</w:t>
      </w:r>
      <w:r>
        <w:rPr>
          <w:rFonts w:hint="eastAsia" w:ascii="宋体" w:hAnsi="宋体" w:eastAsia="宋体" w:cs="宋体"/>
          <w:spacing w:val="-6"/>
          <w:szCs w:val="21"/>
        </w:rPr>
        <w:t>据项目监理有关</w:t>
      </w:r>
      <w:r>
        <w:rPr>
          <w:rFonts w:hint="eastAsia" w:ascii="宋体" w:hAnsi="宋体" w:eastAsia="宋体" w:cs="宋体"/>
          <w:szCs w:val="21"/>
        </w:rPr>
        <w:t>要求，完成以下工作，具体服务内容包括但不限于以下内容：</w:t>
      </w:r>
    </w:p>
    <w:p>
      <w:pPr>
        <w:spacing w:line="360" w:lineRule="auto"/>
        <w:ind w:firstLine="420" w:firstLineChars="200"/>
        <w:rPr>
          <w:rFonts w:ascii="宋体" w:hAnsi="宋体" w:eastAsia="宋体" w:cs="宋体"/>
          <w:szCs w:val="21"/>
        </w:rPr>
      </w:pPr>
      <w:r>
        <w:rPr>
          <w:rFonts w:hint="eastAsia" w:ascii="宋体" w:hAnsi="宋体" w:eastAsia="宋体" w:cs="宋体"/>
          <w:szCs w:val="21"/>
        </w:rPr>
        <w:t>1.项目组织及技术总体方案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根据项目实施的不同阶段，有针对性的制定质量计划、风险管理计划、沟通计划、进度控制计划等，并规范项目管理。对项目管理中的关键点进行技术、质量、进度的把关，以保证项目建设更加规范、科学，达到全过程控制。审核监督确认中标承建单位总体技术方案、实施方案、各种关键技术方案、项目质量保证计划、项目质量控制体系、配置管理方案、测试方案、项目进度计划、进度控制节点等，明确项目质量控制的关键性环节。</w:t>
      </w:r>
    </w:p>
    <w:p>
      <w:pPr>
        <w:spacing w:line="360" w:lineRule="auto"/>
        <w:ind w:firstLine="420" w:firstLineChars="200"/>
        <w:rPr>
          <w:rFonts w:ascii="宋体" w:hAnsi="宋体" w:eastAsia="宋体" w:cs="宋体"/>
          <w:szCs w:val="21"/>
        </w:rPr>
      </w:pPr>
      <w:r>
        <w:rPr>
          <w:rFonts w:hint="eastAsia" w:ascii="宋体" w:hAnsi="宋体" w:eastAsia="宋体" w:cs="宋体"/>
          <w:szCs w:val="21"/>
        </w:rPr>
        <w:t>2.项目质量控制</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监理单位通过标准规范约束承建单位开展项目实施，确保项目建设质量达到合同要求。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（1）采取事前预防、事中控制、事后纠正的监理方式，依据国家法律、法规、标准以及项目合同、设计方案、监理规范、监理实施细则等文件，控制项目总体项目质量；</w:t>
      </w:r>
    </w:p>
    <w:p>
      <w:pPr>
        <w:spacing w:line="360" w:lineRule="auto"/>
        <w:ind w:firstLine="420" w:firstLineChars="200"/>
        <w:rPr>
          <w:rFonts w:ascii="宋体" w:hAnsi="宋体" w:eastAsia="宋体" w:cs="宋体"/>
          <w:szCs w:val="21"/>
        </w:rPr>
      </w:pPr>
      <w:r>
        <w:rPr>
          <w:rFonts w:hint="eastAsia" w:ascii="宋体" w:hAnsi="宋体" w:eastAsia="宋体" w:cs="宋体"/>
          <w:szCs w:val="21"/>
        </w:rPr>
        <w:t>（2）根据项目的特点，制定包括验收标准、验收方法和质量控制措施在内的详细监理服务方案；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（3）编制重大质量问题的处理预案，包括系统建设过程中可能出现的重大质量问题的处理预案；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（4）组织项目质量问题的原因调查、分析、评估和处理；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（5）组织系统建设质量检查、测试和验收；</w:t>
      </w:r>
    </w:p>
    <w:p>
      <w:pPr>
        <w:spacing w:line="360" w:lineRule="auto"/>
        <w:ind w:firstLine="420" w:firstLineChars="200"/>
        <w:rPr>
          <w:rFonts w:ascii="宋体" w:hAnsi="宋体" w:eastAsia="宋体" w:cs="宋体"/>
          <w:szCs w:val="21"/>
        </w:rPr>
      </w:pPr>
      <w:r>
        <w:rPr>
          <w:rFonts w:hint="eastAsia" w:ascii="宋体" w:hAnsi="宋体" w:eastAsia="宋体" w:cs="宋体"/>
          <w:szCs w:val="21"/>
        </w:rPr>
        <w:t>（6）督促承建单位整改项目存在的问题；</w:t>
      </w:r>
    </w:p>
    <w:p>
      <w:pPr>
        <w:spacing w:line="360" w:lineRule="auto"/>
        <w:ind w:firstLine="420" w:firstLineChars="200"/>
        <w:rPr>
          <w:rFonts w:ascii="宋体" w:hAnsi="宋体" w:eastAsia="宋体" w:cs="宋体"/>
          <w:szCs w:val="21"/>
        </w:rPr>
      </w:pPr>
      <w:r>
        <w:rPr>
          <w:rFonts w:hint="eastAsia" w:ascii="宋体" w:hAnsi="宋体" w:eastAsia="宋体" w:cs="宋体"/>
          <w:szCs w:val="21"/>
        </w:rPr>
        <w:t>（7）参与项目验收和交接；</w:t>
      </w:r>
    </w:p>
    <w:p>
      <w:pPr>
        <w:spacing w:line="360" w:lineRule="auto"/>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）技术培训质量控制：审核确认承建单位的培训计划；监督承建单位实施其培训计划，并征求用户的反馈意见；审核确认承建单位的培训总结报告。</w:t>
      </w:r>
    </w:p>
    <w:p>
      <w:pPr>
        <w:spacing w:line="360" w:lineRule="auto"/>
        <w:ind w:firstLine="420" w:firstLineChars="200"/>
        <w:rPr>
          <w:rFonts w:ascii="宋体" w:hAnsi="宋体" w:eastAsia="宋体" w:cs="宋体"/>
          <w:szCs w:val="21"/>
        </w:rPr>
      </w:pPr>
      <w:r>
        <w:rPr>
          <w:rFonts w:hint="eastAsia" w:ascii="宋体" w:hAnsi="宋体" w:eastAsia="宋体" w:cs="宋体"/>
          <w:szCs w:val="21"/>
        </w:rPr>
        <w:t>3.项目进度控制</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监理单位通过标准规范约束承建单位开展项目实施，确保项目进度达到合同要求。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（1）审查各子项目建设进度计划，监督计划执行；</w:t>
      </w:r>
    </w:p>
    <w:p>
      <w:pPr>
        <w:spacing w:line="360" w:lineRule="auto"/>
        <w:ind w:firstLine="420" w:firstLineChars="200"/>
        <w:rPr>
          <w:rFonts w:ascii="宋体" w:hAnsi="宋体" w:eastAsia="宋体" w:cs="宋体"/>
          <w:szCs w:val="21"/>
        </w:rPr>
      </w:pPr>
      <w:r>
        <w:rPr>
          <w:rFonts w:hint="eastAsia" w:ascii="宋体" w:hAnsi="宋体" w:eastAsia="宋体" w:cs="宋体"/>
          <w:szCs w:val="21"/>
        </w:rPr>
        <w:t>（2）采用先进项目管理工具确定各子项目建设工序，监督项目建设进度；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（3）发现项目建设进程未能按计划进行时，要求承建单位调整或修改计划，采取必要措施加快进度，使实际建设进度符合合同要求；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（4）当项目建设进度拖后可能导致合同工期严重延误时，须作详细报告分析原因并提出对策，为采购人采取措施和做出决定提供参考。</w:t>
      </w:r>
    </w:p>
    <w:p>
      <w:pPr>
        <w:spacing w:line="360" w:lineRule="auto"/>
        <w:ind w:firstLine="420" w:firstLineChars="200"/>
        <w:rPr>
          <w:rFonts w:ascii="宋体" w:hAnsi="宋体" w:eastAsia="宋体" w:cs="宋体"/>
          <w:szCs w:val="21"/>
        </w:rPr>
      </w:pPr>
      <w:r>
        <w:rPr>
          <w:rFonts w:hint="eastAsia" w:ascii="宋体" w:hAnsi="宋体" w:eastAsia="宋体" w:cs="宋体"/>
          <w:szCs w:val="21"/>
        </w:rPr>
        <w:t>4.项目投资控制</w:t>
      </w:r>
    </w:p>
    <w:p>
      <w:pPr>
        <w:spacing w:line="360" w:lineRule="auto"/>
        <w:ind w:firstLine="420" w:firstLineChars="200"/>
        <w:rPr>
          <w:rFonts w:ascii="宋体" w:hAnsi="宋体" w:eastAsia="宋体" w:cs="宋体"/>
          <w:szCs w:val="21"/>
        </w:rPr>
      </w:pPr>
      <w:r>
        <w:rPr>
          <w:rFonts w:hint="eastAsia" w:ascii="宋体" w:hAnsi="宋体" w:eastAsia="宋体" w:cs="宋体"/>
          <w:szCs w:val="21"/>
        </w:rPr>
        <w:t>监理单位通过标准规范约束承建单位开展项目实施，确保项目建设投资符合合同要求。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（1）通过对总体建设方案和项目实施方案的评估和优化，合理控制投资；</w:t>
      </w:r>
    </w:p>
    <w:p>
      <w:pPr>
        <w:spacing w:line="360" w:lineRule="auto"/>
        <w:ind w:firstLine="420" w:firstLineChars="200"/>
        <w:rPr>
          <w:rFonts w:ascii="宋体" w:hAnsi="宋体" w:eastAsia="宋体" w:cs="宋体"/>
          <w:szCs w:val="21"/>
        </w:rPr>
      </w:pPr>
      <w:r>
        <w:rPr>
          <w:rFonts w:hint="eastAsia" w:ascii="宋体" w:hAnsi="宋体" w:eastAsia="宋体" w:cs="宋体"/>
          <w:szCs w:val="21"/>
        </w:rPr>
        <w:t>（2）审查建设进度款申报，协助采购人将付款进度与项目质量结合起来；严格控制和审查项目变更，核算成本和变化量，报采购人审批；审核项目量清单及造价和项目决算等；</w:t>
      </w:r>
    </w:p>
    <w:p>
      <w:pPr>
        <w:spacing w:line="360" w:lineRule="auto"/>
        <w:ind w:firstLine="420" w:firstLineChars="200"/>
        <w:rPr>
          <w:rFonts w:ascii="宋体" w:hAnsi="宋体" w:eastAsia="宋体" w:cs="宋体"/>
          <w:szCs w:val="21"/>
        </w:rPr>
      </w:pPr>
      <w:r>
        <w:rPr>
          <w:rFonts w:hint="eastAsia" w:ascii="宋体" w:hAnsi="宋体" w:eastAsia="宋体" w:cs="宋体"/>
          <w:szCs w:val="21"/>
        </w:rPr>
        <w:t>（3）负责项目决算初审工作，并及时将审核结果上报采购人。</w:t>
      </w:r>
    </w:p>
    <w:p>
      <w:pPr>
        <w:spacing w:line="360" w:lineRule="auto"/>
        <w:ind w:firstLine="420" w:firstLineChars="200"/>
        <w:rPr>
          <w:rFonts w:ascii="宋体" w:hAnsi="宋体" w:eastAsia="宋体" w:cs="宋体"/>
          <w:szCs w:val="21"/>
        </w:rPr>
      </w:pPr>
      <w:r>
        <w:rPr>
          <w:rFonts w:hint="eastAsia" w:ascii="宋体" w:hAnsi="宋体" w:eastAsia="宋体" w:cs="宋体"/>
          <w:szCs w:val="21"/>
        </w:rPr>
        <w:t>5.项目合同管理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有效地进行合同管理，在项目建设过程中，监理单位根据合同明确采购人和承建单位各自的责任、权利和利益，保证合同执行的公正性；还须及时向采购人通报合同变更的情况，协助保持合同、协议及其附件内容的有效性、一致性；监督合同执行情况，定期向采购人、承建单位通报合同执行情况。</w:t>
      </w:r>
    </w:p>
    <w:p>
      <w:pPr>
        <w:spacing w:line="360" w:lineRule="auto"/>
        <w:ind w:firstLine="420" w:firstLineChars="200"/>
        <w:rPr>
          <w:rFonts w:ascii="宋体" w:hAnsi="宋体" w:eastAsia="宋体" w:cs="宋体"/>
          <w:szCs w:val="21"/>
        </w:rPr>
      </w:pPr>
      <w:r>
        <w:rPr>
          <w:rFonts w:hint="eastAsia" w:ascii="宋体" w:hAnsi="宋体" w:eastAsia="宋体" w:cs="宋体"/>
          <w:szCs w:val="21"/>
        </w:rPr>
        <w:t>（1）负责为采购人草拟项目相关合同；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（2）协助采购人与承建单位签订合同；</w:t>
      </w:r>
    </w:p>
    <w:p>
      <w:pPr>
        <w:spacing w:line="360" w:lineRule="auto"/>
        <w:ind w:firstLine="420" w:firstLineChars="200"/>
        <w:rPr>
          <w:rFonts w:ascii="宋体" w:hAnsi="宋体" w:eastAsia="宋体" w:cs="宋体"/>
          <w:szCs w:val="21"/>
        </w:rPr>
      </w:pPr>
      <w:r>
        <w:rPr>
          <w:rFonts w:hint="eastAsia" w:ascii="宋体" w:hAnsi="宋体" w:eastAsia="宋体" w:cs="宋体"/>
          <w:szCs w:val="21"/>
        </w:rPr>
        <w:t>（3）监督检查承建单位履行合同，确保承建单位按时履约；</w:t>
      </w:r>
    </w:p>
    <w:p>
      <w:pPr>
        <w:spacing w:line="360" w:lineRule="auto"/>
        <w:ind w:firstLine="420" w:firstLineChars="200"/>
        <w:rPr>
          <w:rFonts w:ascii="宋体" w:hAnsi="宋体" w:eastAsia="宋体" w:cs="宋体"/>
          <w:szCs w:val="21"/>
        </w:rPr>
      </w:pPr>
      <w:r>
        <w:rPr>
          <w:rFonts w:hint="eastAsia" w:ascii="宋体" w:hAnsi="宋体" w:eastAsia="宋体" w:cs="宋体"/>
          <w:szCs w:val="21"/>
        </w:rPr>
        <w:t>（4）协助采购人处理项目实施过程中变更、违约、索赔、延期、分包、纠纷调解及仲裁等问题，任何变更都要得到采购人书面确认；</w:t>
      </w:r>
    </w:p>
    <w:p>
      <w:pPr>
        <w:spacing w:line="360" w:lineRule="auto"/>
        <w:ind w:firstLine="420" w:firstLineChars="200"/>
        <w:rPr>
          <w:rFonts w:ascii="宋体" w:hAnsi="宋体" w:eastAsia="宋体" w:cs="宋体"/>
          <w:szCs w:val="21"/>
        </w:rPr>
      </w:pPr>
      <w:r>
        <w:rPr>
          <w:rFonts w:hint="eastAsia" w:ascii="宋体" w:hAnsi="宋体" w:eastAsia="宋体" w:cs="宋体"/>
          <w:szCs w:val="21"/>
        </w:rPr>
        <w:t>（5）对合同工期的延误和延期进行审核确认；</w:t>
      </w:r>
    </w:p>
    <w:p>
      <w:pPr>
        <w:spacing w:line="360" w:lineRule="auto"/>
        <w:ind w:firstLine="420" w:firstLineChars="200"/>
        <w:rPr>
          <w:rFonts w:ascii="宋体" w:hAnsi="宋体" w:eastAsia="宋体" w:cs="宋体"/>
          <w:szCs w:val="21"/>
        </w:rPr>
      </w:pPr>
      <w:r>
        <w:rPr>
          <w:rFonts w:hint="eastAsia" w:ascii="宋体" w:hAnsi="宋体" w:eastAsia="宋体" w:cs="宋体"/>
          <w:szCs w:val="21"/>
        </w:rPr>
        <w:t>（6）对项目暂停、复工等事宜进行审核确认。</w:t>
      </w:r>
    </w:p>
    <w:p>
      <w:pPr>
        <w:spacing w:line="360" w:lineRule="auto"/>
        <w:ind w:firstLine="420" w:firstLineChars="200"/>
        <w:rPr>
          <w:rFonts w:ascii="宋体" w:hAnsi="宋体" w:eastAsia="宋体" w:cs="宋体"/>
          <w:szCs w:val="21"/>
        </w:rPr>
      </w:pPr>
      <w:r>
        <w:rPr>
          <w:rFonts w:hint="eastAsia" w:ascii="宋体" w:hAnsi="宋体" w:eastAsia="宋体" w:cs="宋体"/>
          <w:szCs w:val="21"/>
        </w:rPr>
        <w:t>6.信息管理/项目文档管理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有效地进行项目文档管理，妥善管理整个项目过程中所产生的监理文档资料，监督承建单位按照既定的要求编制相应的项目文档。 </w:t>
      </w:r>
    </w:p>
    <w:p>
      <w:pPr>
        <w:spacing w:line="360" w:lineRule="auto"/>
        <w:ind w:firstLine="420" w:firstLineChars="200"/>
        <w:rPr>
          <w:rFonts w:ascii="宋体" w:hAnsi="宋体" w:eastAsia="宋体" w:cs="宋体"/>
          <w:szCs w:val="21"/>
        </w:rPr>
      </w:pPr>
      <w:r>
        <w:rPr>
          <w:rFonts w:hint="eastAsia" w:ascii="宋体" w:hAnsi="宋体" w:eastAsia="宋体" w:cs="宋体"/>
          <w:szCs w:val="21"/>
        </w:rPr>
        <w:t>（1）及时向采购人报告项目动态和监理工作情况；</w:t>
      </w:r>
    </w:p>
    <w:p>
      <w:pPr>
        <w:spacing w:line="360" w:lineRule="auto"/>
        <w:ind w:firstLine="420" w:firstLineChars="200"/>
        <w:rPr>
          <w:rFonts w:ascii="宋体" w:hAnsi="宋体" w:eastAsia="宋体" w:cs="宋体"/>
          <w:szCs w:val="21"/>
        </w:rPr>
      </w:pPr>
      <w:r>
        <w:rPr>
          <w:rFonts w:hint="eastAsia" w:ascii="宋体" w:hAnsi="宋体" w:eastAsia="宋体" w:cs="宋体"/>
          <w:szCs w:val="21"/>
        </w:rPr>
        <w:t>（2）建立全面、准确反映项目各阶段项目状况的图表、文档，收集管理项目各类文档和资料；</w:t>
      </w:r>
    </w:p>
    <w:p>
      <w:pPr>
        <w:spacing w:line="360" w:lineRule="auto"/>
        <w:ind w:firstLine="420" w:firstLineChars="200"/>
        <w:rPr>
          <w:rFonts w:ascii="宋体" w:hAnsi="宋体" w:eastAsia="宋体" w:cs="宋体"/>
          <w:szCs w:val="21"/>
        </w:rPr>
      </w:pPr>
      <w:r>
        <w:rPr>
          <w:rFonts w:hint="eastAsia" w:ascii="宋体" w:hAnsi="宋体" w:eastAsia="宋体" w:cs="宋体"/>
          <w:szCs w:val="21"/>
        </w:rPr>
        <w:t>（3）督促、检查承建单位及时完成各阶段资料整理和归档工作，确保各类资料必须符合国家规范格式；</w:t>
      </w:r>
    </w:p>
    <w:p>
      <w:pPr>
        <w:spacing w:line="360" w:lineRule="auto"/>
        <w:ind w:firstLine="420" w:firstLineChars="200"/>
        <w:rPr>
          <w:rFonts w:ascii="宋体" w:hAnsi="宋体" w:eastAsia="宋体" w:cs="宋体"/>
          <w:szCs w:val="21"/>
        </w:rPr>
      </w:pPr>
      <w:r>
        <w:rPr>
          <w:rFonts w:hint="eastAsia" w:ascii="宋体" w:hAnsi="宋体" w:eastAsia="宋体" w:cs="宋体"/>
          <w:szCs w:val="21"/>
        </w:rPr>
        <w:t>（4）转发采购人发出的一切指令、通知和业务要求；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（5）采用图表、统计技术或其他先进的管理方法，定期公布项目质量、进度、成本数据，就项目中存在或出现的问题向采购人、承建单位提出合理化意见和解决方案；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（6）当项目建设出现质量问题或严重偏离计划时，应及时向采购人报告，并提出对策建议，同时督促承建单位尽快采取措施予以整改；</w:t>
      </w:r>
    </w:p>
    <w:p>
      <w:pPr>
        <w:spacing w:line="360" w:lineRule="auto"/>
        <w:ind w:firstLine="420" w:firstLineChars="200"/>
        <w:rPr>
          <w:rFonts w:ascii="宋体" w:hAnsi="宋体" w:eastAsia="宋体" w:cs="宋体"/>
          <w:szCs w:val="21"/>
        </w:rPr>
      </w:pPr>
      <w:r>
        <w:rPr>
          <w:rFonts w:hint="eastAsia" w:ascii="宋体" w:hAnsi="宋体" w:eastAsia="宋体" w:cs="宋体"/>
          <w:szCs w:val="21"/>
        </w:rPr>
        <w:t>（7）根据采购人要求完善相应的项目文档管理；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（8）做好监理日记及项目大事记；</w:t>
      </w:r>
    </w:p>
    <w:p>
      <w:pPr>
        <w:spacing w:line="360" w:lineRule="auto"/>
        <w:ind w:firstLine="420" w:firstLineChars="200"/>
        <w:rPr>
          <w:rFonts w:ascii="宋体" w:hAnsi="宋体" w:eastAsia="宋体" w:cs="宋体"/>
          <w:szCs w:val="21"/>
        </w:rPr>
      </w:pPr>
      <w:r>
        <w:rPr>
          <w:rFonts w:hint="eastAsia" w:ascii="宋体" w:hAnsi="宋体" w:eastAsia="宋体" w:cs="宋体"/>
          <w:szCs w:val="21"/>
        </w:rPr>
        <w:t>（9）做好项目协调会、技术专题会等项目相关会议的会议纪要；</w:t>
      </w:r>
    </w:p>
    <w:p>
      <w:pPr>
        <w:spacing w:line="360" w:lineRule="auto"/>
        <w:ind w:firstLine="420" w:firstLineChars="200"/>
        <w:rPr>
          <w:rFonts w:ascii="宋体" w:hAnsi="宋体" w:eastAsia="宋体" w:cs="宋体"/>
          <w:szCs w:val="21"/>
        </w:rPr>
      </w:pPr>
      <w:r>
        <w:rPr>
          <w:rFonts w:hint="eastAsia" w:ascii="宋体" w:hAnsi="宋体" w:eastAsia="宋体" w:cs="宋体"/>
          <w:szCs w:val="21"/>
        </w:rPr>
        <w:t>（10）提交验收所需全部资料并汇编成册；包括项目周报、月报、阶段总结等过程文件。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7.项目安全管理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（1）确立项目建设安全监管制度体系和工作目标；</w:t>
      </w:r>
    </w:p>
    <w:p>
      <w:pPr>
        <w:spacing w:line="360" w:lineRule="auto"/>
        <w:ind w:firstLine="420" w:firstLineChars="200"/>
        <w:rPr>
          <w:rFonts w:ascii="宋体" w:hAnsi="宋体" w:eastAsia="宋体" w:cs="宋体"/>
          <w:szCs w:val="21"/>
        </w:rPr>
      </w:pPr>
      <w:r>
        <w:rPr>
          <w:rFonts w:hint="eastAsia" w:ascii="宋体" w:hAnsi="宋体" w:eastAsia="宋体" w:cs="宋体"/>
          <w:szCs w:val="21"/>
        </w:rPr>
        <w:t>（2）审核项目建设安全保密方案；</w:t>
      </w:r>
    </w:p>
    <w:p>
      <w:pPr>
        <w:spacing w:line="360" w:lineRule="auto"/>
        <w:ind w:firstLine="420" w:firstLineChars="200"/>
        <w:rPr>
          <w:rFonts w:ascii="宋体" w:hAnsi="宋体" w:eastAsia="宋体" w:cs="宋体"/>
          <w:szCs w:val="21"/>
        </w:rPr>
      </w:pPr>
      <w:r>
        <w:rPr>
          <w:rFonts w:hint="eastAsia" w:ascii="宋体" w:hAnsi="宋体" w:eastAsia="宋体" w:cs="宋体"/>
          <w:szCs w:val="21"/>
        </w:rPr>
        <w:t>（3）负责项目建设过程中安全控制，防止出现安全事故；</w:t>
      </w:r>
    </w:p>
    <w:p>
      <w:pPr>
        <w:spacing w:line="360" w:lineRule="auto"/>
        <w:ind w:firstLine="420" w:firstLineChars="200"/>
        <w:rPr>
          <w:rFonts w:ascii="宋体" w:hAnsi="宋体" w:eastAsia="宋体" w:cs="宋体"/>
          <w:szCs w:val="21"/>
        </w:rPr>
      </w:pPr>
      <w:r>
        <w:rPr>
          <w:rFonts w:hint="eastAsia" w:ascii="宋体" w:hAnsi="宋体" w:eastAsia="宋体" w:cs="宋体"/>
          <w:szCs w:val="21"/>
        </w:rPr>
        <w:t>（4）检查督促承建单位建立完善安全生产制度；</w:t>
      </w:r>
    </w:p>
    <w:p>
      <w:pPr>
        <w:spacing w:line="360" w:lineRule="auto"/>
        <w:ind w:firstLine="420" w:firstLineChars="200"/>
        <w:rPr>
          <w:rFonts w:ascii="宋体" w:hAnsi="宋体" w:eastAsia="宋体" w:cs="宋体"/>
          <w:szCs w:val="21"/>
        </w:rPr>
      </w:pPr>
      <w:r>
        <w:rPr>
          <w:rFonts w:hint="eastAsia" w:ascii="宋体" w:hAnsi="宋体" w:eastAsia="宋体" w:cs="宋体"/>
          <w:szCs w:val="21"/>
        </w:rPr>
        <w:t>（5）排查与处理项目建设安全隐患。</w:t>
      </w:r>
    </w:p>
    <w:p>
      <w:pPr>
        <w:spacing w:line="360" w:lineRule="auto"/>
        <w:ind w:firstLine="420" w:firstLineChars="200"/>
        <w:rPr>
          <w:rFonts w:ascii="宋体" w:hAnsi="宋体" w:eastAsia="宋体" w:cs="宋体"/>
          <w:szCs w:val="21"/>
        </w:rPr>
      </w:pPr>
      <w:r>
        <w:rPr>
          <w:rFonts w:hint="eastAsia" w:ascii="宋体" w:hAnsi="宋体" w:eastAsia="宋体" w:cs="宋体"/>
          <w:szCs w:val="21"/>
        </w:rPr>
        <w:t>8.项目知识产权的管理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（1）负责项目建设过程中所产生成果的知识产权保护，防止被非授权使用；</w:t>
      </w:r>
    </w:p>
    <w:p>
      <w:pPr>
        <w:spacing w:line="360" w:lineRule="auto"/>
        <w:ind w:firstLine="420" w:firstLineChars="200"/>
        <w:rPr>
          <w:rFonts w:ascii="宋体" w:hAnsi="宋体" w:eastAsia="宋体" w:cs="宋体"/>
          <w:szCs w:val="21"/>
        </w:rPr>
      </w:pPr>
      <w:r>
        <w:rPr>
          <w:rFonts w:hint="eastAsia" w:ascii="宋体" w:hAnsi="宋体" w:eastAsia="宋体" w:cs="宋体"/>
          <w:szCs w:val="21"/>
        </w:rPr>
        <w:t>（2）负责项目建设过程中涉及知识产权的产品和系统的使用审核，确保不在本项目建设中出现侵犯知识产权的行为。</w:t>
      </w:r>
    </w:p>
    <w:p>
      <w:pPr>
        <w:spacing w:line="360" w:lineRule="auto"/>
        <w:ind w:firstLine="420" w:firstLineChars="200"/>
        <w:rPr>
          <w:rFonts w:ascii="宋体" w:hAnsi="宋体" w:eastAsia="宋体" w:cs="宋体"/>
          <w:szCs w:val="21"/>
        </w:rPr>
      </w:pPr>
      <w:r>
        <w:rPr>
          <w:rFonts w:hint="eastAsia" w:ascii="宋体" w:hAnsi="宋体" w:eastAsia="宋体" w:cs="宋体"/>
          <w:szCs w:val="21"/>
        </w:rPr>
        <w:t>9.项目协调和组织</w:t>
      </w:r>
    </w:p>
    <w:p>
      <w:pPr>
        <w:spacing w:line="360" w:lineRule="auto"/>
        <w:ind w:firstLine="420" w:firstLineChars="200"/>
        <w:rPr>
          <w:rFonts w:ascii="宋体" w:hAnsi="宋体" w:eastAsia="宋体" w:cs="宋体"/>
          <w:szCs w:val="21"/>
        </w:rPr>
      </w:pPr>
      <w:r>
        <w:rPr>
          <w:rFonts w:hint="eastAsia" w:ascii="宋体" w:hAnsi="宋体" w:eastAsia="宋体" w:cs="宋体"/>
          <w:szCs w:val="21"/>
        </w:rPr>
        <w:t>协调和保障采购人及承建单位进行良好的合作。</w:t>
      </w:r>
    </w:p>
    <w:p>
      <w:pPr>
        <w:spacing w:line="360" w:lineRule="auto"/>
        <w:ind w:firstLine="420" w:firstLineChars="200"/>
        <w:rPr>
          <w:rFonts w:ascii="宋体" w:hAnsi="宋体" w:eastAsia="宋体" w:cs="宋体"/>
          <w:szCs w:val="21"/>
        </w:rPr>
      </w:pPr>
      <w:r>
        <w:rPr>
          <w:rFonts w:hint="eastAsia" w:ascii="宋体" w:hAnsi="宋体" w:eastAsia="宋体" w:cs="宋体"/>
          <w:szCs w:val="21"/>
        </w:rPr>
        <w:t>（1）承建单位须按照本项目建设目标和要求，遵循国家、自治区信息系统项目建设和监理标准及规范，做好需求调研、确认及相关协调工作；</w:t>
      </w:r>
    </w:p>
    <w:p>
      <w:pPr>
        <w:spacing w:line="360" w:lineRule="auto"/>
        <w:ind w:firstLine="420" w:firstLineChars="200"/>
        <w:rPr>
          <w:rFonts w:ascii="宋体" w:hAnsi="宋体" w:eastAsia="宋体" w:cs="宋体"/>
          <w:szCs w:val="21"/>
        </w:rPr>
      </w:pPr>
      <w:r>
        <w:rPr>
          <w:rFonts w:hint="eastAsia" w:ascii="宋体" w:hAnsi="宋体" w:eastAsia="宋体" w:cs="宋体"/>
          <w:szCs w:val="21"/>
        </w:rPr>
        <w:t>（2）确定承建单位的工作范围和职责，建立畅通的沟通平台和沟通渠道，采取有效措施使项目信息在有关各方之间保持顺畅流通，推动项目实施过程中问题的解决；</w:t>
      </w:r>
    </w:p>
    <w:p>
      <w:pPr>
        <w:spacing w:line="360" w:lineRule="auto"/>
        <w:ind w:firstLine="420" w:firstLineChars="200"/>
        <w:rPr>
          <w:rFonts w:ascii="宋体" w:hAnsi="宋体" w:eastAsia="宋体" w:cs="宋体"/>
          <w:szCs w:val="21"/>
        </w:rPr>
      </w:pPr>
      <w:r>
        <w:rPr>
          <w:rFonts w:hint="eastAsia" w:ascii="宋体" w:hAnsi="宋体" w:eastAsia="宋体" w:cs="宋体"/>
          <w:szCs w:val="21"/>
        </w:rPr>
        <w:t>（3）监理方应通过必要的会议制度来实施协调工作，主要包括项目例会、专题讨论会、专家评审会、问题通报会、监理协调会、监理交底会、阶段工作总结会、阶段以及最终验收会等，同时参与采购人组织的有关会议。</w:t>
      </w:r>
    </w:p>
    <w:p>
      <w:pPr>
        <w:spacing w:line="360" w:lineRule="auto"/>
        <w:ind w:firstLine="422" w:firstLineChars="200"/>
        <w:rPr>
          <w:rFonts w:ascii="宋体" w:hAnsi="宋体" w:eastAsia="宋体" w:cs="宋体"/>
          <w:b/>
          <w:szCs w:val="21"/>
        </w:rPr>
      </w:pPr>
      <w:bookmarkStart w:id="49" w:name="_Toc70580062"/>
      <w:r>
        <w:rPr>
          <w:rFonts w:hint="eastAsia" w:ascii="宋体" w:hAnsi="宋体" w:eastAsia="宋体" w:cs="宋体"/>
          <w:b/>
          <w:szCs w:val="21"/>
        </w:rPr>
        <w:t>五、其他</w:t>
      </w:r>
    </w:p>
    <w:p>
      <w:pPr>
        <w:spacing w:line="360" w:lineRule="auto"/>
        <w:ind w:firstLine="420" w:firstLineChars="200"/>
        <w:rPr>
          <w:rFonts w:ascii="宋体" w:hAnsi="宋体" w:eastAsia="宋体" w:cs="宋体"/>
          <w:szCs w:val="21"/>
        </w:rPr>
      </w:pPr>
      <w:r>
        <w:rPr>
          <w:rFonts w:hint="eastAsia" w:ascii="宋体" w:hAnsi="宋体" w:eastAsia="宋体" w:cs="宋体"/>
          <w:szCs w:val="21"/>
        </w:rPr>
        <w:t>1.管理要求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投标单位需提供详细的项目管理方案，应配备一个独立的项目管理小组，提供项目团队人员安排、项目进度安排、项目关键点控制计划与方案、项目安全控制计划与方案等，以确保项目顺利实施。</w:t>
      </w:r>
    </w:p>
    <w:p>
      <w:pPr>
        <w:spacing w:line="360" w:lineRule="auto"/>
        <w:ind w:firstLine="420" w:firstLineChars="200"/>
        <w:rPr>
          <w:rFonts w:ascii="宋体" w:hAnsi="宋体" w:eastAsia="宋体" w:cs="宋体"/>
          <w:szCs w:val="21"/>
        </w:rPr>
      </w:pPr>
      <w:r>
        <w:rPr>
          <w:rFonts w:hint="eastAsia" w:ascii="宋体" w:hAnsi="宋体" w:eastAsia="宋体" w:cs="宋体"/>
          <w:szCs w:val="21"/>
        </w:rPr>
        <w:t>2.人员要求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投标单位须为本项目建立一支具有较高服务能力的管理团队，小组成员不少于2人，并合理调配各岗位人员，保障项目的正常实施。</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其他主要人员要求：项目建设期间（平台建设）提供不少于 1 名具备信息系统监理工程师资格或信息系统类工程师职称专业人员，并能够根据委托人要求提供驻场服务。</w:t>
      </w:r>
    </w:p>
    <w:p>
      <w:pPr>
        <w:spacing w:line="360" w:lineRule="auto"/>
        <w:ind w:firstLine="420" w:firstLineChars="200"/>
        <w:rPr>
          <w:rFonts w:ascii="宋体" w:hAnsi="宋体" w:eastAsia="宋体" w:cs="宋体"/>
          <w:szCs w:val="21"/>
        </w:rPr>
      </w:pPr>
      <w:r>
        <w:rPr>
          <w:rFonts w:hint="eastAsia" w:ascii="宋体" w:hAnsi="宋体" w:eastAsia="宋体" w:cs="宋体"/>
          <w:szCs w:val="21"/>
        </w:rPr>
        <w:t>3.质量要求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对项目进行科学严格的管理，通过系统计划、有序组织、科学指导和有效控制，促进项目全面顺利实施，保证其公正性、独立性的质量体系，确保监理活动不受任何可能影响监理工作的商业、财务等方面的压力。</w:t>
      </w:r>
    </w:p>
    <w:p>
      <w:pPr>
        <w:spacing w:line="360" w:lineRule="auto"/>
        <w:ind w:firstLine="420" w:firstLineChars="200"/>
        <w:rPr>
          <w:rFonts w:ascii="宋体" w:hAnsi="宋体" w:eastAsia="宋体" w:cs="宋体"/>
          <w:szCs w:val="21"/>
        </w:rPr>
      </w:pPr>
      <w:r>
        <w:rPr>
          <w:rFonts w:hint="eastAsia" w:ascii="宋体" w:hAnsi="宋体" w:eastAsia="宋体" w:cs="宋体"/>
          <w:szCs w:val="21"/>
        </w:rPr>
        <w:t>4.服务要求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提供7×24小时服务响应（含电话支持），需要现场支撑时，投标单位需在1小时内安排至少1名具有服务能力的项目管理师到达现场处理。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5.保密要求</w:t>
      </w:r>
    </w:p>
    <w:p>
      <w:pPr>
        <w:spacing w:line="360" w:lineRule="auto"/>
        <w:ind w:firstLine="420" w:firstLineChars="200"/>
        <w:rPr>
          <w:rFonts w:ascii="宋体" w:hAnsi="宋体" w:eastAsia="宋体" w:cs="宋体"/>
          <w:szCs w:val="21"/>
        </w:rPr>
      </w:pPr>
      <w:r>
        <w:rPr>
          <w:rFonts w:hint="eastAsia" w:ascii="宋体" w:hAnsi="宋体" w:eastAsia="宋体" w:cs="宋体"/>
          <w:szCs w:val="21"/>
        </w:rPr>
        <w:t>中标人须与招标人签署保密协议，未经招标人同意不得向第三方泄露此项目相关情况。服务中产生的所有资料、技术文档要妥善保管，不得遗失、转借、复印。相关工作人员须由中标人进行资格审查和保密教育，对知悉的事项及信息予以保密，自觉遵守国家保密法律法规及招标人工作纪律和规章制度，不得窃取或泄露国家秘密，签署《保密承诺书》并报招标人备案。中标人若违反保密协议、未履行相关职责或教育、监督措施落实不到位，发生参与本项目人员窃取或泄露国家秘密的事件，将按照《中华人民共和国保守国家秘密法》等有关法律法规承担相应的法律责任。</w:t>
      </w:r>
    </w:p>
    <w:p>
      <w:pPr>
        <w:spacing w:line="360" w:lineRule="auto"/>
        <w:ind w:firstLine="420" w:firstLineChars="200"/>
        <w:rPr>
          <w:rFonts w:ascii="宋体" w:hAnsi="宋体" w:eastAsia="宋体" w:cs="宋体"/>
          <w:szCs w:val="21"/>
        </w:rPr>
      </w:pPr>
      <w:r>
        <w:rPr>
          <w:rFonts w:hint="eastAsia" w:ascii="宋体" w:hAnsi="宋体" w:eastAsia="宋体" w:cs="宋体"/>
          <w:szCs w:val="21"/>
        </w:rPr>
        <w:t>6.成果文件交付要求</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中标方应提交的书面材料中应包括但不限于以下内容：</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针对监理对象编制监理计划、监理细则，制定文档编码等细则；按照项目进度情况，编制项目阶段性报告、周报、月报、监理总结报告等；项目后期出具项目质量评估报告和软件功能检查表、相关文档监理审核意见、项目监理会议纪要等文档。</w:t>
      </w:r>
    </w:p>
    <w:bookmarkEnd w:id="49"/>
    <w:p>
      <w:pPr>
        <w:widowControl/>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7.服务期</w:t>
      </w:r>
    </w:p>
    <w:p>
      <w:pPr>
        <w:widowControl/>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直至所监理对象竣工验收。</w:t>
      </w:r>
    </w:p>
    <w:p>
      <w:pPr>
        <w:widowControl/>
        <w:snapToGrid w:val="0"/>
        <w:spacing w:line="360" w:lineRule="auto"/>
        <w:ind w:firstLine="420" w:firstLineChars="200"/>
        <w:jc w:val="left"/>
        <w:rPr>
          <w:rFonts w:ascii="宋体" w:hAnsi="宋体" w:eastAsia="宋体" w:cs="宋体"/>
          <w:szCs w:val="21"/>
        </w:rPr>
      </w:pPr>
    </w:p>
    <w:p>
      <w:pPr>
        <w:spacing w:line="360" w:lineRule="auto"/>
        <w:ind w:firstLine="420" w:firstLineChars="200"/>
        <w:rPr>
          <w:rFonts w:ascii="宋体" w:hAnsi="宋体" w:eastAsia="宋体" w:cs="宋体"/>
          <w:kern w:val="0"/>
          <w:szCs w:val="21"/>
        </w:rPr>
      </w:pPr>
    </w:p>
    <w:sectPr>
      <w:headerReference r:id="rId10" w:type="first"/>
      <w:footerReference r:id="rId12" w:type="first"/>
      <w:headerReference r:id="rId9" w:type="even"/>
      <w:footerReference r:id="rId1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iberation Serif">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49902"/>
    </w:sdtPr>
    <w:sdtContent>
      <w:p>
        <w:pPr>
          <w:pStyle w:val="15"/>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90F40"/>
    <w:multiLevelType w:val="singleLevel"/>
    <w:tmpl w:val="ACA90F40"/>
    <w:lvl w:ilvl="0" w:tentative="0">
      <w:start w:val="3"/>
      <w:numFmt w:val="decimal"/>
      <w:suff w:val="space"/>
      <w:lvlText w:val="%1."/>
      <w:lvlJc w:val="left"/>
    </w:lvl>
  </w:abstractNum>
  <w:abstractNum w:abstractNumId="1">
    <w:nsid w:val="B49E270A"/>
    <w:multiLevelType w:val="singleLevel"/>
    <w:tmpl w:val="B49E270A"/>
    <w:lvl w:ilvl="0" w:tentative="0">
      <w:start w:val="1"/>
      <w:numFmt w:val="decimal"/>
      <w:suff w:val="nothing"/>
      <w:lvlText w:val="%1、"/>
      <w:lvlJc w:val="left"/>
    </w:lvl>
  </w:abstractNum>
  <w:abstractNum w:abstractNumId="2">
    <w:nsid w:val="02951711"/>
    <w:multiLevelType w:val="singleLevel"/>
    <w:tmpl w:val="02951711"/>
    <w:lvl w:ilvl="0" w:tentative="0">
      <w:start w:val="2"/>
      <w:numFmt w:val="chineseCounting"/>
      <w:suff w:val="nothing"/>
      <w:lvlText w:val="%1、"/>
      <w:lvlJc w:val="left"/>
      <w:rPr>
        <w:rFonts w:hint="eastAsia"/>
      </w:rPr>
    </w:lvl>
  </w:abstractNum>
  <w:abstractNum w:abstractNumId="3">
    <w:nsid w:val="28EB6E42"/>
    <w:multiLevelType w:val="multilevel"/>
    <w:tmpl w:val="28EB6E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3384F7"/>
    <w:multiLevelType w:val="singleLevel"/>
    <w:tmpl w:val="423384F7"/>
    <w:lvl w:ilvl="0" w:tentative="0">
      <w:start w:val="6"/>
      <w:numFmt w:val="chineseCounting"/>
      <w:suff w:val="nothing"/>
      <w:lvlText w:val="%1、"/>
      <w:lvlJc w:val="left"/>
      <w:rPr>
        <w:rFonts w:hint="eastAsia"/>
      </w:rPr>
    </w:lvl>
  </w:abstractNum>
  <w:abstractNum w:abstractNumId="5">
    <w:nsid w:val="49812F9C"/>
    <w:multiLevelType w:val="multilevel"/>
    <w:tmpl w:val="49812F9C"/>
    <w:lvl w:ilvl="0" w:tentative="0">
      <w:start w:val="1"/>
      <w:numFmt w:val="japaneseCounting"/>
      <w:lvlText w:val="第%1章"/>
      <w:lvlJc w:val="left"/>
      <w:pPr>
        <w:ind w:left="1455" w:hanging="84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abstractNum w:abstractNumId="6">
    <w:nsid w:val="6155F581"/>
    <w:multiLevelType w:val="singleLevel"/>
    <w:tmpl w:val="6155F581"/>
    <w:lvl w:ilvl="0" w:tentative="0">
      <w:start w:val="1"/>
      <w:numFmt w:val="decimal"/>
      <w:suff w:val="nothing"/>
      <w:lvlText w:val="%1、"/>
      <w:lvlJc w:val="left"/>
    </w:lvl>
  </w:abstractNum>
  <w:abstractNum w:abstractNumId="7">
    <w:nsid w:val="79F56E38"/>
    <w:multiLevelType w:val="multilevel"/>
    <w:tmpl w:val="79F56E3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VjNWUwY2MzMzA4MTAwYjVjMDY1MDQ0ZDYyMjM0MzUifQ=="/>
  </w:docVars>
  <w:rsids>
    <w:rsidRoot w:val="00FB7A87"/>
    <w:rsid w:val="0000565A"/>
    <w:rsid w:val="00017F09"/>
    <w:rsid w:val="00021C9F"/>
    <w:rsid w:val="00026A9C"/>
    <w:rsid w:val="0003119E"/>
    <w:rsid w:val="0003503A"/>
    <w:rsid w:val="00053EDD"/>
    <w:rsid w:val="00054BB6"/>
    <w:rsid w:val="000627F8"/>
    <w:rsid w:val="000650C0"/>
    <w:rsid w:val="00083E31"/>
    <w:rsid w:val="000860BD"/>
    <w:rsid w:val="000A5203"/>
    <w:rsid w:val="000A7856"/>
    <w:rsid w:val="000B124D"/>
    <w:rsid w:val="000B2C31"/>
    <w:rsid w:val="000B681B"/>
    <w:rsid w:val="000C2E25"/>
    <w:rsid w:val="000C7D38"/>
    <w:rsid w:val="000D03BB"/>
    <w:rsid w:val="000F69BA"/>
    <w:rsid w:val="000F7788"/>
    <w:rsid w:val="001004A6"/>
    <w:rsid w:val="00100A0D"/>
    <w:rsid w:val="0010454D"/>
    <w:rsid w:val="0011602F"/>
    <w:rsid w:val="00170E9E"/>
    <w:rsid w:val="00182F56"/>
    <w:rsid w:val="001A3989"/>
    <w:rsid w:val="001A5E38"/>
    <w:rsid w:val="001C7202"/>
    <w:rsid w:val="001D36FF"/>
    <w:rsid w:val="001D4E34"/>
    <w:rsid w:val="001E216F"/>
    <w:rsid w:val="001E779F"/>
    <w:rsid w:val="001F0106"/>
    <w:rsid w:val="001F2839"/>
    <w:rsid w:val="001F47DB"/>
    <w:rsid w:val="00202EDE"/>
    <w:rsid w:val="00204B68"/>
    <w:rsid w:val="00207241"/>
    <w:rsid w:val="00207705"/>
    <w:rsid w:val="00221E40"/>
    <w:rsid w:val="002233E5"/>
    <w:rsid w:val="00241F3C"/>
    <w:rsid w:val="00245F08"/>
    <w:rsid w:val="00246D91"/>
    <w:rsid w:val="002532A0"/>
    <w:rsid w:val="00256819"/>
    <w:rsid w:val="002655EB"/>
    <w:rsid w:val="0027167B"/>
    <w:rsid w:val="00283594"/>
    <w:rsid w:val="00285AF7"/>
    <w:rsid w:val="002868A4"/>
    <w:rsid w:val="00292CA9"/>
    <w:rsid w:val="002A7C86"/>
    <w:rsid w:val="002B366A"/>
    <w:rsid w:val="002B7D09"/>
    <w:rsid w:val="002C4872"/>
    <w:rsid w:val="002C69E0"/>
    <w:rsid w:val="002D0CAB"/>
    <w:rsid w:val="002D1F01"/>
    <w:rsid w:val="002E40EE"/>
    <w:rsid w:val="00300373"/>
    <w:rsid w:val="00300CD7"/>
    <w:rsid w:val="00310C48"/>
    <w:rsid w:val="0032772F"/>
    <w:rsid w:val="00346605"/>
    <w:rsid w:val="00350004"/>
    <w:rsid w:val="00361076"/>
    <w:rsid w:val="00363538"/>
    <w:rsid w:val="003A4828"/>
    <w:rsid w:val="003A68AA"/>
    <w:rsid w:val="003C1F65"/>
    <w:rsid w:val="003C3824"/>
    <w:rsid w:val="003C6F67"/>
    <w:rsid w:val="003C7FDC"/>
    <w:rsid w:val="003D1503"/>
    <w:rsid w:val="003D4DF8"/>
    <w:rsid w:val="003D535F"/>
    <w:rsid w:val="003D5E0F"/>
    <w:rsid w:val="003F37D1"/>
    <w:rsid w:val="0040101F"/>
    <w:rsid w:val="004127EF"/>
    <w:rsid w:val="00414EFD"/>
    <w:rsid w:val="00423BBF"/>
    <w:rsid w:val="0043668A"/>
    <w:rsid w:val="0043713D"/>
    <w:rsid w:val="00440B76"/>
    <w:rsid w:val="00441AC7"/>
    <w:rsid w:val="00446D46"/>
    <w:rsid w:val="00447D34"/>
    <w:rsid w:val="004646D3"/>
    <w:rsid w:val="00466CC2"/>
    <w:rsid w:val="0047473F"/>
    <w:rsid w:val="00476A10"/>
    <w:rsid w:val="00486421"/>
    <w:rsid w:val="00492DEA"/>
    <w:rsid w:val="00492EB6"/>
    <w:rsid w:val="004964CD"/>
    <w:rsid w:val="004A010F"/>
    <w:rsid w:val="004A3A14"/>
    <w:rsid w:val="004A60D2"/>
    <w:rsid w:val="004C421B"/>
    <w:rsid w:val="004D036D"/>
    <w:rsid w:val="004E0B20"/>
    <w:rsid w:val="004E3829"/>
    <w:rsid w:val="004E4E6D"/>
    <w:rsid w:val="004E6289"/>
    <w:rsid w:val="004F210B"/>
    <w:rsid w:val="004F6256"/>
    <w:rsid w:val="00506261"/>
    <w:rsid w:val="00507277"/>
    <w:rsid w:val="00510923"/>
    <w:rsid w:val="00511B57"/>
    <w:rsid w:val="005205B2"/>
    <w:rsid w:val="00521832"/>
    <w:rsid w:val="00533D04"/>
    <w:rsid w:val="0054747F"/>
    <w:rsid w:val="00557743"/>
    <w:rsid w:val="005665C9"/>
    <w:rsid w:val="005707D9"/>
    <w:rsid w:val="00572483"/>
    <w:rsid w:val="00585645"/>
    <w:rsid w:val="0059260F"/>
    <w:rsid w:val="00592A7D"/>
    <w:rsid w:val="00594C9F"/>
    <w:rsid w:val="005A3A19"/>
    <w:rsid w:val="005A4E5B"/>
    <w:rsid w:val="005A7DC9"/>
    <w:rsid w:val="005C169F"/>
    <w:rsid w:val="005C24E9"/>
    <w:rsid w:val="005C3040"/>
    <w:rsid w:val="005D6A0A"/>
    <w:rsid w:val="005F26B4"/>
    <w:rsid w:val="005F33AA"/>
    <w:rsid w:val="00601821"/>
    <w:rsid w:val="00601BD5"/>
    <w:rsid w:val="00604142"/>
    <w:rsid w:val="00605CC2"/>
    <w:rsid w:val="006073B8"/>
    <w:rsid w:val="00621E4F"/>
    <w:rsid w:val="00622A8B"/>
    <w:rsid w:val="006269DC"/>
    <w:rsid w:val="0063045F"/>
    <w:rsid w:val="0063688C"/>
    <w:rsid w:val="00637320"/>
    <w:rsid w:val="00640BCA"/>
    <w:rsid w:val="00641CF0"/>
    <w:rsid w:val="00655B50"/>
    <w:rsid w:val="00655E02"/>
    <w:rsid w:val="006576B7"/>
    <w:rsid w:val="0066626D"/>
    <w:rsid w:val="0066795A"/>
    <w:rsid w:val="00671FF0"/>
    <w:rsid w:val="00672E6B"/>
    <w:rsid w:val="00675F03"/>
    <w:rsid w:val="006A6EE1"/>
    <w:rsid w:val="006A78E9"/>
    <w:rsid w:val="006B1569"/>
    <w:rsid w:val="006B15E8"/>
    <w:rsid w:val="006C2DBA"/>
    <w:rsid w:val="006D0B64"/>
    <w:rsid w:val="006D1563"/>
    <w:rsid w:val="006D200E"/>
    <w:rsid w:val="006D2CAE"/>
    <w:rsid w:val="006D4F25"/>
    <w:rsid w:val="006E2036"/>
    <w:rsid w:val="006E26BF"/>
    <w:rsid w:val="006F66B1"/>
    <w:rsid w:val="00720E70"/>
    <w:rsid w:val="0073087E"/>
    <w:rsid w:val="007350D0"/>
    <w:rsid w:val="00741B3B"/>
    <w:rsid w:val="00747A76"/>
    <w:rsid w:val="00750968"/>
    <w:rsid w:val="0075107A"/>
    <w:rsid w:val="00754175"/>
    <w:rsid w:val="00763747"/>
    <w:rsid w:val="00770C1E"/>
    <w:rsid w:val="00772900"/>
    <w:rsid w:val="0077511C"/>
    <w:rsid w:val="00777367"/>
    <w:rsid w:val="007A25D9"/>
    <w:rsid w:val="007B17E4"/>
    <w:rsid w:val="007C0C3C"/>
    <w:rsid w:val="007C4F91"/>
    <w:rsid w:val="007C4FEE"/>
    <w:rsid w:val="007D168E"/>
    <w:rsid w:val="007D369A"/>
    <w:rsid w:val="007E016F"/>
    <w:rsid w:val="007E1EF0"/>
    <w:rsid w:val="00801825"/>
    <w:rsid w:val="008148D1"/>
    <w:rsid w:val="0081705F"/>
    <w:rsid w:val="0082098C"/>
    <w:rsid w:val="008429C6"/>
    <w:rsid w:val="008463A5"/>
    <w:rsid w:val="00860F59"/>
    <w:rsid w:val="00873743"/>
    <w:rsid w:val="00881D1B"/>
    <w:rsid w:val="008840A7"/>
    <w:rsid w:val="00886716"/>
    <w:rsid w:val="008901EE"/>
    <w:rsid w:val="008A031F"/>
    <w:rsid w:val="008A184C"/>
    <w:rsid w:val="008A7493"/>
    <w:rsid w:val="008B1835"/>
    <w:rsid w:val="008D5634"/>
    <w:rsid w:val="008F1322"/>
    <w:rsid w:val="0090310D"/>
    <w:rsid w:val="0093447A"/>
    <w:rsid w:val="00947B0C"/>
    <w:rsid w:val="00951C1F"/>
    <w:rsid w:val="009727E1"/>
    <w:rsid w:val="009943A7"/>
    <w:rsid w:val="009A7C2A"/>
    <w:rsid w:val="009C44AD"/>
    <w:rsid w:val="009D1FCD"/>
    <w:rsid w:val="00A02AA5"/>
    <w:rsid w:val="00A10767"/>
    <w:rsid w:val="00A11F02"/>
    <w:rsid w:val="00A34CC6"/>
    <w:rsid w:val="00A354E4"/>
    <w:rsid w:val="00A3645A"/>
    <w:rsid w:val="00A36FAA"/>
    <w:rsid w:val="00A46967"/>
    <w:rsid w:val="00A47922"/>
    <w:rsid w:val="00A52252"/>
    <w:rsid w:val="00A557F4"/>
    <w:rsid w:val="00A67A2B"/>
    <w:rsid w:val="00A72479"/>
    <w:rsid w:val="00A75456"/>
    <w:rsid w:val="00A81032"/>
    <w:rsid w:val="00A94A64"/>
    <w:rsid w:val="00AA1D67"/>
    <w:rsid w:val="00AA43B4"/>
    <w:rsid w:val="00AA5E67"/>
    <w:rsid w:val="00AA7FCB"/>
    <w:rsid w:val="00AB4C3D"/>
    <w:rsid w:val="00AB4CD5"/>
    <w:rsid w:val="00AC5E35"/>
    <w:rsid w:val="00AD1946"/>
    <w:rsid w:val="00AE7751"/>
    <w:rsid w:val="00AE7E30"/>
    <w:rsid w:val="00AF4E46"/>
    <w:rsid w:val="00B042D1"/>
    <w:rsid w:val="00B06C6E"/>
    <w:rsid w:val="00B123BD"/>
    <w:rsid w:val="00B22168"/>
    <w:rsid w:val="00B27391"/>
    <w:rsid w:val="00B337FA"/>
    <w:rsid w:val="00B36381"/>
    <w:rsid w:val="00B42095"/>
    <w:rsid w:val="00B46F71"/>
    <w:rsid w:val="00B47432"/>
    <w:rsid w:val="00B5042D"/>
    <w:rsid w:val="00B565E9"/>
    <w:rsid w:val="00B70474"/>
    <w:rsid w:val="00B70EDE"/>
    <w:rsid w:val="00B740BC"/>
    <w:rsid w:val="00B769E4"/>
    <w:rsid w:val="00B777F1"/>
    <w:rsid w:val="00B86AC2"/>
    <w:rsid w:val="00B92ABF"/>
    <w:rsid w:val="00B93C01"/>
    <w:rsid w:val="00B94813"/>
    <w:rsid w:val="00BA0064"/>
    <w:rsid w:val="00BA10C3"/>
    <w:rsid w:val="00BA38FE"/>
    <w:rsid w:val="00BA54CA"/>
    <w:rsid w:val="00BA657E"/>
    <w:rsid w:val="00BA797F"/>
    <w:rsid w:val="00BA7B3B"/>
    <w:rsid w:val="00BC0A19"/>
    <w:rsid w:val="00BC1154"/>
    <w:rsid w:val="00BC5BA0"/>
    <w:rsid w:val="00BD2482"/>
    <w:rsid w:val="00BE6351"/>
    <w:rsid w:val="00C1283B"/>
    <w:rsid w:val="00C3055E"/>
    <w:rsid w:val="00C30E2A"/>
    <w:rsid w:val="00C3274B"/>
    <w:rsid w:val="00C344DD"/>
    <w:rsid w:val="00C41AA3"/>
    <w:rsid w:val="00C43041"/>
    <w:rsid w:val="00C55619"/>
    <w:rsid w:val="00C7140E"/>
    <w:rsid w:val="00C71D3B"/>
    <w:rsid w:val="00C72448"/>
    <w:rsid w:val="00C724B0"/>
    <w:rsid w:val="00C82D82"/>
    <w:rsid w:val="00C83E8B"/>
    <w:rsid w:val="00C85355"/>
    <w:rsid w:val="00C91949"/>
    <w:rsid w:val="00C94107"/>
    <w:rsid w:val="00C95DBC"/>
    <w:rsid w:val="00CA661C"/>
    <w:rsid w:val="00CB3417"/>
    <w:rsid w:val="00CC199D"/>
    <w:rsid w:val="00CC5766"/>
    <w:rsid w:val="00CD6AF1"/>
    <w:rsid w:val="00CD7947"/>
    <w:rsid w:val="00CE1C73"/>
    <w:rsid w:val="00CE734C"/>
    <w:rsid w:val="00D03B8C"/>
    <w:rsid w:val="00D07CF1"/>
    <w:rsid w:val="00D162FF"/>
    <w:rsid w:val="00D177D2"/>
    <w:rsid w:val="00D23D48"/>
    <w:rsid w:val="00D32A41"/>
    <w:rsid w:val="00D362EE"/>
    <w:rsid w:val="00D40CB0"/>
    <w:rsid w:val="00D4334F"/>
    <w:rsid w:val="00D53A1E"/>
    <w:rsid w:val="00D715D1"/>
    <w:rsid w:val="00D83AC0"/>
    <w:rsid w:val="00DA2086"/>
    <w:rsid w:val="00DB10B8"/>
    <w:rsid w:val="00DB4F84"/>
    <w:rsid w:val="00DD0D33"/>
    <w:rsid w:val="00DD48FC"/>
    <w:rsid w:val="00DE3E8C"/>
    <w:rsid w:val="00DE41E7"/>
    <w:rsid w:val="00DF23FD"/>
    <w:rsid w:val="00DF50D1"/>
    <w:rsid w:val="00E12A15"/>
    <w:rsid w:val="00E201A8"/>
    <w:rsid w:val="00E2096F"/>
    <w:rsid w:val="00E3145A"/>
    <w:rsid w:val="00E37531"/>
    <w:rsid w:val="00E479EC"/>
    <w:rsid w:val="00E5038F"/>
    <w:rsid w:val="00E61D13"/>
    <w:rsid w:val="00E6306F"/>
    <w:rsid w:val="00E91203"/>
    <w:rsid w:val="00E94C9E"/>
    <w:rsid w:val="00EA66BD"/>
    <w:rsid w:val="00EC2326"/>
    <w:rsid w:val="00EC6118"/>
    <w:rsid w:val="00EC6741"/>
    <w:rsid w:val="00ED00E0"/>
    <w:rsid w:val="00ED18A2"/>
    <w:rsid w:val="00ED77F3"/>
    <w:rsid w:val="00EE3285"/>
    <w:rsid w:val="00F01829"/>
    <w:rsid w:val="00F1553C"/>
    <w:rsid w:val="00F178B7"/>
    <w:rsid w:val="00F25257"/>
    <w:rsid w:val="00F327C2"/>
    <w:rsid w:val="00F441B6"/>
    <w:rsid w:val="00F50473"/>
    <w:rsid w:val="00F75C48"/>
    <w:rsid w:val="00F77722"/>
    <w:rsid w:val="00F86496"/>
    <w:rsid w:val="00F87A51"/>
    <w:rsid w:val="00F950F9"/>
    <w:rsid w:val="00FA09DD"/>
    <w:rsid w:val="00FB708C"/>
    <w:rsid w:val="00FB7A87"/>
    <w:rsid w:val="00FC0CCF"/>
    <w:rsid w:val="00FE1FE6"/>
    <w:rsid w:val="00FF6901"/>
    <w:rsid w:val="00FF7384"/>
    <w:rsid w:val="032C387C"/>
    <w:rsid w:val="09FE50C7"/>
    <w:rsid w:val="1D5A214E"/>
    <w:rsid w:val="1F366E70"/>
    <w:rsid w:val="20447E1A"/>
    <w:rsid w:val="228B0836"/>
    <w:rsid w:val="25D575D5"/>
    <w:rsid w:val="2E6F4FDD"/>
    <w:rsid w:val="38D942A1"/>
    <w:rsid w:val="39BB74A7"/>
    <w:rsid w:val="3D44250D"/>
    <w:rsid w:val="4AC71895"/>
    <w:rsid w:val="4B842E94"/>
    <w:rsid w:val="4BE239BA"/>
    <w:rsid w:val="4C934F6A"/>
    <w:rsid w:val="4F5C60A9"/>
    <w:rsid w:val="52160AC2"/>
    <w:rsid w:val="546F6837"/>
    <w:rsid w:val="5CB527E9"/>
    <w:rsid w:val="5E0A0A6D"/>
    <w:rsid w:val="662A1308"/>
    <w:rsid w:val="68060BC8"/>
    <w:rsid w:val="6BA347D3"/>
    <w:rsid w:val="6FE60023"/>
    <w:rsid w:val="75752485"/>
    <w:rsid w:val="7BBC0173"/>
    <w:rsid w:val="7F837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spacing w:line="216" w:lineRule="auto"/>
      <w:outlineLvl w:val="1"/>
    </w:pPr>
    <w:rPr>
      <w:rFonts w:ascii="宋体"/>
      <w:sz w:val="28"/>
    </w:rPr>
  </w:style>
  <w:style w:type="paragraph" w:styleId="5">
    <w:name w:val="heading 3"/>
    <w:basedOn w:val="1"/>
    <w:next w:val="1"/>
    <w:link w:val="28"/>
    <w:qFormat/>
    <w:uiPriority w:val="99"/>
    <w:pPr>
      <w:keepNext/>
      <w:keepLines/>
      <w:spacing w:before="260" w:after="260" w:line="413" w:lineRule="auto"/>
      <w:outlineLvl w:val="2"/>
    </w:pPr>
    <w:rPr>
      <w:rFonts w:ascii="Calibri" w:hAnsi="Calibri" w:eastAsia="宋体" w:cs="Times New Roman"/>
      <w:b/>
      <w:sz w:val="32"/>
    </w:rPr>
  </w:style>
  <w:style w:type="paragraph" w:styleId="6">
    <w:name w:val="heading 6"/>
    <w:basedOn w:val="1"/>
    <w:next w:val="1"/>
    <w:link w:val="29"/>
    <w:qFormat/>
    <w:uiPriority w:val="99"/>
    <w:pPr>
      <w:keepNext/>
      <w:keepLines/>
      <w:spacing w:before="240" w:after="64" w:line="320" w:lineRule="auto"/>
      <w:outlineLvl w:val="5"/>
    </w:pPr>
    <w:rPr>
      <w:rFonts w:ascii="Calibri Light" w:hAnsi="Calibri Light" w:eastAsia="宋体" w:cs="Times New Roman"/>
      <w:b/>
      <w:bCs/>
      <w:sz w:val="24"/>
      <w:szCs w:val="24"/>
    </w:rPr>
  </w:style>
  <w:style w:type="paragraph" w:styleId="7">
    <w:name w:val="heading 7"/>
    <w:basedOn w:val="1"/>
    <w:next w:val="1"/>
    <w:link w:val="30"/>
    <w:qFormat/>
    <w:uiPriority w:val="99"/>
    <w:pPr>
      <w:keepNext/>
      <w:keepLines/>
      <w:spacing w:before="240" w:after="64" w:line="320" w:lineRule="auto"/>
      <w:outlineLvl w:val="6"/>
    </w:pPr>
    <w:rPr>
      <w:rFonts w:ascii="Calibri" w:hAnsi="Calibri" w:eastAsia="宋体" w:cs="Times New Roman"/>
      <w:b/>
      <w:bCs/>
      <w:sz w:val="24"/>
      <w:szCs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styleId="8">
    <w:name w:val="Normal Indent"/>
    <w:basedOn w:val="1"/>
    <w:qFormat/>
    <w:uiPriority w:val="0"/>
    <w:pPr>
      <w:ind w:firstLine="420" w:firstLineChars="200"/>
    </w:pPr>
    <w:rPr>
      <w:rFonts w:ascii="Calibri" w:hAnsi="Calibri" w:eastAsia="宋体" w:cs="Times New Roman"/>
      <w:szCs w:val="24"/>
    </w:rPr>
  </w:style>
  <w:style w:type="paragraph" w:styleId="9">
    <w:name w:val="Document Map"/>
    <w:basedOn w:val="1"/>
    <w:link w:val="44"/>
    <w:unhideWhenUsed/>
    <w:qFormat/>
    <w:uiPriority w:val="99"/>
    <w:rPr>
      <w:rFonts w:ascii="宋体" w:eastAsia="宋体"/>
      <w:sz w:val="18"/>
      <w:szCs w:val="18"/>
    </w:rPr>
  </w:style>
  <w:style w:type="paragraph" w:styleId="10">
    <w:name w:val="Body Text"/>
    <w:basedOn w:val="1"/>
    <w:next w:val="1"/>
    <w:link w:val="31"/>
    <w:qFormat/>
    <w:uiPriority w:val="0"/>
    <w:rPr>
      <w:rFonts w:ascii="Arial" w:hAnsi="Arial" w:eastAsia="宋体" w:cs="Times New Roman"/>
      <w:sz w:val="24"/>
    </w:rPr>
  </w:style>
  <w:style w:type="paragraph" w:styleId="11">
    <w:name w:val="Body Text Indent"/>
    <w:basedOn w:val="1"/>
    <w:link w:val="45"/>
    <w:unhideWhenUsed/>
    <w:qFormat/>
    <w:uiPriority w:val="99"/>
    <w:pPr>
      <w:spacing w:after="120"/>
      <w:ind w:left="420" w:leftChars="200"/>
    </w:pPr>
  </w:style>
  <w:style w:type="paragraph" w:styleId="12">
    <w:name w:val="toc 3"/>
    <w:basedOn w:val="1"/>
    <w:next w:val="1"/>
    <w:unhideWhenUsed/>
    <w:qFormat/>
    <w:uiPriority w:val="39"/>
    <w:pPr>
      <w:widowControl/>
      <w:spacing w:after="100" w:line="259" w:lineRule="auto"/>
      <w:ind w:left="440"/>
      <w:jc w:val="left"/>
    </w:pPr>
    <w:rPr>
      <w:rFonts w:cs="Times New Roman"/>
      <w:kern w:val="0"/>
      <w:sz w:val="22"/>
    </w:rPr>
  </w:style>
  <w:style w:type="paragraph" w:styleId="13">
    <w:name w:val="Plain Text"/>
    <w:basedOn w:val="1"/>
    <w:link w:val="32"/>
    <w:qFormat/>
    <w:uiPriority w:val="99"/>
    <w:rPr>
      <w:rFonts w:ascii="宋体" w:hAnsi="Courier New" w:eastAsia="宋体" w:cs="Courier New"/>
      <w:szCs w:val="21"/>
    </w:rPr>
  </w:style>
  <w:style w:type="paragraph" w:styleId="14">
    <w:name w:val="Balloon Text"/>
    <w:basedOn w:val="1"/>
    <w:link w:val="27"/>
    <w:unhideWhenUsed/>
    <w:qFormat/>
    <w:uiPriority w:val="0"/>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qFormat/>
    <w:uiPriority w:val="99"/>
    <w:pPr>
      <w:autoSpaceDE w:val="0"/>
      <w:autoSpaceDN w:val="0"/>
      <w:adjustRightInd w:val="0"/>
      <w:spacing w:beforeAutospacing="1" w:afterAutospacing="1"/>
      <w:jc w:val="left"/>
    </w:pPr>
    <w:rPr>
      <w:rFonts w:ascii="Liberation Serif" w:hAnsi="Liberation Serif" w:eastAsia="宋体" w:cs="Liberation Serif"/>
      <w:kern w:val="0"/>
      <w:sz w:val="24"/>
      <w:szCs w:val="24"/>
    </w:rPr>
  </w:style>
  <w:style w:type="paragraph" w:styleId="20">
    <w:name w:val="Body Text First Indent 2"/>
    <w:basedOn w:val="11"/>
    <w:link w:val="46"/>
    <w:semiHidden/>
    <w:qFormat/>
    <w:uiPriority w:val="0"/>
    <w:pPr>
      <w:widowControl/>
      <w:spacing w:after="0"/>
      <w:ind w:left="0" w:leftChars="0" w:firstLine="420" w:firstLineChars="200"/>
    </w:pPr>
    <w:rPr>
      <w:rFonts w:ascii="楷体_GB2312" w:hAnsi="Times New Roman" w:eastAsia="楷体_GB2312" w:cs="Times New Roman"/>
      <w:sz w:val="28"/>
      <w:szCs w:val="20"/>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000FF" w:themeColor="hyperlink"/>
      <w:u w:val="single"/>
    </w:rPr>
  </w:style>
  <w:style w:type="character" w:customStyle="1" w:styleId="25">
    <w:name w:val="页眉 字符"/>
    <w:basedOn w:val="23"/>
    <w:link w:val="16"/>
    <w:qFormat/>
    <w:uiPriority w:val="99"/>
    <w:rPr>
      <w:sz w:val="18"/>
      <w:szCs w:val="18"/>
    </w:rPr>
  </w:style>
  <w:style w:type="character" w:customStyle="1" w:styleId="26">
    <w:name w:val="页脚 字符"/>
    <w:basedOn w:val="23"/>
    <w:link w:val="15"/>
    <w:qFormat/>
    <w:uiPriority w:val="99"/>
    <w:rPr>
      <w:sz w:val="18"/>
      <w:szCs w:val="18"/>
    </w:rPr>
  </w:style>
  <w:style w:type="character" w:customStyle="1" w:styleId="27">
    <w:name w:val="批注框文本 字符"/>
    <w:basedOn w:val="23"/>
    <w:link w:val="14"/>
    <w:qFormat/>
    <w:uiPriority w:val="0"/>
    <w:rPr>
      <w:sz w:val="18"/>
      <w:szCs w:val="18"/>
    </w:rPr>
  </w:style>
  <w:style w:type="character" w:customStyle="1" w:styleId="28">
    <w:name w:val="标题 3 字符"/>
    <w:basedOn w:val="23"/>
    <w:link w:val="5"/>
    <w:qFormat/>
    <w:uiPriority w:val="99"/>
    <w:rPr>
      <w:rFonts w:ascii="Calibri" w:hAnsi="Calibri" w:eastAsia="宋体" w:cs="Times New Roman"/>
      <w:b/>
      <w:sz w:val="32"/>
    </w:rPr>
  </w:style>
  <w:style w:type="character" w:customStyle="1" w:styleId="29">
    <w:name w:val="标题 6 字符"/>
    <w:basedOn w:val="23"/>
    <w:link w:val="6"/>
    <w:qFormat/>
    <w:uiPriority w:val="99"/>
    <w:rPr>
      <w:rFonts w:ascii="Calibri Light" w:hAnsi="Calibri Light" w:eastAsia="宋体" w:cs="Times New Roman"/>
      <w:b/>
      <w:bCs/>
      <w:sz w:val="24"/>
      <w:szCs w:val="24"/>
    </w:rPr>
  </w:style>
  <w:style w:type="character" w:customStyle="1" w:styleId="30">
    <w:name w:val="标题 7 字符"/>
    <w:basedOn w:val="23"/>
    <w:link w:val="7"/>
    <w:qFormat/>
    <w:uiPriority w:val="99"/>
    <w:rPr>
      <w:rFonts w:ascii="Calibri" w:hAnsi="Calibri" w:eastAsia="宋体" w:cs="Times New Roman"/>
      <w:b/>
      <w:bCs/>
      <w:sz w:val="24"/>
      <w:szCs w:val="24"/>
    </w:rPr>
  </w:style>
  <w:style w:type="character" w:customStyle="1" w:styleId="31">
    <w:name w:val="正文文本 字符"/>
    <w:basedOn w:val="23"/>
    <w:link w:val="10"/>
    <w:qFormat/>
    <w:uiPriority w:val="0"/>
    <w:rPr>
      <w:rFonts w:ascii="Arial" w:hAnsi="Arial" w:eastAsia="宋体" w:cs="Times New Roman"/>
      <w:sz w:val="24"/>
    </w:rPr>
  </w:style>
  <w:style w:type="character" w:customStyle="1" w:styleId="32">
    <w:name w:val="纯文本 字符"/>
    <w:basedOn w:val="23"/>
    <w:link w:val="13"/>
    <w:qFormat/>
    <w:uiPriority w:val="99"/>
    <w:rPr>
      <w:rFonts w:ascii="宋体" w:hAnsi="Courier New" w:eastAsia="宋体" w:cs="Courier New"/>
      <w:szCs w:val="21"/>
    </w:rPr>
  </w:style>
  <w:style w:type="character" w:customStyle="1" w:styleId="33">
    <w:name w:val="15"/>
    <w:qFormat/>
    <w:uiPriority w:val="0"/>
    <w:rPr>
      <w:rFonts w:hint="default" w:ascii="Times New Roman" w:hAnsi="Times New Roman" w:cs="Times New Roman"/>
      <w:color w:val="333333"/>
    </w:rPr>
  </w:style>
  <w:style w:type="paragraph" w:customStyle="1" w:styleId="34">
    <w:name w:val="列出段落1"/>
    <w:basedOn w:val="1"/>
    <w:qFormat/>
    <w:uiPriority w:val="0"/>
    <w:pPr>
      <w:ind w:firstLine="420" w:firstLineChars="200"/>
    </w:pPr>
    <w:rPr>
      <w:rFonts w:ascii="Calibri" w:hAnsi="Calibri" w:eastAsia="宋体" w:cs="Times New Roman"/>
      <w:szCs w:val="24"/>
    </w:rPr>
  </w:style>
  <w:style w:type="paragraph" w:customStyle="1" w:styleId="35">
    <w:name w:val="样式1"/>
    <w:basedOn w:val="1"/>
    <w:qFormat/>
    <w:uiPriority w:val="0"/>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rFonts w:ascii="Calibri" w:hAnsi="Calibri" w:eastAsia="宋体" w:cs="Times New Roman"/>
      <w:b/>
      <w:bCs/>
      <w:kern w:val="0"/>
      <w:sz w:val="36"/>
    </w:rPr>
  </w:style>
  <w:style w:type="paragraph" w:customStyle="1" w:styleId="3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cs="Times New Roman"/>
      <w:sz w:val="28"/>
    </w:rPr>
  </w:style>
  <w:style w:type="paragraph" w:customStyle="1" w:styleId="38">
    <w:name w:val="È±Ê¡ÎÄ±¾"/>
    <w:basedOn w:val="1"/>
    <w:qFormat/>
    <w:uiPriority w:val="0"/>
    <w:pPr>
      <w:widowControl/>
      <w:overflowPunct w:val="0"/>
      <w:autoSpaceDE w:val="0"/>
      <w:autoSpaceDN w:val="0"/>
      <w:adjustRightInd w:val="0"/>
      <w:jc w:val="left"/>
    </w:pPr>
    <w:rPr>
      <w:rFonts w:ascii="Calibri" w:hAnsi="Calibri" w:eastAsia="宋体" w:cs="Times New Roman"/>
      <w:kern w:val="0"/>
      <w:sz w:val="24"/>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styleId="41">
    <w:name w:val="No Spacing"/>
    <w:qFormat/>
    <w:uiPriority w:val="1"/>
    <w:rPr>
      <w:rFonts w:ascii="Calibri" w:hAnsi="Calibri" w:eastAsia="宋体" w:cs="Calibri"/>
      <w:color w:val="000000"/>
      <w:sz w:val="22"/>
      <w:szCs w:val="22"/>
      <w:lang w:val="en-US" w:eastAsia="zh-CN" w:bidi="ar-SA"/>
    </w:rPr>
  </w:style>
  <w:style w:type="character" w:customStyle="1" w:styleId="42">
    <w:name w:val="标题 1 字符"/>
    <w:basedOn w:val="23"/>
    <w:link w:val="3"/>
    <w:qFormat/>
    <w:uiPriority w:val="9"/>
    <w:rPr>
      <w:b/>
      <w:bCs/>
      <w:kern w:val="44"/>
      <w:sz w:val="44"/>
      <w:szCs w:val="44"/>
    </w:rPr>
  </w:style>
  <w:style w:type="paragraph" w:customStyle="1" w:styleId="4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4">
    <w:name w:val="文档结构图 字符"/>
    <w:basedOn w:val="23"/>
    <w:link w:val="9"/>
    <w:semiHidden/>
    <w:qFormat/>
    <w:uiPriority w:val="99"/>
    <w:rPr>
      <w:rFonts w:ascii="宋体" w:eastAsia="宋体"/>
      <w:sz w:val="18"/>
      <w:szCs w:val="18"/>
    </w:rPr>
  </w:style>
  <w:style w:type="character" w:customStyle="1" w:styleId="45">
    <w:name w:val="正文文本缩进 字符"/>
    <w:basedOn w:val="23"/>
    <w:link w:val="11"/>
    <w:semiHidden/>
    <w:qFormat/>
    <w:uiPriority w:val="99"/>
    <w:rPr>
      <w:kern w:val="2"/>
      <w:sz w:val="21"/>
      <w:szCs w:val="22"/>
    </w:rPr>
  </w:style>
  <w:style w:type="character" w:customStyle="1" w:styleId="46">
    <w:name w:val="正文文本首行缩进 2 字符"/>
    <w:basedOn w:val="45"/>
    <w:link w:val="20"/>
    <w:semiHidden/>
    <w:qFormat/>
    <w:uiPriority w:val="0"/>
    <w:rPr>
      <w:rFonts w:ascii="楷体_GB2312" w:hAnsi="Times New Roman" w:eastAsia="楷体_GB2312" w:cs="Times New Roman"/>
      <w:kern w:val="2"/>
      <w:sz w:val="28"/>
      <w:szCs w:val="22"/>
    </w:rPr>
  </w:style>
  <w:style w:type="paragraph" w:styleId="47">
    <w:name w:val="List Paragraph"/>
    <w:basedOn w:val="1"/>
    <w:link w:val="48"/>
    <w:qFormat/>
    <w:uiPriority w:val="99"/>
    <w:pPr>
      <w:ind w:firstLine="420" w:firstLineChars="200"/>
    </w:pPr>
    <w:rPr>
      <w:rFonts w:ascii="Times New Roman" w:hAnsi="Times New Roman" w:eastAsia="宋体" w:cs="Times New Roman"/>
      <w:szCs w:val="20"/>
    </w:rPr>
  </w:style>
  <w:style w:type="character" w:customStyle="1" w:styleId="48">
    <w:name w:val="列表段落 字符"/>
    <w:link w:val="4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A6A8D-0178-48A8-94FE-C55463B877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31124</Words>
  <Characters>32857</Characters>
  <Lines>240</Lines>
  <Paragraphs>67</Paragraphs>
  <TotalTime>1</TotalTime>
  <ScaleCrop>false</ScaleCrop>
  <LinksUpToDate>false</LinksUpToDate>
  <CharactersWithSpaces>33512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2021-10-09T10:27:00Z</dcterms:created>
  <dc:creator>Administrator</dc:creator>
  <cp:lastModifiedBy>满目星辰_</cp:lastModifiedBy>
  <cp:lastPrinted>2021-11-01T08:32:00Z</cp:lastPrinted>
  <dcterms:modified xsi:type="dcterms:W3CDTF">2022-05-25T03:05:44Z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92C0C80679794768916719AC583EED76</vt:lpwstr>
  </property>
</Properties>
</file>