
<file path=[Content_Types].xml><?xml version="1.0" encoding="utf-8"?>
<Types xmlns="http://schemas.openxmlformats.org/package/2006/content-types">
  <Default Extension="rels" ContentType="application/vnd.openxmlformats-package.relationships+xml"/>
  <Default Extension="xml" ContentType="application/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body>
    <w:p>
      <w:pPr>
        <w:pStyle w:val="23"/>
        <w:spacing w:line="400" w:lineRule="atLeast"/>
        <w:jc w:val="center"/>
        <w:rPr>
          <w:rFonts w:ascii="仿宋" w:eastAsia="仿宋" w:cs="仿宋" w:hint="eastAsia"/>
          <w:b/>
        </w:rPr>
      </w:pPr>
      <w:bookmarkStart w:id="0" w:name="_Toc130180922"/>
      <w:bookmarkStart w:id="1" w:name="_Toc130180841"/>
      <w:bookmarkStart w:id="2" w:name="_Toc130180736"/>
    </w:p>
    <w:p>
      <w:pPr>
        <w:pStyle w:val="2"/>
        <w:jc w:val="center"/>
        <w:rPr>
          <w:rFonts w:ascii="宋体" w:eastAsia="宋体" w:cs="宋体" w:hint="eastAsia"/>
          <w:b/>
          <w:bCs/>
          <w:sz w:val="48"/>
          <w:szCs w:val="44"/>
          <w:lang w:eastAsia="zh-CN"/>
        </w:rPr>
      </w:pPr>
      <w:r>
        <w:rPr>
          <w:rFonts w:ascii="宋体" w:eastAsia="宋体" w:cs="宋体" w:hint="eastAsia"/>
          <w:b/>
          <w:bCs/>
          <w:sz w:val="48"/>
          <w:szCs w:val="44"/>
          <w:lang w:eastAsia="zh-CN"/>
        </w:rPr>
        <w:t>新疆维吾尔自治区药品检验研究院标准物质、生物试剂耗材、普通试剂、</w:t>
      </w:r>
      <w:r>
        <w:rPr>
          <w:rFonts w:ascii="宋体" w:eastAsia="宋体" w:cs="宋体" w:hint="eastAsia"/>
          <w:b/>
          <w:bCs/>
          <w:sz w:val="48"/>
          <w:szCs w:val="44"/>
          <w:lang w:val="en-US" w:eastAsia="zh-CN"/>
        </w:rPr>
        <w:t>普通实验</w:t>
      </w:r>
      <w:r>
        <w:rPr>
          <w:rFonts w:ascii="宋体" w:eastAsia="宋体" w:cs="宋体" w:hint="eastAsia"/>
          <w:b/>
          <w:bCs/>
          <w:sz w:val="48"/>
          <w:szCs w:val="44"/>
          <w:lang w:eastAsia="zh-CN"/>
        </w:rPr>
        <w:t>耗材</w:t>
      </w:r>
      <w:r>
        <w:rPr>
          <w:rFonts w:ascii="宋体" w:eastAsia="宋体" w:cs="宋体" w:hint="eastAsia"/>
          <w:b/>
          <w:bCs/>
          <w:sz w:val="48"/>
          <w:szCs w:val="44"/>
        </w:rPr>
        <w:t>采购项目</w:t>
      </w:r>
      <w:r>
        <w:rPr>
          <w:rFonts w:ascii="宋体" w:eastAsia="宋体" w:cs="宋体" w:hint="eastAsia"/>
          <w:b/>
          <w:bCs/>
          <w:sz w:val="48"/>
          <w:szCs w:val="44"/>
          <w:lang w:eastAsia="zh-CN"/>
        </w:rPr>
        <w:t>（</w:t>
      </w:r>
      <w:r>
        <w:rPr>
          <w:rFonts w:ascii="宋体" w:eastAsia="宋体" w:cs="宋体" w:hint="eastAsia"/>
          <w:b/>
          <w:bCs/>
          <w:sz w:val="48"/>
          <w:szCs w:val="44"/>
          <w:lang w:val="en-US" w:eastAsia="zh-CN"/>
        </w:rPr>
        <w:t>四包：普通实验</w:t>
      </w:r>
      <w:r>
        <w:rPr>
          <w:rFonts w:ascii="宋体" w:eastAsia="宋体" w:cs="宋体" w:hint="eastAsia"/>
          <w:b/>
          <w:bCs/>
          <w:sz w:val="48"/>
          <w:szCs w:val="44"/>
          <w:lang w:eastAsia="zh-CN"/>
        </w:rPr>
        <w:t>耗材）</w:t>
      </w:r>
    </w:p>
    <w:p>
      <w:pPr>
        <w:pStyle w:val="15"/>
        <w:numPr>
          <w:ilvl w:val="0"/>
          <w:numId w:val="0"/>
        </w:numPr>
        <w:rPr>
          <w:rFonts w:ascii="宋体" w:eastAsia="宋体" w:cs="宋体" w:hint="eastAsia"/>
        </w:rPr>
      </w:pPr>
    </w:p>
    <w:p>
      <w:pPr>
        <w:pStyle w:val="2"/>
        <w:jc w:val="center"/>
        <w:rPr>
          <w:rFonts w:ascii="宋体" w:eastAsia="宋体" w:cs="宋体" w:hint="eastAsia"/>
          <w:bCs w:val="0"/>
        </w:rPr>
      </w:pPr>
      <w:r>
        <w:rPr>
          <w:rFonts w:ascii="宋体" w:eastAsia="宋体" w:cs="宋体" w:hint="eastAsia"/>
          <w:bCs w:val="0"/>
        </w:rPr>
        <w:t>招标文件</w:t>
      </w:r>
    </w:p>
    <w:p>
      <w:pPr>
        <w:pStyle w:val="23"/>
        <w:spacing w:line="400" w:lineRule="atLeast"/>
        <w:rPr>
          <w:rFonts w:ascii="宋体" w:eastAsia="宋体" w:cs="宋体" w:hint="eastAsia"/>
          <w:b/>
        </w:rPr>
      </w:pPr>
    </w:p>
    <w:p>
      <w:pPr>
        <w:pStyle w:val="23"/>
        <w:spacing w:line="400" w:lineRule="atLeast"/>
        <w:ind w:left="0" w:firstLine="0"/>
        <w:rPr>
          <w:rFonts w:ascii="宋体" w:eastAsia="宋体" w:cs="宋体" w:hint="eastAsia"/>
          <w:b/>
        </w:rPr>
      </w:pPr>
    </w:p>
    <w:p>
      <w:pPr>
        <w:pStyle w:val="23"/>
        <w:spacing w:line="400" w:lineRule="atLeast"/>
        <w:rPr>
          <w:rFonts w:ascii="宋体" w:eastAsia="宋体" w:cs="宋体" w:hint="eastAsia"/>
          <w:b/>
        </w:rPr>
      </w:pPr>
    </w:p>
    <w:p>
      <w:pPr>
        <w:pStyle w:val="23"/>
        <w:spacing w:line="400" w:lineRule="atLeast"/>
        <w:rPr>
          <w:rFonts w:ascii="宋体" w:eastAsia="宋体" w:cs="宋体" w:hint="eastAsia"/>
          <w:b/>
        </w:rPr>
      </w:pPr>
    </w:p>
    <w:p>
      <w:pPr>
        <w:pStyle w:val="23"/>
        <w:spacing w:line="400" w:lineRule="atLeast"/>
        <w:ind w:firstLineChars="100" w:firstLine="320"/>
        <w:rPr>
          <w:rFonts w:ascii="宋体" w:eastAsia="宋体" w:cs="宋体"/>
          <w:b/>
          <w:color w:val="FF0000"/>
          <w:sz w:val="32"/>
          <w:szCs w:val="32"/>
          <w:lang w:val="en-US" w:eastAsia="zh-CN"/>
        </w:rPr>
      </w:pPr>
      <w:r>
        <w:rPr>
          <w:rFonts w:ascii="宋体" w:eastAsia="宋体" w:cs="宋体" w:hint="eastAsia"/>
          <w:b/>
          <w:sz w:val="32"/>
          <w:szCs w:val="32"/>
        </w:rPr>
        <w:t>项目编号：</w:t>
      </w:r>
      <w:r>
        <w:rPr>
          <w:rFonts w:cs="宋体" w:hint="eastAsia"/>
          <w:b/>
          <w:sz w:val="32"/>
          <w:szCs w:val="32"/>
          <w:lang w:val="zh-CN"/>
        </w:rPr>
        <w:t>XJTZY2022-1-C0009-004</w:t>
      </w:r>
    </w:p>
    <w:p>
      <w:pPr>
        <w:pStyle w:val="23"/>
        <w:spacing w:line="400" w:lineRule="atLeast"/>
        <w:rPr>
          <w:rFonts w:ascii="宋体" w:eastAsia="宋体" w:cs="宋体" w:hint="eastAsia"/>
          <w:b/>
          <w:sz w:val="32"/>
          <w:szCs w:val="32"/>
        </w:rPr>
      </w:pPr>
    </w:p>
    <w:p>
      <w:pPr>
        <w:pStyle w:val="23"/>
        <w:spacing w:line="400" w:lineRule="atLeast"/>
        <w:ind w:leftChars="152" w:left="1919" w:hangingChars="500" w:hanging="1600"/>
        <w:rPr>
          <w:rFonts w:ascii="宋体" w:eastAsia="宋体" w:cs="宋体" w:hint="eastAsia"/>
          <w:b/>
          <w:sz w:val="32"/>
          <w:szCs w:val="32"/>
          <w:lang w:eastAsia="zh-CN"/>
        </w:rPr>
      </w:pPr>
      <w:r>
        <w:rPr>
          <w:rFonts w:ascii="宋体" w:eastAsia="宋体" w:cs="宋体" w:hint="eastAsia"/>
          <w:b/>
          <w:sz w:val="32"/>
          <w:szCs w:val="32"/>
        </w:rPr>
        <w:t>项目名称：</w:t>
      </w:r>
      <w:r>
        <w:rPr>
          <w:rFonts w:ascii="宋体" w:eastAsia="宋体" w:cs="宋体" w:hint="eastAsia"/>
          <w:b/>
          <w:sz w:val="32"/>
          <w:szCs w:val="32"/>
          <w:lang w:eastAsia="zh-CN"/>
        </w:rPr>
        <w:t>新疆维吾尔自治区药品检验研究院标准物质、生物试剂耗材、普通试剂、</w:t>
      </w:r>
      <w:r>
        <w:rPr>
          <w:rFonts w:ascii="宋体" w:eastAsia="宋体" w:cs="宋体" w:hint="eastAsia"/>
          <w:b/>
          <w:sz w:val="32"/>
          <w:szCs w:val="32"/>
          <w:lang w:val="en-US" w:eastAsia="zh-CN"/>
        </w:rPr>
        <w:t>普通实验</w:t>
      </w:r>
      <w:r>
        <w:rPr>
          <w:rFonts w:ascii="宋体" w:eastAsia="宋体" w:cs="宋体" w:hint="eastAsia"/>
          <w:b/>
          <w:sz w:val="32"/>
          <w:szCs w:val="32"/>
          <w:lang w:eastAsia="zh-CN"/>
        </w:rPr>
        <w:t>耗材</w:t>
      </w:r>
      <w:r>
        <w:rPr>
          <w:rFonts w:ascii="宋体" w:eastAsia="宋体" w:cs="宋体" w:hint="eastAsia"/>
          <w:b/>
          <w:sz w:val="32"/>
          <w:szCs w:val="32"/>
        </w:rPr>
        <w:t>采购项目</w:t>
      </w:r>
      <w:r>
        <w:rPr>
          <w:rFonts w:ascii="宋体" w:eastAsia="宋体" w:cs="宋体" w:hint="eastAsia"/>
          <w:b/>
          <w:sz w:val="32"/>
          <w:szCs w:val="32"/>
          <w:lang w:eastAsia="zh-CN"/>
        </w:rPr>
        <w:t>（</w:t>
      </w:r>
      <w:r>
        <w:rPr>
          <w:rFonts w:ascii="宋体" w:eastAsia="宋体" w:cs="宋体" w:hint="eastAsia"/>
          <w:b/>
          <w:sz w:val="32"/>
          <w:szCs w:val="32"/>
          <w:lang w:val="en-US" w:eastAsia="zh-CN"/>
        </w:rPr>
        <w:t>四包：普通实验</w:t>
      </w:r>
      <w:r>
        <w:rPr>
          <w:rFonts w:ascii="宋体" w:eastAsia="宋体" w:cs="宋体" w:hint="eastAsia"/>
          <w:b/>
          <w:sz w:val="32"/>
          <w:szCs w:val="32"/>
          <w:lang w:eastAsia="zh-CN"/>
        </w:rPr>
        <w:t>耗材）</w:t>
      </w:r>
    </w:p>
    <w:p>
      <w:pPr>
        <w:pStyle w:val="23"/>
        <w:spacing w:line="400" w:lineRule="atLeast"/>
        <w:ind w:leftChars="152" w:left="1919" w:hangingChars="500" w:hanging="1600"/>
        <w:rPr>
          <w:rFonts w:ascii="宋体" w:eastAsia="宋体" w:cs="宋体" w:hint="eastAsia"/>
          <w:b/>
          <w:sz w:val="32"/>
          <w:szCs w:val="32"/>
          <w:lang w:eastAsia="zh-CN"/>
        </w:rPr>
      </w:pPr>
    </w:p>
    <w:p>
      <w:pPr>
        <w:pStyle w:val="23"/>
        <w:spacing w:line="400" w:lineRule="atLeast"/>
        <w:rPr>
          <w:rFonts w:ascii="宋体" w:eastAsia="宋体" w:cs="宋体" w:hint="eastAsia"/>
          <w:b/>
          <w:sz w:val="32"/>
          <w:szCs w:val="32"/>
        </w:rPr>
      </w:pPr>
    </w:p>
    <w:p>
      <w:pPr>
        <w:pStyle w:val="23"/>
        <w:spacing w:line="400" w:lineRule="atLeast"/>
        <w:ind w:firstLineChars="100" w:firstLine="320"/>
        <w:rPr>
          <w:rFonts w:ascii="宋体" w:eastAsia="宋体" w:cs="宋体" w:hint="eastAsia"/>
          <w:b/>
          <w:sz w:val="32"/>
          <w:szCs w:val="32"/>
        </w:rPr>
      </w:pPr>
      <w:r>
        <w:rPr>
          <w:rFonts w:ascii="宋体" w:eastAsia="宋体" w:cs="宋体" w:hint="eastAsia"/>
          <w:b/>
          <w:sz w:val="32"/>
          <w:szCs w:val="32"/>
        </w:rPr>
        <w:t>委托单位：新疆维吾尔自治区</w:t>
      </w:r>
      <w:r>
        <w:rPr>
          <w:rFonts w:ascii="宋体" w:eastAsia="宋体" w:cs="宋体" w:hint="eastAsia"/>
          <w:b/>
          <w:sz w:val="32"/>
          <w:szCs w:val="32"/>
          <w:lang w:eastAsia="zh-CN"/>
        </w:rPr>
        <w:t>药品检验研究院</w:t>
      </w:r>
      <w:r>
        <w:rPr>
          <w:rFonts w:ascii="宋体" w:eastAsia="宋体" w:cs="宋体" w:hint="eastAsia"/>
          <w:b/>
          <w:sz w:val="32"/>
          <w:szCs w:val="32"/>
        </w:rPr>
        <w:t xml:space="preserve">              </w:t>
      </w:r>
    </w:p>
    <w:p>
      <w:pPr>
        <w:pStyle w:val="23"/>
        <w:spacing w:line="400" w:lineRule="atLeast"/>
        <w:rPr>
          <w:rFonts w:ascii="宋体" w:eastAsia="宋体" w:cs="宋体" w:hint="eastAsia"/>
          <w:b/>
          <w:sz w:val="32"/>
          <w:szCs w:val="32"/>
        </w:rPr>
      </w:pPr>
    </w:p>
    <w:p>
      <w:pPr>
        <w:pStyle w:val="23"/>
        <w:spacing w:line="400" w:lineRule="atLeast"/>
        <w:ind w:firstLineChars="100" w:firstLine="320"/>
        <w:rPr>
          <w:rFonts w:ascii="宋体" w:eastAsia="宋体" w:cs="宋体" w:hint="eastAsia"/>
          <w:b/>
          <w:sz w:val="32"/>
          <w:szCs w:val="32"/>
          <w:lang w:eastAsia="zh-CN"/>
        </w:rPr>
      </w:pPr>
      <w:r>
        <w:rPr>
          <w:rFonts w:ascii="宋体" w:eastAsia="宋体" w:cs="宋体" w:hint="eastAsia"/>
          <w:b/>
          <w:sz w:val="32"/>
          <w:szCs w:val="32"/>
        </w:rPr>
        <w:t>采购代理：</w:t>
      </w:r>
      <w:r>
        <w:rPr>
          <w:rFonts w:ascii="宋体" w:eastAsia="宋体" w:cs="宋体" w:hint="eastAsia"/>
          <w:b/>
          <w:sz w:val="32"/>
          <w:szCs w:val="32"/>
          <w:lang w:eastAsia="zh-CN"/>
        </w:rPr>
        <w:t>新疆天之源项目管理集团有限公司</w:t>
      </w:r>
    </w:p>
    <w:p>
      <w:pPr>
        <w:spacing w:line="400" w:lineRule="atLeast"/>
        <w:jc w:val="center"/>
        <w:rPr>
          <w:rFonts w:ascii="宋体" w:eastAsia="宋体" w:cs="宋体" w:hint="eastAsia"/>
          <w:b/>
          <w:sz w:val="24"/>
        </w:rPr>
      </w:pPr>
    </w:p>
    <w:p>
      <w:pPr>
        <w:pStyle w:val="30"/>
        <w:ind w:leftChars="0" w:left="0" w:firstLine="0"/>
        <w:rPr>
          <w:rFonts w:ascii="宋体" w:eastAsia="宋体" w:cs="宋体" w:hint="eastAsia"/>
        </w:rPr>
      </w:pPr>
    </w:p>
    <w:p>
      <w:pPr>
        <w:pStyle w:val="24"/>
        <w:rPr>
          <w:rFonts w:ascii="宋体" w:eastAsia="宋体" w:cs="宋体" w:hint="eastAsia"/>
        </w:rPr>
      </w:pPr>
    </w:p>
    <w:p>
      <w:pPr>
        <w:pStyle w:val="20"/>
        <w:jc w:val="center"/>
        <w:rPr>
          <w:rFonts w:ascii="宋体" w:eastAsia="宋体" w:cs="宋体" w:hint="eastAsia"/>
          <w:b/>
          <w:sz w:val="32"/>
          <w:szCs w:val="32"/>
        </w:rPr>
      </w:pPr>
      <w:r>
        <w:rPr>
          <w:rFonts w:ascii="宋体" w:eastAsia="宋体" w:cs="宋体" w:hint="eastAsia"/>
          <w:b/>
          <w:sz w:val="32"/>
          <w:szCs w:val="32"/>
        </w:rPr>
        <w:t>2022年</w:t>
      </w:r>
      <w:r>
        <w:rPr>
          <w:rFonts w:ascii="宋体" w:eastAsia="宋体" w:cs="宋体" w:hint="eastAsia"/>
          <w:b/>
          <w:sz w:val="32"/>
          <w:szCs w:val="32"/>
          <w:lang w:val="en-US" w:eastAsia="zh-CN"/>
        </w:rPr>
        <w:t>4</w:t>
      </w:r>
      <w:r>
        <w:rPr>
          <w:rFonts w:ascii="宋体" w:eastAsia="宋体" w:cs="宋体" w:hint="eastAsia"/>
          <w:b/>
          <w:sz w:val="32"/>
          <w:szCs w:val="32"/>
        </w:rPr>
        <w:t>月</w:t>
      </w:r>
    </w:p>
    <w:p>
      <w:pPr>
        <w:pStyle w:val="28"/>
        <w:widowControl/>
        <w:spacing w:line="360" w:lineRule="exact"/>
        <w:ind w:firstLineChars="200" w:firstLine="960"/>
        <w:rPr>
          <w:rFonts w:ascii="宋体" w:eastAsia="宋体" w:cs="宋体"/>
          <w:color w:val="auto"/>
          <w:sz w:val="24"/>
          <w:szCs w:val="24"/>
          <w:lang w:val="en-US" w:eastAsia="zh-CN"/>
        </w:rPr>
      </w:pPr>
      <w:r>
        <w:rPr>
          <w:rFonts w:ascii="宋体" w:eastAsia="宋体" w:cs="宋体" w:hint="eastAsia"/>
          <w:kern w:val="2"/>
          <w:sz w:val="48"/>
          <w:szCs w:val="48"/>
        </w:rPr>
        <w:t xml:space="preserve"> </w:t>
      </w:r>
    </w:p>
    <w:p>
      <w:pPr>
        <w:pStyle w:val="1"/>
        <w:keepNext/>
        <w:keepLines/>
        <w:pageBreakBefore/>
        <w:widowControl w:val="0"/>
        <w:wordWrap/>
        <w:adjustRightInd/>
        <w:snapToGrid/>
        <w:spacing w:before="0" w:after="0" w:line="360" w:lineRule="auto"/>
        <w:ind w:rightChars="-208" w:right="-439"/>
        <w:jc w:val="center"/>
        <w:textAlignment w:val="auto"/>
        <w:rPr>
          <w:rFonts w:ascii="宋体" w:eastAsia="宋体" w:cs="宋体" w:hint="eastAsia"/>
          <w:b w:val="0"/>
          <w:bCs w:val="0"/>
          <w:sz w:val="32"/>
        </w:rPr>
      </w:pPr>
      <w:bookmarkStart w:id="3" w:name="_Toc14165"/>
      <w:r>
        <w:rPr>
          <w:rFonts w:ascii="宋体" w:eastAsia="宋体" w:cs="宋体" w:hint="eastAsia"/>
          <w:kern w:val="2"/>
          <w:sz w:val="48"/>
          <w:szCs w:val="48"/>
        </w:rPr>
        <w:t>第</w:t>
      </w:r>
      <w:r>
        <w:rPr>
          <w:rFonts w:ascii="宋体" w:cs="宋体" w:hint="eastAsia"/>
          <w:kern w:val="2"/>
          <w:sz w:val="48"/>
          <w:szCs w:val="48"/>
          <w:lang w:val="en-US" w:eastAsia="zh-CN"/>
        </w:rPr>
        <w:t>一</w:t>
      </w:r>
      <w:r>
        <w:rPr>
          <w:rFonts w:ascii="宋体" w:eastAsia="宋体" w:cs="宋体" w:hint="eastAsia"/>
          <w:kern w:val="2"/>
          <w:sz w:val="48"/>
          <w:szCs w:val="48"/>
        </w:rPr>
        <w:t>章  投标人须知</w:t>
      </w:r>
      <w:bookmarkStart w:id="4" w:name="_Toc49082409"/>
      <w:bookmarkStart w:id="5" w:name="_Toc271105676"/>
      <w:bookmarkStart w:id="6" w:name="_Toc245203880"/>
      <w:bookmarkStart w:id="7" w:name="_Toc243743353"/>
      <w:bookmarkStart w:id="8" w:name="_Toc49135195"/>
      <w:bookmarkStart w:id="9" w:name="_Toc278958158"/>
      <w:bookmarkStart w:id="10" w:name="_Toc191353014"/>
      <w:bookmarkStart w:id="11" w:name="_Toc243923367"/>
      <w:bookmarkStart w:id="12" w:name="_Toc19085"/>
      <w:bookmarkStart w:id="13" w:name="_Toc277758485"/>
      <w:bookmarkStart w:id="14" w:name="_Toc185747578"/>
      <w:bookmarkStart w:id="15" w:name="_Toc226521692"/>
      <w:bookmarkStart w:id="16" w:name="_Toc279046865"/>
      <w:bookmarkStart w:id="17" w:name="_Toc226966680"/>
      <w:bookmarkStart w:id="18" w:name="_Toc272350606"/>
      <w:bookmarkStart w:id="19" w:name="_Toc209258272"/>
      <w:bookmarkEnd w:id="0"/>
      <w:bookmarkEnd w:id="1"/>
      <w:bookmarkEnd w:id="2"/>
      <w:bookmarkEnd w:id="3"/>
    </w:p>
    <w:p>
      <w:pPr>
        <w:pStyle w:val="1"/>
        <w:spacing w:before="0" w:after="0" w:line="360" w:lineRule="auto"/>
        <w:ind w:rightChars="-208" w:right="-439"/>
        <w:jc w:val="center"/>
        <w:rPr>
          <w:rFonts w:ascii="宋体" w:eastAsia="宋体" w:cs="宋体" w:hint="eastAsia"/>
          <w:b w:val="0"/>
          <w:bCs w:val="0"/>
          <w:sz w:val="32"/>
        </w:rPr>
      </w:pPr>
      <w:r>
        <w:rPr>
          <w:rFonts w:ascii="宋体" w:eastAsia="宋体" w:cs="宋体" w:hint="eastAsia"/>
          <w:b w:val="0"/>
          <w:bCs w:val="0"/>
          <w:sz w:val="32"/>
        </w:rPr>
        <w:t>投标人须知前附表</w:t>
      </w:r>
    </w:p>
    <w:tbl>
      <w:tblPr>
        <w:jc w:val="left"/>
        <w:tblInd w:w="-5" w:type="dxa"/>
        <w:tblW w:w="9438" w:type="dxa"/>
        <w:tblBorders>
          <w:top w:val="none" w:sz="0" w:space="0" w:color="auto"/>
          <w:left w:val="none" w:sz="0" w:space="0" w:color="auto"/>
          <w:bottom w:val="none" w:sz="0" w:space="0" w:color="auto"/>
          <w:right w:val="none" w:sz="0" w:space="0" w:color="auto"/>
        </w:tblBorders>
        <w:tblLayout w:type="fixed"/>
        <w:tblCellMar>
          <w:top w:w="0" w:type="dxa"/>
          <w:left w:w="0" w:type="dxa"/>
          <w:bottom w:w="0" w:type="dxa"/>
          <w:right w:w="0" w:type="dxa"/>
        </w:tblCellMar>
      </w:tblPr>
      <w:tblGrid>
        <w:gridCol w:w="1571"/>
        <w:gridCol w:w="7867"/>
      </w:tblGrid>
      <w:tr>
        <w:trPr>
          <w:trHeight w:hRule="exact" w:val="1248"/>
        </w:trPr>
        <w:tc>
          <w:tcPr>
            <w:tcW w:w="1571" w:type="dxa"/>
            <w:tcBorders>
              <w:top w:val="single" w:sz="4" w:space="0" w:color="auto"/>
              <w:left w:val="single" w:sz="4" w:space="0" w:color="auto"/>
              <w:bottom w:val="single" w:sz="4" w:space="0" w:color="auto"/>
              <w:right w:val="single" w:sz="4" w:space="0" w:color="auto"/>
            </w:tcBorders>
            <w:noWrap/>
            <w:vAlign w:val="center"/>
          </w:tcPr>
          <w:p>
            <w:pPr>
              <w:spacing w:line="600" w:lineRule="exact"/>
              <w:jc w:val="center"/>
              <w:rPr>
                <w:rFonts w:ascii="宋体" w:eastAsia="宋体" w:cs="宋体" w:hint="eastAsia"/>
                <w:sz w:val="24"/>
                <w:szCs w:val="24"/>
                <w:lang w:val="zh-CN"/>
              </w:rPr>
            </w:pPr>
            <w:r>
              <w:rPr>
                <w:rFonts w:ascii="宋体" w:eastAsia="宋体" w:cs="宋体" w:hint="eastAsia"/>
                <w:sz w:val="24"/>
                <w:szCs w:val="24"/>
                <w:lang w:val="zh-CN"/>
              </w:rPr>
              <w:t>采购项目名称</w:t>
            </w:r>
          </w:p>
        </w:tc>
        <w:tc>
          <w:tcPr>
            <w:tcW w:w="7867" w:type="dxa"/>
            <w:tcBorders>
              <w:top w:val="single" w:sz="4" w:space="0" w:color="auto"/>
              <w:left w:val="single" w:sz="4" w:space="0" w:color="auto"/>
              <w:bottom w:val="single" w:sz="4" w:space="0" w:color="auto"/>
              <w:right w:val="single" w:sz="4" w:space="0" w:color="auto"/>
            </w:tcBorders>
            <w:noWrap/>
            <w:vAlign w:val="center"/>
          </w:tcPr>
          <w:p>
            <w:pPr>
              <w:spacing w:line="600" w:lineRule="exact"/>
              <w:rPr>
                <w:rFonts w:ascii="宋体" w:eastAsia="宋体" w:cs="宋体" w:hint="eastAsia"/>
                <w:sz w:val="24"/>
                <w:szCs w:val="24"/>
                <w:lang w:val="zh-CN"/>
              </w:rPr>
            </w:pPr>
            <w:r>
              <w:rPr>
                <w:rFonts w:ascii="宋体" w:eastAsia="宋体" w:cs="宋体" w:hint="eastAsia"/>
                <w:sz w:val="24"/>
                <w:szCs w:val="24"/>
                <w:lang w:val="zh-CN"/>
              </w:rPr>
              <w:t>新疆维吾尔自治区药品检验研究院标准物质、生物试剂耗材、普通试剂、普通实验耗材采购项目（四包：普通实验耗材）</w:t>
            </w:r>
          </w:p>
        </w:tc>
      </w:tr>
      <w:tr>
        <w:trPr>
          <w:trHeight w:hRule="exact" w:val="523"/>
        </w:trPr>
        <w:tc>
          <w:tcPr>
            <w:tcW w:w="1571" w:type="dxa"/>
            <w:tcBorders>
              <w:top w:val="single" w:sz="4" w:space="0" w:color="auto"/>
              <w:left w:val="single" w:sz="4" w:space="0" w:color="auto"/>
              <w:bottom w:val="single" w:sz="4" w:space="0" w:color="auto"/>
              <w:right w:val="single" w:sz="4" w:space="0" w:color="auto"/>
            </w:tcBorders>
            <w:noWrap/>
            <w:vAlign w:val="center"/>
          </w:tcPr>
          <w:p>
            <w:pPr>
              <w:spacing w:line="600" w:lineRule="exact"/>
              <w:jc w:val="center"/>
              <w:rPr>
                <w:rFonts w:ascii="宋体" w:eastAsia="宋体" w:cs="宋体" w:hint="eastAsia"/>
                <w:sz w:val="24"/>
                <w:szCs w:val="24"/>
              </w:rPr>
            </w:pPr>
            <w:r>
              <w:rPr>
                <w:rFonts w:ascii="宋体" w:eastAsia="宋体" w:cs="宋体" w:hint="eastAsia"/>
                <w:sz w:val="24"/>
                <w:szCs w:val="24"/>
              </w:rPr>
              <w:t>采   购   人</w:t>
            </w:r>
          </w:p>
        </w:tc>
        <w:tc>
          <w:tcPr>
            <w:tcW w:w="7867" w:type="dxa"/>
            <w:tcBorders>
              <w:top w:val="single" w:sz="4" w:space="0" w:color="auto"/>
              <w:left w:val="single" w:sz="4" w:space="0" w:color="auto"/>
              <w:bottom w:val="single" w:sz="4" w:space="0" w:color="auto"/>
              <w:right w:val="single" w:sz="4" w:space="0" w:color="auto"/>
            </w:tcBorders>
            <w:noWrap/>
            <w:vAlign w:val="center"/>
          </w:tcPr>
          <w:p>
            <w:pPr>
              <w:spacing w:line="600" w:lineRule="exact"/>
              <w:rPr>
                <w:rFonts w:ascii="宋体" w:eastAsia="宋体" w:cs="宋体" w:hint="eastAsia"/>
                <w:sz w:val="24"/>
                <w:szCs w:val="24"/>
                <w:lang w:val="zh-CN"/>
              </w:rPr>
            </w:pPr>
            <w:r>
              <w:rPr>
                <w:rFonts w:ascii="宋体" w:eastAsia="宋体" w:cs="宋体" w:hint="eastAsia"/>
                <w:sz w:val="24"/>
                <w:szCs w:val="24"/>
                <w:lang w:val="zh-CN"/>
              </w:rPr>
              <w:t>新疆维吾尔自治区药品检验研究院</w:t>
            </w:r>
          </w:p>
        </w:tc>
      </w:tr>
      <w:tr>
        <w:trPr>
          <w:trHeight w:hRule="exact" w:val="529"/>
        </w:trPr>
        <w:tc>
          <w:tcPr>
            <w:tcW w:w="1571" w:type="dxa"/>
            <w:tcBorders>
              <w:top w:val="single" w:sz="4" w:space="0" w:color="auto"/>
              <w:left w:val="single" w:sz="4" w:space="0" w:color="auto"/>
              <w:bottom w:val="single" w:sz="4" w:space="0" w:color="auto"/>
              <w:right w:val="single" w:sz="4" w:space="0" w:color="auto"/>
            </w:tcBorders>
            <w:noWrap/>
            <w:vAlign w:val="center"/>
          </w:tcPr>
          <w:p>
            <w:pPr>
              <w:spacing w:line="600" w:lineRule="exact"/>
              <w:rPr>
                <w:rFonts w:ascii="宋体" w:eastAsia="宋体" w:cs="宋体" w:hint="eastAsia"/>
                <w:sz w:val="24"/>
                <w:szCs w:val="24"/>
                <w:lang w:val="zh-CN"/>
              </w:rPr>
            </w:pPr>
            <w:r>
              <w:rPr>
                <w:rFonts w:ascii="宋体" w:eastAsia="宋体" w:cs="宋体" w:hint="eastAsia"/>
                <w:sz w:val="24"/>
                <w:szCs w:val="24"/>
                <w:lang w:val="zh-CN"/>
              </w:rPr>
              <w:t>采购代理机构</w:t>
            </w:r>
          </w:p>
        </w:tc>
        <w:tc>
          <w:tcPr>
            <w:tcW w:w="7867" w:type="dxa"/>
            <w:tcBorders>
              <w:top w:val="single" w:sz="4" w:space="0" w:color="auto"/>
              <w:left w:val="single" w:sz="4" w:space="0" w:color="auto"/>
              <w:bottom w:val="single" w:sz="4" w:space="0" w:color="auto"/>
              <w:right w:val="single" w:sz="4" w:space="0" w:color="auto"/>
            </w:tcBorders>
            <w:noWrap/>
            <w:vAlign w:val="center"/>
          </w:tcPr>
          <w:p>
            <w:pPr>
              <w:spacing w:line="600" w:lineRule="exact"/>
              <w:rPr>
                <w:rFonts w:ascii="宋体" w:eastAsia="宋体" w:cs="宋体" w:hint="eastAsia"/>
                <w:sz w:val="24"/>
                <w:szCs w:val="24"/>
                <w:lang w:val="zh-CN"/>
              </w:rPr>
            </w:pPr>
            <w:r>
              <w:rPr>
                <w:rFonts w:ascii="宋体" w:eastAsia="宋体" w:cs="宋体" w:hint="eastAsia"/>
                <w:sz w:val="24"/>
                <w:szCs w:val="24"/>
                <w:lang w:val="zh-CN"/>
              </w:rPr>
              <w:t>新疆天之源项目管理集团有限公司</w:t>
            </w:r>
          </w:p>
        </w:tc>
      </w:tr>
      <w:tr>
        <w:trPr>
          <w:trHeight w:hRule="exact" w:val="562"/>
        </w:trPr>
        <w:tc>
          <w:tcPr>
            <w:tcW w:w="1571" w:type="dxa"/>
            <w:tcBorders>
              <w:top w:val="single" w:sz="4" w:space="0" w:color="auto"/>
              <w:left w:val="single" w:sz="4" w:space="0" w:color="auto"/>
              <w:bottom w:val="single" w:sz="4" w:space="0" w:color="auto"/>
              <w:right w:val="single" w:sz="4" w:space="0" w:color="auto"/>
            </w:tcBorders>
            <w:noWrap/>
            <w:vAlign w:val="center"/>
          </w:tcPr>
          <w:p>
            <w:pPr>
              <w:spacing w:line="600" w:lineRule="exact"/>
              <w:rPr>
                <w:rFonts w:ascii="宋体" w:eastAsia="宋体" w:cs="宋体" w:hint="eastAsia"/>
                <w:sz w:val="24"/>
                <w:szCs w:val="24"/>
              </w:rPr>
            </w:pPr>
            <w:r>
              <w:rPr>
                <w:rFonts w:ascii="宋体" w:eastAsia="宋体" w:cs="宋体" w:hint="eastAsia"/>
                <w:sz w:val="24"/>
                <w:szCs w:val="24"/>
              </w:rPr>
              <w:t>招标文件编号</w:t>
            </w:r>
          </w:p>
        </w:tc>
        <w:tc>
          <w:tcPr>
            <w:tcW w:w="7867" w:type="dxa"/>
            <w:tcBorders>
              <w:top w:val="single" w:sz="4" w:space="0" w:color="auto"/>
              <w:left w:val="single" w:sz="4" w:space="0" w:color="auto"/>
              <w:bottom w:val="single" w:sz="4" w:space="0" w:color="auto"/>
              <w:right w:val="single" w:sz="4" w:space="0" w:color="auto"/>
            </w:tcBorders>
            <w:noWrap/>
            <w:vAlign w:val="center"/>
          </w:tcPr>
          <w:p>
            <w:pPr>
              <w:spacing w:line="600" w:lineRule="exact"/>
              <w:rPr>
                <w:rFonts w:ascii="宋体" w:eastAsia="宋体" w:cs="宋体"/>
                <w:sz w:val="24"/>
                <w:szCs w:val="24"/>
                <w:lang w:val="en-US"/>
              </w:rPr>
            </w:pPr>
            <w:r>
              <w:rPr>
                <w:rFonts w:ascii="宋体" w:cs="宋体" w:hint="eastAsia"/>
                <w:sz w:val="24"/>
                <w:szCs w:val="24"/>
                <w:lang w:val="zh-CN"/>
              </w:rPr>
              <w:t>XJTZY2022-1-C0009-004</w:t>
            </w:r>
          </w:p>
        </w:tc>
      </w:tr>
      <w:tr>
        <w:trPr>
          <w:trHeight w:hRule="exact" w:val="587"/>
        </w:trPr>
        <w:tc>
          <w:tcPr>
            <w:tcW w:w="1571" w:type="dxa"/>
            <w:tcBorders>
              <w:top w:val="single" w:sz="4" w:space="0" w:color="auto"/>
              <w:left w:val="single" w:sz="6" w:space="0" w:color="auto"/>
              <w:bottom w:val="single" w:sz="6" w:space="0" w:color="auto"/>
              <w:right w:val="single" w:sz="6" w:space="0" w:color="auto"/>
            </w:tcBorders>
            <w:noWrap/>
            <w:vAlign w:val="center"/>
          </w:tcPr>
          <w:p>
            <w:pPr>
              <w:spacing w:line="600" w:lineRule="exact"/>
              <w:rPr>
                <w:rFonts w:ascii="宋体" w:eastAsia="宋体" w:cs="宋体" w:hint="eastAsia"/>
                <w:sz w:val="24"/>
                <w:szCs w:val="24"/>
                <w:lang w:val="zh-CN"/>
              </w:rPr>
            </w:pPr>
            <w:r>
              <w:rPr>
                <w:rFonts w:ascii="宋体" w:eastAsia="宋体" w:cs="宋体" w:hint="eastAsia"/>
                <w:sz w:val="24"/>
                <w:szCs w:val="24"/>
                <w:lang w:val="zh-CN"/>
              </w:rPr>
              <w:t>资金到位情况</w:t>
            </w:r>
          </w:p>
        </w:tc>
        <w:tc>
          <w:tcPr>
            <w:tcW w:w="7867" w:type="dxa"/>
            <w:tcBorders>
              <w:top w:val="single" w:sz="4" w:space="0" w:color="auto"/>
              <w:left w:val="single" w:sz="6" w:space="0" w:color="auto"/>
              <w:bottom w:val="single" w:sz="6" w:space="0" w:color="auto"/>
              <w:right w:val="single" w:sz="6" w:space="0" w:color="000000"/>
            </w:tcBorders>
            <w:noWrap/>
            <w:vAlign w:val="center"/>
          </w:tcPr>
          <w:p>
            <w:pPr>
              <w:spacing w:line="600" w:lineRule="exact"/>
              <w:rPr>
                <w:rFonts w:ascii="宋体" w:eastAsia="宋体" w:cs="宋体" w:hint="eastAsia"/>
                <w:sz w:val="24"/>
                <w:szCs w:val="24"/>
                <w:lang w:val="zh-CN"/>
              </w:rPr>
            </w:pPr>
            <w:r>
              <w:rPr>
                <w:rFonts w:ascii="宋体" w:eastAsia="宋体" w:cs="宋体" w:hint="eastAsia"/>
                <w:sz w:val="24"/>
                <w:szCs w:val="24"/>
                <w:lang w:val="zh-CN"/>
              </w:rPr>
              <w:t>已到位</w:t>
            </w:r>
          </w:p>
        </w:tc>
      </w:tr>
      <w:tr>
        <w:trPr>
          <w:trHeight w:val="591"/>
        </w:trPr>
        <w:tc>
          <w:tcPr>
            <w:tcW w:w="1571" w:type="dxa"/>
            <w:tcBorders>
              <w:top w:val="single" w:sz="6" w:space="0" w:color="auto"/>
              <w:left w:val="single" w:sz="6" w:space="0" w:color="auto"/>
              <w:bottom w:val="single" w:sz="4" w:space="0" w:color="auto"/>
              <w:right w:val="single" w:sz="6" w:space="0" w:color="auto"/>
            </w:tcBorders>
            <w:noWrap/>
            <w:vAlign w:val="center"/>
          </w:tcPr>
          <w:p>
            <w:pPr>
              <w:spacing w:line="500" w:lineRule="exact"/>
              <w:jc w:val="center"/>
              <w:rPr>
                <w:rFonts w:ascii="宋体" w:eastAsia="宋体" w:cs="宋体" w:hint="eastAsia"/>
                <w:sz w:val="24"/>
                <w:szCs w:val="24"/>
                <w:lang w:val="zh-CN"/>
              </w:rPr>
            </w:pPr>
            <w:r>
              <w:rPr>
                <w:rFonts w:ascii="宋体" w:eastAsia="宋体" w:cs="宋体" w:hint="eastAsia"/>
                <w:sz w:val="24"/>
                <w:szCs w:val="24"/>
                <w:lang w:val="zh-CN"/>
              </w:rPr>
              <w:t>采</w:t>
            </w:r>
            <w:r>
              <w:rPr>
                <w:rFonts w:ascii="宋体" w:eastAsia="宋体" w:cs="宋体" w:hint="eastAsia"/>
                <w:sz w:val="24"/>
                <w:szCs w:val="24"/>
              </w:rPr>
              <w:t xml:space="preserve"> </w:t>
            </w:r>
            <w:r>
              <w:rPr>
                <w:rFonts w:ascii="宋体" w:eastAsia="宋体" w:cs="宋体" w:hint="eastAsia"/>
                <w:sz w:val="24"/>
                <w:szCs w:val="24"/>
                <w:lang w:val="zh-CN"/>
              </w:rPr>
              <w:t>购</w:t>
            </w:r>
            <w:r>
              <w:rPr>
                <w:rFonts w:ascii="宋体" w:eastAsia="宋体" w:cs="宋体" w:hint="eastAsia"/>
                <w:sz w:val="24"/>
                <w:szCs w:val="24"/>
              </w:rPr>
              <w:t xml:space="preserve"> </w:t>
            </w:r>
            <w:r>
              <w:rPr>
                <w:rFonts w:ascii="宋体" w:eastAsia="宋体" w:cs="宋体" w:hint="eastAsia"/>
                <w:sz w:val="24"/>
                <w:szCs w:val="24"/>
                <w:lang w:val="zh-CN"/>
              </w:rPr>
              <w:t>内</w:t>
            </w:r>
            <w:r>
              <w:rPr>
                <w:rFonts w:ascii="宋体" w:eastAsia="宋体" w:cs="宋体" w:hint="eastAsia"/>
                <w:sz w:val="24"/>
                <w:szCs w:val="24"/>
              </w:rPr>
              <w:t xml:space="preserve"> </w:t>
            </w:r>
            <w:r>
              <w:rPr>
                <w:rFonts w:ascii="宋体" w:eastAsia="宋体" w:cs="宋体" w:hint="eastAsia"/>
                <w:sz w:val="24"/>
                <w:szCs w:val="24"/>
                <w:lang w:val="zh-CN"/>
              </w:rPr>
              <w:t>容</w:t>
            </w:r>
          </w:p>
        </w:tc>
        <w:tc>
          <w:tcPr>
            <w:tcW w:w="7867" w:type="dxa"/>
            <w:tcBorders>
              <w:top w:val="single" w:sz="6" w:space="0" w:color="auto"/>
              <w:left w:val="nil"/>
              <w:bottom w:val="single" w:sz="4" w:space="0" w:color="auto"/>
              <w:right w:val="single" w:sz="6" w:space="0" w:color="000000"/>
            </w:tcBorders>
            <w:noWrap/>
            <w:vAlign w:val="center"/>
          </w:tcPr>
          <w:p>
            <w:pPr>
              <w:spacing w:line="600" w:lineRule="exact"/>
              <w:rPr>
                <w:rFonts w:ascii="宋体" w:eastAsia="宋体" w:cs="宋体" w:hint="eastAsia"/>
                <w:sz w:val="24"/>
                <w:szCs w:val="24"/>
                <w:lang w:val="zh-CN"/>
              </w:rPr>
            </w:pPr>
            <w:r>
              <w:rPr>
                <w:rFonts w:ascii="宋体" w:eastAsia="宋体" w:cs="宋体" w:hint="eastAsia"/>
                <w:sz w:val="24"/>
                <w:szCs w:val="24"/>
                <w:lang w:val="zh-CN"/>
              </w:rPr>
              <w:t>普通实验耗材</w:t>
            </w:r>
          </w:p>
        </w:tc>
      </w:tr>
      <w:tr>
        <w:trPr>
          <w:trHeight w:val="884"/>
        </w:trPr>
        <w:tc>
          <w:tcPr>
            <w:tcW w:w="1571" w:type="dxa"/>
            <w:tcBorders>
              <w:top w:val="single" w:sz="6" w:space="0" w:color="auto"/>
              <w:left w:val="single" w:sz="6" w:space="0" w:color="auto"/>
              <w:bottom w:val="single" w:sz="4" w:space="0" w:color="auto"/>
              <w:right w:val="single" w:sz="6" w:space="0" w:color="auto"/>
            </w:tcBorders>
            <w:noWrap/>
            <w:vAlign w:val="center"/>
          </w:tcPr>
          <w:p>
            <w:pPr>
              <w:tabs>
                <w:tab w:val="left" w:pos="437"/>
              </w:tabs>
              <w:spacing w:line="500" w:lineRule="exact"/>
              <w:jc w:val="center"/>
              <w:rPr>
                <w:rFonts w:ascii="宋体" w:eastAsia="宋体" w:cs="宋体" w:hint="eastAsia"/>
                <w:sz w:val="24"/>
                <w:szCs w:val="24"/>
                <w:lang w:val="zh-CN"/>
              </w:rPr>
            </w:pPr>
            <w:r>
              <w:rPr>
                <w:rFonts w:ascii="宋体" w:eastAsia="宋体" w:cs="宋体" w:hint="eastAsia"/>
                <w:sz w:val="24"/>
                <w:szCs w:val="24"/>
                <w:lang w:val="zh-CN"/>
              </w:rPr>
              <w:t>投标供应</w:t>
            </w:r>
          </w:p>
          <w:p>
            <w:pPr>
              <w:tabs>
                <w:tab w:val="left" w:pos="437"/>
              </w:tabs>
              <w:spacing w:line="500" w:lineRule="exact"/>
              <w:jc w:val="center"/>
              <w:rPr>
                <w:rFonts w:ascii="宋体" w:eastAsia="宋体" w:cs="宋体" w:hint="eastAsia"/>
                <w:sz w:val="24"/>
                <w:szCs w:val="24"/>
                <w:lang w:val="zh-CN"/>
              </w:rPr>
            </w:pPr>
            <w:r>
              <w:rPr>
                <w:rFonts w:ascii="宋体" w:eastAsia="宋体" w:cs="宋体" w:hint="eastAsia"/>
                <w:sz w:val="24"/>
                <w:szCs w:val="24"/>
                <w:lang w:val="zh-CN"/>
              </w:rPr>
              <w:t>商资格要求</w:t>
            </w:r>
          </w:p>
          <w:p>
            <w:pPr>
              <w:tabs>
                <w:tab w:val="left" w:pos="437"/>
              </w:tabs>
              <w:spacing w:line="500" w:lineRule="exact"/>
              <w:jc w:val="center"/>
              <w:rPr>
                <w:rFonts w:ascii="宋体" w:eastAsia="宋体" w:cs="宋体" w:hint="eastAsia"/>
                <w:sz w:val="24"/>
                <w:szCs w:val="24"/>
                <w:lang w:val="zh-CN"/>
              </w:rPr>
            </w:pPr>
          </w:p>
        </w:tc>
        <w:tc>
          <w:tcPr>
            <w:tcW w:w="7867" w:type="dxa"/>
            <w:tcBorders>
              <w:top w:val="single" w:sz="6" w:space="0" w:color="auto"/>
              <w:left w:val="nil"/>
              <w:bottom w:val="single" w:sz="4" w:space="0" w:color="auto"/>
              <w:right w:val="single" w:sz="6" w:space="0" w:color="000000"/>
            </w:tcBorders>
            <w:noWrap/>
            <w:vAlign w:val="center"/>
          </w:tcPr>
          <w:p>
            <w:pPr>
              <w:spacing w:line="600" w:lineRule="exact"/>
              <w:rPr>
                <w:rFonts w:ascii="宋体" w:eastAsia="宋体" w:cs="宋体"/>
                <w:sz w:val="24"/>
                <w:szCs w:val="24"/>
                <w:lang w:val="en-US"/>
                <w:highlight w:val="yellow"/>
              </w:rPr>
            </w:pPr>
            <w:r>
              <w:rPr>
                <w:rFonts w:ascii="宋体" w:cs="宋体" w:hint="eastAsia"/>
                <w:sz w:val="24"/>
                <w:szCs w:val="24"/>
                <w:lang w:val="zh-CN"/>
                <w:highlight w:val="auto"/>
              </w:rPr>
              <w:t>（</w:t>
            </w:r>
            <w:r>
              <w:rPr>
                <w:rFonts w:ascii="宋体" w:cs="宋体" w:hint="eastAsia"/>
                <w:sz w:val="24"/>
                <w:szCs w:val="24"/>
                <w:lang w:val="en-US" w:eastAsia="zh-CN"/>
                <w:highlight w:val="auto"/>
              </w:rPr>
              <w:t>1</w:t>
            </w:r>
            <w:r>
              <w:rPr>
                <w:rFonts w:ascii="宋体" w:cs="宋体" w:hint="eastAsia"/>
                <w:sz w:val="24"/>
                <w:szCs w:val="24"/>
                <w:lang w:val="zh-CN"/>
                <w:highlight w:val="auto"/>
              </w:rPr>
              <w:t>）</w:t>
            </w:r>
            <w:r>
              <w:rPr>
                <w:rFonts w:ascii="宋体" w:eastAsia="宋体" w:cs="宋体" w:hint="eastAsia"/>
                <w:sz w:val="24"/>
                <w:szCs w:val="24"/>
                <w:lang w:val="zh-CN"/>
                <w:highlight w:val="auto"/>
              </w:rPr>
              <w:t>有效的工商营业执照副本原件</w:t>
            </w:r>
          </w:p>
          <w:p>
            <w:pPr>
              <w:spacing w:line="600" w:lineRule="exact"/>
              <w:rPr>
                <w:rFonts w:ascii="宋体" w:eastAsia="宋体" w:cs="宋体" w:hint="eastAsia"/>
                <w:sz w:val="24"/>
                <w:szCs w:val="24"/>
                <w:lang w:val="zh-CN"/>
              </w:rPr>
            </w:pPr>
            <w:r>
              <w:rPr>
                <w:rFonts w:ascii="宋体" w:eastAsia="宋体" w:cs="宋体" w:hint="eastAsia"/>
                <w:sz w:val="24"/>
                <w:szCs w:val="24"/>
                <w:lang w:val="zh-CN"/>
              </w:rPr>
              <w:t>（</w:t>
            </w:r>
            <w:r>
              <w:rPr>
                <w:rFonts w:ascii="宋体" w:cs="宋体" w:hint="eastAsia"/>
                <w:sz w:val="24"/>
                <w:szCs w:val="24"/>
                <w:lang w:val="en-US" w:eastAsia="zh-CN"/>
              </w:rPr>
              <w:t>2</w:t>
            </w:r>
            <w:r>
              <w:rPr>
                <w:rFonts w:ascii="宋体" w:eastAsia="宋体" w:cs="宋体" w:hint="eastAsia"/>
                <w:sz w:val="24"/>
                <w:szCs w:val="24"/>
                <w:lang w:val="zh-CN"/>
              </w:rPr>
              <w:t>）供应商在“信用中国”网站（www.creditchina.gov.cn）未被列入失信被执行人记录、重大税收违法案件当事人名单且在中国政府采购网（www.ccgp.gov.cn）没有相关主体政府采购严重违法失信行为记录（被禁止在一定期限内参加政府采购活动但期限届满的除外）（查询日期为从招标文件发售之日起至投标截止日前），以网页截图（需显示查询时间）加盖投标人公章为准；  </w:t>
            </w:r>
          </w:p>
          <w:p>
            <w:pPr>
              <w:spacing w:line="600" w:lineRule="exact"/>
              <w:rPr>
                <w:rFonts w:ascii="宋体" w:eastAsia="宋体" w:cs="宋体" w:hint="eastAsia"/>
                <w:sz w:val="24"/>
                <w:szCs w:val="24"/>
                <w:lang w:val="zh-CN"/>
              </w:rPr>
            </w:pPr>
            <w:r>
              <w:rPr>
                <w:rFonts w:ascii="宋体" w:eastAsia="宋体" w:cs="宋体" w:hint="eastAsia"/>
                <w:sz w:val="24"/>
                <w:szCs w:val="24"/>
                <w:lang w:val="zh-CN"/>
              </w:rPr>
              <w:t>（</w:t>
            </w:r>
            <w:r>
              <w:rPr>
                <w:rFonts w:ascii="宋体" w:cs="宋体" w:hint="eastAsia"/>
                <w:sz w:val="24"/>
                <w:szCs w:val="24"/>
                <w:lang w:val="en-US" w:eastAsia="zh-CN"/>
              </w:rPr>
              <w:t>3</w:t>
            </w:r>
            <w:r>
              <w:rPr>
                <w:rFonts w:ascii="宋体" w:eastAsia="宋体" w:cs="宋体" w:hint="eastAsia"/>
                <w:sz w:val="24"/>
                <w:szCs w:val="24"/>
                <w:lang w:val="zh-CN"/>
              </w:rPr>
              <w:t>）单位负责人为同一人或者存在直接控股、管理关系的不同投标人，不得参加同一合同项下的政府招标活动。除单一来源采购项目外，为采购项目提供整体设计、规范编制或者项目管理、监理、检测等服务的投标人，不得再参加该采购项目的其他采购活动。</w:t>
            </w:r>
          </w:p>
          <w:p>
            <w:pPr>
              <w:spacing w:line="600" w:lineRule="exact"/>
              <w:rPr>
                <w:rFonts w:ascii="宋体" w:eastAsia="宋体" w:cs="宋体" w:hint="eastAsia"/>
                <w:sz w:val="24"/>
                <w:szCs w:val="24"/>
                <w:lang w:val="zh-CN"/>
              </w:rPr>
            </w:pPr>
            <w:r>
              <w:rPr>
                <w:rFonts w:ascii="宋体" w:eastAsia="宋体" w:cs="宋体" w:hint="eastAsia"/>
                <w:sz w:val="24"/>
                <w:szCs w:val="24"/>
                <w:lang w:val="zh-CN"/>
              </w:rPr>
              <w:t>（</w:t>
            </w:r>
            <w:r>
              <w:rPr>
                <w:rFonts w:ascii="宋体" w:cs="宋体" w:hint="eastAsia"/>
                <w:sz w:val="24"/>
                <w:szCs w:val="24"/>
                <w:lang w:val="en-US" w:eastAsia="zh-CN"/>
              </w:rPr>
              <w:t>4</w:t>
            </w:r>
            <w:r>
              <w:rPr>
                <w:rFonts w:ascii="宋体" w:eastAsia="宋体" w:cs="宋体" w:hint="eastAsia"/>
                <w:sz w:val="24"/>
                <w:szCs w:val="24"/>
                <w:lang w:val="zh-CN"/>
              </w:rPr>
              <w:t>）本项目（否）接受联合体投标</w:t>
            </w:r>
          </w:p>
        </w:tc>
      </w:tr>
      <w:tr>
        <w:trPr>
          <w:trHeight w:val="171"/>
        </w:trPr>
        <w:tc>
          <w:tcPr>
            <w:tcW w:w="1571" w:type="dxa"/>
            <w:tcBorders>
              <w:top w:val="single" w:sz="4" w:space="0" w:color="auto"/>
              <w:left w:val="single" w:sz="6" w:space="0" w:color="auto"/>
              <w:bottom w:val="single" w:sz="4" w:space="0" w:color="auto"/>
              <w:right w:val="single" w:sz="6" w:space="0" w:color="auto"/>
            </w:tcBorders>
            <w:noWrap/>
            <w:vAlign w:val="center"/>
          </w:tcPr>
          <w:p>
            <w:pPr>
              <w:spacing w:line="500" w:lineRule="exact"/>
              <w:ind w:firstLineChars="100" w:firstLine="240"/>
              <w:rPr>
                <w:rFonts w:ascii="宋体" w:eastAsia="宋体" w:cs="宋体" w:hint="eastAsia"/>
                <w:sz w:val="24"/>
                <w:szCs w:val="24"/>
                <w:lang w:val="zh-CN"/>
              </w:rPr>
            </w:pPr>
            <w:r>
              <w:rPr>
                <w:rFonts w:ascii="宋体" w:eastAsia="宋体" w:cs="宋体" w:hint="eastAsia"/>
                <w:sz w:val="24"/>
                <w:szCs w:val="24"/>
                <w:lang w:val="zh-CN"/>
              </w:rPr>
              <w:t>服务地点</w:t>
            </w:r>
          </w:p>
        </w:tc>
        <w:tc>
          <w:tcPr>
            <w:tcW w:w="7867" w:type="dxa"/>
            <w:tcBorders>
              <w:top w:val="single" w:sz="4" w:space="0" w:color="auto"/>
              <w:left w:val="nil"/>
              <w:bottom w:val="nil"/>
              <w:right w:val="single" w:sz="6" w:space="0" w:color="000000"/>
            </w:tcBorders>
            <w:noWrap/>
            <w:vAlign w:val="center"/>
          </w:tcPr>
          <w:p>
            <w:pPr>
              <w:spacing w:line="500" w:lineRule="exact"/>
              <w:jc w:val="left"/>
              <w:rPr>
                <w:rFonts w:ascii="宋体" w:eastAsia="宋体" w:cs="宋体" w:hint="eastAsia"/>
                <w:sz w:val="24"/>
                <w:szCs w:val="24"/>
                <w:lang w:val="zh-CN"/>
              </w:rPr>
            </w:pPr>
            <w:r>
              <w:rPr>
                <w:rFonts w:ascii="宋体" w:eastAsia="宋体" w:cs="宋体" w:hint="eastAsia"/>
                <w:sz w:val="24"/>
                <w:szCs w:val="24"/>
                <w:lang w:val="zh-CN"/>
              </w:rPr>
              <w:t>采购人指定</w:t>
            </w:r>
            <w:r>
              <w:rPr>
                <w:rFonts w:ascii="宋体" w:eastAsia="宋体" w:cs="宋体" w:hint="eastAsia"/>
                <w:sz w:val="24"/>
                <w:szCs w:val="24"/>
              </w:rPr>
              <w:t>地</w:t>
            </w:r>
            <w:r>
              <w:rPr>
                <w:rFonts w:ascii="宋体" w:eastAsia="宋体" w:cs="宋体" w:hint="eastAsia"/>
                <w:sz w:val="24"/>
                <w:szCs w:val="24"/>
                <w:lang w:val="zh-CN"/>
              </w:rPr>
              <w:t>点</w:t>
            </w:r>
          </w:p>
        </w:tc>
      </w:tr>
      <w:tr>
        <w:trPr>
          <w:trHeight w:val="370"/>
        </w:trPr>
        <w:tc>
          <w:tcPr>
            <w:tcW w:w="1571" w:type="dxa"/>
            <w:tcBorders>
              <w:top w:val="single" w:sz="4" w:space="0" w:color="auto"/>
              <w:left w:val="single" w:sz="6" w:space="0" w:color="auto"/>
              <w:bottom w:val="single" w:sz="6" w:space="0" w:color="auto"/>
              <w:right w:val="single" w:sz="6" w:space="0" w:color="auto"/>
            </w:tcBorders>
            <w:noWrap/>
            <w:vAlign w:val="center"/>
          </w:tcPr>
          <w:p>
            <w:pPr>
              <w:spacing w:line="500" w:lineRule="exact"/>
              <w:jc w:val="center"/>
              <w:rPr>
                <w:rFonts w:ascii="宋体" w:eastAsia="宋体" w:cs="宋体" w:hint="eastAsia"/>
                <w:color w:val="000000"/>
                <w:sz w:val="24"/>
                <w:szCs w:val="24"/>
                <w:lang w:val="zh-CN"/>
                <w:highlight w:val="auto"/>
              </w:rPr>
            </w:pPr>
            <w:r>
              <w:rPr>
                <w:rFonts w:ascii="宋体" w:eastAsia="宋体" w:cs="宋体" w:hint="eastAsia"/>
                <w:color w:val="000000"/>
                <w:sz w:val="24"/>
                <w:szCs w:val="24"/>
                <w:lang w:val="zh-CN"/>
                <w:highlight w:val="auto"/>
              </w:rPr>
              <w:t>合同履约期限</w:t>
            </w:r>
          </w:p>
        </w:tc>
        <w:tc>
          <w:tcPr>
            <w:tcW w:w="7867" w:type="dxa"/>
            <w:tcBorders>
              <w:top w:val="single" w:sz="6" w:space="0" w:color="auto"/>
              <w:left w:val="nil"/>
              <w:bottom w:val="single" w:sz="6" w:space="0" w:color="auto"/>
              <w:right w:val="single" w:sz="6" w:space="0" w:color="000000"/>
            </w:tcBorders>
            <w:noWrap/>
            <w:vAlign w:val="center"/>
          </w:tcPr>
          <w:p>
            <w:pPr>
              <w:spacing w:line="500" w:lineRule="exact"/>
              <w:jc w:val="left"/>
              <w:rPr>
                <w:rFonts w:ascii="宋体" w:eastAsia="宋体" w:cs="宋体" w:hint="eastAsia"/>
                <w:color w:val="000000"/>
                <w:sz w:val="24"/>
                <w:szCs w:val="24"/>
                <w:lang w:eastAsia="zh-CN"/>
                <w:highlight w:val="auto"/>
              </w:rPr>
            </w:pPr>
            <w:r>
              <w:rPr>
                <w:rFonts w:ascii="宋体" w:cs="宋体" w:hint="eastAsia"/>
                <w:color w:val="000000"/>
                <w:sz w:val="24"/>
                <w:szCs w:val="24"/>
                <w:lang w:val="en-US" w:eastAsia="zh-CN"/>
                <w:highlight w:val="auto"/>
              </w:rPr>
              <w:t>20个工作日内供货</w:t>
            </w:r>
          </w:p>
        </w:tc>
      </w:tr>
      <w:tr>
        <w:trPr>
          <w:trHeight w:val="370"/>
        </w:trPr>
        <w:tc>
          <w:tcPr>
            <w:tcW w:w="1571" w:type="dxa"/>
            <w:tcBorders>
              <w:top w:val="single" w:sz="4" w:space="0" w:color="auto"/>
              <w:left w:val="single" w:sz="6" w:space="0" w:color="auto"/>
              <w:bottom w:val="single" w:sz="6" w:space="0" w:color="auto"/>
              <w:right w:val="single" w:sz="6" w:space="0" w:color="auto"/>
            </w:tcBorders>
            <w:noWrap/>
            <w:vAlign w:val="center"/>
          </w:tcPr>
          <w:p>
            <w:pPr>
              <w:spacing w:line="500" w:lineRule="exact"/>
              <w:jc w:val="center"/>
              <w:rPr>
                <w:rFonts w:ascii="宋体" w:eastAsia="宋体" w:cs="宋体" w:hint="eastAsia"/>
                <w:color w:val="000000"/>
                <w:sz w:val="24"/>
                <w:szCs w:val="24"/>
                <w:lang w:val="zh-CN"/>
                <w:highlight w:val="auto"/>
              </w:rPr>
            </w:pPr>
            <w:r>
              <w:rPr>
                <w:rFonts w:ascii="宋体" w:cs="宋体" w:hint="eastAsia"/>
                <w:color w:val="000000"/>
                <w:sz w:val="24"/>
                <w:szCs w:val="24"/>
                <w:lang w:val="zh-CN"/>
                <w:highlight w:val="auto"/>
              </w:rPr>
              <w:t>质保期</w:t>
            </w:r>
          </w:p>
        </w:tc>
        <w:tc>
          <w:tcPr>
            <w:tcW w:w="7867" w:type="dxa"/>
            <w:tcBorders>
              <w:top w:val="single" w:sz="6" w:space="0" w:color="auto"/>
              <w:left w:val="nil"/>
              <w:bottom w:val="single" w:sz="6" w:space="0" w:color="auto"/>
              <w:right w:val="single" w:sz="6" w:space="0" w:color="000000"/>
            </w:tcBorders>
            <w:noWrap/>
            <w:vAlign w:val="center"/>
          </w:tcPr>
          <w:p>
            <w:pPr>
              <w:spacing w:line="500" w:lineRule="exact"/>
              <w:jc w:val="left"/>
              <w:rPr>
                <w:rFonts w:ascii="宋体" w:eastAsia="宋体" w:cs="宋体" w:hint="eastAsia"/>
                <w:color w:val="000000"/>
                <w:sz w:val="24"/>
                <w:szCs w:val="24"/>
                <w:lang w:eastAsia="zh-CN"/>
                <w:highlight w:val="auto"/>
              </w:rPr>
            </w:pPr>
            <w:r>
              <w:rPr>
                <w:rFonts w:ascii="宋体" w:cs="宋体" w:hint="eastAsia"/>
                <w:color w:val="000000"/>
                <w:sz w:val="24"/>
                <w:szCs w:val="24"/>
                <w:lang w:eastAsia="zh-CN"/>
                <w:highlight w:val="auto"/>
              </w:rPr>
              <w:t>保证</w:t>
            </w:r>
            <w:r>
              <w:rPr>
                <w:rFonts w:ascii="宋体" w:cs="宋体" w:hint="eastAsia"/>
                <w:color w:val="000000"/>
                <w:sz w:val="24"/>
                <w:szCs w:val="24"/>
                <w:lang w:val="en-US" w:eastAsia="zh-CN"/>
                <w:highlight w:val="auto"/>
              </w:rPr>
              <w:t>2023年12月31日之前有效</w:t>
            </w:r>
          </w:p>
        </w:tc>
      </w:tr>
      <w:tr>
        <w:trPr>
          <w:trHeight w:val="556"/>
        </w:trPr>
        <w:tc>
          <w:tcPr>
            <w:tcW w:w="1571" w:type="dxa"/>
            <w:tcBorders>
              <w:top w:val="single" w:sz="4" w:space="0" w:color="auto"/>
              <w:left w:val="single" w:sz="6" w:space="0" w:color="auto"/>
              <w:bottom w:val="single" w:sz="6" w:space="0" w:color="auto"/>
              <w:right w:val="single" w:sz="6" w:space="0" w:color="auto"/>
            </w:tcBorders>
            <w:noWrap/>
            <w:vAlign w:val="center"/>
          </w:tcPr>
          <w:p>
            <w:pPr>
              <w:spacing w:line="360" w:lineRule="exact"/>
              <w:jc w:val="center"/>
              <w:rPr>
                <w:rFonts w:ascii="宋体" w:eastAsia="宋体" w:cs="宋体" w:hint="eastAsia"/>
                <w:sz w:val="24"/>
                <w:szCs w:val="24"/>
                <w:lang w:val="zh-CN"/>
              </w:rPr>
            </w:pPr>
            <w:r>
              <w:rPr>
                <w:rFonts w:ascii="宋体" w:eastAsia="宋体" w:cs="宋体" w:hint="eastAsia"/>
                <w:sz w:val="24"/>
                <w:szCs w:val="24"/>
                <w:lang w:val="zh-CN"/>
              </w:rPr>
              <w:t>投标保证金</w:t>
            </w:r>
          </w:p>
          <w:p>
            <w:pPr>
              <w:spacing w:line="500" w:lineRule="exact"/>
              <w:jc w:val="center"/>
              <w:rPr>
                <w:rFonts w:ascii="宋体" w:eastAsia="宋体" w:cs="宋体" w:hint="eastAsia"/>
                <w:sz w:val="24"/>
                <w:szCs w:val="24"/>
                <w:lang w:val="zh-CN"/>
              </w:rPr>
            </w:pPr>
            <w:r>
              <w:rPr>
                <w:rFonts w:ascii="宋体" w:eastAsia="宋体" w:cs="宋体" w:hint="eastAsia"/>
                <w:sz w:val="24"/>
                <w:szCs w:val="24"/>
                <w:lang w:val="zh-CN"/>
              </w:rPr>
              <w:t>形式及相关须知</w:t>
            </w:r>
          </w:p>
        </w:tc>
        <w:tc>
          <w:tcPr>
            <w:tcW w:w="7867" w:type="dxa"/>
            <w:tcBorders>
              <w:top w:val="single" w:sz="6" w:space="0" w:color="auto"/>
              <w:left w:val="nil"/>
              <w:bottom w:val="single" w:sz="6" w:space="0" w:color="auto"/>
              <w:right w:val="single" w:sz="6" w:space="0" w:color="000000"/>
            </w:tcBorders>
            <w:noWrap/>
            <w:vAlign w:val="center"/>
          </w:tcPr>
          <w:p>
            <w:pPr>
              <w:pStyle w:val="23"/>
              <w:spacing w:line="440" w:lineRule="exact"/>
              <w:jc w:val="left"/>
              <w:rPr>
                <w:rFonts w:ascii="宋体" w:eastAsia="宋体" w:cs="宋体" w:hint="eastAsia"/>
                <w:sz w:val="24"/>
                <w:szCs w:val="24"/>
              </w:rPr>
            </w:pPr>
            <w:r>
              <w:rPr>
                <w:rFonts w:ascii="宋体" w:eastAsia="宋体" w:cs="宋体" w:hint="eastAsia"/>
                <w:sz w:val="24"/>
                <w:szCs w:val="24"/>
              </w:rPr>
              <w:t>保证金要求提供，数额不得超过采购项目预算金额的</w:t>
            </w:r>
            <w:r>
              <w:rPr>
                <w:rFonts w:cs="宋体" w:hint="eastAsia"/>
                <w:b w:val="0"/>
                <w:bCs w:val="0"/>
                <w:color w:val="auto"/>
                <w:sz w:val="24"/>
                <w:szCs w:val="24"/>
                <w:lang w:val="en-US" w:eastAsia="zh-CN"/>
              </w:rPr>
              <w:t>1</w:t>
            </w:r>
            <w:r>
              <w:rPr>
                <w:rFonts w:ascii="宋体" w:eastAsia="宋体" w:cs="宋体" w:hint="eastAsia"/>
                <w:b w:val="0"/>
                <w:bCs w:val="0"/>
                <w:color w:val="auto"/>
                <w:sz w:val="24"/>
                <w:szCs w:val="24"/>
              </w:rPr>
              <w:t>%</w:t>
            </w:r>
            <w:r>
              <w:rPr>
                <w:rFonts w:ascii="宋体" w:eastAsia="宋体" w:cs="宋体" w:hint="eastAsia"/>
                <w:sz w:val="24"/>
                <w:szCs w:val="24"/>
              </w:rPr>
              <w:t>，本项目的投标保证金为：</w:t>
            </w:r>
            <w:r>
              <w:rPr>
                <w:rFonts w:ascii="宋体" w:eastAsia="宋体" w:cs="宋体" w:hint="eastAsia"/>
                <w:b w:val="0"/>
                <w:bCs/>
                <w:color w:val="auto"/>
                <w:sz w:val="24"/>
                <w:szCs w:val="24"/>
                <w:u w:val="single"/>
              </w:rPr>
              <w:t>标项</w:t>
            </w:r>
            <w:r>
              <w:rPr>
                <w:rFonts w:cs="宋体" w:hint="eastAsia"/>
                <w:b w:val="0"/>
                <w:bCs/>
                <w:color w:val="auto"/>
                <w:sz w:val="24"/>
                <w:szCs w:val="24"/>
                <w:u w:val="single"/>
                <w:lang w:val="en-US" w:eastAsia="zh-CN"/>
              </w:rPr>
              <w:t>四</w:t>
            </w:r>
            <w:r>
              <w:rPr>
                <w:rFonts w:ascii="宋体" w:eastAsia="宋体" w:cs="宋体" w:hint="eastAsia"/>
                <w:b w:val="0"/>
                <w:bCs/>
                <w:color w:val="auto"/>
                <w:sz w:val="24"/>
                <w:szCs w:val="24"/>
                <w:u w:val="single"/>
              </w:rPr>
              <w:t>：</w:t>
            </w:r>
            <w:r>
              <w:rPr>
                <w:rFonts w:cs="宋体" w:hint="eastAsia"/>
                <w:b w:val="0"/>
                <w:bCs/>
                <w:color w:val="auto"/>
                <w:sz w:val="24"/>
                <w:szCs w:val="24"/>
                <w:u w:val="single"/>
                <w:lang w:val="en-US" w:eastAsia="zh-CN"/>
              </w:rPr>
              <w:t>3000</w:t>
            </w:r>
            <w:r>
              <w:rPr>
                <w:rFonts w:ascii="宋体" w:eastAsia="宋体" w:cs="宋体" w:hint="eastAsia"/>
                <w:b w:val="0"/>
                <w:bCs/>
                <w:color w:val="auto"/>
                <w:sz w:val="24"/>
                <w:szCs w:val="24"/>
                <w:u w:val="single"/>
              </w:rPr>
              <w:t>元（大写：</w:t>
            </w:r>
            <w:r>
              <w:rPr>
                <w:rFonts w:cs="宋体" w:hint="eastAsia"/>
                <w:b w:val="0"/>
                <w:bCs/>
                <w:color w:val="auto"/>
                <w:sz w:val="24"/>
                <w:szCs w:val="24"/>
                <w:u w:val="single"/>
                <w:lang w:val="en-US" w:eastAsia="zh-CN"/>
              </w:rPr>
              <w:t>叁仟元整</w:t>
            </w:r>
            <w:r>
              <w:rPr>
                <w:rFonts w:ascii="宋体" w:eastAsia="宋体" w:cs="宋体" w:hint="eastAsia"/>
                <w:b w:val="0"/>
                <w:bCs/>
                <w:color w:val="auto"/>
                <w:sz w:val="24"/>
                <w:szCs w:val="24"/>
                <w:u w:val="single"/>
              </w:rPr>
              <w:t>）</w:t>
            </w:r>
            <w:r>
              <w:rPr>
                <w:rFonts w:ascii="宋体" w:eastAsia="宋体" w:cs="宋体" w:hint="eastAsia"/>
                <w:sz w:val="24"/>
                <w:szCs w:val="24"/>
              </w:rPr>
              <w:t>提交方式为</w:t>
            </w:r>
            <w:r>
              <w:rPr>
                <w:rFonts w:ascii="宋体" w:eastAsia="宋体" w:cs="宋体" w:hint="eastAsia"/>
                <w:sz w:val="24"/>
                <w:szCs w:val="24"/>
                <w:u w:val="single"/>
              </w:rPr>
              <w:t>投标人基本账户以网银或银行电汇形式</w:t>
            </w:r>
            <w:r>
              <w:rPr>
                <w:rFonts w:ascii="宋体" w:eastAsia="宋体" w:cs="宋体" w:hint="eastAsia"/>
                <w:sz w:val="24"/>
                <w:szCs w:val="24"/>
              </w:rPr>
              <w:t>，在投标截止时间之前汇至本公司账户，否则其响应文件将被拒绝评审，投标人提交投标保证金应充分考虑资金在途时间。</w:t>
            </w:r>
          </w:p>
          <w:p>
            <w:pPr>
              <w:spacing w:line="440" w:lineRule="exact"/>
              <w:jc w:val="left"/>
              <w:rPr>
                <w:rFonts w:ascii="宋体" w:eastAsia="宋体" w:cs="宋体" w:hint="eastAsia"/>
                <w:sz w:val="24"/>
                <w:szCs w:val="24"/>
              </w:rPr>
            </w:pPr>
            <w:r>
              <w:rPr>
                <w:rFonts w:ascii="宋体" w:eastAsia="宋体" w:cs="宋体" w:hint="eastAsia"/>
                <w:sz w:val="24"/>
                <w:szCs w:val="24"/>
              </w:rPr>
              <w:t>账户信息：</w:t>
            </w:r>
            <w:r>
              <w:rPr>
                <w:rFonts w:ascii="宋体" w:eastAsia="宋体" w:cs="宋体" w:hint="eastAsia"/>
                <w:sz w:val="24"/>
                <w:szCs w:val="24"/>
                <w:lang w:eastAsia="zh-CN"/>
              </w:rPr>
              <w:t>新疆天之源项目管理集团有限公司</w:t>
            </w:r>
            <w:r>
              <w:rPr>
                <w:rFonts w:ascii="宋体" w:eastAsia="宋体" w:cs="宋体" w:hint="eastAsia"/>
                <w:sz w:val="24"/>
                <w:szCs w:val="24"/>
              </w:rPr>
              <w:t xml:space="preserve">  </w:t>
            </w:r>
          </w:p>
          <w:p>
            <w:pPr>
              <w:spacing w:line="440" w:lineRule="exact"/>
              <w:jc w:val="left"/>
              <w:rPr>
                <w:rFonts w:ascii="宋体" w:eastAsia="宋体" w:cs="宋体" w:hint="eastAsia"/>
                <w:sz w:val="24"/>
                <w:szCs w:val="24"/>
              </w:rPr>
            </w:pPr>
            <w:r>
              <w:rPr>
                <w:rFonts w:ascii="宋体" w:eastAsia="宋体" w:cs="宋体" w:hint="eastAsia"/>
                <w:sz w:val="24"/>
                <w:szCs w:val="24"/>
              </w:rPr>
              <w:t>开户行：招商银行股份有限公司乌鲁木齐人民路支行</w:t>
            </w:r>
          </w:p>
          <w:p>
            <w:pPr>
              <w:spacing w:line="440" w:lineRule="exact"/>
              <w:jc w:val="left"/>
              <w:rPr>
                <w:rFonts w:ascii="宋体" w:eastAsia="宋体" w:cs="宋体" w:hint="eastAsia"/>
                <w:sz w:val="24"/>
                <w:szCs w:val="24"/>
              </w:rPr>
            </w:pPr>
            <w:r>
              <w:rPr>
                <w:rFonts w:ascii="宋体" w:eastAsia="宋体" w:cs="宋体" w:hint="eastAsia"/>
                <w:sz w:val="24"/>
                <w:szCs w:val="24"/>
              </w:rPr>
              <w:t>银行账号：991902337110201</w:t>
            </w:r>
          </w:p>
          <w:p>
            <w:pPr>
              <w:spacing w:line="500" w:lineRule="exact"/>
              <w:jc w:val="left"/>
              <w:rPr>
                <w:rFonts w:ascii="宋体" w:eastAsia="宋体" w:cs="宋体" w:hint="eastAsia"/>
                <w:sz w:val="24"/>
                <w:szCs w:val="24"/>
                <w:lang w:val="zh-CN"/>
                <w:highlight w:val="red"/>
              </w:rPr>
            </w:pPr>
            <w:r>
              <w:rPr>
                <w:rFonts w:ascii="宋体" w:eastAsia="宋体" w:cs="宋体" w:hint="eastAsia"/>
                <w:sz w:val="24"/>
                <w:szCs w:val="24"/>
              </w:rPr>
              <w:t>注：以电汇方式递交投标保证金须在电汇凭据附言栏中写明项目编号、包号及用途(保证金)，由于未按要求注明信息而导致的一切后果由投标人承担，在投标文件中投标单位须附基本开户许可证复印件及汇款凭证证明。</w:t>
            </w:r>
          </w:p>
        </w:tc>
      </w:tr>
      <w:tr>
        <w:trPr>
          <w:trHeight w:hRule="exact" w:val="499"/>
        </w:trPr>
        <w:tc>
          <w:tcPr>
            <w:tcW w:w="1571" w:type="dxa"/>
            <w:tcBorders>
              <w:top w:val="nil"/>
              <w:left w:val="single" w:sz="6" w:space="0" w:color="auto"/>
              <w:bottom w:val="single" w:sz="6" w:space="0" w:color="auto"/>
              <w:right w:val="single" w:sz="6" w:space="0" w:color="auto"/>
            </w:tcBorders>
            <w:noWrap/>
            <w:vAlign w:val="center"/>
          </w:tcPr>
          <w:p>
            <w:pPr>
              <w:spacing w:line="360" w:lineRule="exact"/>
              <w:jc w:val="center"/>
              <w:rPr>
                <w:rFonts w:ascii="宋体" w:eastAsia="宋体" w:cs="宋体" w:hint="eastAsia"/>
                <w:sz w:val="24"/>
                <w:szCs w:val="24"/>
                <w:lang w:val="zh-CN"/>
              </w:rPr>
            </w:pPr>
            <w:r>
              <w:rPr>
                <w:rFonts w:ascii="宋体" w:eastAsia="宋体" w:cs="宋体" w:hint="eastAsia"/>
                <w:sz w:val="24"/>
                <w:szCs w:val="24"/>
                <w:lang w:val="zh-CN"/>
              </w:rPr>
              <w:t>付款方式</w:t>
            </w:r>
          </w:p>
        </w:tc>
        <w:tc>
          <w:tcPr>
            <w:tcW w:w="7867" w:type="dxa"/>
            <w:tcBorders>
              <w:top w:val="single" w:sz="6" w:space="0" w:color="auto"/>
              <w:left w:val="nil"/>
              <w:bottom w:val="single" w:sz="6" w:space="0" w:color="auto"/>
              <w:right w:val="single" w:sz="6" w:space="0" w:color="000000"/>
            </w:tcBorders>
            <w:noWrap/>
          </w:tcPr>
          <w:p>
            <w:pPr>
              <w:spacing w:line="360" w:lineRule="exact"/>
              <w:jc w:val="left"/>
              <w:rPr>
                <w:rFonts w:ascii="宋体" w:eastAsia="宋体" w:cs="宋体" w:hint="eastAsia"/>
                <w:sz w:val="24"/>
                <w:szCs w:val="24"/>
              </w:rPr>
            </w:pPr>
            <w:r>
              <w:rPr>
                <w:rFonts w:ascii="宋体" w:eastAsia="宋体" w:cs="宋体" w:hint="eastAsia"/>
                <w:sz w:val="24"/>
                <w:szCs w:val="24"/>
              </w:rPr>
              <w:t>后期与甲方签订合同为准</w:t>
            </w:r>
          </w:p>
        </w:tc>
      </w:tr>
      <w:tr>
        <w:trPr>
          <w:trHeight w:hRule="exact" w:val="2569"/>
        </w:trPr>
        <w:tc>
          <w:tcPr>
            <w:tcW w:w="1571" w:type="dxa"/>
            <w:tcBorders>
              <w:top w:val="nil"/>
              <w:left w:val="single" w:sz="6" w:space="0" w:color="auto"/>
              <w:bottom w:val="single" w:sz="6" w:space="0" w:color="auto"/>
              <w:right w:val="single" w:sz="6" w:space="0" w:color="auto"/>
            </w:tcBorders>
            <w:noWrap/>
            <w:vAlign w:val="center"/>
          </w:tcPr>
          <w:p>
            <w:pPr>
              <w:spacing w:line="360" w:lineRule="exact"/>
              <w:jc w:val="center"/>
              <w:rPr>
                <w:rFonts w:ascii="宋体" w:eastAsia="宋体" w:cs="宋体" w:hint="eastAsia"/>
                <w:sz w:val="24"/>
                <w:szCs w:val="24"/>
                <w:lang w:val="zh-CN"/>
              </w:rPr>
            </w:pPr>
            <w:r>
              <w:rPr>
                <w:rFonts w:ascii="宋体" w:eastAsia="宋体" w:cs="宋体" w:hint="eastAsia"/>
                <w:sz w:val="24"/>
                <w:szCs w:val="24"/>
                <w:lang w:val="zh-CN"/>
              </w:rPr>
              <w:t>投标文件份数</w:t>
            </w:r>
          </w:p>
        </w:tc>
        <w:tc>
          <w:tcPr>
            <w:tcW w:w="7867" w:type="dxa"/>
            <w:tcBorders>
              <w:top w:val="single" w:sz="6" w:space="0" w:color="auto"/>
              <w:left w:val="nil"/>
              <w:bottom w:val="single" w:sz="6" w:space="0" w:color="auto"/>
              <w:right w:val="single" w:sz="6" w:space="0" w:color="000000"/>
            </w:tcBorders>
            <w:noWrap/>
          </w:tcPr>
          <w:p>
            <w:pPr>
              <w:pStyle w:val="47"/>
              <w:spacing w:line="440" w:lineRule="exact"/>
              <w:jc w:val="both"/>
              <w:rPr>
                <w:rFonts w:ascii="宋体" w:eastAsia="宋体" w:cs="宋体" w:hint="eastAsia"/>
                <w:color w:val="auto"/>
                <w:sz w:val="24"/>
                <w:szCs w:val="24"/>
              </w:rPr>
            </w:pPr>
            <w:r>
              <w:rPr>
                <w:rFonts w:ascii="宋体" w:eastAsia="宋体" w:cs="宋体" w:hint="eastAsia"/>
                <w:color w:val="auto"/>
                <w:sz w:val="24"/>
                <w:szCs w:val="24"/>
              </w:rPr>
              <w:t>投标文件的数量：正本1份、副本4份</w:t>
            </w:r>
          </w:p>
          <w:p>
            <w:pPr>
              <w:pStyle w:val="47"/>
              <w:spacing w:line="440" w:lineRule="exact"/>
              <w:jc w:val="both"/>
              <w:rPr>
                <w:rFonts w:ascii="宋体" w:eastAsia="宋体" w:cs="宋体" w:hint="eastAsia"/>
                <w:color w:val="auto"/>
                <w:sz w:val="24"/>
                <w:szCs w:val="24"/>
              </w:rPr>
            </w:pPr>
            <w:r>
              <w:rPr>
                <w:rFonts w:ascii="宋体" w:eastAsia="宋体" w:cs="宋体" w:hint="eastAsia"/>
                <w:color w:val="auto"/>
                <w:sz w:val="24"/>
                <w:szCs w:val="24"/>
              </w:rPr>
              <w:t>投标报价单的数量：1份（单独密封）</w:t>
            </w:r>
          </w:p>
          <w:p>
            <w:pPr>
              <w:pStyle w:val="47"/>
              <w:spacing w:line="440" w:lineRule="exact"/>
              <w:jc w:val="both"/>
              <w:rPr>
                <w:rFonts w:ascii="宋体" w:eastAsia="宋体" w:cs="宋体" w:hint="eastAsia"/>
                <w:color w:val="auto"/>
                <w:sz w:val="24"/>
                <w:szCs w:val="24"/>
              </w:rPr>
            </w:pPr>
            <w:r>
              <w:rPr>
                <w:rFonts w:ascii="宋体" w:eastAsia="宋体" w:cs="宋体" w:hint="eastAsia"/>
                <w:color w:val="auto"/>
                <w:sz w:val="24"/>
                <w:szCs w:val="24"/>
              </w:rPr>
              <w:t>电子版投标文件：1份(□扫描件，☑ Word，可多选，以U盘形式提交，单独密封)</w:t>
            </w:r>
          </w:p>
          <w:p>
            <w:pPr>
              <w:spacing w:line="360" w:lineRule="exact"/>
              <w:jc w:val="left"/>
              <w:rPr>
                <w:rFonts w:ascii="宋体" w:eastAsia="宋体" w:cs="宋体" w:hint="eastAsia"/>
                <w:sz w:val="24"/>
                <w:szCs w:val="24"/>
              </w:rPr>
            </w:pPr>
            <w:r>
              <w:rPr>
                <w:rFonts w:ascii="宋体" w:eastAsia="宋体" w:cs="宋体" w:hint="eastAsia"/>
                <w:b/>
                <w:sz w:val="24"/>
                <w:szCs w:val="24"/>
              </w:rPr>
              <w:t>（注：装订形式：不得采用活页、拉杆等方式，必须采用胶装，否则按废标处理）</w:t>
            </w:r>
          </w:p>
        </w:tc>
      </w:tr>
      <w:tr>
        <w:trPr>
          <w:trHeight w:hRule="exact" w:val="914"/>
        </w:trPr>
        <w:tc>
          <w:tcPr>
            <w:tcW w:w="1571" w:type="dxa"/>
            <w:tcBorders>
              <w:top w:val="nil"/>
              <w:left w:val="single" w:sz="6" w:space="0" w:color="auto"/>
              <w:bottom w:val="single" w:sz="6" w:space="0" w:color="auto"/>
              <w:right w:val="single" w:sz="6" w:space="0" w:color="auto"/>
            </w:tcBorders>
            <w:noWrap/>
            <w:vAlign w:val="center"/>
          </w:tcPr>
          <w:p>
            <w:pPr>
              <w:spacing w:line="360" w:lineRule="exact"/>
              <w:jc w:val="center"/>
              <w:rPr>
                <w:rFonts w:ascii="宋体" w:eastAsia="宋体" w:cs="宋体" w:hint="eastAsia"/>
                <w:color w:val="000000"/>
                <w:sz w:val="24"/>
                <w:szCs w:val="24"/>
                <w:lang w:val="zh-CN"/>
                <w:highlight w:val="auto"/>
              </w:rPr>
            </w:pPr>
            <w:r>
              <w:rPr>
                <w:rFonts w:ascii="宋体" w:eastAsia="宋体" w:cs="宋体" w:hint="eastAsia"/>
                <w:color w:val="000000"/>
                <w:sz w:val="24"/>
                <w:szCs w:val="24"/>
                <w:lang w:val="zh-CN"/>
                <w:highlight w:val="auto"/>
              </w:rPr>
              <w:t>投标文件递交地点</w:t>
            </w:r>
          </w:p>
        </w:tc>
        <w:tc>
          <w:tcPr>
            <w:tcW w:w="7867" w:type="dxa"/>
            <w:tcBorders>
              <w:top w:val="nil"/>
              <w:left w:val="nil"/>
              <w:bottom w:val="single" w:sz="6" w:space="0" w:color="auto"/>
              <w:right w:val="single" w:sz="6" w:space="0" w:color="000000"/>
            </w:tcBorders>
            <w:noWrap/>
            <w:vAlign w:val="center"/>
          </w:tcPr>
          <w:p>
            <w:pPr>
              <w:spacing w:line="360" w:lineRule="exact"/>
              <w:jc w:val="left"/>
              <w:rPr>
                <w:rFonts w:ascii="宋体" w:eastAsia="宋体" w:cs="宋体" w:hint="eastAsia"/>
                <w:color w:val="000000"/>
                <w:sz w:val="24"/>
                <w:szCs w:val="24"/>
                <w:highlight w:val="auto"/>
              </w:rPr>
            </w:pPr>
            <w:r>
              <w:rPr>
                <w:rFonts w:ascii="宋体" w:eastAsia="宋体" w:cs="宋体" w:hint="eastAsia"/>
                <w:color w:val="000000"/>
                <w:sz w:val="24"/>
                <w:szCs w:val="24"/>
                <w:lang w:eastAsia="zh-CN"/>
                <w:highlight w:val="auto"/>
              </w:rPr>
              <w:t>新疆天之源项目管理集团有限公司</w:t>
            </w:r>
            <w:r>
              <w:rPr>
                <w:rFonts w:ascii="宋体" w:eastAsia="宋体" w:cs="宋体" w:hint="eastAsia"/>
                <w:color w:val="000000"/>
                <w:sz w:val="24"/>
                <w:szCs w:val="24"/>
                <w:highlight w:val="auto"/>
              </w:rPr>
              <w:t>开标室（</w:t>
            </w:r>
            <w:r>
              <w:rPr>
                <w:rFonts w:ascii="宋体" w:eastAsia="宋体" w:cs="宋体" w:hint="eastAsia"/>
                <w:color w:val="000000"/>
                <w:sz w:val="24"/>
                <w:szCs w:val="24"/>
                <w:lang w:eastAsia="zh-CN"/>
                <w:highlight w:val="auto"/>
              </w:rPr>
              <w:t>乌鲁木齐市水磨沟区龙盛街2799号浙商大厦11楼会议室</w:t>
            </w:r>
            <w:r>
              <w:rPr>
                <w:rFonts w:ascii="宋体" w:eastAsia="宋体" w:cs="宋体" w:hint="eastAsia"/>
                <w:color w:val="000000"/>
                <w:sz w:val="24"/>
                <w:szCs w:val="24"/>
                <w:highlight w:val="auto"/>
              </w:rPr>
              <w:t>）</w:t>
            </w:r>
          </w:p>
        </w:tc>
      </w:tr>
      <w:tr>
        <w:trPr>
          <w:trHeight w:hRule="exact" w:val="695"/>
        </w:trPr>
        <w:tc>
          <w:tcPr>
            <w:tcW w:w="1571" w:type="dxa"/>
            <w:tcBorders>
              <w:top w:val="nil"/>
              <w:left w:val="single" w:sz="6" w:space="0" w:color="auto"/>
              <w:bottom w:val="single" w:sz="4" w:space="0" w:color="auto"/>
              <w:right w:val="single" w:sz="6" w:space="0" w:color="auto"/>
            </w:tcBorders>
            <w:noWrap/>
            <w:vAlign w:val="center"/>
          </w:tcPr>
          <w:p>
            <w:pPr>
              <w:spacing w:line="360" w:lineRule="exact"/>
              <w:jc w:val="center"/>
              <w:rPr>
                <w:rFonts w:ascii="宋体" w:eastAsia="宋体" w:cs="宋体" w:hint="eastAsia"/>
                <w:sz w:val="24"/>
                <w:szCs w:val="24"/>
                <w:lang w:val="zh-CN"/>
              </w:rPr>
            </w:pPr>
            <w:r>
              <w:rPr>
                <w:rFonts w:ascii="宋体" w:eastAsia="宋体" w:cs="宋体" w:hint="eastAsia"/>
                <w:sz w:val="24"/>
                <w:szCs w:val="24"/>
                <w:lang w:val="zh-CN"/>
              </w:rPr>
              <w:t>投标文件截止时间</w:t>
            </w:r>
          </w:p>
        </w:tc>
        <w:tc>
          <w:tcPr>
            <w:tcW w:w="7867" w:type="dxa"/>
            <w:tcBorders>
              <w:top w:val="nil"/>
              <w:left w:val="nil"/>
              <w:bottom w:val="single" w:sz="4" w:space="0" w:color="auto"/>
              <w:right w:val="single" w:sz="6" w:space="0" w:color="000000"/>
            </w:tcBorders>
            <w:noWrap/>
            <w:vAlign w:val="center"/>
          </w:tcPr>
          <w:p>
            <w:pPr>
              <w:spacing w:line="360" w:lineRule="exact"/>
              <w:jc w:val="left"/>
              <w:rPr>
                <w:rFonts w:ascii="宋体" w:eastAsia="宋体" w:cs="宋体" w:hint="eastAsia"/>
                <w:color w:val="FF0000"/>
                <w:sz w:val="24"/>
                <w:szCs w:val="24"/>
                <w:lang w:val="zh-CN"/>
              </w:rPr>
            </w:pPr>
            <w:r>
              <w:rPr>
                <w:rFonts w:ascii="宋体" w:eastAsia="宋体" w:cs="宋体" w:hint="eastAsia"/>
                <w:color w:val="FF0000"/>
                <w:sz w:val="24"/>
                <w:szCs w:val="24"/>
              </w:rPr>
              <w:t>2022年</w:t>
            </w:r>
            <w:r>
              <w:rPr>
                <w:rFonts w:ascii="宋体" w:eastAsia="宋体" w:cs="宋体"/>
                <w:color w:val="FF0000"/>
                <w:sz w:val="24"/>
                <w:szCs w:val="24"/>
                <w:lang w:val="en-US" w:eastAsia="zh-CN"/>
              </w:rPr>
              <w:t>6</w:t>
            </w:r>
            <w:r>
              <w:rPr>
                <w:rFonts w:ascii="宋体" w:eastAsia="宋体" w:cs="宋体" w:hint="eastAsia"/>
                <w:color w:val="FF0000"/>
                <w:sz w:val="24"/>
                <w:szCs w:val="24"/>
              </w:rPr>
              <w:t>月</w:t>
            </w:r>
            <w:r>
              <w:rPr>
                <w:rFonts w:ascii="宋体" w:eastAsia="宋体" w:cs="宋体"/>
                <w:color w:val="FF0000"/>
                <w:sz w:val="24"/>
                <w:szCs w:val="24"/>
                <w:lang w:val="en-US" w:eastAsia="zh-CN"/>
              </w:rPr>
              <w:t>2</w:t>
            </w:r>
            <w:r>
              <w:rPr>
                <w:rFonts w:ascii="宋体" w:eastAsia="宋体" w:cs="宋体" w:hint="eastAsia"/>
                <w:color w:val="FF0000"/>
                <w:sz w:val="24"/>
                <w:szCs w:val="24"/>
              </w:rPr>
              <w:t>日11:00（北京时间）</w:t>
            </w:r>
          </w:p>
        </w:tc>
      </w:tr>
      <w:tr>
        <w:trPr>
          <w:trHeight w:hRule="exact" w:val="478"/>
        </w:trPr>
        <w:tc>
          <w:tcPr>
            <w:tcW w:w="1571" w:type="dxa"/>
            <w:tcBorders>
              <w:top w:val="single" w:sz="4" w:space="0" w:color="auto"/>
              <w:left w:val="single" w:sz="4" w:space="0" w:color="auto"/>
              <w:bottom w:val="single" w:sz="4" w:space="0" w:color="auto"/>
              <w:right w:val="single" w:sz="4" w:space="0" w:color="auto"/>
            </w:tcBorders>
            <w:noWrap/>
            <w:vAlign w:val="center"/>
          </w:tcPr>
          <w:p>
            <w:pPr>
              <w:spacing w:line="360" w:lineRule="exact"/>
              <w:jc w:val="center"/>
              <w:rPr>
                <w:rFonts w:ascii="宋体" w:eastAsia="宋体" w:cs="宋体" w:hint="eastAsia"/>
                <w:sz w:val="24"/>
                <w:szCs w:val="24"/>
                <w:lang w:val="zh-CN"/>
              </w:rPr>
            </w:pPr>
            <w:r>
              <w:rPr>
                <w:rFonts w:ascii="宋体" w:eastAsia="宋体" w:cs="宋体" w:hint="eastAsia"/>
                <w:sz w:val="24"/>
                <w:szCs w:val="24"/>
                <w:lang w:val="zh-CN"/>
              </w:rPr>
              <w:t>开标时间</w:t>
            </w:r>
          </w:p>
        </w:tc>
        <w:tc>
          <w:tcPr>
            <w:tcW w:w="7867" w:type="dxa"/>
            <w:tcBorders>
              <w:top w:val="single" w:sz="4" w:space="0" w:color="auto"/>
              <w:left w:val="single" w:sz="4" w:space="0" w:color="auto"/>
              <w:bottom w:val="single" w:sz="4" w:space="0" w:color="auto"/>
              <w:right w:val="single" w:sz="4" w:space="0" w:color="auto"/>
            </w:tcBorders>
            <w:noWrap/>
            <w:vAlign w:val="center"/>
          </w:tcPr>
          <w:p>
            <w:pPr>
              <w:spacing w:line="360" w:lineRule="exact"/>
              <w:jc w:val="left"/>
              <w:rPr>
                <w:rFonts w:ascii="宋体" w:eastAsia="宋体" w:cs="宋体" w:hint="eastAsia"/>
                <w:color w:val="FF0000"/>
                <w:sz w:val="24"/>
                <w:szCs w:val="24"/>
                <w:lang w:val="zh-CN"/>
              </w:rPr>
            </w:pPr>
            <w:r>
              <w:rPr>
                <w:rFonts w:ascii="宋体" w:eastAsia="宋体" w:cs="宋体" w:hint="eastAsia"/>
                <w:color w:val="FF0000"/>
                <w:sz w:val="24"/>
                <w:szCs w:val="24"/>
              </w:rPr>
              <w:t>2022年</w:t>
            </w:r>
            <w:r>
              <w:rPr>
                <w:rFonts w:ascii="宋体" w:eastAsia="宋体" w:cs="宋体"/>
                <w:color w:val="FF0000"/>
                <w:sz w:val="24"/>
                <w:szCs w:val="24"/>
                <w:lang w:val="en-US" w:eastAsia="zh-CN"/>
              </w:rPr>
              <w:t>6</w:t>
            </w:r>
            <w:r>
              <w:rPr>
                <w:rFonts w:ascii="宋体" w:eastAsia="宋体" w:cs="宋体" w:hint="eastAsia"/>
                <w:color w:val="FF0000"/>
                <w:sz w:val="24"/>
                <w:szCs w:val="24"/>
              </w:rPr>
              <w:t>月</w:t>
            </w:r>
            <w:r>
              <w:rPr>
                <w:rFonts w:ascii="宋体" w:eastAsia="宋体" w:cs="宋体"/>
                <w:color w:val="FF0000"/>
                <w:sz w:val="24"/>
                <w:szCs w:val="24"/>
                <w:lang w:val="en-US" w:eastAsia="zh-CN"/>
              </w:rPr>
              <w:t>2</w:t>
            </w:r>
            <w:r>
              <w:rPr>
                <w:rFonts w:ascii="宋体" w:eastAsia="宋体" w:cs="宋体" w:hint="eastAsia"/>
                <w:color w:val="FF0000"/>
                <w:sz w:val="24"/>
                <w:szCs w:val="24"/>
              </w:rPr>
              <w:t>日11:00（北京时间）</w:t>
            </w:r>
          </w:p>
        </w:tc>
      </w:tr>
      <w:tr>
        <w:trPr>
          <w:trHeight w:val="329"/>
        </w:trPr>
        <w:tc>
          <w:tcPr>
            <w:tcW w:w="1571" w:type="dxa"/>
            <w:tcBorders>
              <w:top w:val="single" w:sz="4" w:space="0" w:color="auto"/>
              <w:left w:val="single" w:sz="4" w:space="0" w:color="auto"/>
              <w:bottom w:val="single" w:sz="4" w:space="0" w:color="auto"/>
              <w:right w:val="single" w:sz="4" w:space="0" w:color="auto"/>
            </w:tcBorders>
            <w:noWrap/>
            <w:vAlign w:val="center"/>
          </w:tcPr>
          <w:p>
            <w:pPr>
              <w:widowControl/>
              <w:spacing w:line="360" w:lineRule="auto"/>
              <w:jc w:val="left"/>
              <w:rPr>
                <w:rFonts w:ascii="宋体" w:eastAsia="宋体" w:cs="宋体" w:hint="eastAsia"/>
                <w:sz w:val="24"/>
                <w:szCs w:val="24"/>
                <w:highlight w:val="auto"/>
              </w:rPr>
            </w:pPr>
            <w:r>
              <w:rPr>
                <w:rFonts w:ascii="宋体" w:eastAsia="宋体" w:cs="宋体" w:hint="eastAsia"/>
                <w:sz w:val="24"/>
                <w:szCs w:val="24"/>
                <w:lang w:val="zh-CN"/>
                <w:highlight w:val="auto"/>
              </w:rPr>
              <w:t>投标人必备资质（开标查验）</w:t>
            </w:r>
          </w:p>
        </w:tc>
        <w:tc>
          <w:tcPr>
            <w:tcW w:w="7867" w:type="dxa"/>
            <w:tcBorders>
              <w:top w:val="single" w:sz="4" w:space="0" w:color="auto"/>
              <w:left w:val="single" w:sz="4" w:space="0" w:color="auto"/>
              <w:bottom w:val="single" w:sz="4" w:space="0" w:color="auto"/>
              <w:right w:val="single" w:sz="4" w:space="0" w:color="auto"/>
            </w:tcBorders>
            <w:noWrap/>
            <w:vAlign w:val="center"/>
          </w:tcPr>
          <w:p>
            <w:pPr>
              <w:pStyle w:val="47"/>
              <w:spacing w:line="440" w:lineRule="exact"/>
              <w:jc w:val="both"/>
              <w:rPr>
                <w:rFonts w:ascii="宋体" w:eastAsia="宋体" w:cs="宋体" w:hint="eastAsia"/>
                <w:color w:val="auto"/>
                <w:sz w:val="24"/>
                <w:szCs w:val="24"/>
                <w:highlight w:val="auto"/>
              </w:rPr>
            </w:pPr>
            <w:r>
              <w:rPr>
                <w:rFonts w:ascii="宋体" w:eastAsia="宋体" w:cs="宋体" w:hint="eastAsia"/>
                <w:color w:val="auto"/>
                <w:sz w:val="24"/>
                <w:szCs w:val="24"/>
                <w:highlight w:val="auto"/>
              </w:rPr>
              <w:t>开标时须携带：</w:t>
            </w:r>
          </w:p>
          <w:p>
            <w:pPr>
              <w:pStyle w:val="47"/>
              <w:numPr>
                <w:ilvl w:val="0"/>
                <w:numId w:val="1"/>
              </w:numPr>
              <w:spacing w:line="440" w:lineRule="exact"/>
              <w:jc w:val="both"/>
              <w:rPr>
                <w:rFonts w:ascii="宋体" w:eastAsia="宋体" w:cs="宋体" w:hint="eastAsia"/>
                <w:color w:val="auto"/>
                <w:sz w:val="24"/>
                <w:szCs w:val="24"/>
                <w:highlight w:val="auto"/>
              </w:rPr>
            </w:pPr>
            <w:r>
              <w:rPr>
                <w:rFonts w:ascii="宋体" w:eastAsia="宋体" w:cs="宋体" w:hint="eastAsia"/>
                <w:color w:val="auto"/>
                <w:sz w:val="24"/>
                <w:szCs w:val="24"/>
                <w:highlight w:val="auto"/>
              </w:rPr>
              <w:t>企业营业执照副本原件</w:t>
            </w:r>
          </w:p>
          <w:p>
            <w:pPr>
              <w:pStyle w:val="47"/>
              <w:numPr>
                <w:ilvl w:val="0"/>
                <w:numId w:val="1"/>
              </w:numPr>
              <w:spacing w:line="440" w:lineRule="exact"/>
              <w:jc w:val="both"/>
              <w:rPr>
                <w:rFonts w:ascii="宋体" w:eastAsia="宋体" w:cs="宋体" w:hint="eastAsia"/>
                <w:color w:val="auto"/>
                <w:sz w:val="24"/>
                <w:szCs w:val="24"/>
                <w:highlight w:val="auto"/>
              </w:rPr>
            </w:pPr>
            <w:r>
              <w:rPr>
                <w:rFonts w:ascii="宋体" w:eastAsia="宋体" w:cs="宋体" w:hint="eastAsia"/>
                <w:color w:val="auto"/>
                <w:sz w:val="24"/>
                <w:szCs w:val="24"/>
                <w:highlight w:val="auto"/>
              </w:rPr>
              <w:t>“信用中国”（www.creditchina.gov.cn）和“中国政府采购网”（www.ccgp.gov.cn）网站上未被列入失信被执行人、重大税收违法案件当事人名单以及政府采购严重违法失信行为记录名单的网页打印件（网页打印件须自招标文件发布之日起至投标截止时间从上述网站中打印）（加盖公章）；</w:t>
            </w:r>
          </w:p>
          <w:p>
            <w:pPr>
              <w:pStyle w:val="47"/>
              <w:spacing w:line="440" w:lineRule="exact"/>
              <w:jc w:val="both"/>
              <w:rPr>
                <w:rFonts w:ascii="宋体" w:eastAsia="宋体" w:cs="宋体" w:hint="eastAsia"/>
                <w:color w:val="auto"/>
                <w:sz w:val="24"/>
                <w:szCs w:val="24"/>
                <w:highlight w:val="auto"/>
              </w:rPr>
            </w:pPr>
            <w:r>
              <w:rPr>
                <w:rFonts w:ascii="宋体" w:eastAsia="宋体" w:cs="宋体" w:hint="eastAsia"/>
                <w:color w:val="auto"/>
                <w:sz w:val="24"/>
                <w:szCs w:val="24"/>
                <w:lang w:val="en-US" w:eastAsia="zh-CN"/>
                <w:highlight w:val="auto"/>
              </w:rPr>
              <w:t>4、</w:t>
            </w:r>
            <w:r>
              <w:rPr>
                <w:rFonts w:ascii="宋体" w:eastAsia="宋体" w:cs="宋体" w:hint="eastAsia"/>
                <w:color w:val="auto"/>
                <w:sz w:val="24"/>
                <w:szCs w:val="24"/>
                <w:highlight w:val="auto"/>
              </w:rPr>
              <w:t>法定代表人参加时提供：身份证原件，或委托代理人参加时提供：身份证原件、法定代表人身份证明、授权委托书原件；</w:t>
            </w:r>
          </w:p>
          <w:p>
            <w:pPr>
              <w:pStyle w:val="47"/>
              <w:spacing w:line="440" w:lineRule="exact"/>
              <w:jc w:val="both"/>
              <w:rPr>
                <w:rFonts w:ascii="宋体" w:eastAsia="宋体" w:cs="宋体" w:hint="eastAsia"/>
                <w:sz w:val="24"/>
                <w:szCs w:val="24"/>
                <w:highlight w:val="auto"/>
              </w:rPr>
            </w:pPr>
            <w:r>
              <w:rPr>
                <w:rFonts w:ascii="宋体" w:eastAsia="宋体" w:cs="宋体" w:hint="eastAsia"/>
                <w:color w:val="auto"/>
                <w:sz w:val="24"/>
                <w:szCs w:val="24"/>
                <w:highlight w:val="auto"/>
              </w:rPr>
              <w:t>注：无法提供以上资料的投标人为无效投标人，其投标文件不予开封并退回投标人。</w:t>
            </w:r>
          </w:p>
        </w:tc>
      </w:tr>
      <w:tr>
        <w:trPr>
          <w:trHeight w:val="781"/>
        </w:trPr>
        <w:tc>
          <w:tcPr>
            <w:tcW w:w="1571" w:type="dxa"/>
            <w:tcBorders>
              <w:top w:val="single" w:sz="4" w:space="0" w:color="auto"/>
              <w:left w:val="single" w:sz="4" w:space="0" w:color="auto"/>
              <w:bottom w:val="single" w:sz="4" w:space="0" w:color="auto"/>
              <w:right w:val="single" w:sz="4" w:space="0" w:color="auto"/>
            </w:tcBorders>
            <w:noWrap/>
            <w:vAlign w:val="center"/>
          </w:tcPr>
          <w:p>
            <w:pPr>
              <w:spacing w:line="360" w:lineRule="exact"/>
              <w:jc w:val="center"/>
              <w:rPr>
                <w:rFonts w:ascii="宋体" w:eastAsia="宋体" w:cs="宋体" w:hint="eastAsia"/>
                <w:sz w:val="24"/>
                <w:szCs w:val="24"/>
                <w:lang w:val="zh-CN"/>
              </w:rPr>
            </w:pPr>
            <w:r>
              <w:rPr>
                <w:rFonts w:ascii="宋体" w:eastAsia="宋体" w:cs="宋体" w:hint="eastAsia"/>
                <w:sz w:val="24"/>
                <w:szCs w:val="24"/>
                <w:lang w:val="zh-CN"/>
              </w:rPr>
              <w:t>采购预算价</w:t>
            </w:r>
          </w:p>
        </w:tc>
        <w:tc>
          <w:tcPr>
            <w:tcW w:w="7867" w:type="dxa"/>
            <w:tcBorders>
              <w:top w:val="single" w:sz="4" w:space="0" w:color="auto"/>
              <w:left w:val="single" w:sz="4" w:space="0" w:color="auto"/>
              <w:bottom w:val="single" w:sz="4" w:space="0" w:color="auto"/>
              <w:right w:val="single" w:sz="4" w:space="0" w:color="auto"/>
            </w:tcBorders>
            <w:noWrap/>
            <w:vAlign w:val="center"/>
          </w:tcPr>
          <w:p>
            <w:pPr>
              <w:pStyle w:val="28"/>
              <w:widowControl/>
              <w:spacing w:line="360" w:lineRule="exact"/>
              <w:rPr>
                <w:rFonts w:ascii="宋体" w:eastAsia="宋体" w:cs="宋体" w:hint="eastAsia"/>
                <w:sz w:val="24"/>
                <w:szCs w:val="24"/>
              </w:rPr>
            </w:pPr>
            <w:r>
              <w:rPr>
                <w:rFonts w:ascii="宋体" w:cs="宋体" w:hint="eastAsia"/>
                <w:color w:val="FF0000"/>
                <w:sz w:val="24"/>
                <w:szCs w:val="24"/>
                <w:lang w:val="en-US" w:eastAsia="zh-CN"/>
              </w:rPr>
              <w:t>303864.14</w:t>
            </w:r>
            <w:r>
              <w:rPr>
                <w:rFonts w:ascii="宋体" w:eastAsia="宋体" w:cs="宋体" w:hint="eastAsia"/>
                <w:color w:val="FF0000"/>
                <w:sz w:val="24"/>
                <w:szCs w:val="24"/>
              </w:rPr>
              <w:t>元（大写：</w:t>
            </w:r>
            <w:r>
              <w:rPr>
                <w:rFonts w:ascii="宋体" w:cs="宋体" w:hint="eastAsia"/>
                <w:color w:val="FF0000"/>
                <w:sz w:val="24"/>
                <w:szCs w:val="24"/>
                <w:lang w:val="en-US" w:eastAsia="zh-CN"/>
              </w:rPr>
              <w:t>叁拾万叁仟捌佰陆拾肆元壹角肆分</w:t>
            </w:r>
            <w:r>
              <w:rPr>
                <w:rFonts w:ascii="宋体" w:eastAsia="宋体" w:cs="宋体" w:hint="eastAsia"/>
                <w:color w:val="FF0000"/>
                <w:sz w:val="24"/>
                <w:szCs w:val="24"/>
              </w:rPr>
              <w:t>）</w:t>
            </w:r>
          </w:p>
        </w:tc>
      </w:tr>
      <w:tr>
        <w:trPr>
          <w:trHeight w:val="278"/>
        </w:trPr>
        <w:tc>
          <w:tcPr>
            <w:tcW w:w="1571" w:type="dxa"/>
            <w:tcBorders>
              <w:top w:val="single" w:sz="4" w:space="0" w:color="auto"/>
              <w:left w:val="single" w:sz="4" w:space="0" w:color="auto"/>
              <w:bottom w:val="single" w:sz="4" w:space="0" w:color="auto"/>
              <w:right w:val="single" w:sz="4" w:space="0" w:color="auto"/>
            </w:tcBorders>
            <w:noWrap/>
            <w:vAlign w:val="center"/>
          </w:tcPr>
          <w:p>
            <w:pPr>
              <w:spacing w:line="360" w:lineRule="exact"/>
              <w:jc w:val="center"/>
              <w:rPr>
                <w:rFonts w:ascii="宋体" w:eastAsia="宋体" w:cs="宋体" w:hint="eastAsia"/>
                <w:sz w:val="24"/>
                <w:szCs w:val="24"/>
                <w:lang w:val="zh-CN"/>
              </w:rPr>
            </w:pPr>
            <w:r>
              <w:rPr>
                <w:rFonts w:ascii="宋体" w:eastAsia="宋体" w:cs="宋体" w:hint="eastAsia"/>
                <w:sz w:val="24"/>
                <w:szCs w:val="24"/>
                <w:lang w:val="zh-CN"/>
              </w:rPr>
              <w:t>答疑</w:t>
            </w:r>
          </w:p>
        </w:tc>
        <w:tc>
          <w:tcPr>
            <w:tcW w:w="7867" w:type="dxa"/>
            <w:tcBorders>
              <w:top w:val="single" w:sz="4" w:space="0" w:color="auto"/>
              <w:left w:val="single" w:sz="4" w:space="0" w:color="auto"/>
              <w:bottom w:val="single" w:sz="4" w:space="0" w:color="auto"/>
              <w:right w:val="single" w:sz="4" w:space="0" w:color="auto"/>
            </w:tcBorders>
            <w:noWrap/>
            <w:vAlign w:val="center"/>
          </w:tcPr>
          <w:p>
            <w:pPr>
              <w:numPr>
                <w:ilvl w:val="0"/>
                <w:numId w:val="2"/>
              </w:numPr>
              <w:spacing w:line="560" w:lineRule="exact"/>
              <w:rPr>
                <w:rFonts w:ascii="宋体" w:eastAsia="宋体" w:cs="宋体" w:hint="eastAsia"/>
                <w:color w:val="000000"/>
                <w:sz w:val="24"/>
                <w:szCs w:val="24"/>
              </w:rPr>
            </w:pPr>
            <w:r>
              <w:rPr>
                <w:rFonts w:ascii="宋体" w:eastAsia="宋体" w:cs="宋体" w:hint="eastAsia"/>
                <w:color w:val="000000"/>
                <w:sz w:val="24"/>
                <w:szCs w:val="24"/>
              </w:rPr>
              <w:t>若有代理公司将在投标截止前5日通知各投标人</w:t>
            </w:r>
          </w:p>
          <w:p>
            <w:pPr>
              <w:numPr>
                <w:ilvl w:val="0"/>
                <w:numId w:val="2"/>
              </w:numPr>
              <w:spacing w:line="560" w:lineRule="exact"/>
              <w:rPr>
                <w:rFonts w:ascii="宋体" w:eastAsia="宋体" w:cs="宋体" w:hint="eastAsia"/>
                <w:color w:val="000000"/>
                <w:sz w:val="24"/>
                <w:szCs w:val="24"/>
              </w:rPr>
            </w:pPr>
            <w:r>
              <w:rPr>
                <w:rFonts w:ascii="宋体" w:eastAsia="宋体" w:cs="宋体" w:hint="eastAsia"/>
                <w:color w:val="000000"/>
                <w:sz w:val="24"/>
                <w:szCs w:val="24"/>
              </w:rPr>
              <w:t>若没有则不召开答疑会</w:t>
            </w:r>
          </w:p>
        </w:tc>
      </w:tr>
      <w:tr>
        <w:trPr>
          <w:trHeight w:val="288"/>
        </w:trPr>
        <w:tc>
          <w:tcPr>
            <w:tcW w:w="1571" w:type="dxa"/>
            <w:tcBorders>
              <w:top w:val="single" w:sz="4" w:space="0" w:color="auto"/>
              <w:left w:val="single" w:sz="4" w:space="0" w:color="auto"/>
              <w:bottom w:val="single" w:sz="4" w:space="0" w:color="auto"/>
              <w:right w:val="single" w:sz="4" w:space="0" w:color="auto"/>
            </w:tcBorders>
            <w:noWrap/>
            <w:vAlign w:val="center"/>
          </w:tcPr>
          <w:p>
            <w:pPr>
              <w:spacing w:line="560" w:lineRule="exact"/>
              <w:rPr>
                <w:rFonts w:ascii="宋体" w:eastAsia="宋体" w:cs="宋体" w:hint="eastAsia"/>
                <w:color w:val="000000"/>
                <w:sz w:val="24"/>
                <w:szCs w:val="24"/>
                <w:lang w:val="zh-CN"/>
              </w:rPr>
            </w:pPr>
            <w:r>
              <w:rPr>
                <w:rFonts w:ascii="宋体" w:eastAsia="宋体" w:cs="宋体" w:hint="eastAsia"/>
                <w:color w:val="000000"/>
                <w:sz w:val="24"/>
                <w:szCs w:val="24"/>
                <w:lang w:val="zh-CN"/>
              </w:rPr>
              <w:t>招标文件的澄清、修改及补正</w:t>
            </w:r>
          </w:p>
        </w:tc>
        <w:tc>
          <w:tcPr>
            <w:tcW w:w="7867" w:type="dxa"/>
            <w:tcBorders>
              <w:top w:val="single" w:sz="4" w:space="0" w:color="auto"/>
              <w:left w:val="single" w:sz="4" w:space="0" w:color="auto"/>
              <w:bottom w:val="single" w:sz="4" w:space="0" w:color="auto"/>
              <w:right w:val="single" w:sz="4" w:space="0" w:color="auto"/>
            </w:tcBorders>
            <w:noWrap/>
            <w:vAlign w:val="center"/>
          </w:tcPr>
          <w:p>
            <w:pPr>
              <w:spacing w:line="560" w:lineRule="exact"/>
              <w:rPr>
                <w:rFonts w:ascii="宋体" w:eastAsia="宋体" w:cs="宋体" w:hint="eastAsia"/>
                <w:color w:val="000000"/>
                <w:sz w:val="24"/>
                <w:szCs w:val="24"/>
              </w:rPr>
            </w:pPr>
            <w:r>
              <w:rPr>
                <w:rFonts w:ascii="宋体" w:eastAsia="宋体" w:cs="宋体" w:hint="eastAsia"/>
                <w:color w:val="000000"/>
                <w:sz w:val="24"/>
                <w:szCs w:val="24"/>
              </w:rPr>
              <w:t>投标截止前5日书面</w:t>
            </w:r>
            <w:r>
              <w:rPr>
                <w:rFonts w:ascii="宋体" w:cs="宋体" w:hint="eastAsia"/>
                <w:color w:val="000000"/>
                <w:sz w:val="24"/>
                <w:szCs w:val="24"/>
                <w:lang w:val="en-US" w:eastAsia="zh-CN"/>
              </w:rPr>
              <w:t>盖章</w:t>
            </w:r>
            <w:r>
              <w:rPr>
                <w:rFonts w:ascii="宋体" w:eastAsia="宋体" w:cs="宋体" w:hint="eastAsia"/>
                <w:color w:val="000000"/>
                <w:sz w:val="24"/>
                <w:szCs w:val="24"/>
              </w:rPr>
              <w:t>通知所有投标人，其内容将作为投标文件的组成部分，时间不足5日将顺延。</w:t>
            </w:r>
          </w:p>
        </w:tc>
      </w:tr>
      <w:tr>
        <w:trPr>
          <w:trHeight w:val="1037"/>
        </w:trPr>
        <w:tc>
          <w:tcPr>
            <w:tcW w:w="1571" w:type="dxa"/>
            <w:vMerge w:val="restart"/>
            <w:tcBorders>
              <w:top w:val="single" w:sz="4" w:space="0" w:color="auto"/>
              <w:left w:val="single" w:sz="4" w:space="0" w:color="auto"/>
              <w:bottom w:val="single" w:sz="4" w:space="0" w:color="auto"/>
              <w:right w:val="single" w:sz="4" w:space="0" w:color="auto"/>
            </w:tcBorders>
            <w:noWrap/>
            <w:vAlign w:val="center"/>
          </w:tcPr>
          <w:p>
            <w:pPr>
              <w:spacing w:line="440" w:lineRule="exact"/>
              <w:jc w:val="left"/>
              <w:rPr>
                <w:rFonts w:ascii="宋体" w:eastAsia="宋体" w:cs="宋体" w:hint="eastAsia"/>
                <w:sz w:val="24"/>
                <w:szCs w:val="24"/>
              </w:rPr>
            </w:pPr>
            <w:r>
              <w:rPr>
                <w:rFonts w:ascii="宋体" w:eastAsia="宋体" w:cs="宋体" w:hint="eastAsia"/>
                <w:sz w:val="24"/>
                <w:szCs w:val="24"/>
              </w:rPr>
              <w:t>小、微企业</w:t>
            </w:r>
          </w:p>
        </w:tc>
        <w:tc>
          <w:tcPr>
            <w:tcW w:w="7867" w:type="dxa"/>
            <w:tcBorders>
              <w:top w:val="single" w:sz="4" w:space="0" w:color="auto"/>
              <w:left w:val="single" w:sz="4" w:space="0" w:color="auto"/>
              <w:bottom w:val="single" w:sz="4" w:space="0" w:color="auto"/>
              <w:right w:val="single" w:sz="4" w:space="0" w:color="auto"/>
            </w:tcBorders>
            <w:noWrap/>
            <w:vAlign w:val="center"/>
          </w:tcPr>
          <w:p>
            <w:pPr>
              <w:spacing w:line="440" w:lineRule="exact"/>
              <w:jc w:val="left"/>
              <w:rPr>
                <w:rFonts w:ascii="宋体" w:eastAsia="宋体" w:cs="宋体" w:hint="eastAsia"/>
                <w:sz w:val="24"/>
                <w:szCs w:val="24"/>
              </w:rPr>
            </w:pPr>
            <w:r>
              <w:rPr>
                <w:rFonts w:ascii="宋体" w:eastAsia="宋体" w:cs="宋体" w:hint="eastAsia"/>
                <w:sz w:val="24"/>
                <w:szCs w:val="24"/>
              </w:rPr>
              <w:t>1、给予小型和微型企业产品的价格给予6%-10%的扣除，用扣除后的价格参与评审，本项目具体扣除比例为6%。</w:t>
            </w:r>
          </w:p>
        </w:tc>
      </w:tr>
      <w:tr>
        <w:trPr>
          <w:trHeight w:val="1087"/>
        </w:trPr>
        <w:tc>
          <w:tcPr>
            <w:tcW w:w="1571" w:type="dxa"/>
            <w:vMerge/>
            <w:tcBorders>
              <w:top w:val="single" w:sz="4" w:space="0" w:color="auto"/>
              <w:left w:val="single" w:sz="4" w:space="0" w:color="auto"/>
              <w:bottom w:val="single" w:sz="4" w:space="0" w:color="auto"/>
              <w:right w:val="single" w:sz="4" w:space="0" w:color="auto"/>
            </w:tcBorders>
            <w:noWrap/>
            <w:vAlign w:val="center"/>
          </w:tcPr>
          <w:p/>
        </w:tc>
        <w:tc>
          <w:tcPr>
            <w:tcW w:w="7867" w:type="dxa"/>
            <w:tcBorders>
              <w:top w:val="single" w:sz="4" w:space="0" w:color="auto"/>
              <w:left w:val="single" w:sz="4" w:space="0" w:color="auto"/>
              <w:bottom w:val="single" w:sz="4" w:space="0" w:color="auto"/>
              <w:right w:val="single" w:sz="4" w:space="0" w:color="auto"/>
            </w:tcBorders>
            <w:noWrap/>
            <w:vAlign w:val="center"/>
          </w:tcPr>
          <w:p>
            <w:pPr>
              <w:spacing w:line="440" w:lineRule="exact"/>
              <w:jc w:val="left"/>
              <w:rPr>
                <w:rFonts w:ascii="宋体" w:eastAsia="宋体" w:cs="宋体" w:hint="eastAsia"/>
                <w:sz w:val="24"/>
                <w:szCs w:val="24"/>
              </w:rPr>
            </w:pPr>
            <w:r>
              <w:rPr>
                <w:rFonts w:ascii="宋体" w:eastAsia="宋体" w:cs="宋体" w:hint="eastAsia"/>
                <w:sz w:val="24"/>
                <w:szCs w:val="24"/>
              </w:rPr>
              <w:t>2、中小企业在融资、投标保证、履约保证等方面有需求的，可查询当地政府采购管理部门相关政策，通过专业化的担保途径解决。</w:t>
            </w:r>
          </w:p>
        </w:tc>
      </w:tr>
      <w:tr>
        <w:trPr>
          <w:trHeight w:val="288"/>
        </w:trPr>
        <w:tc>
          <w:tcPr>
            <w:tcW w:w="1571" w:type="dxa"/>
            <w:vMerge/>
            <w:tcBorders>
              <w:top w:val="single" w:sz="4" w:space="0" w:color="auto"/>
              <w:left w:val="single" w:sz="4" w:space="0" w:color="auto"/>
              <w:bottom w:val="single" w:sz="4" w:space="0" w:color="auto"/>
              <w:right w:val="single" w:sz="4" w:space="0" w:color="auto"/>
            </w:tcBorders>
            <w:noWrap/>
            <w:vAlign w:val="center"/>
          </w:tcPr>
          <w:p/>
        </w:tc>
        <w:tc>
          <w:tcPr>
            <w:tcW w:w="7867" w:type="dxa"/>
            <w:tcBorders>
              <w:top w:val="single" w:sz="4" w:space="0" w:color="auto"/>
              <w:left w:val="single" w:sz="4" w:space="0" w:color="auto"/>
              <w:bottom w:val="single" w:sz="4" w:space="0" w:color="auto"/>
              <w:right w:val="single" w:sz="4" w:space="0" w:color="auto"/>
            </w:tcBorders>
            <w:noWrap/>
            <w:vAlign w:val="center"/>
          </w:tcPr>
          <w:p>
            <w:pPr>
              <w:spacing w:line="440" w:lineRule="exact"/>
              <w:jc w:val="left"/>
              <w:rPr>
                <w:rFonts w:ascii="宋体" w:eastAsia="宋体" w:cs="宋体" w:hint="eastAsia"/>
                <w:sz w:val="24"/>
                <w:szCs w:val="24"/>
              </w:rPr>
            </w:pPr>
            <w:r>
              <w:rPr>
                <w:rFonts w:ascii="宋体" w:eastAsia="宋体" w:cs="宋体" w:hint="eastAsia"/>
                <w:sz w:val="24"/>
                <w:szCs w:val="24"/>
              </w:rPr>
              <w:t>3、根据财政部、司法部《关于政府采购支持监狱企业发展有关问题》的通知(财库[2014]168号)监狱企业参加本项目投标时，应当提供由省级以上监狱管理局；戒毒管理局(新疆生产建设兵团)出具的属于监狱企业的证明文件。监狱企业视同小型、微型企业。</w:t>
            </w:r>
          </w:p>
        </w:tc>
      </w:tr>
      <w:tr>
        <w:trPr>
          <w:trHeight w:val="288"/>
        </w:trPr>
        <w:tc>
          <w:tcPr>
            <w:tcW w:w="1571" w:type="dxa"/>
            <w:tcBorders>
              <w:top w:val="single" w:sz="4" w:space="0" w:color="auto"/>
              <w:left w:val="single" w:sz="4" w:space="0" w:color="auto"/>
              <w:bottom w:val="single" w:sz="4" w:space="0" w:color="auto"/>
              <w:right w:val="single" w:sz="4" w:space="0" w:color="auto"/>
            </w:tcBorders>
            <w:noWrap/>
            <w:vAlign w:val="center"/>
          </w:tcPr>
          <w:p>
            <w:pPr>
              <w:spacing w:line="440" w:lineRule="exact"/>
              <w:jc w:val="center"/>
              <w:rPr>
                <w:rFonts w:ascii="宋体" w:eastAsia="宋体" w:cs="宋体" w:hint="eastAsia"/>
                <w:sz w:val="24"/>
                <w:szCs w:val="24"/>
              </w:rPr>
            </w:pPr>
            <w:r>
              <w:rPr>
                <w:rFonts w:ascii="宋体" w:eastAsia="宋体" w:cs="宋体" w:hint="eastAsia"/>
                <w:sz w:val="24"/>
                <w:szCs w:val="24"/>
              </w:rPr>
              <w:t>低于成本价不正当竞争预防措施</w:t>
            </w:r>
          </w:p>
          <w:p>
            <w:pPr>
              <w:spacing w:line="440" w:lineRule="exact"/>
              <w:jc w:val="left"/>
              <w:rPr>
                <w:rFonts w:ascii="宋体" w:eastAsia="宋体" w:cs="宋体" w:hint="eastAsia"/>
                <w:sz w:val="24"/>
                <w:szCs w:val="24"/>
              </w:rPr>
            </w:pPr>
          </w:p>
        </w:tc>
        <w:tc>
          <w:tcPr>
            <w:tcW w:w="7867" w:type="dxa"/>
            <w:tcBorders>
              <w:top w:val="single" w:sz="4" w:space="0" w:color="auto"/>
              <w:left w:val="single" w:sz="4" w:space="0" w:color="auto"/>
              <w:bottom w:val="single" w:sz="4" w:space="0" w:color="auto"/>
              <w:right w:val="single" w:sz="4" w:space="0" w:color="auto"/>
            </w:tcBorders>
            <w:noWrap/>
            <w:vAlign w:val="center"/>
          </w:tcPr>
          <w:p>
            <w:pPr>
              <w:spacing w:line="440" w:lineRule="exact"/>
              <w:jc w:val="left"/>
              <w:rPr>
                <w:rFonts w:ascii="宋体" w:eastAsia="宋体" w:cs="宋体" w:hint="eastAsia"/>
                <w:sz w:val="24"/>
                <w:szCs w:val="24"/>
              </w:rPr>
            </w:pPr>
            <w:r>
              <w:rPr>
                <w:rFonts w:ascii="宋体" w:eastAsia="宋体" w:cs="宋体" w:hint="eastAsia"/>
                <w:sz w:val="24"/>
                <w:szCs w:val="24"/>
              </w:rPr>
              <w:t>在评标过程中，评标委员会认为投标人报价明显低于其他有效投标人报价，有可能影响产品质量或者不能诚信履约的，评标委员会应当要求其在评标现场合理的时间内提供成本构成书面说明，并提交相关证明材料。供应商书面说明应当按照国家财务会计制度的规定要求，逐项就供应商提供的货物、工程和服务的主营业务成本（应根据供应商企业类型予以区别）、税金及附加、销售费用、管理费用、财务费用等成本构成事项详细陈述。</w:t>
            </w:r>
          </w:p>
          <w:p>
            <w:pPr>
              <w:spacing w:line="440" w:lineRule="exact"/>
              <w:jc w:val="left"/>
              <w:rPr>
                <w:rFonts w:ascii="宋体" w:eastAsia="宋体" w:cs="宋体" w:hint="eastAsia"/>
                <w:sz w:val="24"/>
                <w:szCs w:val="24"/>
              </w:rPr>
            </w:pPr>
            <w:r>
              <w:rPr>
                <w:rFonts w:ascii="宋体" w:eastAsia="宋体" w:cs="宋体" w:hint="eastAsia"/>
                <w:sz w:val="24"/>
                <w:szCs w:val="24"/>
              </w:rPr>
              <w:t>供应商书面说明应当签字确认或者加盖公章，否则无效。书面说明的签字确认，供应商为法人的，由其法定代表人或者代理人签字确认；供应商为其他组织的，由其主要负责人或者代理人签字确认；供应商为自然人的，由其本人或者代理人签字确认。</w:t>
            </w:r>
          </w:p>
          <w:p>
            <w:pPr>
              <w:spacing w:line="440" w:lineRule="exact"/>
              <w:jc w:val="left"/>
              <w:rPr>
                <w:rFonts w:ascii="宋体" w:eastAsia="宋体" w:cs="宋体" w:hint="eastAsia"/>
                <w:sz w:val="24"/>
                <w:szCs w:val="24"/>
              </w:rPr>
            </w:pPr>
            <w:r>
              <w:rPr>
                <w:rFonts w:ascii="宋体" w:eastAsia="宋体" w:cs="宋体" w:hint="eastAsia"/>
                <w:sz w:val="24"/>
                <w:szCs w:val="24"/>
              </w:rPr>
              <w:t>供应商提供书面说明后，评标委员会应当结合采购项目采购需求、专业实际情况、供应商财务状况报告、与其他供应商比较情况等就供应商书面说明进行审查评价。供应商拒绝或者变相拒绝提供有效书面说明或者书面说明不能证明其报价合理性的，评标委员会应当将其投标文件作为无效处理。</w:t>
            </w:r>
          </w:p>
        </w:tc>
      </w:tr>
    </w:tbl>
    <w:p>
      <w:pPr>
        <w:pStyle w:val="3"/>
        <w:keepNext/>
        <w:keepLines/>
        <w:widowControl w:val="0"/>
        <w:numPr>
          <w:ilvl w:val="0"/>
          <w:numId w:val="3"/>
        </w:numPr>
        <w:tabs>
          <w:tab w:val="left" w:pos="425"/>
        </w:tabs>
        <w:spacing w:before="260" w:after="260" w:line="400" w:lineRule="exact"/>
        <w:rPr>
          <w:rFonts w:ascii="宋体" w:eastAsia="宋体" w:cs="宋体" w:hint="eastAsia"/>
          <w:sz w:val="24"/>
          <w:szCs w:val="24"/>
        </w:rPr>
      </w:pPr>
      <w:r>
        <w:rPr>
          <w:rFonts w:ascii="宋体" w:eastAsia="宋体" w:cs="宋体" w:hint="eastAsia"/>
          <w:bCs w:val="0"/>
          <w:sz w:val="28"/>
        </w:rPr>
        <w:t xml:space="preserve"> 总体说明</w:t>
      </w:r>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p>
    <w:p>
      <w:pPr>
        <w:numPr>
          <w:ilvl w:val="1"/>
          <w:numId w:val="3"/>
        </w:numPr>
        <w:tabs>
          <w:tab w:val="left" w:pos="525"/>
          <w:tab w:val="left" w:pos="630"/>
        </w:tabs>
        <w:spacing w:line="480" w:lineRule="auto"/>
        <w:outlineLvl w:val="3"/>
        <w:rPr>
          <w:rFonts w:ascii="宋体" w:eastAsia="宋体" w:cs="宋体" w:hint="eastAsia"/>
          <w:sz w:val="24"/>
          <w:szCs w:val="24"/>
        </w:rPr>
      </w:pPr>
      <w:r>
        <w:rPr>
          <w:rFonts w:ascii="宋体" w:eastAsia="宋体" w:cs="宋体" w:hint="eastAsia"/>
          <w:b/>
          <w:bCs/>
          <w:sz w:val="24"/>
          <w:szCs w:val="24"/>
        </w:rPr>
        <w:t>适用范围</w:t>
      </w:r>
    </w:p>
    <w:p>
      <w:pPr>
        <w:numPr>
          <w:ilvl w:val="2"/>
          <w:numId w:val="3"/>
        </w:numPr>
        <w:tabs>
          <w:tab w:val="left" w:pos="735"/>
          <w:tab w:val="left" w:pos="1254"/>
        </w:tabs>
        <w:spacing w:line="360" w:lineRule="auto"/>
        <w:ind w:left="735" w:hanging="735"/>
        <w:rPr>
          <w:rFonts w:ascii="宋体" w:eastAsia="宋体" w:cs="宋体" w:hint="eastAsia"/>
          <w:sz w:val="24"/>
          <w:szCs w:val="24"/>
        </w:rPr>
      </w:pPr>
      <w:r>
        <w:rPr>
          <w:rFonts w:ascii="宋体" w:eastAsia="宋体" w:cs="宋体" w:hint="eastAsia"/>
          <w:sz w:val="24"/>
          <w:szCs w:val="24"/>
        </w:rPr>
        <w:t>依据《中华人民共和国政府采购法》《中华人民共和国招标投标法》等有关法律法规制定本须知。</w:t>
      </w:r>
    </w:p>
    <w:p>
      <w:pPr>
        <w:numPr>
          <w:ilvl w:val="2"/>
          <w:numId w:val="3"/>
        </w:numPr>
        <w:tabs>
          <w:tab w:val="left" w:pos="735"/>
          <w:tab w:val="left" w:pos="1254"/>
        </w:tabs>
        <w:spacing w:line="360" w:lineRule="auto"/>
        <w:ind w:left="735" w:hanging="735"/>
        <w:rPr>
          <w:rFonts w:ascii="宋体" w:eastAsia="宋体" w:cs="宋体" w:hint="eastAsia"/>
          <w:sz w:val="24"/>
          <w:szCs w:val="24"/>
        </w:rPr>
      </w:pPr>
      <w:r>
        <w:rPr>
          <w:rFonts w:ascii="宋体" w:eastAsia="宋体" w:cs="宋体" w:hint="eastAsia"/>
          <w:sz w:val="24"/>
          <w:szCs w:val="24"/>
        </w:rPr>
        <w:t>采购人、招标代理机构、供应商及各方当事人适用本须知。</w:t>
      </w:r>
    </w:p>
    <w:p>
      <w:pPr>
        <w:numPr>
          <w:ilvl w:val="1"/>
          <w:numId w:val="3"/>
        </w:numPr>
        <w:tabs>
          <w:tab w:val="left" w:pos="525"/>
          <w:tab w:val="left" w:pos="630"/>
        </w:tabs>
        <w:spacing w:line="480" w:lineRule="auto"/>
        <w:outlineLvl w:val="3"/>
        <w:rPr>
          <w:rFonts w:ascii="宋体" w:eastAsia="宋体" w:cs="宋体" w:hint="eastAsia"/>
          <w:b/>
          <w:bCs/>
          <w:sz w:val="24"/>
          <w:szCs w:val="24"/>
        </w:rPr>
      </w:pPr>
      <w:r>
        <w:rPr>
          <w:rFonts w:ascii="宋体" w:eastAsia="宋体" w:cs="宋体" w:hint="eastAsia"/>
          <w:b/>
          <w:bCs/>
          <w:sz w:val="24"/>
          <w:szCs w:val="24"/>
        </w:rPr>
        <w:t>关于投标项目</w:t>
      </w:r>
    </w:p>
    <w:p>
      <w:pPr>
        <w:rPr>
          <w:rFonts w:ascii="宋体" w:eastAsia="宋体" w:cs="宋体" w:hint="eastAsia"/>
          <w:sz w:val="24"/>
          <w:szCs w:val="24"/>
        </w:rPr>
      </w:pPr>
      <w:r>
        <w:rPr>
          <w:rFonts w:ascii="宋体" w:eastAsia="宋体" w:cs="宋体" w:hint="eastAsia"/>
          <w:sz w:val="24"/>
          <w:szCs w:val="24"/>
          <w:lang w:eastAsia="zh-CN"/>
        </w:rPr>
        <w:t>新疆维吾尔自治区药品检验研究院</w:t>
      </w:r>
      <w:r>
        <w:rPr>
          <w:rFonts w:ascii="宋体" w:eastAsia="宋体" w:cs="宋体" w:hint="eastAsia"/>
          <w:sz w:val="24"/>
          <w:szCs w:val="24"/>
        </w:rPr>
        <w:t>关于</w:t>
      </w:r>
      <w:r>
        <w:rPr>
          <w:rFonts w:ascii="宋体" w:cs="宋体" w:hint="eastAsia"/>
          <w:sz w:val="24"/>
          <w:szCs w:val="24"/>
          <w:lang w:eastAsia="zh-CN"/>
        </w:rPr>
        <w:t>新疆维吾尔自治区药品检验研究院标准物质、生物试剂耗材、普通试剂、普通实验耗材采购项目（</w:t>
      </w:r>
      <w:r>
        <w:rPr>
          <w:rFonts w:ascii="宋体" w:cs="宋体" w:hint="eastAsia"/>
          <w:sz w:val="24"/>
          <w:szCs w:val="24"/>
          <w:lang w:val="en-US" w:eastAsia="zh-CN"/>
        </w:rPr>
        <w:t>四</w:t>
      </w:r>
      <w:r>
        <w:rPr>
          <w:rFonts w:ascii="宋体" w:cs="宋体" w:hint="eastAsia"/>
          <w:sz w:val="24"/>
          <w:szCs w:val="24"/>
          <w:lang w:eastAsia="zh-CN"/>
        </w:rPr>
        <w:t>包：普通实验耗材）</w:t>
      </w:r>
      <w:r>
        <w:rPr>
          <w:rFonts w:ascii="宋体" w:eastAsia="宋体" w:cs="宋体" w:hint="eastAsia"/>
          <w:sz w:val="24"/>
          <w:szCs w:val="24"/>
        </w:rPr>
        <w:t>。投标人必须对项目标段内容进行整体投标，不允许仅对其中部分内容进行投标。</w:t>
      </w:r>
    </w:p>
    <w:p>
      <w:pPr>
        <w:numPr>
          <w:ilvl w:val="1"/>
          <w:numId w:val="3"/>
        </w:numPr>
        <w:tabs>
          <w:tab w:val="left" w:pos="525"/>
          <w:tab w:val="left" w:pos="630"/>
        </w:tabs>
        <w:spacing w:line="480" w:lineRule="auto"/>
        <w:outlineLvl w:val="3"/>
        <w:rPr>
          <w:rFonts w:ascii="宋体" w:eastAsia="宋体" w:cs="宋体" w:hint="eastAsia"/>
          <w:b/>
          <w:bCs/>
          <w:sz w:val="24"/>
          <w:szCs w:val="24"/>
        </w:rPr>
      </w:pPr>
      <w:r>
        <w:rPr>
          <w:rFonts w:ascii="宋体" w:eastAsia="宋体" w:cs="宋体" w:hint="eastAsia"/>
          <w:b/>
          <w:bCs/>
          <w:sz w:val="24"/>
          <w:szCs w:val="24"/>
        </w:rPr>
        <w:t>关于定标方式</w:t>
      </w:r>
    </w:p>
    <w:p>
      <w:pPr>
        <w:spacing w:line="360" w:lineRule="auto"/>
        <w:ind w:firstLineChars="200" w:firstLine="480"/>
        <w:rPr>
          <w:rFonts w:ascii="宋体" w:eastAsia="宋体" w:cs="宋体" w:hint="eastAsia"/>
          <w:sz w:val="24"/>
          <w:szCs w:val="24"/>
        </w:rPr>
      </w:pPr>
      <w:r>
        <w:rPr>
          <w:rFonts w:ascii="宋体" w:eastAsia="宋体" w:cs="宋体" w:hint="eastAsia"/>
          <w:bCs/>
          <w:sz w:val="24"/>
          <w:szCs w:val="24"/>
        </w:rPr>
        <w:t>招标小组将根据需要决定对所有合格的招标供应商在规定时间内进行一次报价，最后报价将作为招标小组评比的最终依据；采购人拒绝接受有选择性报价的投标。</w:t>
      </w:r>
    </w:p>
    <w:p>
      <w:pPr>
        <w:numPr>
          <w:ilvl w:val="1"/>
          <w:numId w:val="3"/>
        </w:numPr>
        <w:tabs>
          <w:tab w:val="left" w:pos="525"/>
          <w:tab w:val="left" w:pos="630"/>
        </w:tabs>
        <w:spacing w:line="480" w:lineRule="auto"/>
        <w:outlineLvl w:val="3"/>
        <w:rPr>
          <w:rFonts w:ascii="宋体" w:eastAsia="宋体" w:cs="宋体" w:hint="eastAsia"/>
          <w:b/>
          <w:bCs/>
          <w:sz w:val="24"/>
          <w:szCs w:val="24"/>
        </w:rPr>
      </w:pPr>
      <w:r>
        <w:rPr>
          <w:rFonts w:ascii="宋体" w:eastAsia="宋体" w:cs="宋体" w:hint="eastAsia"/>
          <w:b/>
          <w:bCs/>
          <w:sz w:val="24"/>
          <w:szCs w:val="24"/>
        </w:rPr>
        <w:t>定义</w:t>
      </w:r>
    </w:p>
    <w:p>
      <w:pPr>
        <w:numPr>
          <w:ilvl w:val="2"/>
          <w:numId w:val="3"/>
        </w:numPr>
        <w:tabs>
          <w:tab w:val="left" w:pos="735"/>
          <w:tab w:val="left" w:pos="1254"/>
        </w:tabs>
        <w:spacing w:line="360" w:lineRule="auto"/>
        <w:ind w:left="735" w:hanging="735"/>
        <w:rPr>
          <w:rFonts w:ascii="宋体" w:eastAsia="宋体" w:cs="宋体" w:hint="eastAsia"/>
          <w:sz w:val="24"/>
          <w:szCs w:val="24"/>
        </w:rPr>
      </w:pPr>
      <w:r>
        <w:rPr>
          <w:rFonts w:ascii="宋体" w:eastAsia="宋体" w:cs="宋体" w:hint="eastAsia"/>
          <w:sz w:val="24"/>
          <w:szCs w:val="24"/>
        </w:rPr>
        <w:t>采购人：是指</w:t>
      </w:r>
      <w:r>
        <w:rPr>
          <w:rFonts w:ascii="宋体" w:eastAsia="宋体" w:cs="宋体" w:hint="eastAsia"/>
          <w:b/>
          <w:bCs/>
          <w:sz w:val="24"/>
          <w:szCs w:val="24"/>
          <w:lang w:eastAsia="zh-CN"/>
        </w:rPr>
        <w:t>新疆维吾尔自治区药品检验研究院</w:t>
      </w:r>
      <w:r>
        <w:rPr>
          <w:rFonts w:ascii="宋体" w:eastAsia="宋体" w:cs="宋体" w:hint="eastAsia"/>
          <w:sz w:val="24"/>
          <w:szCs w:val="24"/>
        </w:rPr>
        <w:t>。</w:t>
      </w:r>
    </w:p>
    <w:p>
      <w:pPr>
        <w:numPr>
          <w:ilvl w:val="2"/>
          <w:numId w:val="3"/>
        </w:numPr>
        <w:tabs>
          <w:tab w:val="left" w:pos="735"/>
          <w:tab w:val="left" w:pos="1254"/>
        </w:tabs>
        <w:spacing w:line="360" w:lineRule="auto"/>
        <w:ind w:left="735" w:hanging="735"/>
        <w:rPr>
          <w:rFonts w:ascii="宋体" w:eastAsia="宋体" w:cs="宋体" w:hint="eastAsia"/>
          <w:sz w:val="24"/>
          <w:szCs w:val="24"/>
        </w:rPr>
      </w:pPr>
      <w:r>
        <w:rPr>
          <w:rFonts w:ascii="宋体" w:eastAsia="宋体" w:cs="宋体" w:hint="eastAsia"/>
          <w:sz w:val="24"/>
          <w:szCs w:val="24"/>
        </w:rPr>
        <w:t>招标代理机构：是指</w:t>
      </w:r>
      <w:r>
        <w:rPr>
          <w:rFonts w:ascii="宋体" w:eastAsia="宋体" w:cs="宋体" w:hint="eastAsia"/>
          <w:b/>
          <w:bCs/>
          <w:sz w:val="24"/>
          <w:szCs w:val="24"/>
          <w:lang w:eastAsia="zh-CN"/>
        </w:rPr>
        <w:t>新疆天之源项目管理集团有限公司</w:t>
      </w:r>
      <w:r>
        <w:rPr>
          <w:rFonts w:ascii="宋体" w:eastAsia="宋体" w:cs="宋体" w:hint="eastAsia"/>
          <w:sz w:val="24"/>
          <w:szCs w:val="24"/>
        </w:rPr>
        <w:t xml:space="preserve"> 。</w:t>
      </w:r>
    </w:p>
    <w:p>
      <w:pPr>
        <w:numPr>
          <w:ilvl w:val="2"/>
          <w:numId w:val="3"/>
        </w:numPr>
        <w:tabs>
          <w:tab w:val="left" w:pos="735"/>
          <w:tab w:val="left" w:pos="1254"/>
        </w:tabs>
        <w:spacing w:line="360" w:lineRule="auto"/>
        <w:ind w:left="735" w:hanging="735"/>
        <w:rPr>
          <w:rFonts w:ascii="宋体" w:eastAsia="宋体" w:cs="宋体" w:hint="eastAsia"/>
          <w:sz w:val="24"/>
          <w:szCs w:val="24"/>
        </w:rPr>
      </w:pPr>
      <w:r>
        <w:rPr>
          <w:rFonts w:ascii="宋体" w:eastAsia="宋体" w:cs="宋体" w:hint="eastAsia"/>
          <w:sz w:val="24"/>
          <w:szCs w:val="24"/>
        </w:rPr>
        <w:t>投标人：是指向招标代理机构提交投标文件的</w:t>
      </w:r>
      <w:r>
        <w:rPr>
          <w:rFonts w:ascii="宋体" w:eastAsia="宋体" w:cs="宋体" w:hint="eastAsia"/>
          <w:b/>
          <w:bCs/>
          <w:sz w:val="24"/>
          <w:szCs w:val="24"/>
        </w:rPr>
        <w:t>供应商(投标人一经报名应积极参加招标项目若不参加请于开标前三天向招标代理公司提交加盖单位公章弃标函若不提供该企业将被列入黑名单）</w:t>
      </w:r>
      <w:r>
        <w:rPr>
          <w:rFonts w:ascii="宋体" w:eastAsia="宋体" w:cs="宋体" w:hint="eastAsia"/>
          <w:sz w:val="24"/>
          <w:szCs w:val="24"/>
        </w:rPr>
        <w:t>。</w:t>
      </w:r>
    </w:p>
    <w:p>
      <w:pPr>
        <w:numPr>
          <w:ilvl w:val="2"/>
          <w:numId w:val="3"/>
        </w:numPr>
        <w:tabs>
          <w:tab w:val="left" w:pos="735"/>
          <w:tab w:val="left" w:pos="1254"/>
        </w:tabs>
        <w:spacing w:line="360" w:lineRule="auto"/>
        <w:ind w:left="735" w:hanging="735"/>
        <w:rPr>
          <w:rFonts w:ascii="宋体" w:eastAsia="宋体" w:cs="宋体" w:hint="eastAsia"/>
          <w:sz w:val="24"/>
          <w:szCs w:val="24"/>
        </w:rPr>
      </w:pPr>
      <w:r>
        <w:rPr>
          <w:rFonts w:ascii="宋体" w:eastAsia="宋体" w:cs="宋体" w:hint="eastAsia"/>
          <w:sz w:val="24"/>
          <w:szCs w:val="24"/>
        </w:rPr>
        <w:t>中标人：是指经合法招、投标程序评选出来的</w:t>
      </w:r>
      <w:r>
        <w:rPr>
          <w:rFonts w:ascii="宋体" w:eastAsia="宋体" w:cs="宋体" w:hint="eastAsia"/>
          <w:b/>
          <w:bCs/>
          <w:sz w:val="24"/>
          <w:szCs w:val="24"/>
        </w:rPr>
        <w:t>投标人</w:t>
      </w:r>
      <w:r>
        <w:rPr>
          <w:rFonts w:ascii="宋体" w:eastAsia="宋体" w:cs="宋体" w:hint="eastAsia"/>
          <w:sz w:val="24"/>
          <w:szCs w:val="24"/>
        </w:rPr>
        <w:t>。</w:t>
      </w:r>
    </w:p>
    <w:p>
      <w:pPr>
        <w:numPr>
          <w:ilvl w:val="2"/>
          <w:numId w:val="3"/>
        </w:numPr>
        <w:tabs>
          <w:tab w:val="left" w:pos="735"/>
          <w:tab w:val="left" w:pos="1254"/>
        </w:tabs>
        <w:spacing w:line="360" w:lineRule="auto"/>
        <w:ind w:left="735" w:hanging="735"/>
        <w:rPr>
          <w:rFonts w:ascii="宋体" w:eastAsia="宋体" w:cs="宋体" w:hint="eastAsia"/>
          <w:sz w:val="24"/>
          <w:szCs w:val="24"/>
        </w:rPr>
      </w:pPr>
      <w:r>
        <w:rPr>
          <w:rFonts w:ascii="宋体" w:eastAsia="宋体" w:cs="宋体" w:hint="eastAsia"/>
          <w:sz w:val="24"/>
          <w:szCs w:val="24"/>
        </w:rPr>
        <w:t>货物、设备（货物）：是指投标人按招标文件规定，须向采购人提供的设备（货物）、备件、工具、手册及其它技术资料和材料。</w:t>
      </w:r>
    </w:p>
    <w:p>
      <w:pPr>
        <w:numPr>
          <w:ilvl w:val="2"/>
          <w:numId w:val="3"/>
        </w:numPr>
        <w:tabs>
          <w:tab w:val="left" w:pos="735"/>
          <w:tab w:val="left" w:pos="1254"/>
        </w:tabs>
        <w:spacing w:line="360" w:lineRule="auto"/>
        <w:ind w:left="735" w:hanging="735"/>
        <w:rPr>
          <w:rFonts w:ascii="宋体" w:eastAsia="宋体" w:cs="宋体" w:hint="eastAsia"/>
          <w:sz w:val="24"/>
          <w:szCs w:val="24"/>
        </w:rPr>
      </w:pPr>
      <w:r>
        <w:rPr>
          <w:rFonts w:ascii="宋体" w:eastAsia="宋体" w:cs="宋体" w:hint="eastAsia"/>
          <w:sz w:val="24"/>
          <w:szCs w:val="24"/>
        </w:rPr>
        <w:t>服务：是指招标文件规定投标人须承担的有关服务。</w:t>
      </w:r>
    </w:p>
    <w:p>
      <w:pPr>
        <w:numPr>
          <w:ilvl w:val="2"/>
          <w:numId w:val="3"/>
        </w:numPr>
        <w:tabs>
          <w:tab w:val="left" w:pos="735"/>
          <w:tab w:val="left" w:pos="1254"/>
        </w:tabs>
        <w:spacing w:line="360" w:lineRule="auto"/>
        <w:ind w:left="735" w:hanging="735"/>
        <w:rPr>
          <w:rFonts w:ascii="宋体" w:eastAsia="宋体" w:cs="宋体" w:hint="eastAsia"/>
          <w:sz w:val="24"/>
          <w:szCs w:val="24"/>
        </w:rPr>
      </w:pPr>
      <w:r>
        <w:rPr>
          <w:rFonts w:ascii="宋体" w:eastAsia="宋体" w:cs="宋体" w:hint="eastAsia"/>
          <w:sz w:val="24"/>
          <w:szCs w:val="24"/>
        </w:rPr>
        <w:t>实质性响应：是指符合采购文件的要求、条款、条件和规定，且没有重大偏离或保留。</w:t>
      </w:r>
    </w:p>
    <w:p>
      <w:pPr>
        <w:numPr>
          <w:ilvl w:val="2"/>
          <w:numId w:val="3"/>
        </w:numPr>
        <w:tabs>
          <w:tab w:val="left" w:pos="735"/>
          <w:tab w:val="left" w:pos="1254"/>
        </w:tabs>
        <w:spacing w:line="360" w:lineRule="auto"/>
        <w:ind w:left="735" w:hanging="735"/>
        <w:rPr>
          <w:rFonts w:ascii="宋体" w:eastAsia="宋体" w:cs="宋体" w:hint="eastAsia"/>
          <w:sz w:val="24"/>
          <w:szCs w:val="24"/>
        </w:rPr>
      </w:pPr>
      <w:r>
        <w:rPr>
          <w:rFonts w:ascii="宋体" w:eastAsia="宋体" w:cs="宋体" w:hint="eastAsia"/>
          <w:sz w:val="24"/>
          <w:szCs w:val="24"/>
        </w:rPr>
        <w:t>重大偏离或保留：是指投标文件中影响到采购文件规定的货物和服务质量或限制了采购人的权利/投标人的义务的规定，而认可该等规定偏离将影响到其他投标人的公平竞争地位。</w:t>
      </w:r>
    </w:p>
    <w:p>
      <w:pPr>
        <w:numPr>
          <w:ilvl w:val="2"/>
          <w:numId w:val="3"/>
        </w:numPr>
        <w:tabs>
          <w:tab w:val="left" w:pos="735"/>
          <w:tab w:val="left" w:pos="840"/>
        </w:tabs>
        <w:spacing w:line="360" w:lineRule="auto"/>
        <w:ind w:left="735" w:hanging="735"/>
        <w:rPr>
          <w:rFonts w:ascii="宋体" w:eastAsia="宋体" w:cs="宋体" w:hint="eastAsia"/>
          <w:sz w:val="24"/>
          <w:szCs w:val="24"/>
        </w:rPr>
      </w:pPr>
      <w:r>
        <w:rPr>
          <w:rFonts w:ascii="宋体" w:eastAsia="宋体" w:cs="宋体" w:hint="eastAsia"/>
          <w:sz w:val="24"/>
          <w:szCs w:val="24"/>
        </w:rPr>
        <w:t>合同履约期限：是指签订采购合同之日起至按要求交货并通过验收的期限。</w:t>
      </w:r>
    </w:p>
    <w:p>
      <w:pPr>
        <w:numPr>
          <w:ilvl w:val="2"/>
          <w:numId w:val="3"/>
        </w:numPr>
        <w:tabs>
          <w:tab w:val="left" w:pos="735"/>
          <w:tab w:val="left" w:pos="840"/>
        </w:tabs>
        <w:spacing w:line="360" w:lineRule="auto"/>
        <w:ind w:left="735" w:hanging="735"/>
        <w:rPr>
          <w:rFonts w:ascii="宋体" w:eastAsia="宋体" w:cs="宋体" w:hint="eastAsia"/>
          <w:sz w:val="24"/>
          <w:szCs w:val="24"/>
        </w:rPr>
      </w:pPr>
      <w:r>
        <w:rPr>
          <w:rFonts w:ascii="宋体" w:eastAsia="宋体" w:cs="宋体" w:hint="eastAsia"/>
          <w:sz w:val="24"/>
          <w:szCs w:val="24"/>
        </w:rPr>
        <w:t>日期、天数、时间：无特别说明时是指公历日及北京时间。</w:t>
      </w:r>
    </w:p>
    <w:p>
      <w:pPr>
        <w:numPr>
          <w:ilvl w:val="2"/>
          <w:numId w:val="3"/>
        </w:numPr>
        <w:tabs>
          <w:tab w:val="left" w:pos="735"/>
          <w:tab w:val="left" w:pos="840"/>
        </w:tabs>
        <w:spacing w:line="360" w:lineRule="auto"/>
        <w:ind w:left="840" w:hanging="840"/>
        <w:rPr>
          <w:rFonts w:ascii="宋体" w:eastAsia="宋体" w:cs="宋体" w:hint="eastAsia"/>
          <w:sz w:val="24"/>
          <w:szCs w:val="24"/>
        </w:rPr>
      </w:pPr>
      <w:r>
        <w:rPr>
          <w:rFonts w:ascii="宋体" w:eastAsia="宋体" w:cs="宋体" w:hint="eastAsia"/>
          <w:sz w:val="24"/>
          <w:szCs w:val="24"/>
        </w:rPr>
        <w:t>招标文件中的标题或题名仅起引导作用，而不应该作为对招标文件内容的理解或解释。</w:t>
      </w:r>
    </w:p>
    <w:p>
      <w:pPr>
        <w:numPr>
          <w:ilvl w:val="1"/>
          <w:numId w:val="3"/>
        </w:numPr>
        <w:tabs>
          <w:tab w:val="left" w:pos="525"/>
          <w:tab w:val="left" w:pos="630"/>
        </w:tabs>
        <w:spacing w:line="480" w:lineRule="auto"/>
        <w:outlineLvl w:val="3"/>
        <w:rPr>
          <w:rFonts w:ascii="宋体" w:eastAsia="宋体" w:cs="宋体" w:hint="eastAsia"/>
          <w:b/>
          <w:sz w:val="24"/>
          <w:szCs w:val="24"/>
        </w:rPr>
      </w:pPr>
      <w:bookmarkStart w:id="20" w:name="_Toc264616629"/>
      <w:r>
        <w:rPr>
          <w:rFonts w:ascii="宋体" w:eastAsia="宋体" w:cs="宋体" w:hint="eastAsia"/>
          <w:b/>
          <w:sz w:val="24"/>
          <w:szCs w:val="24"/>
        </w:rPr>
        <w:t>应遵循的原则</w:t>
      </w:r>
      <w:bookmarkEnd w:id="20"/>
    </w:p>
    <w:p>
      <w:pPr>
        <w:numPr>
          <w:ilvl w:val="2"/>
          <w:numId w:val="3"/>
        </w:numPr>
        <w:tabs>
          <w:tab w:val="left" w:pos="735"/>
          <w:tab w:val="left" w:pos="1254"/>
        </w:tabs>
        <w:spacing w:line="360" w:lineRule="auto"/>
        <w:ind w:left="735" w:hanging="735"/>
        <w:rPr>
          <w:rFonts w:ascii="宋体" w:eastAsia="宋体" w:cs="宋体" w:hint="eastAsia"/>
          <w:sz w:val="24"/>
          <w:szCs w:val="24"/>
        </w:rPr>
      </w:pPr>
      <w:r>
        <w:rPr>
          <w:rFonts w:ascii="宋体" w:eastAsia="宋体" w:cs="宋体" w:hint="eastAsia"/>
          <w:sz w:val="24"/>
          <w:szCs w:val="24"/>
        </w:rPr>
        <w:t>遵循公开、公平、公正和诚实信用原则。</w:t>
      </w:r>
    </w:p>
    <w:p>
      <w:pPr>
        <w:numPr>
          <w:ilvl w:val="2"/>
          <w:numId w:val="3"/>
        </w:numPr>
        <w:tabs>
          <w:tab w:val="left" w:pos="735"/>
          <w:tab w:val="left" w:pos="1254"/>
        </w:tabs>
        <w:spacing w:line="360" w:lineRule="auto"/>
        <w:ind w:left="735" w:hanging="735"/>
        <w:rPr>
          <w:rFonts w:ascii="宋体" w:eastAsia="宋体" w:cs="宋体" w:hint="eastAsia"/>
          <w:sz w:val="24"/>
          <w:szCs w:val="24"/>
        </w:rPr>
      </w:pPr>
      <w:r>
        <w:rPr>
          <w:rFonts w:ascii="宋体" w:eastAsia="宋体" w:cs="宋体" w:hint="eastAsia"/>
          <w:sz w:val="24"/>
          <w:szCs w:val="24"/>
        </w:rPr>
        <w:t>坚持价格合理、质量优先、服务优质原则。</w:t>
      </w:r>
    </w:p>
    <w:p>
      <w:pPr>
        <w:numPr>
          <w:ilvl w:val="2"/>
          <w:numId w:val="3"/>
        </w:numPr>
        <w:tabs>
          <w:tab w:val="left" w:pos="735"/>
          <w:tab w:val="left" w:pos="1254"/>
        </w:tabs>
        <w:spacing w:line="360" w:lineRule="auto"/>
        <w:ind w:left="735" w:hanging="735"/>
        <w:rPr>
          <w:rFonts w:ascii="宋体" w:eastAsia="宋体" w:cs="宋体" w:hint="eastAsia"/>
          <w:sz w:val="24"/>
          <w:szCs w:val="24"/>
        </w:rPr>
      </w:pPr>
      <w:r>
        <w:rPr>
          <w:rFonts w:ascii="宋体" w:eastAsia="宋体" w:cs="宋体" w:hint="eastAsia"/>
          <w:sz w:val="24"/>
          <w:szCs w:val="24"/>
        </w:rPr>
        <w:t>利用法律手段强化竞争机制，贯彻统一、规范、简化、高效的要求。</w:t>
      </w:r>
    </w:p>
    <w:p>
      <w:pPr>
        <w:numPr>
          <w:ilvl w:val="2"/>
          <w:numId w:val="3"/>
        </w:numPr>
        <w:tabs>
          <w:tab w:val="left" w:pos="735"/>
          <w:tab w:val="left" w:pos="1254"/>
        </w:tabs>
        <w:spacing w:line="360" w:lineRule="auto"/>
        <w:ind w:left="735" w:hanging="735"/>
        <w:rPr>
          <w:rFonts w:ascii="宋体" w:eastAsia="宋体" w:cs="宋体" w:hint="eastAsia"/>
          <w:sz w:val="24"/>
          <w:szCs w:val="24"/>
        </w:rPr>
      </w:pPr>
      <w:r>
        <w:rPr>
          <w:rFonts w:ascii="宋体" w:eastAsia="宋体" w:cs="宋体" w:hint="eastAsia"/>
          <w:sz w:val="24"/>
          <w:szCs w:val="24"/>
        </w:rPr>
        <w:t>投标文件递交地点、开标地点：</w:t>
      </w:r>
      <w:r>
        <w:rPr>
          <w:rFonts w:ascii="宋体" w:eastAsia="宋体" w:cs="宋体" w:hint="eastAsia"/>
          <w:sz w:val="24"/>
          <w:szCs w:val="24"/>
          <w:lang w:eastAsia="zh-CN"/>
        </w:rPr>
        <w:t>新疆天之源项目管理集团有限公司</w:t>
      </w:r>
      <w:r>
        <w:rPr>
          <w:rFonts w:ascii="宋体" w:eastAsia="宋体" w:cs="宋体" w:hint="eastAsia"/>
          <w:sz w:val="24"/>
          <w:szCs w:val="24"/>
        </w:rPr>
        <w:t>开标室（</w:t>
      </w:r>
      <w:r>
        <w:rPr>
          <w:rFonts w:ascii="宋体" w:eastAsia="宋体" w:cs="宋体" w:hint="eastAsia"/>
          <w:sz w:val="24"/>
          <w:szCs w:val="24"/>
          <w:lang w:eastAsia="zh-CN"/>
        </w:rPr>
        <w:t>乌鲁木齐市水磨沟区龙盛街2799号浙商大厦11楼会议室</w:t>
      </w:r>
      <w:r>
        <w:rPr>
          <w:rFonts w:ascii="宋体" w:eastAsia="宋体" w:cs="宋体" w:hint="eastAsia"/>
          <w:sz w:val="24"/>
          <w:szCs w:val="24"/>
        </w:rPr>
        <w:t>）</w:t>
      </w:r>
    </w:p>
    <w:p>
      <w:pPr>
        <w:numPr>
          <w:ilvl w:val="2"/>
          <w:numId w:val="3"/>
        </w:numPr>
        <w:tabs>
          <w:tab w:val="left" w:pos="735"/>
          <w:tab w:val="left" w:pos="1254"/>
        </w:tabs>
        <w:spacing w:line="360" w:lineRule="auto"/>
        <w:ind w:left="735" w:hanging="735"/>
        <w:rPr>
          <w:rFonts w:ascii="宋体" w:eastAsia="宋体" w:cs="宋体" w:hint="eastAsia"/>
          <w:sz w:val="24"/>
          <w:szCs w:val="24"/>
        </w:rPr>
      </w:pPr>
      <w:r>
        <w:rPr>
          <w:rFonts w:ascii="宋体" w:eastAsia="宋体" w:cs="宋体" w:hint="eastAsia"/>
          <w:sz w:val="24"/>
          <w:szCs w:val="24"/>
        </w:rPr>
        <w:t>合同的签订：《中标通知书》发出之日起次日与招标人签订合同。</w:t>
      </w:r>
    </w:p>
    <w:p>
      <w:pPr>
        <w:snapToGrid w:val="0"/>
        <w:spacing w:line="360" w:lineRule="auto"/>
        <w:ind w:firstLineChars="200" w:firstLine="480"/>
        <w:rPr>
          <w:rFonts w:ascii="宋体" w:eastAsia="宋体" w:cs="宋体" w:hint="eastAsia"/>
          <w:b/>
          <w:sz w:val="24"/>
          <w:szCs w:val="24"/>
        </w:rPr>
      </w:pPr>
      <w:r>
        <w:rPr>
          <w:rFonts w:ascii="宋体" w:eastAsia="宋体" w:cs="宋体" w:hint="eastAsia"/>
          <w:b/>
          <w:sz w:val="24"/>
          <w:szCs w:val="24"/>
        </w:rPr>
        <w:t>除非另有说明，本招标文件中所示的时间均指北京时间。以上工作时间计划如有变更，以招标代理机构另行书面通知为准。</w:t>
      </w:r>
    </w:p>
    <w:p>
      <w:pPr>
        <w:numPr>
          <w:ilvl w:val="1"/>
          <w:numId w:val="3"/>
        </w:numPr>
        <w:tabs>
          <w:tab w:val="left" w:pos="525"/>
          <w:tab w:val="left" w:pos="630"/>
        </w:tabs>
        <w:spacing w:line="480" w:lineRule="auto"/>
        <w:outlineLvl w:val="3"/>
        <w:rPr>
          <w:rFonts w:ascii="宋体" w:eastAsia="宋体" w:cs="宋体" w:hint="eastAsia"/>
          <w:b/>
          <w:sz w:val="24"/>
          <w:szCs w:val="24"/>
          <w:highlight w:val="auto"/>
        </w:rPr>
      </w:pPr>
      <w:bookmarkStart w:id="21" w:name="_Toc264616632"/>
      <w:r>
        <w:rPr>
          <w:rFonts w:ascii="宋体" w:eastAsia="宋体" w:cs="宋体" w:hint="eastAsia"/>
          <w:b/>
          <w:sz w:val="24"/>
          <w:szCs w:val="24"/>
          <w:highlight w:val="auto"/>
        </w:rPr>
        <w:t>合格的货物和服务</w:t>
      </w:r>
      <w:bookmarkEnd w:id="21"/>
    </w:p>
    <w:p>
      <w:pPr>
        <w:numPr>
          <w:ilvl w:val="2"/>
          <w:numId w:val="3"/>
        </w:numPr>
        <w:tabs>
          <w:tab w:val="left" w:pos="735"/>
          <w:tab w:val="left" w:pos="1254"/>
        </w:tabs>
        <w:spacing w:line="360" w:lineRule="auto"/>
        <w:ind w:left="735" w:hanging="735"/>
        <w:rPr>
          <w:rFonts w:ascii="宋体" w:eastAsia="宋体" w:cs="宋体" w:hint="eastAsia"/>
          <w:sz w:val="24"/>
          <w:szCs w:val="24"/>
          <w:highlight w:val="auto"/>
        </w:rPr>
      </w:pPr>
      <w:r>
        <w:rPr>
          <w:rFonts w:ascii="宋体" w:eastAsia="宋体" w:cs="宋体" w:hint="eastAsia"/>
          <w:sz w:val="24"/>
          <w:szCs w:val="24"/>
          <w:highlight w:val="auto"/>
        </w:rPr>
        <w:t>投标人提供的所有货物及服务，其来源地均应为中华人民共和国或与中华人民共和国有官方贸易关系的国家或地区。</w:t>
      </w:r>
    </w:p>
    <w:p>
      <w:pPr>
        <w:numPr>
          <w:ilvl w:val="2"/>
          <w:numId w:val="3"/>
        </w:numPr>
        <w:tabs>
          <w:tab w:val="left" w:pos="735"/>
          <w:tab w:val="left" w:pos="1254"/>
        </w:tabs>
        <w:spacing w:line="360" w:lineRule="auto"/>
        <w:ind w:left="735" w:hanging="735"/>
        <w:rPr>
          <w:rFonts w:ascii="宋体" w:eastAsia="宋体" w:cs="宋体" w:hint="eastAsia"/>
          <w:sz w:val="24"/>
          <w:szCs w:val="24"/>
          <w:highlight w:val="auto"/>
        </w:rPr>
      </w:pPr>
      <w:r>
        <w:rPr>
          <w:rFonts w:ascii="宋体" w:eastAsia="宋体" w:cs="宋体" w:hint="eastAsia"/>
          <w:sz w:val="24"/>
          <w:szCs w:val="24"/>
          <w:highlight w:val="auto"/>
        </w:rPr>
        <w:t>投标人提供的所有货物和服务，其质量、技术等特征必须符合国家、行业现行的标准及采购人需求。</w:t>
      </w:r>
    </w:p>
    <w:p>
      <w:pPr>
        <w:numPr>
          <w:ilvl w:val="2"/>
          <w:numId w:val="3"/>
        </w:numPr>
        <w:tabs>
          <w:tab w:val="left" w:pos="735"/>
          <w:tab w:val="left" w:pos="1254"/>
        </w:tabs>
        <w:spacing w:line="360" w:lineRule="auto"/>
        <w:ind w:left="735" w:hanging="735"/>
        <w:rPr>
          <w:rFonts w:ascii="宋体" w:eastAsia="宋体" w:cs="宋体" w:hint="eastAsia"/>
          <w:sz w:val="24"/>
          <w:szCs w:val="24"/>
          <w:highlight w:val="auto"/>
        </w:rPr>
      </w:pPr>
      <w:r>
        <w:rPr>
          <w:rFonts w:ascii="宋体" w:eastAsia="宋体" w:cs="宋体" w:hint="eastAsia"/>
          <w:sz w:val="24"/>
          <w:szCs w:val="24"/>
          <w:highlight w:val="auto"/>
        </w:rPr>
        <w:t>采购人将拒绝接受不合格的货物和服务，由此产生的费用及相关后果均由投标人自行承担。</w:t>
      </w:r>
    </w:p>
    <w:p>
      <w:pPr>
        <w:numPr>
          <w:ilvl w:val="2"/>
          <w:numId w:val="3"/>
        </w:numPr>
        <w:tabs>
          <w:tab w:val="left" w:pos="735"/>
          <w:tab w:val="left" w:pos="1254"/>
        </w:tabs>
        <w:spacing w:line="360" w:lineRule="auto"/>
        <w:ind w:left="735" w:hanging="735"/>
        <w:rPr>
          <w:rFonts w:ascii="宋体" w:eastAsia="宋体" w:cs="宋体" w:hint="eastAsia"/>
          <w:b/>
          <w:sz w:val="24"/>
          <w:szCs w:val="24"/>
          <w:highlight w:val="auto"/>
        </w:rPr>
      </w:pPr>
      <w:r>
        <w:rPr>
          <w:rFonts w:ascii="宋体" w:eastAsia="宋体" w:cs="宋体" w:hint="eastAsia"/>
          <w:sz w:val="24"/>
          <w:szCs w:val="24"/>
          <w:highlight w:val="auto"/>
        </w:rPr>
        <w:t>投标人应保证本项目下提供的服务或其任何一部分不会因第三方依法享有的专利权、商标权或其他知识产权而产生法律纠纷；如果投标人不拥有相应的知识产权，则须在报价中包括合法获取该知识产权的相关费用，并在投标文件中附有相关证明文件；</w:t>
      </w:r>
      <w:r>
        <w:rPr>
          <w:rFonts w:ascii="宋体" w:eastAsia="宋体" w:cs="宋体" w:hint="eastAsia"/>
          <w:b/>
          <w:sz w:val="24"/>
          <w:szCs w:val="24"/>
          <w:highlight w:val="auto"/>
        </w:rPr>
        <w:t>如因第三方提出其专利权、商标权或其他知识产权的侵权之诉，则一切法律责任由投标人承担。</w:t>
      </w:r>
    </w:p>
    <w:p>
      <w:pPr>
        <w:numPr>
          <w:ilvl w:val="1"/>
          <w:numId w:val="3"/>
        </w:numPr>
        <w:tabs>
          <w:tab w:val="left" w:pos="525"/>
          <w:tab w:val="left" w:pos="630"/>
        </w:tabs>
        <w:spacing w:line="480" w:lineRule="auto"/>
        <w:outlineLvl w:val="3"/>
        <w:rPr>
          <w:rFonts w:ascii="宋体" w:eastAsia="宋体" w:cs="宋体" w:hint="eastAsia"/>
          <w:b/>
          <w:sz w:val="24"/>
          <w:szCs w:val="24"/>
        </w:rPr>
      </w:pPr>
      <w:bookmarkStart w:id="22" w:name="_Toc264616633"/>
      <w:r>
        <w:rPr>
          <w:rFonts w:ascii="宋体" w:eastAsia="宋体" w:cs="宋体" w:hint="eastAsia"/>
          <w:b/>
          <w:sz w:val="24"/>
          <w:szCs w:val="24"/>
        </w:rPr>
        <w:t>保密</w:t>
      </w:r>
      <w:bookmarkEnd w:id="22"/>
    </w:p>
    <w:p>
      <w:pPr>
        <w:pStyle w:val="23"/>
        <w:tabs>
          <w:tab w:val="left" w:pos="978"/>
        </w:tabs>
        <w:spacing w:afterLines="25" w:after="60"/>
        <w:ind w:leftChars="1" w:left="2" w:firstLineChars="200" w:firstLine="480"/>
        <w:rPr>
          <w:rFonts w:ascii="宋体" w:eastAsia="宋体" w:cs="宋体" w:hint="eastAsia"/>
          <w:sz w:val="24"/>
          <w:szCs w:val="24"/>
        </w:rPr>
      </w:pPr>
      <w:r>
        <w:rPr>
          <w:rFonts w:ascii="宋体" w:eastAsia="宋体" w:cs="宋体" w:hint="eastAsia"/>
          <w:sz w:val="24"/>
          <w:szCs w:val="24"/>
        </w:rPr>
        <w:t>招投标双方应分别为对方在投标文件和招标文件中涉及的商业和技术等秘密保密，违者应对由此造成的后果承担责任。投标方不得将参加此次投标活动的事实进行商业性宣传。</w:t>
      </w:r>
    </w:p>
    <w:p>
      <w:pPr>
        <w:numPr>
          <w:ilvl w:val="1"/>
          <w:numId w:val="3"/>
        </w:numPr>
        <w:tabs>
          <w:tab w:val="left" w:pos="525"/>
          <w:tab w:val="left" w:pos="630"/>
        </w:tabs>
        <w:spacing w:line="480" w:lineRule="auto"/>
        <w:outlineLvl w:val="3"/>
        <w:rPr>
          <w:rFonts w:ascii="宋体" w:eastAsia="宋体" w:cs="宋体" w:hint="eastAsia"/>
          <w:b/>
          <w:sz w:val="24"/>
          <w:szCs w:val="24"/>
        </w:rPr>
      </w:pPr>
      <w:bookmarkStart w:id="23" w:name="_Toc264616636"/>
      <w:r>
        <w:rPr>
          <w:rFonts w:ascii="宋体" w:eastAsia="宋体" w:cs="宋体" w:hint="eastAsia"/>
          <w:b/>
          <w:sz w:val="24"/>
          <w:szCs w:val="24"/>
        </w:rPr>
        <w:t>质疑与受理</w:t>
      </w:r>
      <w:bookmarkEnd w:id="23"/>
    </w:p>
    <w:p>
      <w:pPr>
        <w:numPr>
          <w:ilvl w:val="2"/>
          <w:numId w:val="3"/>
        </w:numPr>
        <w:tabs>
          <w:tab w:val="left" w:pos="735"/>
          <w:tab w:val="left" w:pos="840"/>
        </w:tabs>
        <w:spacing w:line="360" w:lineRule="auto"/>
        <w:ind w:left="840" w:hanging="840"/>
        <w:rPr>
          <w:rFonts w:ascii="宋体" w:eastAsia="宋体" w:cs="宋体" w:hint="eastAsia"/>
          <w:sz w:val="24"/>
          <w:szCs w:val="24"/>
        </w:rPr>
      </w:pPr>
      <w:r>
        <w:rPr>
          <w:rFonts w:ascii="宋体" w:eastAsia="宋体" w:cs="宋体" w:hint="eastAsia"/>
          <w:sz w:val="24"/>
          <w:szCs w:val="24"/>
        </w:rPr>
        <w:t>投标人有质疑时，应当以书面形式（加盖投标人公章）在质疑有效期限内向招标代理机构提交质疑书原件，逾期质疑无效。投标人以电话、传真或电邮形式提交的质疑书属于无效质疑。</w:t>
      </w:r>
    </w:p>
    <w:p>
      <w:pPr>
        <w:numPr>
          <w:ilvl w:val="2"/>
          <w:numId w:val="3"/>
        </w:numPr>
        <w:tabs>
          <w:tab w:val="left" w:pos="735"/>
          <w:tab w:val="left" w:pos="840"/>
        </w:tabs>
        <w:spacing w:line="360" w:lineRule="auto"/>
        <w:ind w:left="840" w:hanging="840"/>
        <w:rPr>
          <w:rFonts w:ascii="宋体" w:eastAsia="宋体" w:cs="宋体" w:hint="eastAsia"/>
          <w:sz w:val="24"/>
          <w:szCs w:val="24"/>
        </w:rPr>
      </w:pPr>
      <w:r>
        <w:rPr>
          <w:rFonts w:ascii="宋体" w:eastAsia="宋体" w:cs="宋体" w:hint="eastAsia"/>
          <w:sz w:val="24"/>
          <w:szCs w:val="24"/>
        </w:rPr>
        <w:t>质疑内容不得含有虚假、恶意成分。依据谁主张谁举证的原则，质疑者提供的质疑书应当包括下列主要内容：具体的质疑事项、事实依据及相关确凿的证明材料和注明事实的确切来源、投标人名称、联系人与联系电话、质疑时间，质疑书应当署名并由法定代表人签字盖章并加盖公章。招标代理机构受理书面质疑书原件之日起，在规定的期限内做出答复。对于捏造事实、滥用维权扰乱采购秩序的恶意质疑者或举证不全查无实据被驳回次数在一年内达三次以上，将纳入不良行为记录名单并承担相应的法律责任。</w:t>
      </w:r>
    </w:p>
    <w:p>
      <w:pPr>
        <w:numPr>
          <w:ilvl w:val="2"/>
          <w:numId w:val="3"/>
        </w:numPr>
        <w:tabs>
          <w:tab w:val="left" w:pos="735"/>
          <w:tab w:val="left" w:pos="840"/>
        </w:tabs>
        <w:spacing w:line="360" w:lineRule="auto"/>
        <w:ind w:left="840" w:hanging="840"/>
        <w:rPr>
          <w:rFonts w:ascii="宋体" w:eastAsia="宋体" w:cs="宋体" w:hint="eastAsia"/>
          <w:sz w:val="24"/>
          <w:szCs w:val="24"/>
        </w:rPr>
      </w:pPr>
      <w:r>
        <w:rPr>
          <w:rFonts w:ascii="宋体" w:eastAsia="宋体" w:cs="宋体" w:hint="eastAsia"/>
          <w:sz w:val="24"/>
          <w:szCs w:val="24"/>
        </w:rPr>
        <w:t>招标代理机构在收到投标人的有效书面质疑后三个工作日内作出答复，但答复的内容不涉及商业秘密，质疑投标人对采购人、招标代理机构的质疑答复不满意，或采购人、招标代理机构未在规定期限内作出答复的，可以在答复期满后15个工作日内向同级政府采购监督管理部门提出投诉。</w:t>
      </w:r>
    </w:p>
    <w:p>
      <w:pPr>
        <w:numPr>
          <w:ilvl w:val="1"/>
          <w:numId w:val="3"/>
        </w:numPr>
        <w:tabs>
          <w:tab w:val="left" w:pos="525"/>
          <w:tab w:val="left" w:pos="630"/>
        </w:tabs>
        <w:spacing w:line="480" w:lineRule="auto"/>
        <w:outlineLvl w:val="3"/>
        <w:rPr>
          <w:rFonts w:ascii="宋体" w:eastAsia="宋体" w:cs="宋体" w:hint="eastAsia"/>
          <w:b/>
          <w:sz w:val="24"/>
          <w:szCs w:val="24"/>
        </w:rPr>
      </w:pPr>
      <w:bookmarkStart w:id="24" w:name="_Toc264616637"/>
      <w:r>
        <w:rPr>
          <w:rFonts w:ascii="宋体" w:eastAsia="宋体" w:cs="宋体" w:hint="eastAsia"/>
          <w:b/>
          <w:sz w:val="24"/>
          <w:szCs w:val="24"/>
        </w:rPr>
        <w:t>不得参与同一采购项目竞争的</w:t>
      </w:r>
      <w:bookmarkEnd w:id="24"/>
      <w:r>
        <w:rPr>
          <w:rFonts w:ascii="宋体" w:eastAsia="宋体" w:cs="宋体" w:hint="eastAsia"/>
          <w:b/>
          <w:sz w:val="24"/>
          <w:szCs w:val="24"/>
        </w:rPr>
        <w:t>投标人</w:t>
      </w:r>
    </w:p>
    <w:p>
      <w:pPr>
        <w:adjustRightInd w:val="0"/>
        <w:snapToGrid w:val="0"/>
        <w:spacing w:line="360" w:lineRule="auto"/>
        <w:ind w:leftChars="200" w:left="420"/>
        <w:rPr>
          <w:rFonts w:ascii="宋体" w:eastAsia="宋体" w:cs="宋体" w:hint="eastAsia"/>
          <w:sz w:val="24"/>
          <w:szCs w:val="24"/>
        </w:rPr>
      </w:pPr>
      <w:r>
        <w:rPr>
          <w:rFonts w:ascii="宋体" w:eastAsia="宋体" w:cs="宋体" w:hint="eastAsia"/>
          <w:sz w:val="24"/>
          <w:szCs w:val="24"/>
        </w:rPr>
        <w:t>不同的投标人之间有下列情形之一的，不接受作为参与不同竞争的投标人：</w:t>
      </w:r>
    </w:p>
    <w:p>
      <w:pPr>
        <w:numPr>
          <w:ilvl w:val="2"/>
          <w:numId w:val="3"/>
        </w:numPr>
        <w:tabs>
          <w:tab w:val="left" w:pos="735"/>
          <w:tab w:val="left" w:pos="840"/>
        </w:tabs>
        <w:spacing w:line="360" w:lineRule="auto"/>
        <w:ind w:left="840" w:hanging="840"/>
        <w:rPr>
          <w:rFonts w:ascii="宋体" w:eastAsia="宋体" w:cs="宋体" w:hint="eastAsia"/>
          <w:sz w:val="24"/>
          <w:szCs w:val="24"/>
        </w:rPr>
      </w:pPr>
      <w:r>
        <w:rPr>
          <w:rFonts w:ascii="宋体" w:eastAsia="宋体" w:cs="宋体" w:hint="eastAsia"/>
          <w:sz w:val="24"/>
          <w:szCs w:val="24"/>
        </w:rPr>
        <w:t>彼此存在投资与被投资关系的；</w:t>
      </w:r>
    </w:p>
    <w:p>
      <w:pPr>
        <w:numPr>
          <w:ilvl w:val="2"/>
          <w:numId w:val="3"/>
        </w:numPr>
        <w:tabs>
          <w:tab w:val="left" w:pos="735"/>
          <w:tab w:val="left" w:pos="840"/>
        </w:tabs>
        <w:spacing w:line="360" w:lineRule="auto"/>
        <w:ind w:left="840" w:hanging="840"/>
        <w:rPr>
          <w:rFonts w:ascii="宋体" w:eastAsia="宋体" w:cs="宋体" w:hint="eastAsia"/>
          <w:sz w:val="24"/>
          <w:szCs w:val="24"/>
        </w:rPr>
      </w:pPr>
      <w:r>
        <w:rPr>
          <w:rFonts w:ascii="宋体" w:eastAsia="宋体" w:cs="宋体" w:hint="eastAsia"/>
          <w:sz w:val="24"/>
          <w:szCs w:val="24"/>
        </w:rPr>
        <w:t>彼此的经营者、董事会（或同类管理机构）成员属于直系亲属或配偶关系的。</w:t>
      </w:r>
    </w:p>
    <w:p>
      <w:pPr>
        <w:numPr>
          <w:ilvl w:val="1"/>
          <w:numId w:val="3"/>
        </w:numPr>
        <w:tabs>
          <w:tab w:val="left" w:pos="525"/>
          <w:tab w:val="left" w:pos="630"/>
        </w:tabs>
        <w:spacing w:line="480" w:lineRule="auto"/>
        <w:outlineLvl w:val="3"/>
        <w:rPr>
          <w:rFonts w:ascii="宋体" w:eastAsia="宋体" w:cs="宋体" w:hint="eastAsia"/>
          <w:b/>
          <w:sz w:val="24"/>
          <w:szCs w:val="24"/>
        </w:rPr>
      </w:pPr>
      <w:bookmarkStart w:id="25" w:name="_Toc264616638"/>
      <w:r>
        <w:rPr>
          <w:rFonts w:ascii="宋体" w:eastAsia="宋体" w:cs="宋体" w:hint="eastAsia"/>
          <w:b/>
          <w:sz w:val="24"/>
          <w:szCs w:val="24"/>
        </w:rPr>
        <w:t>通知</w:t>
      </w:r>
      <w:bookmarkEnd w:id="25"/>
    </w:p>
    <w:p>
      <w:pPr>
        <w:tabs>
          <w:tab w:val="left" w:pos="900"/>
        </w:tabs>
        <w:adjustRightInd w:val="0"/>
        <w:snapToGrid w:val="0"/>
        <w:spacing w:line="360" w:lineRule="auto"/>
        <w:ind w:firstLineChars="200" w:firstLine="480"/>
        <w:rPr>
          <w:rFonts w:ascii="宋体" w:eastAsia="宋体" w:cs="宋体" w:hint="eastAsia"/>
          <w:sz w:val="24"/>
          <w:szCs w:val="24"/>
        </w:rPr>
      </w:pPr>
      <w:r>
        <w:rPr>
          <w:rFonts w:ascii="宋体" w:eastAsia="宋体" w:cs="宋体" w:hint="eastAsia"/>
          <w:sz w:val="24"/>
          <w:szCs w:val="24"/>
        </w:rPr>
        <w:t>对与本项目有关的通知，招标代理机构将以书面（包括书面材料、信函、传真、电报等，下同）或在本次招标公告刊登的媒体上以发布公告的形式，送达所有与通知有关的已领取了招标文件的投标人，邮箱及电话号码以投标人的登记为准。投标人应于收到通知的当日以书面方式予以回复确认。因投标人登记的电话及邮箱号码有误、电话及邮箱线路故障或其它任何意外情形，导致所发出的通知延迟送达或无法送达投标人，招标代理机构不承担责任。</w:t>
      </w:r>
    </w:p>
    <w:p>
      <w:pPr>
        <w:rPr>
          <w:rFonts w:hint="eastAsia"/>
        </w:rPr>
      </w:pPr>
      <w:r>
        <w:rPr>
          <w:rFonts w:ascii="宋体" w:eastAsia="宋体" w:cs="宋体" w:hint="eastAsia"/>
          <w:sz w:val="24"/>
          <w:szCs w:val="24"/>
        </w:rPr>
        <w:br w:type="page"/>
      </w:r>
    </w:p>
    <w:p>
      <w:pPr>
        <w:pStyle w:val="3"/>
        <w:keepNext/>
        <w:keepLines/>
        <w:widowControl w:val="0"/>
        <w:numPr>
          <w:ilvl w:val="0"/>
          <w:numId w:val="3"/>
        </w:numPr>
        <w:spacing w:before="260" w:after="260" w:line="400" w:lineRule="exact"/>
        <w:rPr>
          <w:rFonts w:ascii="宋体" w:eastAsia="宋体" w:cs="宋体" w:hint="eastAsia"/>
        </w:rPr>
      </w:pPr>
      <w:bookmarkStart w:id="26" w:name="_Toc49135196"/>
      <w:bookmarkStart w:id="27" w:name="_Toc277758486"/>
      <w:bookmarkStart w:id="28" w:name="_Toc243743354"/>
      <w:bookmarkStart w:id="29" w:name="_Toc153615290"/>
      <w:bookmarkStart w:id="30" w:name="_Toc130695593"/>
      <w:bookmarkStart w:id="31" w:name="_Toc12078"/>
      <w:bookmarkStart w:id="32" w:name="_Toc278958159"/>
      <w:bookmarkStart w:id="33" w:name="_Toc226966681"/>
      <w:bookmarkStart w:id="34" w:name="_Toc243923368"/>
      <w:bookmarkStart w:id="35" w:name="_Toc130697185"/>
      <w:bookmarkStart w:id="36" w:name="_Toc191353015"/>
      <w:bookmarkStart w:id="37" w:name="_Toc185747579"/>
      <w:bookmarkStart w:id="38" w:name="_Toc279046866"/>
      <w:bookmarkStart w:id="39" w:name="_Toc272350607"/>
      <w:bookmarkStart w:id="40" w:name="_Toc245203881"/>
      <w:bookmarkStart w:id="41" w:name="_Toc209258273"/>
      <w:bookmarkStart w:id="42" w:name="_Toc49082410"/>
      <w:bookmarkStart w:id="43" w:name="_Toc271105677"/>
      <w:bookmarkStart w:id="44" w:name="_Toc226521693"/>
      <w:r>
        <w:rPr>
          <w:rFonts w:ascii="宋体" w:eastAsia="宋体" w:cs="宋体" w:hint="eastAsia"/>
        </w:rPr>
        <w:t>招标文件</w:t>
      </w:r>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p>
    <w:p>
      <w:pPr>
        <w:numPr>
          <w:ilvl w:val="1"/>
          <w:numId w:val="3"/>
        </w:numPr>
        <w:tabs>
          <w:tab w:val="clear" w:pos="567"/>
          <w:tab w:val="left" w:pos="420"/>
          <w:tab w:val="left" w:pos="525"/>
        </w:tabs>
        <w:spacing w:line="480" w:lineRule="auto"/>
        <w:ind w:left="420" w:hanging="420"/>
        <w:outlineLvl w:val="3"/>
        <w:rPr>
          <w:rFonts w:ascii="宋体" w:eastAsia="宋体" w:cs="宋体" w:hint="eastAsia"/>
          <w:b/>
          <w:bCs/>
          <w:sz w:val="24"/>
          <w:szCs w:val="24"/>
        </w:rPr>
      </w:pPr>
      <w:r>
        <w:rPr>
          <w:rFonts w:ascii="宋体" w:eastAsia="宋体" w:cs="宋体" w:hint="eastAsia"/>
          <w:b/>
          <w:bCs/>
          <w:sz w:val="24"/>
          <w:szCs w:val="24"/>
        </w:rPr>
        <w:t>招标文件的组成</w:t>
      </w:r>
    </w:p>
    <w:p>
      <w:pPr>
        <w:spacing w:line="360" w:lineRule="auto"/>
        <w:ind w:firstLine="240"/>
        <w:rPr>
          <w:rFonts w:ascii="宋体" w:eastAsia="宋体" w:cs="宋体" w:hint="eastAsia"/>
          <w:sz w:val="24"/>
          <w:szCs w:val="24"/>
        </w:rPr>
      </w:pPr>
      <w:r>
        <w:rPr>
          <w:rFonts w:ascii="宋体" w:eastAsia="宋体" w:cs="宋体" w:hint="eastAsia"/>
          <w:sz w:val="24"/>
          <w:szCs w:val="24"/>
        </w:rPr>
        <w:t>（1）公告</w:t>
      </w:r>
    </w:p>
    <w:p>
      <w:pPr>
        <w:spacing w:line="360" w:lineRule="auto"/>
        <w:ind w:firstLine="240"/>
        <w:rPr>
          <w:rFonts w:ascii="宋体" w:eastAsia="宋体" w:cs="宋体" w:hint="eastAsia"/>
          <w:sz w:val="24"/>
          <w:szCs w:val="24"/>
        </w:rPr>
      </w:pPr>
      <w:r>
        <w:rPr>
          <w:rFonts w:ascii="宋体" w:eastAsia="宋体" w:cs="宋体" w:hint="eastAsia"/>
          <w:sz w:val="24"/>
          <w:szCs w:val="24"/>
        </w:rPr>
        <w:t>（2）投标人须知</w:t>
      </w:r>
    </w:p>
    <w:p>
      <w:pPr>
        <w:spacing w:line="360" w:lineRule="auto"/>
        <w:ind w:firstLine="240"/>
        <w:rPr>
          <w:rFonts w:ascii="宋体" w:eastAsia="宋体" w:cs="宋体" w:hint="eastAsia"/>
          <w:sz w:val="24"/>
          <w:szCs w:val="24"/>
        </w:rPr>
      </w:pPr>
      <w:r>
        <w:rPr>
          <w:rFonts w:ascii="宋体" w:eastAsia="宋体" w:cs="宋体" w:hint="eastAsia"/>
          <w:sz w:val="24"/>
          <w:szCs w:val="24"/>
        </w:rPr>
        <w:t>（3）采购人需求</w:t>
      </w:r>
    </w:p>
    <w:p>
      <w:pPr>
        <w:spacing w:line="360" w:lineRule="auto"/>
        <w:ind w:firstLine="240"/>
        <w:rPr>
          <w:rFonts w:ascii="宋体" w:eastAsia="宋体" w:cs="宋体" w:hint="eastAsia"/>
          <w:sz w:val="24"/>
          <w:szCs w:val="24"/>
        </w:rPr>
      </w:pPr>
      <w:r>
        <w:rPr>
          <w:rFonts w:ascii="宋体" w:eastAsia="宋体" w:cs="宋体" w:hint="eastAsia"/>
          <w:sz w:val="24"/>
          <w:szCs w:val="24"/>
        </w:rPr>
        <w:t>（4）政府采购合同</w:t>
      </w:r>
    </w:p>
    <w:p>
      <w:pPr>
        <w:spacing w:line="360" w:lineRule="auto"/>
        <w:ind w:firstLine="240"/>
        <w:rPr>
          <w:rFonts w:ascii="宋体" w:eastAsia="宋体" w:cs="宋体" w:hint="eastAsia"/>
          <w:sz w:val="24"/>
          <w:szCs w:val="24"/>
        </w:rPr>
      </w:pPr>
      <w:r>
        <w:rPr>
          <w:rFonts w:ascii="宋体" w:eastAsia="宋体" w:cs="宋体" w:hint="eastAsia"/>
          <w:sz w:val="24"/>
          <w:szCs w:val="24"/>
        </w:rPr>
        <w:t>（5）投标文件格式</w:t>
      </w:r>
    </w:p>
    <w:p>
      <w:pPr>
        <w:spacing w:line="360" w:lineRule="auto"/>
        <w:ind w:firstLine="240"/>
        <w:rPr>
          <w:rFonts w:ascii="宋体" w:eastAsia="宋体" w:cs="宋体" w:hint="eastAsia"/>
          <w:sz w:val="24"/>
          <w:szCs w:val="24"/>
        </w:rPr>
      </w:pPr>
      <w:r>
        <w:rPr>
          <w:rFonts w:ascii="宋体" w:eastAsia="宋体" w:cs="宋体" w:hint="eastAsia"/>
          <w:sz w:val="24"/>
          <w:szCs w:val="24"/>
        </w:rPr>
        <w:t>（6）附件：评标文件</w:t>
      </w:r>
    </w:p>
    <w:p>
      <w:pPr>
        <w:spacing w:line="360" w:lineRule="auto"/>
        <w:ind w:firstLine="240"/>
        <w:rPr>
          <w:rFonts w:ascii="宋体" w:eastAsia="宋体" w:cs="宋体" w:hint="eastAsia"/>
          <w:sz w:val="24"/>
          <w:szCs w:val="24"/>
        </w:rPr>
      </w:pPr>
      <w:r>
        <w:rPr>
          <w:rFonts w:ascii="宋体" w:eastAsia="宋体" w:cs="宋体" w:hint="eastAsia"/>
          <w:sz w:val="24"/>
          <w:szCs w:val="24"/>
        </w:rPr>
        <w:t>（7）根据招标文件规定发出的澄清、修改及补充文件（如有）；</w:t>
      </w:r>
    </w:p>
    <w:p>
      <w:pPr>
        <w:numPr>
          <w:ilvl w:val="1"/>
          <w:numId w:val="3"/>
        </w:numPr>
        <w:tabs>
          <w:tab w:val="clear" w:pos="567"/>
          <w:tab w:val="left" w:pos="420"/>
          <w:tab w:val="left" w:pos="525"/>
        </w:tabs>
        <w:spacing w:line="480" w:lineRule="auto"/>
        <w:ind w:left="420" w:hanging="420"/>
        <w:outlineLvl w:val="3"/>
        <w:rPr>
          <w:rFonts w:ascii="宋体" w:eastAsia="宋体" w:cs="宋体" w:hint="eastAsia"/>
          <w:b/>
          <w:bCs/>
          <w:sz w:val="24"/>
          <w:szCs w:val="24"/>
        </w:rPr>
      </w:pPr>
      <w:r>
        <w:rPr>
          <w:rFonts w:ascii="宋体" w:eastAsia="宋体" w:cs="宋体" w:hint="eastAsia"/>
          <w:b/>
          <w:bCs/>
          <w:sz w:val="24"/>
          <w:szCs w:val="24"/>
        </w:rPr>
        <w:t>招标文件的澄清</w:t>
      </w:r>
    </w:p>
    <w:p>
      <w:pPr>
        <w:spacing w:line="360" w:lineRule="auto"/>
        <w:ind w:left="154" w:firstLineChars="185" w:firstLine="444"/>
        <w:rPr>
          <w:rFonts w:ascii="宋体" w:eastAsia="宋体" w:cs="宋体" w:hint="eastAsia"/>
          <w:sz w:val="24"/>
          <w:szCs w:val="24"/>
        </w:rPr>
      </w:pPr>
      <w:r>
        <w:rPr>
          <w:rFonts w:ascii="宋体" w:eastAsia="宋体" w:cs="宋体" w:hint="eastAsia"/>
          <w:bCs/>
          <w:sz w:val="24"/>
          <w:szCs w:val="24"/>
        </w:rPr>
        <w:t>投标人如对招标文件有任何疑问，均应以书面形式在投标截止前5日（包括书面文字、电传、传真、电报等，应加盖公章）向招标代理机构提出澄清要求，</w:t>
      </w:r>
      <w:r>
        <w:rPr>
          <w:rFonts w:ascii="宋体" w:eastAsia="宋体" w:cs="宋体" w:hint="eastAsia"/>
          <w:sz w:val="24"/>
          <w:szCs w:val="24"/>
        </w:rPr>
        <w:t>招标代理机构将用信函、传真、E-Mail等形式做出答复，招标代理机构认为有必要（对响应招标文件有影响时）可将答复内容分发给所有取得同一招标文件的投标人。</w:t>
      </w:r>
    </w:p>
    <w:p>
      <w:pPr>
        <w:numPr>
          <w:ilvl w:val="1"/>
          <w:numId w:val="3"/>
        </w:numPr>
        <w:tabs>
          <w:tab w:val="clear" w:pos="567"/>
          <w:tab w:val="left" w:pos="420"/>
          <w:tab w:val="left" w:pos="525"/>
        </w:tabs>
        <w:spacing w:line="480" w:lineRule="auto"/>
        <w:ind w:left="420" w:hanging="420"/>
        <w:outlineLvl w:val="3"/>
        <w:rPr>
          <w:rFonts w:ascii="宋体" w:eastAsia="宋体" w:cs="宋体" w:hint="eastAsia"/>
          <w:b/>
          <w:bCs/>
          <w:sz w:val="24"/>
          <w:szCs w:val="24"/>
        </w:rPr>
      </w:pPr>
      <w:r>
        <w:rPr>
          <w:rFonts w:ascii="宋体" w:eastAsia="宋体" w:cs="宋体" w:hint="eastAsia"/>
          <w:b/>
          <w:bCs/>
          <w:sz w:val="24"/>
          <w:szCs w:val="24"/>
        </w:rPr>
        <w:t>招标文件的补充和修改</w:t>
      </w:r>
    </w:p>
    <w:p>
      <w:pPr>
        <w:numPr>
          <w:ilvl w:val="2"/>
          <w:numId w:val="3"/>
        </w:numPr>
        <w:tabs>
          <w:tab w:val="left" w:pos="735"/>
          <w:tab w:val="left" w:pos="1254"/>
        </w:tabs>
        <w:spacing w:line="360" w:lineRule="auto"/>
        <w:ind w:left="735" w:hanging="735"/>
        <w:rPr>
          <w:rFonts w:ascii="宋体" w:eastAsia="宋体" w:cs="宋体" w:hint="eastAsia"/>
          <w:bCs/>
          <w:sz w:val="24"/>
          <w:szCs w:val="24"/>
        </w:rPr>
      </w:pPr>
      <w:r>
        <w:rPr>
          <w:rFonts w:ascii="宋体" w:eastAsia="宋体" w:cs="宋体" w:hint="eastAsia"/>
          <w:bCs/>
          <w:sz w:val="24"/>
          <w:szCs w:val="24"/>
        </w:rPr>
        <w:t>对招标文件进行必要的补充</w:t>
      </w:r>
      <w:r>
        <w:rPr>
          <w:rFonts w:ascii="宋体" w:eastAsia="宋体" w:cs="宋体" w:hint="eastAsia"/>
          <w:sz w:val="24"/>
          <w:szCs w:val="24"/>
        </w:rPr>
        <w:t>或</w:t>
      </w:r>
      <w:r>
        <w:rPr>
          <w:rFonts w:ascii="宋体" w:eastAsia="宋体" w:cs="宋体" w:hint="eastAsia"/>
          <w:bCs/>
          <w:sz w:val="24"/>
          <w:szCs w:val="24"/>
        </w:rPr>
        <w:t>修改，代理公司将</w:t>
      </w:r>
      <w:r>
        <w:rPr>
          <w:rFonts w:ascii="宋体" w:eastAsia="宋体" w:cs="宋体" w:hint="eastAsia"/>
          <w:sz w:val="24"/>
          <w:szCs w:val="24"/>
        </w:rPr>
        <w:t>于开标前5天以书面或邮件的形式通知所有已获取招标文件的</w:t>
      </w:r>
      <w:r>
        <w:rPr>
          <w:rFonts w:ascii="宋体" w:eastAsia="宋体" w:cs="宋体" w:hint="eastAsia"/>
          <w:bCs/>
          <w:sz w:val="24"/>
          <w:szCs w:val="24"/>
        </w:rPr>
        <w:t>投标人，</w:t>
      </w:r>
      <w:r>
        <w:rPr>
          <w:rFonts w:ascii="宋体" w:eastAsia="宋体" w:cs="宋体" w:hint="eastAsia"/>
          <w:sz w:val="24"/>
          <w:szCs w:val="24"/>
        </w:rPr>
        <w:t>在收到</w:t>
      </w:r>
      <w:r>
        <w:rPr>
          <w:rFonts w:ascii="宋体" w:eastAsia="宋体" w:cs="宋体" w:hint="eastAsia"/>
          <w:bCs/>
          <w:sz w:val="24"/>
          <w:szCs w:val="24"/>
        </w:rPr>
        <w:t>补充</w:t>
      </w:r>
      <w:r>
        <w:rPr>
          <w:rFonts w:ascii="宋体" w:eastAsia="宋体" w:cs="宋体" w:hint="eastAsia"/>
          <w:sz w:val="24"/>
          <w:szCs w:val="24"/>
        </w:rPr>
        <w:t>或修改通知后应立即以书面形式予以确认，该</w:t>
      </w:r>
      <w:r>
        <w:rPr>
          <w:rFonts w:ascii="宋体" w:eastAsia="宋体" w:cs="宋体" w:hint="eastAsia"/>
          <w:bCs/>
          <w:sz w:val="24"/>
          <w:szCs w:val="24"/>
        </w:rPr>
        <w:t>补充</w:t>
      </w:r>
      <w:r>
        <w:rPr>
          <w:rFonts w:ascii="宋体" w:eastAsia="宋体" w:cs="宋体" w:hint="eastAsia"/>
          <w:sz w:val="24"/>
          <w:szCs w:val="24"/>
        </w:rPr>
        <w:t>或修改的内容为招标文件的组成部分；</w:t>
      </w:r>
      <w:r>
        <w:rPr>
          <w:rFonts w:ascii="宋体" w:eastAsia="宋体" w:cs="宋体" w:hint="eastAsia"/>
          <w:bCs/>
          <w:sz w:val="24"/>
          <w:szCs w:val="24"/>
        </w:rPr>
        <w:t>补充</w:t>
      </w:r>
      <w:r>
        <w:rPr>
          <w:rFonts w:ascii="宋体" w:eastAsia="宋体" w:cs="宋体" w:hint="eastAsia"/>
          <w:sz w:val="24"/>
          <w:szCs w:val="24"/>
        </w:rPr>
        <w:t>或修改不足5天的，应顺延投标截至时间。</w:t>
      </w:r>
    </w:p>
    <w:p>
      <w:pPr>
        <w:numPr>
          <w:ilvl w:val="2"/>
          <w:numId w:val="3"/>
        </w:numPr>
        <w:tabs>
          <w:tab w:val="left" w:pos="735"/>
          <w:tab w:val="left" w:pos="1254"/>
        </w:tabs>
        <w:spacing w:line="360" w:lineRule="auto"/>
        <w:ind w:left="735" w:hanging="735"/>
        <w:rPr>
          <w:rFonts w:ascii="宋体" w:eastAsia="宋体" w:cs="宋体" w:hint="eastAsia"/>
          <w:bCs/>
          <w:sz w:val="24"/>
          <w:szCs w:val="24"/>
        </w:rPr>
      </w:pPr>
      <w:r>
        <w:rPr>
          <w:rFonts w:ascii="宋体" w:eastAsia="宋体" w:cs="宋体" w:hint="eastAsia"/>
          <w:bCs/>
          <w:sz w:val="24"/>
          <w:szCs w:val="24"/>
        </w:rPr>
        <w:t>对于投标人澄清要求的回复，或者招标文件的修改补充文件，招标机构均将以书面或邮件形式通知所有投标人。投标人在收到澄清或补充文件后应于24小时内，以书面或邮件形式予以确认，如澄清或补充文件发出后24小时内未收到投标人书面确认，则视为投标人已确认。</w:t>
      </w:r>
    </w:p>
    <w:p>
      <w:pPr>
        <w:numPr>
          <w:ilvl w:val="2"/>
          <w:numId w:val="3"/>
        </w:numPr>
        <w:tabs>
          <w:tab w:val="left" w:pos="735"/>
          <w:tab w:val="left" w:pos="1254"/>
        </w:tabs>
        <w:spacing w:line="360" w:lineRule="auto"/>
        <w:ind w:left="735" w:hanging="735"/>
        <w:rPr>
          <w:rFonts w:ascii="宋体" w:eastAsia="宋体" w:cs="宋体" w:hint="eastAsia"/>
          <w:bCs/>
          <w:sz w:val="24"/>
          <w:szCs w:val="24"/>
        </w:rPr>
      </w:pPr>
      <w:r>
        <w:rPr>
          <w:rFonts w:ascii="宋体" w:eastAsia="宋体" w:cs="宋体" w:hint="eastAsia"/>
          <w:bCs/>
          <w:sz w:val="24"/>
          <w:szCs w:val="24"/>
        </w:rPr>
        <w:t>招标过程中的一切修改文件或补充文件一旦确认后与招标文件具有同等法律效力，投标人有责任履行相应的义务。</w:t>
      </w:r>
    </w:p>
    <w:p>
      <w:pPr>
        <w:numPr>
          <w:ilvl w:val="2"/>
          <w:numId w:val="3"/>
        </w:numPr>
        <w:tabs>
          <w:tab w:val="left" w:pos="735"/>
          <w:tab w:val="left" w:pos="1254"/>
        </w:tabs>
        <w:spacing w:line="360" w:lineRule="auto"/>
        <w:ind w:left="735" w:hanging="735"/>
        <w:rPr>
          <w:rFonts w:ascii="宋体" w:eastAsia="宋体" w:cs="宋体" w:hint="eastAsia"/>
          <w:sz w:val="24"/>
          <w:szCs w:val="24"/>
        </w:rPr>
      </w:pPr>
      <w:r>
        <w:rPr>
          <w:rFonts w:ascii="宋体" w:eastAsia="宋体" w:cs="宋体" w:hint="eastAsia"/>
          <w:bCs/>
          <w:sz w:val="24"/>
          <w:szCs w:val="24"/>
        </w:rPr>
        <w:t>为使潜在投标人有合理的时间理解招标文件的修改，招标代理机构可酌情推迟投标截止日期和开标时间，</w:t>
      </w:r>
      <w:r>
        <w:rPr>
          <w:rFonts w:ascii="宋体" w:eastAsia="宋体" w:cs="宋体" w:hint="eastAsia"/>
          <w:sz w:val="24"/>
          <w:szCs w:val="24"/>
        </w:rPr>
        <w:t>但至少应当在规定的投标截止时间三日前，将变更时间书面通知所有招标文件收受人。</w:t>
      </w:r>
    </w:p>
    <w:p>
      <w:pPr>
        <w:pStyle w:val="3"/>
        <w:keepNext/>
        <w:keepLines/>
        <w:widowControl w:val="0"/>
        <w:numPr>
          <w:ilvl w:val="0"/>
          <w:numId w:val="3"/>
        </w:numPr>
        <w:spacing w:before="260" w:after="260" w:line="400" w:lineRule="exact"/>
        <w:rPr>
          <w:rFonts w:ascii="宋体" w:eastAsia="宋体" w:cs="宋体" w:hint="eastAsia"/>
          <w:sz w:val="24"/>
          <w:szCs w:val="24"/>
        </w:rPr>
      </w:pPr>
      <w:bookmarkStart w:id="45" w:name="_Toc49082411"/>
      <w:bookmarkStart w:id="46" w:name="_Toc130697186"/>
      <w:bookmarkStart w:id="47" w:name="_Toc49135197"/>
      <w:bookmarkStart w:id="48" w:name="_Toc153615291"/>
      <w:bookmarkStart w:id="49" w:name="_Toc130695594"/>
      <w:bookmarkStart w:id="50" w:name="_Toc272350608"/>
      <w:bookmarkStart w:id="51" w:name="_Toc185747580"/>
      <w:bookmarkStart w:id="52" w:name="_Toc226966682"/>
      <w:bookmarkStart w:id="53" w:name="_Toc271105678"/>
      <w:bookmarkStart w:id="54" w:name="_Toc278958160"/>
      <w:bookmarkStart w:id="55" w:name="_Toc243743355"/>
      <w:bookmarkStart w:id="56" w:name="_Toc243923369"/>
      <w:bookmarkStart w:id="57" w:name="_Toc277758487"/>
      <w:bookmarkStart w:id="58" w:name="_Toc226521694"/>
      <w:bookmarkStart w:id="59" w:name="_Toc191353016"/>
      <w:bookmarkStart w:id="60" w:name="_Toc24217"/>
      <w:bookmarkStart w:id="61" w:name="_Toc209258274"/>
      <w:bookmarkStart w:id="62" w:name="_Toc245203882"/>
      <w:bookmarkStart w:id="63" w:name="_Toc279046867"/>
      <w:r>
        <w:rPr>
          <w:rFonts w:ascii="宋体" w:eastAsia="宋体" w:cs="宋体" w:hint="eastAsia"/>
          <w:sz w:val="24"/>
          <w:szCs w:val="24"/>
        </w:rPr>
        <w:t>投标</w:t>
      </w:r>
      <w:bookmarkEnd w:id="45"/>
      <w:bookmarkEnd w:id="46"/>
      <w:bookmarkEnd w:id="47"/>
      <w:bookmarkEnd w:id="48"/>
      <w:bookmarkEnd w:id="49"/>
      <w:r>
        <w:rPr>
          <w:rFonts w:ascii="宋体" w:eastAsia="宋体" w:cs="宋体" w:hint="eastAsia"/>
          <w:sz w:val="24"/>
          <w:szCs w:val="24"/>
        </w:rPr>
        <w:t>文件</w:t>
      </w:r>
      <w:bookmarkEnd w:id="50"/>
      <w:bookmarkEnd w:id="51"/>
      <w:bookmarkEnd w:id="52"/>
      <w:bookmarkEnd w:id="53"/>
      <w:bookmarkEnd w:id="54"/>
      <w:bookmarkEnd w:id="55"/>
      <w:bookmarkEnd w:id="56"/>
      <w:bookmarkEnd w:id="57"/>
      <w:bookmarkEnd w:id="58"/>
      <w:bookmarkEnd w:id="59"/>
      <w:bookmarkEnd w:id="60"/>
      <w:bookmarkEnd w:id="61"/>
      <w:bookmarkEnd w:id="62"/>
      <w:bookmarkEnd w:id="63"/>
    </w:p>
    <w:p>
      <w:pPr>
        <w:numPr>
          <w:ilvl w:val="1"/>
          <w:numId w:val="3"/>
        </w:numPr>
        <w:tabs>
          <w:tab w:val="clear" w:pos="567"/>
          <w:tab w:val="left" w:pos="420"/>
          <w:tab w:val="left" w:pos="525"/>
        </w:tabs>
        <w:spacing w:line="480" w:lineRule="auto"/>
        <w:ind w:left="420" w:hanging="420"/>
        <w:outlineLvl w:val="3"/>
        <w:rPr>
          <w:rFonts w:ascii="宋体" w:eastAsia="宋体" w:cs="宋体" w:hint="eastAsia"/>
          <w:b/>
          <w:bCs/>
          <w:sz w:val="24"/>
          <w:szCs w:val="24"/>
        </w:rPr>
      </w:pPr>
      <w:r>
        <w:rPr>
          <w:rFonts w:ascii="宋体" w:eastAsia="宋体" w:cs="宋体" w:hint="eastAsia"/>
          <w:b/>
          <w:bCs/>
          <w:sz w:val="24"/>
          <w:szCs w:val="24"/>
        </w:rPr>
        <w:t>投标文件的编写</w:t>
      </w:r>
    </w:p>
    <w:p>
      <w:pPr>
        <w:numPr>
          <w:ilvl w:val="2"/>
          <w:numId w:val="3"/>
        </w:numPr>
        <w:tabs>
          <w:tab w:val="left" w:pos="735"/>
          <w:tab w:val="left" w:pos="1254"/>
        </w:tabs>
        <w:spacing w:line="360" w:lineRule="auto"/>
        <w:ind w:left="735" w:hanging="735"/>
        <w:rPr>
          <w:rFonts w:ascii="宋体" w:eastAsia="宋体" w:cs="宋体" w:hint="eastAsia"/>
          <w:bCs/>
          <w:sz w:val="24"/>
          <w:szCs w:val="24"/>
        </w:rPr>
      </w:pPr>
      <w:r>
        <w:rPr>
          <w:rFonts w:ascii="宋体" w:eastAsia="宋体" w:cs="宋体" w:hint="eastAsia"/>
          <w:bCs/>
          <w:sz w:val="24"/>
          <w:szCs w:val="24"/>
        </w:rPr>
        <w:t>投标人应仔细阅读招标文件的所有内容，按招标文件的要求制作并递交投标文件，并保证所提供的全部资料的真实性、准确性，以确保其投标对招标文件做出实质性响应；否则，将拒绝其投标。投标人在投标中提供不真实的材料，无论其材料是否重要，都将直接导致投标文件无效，并承担由此产生的法律责任。</w:t>
      </w:r>
    </w:p>
    <w:p>
      <w:pPr>
        <w:numPr>
          <w:ilvl w:val="2"/>
          <w:numId w:val="3"/>
        </w:numPr>
        <w:tabs>
          <w:tab w:val="left" w:pos="735"/>
          <w:tab w:val="left" w:pos="1254"/>
        </w:tabs>
        <w:spacing w:line="360" w:lineRule="auto"/>
        <w:ind w:left="735" w:hanging="735"/>
        <w:rPr>
          <w:rFonts w:ascii="宋体" w:eastAsia="宋体" w:cs="宋体" w:hint="eastAsia"/>
          <w:bCs/>
          <w:sz w:val="24"/>
          <w:szCs w:val="24"/>
        </w:rPr>
      </w:pPr>
      <w:r>
        <w:rPr>
          <w:rFonts w:ascii="宋体" w:eastAsia="宋体" w:cs="宋体" w:hint="eastAsia"/>
          <w:bCs/>
          <w:sz w:val="24"/>
          <w:szCs w:val="24"/>
        </w:rPr>
        <w:t>投标语言和计量单位：投标文件和来往函件应用简体中文书写，投标人提供的支持文件、技术资料和印刷的文献可以用其他语言，但相应内容应附有中文翻译本（经公证处公证），以中文为准，计量单位应使用国际公制单位。</w:t>
      </w:r>
    </w:p>
    <w:p>
      <w:pPr>
        <w:numPr>
          <w:ilvl w:val="2"/>
          <w:numId w:val="3"/>
        </w:numPr>
        <w:tabs>
          <w:tab w:val="left" w:pos="735"/>
          <w:tab w:val="left" w:pos="1254"/>
        </w:tabs>
        <w:spacing w:line="360" w:lineRule="auto"/>
        <w:ind w:left="735" w:hanging="735"/>
        <w:rPr>
          <w:rFonts w:ascii="宋体" w:eastAsia="宋体" w:cs="宋体" w:hint="eastAsia"/>
          <w:sz w:val="24"/>
          <w:szCs w:val="24"/>
        </w:rPr>
      </w:pPr>
      <w:r>
        <w:rPr>
          <w:rFonts w:ascii="宋体" w:eastAsia="宋体" w:cs="宋体" w:hint="eastAsia"/>
          <w:sz w:val="24"/>
          <w:szCs w:val="24"/>
        </w:rPr>
        <w:t>投标人须对本项目的全部货物及服务进行整体投标，不能对某一部分内容进行选择投标。任何只对其中一部分内容进行的投标都被视为无效投标。</w:t>
      </w:r>
    </w:p>
    <w:p>
      <w:pPr>
        <w:numPr>
          <w:ilvl w:val="2"/>
          <w:numId w:val="3"/>
        </w:numPr>
        <w:tabs>
          <w:tab w:val="left" w:pos="735"/>
          <w:tab w:val="left" w:pos="1254"/>
        </w:tabs>
        <w:spacing w:line="360" w:lineRule="auto"/>
        <w:ind w:left="735" w:hanging="735"/>
        <w:rPr>
          <w:rFonts w:ascii="宋体" w:eastAsia="宋体" w:cs="宋体" w:hint="eastAsia"/>
          <w:sz w:val="24"/>
          <w:szCs w:val="24"/>
        </w:rPr>
      </w:pPr>
      <w:r>
        <w:rPr>
          <w:rFonts w:ascii="宋体" w:eastAsia="宋体" w:cs="宋体" w:hint="eastAsia"/>
          <w:sz w:val="24"/>
          <w:szCs w:val="24"/>
        </w:rPr>
        <w:t>本项目不接受备选投标方案或备选的投标货物型号/规格，投标文件的报价只允许有一个报价，招标代理机构不接受有任何选择的报价</w:t>
      </w:r>
      <w:r>
        <w:rPr>
          <w:rFonts w:ascii="宋体" w:eastAsia="宋体" w:cs="宋体" w:hint="eastAsia"/>
          <w:bCs/>
          <w:sz w:val="24"/>
          <w:szCs w:val="24"/>
        </w:rPr>
        <w:t>。</w:t>
      </w:r>
    </w:p>
    <w:p>
      <w:pPr>
        <w:numPr>
          <w:ilvl w:val="2"/>
          <w:numId w:val="3"/>
        </w:numPr>
        <w:tabs>
          <w:tab w:val="left" w:pos="735"/>
          <w:tab w:val="left" w:pos="1254"/>
        </w:tabs>
        <w:spacing w:line="360" w:lineRule="auto"/>
        <w:ind w:left="735" w:hanging="735"/>
        <w:rPr>
          <w:rFonts w:ascii="宋体" w:eastAsia="宋体" w:cs="宋体" w:hint="eastAsia"/>
          <w:b/>
          <w:sz w:val="24"/>
          <w:szCs w:val="24"/>
        </w:rPr>
      </w:pPr>
      <w:r>
        <w:rPr>
          <w:rFonts w:ascii="宋体" w:eastAsia="宋体" w:cs="宋体" w:hint="eastAsia"/>
          <w:b/>
          <w:sz w:val="24"/>
          <w:szCs w:val="24"/>
        </w:rPr>
        <w:t>本项目投标报价应包含所有履约费用。除本招标文件另有规定外，投标供应商应按招标文件所附相应的开标一览表格式标明拟提供服务的总价、合同履约期限等（以开标一览表格式为准），任何有选择性的报价将不予接受，每种服务只允许有一个报价。</w:t>
      </w:r>
    </w:p>
    <w:p>
      <w:pPr>
        <w:numPr>
          <w:ilvl w:val="2"/>
          <w:numId w:val="3"/>
        </w:numPr>
        <w:tabs>
          <w:tab w:val="left" w:pos="735"/>
          <w:tab w:val="left" w:pos="1254"/>
        </w:tabs>
        <w:spacing w:line="360" w:lineRule="auto"/>
        <w:ind w:left="735" w:hanging="735"/>
        <w:rPr>
          <w:rFonts w:ascii="宋体" w:eastAsia="宋体" w:cs="宋体" w:hint="eastAsia"/>
          <w:bCs/>
          <w:sz w:val="24"/>
          <w:szCs w:val="24"/>
        </w:rPr>
      </w:pPr>
      <w:r>
        <w:rPr>
          <w:rFonts w:ascii="宋体" w:eastAsia="宋体" w:cs="宋体" w:hint="eastAsia"/>
          <w:b/>
          <w:sz w:val="24"/>
          <w:szCs w:val="24"/>
        </w:rPr>
        <w:t>投标人应以人民币报价。投标人漏报的单价或每单价报价中漏报、少报的费用，视为此项费用已隐含在投标报价中，中标人不得再向采购人收取任何费用</w:t>
      </w:r>
      <w:r>
        <w:rPr>
          <w:rFonts w:ascii="宋体" w:eastAsia="宋体" w:cs="宋体" w:hint="eastAsia"/>
          <w:bCs/>
          <w:sz w:val="24"/>
          <w:szCs w:val="24"/>
        </w:rPr>
        <w:t>。</w:t>
      </w:r>
    </w:p>
    <w:p>
      <w:pPr>
        <w:numPr>
          <w:ilvl w:val="2"/>
          <w:numId w:val="3"/>
        </w:numPr>
        <w:tabs>
          <w:tab w:val="left" w:pos="735"/>
          <w:tab w:val="left" w:pos="1254"/>
        </w:tabs>
        <w:spacing w:line="360" w:lineRule="auto"/>
        <w:ind w:left="735" w:hanging="735"/>
        <w:rPr>
          <w:rFonts w:ascii="宋体" w:eastAsia="宋体" w:cs="宋体" w:hint="eastAsia"/>
          <w:bCs/>
          <w:sz w:val="24"/>
          <w:szCs w:val="24"/>
        </w:rPr>
      </w:pPr>
      <w:r>
        <w:rPr>
          <w:rFonts w:ascii="宋体" w:eastAsia="宋体" w:cs="宋体" w:hint="eastAsia"/>
          <w:bCs/>
          <w:sz w:val="24"/>
          <w:szCs w:val="24"/>
        </w:rPr>
        <w:t>开标时，投标文件中开标一览表(报价表)内容与投标文件中明细表内容不一致的，以开标一览表(报价表)为准。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p>
    <w:p>
      <w:pPr>
        <w:numPr>
          <w:ilvl w:val="2"/>
          <w:numId w:val="3"/>
        </w:numPr>
        <w:tabs>
          <w:tab w:val="left" w:pos="735"/>
          <w:tab w:val="left" w:pos="1254"/>
        </w:tabs>
        <w:spacing w:line="360" w:lineRule="auto"/>
        <w:ind w:left="735" w:hanging="735"/>
        <w:rPr>
          <w:rFonts w:ascii="宋体" w:eastAsia="宋体" w:cs="宋体" w:hint="eastAsia"/>
          <w:bCs/>
          <w:sz w:val="24"/>
          <w:szCs w:val="24"/>
        </w:rPr>
      </w:pPr>
      <w:r>
        <w:rPr>
          <w:rFonts w:ascii="宋体" w:eastAsia="宋体" w:cs="宋体" w:hint="eastAsia"/>
          <w:bCs/>
          <w:sz w:val="24"/>
          <w:szCs w:val="24"/>
        </w:rPr>
        <w:t>投标人须用人民币报价。当单价与数量的乘积与合价不一致时，以标出的单价与数量的乘积为准，单价小数点有明显错误除外。</w:t>
      </w:r>
    </w:p>
    <w:p>
      <w:pPr>
        <w:numPr>
          <w:ilvl w:val="2"/>
          <w:numId w:val="3"/>
        </w:numPr>
        <w:tabs>
          <w:tab w:val="left" w:pos="735"/>
          <w:tab w:val="left" w:pos="1254"/>
        </w:tabs>
        <w:spacing w:line="360" w:lineRule="auto"/>
        <w:ind w:left="735" w:hanging="735"/>
        <w:rPr>
          <w:rFonts w:ascii="宋体" w:eastAsia="宋体" w:cs="宋体" w:hint="eastAsia"/>
          <w:bCs/>
          <w:sz w:val="24"/>
          <w:szCs w:val="24"/>
        </w:rPr>
      </w:pPr>
      <w:r>
        <w:rPr>
          <w:rFonts w:ascii="宋体" w:eastAsia="宋体" w:cs="宋体" w:hint="eastAsia"/>
          <w:bCs/>
          <w:sz w:val="24"/>
          <w:szCs w:val="24"/>
        </w:rPr>
        <w:t>投标人的报价明显低于其他投标报价，使得其投标报价可能低于其个别成本的，应当要求该投标人作出书面说明并提供相关证明材料。投标人不能合理说明或者不能提供相关证明材料的，由评标委员会认定该投标人以低于成本报价竞标其投标应作无效标处理。</w:t>
      </w:r>
    </w:p>
    <w:p>
      <w:pPr>
        <w:numPr>
          <w:ilvl w:val="1"/>
          <w:numId w:val="3"/>
        </w:numPr>
        <w:tabs>
          <w:tab w:val="clear" w:pos="567"/>
          <w:tab w:val="left" w:pos="420"/>
          <w:tab w:val="left" w:pos="525"/>
        </w:tabs>
        <w:spacing w:line="480" w:lineRule="auto"/>
        <w:ind w:left="420" w:hanging="420"/>
        <w:outlineLvl w:val="3"/>
        <w:rPr>
          <w:rFonts w:ascii="宋体" w:eastAsia="宋体" w:cs="宋体" w:hint="eastAsia"/>
          <w:b/>
          <w:bCs/>
          <w:sz w:val="24"/>
          <w:szCs w:val="24"/>
        </w:rPr>
      </w:pPr>
      <w:r>
        <w:rPr>
          <w:rFonts w:ascii="宋体" w:eastAsia="宋体" w:cs="宋体" w:hint="eastAsia"/>
          <w:b/>
          <w:bCs/>
          <w:sz w:val="24"/>
          <w:szCs w:val="24"/>
        </w:rPr>
        <w:t>投标文件的组成</w:t>
      </w:r>
    </w:p>
    <w:p>
      <w:pPr>
        <w:numPr>
          <w:ilvl w:val="2"/>
          <w:numId w:val="3"/>
        </w:numPr>
        <w:tabs>
          <w:tab w:val="left" w:pos="735"/>
          <w:tab w:val="left" w:pos="1254"/>
        </w:tabs>
        <w:spacing w:line="360" w:lineRule="auto"/>
        <w:ind w:left="735" w:hanging="735"/>
        <w:rPr>
          <w:rFonts w:ascii="宋体" w:eastAsia="宋体" w:cs="宋体" w:hint="eastAsia"/>
          <w:sz w:val="24"/>
          <w:szCs w:val="24"/>
        </w:rPr>
      </w:pPr>
      <w:r>
        <w:rPr>
          <w:rFonts w:ascii="宋体" w:eastAsia="宋体" w:cs="宋体" w:hint="eastAsia"/>
          <w:sz w:val="24"/>
          <w:szCs w:val="24"/>
        </w:rPr>
        <w:t>投标文件应包括但不限于以下部分（按以下顺序装订）：</w:t>
      </w:r>
    </w:p>
    <w:p>
      <w:pPr>
        <w:numPr>
          <w:ilvl w:val="0"/>
          <w:numId w:val="4"/>
        </w:numPr>
        <w:tabs>
          <w:tab w:val="clear" w:pos="720"/>
          <w:tab w:val="left" w:pos="1155"/>
        </w:tabs>
        <w:spacing w:line="360" w:lineRule="auto"/>
        <w:ind w:left="1050" w:hanging="630"/>
        <w:rPr>
          <w:rFonts w:ascii="宋体" w:eastAsia="宋体" w:cs="宋体" w:hint="eastAsia"/>
          <w:color w:val="000000"/>
          <w:sz w:val="24"/>
          <w:szCs w:val="24"/>
        </w:rPr>
      </w:pPr>
      <w:r>
        <w:rPr>
          <w:rFonts w:ascii="宋体" w:eastAsia="宋体" w:cs="宋体" w:hint="eastAsia"/>
          <w:color w:val="000000"/>
          <w:sz w:val="24"/>
          <w:szCs w:val="24"/>
        </w:rPr>
        <w:t>投标书</w:t>
      </w:r>
    </w:p>
    <w:p>
      <w:pPr>
        <w:numPr>
          <w:ilvl w:val="0"/>
          <w:numId w:val="4"/>
        </w:numPr>
        <w:tabs>
          <w:tab w:val="clear" w:pos="720"/>
          <w:tab w:val="left" w:pos="1155"/>
        </w:tabs>
        <w:spacing w:line="360" w:lineRule="auto"/>
        <w:ind w:left="1050" w:hanging="630"/>
        <w:rPr>
          <w:rFonts w:ascii="宋体" w:eastAsia="宋体" w:cs="宋体" w:hint="eastAsia"/>
          <w:color w:val="000000"/>
          <w:sz w:val="24"/>
          <w:szCs w:val="24"/>
        </w:rPr>
      </w:pPr>
      <w:r>
        <w:rPr>
          <w:rFonts w:ascii="宋体" w:eastAsia="宋体" w:cs="宋体" w:hint="eastAsia"/>
          <w:color w:val="000000"/>
          <w:sz w:val="24"/>
          <w:szCs w:val="24"/>
        </w:rPr>
        <w:t>投标人基本情况表</w:t>
      </w:r>
    </w:p>
    <w:p>
      <w:pPr>
        <w:numPr>
          <w:ilvl w:val="0"/>
          <w:numId w:val="4"/>
        </w:numPr>
        <w:tabs>
          <w:tab w:val="clear" w:pos="720"/>
          <w:tab w:val="left" w:pos="1155"/>
        </w:tabs>
        <w:spacing w:line="360" w:lineRule="auto"/>
        <w:ind w:left="1050" w:hanging="630"/>
        <w:rPr>
          <w:rFonts w:ascii="宋体" w:eastAsia="宋体" w:cs="宋体" w:hint="eastAsia"/>
          <w:color w:val="000000"/>
          <w:sz w:val="24"/>
          <w:szCs w:val="24"/>
        </w:rPr>
      </w:pPr>
      <w:r>
        <w:rPr>
          <w:rFonts w:ascii="宋体" w:eastAsia="宋体" w:cs="宋体" w:hint="eastAsia"/>
          <w:color w:val="000000"/>
          <w:sz w:val="24"/>
          <w:szCs w:val="24"/>
        </w:rPr>
        <w:t>投标一览表</w:t>
      </w:r>
    </w:p>
    <w:p>
      <w:pPr>
        <w:numPr>
          <w:ilvl w:val="0"/>
          <w:numId w:val="4"/>
        </w:numPr>
        <w:tabs>
          <w:tab w:val="clear" w:pos="720"/>
          <w:tab w:val="left" w:pos="1155"/>
        </w:tabs>
        <w:spacing w:line="360" w:lineRule="auto"/>
        <w:ind w:left="1050" w:hanging="630"/>
        <w:rPr>
          <w:rFonts w:ascii="宋体" w:eastAsia="宋体" w:cs="宋体" w:hint="eastAsia"/>
          <w:color w:val="000000"/>
          <w:sz w:val="24"/>
          <w:szCs w:val="24"/>
        </w:rPr>
      </w:pPr>
      <w:r>
        <w:rPr>
          <w:rFonts w:ascii="宋体" w:eastAsia="宋体" w:cs="宋体" w:hint="eastAsia"/>
          <w:color w:val="000000"/>
          <w:sz w:val="24"/>
          <w:szCs w:val="24"/>
        </w:rPr>
        <w:t>总体方案说明</w:t>
      </w:r>
    </w:p>
    <w:p>
      <w:pPr>
        <w:numPr>
          <w:ilvl w:val="0"/>
          <w:numId w:val="4"/>
        </w:numPr>
        <w:tabs>
          <w:tab w:val="clear" w:pos="720"/>
          <w:tab w:val="left" w:pos="1155"/>
        </w:tabs>
        <w:spacing w:line="360" w:lineRule="auto"/>
        <w:ind w:left="1050" w:hanging="630"/>
        <w:rPr>
          <w:rFonts w:ascii="宋体" w:eastAsia="宋体" w:cs="宋体" w:hint="eastAsia"/>
          <w:color w:val="000000"/>
          <w:sz w:val="24"/>
          <w:szCs w:val="24"/>
        </w:rPr>
      </w:pPr>
      <w:r>
        <w:rPr>
          <w:rFonts w:ascii="宋体" w:eastAsia="宋体" w:cs="宋体" w:hint="eastAsia"/>
          <w:color w:val="000000"/>
          <w:sz w:val="24"/>
          <w:szCs w:val="24"/>
        </w:rPr>
        <w:t>详细报价清单</w:t>
      </w:r>
    </w:p>
    <w:p>
      <w:pPr>
        <w:numPr>
          <w:ilvl w:val="0"/>
          <w:numId w:val="4"/>
        </w:numPr>
        <w:tabs>
          <w:tab w:val="clear" w:pos="720"/>
          <w:tab w:val="left" w:pos="1155"/>
        </w:tabs>
        <w:spacing w:line="360" w:lineRule="auto"/>
        <w:ind w:left="1050" w:hanging="630"/>
        <w:rPr>
          <w:rFonts w:ascii="宋体" w:eastAsia="宋体" w:cs="宋体" w:hint="eastAsia"/>
          <w:color w:val="000000"/>
          <w:sz w:val="24"/>
          <w:szCs w:val="24"/>
        </w:rPr>
      </w:pPr>
      <w:r>
        <w:rPr>
          <w:rFonts w:ascii="宋体" w:eastAsia="宋体" w:cs="宋体" w:hint="eastAsia"/>
          <w:color w:val="000000"/>
          <w:sz w:val="24"/>
          <w:szCs w:val="24"/>
        </w:rPr>
        <w:t>技术规格差异表</w:t>
      </w:r>
    </w:p>
    <w:p>
      <w:pPr>
        <w:numPr>
          <w:ilvl w:val="0"/>
          <w:numId w:val="4"/>
        </w:numPr>
        <w:tabs>
          <w:tab w:val="clear" w:pos="720"/>
          <w:tab w:val="left" w:pos="1155"/>
        </w:tabs>
        <w:spacing w:line="360" w:lineRule="auto"/>
        <w:ind w:left="1050" w:hanging="630"/>
        <w:rPr>
          <w:rFonts w:ascii="宋体" w:eastAsia="宋体" w:cs="宋体" w:hint="eastAsia"/>
          <w:color w:val="000000"/>
          <w:sz w:val="24"/>
          <w:szCs w:val="24"/>
        </w:rPr>
      </w:pPr>
      <w:r>
        <w:rPr>
          <w:rFonts w:ascii="宋体" w:eastAsia="宋体" w:cs="宋体" w:hint="eastAsia"/>
          <w:color w:val="000000"/>
          <w:sz w:val="24"/>
          <w:szCs w:val="24"/>
        </w:rPr>
        <w:t>法定代表人证明书</w:t>
      </w:r>
    </w:p>
    <w:p>
      <w:pPr>
        <w:numPr>
          <w:ilvl w:val="0"/>
          <w:numId w:val="4"/>
        </w:numPr>
        <w:tabs>
          <w:tab w:val="clear" w:pos="720"/>
          <w:tab w:val="left" w:pos="1155"/>
        </w:tabs>
        <w:spacing w:line="360" w:lineRule="auto"/>
        <w:ind w:left="1050" w:hanging="630"/>
        <w:rPr>
          <w:rFonts w:ascii="宋体" w:eastAsia="宋体" w:cs="宋体" w:hint="eastAsia"/>
          <w:color w:val="000000"/>
          <w:sz w:val="24"/>
          <w:szCs w:val="24"/>
        </w:rPr>
      </w:pPr>
      <w:r>
        <w:rPr>
          <w:rFonts w:ascii="宋体" w:eastAsia="宋体" w:cs="宋体" w:hint="eastAsia"/>
          <w:color w:val="000000"/>
          <w:sz w:val="24"/>
          <w:szCs w:val="24"/>
        </w:rPr>
        <w:t>法定代表人授权委托书</w:t>
      </w:r>
    </w:p>
    <w:p>
      <w:pPr>
        <w:numPr>
          <w:ilvl w:val="0"/>
          <w:numId w:val="4"/>
        </w:numPr>
        <w:tabs>
          <w:tab w:val="clear" w:pos="720"/>
          <w:tab w:val="left" w:pos="1155"/>
        </w:tabs>
        <w:spacing w:line="360" w:lineRule="auto"/>
        <w:ind w:left="1050" w:hanging="630"/>
        <w:rPr>
          <w:rFonts w:ascii="宋体" w:eastAsia="宋体" w:cs="宋体" w:hint="eastAsia"/>
          <w:color w:val="000000"/>
          <w:sz w:val="24"/>
          <w:szCs w:val="24"/>
        </w:rPr>
      </w:pPr>
      <w:r>
        <w:rPr>
          <w:rFonts w:ascii="宋体" w:eastAsia="宋体" w:cs="宋体" w:hint="eastAsia"/>
          <w:color w:val="000000"/>
          <w:sz w:val="24"/>
          <w:szCs w:val="24"/>
        </w:rPr>
        <w:t>拟派本项目负责人及主要人员情况表</w:t>
      </w:r>
    </w:p>
    <w:p>
      <w:pPr>
        <w:numPr>
          <w:ilvl w:val="0"/>
          <w:numId w:val="4"/>
        </w:numPr>
        <w:tabs>
          <w:tab w:val="clear" w:pos="720"/>
          <w:tab w:val="left" w:pos="1155"/>
        </w:tabs>
        <w:spacing w:line="360" w:lineRule="auto"/>
        <w:ind w:left="1050" w:hanging="630"/>
        <w:rPr>
          <w:rFonts w:ascii="宋体" w:eastAsia="宋体" w:cs="宋体" w:hint="eastAsia"/>
          <w:color w:val="000000"/>
          <w:sz w:val="24"/>
          <w:szCs w:val="24"/>
        </w:rPr>
      </w:pPr>
      <w:r>
        <w:rPr>
          <w:rFonts w:ascii="宋体" w:eastAsia="宋体" w:cs="宋体" w:hint="eastAsia"/>
          <w:color w:val="000000"/>
          <w:sz w:val="24"/>
          <w:szCs w:val="24"/>
        </w:rPr>
        <w:t>2019年</w:t>
      </w:r>
      <w:r>
        <w:rPr>
          <w:rFonts w:ascii="宋体" w:eastAsia="宋体" w:cs="宋体" w:hint="eastAsia"/>
          <w:color w:val="000000"/>
          <w:sz w:val="24"/>
          <w:szCs w:val="24"/>
          <w:lang w:val="en-US" w:eastAsia="zh-CN"/>
        </w:rPr>
        <w:t>1</w:t>
      </w:r>
      <w:r>
        <w:rPr>
          <w:rFonts w:ascii="宋体" w:eastAsia="宋体" w:cs="宋体" w:hint="eastAsia"/>
          <w:color w:val="000000"/>
          <w:sz w:val="24"/>
          <w:szCs w:val="24"/>
        </w:rPr>
        <w:t>月至投标文件递交截止日前类似业绩情况一览表</w:t>
      </w:r>
    </w:p>
    <w:p>
      <w:pPr>
        <w:numPr>
          <w:ilvl w:val="0"/>
          <w:numId w:val="4"/>
        </w:numPr>
        <w:tabs>
          <w:tab w:val="clear" w:pos="720"/>
          <w:tab w:val="left" w:pos="1155"/>
        </w:tabs>
        <w:spacing w:line="360" w:lineRule="auto"/>
        <w:ind w:left="1050" w:hanging="630"/>
        <w:rPr>
          <w:rFonts w:ascii="宋体" w:eastAsia="宋体" w:cs="宋体" w:hint="eastAsia"/>
          <w:color w:val="000000"/>
          <w:sz w:val="24"/>
          <w:szCs w:val="24"/>
        </w:rPr>
      </w:pPr>
      <w:r>
        <w:rPr>
          <w:rFonts w:ascii="宋体" w:eastAsia="宋体" w:cs="宋体" w:hint="eastAsia"/>
          <w:color w:val="000000"/>
          <w:sz w:val="24"/>
          <w:szCs w:val="24"/>
        </w:rPr>
        <w:t>投标服务方案</w:t>
      </w:r>
    </w:p>
    <w:p>
      <w:pPr>
        <w:numPr>
          <w:ilvl w:val="0"/>
          <w:numId w:val="4"/>
        </w:numPr>
        <w:tabs>
          <w:tab w:val="clear" w:pos="720"/>
          <w:tab w:val="left" w:pos="1155"/>
        </w:tabs>
        <w:spacing w:line="360" w:lineRule="auto"/>
        <w:ind w:left="1050" w:hanging="630"/>
        <w:rPr>
          <w:rFonts w:ascii="宋体" w:eastAsia="宋体" w:cs="宋体" w:hint="eastAsia"/>
          <w:color w:val="000000"/>
          <w:sz w:val="24"/>
          <w:szCs w:val="24"/>
        </w:rPr>
      </w:pPr>
      <w:r>
        <w:rPr>
          <w:rFonts w:ascii="宋体" w:eastAsia="宋体" w:cs="宋体" w:hint="eastAsia"/>
          <w:color w:val="000000"/>
          <w:sz w:val="24"/>
          <w:szCs w:val="24"/>
        </w:rPr>
        <w:t>投标人资格文件声明函</w:t>
      </w:r>
    </w:p>
    <w:p>
      <w:pPr>
        <w:numPr>
          <w:ilvl w:val="0"/>
          <w:numId w:val="4"/>
        </w:numPr>
        <w:tabs>
          <w:tab w:val="clear" w:pos="720"/>
          <w:tab w:val="left" w:pos="1155"/>
        </w:tabs>
        <w:spacing w:line="360" w:lineRule="auto"/>
        <w:ind w:left="1050" w:hanging="630"/>
        <w:rPr>
          <w:rFonts w:ascii="宋体" w:eastAsia="宋体" w:cs="宋体" w:hint="eastAsia"/>
          <w:color w:val="000000"/>
          <w:sz w:val="24"/>
          <w:szCs w:val="24"/>
        </w:rPr>
      </w:pPr>
      <w:r>
        <w:rPr>
          <w:rFonts w:ascii="宋体" w:eastAsia="宋体" w:cs="宋体" w:hint="eastAsia"/>
          <w:color w:val="000000"/>
          <w:sz w:val="24"/>
          <w:szCs w:val="24"/>
        </w:rPr>
        <w:t>资格文件</w:t>
      </w:r>
    </w:p>
    <w:p>
      <w:pPr>
        <w:numPr>
          <w:ilvl w:val="2"/>
          <w:numId w:val="3"/>
        </w:numPr>
        <w:tabs>
          <w:tab w:val="left" w:pos="735"/>
          <w:tab w:val="left" w:pos="1254"/>
        </w:tabs>
        <w:spacing w:line="360" w:lineRule="auto"/>
        <w:ind w:left="735" w:hanging="735"/>
        <w:rPr>
          <w:rFonts w:ascii="宋体" w:eastAsia="宋体" w:cs="宋体" w:hint="eastAsia"/>
          <w:b/>
          <w:sz w:val="24"/>
          <w:szCs w:val="24"/>
        </w:rPr>
      </w:pPr>
      <w:r>
        <w:rPr>
          <w:rFonts w:ascii="宋体" w:eastAsia="宋体" w:cs="宋体" w:hint="eastAsia"/>
          <w:b/>
          <w:sz w:val="24"/>
          <w:szCs w:val="24"/>
        </w:rPr>
        <w:t>投标人必须编制完整的投标文件，按上述顺序编制目录及页码并装订成册，内容较多时可以分册装订。各册独立装订的投标文件封面必须加盖投标人单位法定印章并经投标人代表签署，投标文件应骑缝加盖投标人单位公章。投标人代表可由法定代表人或其委托代理人担任。由委托代理人签署的投标文件中，须同时提交由法定代表人签署的有效的授权委托书。</w:t>
      </w:r>
    </w:p>
    <w:p>
      <w:pPr>
        <w:numPr>
          <w:ilvl w:val="2"/>
          <w:numId w:val="3"/>
        </w:numPr>
        <w:tabs>
          <w:tab w:val="left" w:pos="735"/>
          <w:tab w:val="left" w:pos="1254"/>
        </w:tabs>
        <w:spacing w:line="360" w:lineRule="auto"/>
        <w:ind w:left="735" w:hanging="735"/>
        <w:rPr>
          <w:rFonts w:ascii="宋体" w:eastAsia="宋体" w:cs="宋体" w:hint="eastAsia"/>
          <w:sz w:val="24"/>
          <w:szCs w:val="24"/>
        </w:rPr>
      </w:pPr>
      <w:r>
        <w:rPr>
          <w:rFonts w:ascii="宋体" w:eastAsia="宋体" w:cs="宋体" w:hint="eastAsia"/>
          <w:sz w:val="24"/>
          <w:szCs w:val="24"/>
        </w:rPr>
        <w:t>投标文件应装订牢固不可拆卸（如：胶订），如因装订不牢固导致的任何损失由投标人承担。</w:t>
      </w:r>
    </w:p>
    <w:p>
      <w:pPr>
        <w:numPr>
          <w:ilvl w:val="2"/>
          <w:numId w:val="3"/>
        </w:numPr>
        <w:tabs>
          <w:tab w:val="left" w:pos="735"/>
          <w:tab w:val="left" w:pos="1254"/>
        </w:tabs>
        <w:spacing w:line="360" w:lineRule="auto"/>
        <w:ind w:left="735" w:hanging="735"/>
        <w:rPr>
          <w:rFonts w:ascii="宋体" w:eastAsia="宋体" w:cs="宋体" w:hint="eastAsia"/>
          <w:sz w:val="24"/>
          <w:szCs w:val="24"/>
        </w:rPr>
      </w:pPr>
      <w:r>
        <w:rPr>
          <w:rFonts w:ascii="宋体" w:eastAsia="宋体" w:cs="宋体" w:hint="eastAsia"/>
          <w:sz w:val="24"/>
          <w:szCs w:val="24"/>
        </w:rPr>
        <w:t>投标人必须自行承担因其投标文件的任何错漏而导致的一切后果。</w:t>
      </w:r>
    </w:p>
    <w:p>
      <w:pPr>
        <w:numPr>
          <w:ilvl w:val="1"/>
          <w:numId w:val="3"/>
        </w:numPr>
        <w:tabs>
          <w:tab w:val="clear" w:pos="567"/>
          <w:tab w:val="left" w:pos="420"/>
          <w:tab w:val="left" w:pos="525"/>
        </w:tabs>
        <w:spacing w:line="480" w:lineRule="auto"/>
        <w:ind w:left="420" w:hanging="420"/>
        <w:outlineLvl w:val="3"/>
        <w:rPr>
          <w:rFonts w:ascii="宋体" w:eastAsia="宋体" w:cs="宋体" w:hint="eastAsia"/>
          <w:b/>
          <w:bCs/>
          <w:sz w:val="24"/>
          <w:szCs w:val="24"/>
        </w:rPr>
      </w:pPr>
      <w:r>
        <w:rPr>
          <w:rFonts w:ascii="宋体" w:eastAsia="宋体" w:cs="宋体" w:hint="eastAsia"/>
          <w:b/>
          <w:bCs/>
          <w:sz w:val="24"/>
          <w:szCs w:val="24"/>
        </w:rPr>
        <w:t>投标文件的修改和撤回</w:t>
      </w:r>
    </w:p>
    <w:p>
      <w:pPr>
        <w:spacing w:line="360" w:lineRule="auto"/>
        <w:ind w:left="154" w:firstLineChars="185" w:firstLine="444"/>
        <w:rPr>
          <w:rFonts w:ascii="宋体" w:eastAsia="宋体" w:cs="宋体" w:hint="eastAsia"/>
          <w:sz w:val="24"/>
          <w:szCs w:val="24"/>
        </w:rPr>
      </w:pPr>
      <w:r>
        <w:rPr>
          <w:rFonts w:ascii="宋体" w:eastAsia="宋体" w:cs="宋体" w:hint="eastAsia"/>
          <w:sz w:val="24"/>
          <w:szCs w:val="24"/>
        </w:rPr>
        <w:t>在投标截止时间前投标人可以修改和</w:t>
      </w:r>
      <w:r>
        <w:rPr>
          <w:rFonts w:ascii="宋体" w:eastAsia="宋体" w:cs="宋体" w:hint="eastAsia"/>
          <w:bCs/>
          <w:sz w:val="24"/>
          <w:szCs w:val="24"/>
        </w:rPr>
        <w:t>撤回</w:t>
      </w:r>
      <w:r>
        <w:rPr>
          <w:rFonts w:ascii="宋体" w:eastAsia="宋体" w:cs="宋体" w:hint="eastAsia"/>
          <w:sz w:val="24"/>
          <w:szCs w:val="24"/>
        </w:rPr>
        <w:t>其投标文件，但必须以书面形式通知招标代理机构，投标截止后不得修改和</w:t>
      </w:r>
      <w:r>
        <w:rPr>
          <w:rFonts w:ascii="宋体" w:eastAsia="宋体" w:cs="宋体" w:hint="eastAsia"/>
          <w:bCs/>
          <w:sz w:val="24"/>
          <w:szCs w:val="24"/>
        </w:rPr>
        <w:t>撤回</w:t>
      </w:r>
      <w:r>
        <w:rPr>
          <w:rFonts w:ascii="宋体" w:eastAsia="宋体" w:cs="宋体" w:hint="eastAsia"/>
          <w:sz w:val="24"/>
          <w:szCs w:val="24"/>
        </w:rPr>
        <w:t>其投标文件。</w:t>
      </w:r>
    </w:p>
    <w:p>
      <w:pPr>
        <w:rPr>
          <w:rFonts w:hint="eastAsia"/>
        </w:rPr>
      </w:pPr>
      <w:r>
        <w:rPr>
          <w:rFonts w:ascii="宋体" w:eastAsia="宋体" w:cs="宋体" w:hint="eastAsia"/>
          <w:sz w:val="24"/>
          <w:szCs w:val="24"/>
        </w:rPr>
        <w:br w:type="page"/>
      </w:r>
    </w:p>
    <w:p>
      <w:pPr>
        <w:pStyle w:val="3"/>
        <w:keepNext/>
        <w:keepLines/>
        <w:widowControl w:val="0"/>
        <w:numPr>
          <w:ilvl w:val="0"/>
          <w:numId w:val="3"/>
        </w:numPr>
        <w:spacing w:before="260" w:after="260" w:line="400" w:lineRule="exact"/>
        <w:rPr>
          <w:rFonts w:ascii="宋体" w:eastAsia="宋体" w:cs="宋体" w:hint="eastAsia"/>
          <w:sz w:val="28"/>
        </w:rPr>
      </w:pPr>
      <w:bookmarkStart w:id="64" w:name="_Toc226521695"/>
      <w:bookmarkStart w:id="65" w:name="_Toc226966683"/>
      <w:bookmarkStart w:id="66" w:name="_Toc243743356"/>
      <w:bookmarkStart w:id="67" w:name="_Toc15393"/>
      <w:bookmarkStart w:id="68" w:name="_Toc243923370"/>
      <w:bookmarkStart w:id="69" w:name="_Toc191353017"/>
      <w:bookmarkStart w:id="70" w:name="_Toc185747581"/>
      <w:bookmarkStart w:id="71" w:name="_Toc245203883"/>
      <w:bookmarkStart w:id="72" w:name="_Toc272350609"/>
      <w:bookmarkStart w:id="73" w:name="_Toc277758488"/>
      <w:bookmarkStart w:id="74" w:name="_Toc279046868"/>
      <w:bookmarkStart w:id="75" w:name="_Toc271105679"/>
      <w:bookmarkStart w:id="76" w:name="_Toc278958161"/>
      <w:bookmarkStart w:id="77" w:name="_Toc209258275"/>
      <w:bookmarkStart w:id="78" w:name="_Toc61327402"/>
      <w:bookmarkStart w:id="79" w:name="_Toc130697187"/>
      <w:bookmarkStart w:id="80" w:name="_Toc130695595"/>
      <w:bookmarkStart w:id="81" w:name="_Toc153615292"/>
      <w:r>
        <w:rPr>
          <w:rFonts w:ascii="宋体" w:eastAsia="宋体" w:cs="宋体" w:hint="eastAsia"/>
          <w:sz w:val="28"/>
        </w:rPr>
        <w:t>投标总则</w:t>
      </w:r>
      <w:bookmarkEnd w:id="64"/>
      <w:bookmarkEnd w:id="65"/>
      <w:bookmarkEnd w:id="66"/>
      <w:bookmarkEnd w:id="67"/>
      <w:bookmarkEnd w:id="68"/>
      <w:bookmarkEnd w:id="69"/>
      <w:bookmarkEnd w:id="70"/>
      <w:bookmarkEnd w:id="71"/>
      <w:bookmarkEnd w:id="72"/>
      <w:bookmarkEnd w:id="73"/>
      <w:bookmarkEnd w:id="74"/>
      <w:bookmarkEnd w:id="75"/>
      <w:bookmarkEnd w:id="76"/>
      <w:bookmarkEnd w:id="77"/>
    </w:p>
    <w:p>
      <w:pPr>
        <w:rPr>
          <w:rFonts w:ascii="宋体" w:eastAsia="宋体" w:cs="宋体" w:hint="eastAsia"/>
        </w:rPr>
      </w:pPr>
    </w:p>
    <w:p>
      <w:pPr>
        <w:numPr>
          <w:ilvl w:val="1"/>
          <w:numId w:val="3"/>
        </w:numPr>
        <w:tabs>
          <w:tab w:val="clear" w:pos="567"/>
          <w:tab w:val="left" w:pos="420"/>
          <w:tab w:val="left" w:pos="525"/>
        </w:tabs>
        <w:spacing w:line="480" w:lineRule="auto"/>
        <w:ind w:left="420" w:hanging="420"/>
        <w:outlineLvl w:val="3"/>
        <w:rPr>
          <w:rFonts w:ascii="宋体" w:eastAsia="宋体" w:cs="宋体" w:hint="eastAsia"/>
          <w:sz w:val="24"/>
          <w:szCs w:val="24"/>
        </w:rPr>
      </w:pPr>
      <w:r>
        <w:rPr>
          <w:rFonts w:ascii="宋体" w:eastAsia="宋体" w:cs="宋体" w:hint="eastAsia"/>
          <w:b/>
          <w:bCs/>
          <w:sz w:val="24"/>
          <w:szCs w:val="24"/>
        </w:rPr>
        <w:t>投标细则</w:t>
      </w:r>
    </w:p>
    <w:p>
      <w:pPr>
        <w:numPr>
          <w:ilvl w:val="2"/>
          <w:numId w:val="3"/>
        </w:numPr>
        <w:tabs>
          <w:tab w:val="left" w:pos="735"/>
          <w:tab w:val="left" w:pos="1254"/>
        </w:tabs>
        <w:spacing w:line="360" w:lineRule="auto"/>
        <w:ind w:left="735" w:hanging="735"/>
        <w:rPr>
          <w:rFonts w:ascii="宋体" w:eastAsia="宋体" w:cs="宋体" w:hint="eastAsia"/>
          <w:sz w:val="24"/>
          <w:szCs w:val="24"/>
        </w:rPr>
      </w:pPr>
      <w:r>
        <w:rPr>
          <w:rFonts w:ascii="宋体" w:eastAsia="宋体" w:cs="宋体" w:hint="eastAsia"/>
          <w:sz w:val="24"/>
          <w:szCs w:val="24"/>
        </w:rPr>
        <w:t>全部投标文件应一式</w:t>
      </w:r>
      <w:r>
        <w:rPr>
          <w:rFonts w:ascii="宋体" w:eastAsia="宋体" w:cs="宋体" w:hint="eastAsia"/>
          <w:sz w:val="24"/>
          <w:szCs w:val="24"/>
          <w:lang w:val="en-US" w:eastAsia="zh-CN"/>
        </w:rPr>
        <w:t>5</w:t>
      </w:r>
      <w:r>
        <w:rPr>
          <w:rFonts w:ascii="宋体" w:eastAsia="宋体" w:cs="宋体" w:hint="eastAsia"/>
          <w:sz w:val="24"/>
          <w:szCs w:val="24"/>
        </w:rPr>
        <w:t>份，双面打印。电子投标文件一份（U盘）所有投标文件应用</w:t>
      </w:r>
      <w:r>
        <w:rPr>
          <w:rFonts w:ascii="宋体" w:eastAsia="宋体" w:cs="宋体" w:hint="eastAsia"/>
          <w:sz w:val="24"/>
          <w:szCs w:val="24"/>
          <w:u w:val="single"/>
        </w:rPr>
        <w:t>A4</w:t>
      </w:r>
      <w:r>
        <w:rPr>
          <w:rFonts w:ascii="宋体" w:eastAsia="宋体" w:cs="宋体" w:hint="eastAsia"/>
          <w:sz w:val="24"/>
          <w:szCs w:val="24"/>
        </w:rPr>
        <w:t>规格纸双面打印，并胶装完好。其中正本</w:t>
      </w:r>
      <w:r>
        <w:rPr>
          <w:rFonts w:ascii="宋体" w:eastAsia="宋体" w:cs="宋体" w:hint="eastAsia"/>
          <w:b/>
          <w:sz w:val="24"/>
          <w:szCs w:val="24"/>
          <w:u w:val="single"/>
        </w:rPr>
        <w:t xml:space="preserve"> 1</w:t>
      </w:r>
      <w:r>
        <w:rPr>
          <w:rFonts w:ascii="宋体" w:eastAsia="宋体" w:cs="宋体" w:hint="eastAsia"/>
          <w:sz w:val="24"/>
          <w:szCs w:val="24"/>
        </w:rPr>
        <w:t>份（</w:t>
      </w:r>
      <w:r>
        <w:rPr>
          <w:rFonts w:ascii="宋体" w:eastAsia="宋体" w:cs="宋体" w:hint="eastAsia"/>
          <w:b/>
          <w:bCs/>
          <w:sz w:val="24"/>
          <w:szCs w:val="24"/>
          <w:shd w:val="clear" w:color="auto" w:fill="auto"/>
        </w:rPr>
        <w:t>内装纸质投标文件，投标一览表（单独密封一份，并且在标书中装订一份）及投标文件电子文档</w:t>
      </w:r>
      <w:r>
        <w:rPr>
          <w:rFonts w:ascii="宋体" w:eastAsia="宋体" w:cs="宋体" w:hint="eastAsia"/>
          <w:b/>
          <w:bCs/>
          <w:sz w:val="24"/>
          <w:szCs w:val="24"/>
        </w:rPr>
        <w:t>各</w:t>
      </w:r>
      <w:r>
        <w:rPr>
          <w:rFonts w:ascii="宋体" w:eastAsia="宋体" w:cs="宋体" w:hint="eastAsia"/>
          <w:b/>
          <w:bCs/>
          <w:sz w:val="24"/>
          <w:szCs w:val="24"/>
          <w:u w:val="single"/>
        </w:rPr>
        <w:t xml:space="preserve"> 1</w:t>
      </w:r>
      <w:r>
        <w:rPr>
          <w:rFonts w:ascii="宋体" w:eastAsia="宋体" w:cs="宋体" w:hint="eastAsia"/>
          <w:b/>
          <w:bCs/>
          <w:sz w:val="24"/>
          <w:szCs w:val="24"/>
        </w:rPr>
        <w:t>份，电子文件要求U盘，WORD格式，不留密码，无病毒，不压缩，内容应与投标人打印产生的纸质投标文件内容一致，如有不同，以纸质投标文件为准</w:t>
      </w:r>
      <w:r>
        <w:rPr>
          <w:rFonts w:ascii="宋体" w:eastAsia="宋体" w:cs="宋体" w:hint="eastAsia"/>
          <w:sz w:val="24"/>
          <w:szCs w:val="24"/>
        </w:rPr>
        <w:t>。），副本</w:t>
      </w:r>
      <w:r>
        <w:rPr>
          <w:rFonts w:ascii="宋体" w:eastAsia="宋体" w:cs="宋体" w:hint="eastAsia"/>
          <w:sz w:val="24"/>
          <w:szCs w:val="24"/>
          <w:u w:val="single"/>
        </w:rPr>
        <w:t xml:space="preserve"> 4</w:t>
      </w:r>
      <w:r>
        <w:rPr>
          <w:rFonts w:ascii="宋体" w:eastAsia="宋体" w:cs="宋体" w:hint="eastAsia"/>
          <w:sz w:val="24"/>
          <w:szCs w:val="24"/>
        </w:rPr>
        <w:t>份，并注明“正本”和“副本”。如果正本与副本不符，应以正本为准。投标文件应由投标人的合法授权代表正式签署，任何更改（如果有的话）应由原签署人签字。所有不完整的投标将被拒绝。投标人的全部投标文件正本均不退回，中标人的所有投标文件均不退回。投标人在投标过程中产生的一切费用，无论投标结果如何，均由投标人承担。</w:t>
      </w:r>
    </w:p>
    <w:p>
      <w:pPr>
        <w:numPr>
          <w:ilvl w:val="2"/>
          <w:numId w:val="3"/>
        </w:numPr>
        <w:tabs>
          <w:tab w:val="left" w:pos="735"/>
          <w:tab w:val="left" w:pos="1254"/>
        </w:tabs>
        <w:spacing w:line="360" w:lineRule="auto"/>
        <w:ind w:left="735" w:hanging="735"/>
        <w:rPr>
          <w:rFonts w:ascii="宋体" w:eastAsia="宋体" w:cs="宋体" w:hint="eastAsia"/>
          <w:sz w:val="24"/>
          <w:szCs w:val="24"/>
        </w:rPr>
      </w:pPr>
      <w:r>
        <w:rPr>
          <w:rFonts w:ascii="宋体" w:eastAsia="宋体" w:cs="宋体" w:hint="eastAsia"/>
          <w:sz w:val="24"/>
          <w:szCs w:val="24"/>
        </w:rPr>
        <w:t>投标人应对投标设备（货物）提供完整的详细的技术说明，如投标人对指定的技术要求建议做任何改动，应在投标文件中清楚地注明。</w:t>
      </w:r>
    </w:p>
    <w:p>
      <w:pPr>
        <w:numPr>
          <w:ilvl w:val="2"/>
          <w:numId w:val="3"/>
        </w:numPr>
        <w:tabs>
          <w:tab w:val="left" w:pos="735"/>
          <w:tab w:val="left" w:pos="1254"/>
        </w:tabs>
        <w:spacing w:line="360" w:lineRule="auto"/>
        <w:ind w:left="735" w:hanging="735"/>
        <w:rPr>
          <w:rFonts w:ascii="宋体" w:eastAsia="宋体" w:cs="宋体" w:hint="eastAsia"/>
          <w:sz w:val="24"/>
          <w:szCs w:val="24"/>
        </w:rPr>
      </w:pPr>
      <w:r>
        <w:rPr>
          <w:rFonts w:ascii="宋体" w:eastAsia="宋体" w:cs="宋体" w:hint="eastAsia"/>
          <w:b/>
          <w:bCs/>
          <w:sz w:val="24"/>
          <w:szCs w:val="24"/>
        </w:rPr>
        <w:t>资格文件视为投标文件不可分割的一部份</w:t>
      </w:r>
      <w:r>
        <w:rPr>
          <w:rFonts w:ascii="宋体" w:eastAsia="宋体" w:cs="宋体" w:hint="eastAsia"/>
          <w:sz w:val="24"/>
          <w:szCs w:val="24"/>
        </w:rPr>
        <w:t>。</w:t>
      </w:r>
    </w:p>
    <w:p>
      <w:pPr>
        <w:numPr>
          <w:ilvl w:val="2"/>
          <w:numId w:val="3"/>
        </w:numPr>
        <w:tabs>
          <w:tab w:val="left" w:pos="735"/>
          <w:tab w:val="left" w:pos="1254"/>
        </w:tabs>
        <w:spacing w:line="360" w:lineRule="auto"/>
        <w:ind w:left="735" w:hanging="735"/>
        <w:rPr>
          <w:rFonts w:ascii="宋体" w:eastAsia="宋体" w:cs="宋体" w:hint="eastAsia"/>
          <w:sz w:val="24"/>
          <w:szCs w:val="24"/>
        </w:rPr>
      </w:pPr>
      <w:r>
        <w:rPr>
          <w:rFonts w:ascii="宋体" w:eastAsia="宋体" w:cs="宋体" w:hint="eastAsia"/>
          <w:sz w:val="24"/>
          <w:szCs w:val="24"/>
        </w:rPr>
        <w:t>所有投标文件应在投标截止时间前送达投标、开标地点，并交予招标代理机构专责人员，任何迟于这个时间的投标将被拒绝。</w:t>
      </w:r>
    </w:p>
    <w:p>
      <w:pPr>
        <w:numPr>
          <w:ilvl w:val="2"/>
          <w:numId w:val="3"/>
        </w:numPr>
        <w:tabs>
          <w:tab w:val="left" w:pos="735"/>
          <w:tab w:val="left" w:pos="1254"/>
        </w:tabs>
        <w:spacing w:line="360" w:lineRule="auto"/>
        <w:ind w:left="735" w:hanging="735"/>
        <w:rPr>
          <w:rFonts w:ascii="宋体" w:eastAsia="宋体" w:cs="宋体" w:hint="eastAsia"/>
          <w:sz w:val="24"/>
          <w:szCs w:val="24"/>
        </w:rPr>
      </w:pPr>
      <w:r>
        <w:rPr>
          <w:rFonts w:ascii="宋体" w:eastAsia="宋体" w:cs="宋体" w:hint="eastAsia"/>
          <w:b/>
          <w:bCs/>
          <w:color w:val="0C0C0C"/>
          <w:sz w:val="24"/>
          <w:szCs w:val="24"/>
        </w:rPr>
        <w:t>所有投标文件必须封入密封完好的信封或包装，封口加盖投标单位公章。投标文件的正本和副本应分别封装</w:t>
      </w:r>
      <w:r>
        <w:rPr>
          <w:rFonts w:ascii="宋体" w:eastAsia="宋体" w:cs="宋体" w:hint="eastAsia"/>
          <w:sz w:val="24"/>
          <w:szCs w:val="24"/>
        </w:rPr>
        <w:t>，并在每一信封或包装的封面上写明：</w:t>
      </w:r>
    </w:p>
    <w:tbl>
      <w:tblPr>
        <w:jc w:val="left"/>
        <w:tblInd w:w="948" w:type="dxa"/>
        <w:tblW w:w="8190" w:type="dxa"/>
        <w:tblBorders>
          <w:top w:val="single" w:sz="4" w:space="0" w:color="auto"/>
          <w:left w:val="single" w:sz="4" w:space="0" w:color="auto"/>
          <w:bottom w:val="single" w:sz="4" w:space="0" w:color="auto"/>
          <w:right w:val="single" w:sz="4" w:space="0" w:color="auto"/>
        </w:tblBorders>
        <w:tblLayout w:type="fixed"/>
        <w:tblCellMar>
          <w:top w:w="0" w:type="dxa"/>
          <w:left w:w="108" w:type="dxa"/>
          <w:bottom w:w="0" w:type="dxa"/>
          <w:right w:w="108" w:type="dxa"/>
        </w:tblCellMar>
      </w:tblPr>
      <w:tblGrid>
        <w:gridCol w:w="8190"/>
      </w:tblGrid>
      <w:tr>
        <w:trPr>
          <w:trHeight w:val="613"/>
        </w:trPr>
        <w:tc>
          <w:tcPr>
            <w:tcW w:w="8190" w:type="dxa"/>
            <w:tcBorders>
              <w:top w:val="nil"/>
              <w:left w:val="nil"/>
              <w:bottom w:val="single" w:sz="4" w:space="0" w:color="auto"/>
              <w:right w:val="nil"/>
            </w:tcBorders>
            <w:noWrap/>
          </w:tcPr>
          <w:p>
            <w:pPr>
              <w:spacing w:line="360" w:lineRule="auto"/>
              <w:ind w:left="450"/>
              <w:jc w:val="right"/>
              <w:rPr>
                <w:rFonts w:ascii="宋体" w:eastAsia="宋体" w:cs="宋体" w:hint="eastAsia"/>
                <w:b/>
                <w:sz w:val="24"/>
                <w:szCs w:val="24"/>
              </w:rPr>
            </w:pPr>
            <w:r>
              <w:rPr>
                <w:rFonts w:ascii="宋体" w:eastAsia="宋体" w:cs="宋体" w:hint="eastAsia"/>
                <w:b/>
                <w:sz w:val="24"/>
                <w:szCs w:val="24"/>
              </w:rPr>
              <w:t>正本/副本/投标一览表</w:t>
            </w:r>
          </w:p>
          <w:p>
            <w:pPr>
              <w:spacing w:line="420" w:lineRule="exact"/>
              <w:ind w:left="448"/>
              <w:rPr>
                <w:rFonts w:ascii="宋体" w:eastAsia="宋体" w:cs="宋体" w:hint="eastAsia"/>
                <w:sz w:val="24"/>
                <w:szCs w:val="24"/>
              </w:rPr>
            </w:pPr>
            <w:r>
              <w:rPr>
                <w:rFonts w:ascii="宋体" w:eastAsia="宋体" w:cs="宋体" w:hint="eastAsia"/>
                <w:sz w:val="24"/>
                <w:szCs w:val="24"/>
              </w:rPr>
              <w:t>收件人名称：</w:t>
            </w:r>
            <w:r>
              <w:rPr>
                <w:rFonts w:ascii="宋体" w:eastAsia="宋体" w:cs="宋体" w:hint="eastAsia"/>
                <w:sz w:val="24"/>
                <w:szCs w:val="24"/>
                <w:lang w:eastAsia="zh-CN"/>
              </w:rPr>
              <w:t>新疆天之源项目管理集团有限公司</w:t>
            </w:r>
            <w:r>
              <w:rPr>
                <w:rFonts w:ascii="宋体" w:eastAsia="宋体" w:cs="宋体" w:hint="eastAsia"/>
                <w:sz w:val="24"/>
                <w:szCs w:val="24"/>
              </w:rPr>
              <w:t xml:space="preserve"> </w:t>
            </w:r>
          </w:p>
          <w:p>
            <w:pPr>
              <w:spacing w:line="420" w:lineRule="exact"/>
              <w:ind w:left="448"/>
              <w:rPr>
                <w:rFonts w:ascii="宋体" w:eastAsia="宋体" w:cs="宋体" w:hint="eastAsia"/>
                <w:color w:val="0000FF"/>
                <w:sz w:val="24"/>
                <w:szCs w:val="24"/>
              </w:rPr>
            </w:pPr>
            <w:r>
              <w:rPr>
                <w:rFonts w:ascii="宋体" w:eastAsia="宋体" w:cs="宋体" w:hint="eastAsia"/>
                <w:color w:val="000000"/>
                <w:sz w:val="24"/>
                <w:szCs w:val="24"/>
              </w:rPr>
              <w:t>招标编号：</w:t>
            </w:r>
          </w:p>
          <w:p>
            <w:pPr>
              <w:spacing w:line="420" w:lineRule="exact"/>
              <w:ind w:left="448"/>
              <w:rPr>
                <w:rFonts w:ascii="宋体" w:eastAsia="宋体" w:cs="宋体" w:hint="eastAsia"/>
                <w:sz w:val="24"/>
                <w:szCs w:val="24"/>
              </w:rPr>
            </w:pPr>
            <w:r>
              <w:rPr>
                <w:rFonts w:ascii="宋体" w:eastAsia="宋体" w:cs="宋体" w:hint="eastAsia"/>
                <w:sz w:val="24"/>
                <w:szCs w:val="24"/>
              </w:rPr>
              <w:t>项目名称：</w:t>
            </w:r>
          </w:p>
          <w:p>
            <w:pPr>
              <w:spacing w:line="420" w:lineRule="exact"/>
              <w:ind w:left="448"/>
              <w:rPr>
                <w:rFonts w:ascii="宋体" w:eastAsia="宋体" w:cs="宋体" w:hint="eastAsia"/>
                <w:sz w:val="24"/>
                <w:szCs w:val="24"/>
              </w:rPr>
            </w:pPr>
            <w:r>
              <w:rPr>
                <w:rFonts w:ascii="宋体" w:eastAsia="宋体" w:cs="宋体" w:hint="eastAsia"/>
                <w:sz w:val="24"/>
                <w:szCs w:val="24"/>
              </w:rPr>
              <w:t>投标人名称：</w:t>
            </w:r>
          </w:p>
          <w:p>
            <w:pPr>
              <w:spacing w:line="420" w:lineRule="exact"/>
              <w:ind w:left="448"/>
              <w:rPr>
                <w:rFonts w:ascii="宋体" w:eastAsia="宋体" w:cs="宋体" w:hint="eastAsia"/>
                <w:sz w:val="24"/>
                <w:szCs w:val="24"/>
              </w:rPr>
            </w:pPr>
            <w:r>
              <w:rPr>
                <w:rFonts w:ascii="宋体" w:eastAsia="宋体" w:cs="宋体" w:hint="eastAsia"/>
                <w:sz w:val="24"/>
                <w:szCs w:val="24"/>
              </w:rPr>
              <w:t>投标人地址：</w:t>
            </w:r>
          </w:p>
          <w:p>
            <w:pPr>
              <w:spacing w:line="420" w:lineRule="exact"/>
              <w:ind w:left="448"/>
              <w:rPr>
                <w:rFonts w:ascii="宋体" w:eastAsia="宋体" w:cs="宋体" w:hint="eastAsia"/>
                <w:sz w:val="24"/>
                <w:szCs w:val="24"/>
              </w:rPr>
            </w:pPr>
            <w:r>
              <w:rPr>
                <w:rFonts w:ascii="宋体" w:eastAsia="宋体" w:cs="宋体" w:hint="eastAsia"/>
                <w:sz w:val="24"/>
                <w:szCs w:val="24"/>
              </w:rPr>
              <w:t>联系人：</w:t>
            </w:r>
          </w:p>
          <w:p>
            <w:pPr>
              <w:spacing w:line="420" w:lineRule="exact"/>
              <w:ind w:left="448"/>
              <w:rPr>
                <w:rFonts w:ascii="宋体" w:eastAsia="宋体" w:cs="宋体" w:hint="eastAsia"/>
                <w:sz w:val="24"/>
                <w:szCs w:val="24"/>
              </w:rPr>
            </w:pPr>
            <w:r>
              <w:rPr>
                <w:rFonts w:ascii="宋体" w:eastAsia="宋体" w:cs="宋体" w:hint="eastAsia"/>
                <w:sz w:val="24"/>
                <w:szCs w:val="24"/>
              </w:rPr>
              <w:t>联系电话：</w:t>
            </w:r>
          </w:p>
          <w:p>
            <w:pPr>
              <w:spacing w:line="420" w:lineRule="exact"/>
              <w:ind w:left="448"/>
              <w:rPr>
                <w:rFonts w:ascii="宋体" w:eastAsia="宋体" w:cs="宋体" w:hint="eastAsia"/>
                <w:b/>
                <w:sz w:val="24"/>
                <w:szCs w:val="24"/>
              </w:rPr>
            </w:pPr>
            <w:r>
              <w:rPr>
                <w:rFonts w:ascii="宋体" w:eastAsia="宋体" w:cs="宋体" w:hint="eastAsia"/>
                <w:b/>
                <w:sz w:val="24"/>
                <w:szCs w:val="24"/>
              </w:rPr>
              <w:t>于“     年   月   日   时  分”之前不准启封（即投标截止时间）</w:t>
            </w:r>
          </w:p>
        </w:tc>
      </w:tr>
    </w:tbl>
    <w:p>
      <w:pPr>
        <w:numPr>
          <w:ilvl w:val="2"/>
          <w:numId w:val="3"/>
        </w:numPr>
        <w:tabs>
          <w:tab w:val="left" w:pos="735"/>
          <w:tab w:val="left" w:pos="1254"/>
        </w:tabs>
        <w:spacing w:line="360" w:lineRule="auto"/>
        <w:ind w:left="735" w:hanging="735"/>
        <w:rPr>
          <w:rFonts w:ascii="宋体" w:eastAsia="宋体" w:cs="宋体" w:hint="eastAsia"/>
          <w:sz w:val="24"/>
          <w:szCs w:val="24"/>
        </w:rPr>
      </w:pPr>
      <w:r>
        <w:rPr>
          <w:rFonts w:ascii="宋体" w:eastAsia="宋体" w:cs="宋体" w:hint="eastAsia"/>
          <w:sz w:val="24"/>
          <w:szCs w:val="24"/>
        </w:rPr>
        <w:t>招标代理机构对不可抗力事件造成的投标文件的损坏、丢失不承担任何责任。</w:t>
      </w:r>
    </w:p>
    <w:p>
      <w:pPr>
        <w:numPr>
          <w:ilvl w:val="2"/>
          <w:numId w:val="3"/>
        </w:numPr>
        <w:tabs>
          <w:tab w:val="left" w:pos="735"/>
          <w:tab w:val="left" w:pos="1254"/>
        </w:tabs>
        <w:spacing w:line="360" w:lineRule="auto"/>
        <w:ind w:left="735" w:hanging="735"/>
        <w:rPr>
          <w:rFonts w:ascii="宋体" w:eastAsia="宋体" w:cs="宋体" w:hint="eastAsia"/>
          <w:sz w:val="24"/>
          <w:szCs w:val="24"/>
        </w:rPr>
      </w:pPr>
      <w:r>
        <w:rPr>
          <w:rFonts w:ascii="宋体" w:eastAsia="宋体" w:cs="宋体" w:hint="eastAsia"/>
          <w:sz w:val="24"/>
          <w:szCs w:val="24"/>
        </w:rPr>
        <w:t>招标代理机构不接受电报、电话、电传、传真投标。</w:t>
      </w:r>
    </w:p>
    <w:p>
      <w:pPr>
        <w:numPr>
          <w:ilvl w:val="1"/>
          <w:numId w:val="3"/>
        </w:numPr>
        <w:tabs>
          <w:tab w:val="clear" w:pos="567"/>
          <w:tab w:val="left" w:pos="420"/>
          <w:tab w:val="left" w:pos="525"/>
        </w:tabs>
        <w:spacing w:line="480" w:lineRule="auto"/>
        <w:ind w:left="420" w:hanging="420"/>
        <w:outlineLvl w:val="3"/>
        <w:rPr>
          <w:rFonts w:ascii="宋体" w:eastAsia="宋体" w:cs="宋体" w:hint="eastAsia"/>
          <w:b/>
          <w:bCs/>
          <w:sz w:val="24"/>
          <w:szCs w:val="24"/>
        </w:rPr>
      </w:pPr>
      <w:r>
        <w:rPr>
          <w:rFonts w:ascii="宋体" w:eastAsia="宋体" w:cs="宋体" w:hint="eastAsia"/>
          <w:b/>
          <w:bCs/>
          <w:sz w:val="24"/>
          <w:szCs w:val="24"/>
        </w:rPr>
        <w:t>投标有效期</w:t>
      </w:r>
    </w:p>
    <w:p>
      <w:pPr>
        <w:spacing w:line="360" w:lineRule="auto"/>
        <w:ind w:firstLineChars="249" w:firstLine="598"/>
        <w:rPr>
          <w:rFonts w:ascii="宋体" w:eastAsia="宋体" w:cs="宋体" w:hint="eastAsia"/>
          <w:sz w:val="24"/>
          <w:szCs w:val="24"/>
        </w:rPr>
      </w:pPr>
      <w:r>
        <w:rPr>
          <w:rFonts w:ascii="宋体" w:eastAsia="宋体" w:cs="宋体" w:hint="eastAsia"/>
          <w:sz w:val="24"/>
          <w:szCs w:val="24"/>
        </w:rPr>
        <w:t>从投标截止日起，投标有效期为90天（日历天）。在特殊情况下，招标代理机构可于投标有效期满之前要求投标人同意延长有效期，要求与答复均应以书面形式。投标人可以拒绝上述要求而其投标保证金不被没收，同意延期的投标人根据原截止期应负之权利及责任相应也延至新的截止期。</w:t>
      </w:r>
    </w:p>
    <w:p>
      <w:pPr>
        <w:pStyle w:val="3"/>
        <w:keepNext/>
        <w:keepLines/>
        <w:widowControl w:val="0"/>
        <w:numPr>
          <w:ilvl w:val="0"/>
          <w:numId w:val="3"/>
        </w:numPr>
        <w:spacing w:before="260" w:after="260" w:line="400" w:lineRule="exact"/>
        <w:rPr>
          <w:rFonts w:ascii="宋体" w:eastAsia="宋体" w:cs="宋体" w:hint="eastAsia"/>
          <w:sz w:val="28"/>
        </w:rPr>
      </w:pPr>
      <w:bookmarkStart w:id="82" w:name="_Toc185747582"/>
      <w:bookmarkStart w:id="83" w:name="_Toc272350611"/>
      <w:bookmarkStart w:id="84" w:name="_Toc245203885"/>
      <w:bookmarkStart w:id="85" w:name="_Toc5409"/>
      <w:bookmarkStart w:id="86" w:name="_Toc278958162"/>
      <w:bookmarkStart w:id="87" w:name="_Toc191353018"/>
      <w:bookmarkStart w:id="88" w:name="_Toc209258276"/>
      <w:bookmarkStart w:id="89" w:name="_Toc243923371"/>
      <w:bookmarkStart w:id="90" w:name="_Toc243743357"/>
      <w:bookmarkStart w:id="91" w:name="_Toc226966684"/>
      <w:bookmarkStart w:id="92" w:name="_Toc277758489"/>
      <w:bookmarkStart w:id="93" w:name="_Toc226521696"/>
      <w:bookmarkStart w:id="94" w:name="_Toc279046869"/>
      <w:bookmarkStart w:id="95" w:name="_Toc271105681"/>
      <w:bookmarkEnd w:id="78"/>
      <w:r>
        <w:rPr>
          <w:rFonts w:ascii="宋体" w:eastAsia="宋体" w:cs="宋体" w:hint="eastAsia"/>
          <w:sz w:val="28"/>
        </w:rPr>
        <w:t>开标、评标、定标与签约</w:t>
      </w:r>
      <w:bookmarkEnd w:id="82"/>
      <w:bookmarkEnd w:id="83"/>
      <w:bookmarkEnd w:id="84"/>
      <w:bookmarkEnd w:id="85"/>
      <w:bookmarkEnd w:id="86"/>
      <w:bookmarkEnd w:id="87"/>
      <w:bookmarkEnd w:id="88"/>
      <w:bookmarkEnd w:id="89"/>
      <w:bookmarkEnd w:id="90"/>
      <w:bookmarkEnd w:id="91"/>
      <w:bookmarkEnd w:id="92"/>
      <w:bookmarkEnd w:id="93"/>
      <w:bookmarkEnd w:id="94"/>
      <w:bookmarkEnd w:id="95"/>
    </w:p>
    <w:p>
      <w:pPr>
        <w:numPr>
          <w:ilvl w:val="1"/>
          <w:numId w:val="3"/>
        </w:numPr>
        <w:tabs>
          <w:tab w:val="clear" w:pos="567"/>
          <w:tab w:val="left" w:pos="420"/>
          <w:tab w:val="left" w:pos="525"/>
        </w:tabs>
        <w:spacing w:line="480" w:lineRule="auto"/>
        <w:ind w:left="420" w:hanging="420"/>
        <w:outlineLvl w:val="3"/>
        <w:rPr>
          <w:rFonts w:ascii="宋体" w:eastAsia="宋体" w:cs="宋体" w:hint="eastAsia"/>
          <w:b/>
          <w:bCs/>
          <w:sz w:val="24"/>
          <w:szCs w:val="24"/>
        </w:rPr>
      </w:pPr>
      <w:r>
        <w:rPr>
          <w:rFonts w:ascii="宋体" w:eastAsia="宋体" w:cs="宋体" w:hint="eastAsia"/>
          <w:b/>
          <w:bCs/>
          <w:sz w:val="24"/>
          <w:szCs w:val="24"/>
        </w:rPr>
        <w:t>开标</w:t>
      </w:r>
    </w:p>
    <w:p>
      <w:pPr>
        <w:numPr>
          <w:ilvl w:val="2"/>
          <w:numId w:val="3"/>
        </w:numPr>
        <w:tabs>
          <w:tab w:val="left" w:pos="735"/>
          <w:tab w:val="left" w:pos="1254"/>
        </w:tabs>
        <w:spacing w:line="360" w:lineRule="auto"/>
        <w:ind w:left="735" w:hanging="735"/>
        <w:rPr>
          <w:rFonts w:ascii="宋体" w:eastAsia="宋体" w:cs="宋体" w:hint="eastAsia"/>
          <w:bCs/>
          <w:sz w:val="24"/>
          <w:szCs w:val="24"/>
        </w:rPr>
      </w:pPr>
      <w:r>
        <w:rPr>
          <w:rFonts w:ascii="宋体" w:eastAsia="宋体" w:cs="宋体" w:hint="eastAsia"/>
          <w:bCs/>
          <w:sz w:val="24"/>
          <w:szCs w:val="24"/>
        </w:rPr>
        <w:t>开标在招标文件确定的投标文件递交截止时间的同一时间公开进行，开标地点为招标文件预先确定的地点。</w:t>
      </w:r>
    </w:p>
    <w:p>
      <w:pPr>
        <w:numPr>
          <w:ilvl w:val="2"/>
          <w:numId w:val="3"/>
        </w:numPr>
        <w:tabs>
          <w:tab w:val="left" w:pos="735"/>
          <w:tab w:val="left" w:pos="1254"/>
        </w:tabs>
        <w:spacing w:line="360" w:lineRule="auto"/>
        <w:ind w:left="735" w:hanging="735"/>
        <w:rPr>
          <w:rFonts w:ascii="宋体" w:eastAsia="宋体" w:cs="宋体" w:hint="eastAsia"/>
          <w:bCs/>
          <w:sz w:val="24"/>
          <w:szCs w:val="24"/>
        </w:rPr>
      </w:pPr>
      <w:r>
        <w:rPr>
          <w:rFonts w:ascii="宋体" w:eastAsia="宋体" w:cs="宋体" w:hint="eastAsia"/>
          <w:bCs/>
          <w:sz w:val="24"/>
          <w:szCs w:val="24"/>
        </w:rPr>
        <w:t>开标由招标代理机构主持，邀请所有投标人参加。</w:t>
      </w:r>
    </w:p>
    <w:p>
      <w:pPr>
        <w:numPr>
          <w:ilvl w:val="2"/>
          <w:numId w:val="3"/>
        </w:numPr>
        <w:tabs>
          <w:tab w:val="left" w:pos="735"/>
          <w:tab w:val="left" w:pos="1254"/>
        </w:tabs>
        <w:spacing w:line="360" w:lineRule="auto"/>
        <w:ind w:left="735" w:hanging="735"/>
        <w:rPr>
          <w:rFonts w:ascii="宋体" w:eastAsia="宋体" w:cs="宋体" w:hint="eastAsia"/>
          <w:bCs/>
          <w:sz w:val="24"/>
          <w:szCs w:val="24"/>
        </w:rPr>
      </w:pPr>
      <w:r>
        <w:rPr>
          <w:rFonts w:ascii="宋体" w:eastAsia="宋体" w:cs="宋体" w:hint="eastAsia"/>
          <w:bCs/>
          <w:sz w:val="24"/>
          <w:szCs w:val="24"/>
        </w:rPr>
        <w:t>投标人代表必须持本人身份证参加开标会，如投标人代表非法定代表人，还应持法定代表人授权书。</w:t>
      </w:r>
    </w:p>
    <w:p>
      <w:pPr>
        <w:numPr>
          <w:ilvl w:val="2"/>
          <w:numId w:val="3"/>
        </w:numPr>
        <w:tabs>
          <w:tab w:val="left" w:pos="735"/>
          <w:tab w:val="left" w:pos="1254"/>
        </w:tabs>
        <w:spacing w:line="360" w:lineRule="auto"/>
        <w:ind w:left="735" w:hanging="735"/>
        <w:rPr>
          <w:rFonts w:ascii="宋体" w:eastAsia="宋体" w:cs="宋体" w:hint="eastAsia"/>
          <w:bCs/>
          <w:sz w:val="24"/>
          <w:szCs w:val="24"/>
        </w:rPr>
      </w:pPr>
      <w:r>
        <w:rPr>
          <w:rFonts w:ascii="宋体" w:eastAsia="宋体" w:cs="宋体" w:hint="eastAsia"/>
          <w:bCs/>
          <w:sz w:val="24"/>
          <w:szCs w:val="24"/>
        </w:rPr>
        <w:t>开标时，由投标人或者其推选的代表检查投标文件的密封情况，或由采购人委托的公证机构检查并公证。经确认无误后，进入评标环节。</w:t>
      </w:r>
    </w:p>
    <w:p>
      <w:pPr>
        <w:numPr>
          <w:ilvl w:val="2"/>
          <w:numId w:val="3"/>
        </w:numPr>
        <w:tabs>
          <w:tab w:val="left" w:pos="735"/>
          <w:tab w:val="left" w:pos="1254"/>
        </w:tabs>
        <w:spacing w:line="360" w:lineRule="auto"/>
        <w:ind w:left="735" w:hanging="735"/>
        <w:rPr>
          <w:rFonts w:ascii="宋体" w:eastAsia="宋体" w:cs="宋体" w:hint="eastAsia"/>
          <w:bCs/>
          <w:sz w:val="24"/>
          <w:szCs w:val="24"/>
        </w:rPr>
      </w:pPr>
      <w:r>
        <w:rPr>
          <w:rFonts w:ascii="宋体" w:eastAsia="宋体" w:cs="宋体" w:hint="eastAsia"/>
          <w:bCs/>
          <w:sz w:val="24"/>
          <w:szCs w:val="24"/>
        </w:rPr>
        <w:t>在招标文件要求提交投标文件的截止时间前收到的所有经检查合格的投标文件少于三家时，则招标失败，招标代理机构将重新招标。</w:t>
      </w:r>
    </w:p>
    <w:p>
      <w:pPr>
        <w:numPr>
          <w:ilvl w:val="1"/>
          <w:numId w:val="3"/>
        </w:numPr>
        <w:tabs>
          <w:tab w:val="clear" w:pos="567"/>
          <w:tab w:val="left" w:pos="420"/>
          <w:tab w:val="left" w:pos="525"/>
        </w:tabs>
        <w:spacing w:line="480" w:lineRule="auto"/>
        <w:ind w:left="420" w:hanging="420"/>
        <w:outlineLvl w:val="3"/>
        <w:rPr>
          <w:rFonts w:ascii="宋体" w:eastAsia="宋体" w:cs="宋体" w:hint="eastAsia"/>
          <w:b/>
          <w:bCs/>
          <w:sz w:val="24"/>
          <w:szCs w:val="24"/>
        </w:rPr>
      </w:pPr>
      <w:r>
        <w:rPr>
          <w:rFonts w:ascii="宋体" w:eastAsia="宋体" w:cs="宋体" w:hint="eastAsia"/>
          <w:b/>
          <w:bCs/>
          <w:sz w:val="24"/>
          <w:szCs w:val="24"/>
        </w:rPr>
        <w:t>评标</w:t>
      </w:r>
    </w:p>
    <w:p>
      <w:pPr>
        <w:numPr>
          <w:ilvl w:val="2"/>
          <w:numId w:val="3"/>
        </w:numPr>
        <w:tabs>
          <w:tab w:val="left" w:pos="735"/>
          <w:tab w:val="left" w:pos="1254"/>
        </w:tabs>
        <w:spacing w:line="360" w:lineRule="auto"/>
        <w:ind w:left="735" w:hanging="735"/>
        <w:rPr>
          <w:rFonts w:ascii="宋体" w:eastAsia="宋体" w:cs="宋体" w:hint="eastAsia"/>
          <w:bCs/>
          <w:sz w:val="24"/>
          <w:szCs w:val="24"/>
        </w:rPr>
      </w:pPr>
      <w:r>
        <w:rPr>
          <w:rFonts w:ascii="宋体" w:eastAsia="宋体" w:cs="宋体" w:hint="eastAsia"/>
          <w:bCs/>
          <w:sz w:val="24"/>
          <w:szCs w:val="24"/>
        </w:rPr>
        <w:t>评标委员会</w:t>
      </w:r>
    </w:p>
    <w:p>
      <w:pPr>
        <w:numPr>
          <w:ilvl w:val="0"/>
          <w:numId w:val="5"/>
        </w:numPr>
        <w:spacing w:line="360" w:lineRule="auto"/>
        <w:rPr>
          <w:rFonts w:ascii="宋体" w:eastAsia="宋体" w:cs="宋体" w:hint="eastAsia"/>
          <w:bCs/>
          <w:sz w:val="24"/>
          <w:szCs w:val="24"/>
        </w:rPr>
      </w:pPr>
      <w:r>
        <w:rPr>
          <w:rFonts w:ascii="宋体" w:eastAsia="宋体" w:cs="宋体" w:hint="eastAsia"/>
          <w:bCs/>
          <w:sz w:val="24"/>
          <w:szCs w:val="24"/>
        </w:rPr>
        <w:t>依法组建评标委员会。评标委员会由</w:t>
      </w:r>
      <w:r>
        <w:rPr>
          <w:rFonts w:ascii="宋体" w:eastAsia="宋体" w:cs="宋体" w:hint="eastAsia"/>
          <w:b/>
          <w:bCs/>
          <w:sz w:val="24"/>
          <w:szCs w:val="24"/>
          <w:u w:val="single"/>
        </w:rPr>
        <w:t>5</w:t>
      </w:r>
      <w:r>
        <w:rPr>
          <w:rFonts w:ascii="宋体" w:eastAsia="宋体" w:cs="宋体" w:hint="eastAsia"/>
          <w:bCs/>
          <w:sz w:val="24"/>
          <w:szCs w:val="24"/>
        </w:rPr>
        <w:t>人组成，</w:t>
      </w:r>
      <w:r>
        <w:rPr>
          <w:rFonts w:ascii="宋体" w:eastAsia="宋体" w:cs="宋体" w:hint="eastAsia"/>
          <w:bCs/>
          <w:sz w:val="24"/>
          <w:szCs w:val="24"/>
          <w:highlight w:val="auto"/>
        </w:rPr>
        <w:t>其中采购人代表</w:t>
      </w:r>
      <w:r>
        <w:rPr>
          <w:rFonts w:ascii="宋体" w:eastAsia="宋体" w:cs="宋体" w:hint="eastAsia"/>
          <w:b/>
          <w:sz w:val="24"/>
          <w:szCs w:val="24"/>
          <w:u w:val="single"/>
          <w:highlight w:val="auto"/>
        </w:rPr>
        <w:t>1</w:t>
      </w:r>
      <w:r>
        <w:rPr>
          <w:rFonts w:ascii="宋体" w:eastAsia="宋体" w:cs="宋体" w:hint="eastAsia"/>
          <w:bCs/>
          <w:sz w:val="24"/>
          <w:szCs w:val="24"/>
          <w:highlight w:val="auto"/>
        </w:rPr>
        <w:t>名，</w:t>
      </w:r>
      <w:r>
        <w:rPr>
          <w:rFonts w:ascii="宋体" w:eastAsia="宋体" w:cs="宋体" w:hint="eastAsia"/>
          <w:bCs/>
          <w:sz w:val="24"/>
          <w:szCs w:val="24"/>
        </w:rPr>
        <w:t>其余</w:t>
      </w:r>
      <w:r>
        <w:rPr>
          <w:rFonts w:ascii="宋体" w:eastAsia="宋体" w:cs="宋体" w:hint="eastAsia"/>
          <w:b/>
          <w:bCs/>
          <w:sz w:val="24"/>
          <w:szCs w:val="24"/>
          <w:u w:val="single"/>
        </w:rPr>
        <w:t>4</w:t>
      </w:r>
      <w:r>
        <w:rPr>
          <w:rFonts w:ascii="宋体" w:eastAsia="宋体" w:cs="宋体" w:hint="eastAsia"/>
          <w:bCs/>
          <w:sz w:val="24"/>
          <w:szCs w:val="24"/>
        </w:rPr>
        <w:t>名评标委员均从专家库中随机抽取产生。</w:t>
      </w:r>
    </w:p>
    <w:p>
      <w:pPr>
        <w:numPr>
          <w:ilvl w:val="0"/>
          <w:numId w:val="5"/>
        </w:numPr>
        <w:spacing w:line="360" w:lineRule="auto"/>
        <w:rPr>
          <w:rFonts w:ascii="宋体" w:eastAsia="宋体" w:cs="宋体" w:hint="eastAsia"/>
          <w:bCs/>
          <w:sz w:val="24"/>
          <w:szCs w:val="24"/>
        </w:rPr>
      </w:pPr>
      <w:r>
        <w:rPr>
          <w:rFonts w:ascii="宋体" w:eastAsia="宋体" w:cs="宋体" w:hint="eastAsia"/>
          <w:bCs/>
          <w:sz w:val="24"/>
          <w:szCs w:val="24"/>
        </w:rPr>
        <w:t>评标委员会将只对确定为实质上响应招标文件要求的投标文件，即通过符合性审查的投标文件进行评价和比较，</w:t>
      </w:r>
      <w:r>
        <w:rPr>
          <w:rFonts w:ascii="宋体" w:eastAsia="宋体" w:cs="宋体" w:hint="eastAsia"/>
          <w:b/>
          <w:sz w:val="24"/>
          <w:szCs w:val="24"/>
        </w:rPr>
        <w:t>响应的依据是招标文件本身的内容，而不寻求其它证据</w:t>
      </w:r>
      <w:r>
        <w:rPr>
          <w:rFonts w:ascii="宋体" w:eastAsia="宋体" w:cs="宋体" w:hint="eastAsia"/>
          <w:bCs/>
          <w:sz w:val="24"/>
          <w:szCs w:val="24"/>
        </w:rPr>
        <w:t>。</w:t>
      </w:r>
      <w:r>
        <w:rPr>
          <w:rFonts w:ascii="宋体" w:eastAsia="宋体" w:cs="宋体" w:hint="eastAsia"/>
          <w:b/>
          <w:sz w:val="24"/>
          <w:szCs w:val="24"/>
        </w:rPr>
        <w:t>实质上响应的投标应该是与招标文件要求的全部主要条款、条件和规格相符，没有重大偏离的投标</w:t>
      </w:r>
      <w:r>
        <w:rPr>
          <w:rFonts w:ascii="宋体" w:eastAsia="宋体" w:cs="宋体" w:hint="eastAsia"/>
          <w:bCs/>
          <w:sz w:val="24"/>
          <w:szCs w:val="24"/>
        </w:rPr>
        <w:t>。</w:t>
      </w:r>
    </w:p>
    <w:p>
      <w:pPr>
        <w:numPr>
          <w:ilvl w:val="2"/>
          <w:numId w:val="3"/>
        </w:numPr>
        <w:tabs>
          <w:tab w:val="left" w:pos="735"/>
          <w:tab w:val="left" w:pos="1254"/>
        </w:tabs>
        <w:spacing w:line="360" w:lineRule="auto"/>
        <w:ind w:left="735" w:hanging="735"/>
        <w:rPr>
          <w:rFonts w:ascii="宋体" w:eastAsia="宋体" w:cs="宋体" w:hint="eastAsia"/>
          <w:bCs/>
          <w:sz w:val="24"/>
          <w:szCs w:val="24"/>
        </w:rPr>
      </w:pPr>
      <w:r>
        <w:rPr>
          <w:rFonts w:ascii="宋体" w:eastAsia="宋体" w:cs="宋体" w:hint="eastAsia"/>
          <w:bCs/>
          <w:sz w:val="24"/>
          <w:szCs w:val="24"/>
        </w:rPr>
        <w:t>评标原则</w:t>
      </w:r>
    </w:p>
    <w:p>
      <w:pPr>
        <w:numPr>
          <w:ilvl w:val="0"/>
          <w:numId w:val="6"/>
        </w:numPr>
        <w:spacing w:line="360" w:lineRule="auto"/>
        <w:rPr>
          <w:rFonts w:ascii="宋体" w:eastAsia="宋体" w:cs="宋体" w:hint="eastAsia"/>
          <w:bCs/>
          <w:sz w:val="24"/>
          <w:szCs w:val="24"/>
        </w:rPr>
      </w:pPr>
      <w:r>
        <w:rPr>
          <w:rFonts w:ascii="宋体" w:eastAsia="宋体" w:cs="宋体" w:hint="eastAsia"/>
          <w:bCs/>
          <w:sz w:val="24"/>
          <w:szCs w:val="24"/>
        </w:rPr>
        <w:t>评标遵循公平、公正、科学、择优的原则。</w:t>
      </w:r>
    </w:p>
    <w:p>
      <w:pPr>
        <w:numPr>
          <w:ilvl w:val="0"/>
          <w:numId w:val="6"/>
        </w:numPr>
        <w:spacing w:line="360" w:lineRule="auto"/>
        <w:rPr>
          <w:rFonts w:ascii="宋体" w:eastAsia="宋体" w:cs="宋体" w:hint="eastAsia"/>
          <w:bCs/>
          <w:sz w:val="24"/>
          <w:szCs w:val="24"/>
        </w:rPr>
      </w:pPr>
      <w:r>
        <w:rPr>
          <w:rFonts w:ascii="宋体" w:eastAsia="宋体" w:cs="宋体" w:hint="eastAsia"/>
          <w:bCs/>
          <w:sz w:val="24"/>
          <w:szCs w:val="24"/>
        </w:rPr>
        <w:t>确定中标人的评标准则是：能够最大限度满足招标文件中规定的各项综合评价标准。评标委员会没有义务接受最低报价的投标。</w:t>
      </w:r>
    </w:p>
    <w:p>
      <w:pPr>
        <w:numPr>
          <w:ilvl w:val="0"/>
          <w:numId w:val="6"/>
        </w:numPr>
        <w:spacing w:line="360" w:lineRule="auto"/>
        <w:rPr>
          <w:rFonts w:ascii="宋体" w:eastAsia="宋体" w:cs="宋体" w:hint="eastAsia"/>
          <w:bCs/>
          <w:sz w:val="24"/>
          <w:szCs w:val="24"/>
        </w:rPr>
      </w:pPr>
      <w:r>
        <w:rPr>
          <w:rFonts w:ascii="宋体" w:eastAsia="宋体" w:cs="宋体" w:hint="eastAsia"/>
          <w:bCs/>
          <w:sz w:val="24"/>
          <w:szCs w:val="24"/>
        </w:rPr>
        <w:t>评标委员会有权根据有关规定否决所有投标。</w:t>
      </w:r>
    </w:p>
    <w:p>
      <w:pPr>
        <w:numPr>
          <w:ilvl w:val="2"/>
          <w:numId w:val="3"/>
        </w:numPr>
        <w:tabs>
          <w:tab w:val="left" w:pos="735"/>
          <w:tab w:val="left" w:pos="1254"/>
        </w:tabs>
        <w:spacing w:line="360" w:lineRule="auto"/>
        <w:ind w:left="735" w:hanging="735"/>
        <w:rPr>
          <w:rFonts w:ascii="宋体" w:eastAsia="宋体" w:cs="宋体" w:hint="eastAsia"/>
          <w:bCs/>
          <w:sz w:val="24"/>
          <w:szCs w:val="24"/>
        </w:rPr>
      </w:pPr>
      <w:r>
        <w:rPr>
          <w:rFonts w:ascii="宋体" w:eastAsia="宋体" w:cs="宋体" w:hint="eastAsia"/>
          <w:bCs/>
          <w:sz w:val="24"/>
          <w:szCs w:val="24"/>
        </w:rPr>
        <w:t>评标过程的保密性</w:t>
      </w:r>
    </w:p>
    <w:p>
      <w:pPr>
        <w:numPr>
          <w:ilvl w:val="0"/>
          <w:numId w:val="7"/>
        </w:numPr>
        <w:spacing w:line="360" w:lineRule="auto"/>
        <w:rPr>
          <w:rFonts w:ascii="宋体" w:eastAsia="宋体" w:cs="宋体" w:hint="eastAsia"/>
          <w:bCs/>
          <w:sz w:val="24"/>
          <w:szCs w:val="24"/>
        </w:rPr>
      </w:pPr>
      <w:r>
        <w:rPr>
          <w:rFonts w:ascii="宋体" w:eastAsia="宋体" w:cs="宋体" w:hint="eastAsia"/>
          <w:bCs/>
          <w:sz w:val="24"/>
          <w:szCs w:val="24"/>
        </w:rPr>
        <w:t>开标后，直至向中标的投标人授予合同时止，凡与审查、澄清、评价和比较投标有关的资料以及授标意见等，均不得向投标人及与评标无关的其他人透露。</w:t>
      </w:r>
    </w:p>
    <w:p>
      <w:pPr>
        <w:numPr>
          <w:ilvl w:val="0"/>
          <w:numId w:val="7"/>
        </w:numPr>
        <w:spacing w:line="360" w:lineRule="auto"/>
        <w:rPr>
          <w:rFonts w:ascii="宋体" w:eastAsia="宋体" w:cs="宋体" w:hint="eastAsia"/>
          <w:bCs/>
          <w:sz w:val="24"/>
          <w:szCs w:val="24"/>
        </w:rPr>
      </w:pPr>
      <w:r>
        <w:rPr>
          <w:rFonts w:ascii="宋体" w:eastAsia="宋体" w:cs="宋体" w:hint="eastAsia"/>
          <w:bCs/>
          <w:sz w:val="24"/>
          <w:szCs w:val="24"/>
        </w:rPr>
        <w:t>在评标过程中，如果投标人试图在投标文件审查、澄清、比较及授予合同方面向评标委员会及采购人施加任何影响，其投标将被拒绝。</w:t>
      </w:r>
    </w:p>
    <w:p>
      <w:pPr>
        <w:numPr>
          <w:ilvl w:val="2"/>
          <w:numId w:val="3"/>
        </w:numPr>
        <w:tabs>
          <w:tab w:val="left" w:pos="735"/>
          <w:tab w:val="left" w:pos="1254"/>
        </w:tabs>
        <w:spacing w:line="360" w:lineRule="auto"/>
        <w:ind w:left="735" w:hanging="735"/>
        <w:rPr>
          <w:rFonts w:ascii="宋体" w:eastAsia="宋体" w:cs="宋体" w:hint="eastAsia"/>
          <w:bCs/>
          <w:sz w:val="24"/>
          <w:szCs w:val="24"/>
        </w:rPr>
      </w:pPr>
      <w:r>
        <w:rPr>
          <w:rFonts w:ascii="宋体" w:eastAsia="宋体" w:cs="宋体" w:hint="eastAsia"/>
          <w:bCs/>
          <w:sz w:val="24"/>
          <w:szCs w:val="24"/>
        </w:rPr>
        <w:t>投标文件的澄清</w:t>
      </w:r>
    </w:p>
    <w:p>
      <w:pPr>
        <w:numPr>
          <w:ilvl w:val="0"/>
          <w:numId w:val="8"/>
        </w:numPr>
        <w:spacing w:line="360" w:lineRule="auto"/>
        <w:rPr>
          <w:rFonts w:ascii="宋体" w:eastAsia="宋体" w:cs="宋体" w:hint="eastAsia"/>
          <w:bCs/>
          <w:sz w:val="24"/>
          <w:szCs w:val="24"/>
        </w:rPr>
      </w:pPr>
      <w:r>
        <w:rPr>
          <w:rFonts w:ascii="宋体" w:eastAsia="宋体" w:cs="宋体" w:hint="eastAsia"/>
          <w:bCs/>
          <w:sz w:val="24"/>
          <w:szCs w:val="24"/>
        </w:rPr>
        <w:t>除评标委员会主动要求澄清外，从开标后至授予合同期间，任何投标人均不得就与其投标相关的任何问题与评标委员会联系。</w:t>
      </w:r>
    </w:p>
    <w:p>
      <w:pPr>
        <w:numPr>
          <w:ilvl w:val="0"/>
          <w:numId w:val="8"/>
        </w:numPr>
        <w:spacing w:line="360" w:lineRule="auto"/>
        <w:rPr>
          <w:rFonts w:ascii="宋体" w:eastAsia="宋体" w:cs="宋体" w:hint="eastAsia"/>
          <w:bCs/>
          <w:sz w:val="24"/>
          <w:szCs w:val="24"/>
        </w:rPr>
      </w:pPr>
      <w:r>
        <w:rPr>
          <w:rFonts w:ascii="宋体" w:eastAsia="宋体" w:cs="宋体" w:hint="eastAsia"/>
          <w:bCs/>
          <w:sz w:val="24"/>
          <w:szCs w:val="24"/>
        </w:rPr>
        <w:t>为有利评标，在开标后，可随时请投标人就投标文件中某点加以澄清，澄清的内容不得对投标文件作实质性修改。以书面形式表达并加盖公章或由投标人的合法授权代表正式签署的答复经评标委员会认可后，可作为投标文件的一部分参与评标。</w:t>
      </w:r>
    </w:p>
    <w:p>
      <w:pPr>
        <w:numPr>
          <w:ilvl w:val="2"/>
          <w:numId w:val="3"/>
        </w:numPr>
        <w:tabs>
          <w:tab w:val="left" w:pos="735"/>
          <w:tab w:val="left" w:pos="1254"/>
        </w:tabs>
        <w:spacing w:line="360" w:lineRule="auto"/>
        <w:ind w:left="735" w:hanging="735"/>
        <w:rPr>
          <w:rFonts w:ascii="宋体" w:eastAsia="宋体" w:cs="宋体" w:hint="eastAsia"/>
          <w:bCs/>
          <w:sz w:val="24"/>
          <w:szCs w:val="24"/>
        </w:rPr>
      </w:pPr>
      <w:r>
        <w:rPr>
          <w:rFonts w:ascii="宋体" w:eastAsia="宋体" w:cs="宋体" w:hint="eastAsia"/>
          <w:bCs/>
          <w:sz w:val="24"/>
          <w:szCs w:val="24"/>
        </w:rPr>
        <w:t>评标程序及方法（详见评标文件）</w:t>
      </w:r>
    </w:p>
    <w:p>
      <w:pPr>
        <w:spacing w:line="360" w:lineRule="auto"/>
        <w:ind w:firstLineChars="200" w:firstLine="480"/>
        <w:rPr>
          <w:rFonts w:ascii="宋体" w:eastAsia="宋体" w:cs="宋体" w:hint="eastAsia"/>
          <w:bCs/>
          <w:sz w:val="24"/>
          <w:szCs w:val="24"/>
        </w:rPr>
      </w:pPr>
      <w:r>
        <w:rPr>
          <w:rFonts w:ascii="宋体" w:eastAsia="宋体" w:cs="宋体" w:hint="eastAsia"/>
          <w:bCs/>
          <w:sz w:val="24"/>
          <w:szCs w:val="24"/>
        </w:rPr>
        <w:t>评标分</w:t>
      </w:r>
      <w:r>
        <w:rPr>
          <w:rFonts w:ascii="宋体" w:eastAsia="宋体" w:cs="宋体" w:hint="eastAsia"/>
          <w:b/>
          <w:sz w:val="24"/>
          <w:szCs w:val="24"/>
        </w:rPr>
        <w:t>两个阶段进行：投标文件资格性、符合性审查和投标文件详细评审</w:t>
      </w:r>
      <w:r>
        <w:rPr>
          <w:rFonts w:ascii="宋体" w:eastAsia="宋体" w:cs="宋体" w:hint="eastAsia"/>
          <w:bCs/>
          <w:sz w:val="24"/>
          <w:szCs w:val="24"/>
        </w:rPr>
        <w:t>。各评委首先对各投标文件进行符合性审查，投标人只有完全通过符合性审查，才能进入下一阶段的详细评审，否则视为无效投标。</w:t>
      </w:r>
    </w:p>
    <w:p>
      <w:pPr>
        <w:spacing w:line="360" w:lineRule="auto"/>
        <w:rPr>
          <w:rFonts w:ascii="宋体" w:eastAsia="宋体" w:cs="宋体" w:hint="eastAsia"/>
          <w:bCs/>
          <w:sz w:val="24"/>
          <w:szCs w:val="24"/>
        </w:rPr>
      </w:pPr>
    </w:p>
    <w:p>
      <w:pPr>
        <w:spacing w:line="360" w:lineRule="auto"/>
        <w:ind w:left="283"/>
        <w:rPr>
          <w:rFonts w:ascii="宋体" w:eastAsia="宋体" w:cs="宋体" w:hint="eastAsia"/>
          <w:bCs/>
          <w:sz w:val="24"/>
          <w:szCs w:val="24"/>
        </w:rPr>
      </w:pPr>
      <w:r>
        <w:rPr>
          <w:rFonts w:ascii="宋体" w:eastAsia="宋体" w:cs="宋体" w:hint="eastAsia"/>
          <w:bCs/>
          <w:sz w:val="24"/>
          <w:szCs w:val="24"/>
        </w:rPr>
        <w:t>6.资格审查</w:t>
      </w:r>
    </w:p>
    <w:tbl>
      <w:tblPr>
        <w:jc w:val="left"/>
        <w:tblInd w:w="0" w:type="dxa"/>
        <w:tblW w:w="975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Pr>
      <w:tblGrid>
        <w:gridCol w:w="687"/>
        <w:gridCol w:w="9070"/>
      </w:tblGrid>
      <w:tr>
        <w:trPr>
          <w:trHeight w:val="581"/>
        </w:trPr>
        <w:tc>
          <w:tcPr>
            <w:tcW w:w="687" w:type="dxa"/>
            <w:tcBorders>
              <w:top w:val="single" w:sz="6" w:space="0" w:color="auto"/>
              <w:left w:val="single" w:sz="6" w:space="0" w:color="auto"/>
              <w:bottom w:val="single" w:sz="12" w:space="0" w:color="auto"/>
              <w:right w:val="single" w:sz="6" w:space="0" w:color="auto"/>
            </w:tcBorders>
            <w:noWrap/>
            <w:vAlign w:val="center"/>
          </w:tcPr>
          <w:p>
            <w:pPr>
              <w:spacing w:line="440" w:lineRule="exact"/>
              <w:jc w:val="center"/>
              <w:rPr>
                <w:rFonts w:ascii="宋体" w:eastAsia="宋体" w:cs="宋体" w:hint="eastAsia"/>
                <w:b/>
                <w:bCs/>
                <w:sz w:val="24"/>
                <w:szCs w:val="24"/>
              </w:rPr>
            </w:pPr>
            <w:r>
              <w:rPr>
                <w:rFonts w:ascii="宋体" w:eastAsia="宋体" w:cs="宋体" w:hint="eastAsia"/>
                <w:b/>
                <w:bCs/>
                <w:sz w:val="24"/>
                <w:szCs w:val="24"/>
              </w:rPr>
              <w:t>序号</w:t>
            </w:r>
          </w:p>
        </w:tc>
        <w:tc>
          <w:tcPr>
            <w:tcW w:w="9070" w:type="dxa"/>
            <w:tcBorders>
              <w:top w:val="single" w:sz="6" w:space="0" w:color="auto"/>
              <w:left w:val="single" w:sz="6" w:space="0" w:color="auto"/>
              <w:bottom w:val="single" w:sz="12" w:space="0" w:color="auto"/>
              <w:right w:val="single" w:sz="6" w:space="0" w:color="auto"/>
            </w:tcBorders>
            <w:noWrap/>
            <w:vAlign w:val="center"/>
          </w:tcPr>
          <w:p>
            <w:pPr>
              <w:spacing w:line="440" w:lineRule="exact"/>
              <w:jc w:val="center"/>
              <w:rPr>
                <w:rFonts w:ascii="宋体" w:eastAsia="宋体" w:cs="宋体" w:hint="eastAsia"/>
                <w:b/>
                <w:bCs/>
                <w:sz w:val="24"/>
                <w:szCs w:val="24"/>
              </w:rPr>
            </w:pPr>
            <w:r>
              <w:rPr>
                <w:rFonts w:ascii="宋体" w:eastAsia="宋体" w:cs="宋体" w:hint="eastAsia"/>
                <w:b/>
                <w:bCs/>
                <w:sz w:val="24"/>
                <w:szCs w:val="24"/>
              </w:rPr>
              <w:t>评审标准</w:t>
            </w:r>
          </w:p>
        </w:tc>
      </w:tr>
      <w:tr>
        <w:trPr>
          <w:trHeight w:val="2915"/>
        </w:trPr>
        <w:tc>
          <w:tcPr>
            <w:tcW w:w="687" w:type="dxa"/>
            <w:tcBorders>
              <w:top w:val="single" w:sz="6" w:space="0" w:color="auto"/>
              <w:left w:val="single" w:sz="6" w:space="0" w:color="auto"/>
              <w:bottom w:val="single" w:sz="12" w:space="0" w:color="auto"/>
              <w:right w:val="single" w:sz="6" w:space="0" w:color="auto"/>
            </w:tcBorders>
            <w:noWrap/>
            <w:vAlign w:val="center"/>
          </w:tcPr>
          <w:p>
            <w:pPr>
              <w:spacing w:line="400" w:lineRule="exact"/>
              <w:jc w:val="center"/>
              <w:rPr>
                <w:rFonts w:ascii="宋体" w:eastAsia="宋体" w:cs="宋体" w:hint="eastAsia"/>
                <w:sz w:val="24"/>
                <w:szCs w:val="24"/>
              </w:rPr>
            </w:pPr>
            <w:r>
              <w:rPr>
                <w:rFonts w:ascii="宋体" w:eastAsia="宋体" w:cs="宋体" w:hint="eastAsia"/>
                <w:sz w:val="24"/>
                <w:szCs w:val="24"/>
              </w:rPr>
              <w:t>1</w:t>
            </w:r>
          </w:p>
        </w:tc>
        <w:tc>
          <w:tcPr>
            <w:tcW w:w="9070" w:type="dxa"/>
            <w:tcBorders>
              <w:top w:val="single" w:sz="6" w:space="0" w:color="auto"/>
              <w:left w:val="single" w:sz="6" w:space="0" w:color="auto"/>
              <w:bottom w:val="single" w:sz="12" w:space="0" w:color="auto"/>
              <w:right w:val="single" w:sz="6" w:space="0" w:color="auto"/>
            </w:tcBorders>
            <w:noWrap/>
            <w:vAlign w:val="center"/>
          </w:tcPr>
          <w:p>
            <w:pPr>
              <w:spacing w:line="400" w:lineRule="exact"/>
              <w:rPr>
                <w:rFonts w:ascii="宋体" w:eastAsia="宋体" w:cs="宋体" w:hint="eastAsia"/>
                <w:sz w:val="24"/>
                <w:szCs w:val="24"/>
              </w:rPr>
            </w:pPr>
            <w:r>
              <w:rPr>
                <w:rFonts w:ascii="宋体" w:eastAsia="宋体" w:cs="宋体" w:hint="eastAsia"/>
                <w:sz w:val="24"/>
                <w:szCs w:val="24"/>
              </w:rPr>
              <w:t>满足《中华人民共和国政府采购法》第二十二条规定；</w:t>
            </w:r>
          </w:p>
          <w:p>
            <w:pPr>
              <w:spacing w:line="400" w:lineRule="exact"/>
              <w:rPr>
                <w:rFonts w:ascii="宋体" w:eastAsia="宋体" w:cs="宋体" w:hint="eastAsia"/>
                <w:sz w:val="24"/>
                <w:szCs w:val="24"/>
              </w:rPr>
            </w:pPr>
            <w:r>
              <w:rPr>
                <w:rFonts w:ascii="宋体" w:eastAsia="宋体" w:cs="宋体" w:hint="eastAsia"/>
                <w:sz w:val="24"/>
                <w:szCs w:val="24"/>
              </w:rPr>
              <w:t>（1）具有独立承担民事责任的能力； </w:t>
            </w:r>
          </w:p>
          <w:p>
            <w:pPr>
              <w:spacing w:line="400" w:lineRule="exact"/>
              <w:rPr>
                <w:rFonts w:ascii="宋体" w:eastAsia="宋体" w:cs="宋体" w:hint="eastAsia"/>
                <w:sz w:val="24"/>
                <w:szCs w:val="24"/>
              </w:rPr>
            </w:pPr>
            <w:r>
              <w:rPr>
                <w:rFonts w:ascii="宋体" w:eastAsia="宋体" w:cs="宋体" w:hint="eastAsia"/>
                <w:sz w:val="24"/>
                <w:szCs w:val="24"/>
              </w:rPr>
              <w:t>（2）具有良好的商业信誉和健全的财务会计制度； </w:t>
            </w:r>
          </w:p>
          <w:p>
            <w:pPr>
              <w:spacing w:line="400" w:lineRule="exact"/>
              <w:rPr>
                <w:rFonts w:ascii="宋体" w:eastAsia="宋体" w:cs="宋体" w:hint="eastAsia"/>
                <w:sz w:val="24"/>
                <w:szCs w:val="24"/>
              </w:rPr>
            </w:pPr>
            <w:r>
              <w:rPr>
                <w:rFonts w:ascii="宋体" w:eastAsia="宋体" w:cs="宋体" w:hint="eastAsia"/>
                <w:sz w:val="24"/>
                <w:szCs w:val="24"/>
              </w:rPr>
              <w:t>（3）具有履行合同所必需的设备和专业技术能力； </w:t>
            </w:r>
          </w:p>
          <w:p>
            <w:pPr>
              <w:spacing w:line="400" w:lineRule="exact"/>
              <w:rPr>
                <w:rFonts w:ascii="宋体" w:eastAsia="宋体" w:cs="宋体" w:hint="eastAsia"/>
                <w:sz w:val="24"/>
                <w:szCs w:val="24"/>
              </w:rPr>
            </w:pPr>
            <w:r>
              <w:rPr>
                <w:rFonts w:ascii="宋体" w:eastAsia="宋体" w:cs="宋体" w:hint="eastAsia"/>
                <w:sz w:val="24"/>
                <w:szCs w:val="24"/>
              </w:rPr>
              <w:t>（4）有依法缴纳税收和社会保障资金的良好记录； </w:t>
            </w:r>
          </w:p>
          <w:p>
            <w:pPr>
              <w:spacing w:line="400" w:lineRule="exact"/>
              <w:rPr>
                <w:rFonts w:ascii="宋体" w:eastAsia="宋体" w:cs="宋体" w:hint="eastAsia"/>
                <w:sz w:val="24"/>
                <w:szCs w:val="24"/>
              </w:rPr>
            </w:pPr>
            <w:r>
              <w:rPr>
                <w:rFonts w:ascii="宋体" w:eastAsia="宋体" w:cs="宋体" w:hint="eastAsia"/>
                <w:sz w:val="24"/>
                <w:szCs w:val="24"/>
              </w:rPr>
              <w:t>（5）参加政府采购活动前三年内，在经营活动中没有重大违法记录； </w:t>
            </w:r>
          </w:p>
          <w:p>
            <w:pPr>
              <w:spacing w:line="400" w:lineRule="exact"/>
              <w:rPr>
                <w:rFonts w:ascii="宋体" w:eastAsia="宋体" w:cs="宋体" w:hint="eastAsia"/>
                <w:sz w:val="24"/>
                <w:szCs w:val="24"/>
              </w:rPr>
            </w:pPr>
            <w:r>
              <w:rPr>
                <w:rFonts w:ascii="宋体" w:eastAsia="宋体" w:cs="宋体" w:hint="eastAsia"/>
                <w:sz w:val="24"/>
                <w:szCs w:val="24"/>
              </w:rPr>
              <w:t>（6）法律、行政法规规定的其他条件；</w:t>
            </w:r>
          </w:p>
        </w:tc>
      </w:tr>
      <w:tr>
        <w:trPr>
          <w:trHeight w:val="1565"/>
        </w:trPr>
        <w:tc>
          <w:tcPr>
            <w:tcW w:w="687" w:type="dxa"/>
            <w:tcBorders>
              <w:top w:val="single" w:sz="6" w:space="0" w:color="auto"/>
              <w:left w:val="single" w:sz="6" w:space="0" w:color="auto"/>
              <w:bottom w:val="single" w:sz="12" w:space="0" w:color="auto"/>
              <w:right w:val="single" w:sz="6" w:space="0" w:color="auto"/>
            </w:tcBorders>
            <w:noWrap/>
            <w:vAlign w:val="center"/>
          </w:tcPr>
          <w:p>
            <w:pPr>
              <w:spacing w:line="400" w:lineRule="exact"/>
              <w:jc w:val="center"/>
              <w:rPr>
                <w:rFonts w:ascii="宋体" w:eastAsia="宋体" w:cs="宋体" w:hint="eastAsia"/>
                <w:sz w:val="24"/>
                <w:szCs w:val="24"/>
              </w:rPr>
            </w:pPr>
            <w:r>
              <w:rPr>
                <w:rFonts w:ascii="宋体" w:eastAsia="宋体" w:cs="宋体" w:hint="eastAsia"/>
                <w:sz w:val="24"/>
                <w:szCs w:val="24"/>
              </w:rPr>
              <w:t>2</w:t>
            </w:r>
          </w:p>
        </w:tc>
        <w:tc>
          <w:tcPr>
            <w:tcW w:w="9070" w:type="dxa"/>
            <w:tcBorders>
              <w:top w:val="single" w:sz="6" w:space="0" w:color="auto"/>
              <w:left w:val="single" w:sz="6" w:space="0" w:color="auto"/>
              <w:bottom w:val="single" w:sz="12" w:space="0" w:color="auto"/>
              <w:right w:val="single" w:sz="6" w:space="0" w:color="auto"/>
            </w:tcBorders>
            <w:noWrap/>
            <w:vAlign w:val="center"/>
          </w:tcPr>
          <w:p>
            <w:pPr>
              <w:spacing w:line="400" w:lineRule="exact"/>
              <w:rPr>
                <w:rFonts w:ascii="宋体" w:eastAsia="宋体" w:cs="宋体" w:hint="eastAsia"/>
                <w:sz w:val="24"/>
                <w:szCs w:val="24"/>
              </w:rPr>
            </w:pPr>
            <w:r>
              <w:rPr>
                <w:rFonts w:ascii="宋体" w:eastAsia="宋体" w:cs="宋体" w:hint="eastAsia"/>
                <w:sz w:val="24"/>
                <w:szCs w:val="24"/>
              </w:rPr>
              <w:t>落实政府采购政策需满足的资格要求：</w:t>
            </w:r>
          </w:p>
          <w:p>
            <w:pPr>
              <w:spacing w:line="400" w:lineRule="exact"/>
              <w:rPr>
                <w:rFonts w:ascii="宋体" w:eastAsia="宋体" w:cs="宋体" w:hint="eastAsia"/>
                <w:sz w:val="24"/>
                <w:szCs w:val="24"/>
              </w:rPr>
            </w:pPr>
            <w:r>
              <w:rPr>
                <w:rFonts w:ascii="宋体" w:eastAsia="宋体" w:cs="宋体" w:hint="eastAsia"/>
                <w:sz w:val="24"/>
                <w:szCs w:val="24"/>
              </w:rPr>
              <w:t>（1）财政部、国家发展改革委、生态环境部、市场监管总局《关于调整优化节能产品、环境标志产品政府采购执行机制的通知》（财库[2019]9 号文）；</w:t>
            </w:r>
          </w:p>
          <w:p>
            <w:pPr>
              <w:spacing w:line="400" w:lineRule="exact"/>
              <w:rPr>
                <w:rFonts w:ascii="宋体" w:eastAsia="宋体" w:cs="宋体" w:hint="eastAsia"/>
                <w:sz w:val="24"/>
                <w:szCs w:val="24"/>
              </w:rPr>
            </w:pPr>
            <w:r>
              <w:rPr>
                <w:rFonts w:ascii="宋体" w:eastAsia="宋体" w:cs="宋体" w:hint="eastAsia"/>
                <w:sz w:val="24"/>
                <w:szCs w:val="24"/>
              </w:rPr>
              <w:t>（2）财政部、生态环境部《关于印发环境标志产品政府采购品目清单的通知》（财库[2019]18 号文）；</w:t>
            </w:r>
          </w:p>
          <w:p>
            <w:pPr>
              <w:spacing w:line="400" w:lineRule="exact"/>
              <w:rPr>
                <w:rFonts w:ascii="宋体" w:eastAsia="宋体" w:cs="宋体" w:hint="eastAsia"/>
                <w:sz w:val="24"/>
                <w:szCs w:val="24"/>
              </w:rPr>
            </w:pPr>
            <w:r>
              <w:rPr>
                <w:rFonts w:ascii="宋体" w:eastAsia="宋体" w:cs="宋体" w:hint="eastAsia"/>
                <w:sz w:val="24"/>
                <w:szCs w:val="24"/>
              </w:rPr>
              <w:t>（3）财政部、发展改革委《关于印发节能产品政府采购品目清单的通知》（财库[2019]19 号文）；</w:t>
            </w:r>
          </w:p>
          <w:p>
            <w:pPr>
              <w:spacing w:line="400" w:lineRule="exact"/>
              <w:rPr>
                <w:rFonts w:ascii="宋体" w:eastAsia="宋体" w:cs="宋体" w:hint="eastAsia"/>
                <w:sz w:val="24"/>
                <w:szCs w:val="24"/>
              </w:rPr>
            </w:pPr>
            <w:r>
              <w:rPr>
                <w:rFonts w:ascii="宋体" w:eastAsia="宋体" w:cs="宋体" w:hint="eastAsia"/>
                <w:sz w:val="24"/>
                <w:szCs w:val="24"/>
              </w:rPr>
              <w:t>（4）市场监管总局《市场监管总局关于发布参与实施政府采购节能产品、环境标志产品认证机构名录的公告》（2019 年第 16 号）；</w:t>
            </w:r>
          </w:p>
          <w:p>
            <w:pPr>
              <w:spacing w:line="400" w:lineRule="exact"/>
              <w:rPr>
                <w:rFonts w:ascii="宋体" w:eastAsia="宋体" w:cs="宋体" w:hint="eastAsia"/>
                <w:sz w:val="24"/>
                <w:szCs w:val="24"/>
              </w:rPr>
            </w:pPr>
            <w:r>
              <w:rPr>
                <w:rFonts w:ascii="宋体" w:eastAsia="宋体" w:cs="宋体" w:hint="eastAsia"/>
                <w:sz w:val="24"/>
                <w:szCs w:val="24"/>
              </w:rPr>
              <w:t>（5）关于印发《政府采购促进中小企业发展管理办法》（财库〔2020〕46号）；</w:t>
            </w:r>
          </w:p>
          <w:p>
            <w:pPr>
              <w:spacing w:line="400" w:lineRule="exact"/>
              <w:rPr>
                <w:rFonts w:ascii="宋体" w:eastAsia="宋体" w:cs="宋体" w:hint="eastAsia"/>
                <w:sz w:val="24"/>
                <w:szCs w:val="24"/>
              </w:rPr>
            </w:pPr>
            <w:r>
              <w:rPr>
                <w:rFonts w:ascii="宋体" w:eastAsia="宋体" w:cs="宋体" w:hint="eastAsia"/>
                <w:sz w:val="24"/>
                <w:szCs w:val="24"/>
              </w:rPr>
              <w:t>（6）财政部、民政部、中国残疾人联合会《关于促进残疾人就业政府采购政策的通知》（财库[2017]141 号）；</w:t>
            </w:r>
          </w:p>
        </w:tc>
      </w:tr>
      <w:tr>
        <w:trPr>
          <w:trHeight w:val="90"/>
        </w:trPr>
        <w:tc>
          <w:tcPr>
            <w:tcW w:w="687" w:type="dxa"/>
            <w:tcBorders>
              <w:top w:val="single" w:sz="6" w:space="0" w:color="auto"/>
              <w:left w:val="single" w:sz="6" w:space="0" w:color="auto"/>
              <w:bottom w:val="single" w:sz="12" w:space="0" w:color="auto"/>
              <w:right w:val="single" w:sz="6" w:space="0" w:color="auto"/>
            </w:tcBorders>
            <w:noWrap/>
            <w:vAlign w:val="center"/>
          </w:tcPr>
          <w:p>
            <w:pPr>
              <w:spacing w:line="400" w:lineRule="exact"/>
              <w:jc w:val="center"/>
              <w:rPr>
                <w:rFonts w:ascii="宋体" w:eastAsia="宋体" w:cs="宋体" w:hint="eastAsia"/>
                <w:sz w:val="24"/>
                <w:szCs w:val="24"/>
              </w:rPr>
            </w:pPr>
            <w:r>
              <w:rPr>
                <w:rFonts w:ascii="宋体" w:eastAsia="宋体" w:cs="宋体" w:hint="eastAsia"/>
                <w:sz w:val="24"/>
                <w:szCs w:val="24"/>
              </w:rPr>
              <w:t>3</w:t>
            </w:r>
          </w:p>
        </w:tc>
        <w:tc>
          <w:tcPr>
            <w:tcW w:w="9070" w:type="dxa"/>
            <w:tcBorders>
              <w:top w:val="single" w:sz="6" w:space="0" w:color="auto"/>
              <w:left w:val="single" w:sz="6" w:space="0" w:color="auto"/>
              <w:bottom w:val="single" w:sz="12" w:space="0" w:color="auto"/>
              <w:right w:val="single" w:sz="6" w:space="0" w:color="auto"/>
            </w:tcBorders>
            <w:noWrap/>
            <w:vAlign w:val="center"/>
          </w:tcPr>
          <w:p>
            <w:pPr>
              <w:spacing w:line="400" w:lineRule="exact"/>
              <w:rPr>
                <w:rFonts w:ascii="宋体" w:eastAsia="宋体" w:cs="宋体" w:hint="eastAsia"/>
                <w:sz w:val="24"/>
                <w:szCs w:val="24"/>
              </w:rPr>
            </w:pPr>
            <w:r>
              <w:rPr>
                <w:rFonts w:ascii="宋体" w:eastAsia="宋体" w:cs="宋体" w:hint="eastAsia"/>
                <w:sz w:val="24"/>
                <w:szCs w:val="24"/>
              </w:rPr>
              <w:t>本项目的特定资格要求：</w:t>
            </w:r>
          </w:p>
          <w:p>
            <w:pPr>
              <w:numPr>
                <w:ilvl w:val="0"/>
                <w:numId w:val="9"/>
              </w:numPr>
              <w:spacing w:line="440" w:lineRule="exact"/>
              <w:rPr>
                <w:rFonts w:ascii="宋体" w:eastAsia="宋体" w:cs="宋体" w:hint="eastAsia"/>
                <w:sz w:val="24"/>
                <w:szCs w:val="24"/>
              </w:rPr>
            </w:pPr>
            <w:r>
              <w:rPr>
                <w:rFonts w:ascii="宋体" w:eastAsia="宋体" w:cs="宋体" w:hint="eastAsia"/>
                <w:sz w:val="24"/>
                <w:szCs w:val="24"/>
              </w:rPr>
              <w:t>有效的工商营业执照副本原件</w:t>
            </w:r>
          </w:p>
          <w:p>
            <w:pPr>
              <w:numPr>
                <w:ilvl w:val="0"/>
                <w:numId w:val="9"/>
              </w:numPr>
              <w:spacing w:line="440" w:lineRule="exact"/>
              <w:rPr>
                <w:rFonts w:ascii="宋体" w:eastAsia="宋体" w:cs="宋体" w:hint="eastAsia"/>
                <w:sz w:val="24"/>
                <w:szCs w:val="24"/>
              </w:rPr>
            </w:pPr>
            <w:r>
              <w:rPr>
                <w:rFonts w:ascii="宋体" w:eastAsia="宋体" w:cs="宋体" w:hint="eastAsia"/>
                <w:sz w:val="24"/>
                <w:szCs w:val="24"/>
              </w:rPr>
              <w:t>供应商应在“信用中国”网站（www.creditchina.gov.cn）未被列入失信被执行人记录、重大税收违法案件当事人名单且在中国政府采购网（www.ccgp.gov.cn）没有相关主体政府采购严重违法失信行为记录（被禁止在一定期限内参加政府采购活动但期限届满的除外）（查询日期为从招标文件发售之日起至投标截止日前），以网页截图（需显示查询时间）加盖投标人公章为准；  </w:t>
            </w:r>
          </w:p>
          <w:p>
            <w:pPr>
              <w:spacing w:line="440" w:lineRule="exact"/>
              <w:rPr>
                <w:rFonts w:ascii="宋体" w:eastAsia="宋体" w:cs="宋体" w:hint="eastAsia"/>
                <w:sz w:val="24"/>
                <w:szCs w:val="24"/>
              </w:rPr>
            </w:pPr>
            <w:r>
              <w:rPr>
                <w:rFonts w:ascii="宋体" w:eastAsia="宋体" w:cs="宋体" w:hint="eastAsia"/>
                <w:sz w:val="24"/>
                <w:szCs w:val="24"/>
              </w:rPr>
              <w:t>（</w:t>
            </w:r>
            <w:r>
              <w:rPr>
                <w:rFonts w:ascii="宋体" w:cs="宋体" w:hint="eastAsia"/>
                <w:sz w:val="24"/>
                <w:szCs w:val="24"/>
                <w:lang w:val="en-US" w:eastAsia="zh-CN"/>
              </w:rPr>
              <w:t>3</w:t>
            </w:r>
            <w:r>
              <w:rPr>
                <w:rFonts w:ascii="宋体" w:eastAsia="宋体" w:cs="宋体" w:hint="eastAsia"/>
                <w:sz w:val="24"/>
                <w:szCs w:val="24"/>
              </w:rPr>
              <w:t>）单位负责人为同一人或者存在直接控股、管理关系的不同投标人，不得参加同一合同项下的政府采购活动。除单一来源采购项目外，为采购项目提供整体设计、规范编制或者项目管理、监理、检测等服务的投标人，不得再参加该采购项目的其他采购活动。</w:t>
            </w:r>
          </w:p>
        </w:tc>
      </w:tr>
      <w:tr>
        <w:trPr>
          <w:trHeight w:val="833"/>
        </w:trPr>
        <w:tc>
          <w:tcPr>
            <w:tcW w:w="687" w:type="dxa"/>
            <w:tcBorders>
              <w:top w:val="single" w:sz="6" w:space="0" w:color="auto"/>
              <w:left w:val="single" w:sz="6" w:space="0" w:color="auto"/>
              <w:bottom w:val="single" w:sz="12" w:space="0" w:color="auto"/>
              <w:right w:val="single" w:sz="6" w:space="0" w:color="auto"/>
            </w:tcBorders>
            <w:noWrap/>
            <w:vAlign w:val="center"/>
          </w:tcPr>
          <w:p>
            <w:pPr>
              <w:spacing w:line="400" w:lineRule="exact"/>
              <w:rPr>
                <w:rFonts w:ascii="宋体" w:eastAsia="宋体" w:cs="宋体" w:hint="eastAsia"/>
                <w:b/>
                <w:sz w:val="24"/>
                <w:szCs w:val="24"/>
              </w:rPr>
            </w:pPr>
            <w:r>
              <w:rPr>
                <w:rFonts w:ascii="宋体" w:eastAsia="宋体" w:cs="宋体" w:hint="eastAsia"/>
                <w:b/>
                <w:sz w:val="24"/>
                <w:szCs w:val="24"/>
              </w:rPr>
              <w:t>备注</w:t>
            </w:r>
          </w:p>
        </w:tc>
        <w:tc>
          <w:tcPr>
            <w:tcW w:w="9070" w:type="dxa"/>
            <w:tcBorders>
              <w:top w:val="single" w:sz="6" w:space="0" w:color="auto"/>
              <w:left w:val="single" w:sz="6" w:space="0" w:color="auto"/>
              <w:bottom w:val="single" w:sz="12" w:space="0" w:color="auto"/>
              <w:right w:val="single" w:sz="6" w:space="0" w:color="auto"/>
            </w:tcBorders>
            <w:noWrap/>
          </w:tcPr>
          <w:p>
            <w:pPr>
              <w:spacing w:line="400" w:lineRule="exact"/>
              <w:rPr>
                <w:rFonts w:ascii="宋体" w:eastAsia="宋体" w:cs="宋体" w:hint="eastAsia"/>
                <w:b/>
                <w:sz w:val="24"/>
                <w:szCs w:val="24"/>
              </w:rPr>
            </w:pPr>
            <w:r>
              <w:rPr>
                <w:rFonts w:ascii="宋体" w:eastAsia="宋体" w:cs="宋体" w:hint="eastAsia"/>
                <w:b/>
                <w:sz w:val="24"/>
                <w:szCs w:val="24"/>
              </w:rPr>
              <w:t>再次重申：供应商请认真阅读和理解上述内容，避免响应文件中有违背上述审查标准之一的情况发生而成为无效响应。</w:t>
            </w:r>
          </w:p>
        </w:tc>
      </w:tr>
    </w:tbl>
    <w:p>
      <w:pPr>
        <w:rPr>
          <w:rFonts w:ascii="宋体" w:eastAsia="宋体" w:cs="宋体" w:hint="eastAsia"/>
          <w:b/>
          <w:sz w:val="24"/>
          <w:szCs w:val="24"/>
        </w:rPr>
      </w:pPr>
      <w:r>
        <w:rPr>
          <w:rFonts w:ascii="宋体" w:eastAsia="宋体" w:cs="宋体" w:hint="eastAsia"/>
          <w:b/>
          <w:sz w:val="24"/>
          <w:szCs w:val="24"/>
        </w:rPr>
        <w:t>符合性审查：评标委员会依据招标文件，对投标文件的有效性、完整性和对招标文件的响应程度进行审查，以确定投标人是否对招标文件的实质性要求做出响应。</w:t>
      </w:r>
    </w:p>
    <w:p>
      <w:pPr>
        <w:pStyle w:val="37"/>
        <w:autoSpaceDE w:val="0"/>
        <w:autoSpaceDN w:val="0"/>
        <w:adjustRightInd w:val="0"/>
        <w:spacing w:line="460" w:lineRule="exact"/>
        <w:ind w:left="425" w:firstLineChars="0" w:firstLine="0"/>
        <w:rPr>
          <w:rFonts w:ascii="宋体" w:eastAsia="宋体" w:cs="宋体" w:hint="eastAsia"/>
          <w:b/>
          <w:sz w:val="24"/>
          <w:szCs w:val="24"/>
        </w:rPr>
      </w:pPr>
    </w:p>
    <w:p>
      <w:pPr>
        <w:pStyle w:val="37"/>
        <w:autoSpaceDE w:val="0"/>
        <w:autoSpaceDN w:val="0"/>
        <w:adjustRightInd w:val="0"/>
        <w:spacing w:line="460" w:lineRule="exact"/>
        <w:ind w:left="425" w:firstLineChars="0" w:firstLine="0"/>
        <w:rPr>
          <w:rFonts w:ascii="宋体" w:eastAsia="宋体" w:cs="宋体" w:hint="eastAsia"/>
          <w:b/>
          <w:sz w:val="24"/>
          <w:szCs w:val="24"/>
        </w:rPr>
      </w:pPr>
      <w:r>
        <w:rPr>
          <w:rFonts w:ascii="宋体" w:eastAsia="宋体" w:cs="宋体" w:hint="eastAsia"/>
          <w:b/>
          <w:sz w:val="24"/>
          <w:szCs w:val="24"/>
        </w:rPr>
        <w:t>符合性审查</w:t>
      </w:r>
    </w:p>
    <w:tbl>
      <w:tblPr>
        <w:jc w:val="left"/>
        <w:tblInd w:w="0" w:type="dxa"/>
        <w:tblW w:w="975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Pr>
      <w:tblGrid>
        <w:gridCol w:w="687"/>
        <w:gridCol w:w="9070"/>
      </w:tblGrid>
      <w:tr>
        <w:trPr>
          <w:trHeight w:val="1"/>
        </w:trPr>
        <w:tc>
          <w:tcPr>
            <w:tcW w:w="687" w:type="dxa"/>
            <w:tcBorders>
              <w:top w:val="single" w:sz="6" w:space="0" w:color="auto"/>
              <w:left w:val="single" w:sz="6" w:space="0" w:color="auto"/>
              <w:bottom w:val="single" w:sz="12" w:space="0" w:color="auto"/>
              <w:right w:val="single" w:sz="6" w:space="0" w:color="auto"/>
            </w:tcBorders>
            <w:noWrap/>
            <w:vAlign w:val="center"/>
          </w:tcPr>
          <w:p>
            <w:pPr>
              <w:spacing w:line="440" w:lineRule="exact"/>
              <w:jc w:val="center"/>
              <w:rPr>
                <w:rFonts w:ascii="宋体" w:eastAsia="宋体" w:cs="宋体" w:hint="eastAsia"/>
                <w:b/>
                <w:bCs/>
                <w:sz w:val="24"/>
                <w:szCs w:val="24"/>
              </w:rPr>
            </w:pPr>
            <w:r>
              <w:rPr>
                <w:rFonts w:ascii="宋体" w:eastAsia="宋体" w:cs="宋体" w:hint="eastAsia"/>
                <w:b/>
                <w:bCs/>
                <w:sz w:val="24"/>
                <w:szCs w:val="24"/>
              </w:rPr>
              <w:t>序号</w:t>
            </w:r>
          </w:p>
        </w:tc>
        <w:tc>
          <w:tcPr>
            <w:tcW w:w="9070" w:type="dxa"/>
            <w:tcBorders>
              <w:top w:val="single" w:sz="6" w:space="0" w:color="auto"/>
              <w:left w:val="single" w:sz="6" w:space="0" w:color="auto"/>
              <w:bottom w:val="single" w:sz="12" w:space="0" w:color="auto"/>
              <w:right w:val="single" w:sz="6" w:space="0" w:color="auto"/>
            </w:tcBorders>
            <w:noWrap/>
            <w:vAlign w:val="center"/>
          </w:tcPr>
          <w:p>
            <w:pPr>
              <w:spacing w:line="440" w:lineRule="exact"/>
              <w:jc w:val="center"/>
              <w:rPr>
                <w:rFonts w:ascii="宋体" w:eastAsia="宋体" w:cs="宋体" w:hint="eastAsia"/>
                <w:b/>
                <w:bCs/>
                <w:sz w:val="24"/>
                <w:szCs w:val="24"/>
              </w:rPr>
            </w:pPr>
            <w:r>
              <w:rPr>
                <w:rFonts w:ascii="宋体" w:eastAsia="宋体" w:cs="宋体" w:hint="eastAsia"/>
                <w:b/>
                <w:bCs/>
                <w:sz w:val="24"/>
                <w:szCs w:val="24"/>
              </w:rPr>
              <w:t>评审标准</w:t>
            </w:r>
          </w:p>
        </w:tc>
      </w:tr>
      <w:tr>
        <w:trPr>
          <w:trHeight w:val="2"/>
        </w:trPr>
        <w:tc>
          <w:tcPr>
            <w:tcW w:w="687" w:type="dxa"/>
            <w:tcBorders>
              <w:top w:val="single" w:sz="6" w:space="0" w:color="auto"/>
              <w:left w:val="single" w:sz="6" w:space="0" w:color="auto"/>
              <w:bottom w:val="single" w:sz="12" w:space="0" w:color="auto"/>
              <w:right w:val="single" w:sz="6" w:space="0" w:color="auto"/>
            </w:tcBorders>
            <w:noWrap/>
            <w:vAlign w:val="center"/>
          </w:tcPr>
          <w:p>
            <w:pPr>
              <w:spacing w:line="440" w:lineRule="exact"/>
              <w:jc w:val="center"/>
              <w:rPr>
                <w:rFonts w:ascii="宋体" w:eastAsia="宋体" w:cs="宋体" w:hint="eastAsia"/>
                <w:sz w:val="24"/>
                <w:szCs w:val="24"/>
              </w:rPr>
            </w:pPr>
            <w:r>
              <w:rPr>
                <w:rFonts w:ascii="宋体" w:eastAsia="宋体" w:cs="宋体" w:hint="eastAsia"/>
                <w:sz w:val="24"/>
                <w:szCs w:val="24"/>
              </w:rPr>
              <w:t>1</w:t>
            </w:r>
          </w:p>
        </w:tc>
        <w:tc>
          <w:tcPr>
            <w:tcW w:w="9070" w:type="dxa"/>
            <w:tcBorders>
              <w:top w:val="single" w:sz="6" w:space="0" w:color="auto"/>
              <w:left w:val="single" w:sz="6" w:space="0" w:color="auto"/>
              <w:bottom w:val="single" w:sz="12" w:space="0" w:color="auto"/>
              <w:right w:val="single" w:sz="6" w:space="0" w:color="auto"/>
            </w:tcBorders>
            <w:noWrap/>
            <w:vAlign w:val="center"/>
          </w:tcPr>
          <w:p>
            <w:pPr>
              <w:spacing w:line="440" w:lineRule="exact"/>
              <w:rPr>
                <w:rFonts w:ascii="宋体" w:eastAsia="宋体" w:cs="宋体" w:hint="eastAsia"/>
                <w:sz w:val="24"/>
                <w:szCs w:val="24"/>
              </w:rPr>
            </w:pPr>
            <w:r>
              <w:rPr>
                <w:rFonts w:ascii="宋体" w:eastAsia="宋体" w:cs="宋体" w:hint="eastAsia"/>
                <w:sz w:val="24"/>
                <w:szCs w:val="24"/>
              </w:rPr>
              <w:t>投标文件是否按招标文件的要求加盖供应商单位公章、法定代表人或其委托代理人签字或盖章；</w:t>
            </w:r>
          </w:p>
        </w:tc>
      </w:tr>
      <w:tr>
        <w:trPr>
          <w:trHeight w:val="415"/>
        </w:trPr>
        <w:tc>
          <w:tcPr>
            <w:tcW w:w="687" w:type="dxa"/>
            <w:tcBorders>
              <w:top w:val="single" w:sz="6" w:space="0" w:color="auto"/>
              <w:left w:val="single" w:sz="6" w:space="0" w:color="auto"/>
              <w:bottom w:val="single" w:sz="12" w:space="0" w:color="auto"/>
              <w:right w:val="single" w:sz="6" w:space="0" w:color="auto"/>
            </w:tcBorders>
            <w:noWrap/>
            <w:vAlign w:val="center"/>
          </w:tcPr>
          <w:p>
            <w:pPr>
              <w:spacing w:line="440" w:lineRule="exact"/>
              <w:jc w:val="center"/>
              <w:rPr>
                <w:rFonts w:ascii="宋体" w:eastAsia="宋体" w:cs="宋体" w:hint="eastAsia"/>
                <w:sz w:val="24"/>
                <w:szCs w:val="24"/>
              </w:rPr>
            </w:pPr>
            <w:r>
              <w:rPr>
                <w:rFonts w:ascii="宋体" w:eastAsia="宋体" w:cs="宋体" w:hint="eastAsia"/>
                <w:sz w:val="24"/>
                <w:szCs w:val="24"/>
              </w:rPr>
              <w:t>2</w:t>
            </w:r>
          </w:p>
        </w:tc>
        <w:tc>
          <w:tcPr>
            <w:tcW w:w="9070" w:type="dxa"/>
            <w:tcBorders>
              <w:top w:val="single" w:sz="6" w:space="0" w:color="auto"/>
              <w:left w:val="single" w:sz="6" w:space="0" w:color="auto"/>
              <w:bottom w:val="single" w:sz="12" w:space="0" w:color="auto"/>
              <w:right w:val="single" w:sz="6" w:space="0" w:color="auto"/>
            </w:tcBorders>
            <w:noWrap/>
            <w:vAlign w:val="center"/>
          </w:tcPr>
          <w:p>
            <w:pPr>
              <w:spacing w:line="440" w:lineRule="exact"/>
              <w:rPr>
                <w:rFonts w:ascii="宋体" w:eastAsia="宋体" w:cs="宋体" w:hint="eastAsia"/>
                <w:sz w:val="24"/>
                <w:szCs w:val="24"/>
              </w:rPr>
            </w:pPr>
            <w:r>
              <w:rPr>
                <w:rFonts w:ascii="宋体" w:eastAsia="宋体" w:cs="宋体" w:hint="eastAsia"/>
                <w:sz w:val="24"/>
                <w:szCs w:val="24"/>
              </w:rPr>
              <w:t>供应商是否对同一采购项目做出两个以上报价而未明确效力；</w:t>
            </w:r>
          </w:p>
        </w:tc>
      </w:tr>
      <w:tr>
        <w:trPr>
          <w:trHeight w:val="1"/>
        </w:trPr>
        <w:tc>
          <w:tcPr>
            <w:tcW w:w="687" w:type="dxa"/>
            <w:tcBorders>
              <w:top w:val="single" w:sz="6" w:space="0" w:color="auto"/>
              <w:left w:val="single" w:sz="6" w:space="0" w:color="auto"/>
              <w:bottom w:val="single" w:sz="12" w:space="0" w:color="auto"/>
              <w:right w:val="single" w:sz="6" w:space="0" w:color="auto"/>
            </w:tcBorders>
            <w:noWrap/>
            <w:vAlign w:val="center"/>
          </w:tcPr>
          <w:p>
            <w:pPr>
              <w:spacing w:line="440" w:lineRule="exact"/>
              <w:jc w:val="center"/>
              <w:rPr>
                <w:rFonts w:ascii="宋体" w:eastAsia="宋体" w:cs="宋体" w:hint="eastAsia"/>
                <w:sz w:val="24"/>
                <w:szCs w:val="24"/>
              </w:rPr>
            </w:pPr>
            <w:r>
              <w:rPr>
                <w:rFonts w:ascii="宋体" w:eastAsia="宋体" w:cs="宋体" w:hint="eastAsia"/>
                <w:sz w:val="24"/>
                <w:szCs w:val="24"/>
              </w:rPr>
              <w:t>3</w:t>
            </w:r>
          </w:p>
        </w:tc>
        <w:tc>
          <w:tcPr>
            <w:tcW w:w="9070" w:type="dxa"/>
            <w:tcBorders>
              <w:top w:val="single" w:sz="6" w:space="0" w:color="auto"/>
              <w:left w:val="single" w:sz="6" w:space="0" w:color="auto"/>
              <w:bottom w:val="single" w:sz="12" w:space="0" w:color="auto"/>
              <w:right w:val="single" w:sz="6" w:space="0" w:color="auto"/>
            </w:tcBorders>
            <w:noWrap/>
            <w:vAlign w:val="center"/>
          </w:tcPr>
          <w:p>
            <w:pPr>
              <w:spacing w:line="440" w:lineRule="exact"/>
              <w:rPr>
                <w:rFonts w:ascii="宋体" w:eastAsia="宋体" w:cs="宋体" w:hint="eastAsia"/>
                <w:sz w:val="24"/>
                <w:szCs w:val="24"/>
              </w:rPr>
            </w:pPr>
            <w:r>
              <w:rPr>
                <w:rFonts w:ascii="宋体" w:eastAsia="宋体" w:cs="宋体" w:hint="eastAsia"/>
                <w:sz w:val="24"/>
                <w:szCs w:val="24"/>
              </w:rPr>
              <w:t>合同履约期限是否符合招标文件要求；</w:t>
            </w:r>
          </w:p>
        </w:tc>
      </w:tr>
      <w:tr>
        <w:trPr>
          <w:trHeight w:val="1"/>
        </w:trPr>
        <w:tc>
          <w:tcPr>
            <w:tcW w:w="687" w:type="dxa"/>
            <w:tcBorders>
              <w:top w:val="single" w:sz="6" w:space="0" w:color="auto"/>
              <w:left w:val="single" w:sz="6" w:space="0" w:color="auto"/>
              <w:bottom w:val="single" w:sz="12" w:space="0" w:color="auto"/>
              <w:right w:val="single" w:sz="6" w:space="0" w:color="auto"/>
            </w:tcBorders>
            <w:noWrap/>
            <w:vAlign w:val="center"/>
          </w:tcPr>
          <w:p>
            <w:pPr>
              <w:spacing w:line="440" w:lineRule="exact"/>
              <w:jc w:val="center"/>
              <w:rPr>
                <w:rFonts w:ascii="宋体" w:eastAsia="宋体" w:cs="宋体" w:hint="eastAsia"/>
                <w:sz w:val="24"/>
                <w:szCs w:val="24"/>
              </w:rPr>
            </w:pPr>
            <w:r>
              <w:rPr>
                <w:rFonts w:ascii="宋体" w:eastAsia="宋体" w:cs="宋体" w:hint="eastAsia"/>
                <w:sz w:val="24"/>
                <w:szCs w:val="24"/>
              </w:rPr>
              <w:t>4</w:t>
            </w:r>
          </w:p>
        </w:tc>
        <w:tc>
          <w:tcPr>
            <w:tcW w:w="9070" w:type="dxa"/>
            <w:tcBorders>
              <w:top w:val="single" w:sz="6" w:space="0" w:color="auto"/>
              <w:left w:val="single" w:sz="6" w:space="0" w:color="auto"/>
              <w:bottom w:val="single" w:sz="12" w:space="0" w:color="auto"/>
              <w:right w:val="single" w:sz="6" w:space="0" w:color="auto"/>
            </w:tcBorders>
            <w:noWrap/>
            <w:vAlign w:val="center"/>
          </w:tcPr>
          <w:p>
            <w:pPr>
              <w:spacing w:line="440" w:lineRule="exact"/>
              <w:rPr>
                <w:rFonts w:ascii="宋体" w:eastAsia="宋体" w:cs="宋体" w:hint="eastAsia"/>
                <w:sz w:val="24"/>
                <w:szCs w:val="24"/>
              </w:rPr>
            </w:pPr>
            <w:r>
              <w:rPr>
                <w:rFonts w:ascii="宋体" w:eastAsia="宋体" w:cs="宋体" w:hint="eastAsia"/>
                <w:sz w:val="24"/>
                <w:szCs w:val="24"/>
              </w:rPr>
              <w:t>投标文件的投标报价不得高于最高限价；</w:t>
            </w:r>
          </w:p>
        </w:tc>
      </w:tr>
      <w:tr>
        <w:trPr>
          <w:trHeight w:val="1"/>
        </w:trPr>
        <w:tc>
          <w:tcPr>
            <w:tcW w:w="687" w:type="dxa"/>
            <w:tcBorders>
              <w:top w:val="single" w:sz="6" w:space="0" w:color="auto"/>
              <w:left w:val="single" w:sz="6" w:space="0" w:color="auto"/>
              <w:bottom w:val="single" w:sz="12" w:space="0" w:color="auto"/>
              <w:right w:val="single" w:sz="6" w:space="0" w:color="auto"/>
            </w:tcBorders>
            <w:noWrap/>
            <w:vAlign w:val="center"/>
          </w:tcPr>
          <w:p>
            <w:pPr>
              <w:spacing w:line="440" w:lineRule="exact"/>
              <w:jc w:val="center"/>
              <w:rPr>
                <w:rFonts w:ascii="宋体" w:eastAsia="宋体" w:cs="宋体" w:hint="eastAsia"/>
                <w:sz w:val="24"/>
                <w:szCs w:val="24"/>
              </w:rPr>
            </w:pPr>
            <w:r>
              <w:rPr>
                <w:rFonts w:ascii="宋体" w:eastAsia="宋体" w:cs="宋体" w:hint="eastAsia"/>
                <w:sz w:val="24"/>
                <w:szCs w:val="24"/>
              </w:rPr>
              <w:t>5</w:t>
            </w:r>
          </w:p>
        </w:tc>
        <w:tc>
          <w:tcPr>
            <w:tcW w:w="9070" w:type="dxa"/>
            <w:tcBorders>
              <w:top w:val="single" w:sz="6" w:space="0" w:color="auto"/>
              <w:left w:val="single" w:sz="6" w:space="0" w:color="auto"/>
              <w:bottom w:val="single" w:sz="12" w:space="0" w:color="auto"/>
              <w:right w:val="single" w:sz="6" w:space="0" w:color="auto"/>
            </w:tcBorders>
            <w:noWrap/>
            <w:vAlign w:val="center"/>
          </w:tcPr>
          <w:p>
            <w:pPr>
              <w:spacing w:line="440" w:lineRule="exact"/>
              <w:rPr>
                <w:rFonts w:ascii="宋体" w:eastAsia="宋体" w:cs="宋体" w:hint="eastAsia"/>
                <w:sz w:val="24"/>
                <w:szCs w:val="24"/>
              </w:rPr>
            </w:pPr>
            <w:r>
              <w:rPr>
                <w:rFonts w:ascii="宋体" w:eastAsia="宋体" w:cs="宋体" w:hint="eastAsia"/>
                <w:sz w:val="24"/>
                <w:szCs w:val="24"/>
              </w:rPr>
              <w:t>供应商是否按招标文件要求投标保证金；</w:t>
            </w:r>
          </w:p>
        </w:tc>
      </w:tr>
      <w:tr>
        <w:trPr>
          <w:trHeight w:val="1"/>
        </w:trPr>
        <w:tc>
          <w:tcPr>
            <w:tcW w:w="687" w:type="dxa"/>
            <w:tcBorders>
              <w:top w:val="single" w:sz="6" w:space="0" w:color="auto"/>
              <w:left w:val="single" w:sz="6" w:space="0" w:color="auto"/>
              <w:bottom w:val="single" w:sz="12" w:space="0" w:color="auto"/>
              <w:right w:val="single" w:sz="6" w:space="0" w:color="auto"/>
            </w:tcBorders>
            <w:noWrap/>
            <w:vAlign w:val="center"/>
          </w:tcPr>
          <w:p>
            <w:pPr>
              <w:spacing w:line="440" w:lineRule="exact"/>
              <w:jc w:val="center"/>
              <w:rPr>
                <w:rFonts w:ascii="宋体" w:eastAsia="宋体" w:cs="宋体" w:hint="eastAsia"/>
                <w:sz w:val="24"/>
                <w:szCs w:val="24"/>
              </w:rPr>
            </w:pPr>
            <w:r>
              <w:rPr>
                <w:rFonts w:ascii="宋体" w:eastAsia="宋体" w:cs="宋体" w:hint="eastAsia"/>
                <w:sz w:val="24"/>
                <w:szCs w:val="24"/>
              </w:rPr>
              <w:t>6</w:t>
            </w:r>
          </w:p>
        </w:tc>
        <w:tc>
          <w:tcPr>
            <w:tcW w:w="9070" w:type="dxa"/>
            <w:tcBorders>
              <w:top w:val="single" w:sz="6" w:space="0" w:color="auto"/>
              <w:left w:val="single" w:sz="6" w:space="0" w:color="auto"/>
              <w:bottom w:val="single" w:sz="12" w:space="0" w:color="auto"/>
              <w:right w:val="single" w:sz="6" w:space="0" w:color="auto"/>
            </w:tcBorders>
            <w:noWrap/>
            <w:vAlign w:val="center"/>
          </w:tcPr>
          <w:p>
            <w:pPr>
              <w:spacing w:line="440" w:lineRule="exact"/>
              <w:rPr>
                <w:rFonts w:ascii="宋体" w:eastAsia="宋体" w:cs="宋体" w:hint="eastAsia"/>
                <w:sz w:val="24"/>
                <w:szCs w:val="24"/>
              </w:rPr>
            </w:pPr>
            <w:r>
              <w:rPr>
                <w:rFonts w:ascii="宋体" w:eastAsia="宋体" w:cs="宋体" w:hint="eastAsia"/>
                <w:sz w:val="24"/>
                <w:szCs w:val="24"/>
              </w:rPr>
              <w:t>投标文件与事实不符或提供虚假或失实资料的；</w:t>
            </w:r>
          </w:p>
        </w:tc>
      </w:tr>
      <w:tr>
        <w:trPr>
          <w:trHeight w:val="1"/>
        </w:trPr>
        <w:tc>
          <w:tcPr>
            <w:tcW w:w="687" w:type="dxa"/>
            <w:tcBorders>
              <w:top w:val="single" w:sz="6" w:space="0" w:color="auto"/>
              <w:left w:val="single" w:sz="6" w:space="0" w:color="auto"/>
              <w:bottom w:val="single" w:sz="12" w:space="0" w:color="auto"/>
              <w:right w:val="single" w:sz="6" w:space="0" w:color="auto"/>
            </w:tcBorders>
            <w:noWrap/>
            <w:vAlign w:val="center"/>
          </w:tcPr>
          <w:p>
            <w:pPr>
              <w:spacing w:line="440" w:lineRule="exact"/>
              <w:jc w:val="center"/>
              <w:rPr>
                <w:rFonts w:ascii="宋体" w:eastAsia="宋体" w:cs="宋体" w:hint="eastAsia"/>
                <w:sz w:val="24"/>
                <w:szCs w:val="24"/>
              </w:rPr>
            </w:pPr>
            <w:r>
              <w:rPr>
                <w:rFonts w:ascii="宋体" w:eastAsia="宋体" w:cs="宋体" w:hint="eastAsia"/>
                <w:sz w:val="24"/>
                <w:szCs w:val="24"/>
              </w:rPr>
              <w:t>7</w:t>
            </w:r>
          </w:p>
        </w:tc>
        <w:tc>
          <w:tcPr>
            <w:tcW w:w="9070" w:type="dxa"/>
            <w:tcBorders>
              <w:top w:val="single" w:sz="6" w:space="0" w:color="auto"/>
              <w:left w:val="single" w:sz="6" w:space="0" w:color="auto"/>
              <w:bottom w:val="single" w:sz="12" w:space="0" w:color="auto"/>
              <w:right w:val="single" w:sz="6" w:space="0" w:color="auto"/>
            </w:tcBorders>
            <w:noWrap/>
            <w:vAlign w:val="center"/>
          </w:tcPr>
          <w:p>
            <w:pPr>
              <w:spacing w:line="440" w:lineRule="exact"/>
              <w:rPr>
                <w:rFonts w:ascii="宋体" w:eastAsia="宋体" w:cs="宋体" w:hint="eastAsia"/>
                <w:sz w:val="24"/>
                <w:szCs w:val="24"/>
              </w:rPr>
            </w:pPr>
            <w:r>
              <w:rPr>
                <w:rFonts w:ascii="宋体" w:eastAsia="宋体" w:cs="宋体" w:hint="eastAsia"/>
                <w:sz w:val="24"/>
                <w:szCs w:val="24"/>
              </w:rPr>
              <w:t>不符合法律、法规和招标文件中规定的其他要求，以及其他评委小组认为不能实质上满足招标文件要求的。</w:t>
            </w:r>
          </w:p>
        </w:tc>
      </w:tr>
      <w:tr>
        <w:trPr>
          <w:trHeight w:val="1"/>
        </w:trPr>
        <w:tc>
          <w:tcPr>
            <w:tcW w:w="687" w:type="dxa"/>
            <w:tcBorders>
              <w:top w:val="single" w:sz="6" w:space="0" w:color="auto"/>
              <w:left w:val="single" w:sz="6" w:space="0" w:color="auto"/>
              <w:bottom w:val="single" w:sz="12" w:space="0" w:color="auto"/>
              <w:right w:val="single" w:sz="6" w:space="0" w:color="auto"/>
            </w:tcBorders>
            <w:noWrap/>
            <w:vAlign w:val="center"/>
          </w:tcPr>
          <w:p>
            <w:pPr>
              <w:spacing w:line="440" w:lineRule="exact"/>
              <w:jc w:val="center"/>
              <w:rPr>
                <w:rFonts w:ascii="宋体" w:eastAsia="宋体" w:cs="宋体" w:hint="eastAsia"/>
                <w:b/>
                <w:sz w:val="24"/>
                <w:szCs w:val="24"/>
                <w:lang w:val="zh-CN"/>
              </w:rPr>
            </w:pPr>
            <w:r>
              <w:rPr>
                <w:rFonts w:ascii="宋体" w:eastAsia="宋体" w:cs="宋体" w:hint="eastAsia"/>
                <w:b/>
                <w:sz w:val="24"/>
                <w:szCs w:val="24"/>
              </w:rPr>
              <w:t>备注</w:t>
            </w:r>
          </w:p>
        </w:tc>
        <w:tc>
          <w:tcPr>
            <w:tcW w:w="9070" w:type="dxa"/>
            <w:tcBorders>
              <w:top w:val="single" w:sz="6" w:space="0" w:color="auto"/>
              <w:left w:val="single" w:sz="6" w:space="0" w:color="auto"/>
              <w:bottom w:val="single" w:sz="12" w:space="0" w:color="auto"/>
              <w:right w:val="single" w:sz="6" w:space="0" w:color="auto"/>
            </w:tcBorders>
            <w:noWrap/>
            <w:vAlign w:val="center"/>
          </w:tcPr>
          <w:p>
            <w:pPr>
              <w:spacing w:line="440" w:lineRule="exact"/>
              <w:rPr>
                <w:rFonts w:ascii="宋体" w:eastAsia="宋体" w:cs="宋体" w:hint="eastAsia"/>
                <w:b/>
                <w:sz w:val="24"/>
                <w:szCs w:val="24"/>
              </w:rPr>
            </w:pPr>
            <w:r>
              <w:rPr>
                <w:rFonts w:ascii="宋体" w:eastAsia="宋体" w:cs="宋体" w:hint="eastAsia"/>
                <w:b/>
                <w:sz w:val="24"/>
                <w:szCs w:val="24"/>
              </w:rPr>
              <w:t>响应文件有上述符合性评审之一的，为未能对招标文件做出实质性响应，作废标处理，不再进入以后的评标程序。</w:t>
            </w:r>
          </w:p>
        </w:tc>
      </w:tr>
    </w:tbl>
    <w:p>
      <w:pPr>
        <w:ind w:left="283"/>
        <w:rPr>
          <w:rFonts w:ascii="宋体" w:eastAsia="宋体" w:cs="宋体" w:hint="eastAsia"/>
          <w:b/>
          <w:sz w:val="24"/>
          <w:szCs w:val="24"/>
        </w:rPr>
      </w:pPr>
      <w:r>
        <w:rPr>
          <w:rFonts w:ascii="宋体" w:eastAsia="宋体" w:cs="宋体" w:hint="eastAsia"/>
          <w:b/>
          <w:sz w:val="24"/>
          <w:szCs w:val="24"/>
        </w:rPr>
        <w:t>7.计算错误将按以下方法更正</w:t>
      </w:r>
    </w:p>
    <w:p>
      <w:pPr>
        <w:pStyle w:val="37"/>
        <w:autoSpaceDE w:val="0"/>
        <w:autoSpaceDN w:val="0"/>
        <w:adjustRightInd w:val="0"/>
        <w:spacing w:line="460" w:lineRule="exact"/>
        <w:ind w:left="425" w:firstLineChars="0" w:firstLine="0"/>
        <w:jc w:val="left"/>
        <w:rPr>
          <w:rFonts w:ascii="宋体" w:eastAsia="宋体" w:cs="宋体" w:hint="eastAsia"/>
          <w:sz w:val="24"/>
          <w:szCs w:val="24"/>
        </w:rPr>
      </w:pPr>
      <w:r>
        <w:rPr>
          <w:rFonts w:ascii="宋体" w:eastAsia="宋体" w:cs="宋体" w:hint="eastAsia"/>
          <w:sz w:val="24"/>
          <w:szCs w:val="24"/>
        </w:rPr>
        <w:t>71投标报价有算术错误的，评标委员会按以下原则对投标报价进行修正，修正的价格经投标人书面确认后具有约束力。投标人不接受修正价格的，其投标将被否决。</w:t>
      </w:r>
    </w:p>
    <w:p>
      <w:pPr>
        <w:pStyle w:val="37"/>
        <w:autoSpaceDE w:val="0"/>
        <w:autoSpaceDN w:val="0"/>
        <w:adjustRightInd w:val="0"/>
        <w:spacing w:line="460" w:lineRule="exact"/>
        <w:ind w:left="425" w:firstLineChars="0" w:firstLine="0"/>
        <w:jc w:val="left"/>
        <w:rPr>
          <w:rFonts w:ascii="宋体" w:eastAsia="宋体" w:cs="宋体" w:hint="eastAsia"/>
          <w:sz w:val="24"/>
          <w:szCs w:val="24"/>
        </w:rPr>
      </w:pPr>
      <w:r>
        <w:rPr>
          <w:rFonts w:ascii="宋体" w:eastAsia="宋体" w:cs="宋体" w:hint="eastAsia"/>
          <w:sz w:val="24"/>
          <w:szCs w:val="24"/>
        </w:rPr>
        <w:t>7.2投标文件中“报价一览表”内容与投标文件中相应内容不一致的，以“报价一览表”为准；</w:t>
      </w:r>
    </w:p>
    <w:p>
      <w:pPr>
        <w:pStyle w:val="37"/>
        <w:autoSpaceDE w:val="0"/>
        <w:autoSpaceDN w:val="0"/>
        <w:adjustRightInd w:val="0"/>
        <w:spacing w:line="460" w:lineRule="exact"/>
        <w:ind w:left="425" w:firstLineChars="0" w:firstLine="0"/>
        <w:jc w:val="left"/>
        <w:rPr>
          <w:rFonts w:ascii="宋体" w:eastAsia="宋体" w:cs="宋体" w:hint="eastAsia"/>
          <w:sz w:val="24"/>
          <w:szCs w:val="24"/>
        </w:rPr>
      </w:pPr>
      <w:r>
        <w:rPr>
          <w:rFonts w:ascii="宋体" w:eastAsia="宋体" w:cs="宋体" w:hint="eastAsia"/>
          <w:sz w:val="24"/>
          <w:szCs w:val="24"/>
        </w:rPr>
        <w:t>7.3大写金额和小写金额不一致的，以大写金额为准；</w:t>
      </w:r>
    </w:p>
    <w:p>
      <w:pPr>
        <w:pStyle w:val="37"/>
        <w:autoSpaceDE w:val="0"/>
        <w:autoSpaceDN w:val="0"/>
        <w:adjustRightInd w:val="0"/>
        <w:spacing w:line="460" w:lineRule="exact"/>
        <w:ind w:left="425" w:firstLineChars="0" w:firstLine="0"/>
        <w:jc w:val="left"/>
        <w:rPr>
          <w:rFonts w:ascii="宋体" w:eastAsia="宋体" w:cs="宋体" w:hint="eastAsia"/>
          <w:sz w:val="24"/>
          <w:szCs w:val="24"/>
        </w:rPr>
      </w:pPr>
      <w:r>
        <w:rPr>
          <w:rFonts w:ascii="宋体" w:eastAsia="宋体" w:cs="宋体" w:hint="eastAsia"/>
          <w:sz w:val="24"/>
          <w:szCs w:val="24"/>
        </w:rPr>
        <w:t>7.4单价金额小数点或者百分比有明显错位的，以“响应报价一览表”的总价为准，并修改单价；</w:t>
      </w:r>
    </w:p>
    <w:p>
      <w:pPr>
        <w:pStyle w:val="37"/>
        <w:autoSpaceDE w:val="0"/>
        <w:autoSpaceDN w:val="0"/>
        <w:adjustRightInd w:val="0"/>
        <w:spacing w:line="460" w:lineRule="exact"/>
        <w:ind w:left="425" w:firstLineChars="0" w:firstLine="0"/>
        <w:jc w:val="left"/>
        <w:rPr>
          <w:rFonts w:ascii="宋体" w:eastAsia="宋体" w:cs="宋体" w:hint="eastAsia"/>
          <w:sz w:val="24"/>
          <w:szCs w:val="24"/>
        </w:rPr>
      </w:pPr>
      <w:r>
        <w:rPr>
          <w:rFonts w:ascii="宋体" w:eastAsia="宋体" w:cs="宋体" w:hint="eastAsia"/>
          <w:sz w:val="24"/>
          <w:szCs w:val="24"/>
        </w:rPr>
        <w:t>7.5总价金额与按单价汇总金额不一致的，以单价金额计算结果为准。</w:t>
      </w:r>
    </w:p>
    <w:p>
      <w:pPr>
        <w:pStyle w:val="37"/>
        <w:autoSpaceDE w:val="0"/>
        <w:autoSpaceDN w:val="0"/>
        <w:adjustRightInd w:val="0"/>
        <w:spacing w:line="460" w:lineRule="exact"/>
        <w:ind w:left="425" w:firstLineChars="0" w:firstLine="0"/>
        <w:jc w:val="left"/>
        <w:rPr>
          <w:rFonts w:ascii="宋体" w:eastAsia="宋体" w:cs="宋体" w:hint="eastAsia"/>
          <w:sz w:val="24"/>
          <w:szCs w:val="24"/>
        </w:rPr>
      </w:pPr>
      <w:r>
        <w:rPr>
          <w:rFonts w:ascii="宋体" w:eastAsia="宋体" w:cs="宋体" w:hint="eastAsia"/>
          <w:sz w:val="24"/>
          <w:szCs w:val="24"/>
        </w:rPr>
        <w:t>7.6同时出现两种以上不一致的，按照前款规定的顺序修正。修正后的报价经供应商确认后产生约束力，供应商不确认的，其响应无效。</w:t>
      </w:r>
    </w:p>
    <w:p>
      <w:pPr>
        <w:autoSpaceDE w:val="0"/>
        <w:autoSpaceDN w:val="0"/>
        <w:adjustRightInd w:val="0"/>
        <w:spacing w:line="460" w:lineRule="exact"/>
        <w:jc w:val="left"/>
        <w:rPr>
          <w:rFonts w:ascii="宋体" w:eastAsia="宋体" w:cs="宋体" w:hint="eastAsia"/>
          <w:sz w:val="24"/>
          <w:szCs w:val="24"/>
        </w:rPr>
      </w:pPr>
      <w:r>
        <w:rPr>
          <w:rFonts w:ascii="宋体" w:eastAsia="宋体" w:cs="宋体" w:hint="eastAsia"/>
          <w:sz w:val="24"/>
          <w:szCs w:val="24"/>
        </w:rPr>
        <w:t>7.7投标人的报价在合同执行过程中是固定不变的，未经采购人许可不得以任何理由予以变更。以可调整的价格提交的投标文件将作为非实质性响应而予以拒绝。</w:t>
      </w:r>
    </w:p>
    <w:p>
      <w:pPr>
        <w:ind w:left="283"/>
        <w:rPr>
          <w:rFonts w:ascii="宋体" w:eastAsia="宋体" w:cs="宋体" w:hint="eastAsia"/>
          <w:b/>
          <w:sz w:val="24"/>
          <w:szCs w:val="24"/>
        </w:rPr>
      </w:pPr>
      <w:r>
        <w:rPr>
          <w:rFonts w:ascii="宋体" w:eastAsia="宋体" w:cs="宋体" w:hint="eastAsia"/>
          <w:b/>
          <w:sz w:val="24"/>
          <w:szCs w:val="24"/>
        </w:rPr>
        <w:t>8.投标文件的澄清</w:t>
      </w:r>
    </w:p>
    <w:p>
      <w:pPr>
        <w:pStyle w:val="37"/>
        <w:autoSpaceDE w:val="0"/>
        <w:autoSpaceDN w:val="0"/>
        <w:adjustRightInd w:val="0"/>
        <w:spacing w:line="460" w:lineRule="exact"/>
        <w:ind w:left="425" w:firstLineChars="0" w:firstLine="0"/>
        <w:jc w:val="left"/>
        <w:rPr>
          <w:rFonts w:ascii="宋体" w:eastAsia="宋体" w:cs="宋体" w:hint="eastAsia"/>
          <w:sz w:val="24"/>
          <w:szCs w:val="24"/>
        </w:rPr>
      </w:pPr>
      <w:r>
        <w:rPr>
          <w:rFonts w:ascii="宋体" w:eastAsia="宋体" w:cs="宋体" w:hint="eastAsia"/>
          <w:sz w:val="24"/>
          <w:szCs w:val="24"/>
        </w:rPr>
        <w:t>8.1在评标期间，对于投标文件中含义不明确、同类问题表述不一致或者有明显文字和计算错误的内容，评标委员会应当以书面形式要求投标人作出必要的澄清、说明或者补正，投标人有责任按照评标委员会的要求进行澄清、说明或者补正。投标人的澄清、说明或者补正不得超出投标文件的范围或者改变投标文件的实质性内容。</w:t>
      </w:r>
    </w:p>
    <w:p>
      <w:pPr>
        <w:pStyle w:val="37"/>
        <w:autoSpaceDE w:val="0"/>
        <w:autoSpaceDN w:val="0"/>
        <w:adjustRightInd w:val="0"/>
        <w:spacing w:line="460" w:lineRule="exact"/>
        <w:ind w:left="425" w:firstLineChars="0" w:firstLine="0"/>
        <w:jc w:val="left"/>
        <w:rPr>
          <w:rFonts w:ascii="宋体" w:eastAsia="宋体" w:cs="宋体" w:hint="eastAsia"/>
          <w:sz w:val="24"/>
          <w:szCs w:val="24"/>
        </w:rPr>
      </w:pPr>
      <w:r>
        <w:rPr>
          <w:rFonts w:ascii="宋体" w:eastAsia="宋体" w:cs="宋体" w:hint="eastAsia"/>
          <w:sz w:val="24"/>
          <w:szCs w:val="24"/>
        </w:rPr>
        <w:t>8.2投标人的澄清文件是投标文件的组成部分，并取代投标文件中被澄清部分。</w:t>
      </w:r>
    </w:p>
    <w:p>
      <w:pPr>
        <w:pStyle w:val="37"/>
        <w:autoSpaceDE w:val="0"/>
        <w:autoSpaceDN w:val="0"/>
        <w:adjustRightInd w:val="0"/>
        <w:spacing w:line="460" w:lineRule="exact"/>
        <w:ind w:left="425" w:firstLineChars="0" w:firstLine="0"/>
        <w:jc w:val="left"/>
        <w:rPr>
          <w:rFonts w:ascii="宋体" w:eastAsia="宋体" w:cs="宋体" w:hint="eastAsia"/>
          <w:sz w:val="24"/>
          <w:szCs w:val="24"/>
        </w:rPr>
      </w:pPr>
      <w:r>
        <w:rPr>
          <w:rFonts w:ascii="宋体" w:eastAsia="宋体" w:cs="宋体" w:hint="eastAsia"/>
          <w:sz w:val="24"/>
          <w:szCs w:val="24"/>
        </w:rPr>
        <w:t>8.3评标委员会判断投标文件的响应程度仅基于投标文件本身，而不靠外部证据。</w:t>
      </w:r>
    </w:p>
    <w:p>
      <w:pPr>
        <w:ind w:left="425"/>
        <w:rPr>
          <w:rFonts w:ascii="宋体" w:eastAsia="宋体" w:cs="宋体" w:hint="eastAsia"/>
          <w:b/>
          <w:sz w:val="24"/>
          <w:szCs w:val="24"/>
        </w:rPr>
      </w:pPr>
      <w:r>
        <w:rPr>
          <w:rFonts w:ascii="宋体" w:eastAsia="宋体" w:cs="宋体" w:hint="eastAsia"/>
          <w:b/>
          <w:sz w:val="24"/>
          <w:szCs w:val="24"/>
        </w:rPr>
        <w:t>9.串通投标</w:t>
      </w:r>
    </w:p>
    <w:p>
      <w:pPr>
        <w:autoSpaceDE w:val="0"/>
        <w:autoSpaceDN w:val="0"/>
        <w:adjustRightInd w:val="0"/>
        <w:spacing w:line="460" w:lineRule="exact"/>
        <w:jc w:val="left"/>
        <w:rPr>
          <w:rFonts w:ascii="宋体" w:eastAsia="宋体" w:cs="宋体" w:hint="eastAsia"/>
          <w:sz w:val="24"/>
          <w:szCs w:val="24"/>
        </w:rPr>
      </w:pPr>
      <w:r>
        <w:rPr>
          <w:rFonts w:ascii="宋体" w:eastAsia="宋体" w:cs="宋体" w:hint="eastAsia"/>
          <w:sz w:val="24"/>
          <w:szCs w:val="24"/>
        </w:rPr>
        <w:t>有下列情形之一的，视为投标人串通投标，其投标无效：</w:t>
      </w:r>
    </w:p>
    <w:p>
      <w:pPr>
        <w:pStyle w:val="37"/>
        <w:numPr>
          <w:ilvl w:val="0"/>
          <w:numId w:val="10"/>
        </w:numPr>
        <w:autoSpaceDE w:val="0"/>
        <w:autoSpaceDN w:val="0"/>
        <w:adjustRightInd w:val="0"/>
        <w:spacing w:line="460" w:lineRule="exact"/>
        <w:ind w:firstLineChars="0"/>
        <w:jc w:val="left"/>
        <w:rPr>
          <w:rFonts w:ascii="宋体" w:eastAsia="宋体" w:cs="宋体" w:hint="eastAsia"/>
          <w:sz w:val="24"/>
          <w:szCs w:val="24"/>
        </w:rPr>
      </w:pPr>
      <w:r>
        <w:rPr>
          <w:rFonts w:ascii="宋体" w:eastAsia="宋体" w:cs="宋体" w:hint="eastAsia"/>
          <w:sz w:val="24"/>
          <w:szCs w:val="24"/>
        </w:rPr>
        <w:t>不同投标人的投标文件由同一单位或者个人编制；</w:t>
      </w:r>
    </w:p>
    <w:p>
      <w:pPr>
        <w:pStyle w:val="37"/>
        <w:autoSpaceDE w:val="0"/>
        <w:autoSpaceDN w:val="0"/>
        <w:adjustRightInd w:val="0"/>
        <w:spacing w:line="460" w:lineRule="exact"/>
        <w:ind w:left="210" w:firstLineChars="0" w:firstLine="0"/>
        <w:jc w:val="left"/>
        <w:rPr>
          <w:rFonts w:ascii="宋体" w:eastAsia="宋体" w:cs="宋体" w:hint="eastAsia"/>
          <w:sz w:val="24"/>
          <w:szCs w:val="24"/>
        </w:rPr>
      </w:pPr>
      <w:r>
        <w:rPr>
          <w:rFonts w:ascii="宋体" w:eastAsia="宋体" w:cs="宋体" w:hint="eastAsia"/>
          <w:sz w:val="24"/>
          <w:szCs w:val="24"/>
        </w:rPr>
        <w:t>（2）不同投标人委托同一单位或者个人办理投标事宜；</w:t>
      </w:r>
    </w:p>
    <w:p>
      <w:pPr>
        <w:pStyle w:val="37"/>
        <w:autoSpaceDE w:val="0"/>
        <w:autoSpaceDN w:val="0"/>
        <w:adjustRightInd w:val="0"/>
        <w:spacing w:line="460" w:lineRule="exact"/>
        <w:ind w:left="425" w:firstLineChars="0" w:firstLine="0"/>
        <w:jc w:val="left"/>
        <w:rPr>
          <w:rFonts w:ascii="宋体" w:eastAsia="宋体" w:cs="宋体" w:hint="eastAsia"/>
          <w:sz w:val="24"/>
          <w:szCs w:val="24"/>
        </w:rPr>
      </w:pPr>
      <w:r>
        <w:rPr>
          <w:rFonts w:ascii="宋体" w:eastAsia="宋体" w:cs="宋体" w:hint="eastAsia"/>
          <w:sz w:val="24"/>
          <w:szCs w:val="24"/>
        </w:rPr>
        <w:t>（3）不同投标人的投标文件载明的项目管理成员或者联系人员为同一人；</w:t>
      </w:r>
    </w:p>
    <w:p>
      <w:pPr>
        <w:pStyle w:val="37"/>
        <w:autoSpaceDE w:val="0"/>
        <w:autoSpaceDN w:val="0"/>
        <w:adjustRightInd w:val="0"/>
        <w:spacing w:line="460" w:lineRule="exact"/>
        <w:ind w:left="425" w:firstLineChars="0" w:firstLine="0"/>
        <w:jc w:val="left"/>
        <w:rPr>
          <w:rFonts w:ascii="宋体" w:eastAsia="宋体" w:cs="宋体" w:hint="eastAsia"/>
          <w:sz w:val="24"/>
          <w:szCs w:val="24"/>
        </w:rPr>
      </w:pPr>
      <w:r>
        <w:rPr>
          <w:rFonts w:ascii="宋体" w:eastAsia="宋体" w:cs="宋体" w:hint="eastAsia"/>
          <w:sz w:val="24"/>
          <w:szCs w:val="24"/>
        </w:rPr>
        <w:t>（4）不同投标人的投标文件异常一致或者投标报价呈规律性差异；</w:t>
      </w:r>
    </w:p>
    <w:p>
      <w:pPr>
        <w:pStyle w:val="37"/>
        <w:autoSpaceDE w:val="0"/>
        <w:autoSpaceDN w:val="0"/>
        <w:adjustRightInd w:val="0"/>
        <w:spacing w:line="460" w:lineRule="exact"/>
        <w:ind w:left="425" w:firstLineChars="0" w:firstLine="0"/>
        <w:jc w:val="left"/>
        <w:rPr>
          <w:rFonts w:ascii="宋体" w:eastAsia="宋体" w:cs="宋体" w:hint="eastAsia"/>
          <w:sz w:val="24"/>
          <w:szCs w:val="24"/>
        </w:rPr>
      </w:pPr>
      <w:r>
        <w:rPr>
          <w:rFonts w:ascii="宋体" w:eastAsia="宋体" w:cs="宋体" w:hint="eastAsia"/>
          <w:sz w:val="24"/>
          <w:szCs w:val="24"/>
        </w:rPr>
        <w:t>（5）不同投标人的投标文件相互混装；</w:t>
      </w:r>
    </w:p>
    <w:p>
      <w:pPr>
        <w:pStyle w:val="37"/>
        <w:autoSpaceDE w:val="0"/>
        <w:autoSpaceDN w:val="0"/>
        <w:adjustRightInd w:val="0"/>
        <w:spacing w:line="460" w:lineRule="exact"/>
        <w:ind w:left="425" w:firstLineChars="0" w:firstLine="0"/>
        <w:jc w:val="left"/>
        <w:rPr>
          <w:rFonts w:ascii="宋体" w:eastAsia="宋体" w:cs="宋体" w:hint="eastAsia"/>
          <w:sz w:val="24"/>
          <w:szCs w:val="24"/>
        </w:rPr>
      </w:pPr>
      <w:r>
        <w:rPr>
          <w:rFonts w:ascii="宋体" w:eastAsia="宋体" w:cs="宋体" w:hint="eastAsia"/>
          <w:sz w:val="24"/>
          <w:szCs w:val="24"/>
        </w:rPr>
        <w:t>（6）不同投标人的投标保证金从同一单位或者个人的账户转出。</w:t>
      </w:r>
    </w:p>
    <w:p>
      <w:pPr>
        <w:autoSpaceDE w:val="0"/>
        <w:autoSpaceDN w:val="0"/>
        <w:adjustRightInd w:val="0"/>
        <w:spacing w:line="460" w:lineRule="exact"/>
        <w:jc w:val="left"/>
        <w:rPr>
          <w:rFonts w:ascii="宋体" w:eastAsia="宋体" w:cs="宋体" w:hint="eastAsia"/>
          <w:sz w:val="24"/>
          <w:szCs w:val="24"/>
        </w:rPr>
      </w:pPr>
      <w:r>
        <w:rPr>
          <w:rFonts w:ascii="宋体" w:eastAsia="宋体" w:cs="宋体" w:hint="eastAsia"/>
          <w:sz w:val="24"/>
          <w:szCs w:val="24"/>
        </w:rPr>
        <w:t>经过初步评审，如果由于有效投标不足三家使得投标明显缺乏竞争的，将不进入下一评审阶段。</w:t>
      </w:r>
    </w:p>
    <w:p>
      <w:pPr>
        <w:ind w:left="425"/>
        <w:rPr>
          <w:rFonts w:ascii="宋体" w:eastAsia="宋体" w:cs="宋体" w:hint="eastAsia"/>
          <w:b/>
          <w:sz w:val="24"/>
          <w:szCs w:val="24"/>
        </w:rPr>
      </w:pPr>
      <w:r>
        <w:rPr>
          <w:rFonts w:ascii="宋体" w:eastAsia="宋体" w:cs="宋体" w:hint="eastAsia"/>
          <w:b/>
          <w:sz w:val="24"/>
          <w:szCs w:val="24"/>
        </w:rPr>
        <w:t>10详细评审</w:t>
      </w:r>
    </w:p>
    <w:p>
      <w:pPr>
        <w:pStyle w:val="37"/>
        <w:autoSpaceDE w:val="0"/>
        <w:autoSpaceDN w:val="0"/>
        <w:adjustRightInd w:val="0"/>
        <w:spacing w:line="460" w:lineRule="exact"/>
        <w:ind w:left="425" w:firstLineChars="0" w:firstLine="0"/>
        <w:jc w:val="left"/>
        <w:rPr>
          <w:rFonts w:ascii="宋体" w:eastAsia="宋体" w:cs="宋体" w:hint="eastAsia"/>
          <w:sz w:val="24"/>
          <w:szCs w:val="24"/>
        </w:rPr>
      </w:pPr>
      <w:r>
        <w:rPr>
          <w:rFonts w:ascii="宋体" w:eastAsia="宋体" w:cs="宋体" w:hint="eastAsia"/>
          <w:sz w:val="24"/>
          <w:szCs w:val="24"/>
        </w:rPr>
        <w:t>10.1经初步评审合格的投标文件，评标委员会成员将采用综合评分法对投标文件报价部分及商务、技术部分进行进一步评审、比较。</w:t>
      </w:r>
    </w:p>
    <w:p>
      <w:pPr>
        <w:pStyle w:val="37"/>
        <w:spacing w:line="360" w:lineRule="auto"/>
        <w:ind w:left="425" w:firstLineChars="0" w:firstLine="0"/>
        <w:rPr>
          <w:rFonts w:ascii="宋体" w:eastAsia="宋体" w:cs="宋体" w:hint="eastAsia"/>
          <w:sz w:val="24"/>
          <w:szCs w:val="24"/>
        </w:rPr>
      </w:pPr>
      <w:r>
        <w:rPr>
          <w:rFonts w:ascii="宋体" w:eastAsia="宋体" w:cs="宋体" w:hint="eastAsia"/>
          <w:sz w:val="24"/>
          <w:szCs w:val="24"/>
        </w:rPr>
        <w:t>10.2</w:t>
      </w:r>
      <w:r>
        <w:rPr>
          <w:rFonts w:ascii="宋体" w:eastAsia="宋体" w:cs="宋体" w:hint="eastAsia"/>
          <w:kern w:val="0"/>
          <w:sz w:val="24"/>
          <w:szCs w:val="24"/>
        </w:rPr>
        <w:t>综合评分法。评标委员会将采用综合评分法对投标文件所载明的供应商的投标报价、企业资质、技术性能、质量保证体系、付款方式、交货期、信誉服务、企业业绩等内容进行打分，依据得分从高到低的顺序最终确定中标供应商，最低报价不作为中标的唯一依据。采用百分制原则：满分为100分、技术标占45%、商务标占25%、经济标（投标报价）占30%。投标单位最终得分=技术标得分+商务标得分+经济标得分，具体评分标准如下：</w:t>
      </w:r>
    </w:p>
    <w:p>
      <w:pPr>
        <w:pStyle w:val="37"/>
        <w:spacing w:line="440" w:lineRule="exact"/>
        <w:ind w:left="567" w:firstLineChars="0" w:firstLine="0"/>
        <w:rPr>
          <w:rFonts w:ascii="宋体" w:eastAsia="宋体" w:cs="宋体" w:hint="eastAsia"/>
          <w:b/>
          <w:sz w:val="24"/>
          <w:szCs w:val="24"/>
        </w:rPr>
      </w:pPr>
      <w:r>
        <w:rPr>
          <w:rFonts w:ascii="宋体" w:eastAsia="宋体" w:cs="宋体" w:hint="eastAsia"/>
          <w:b/>
          <w:sz w:val="24"/>
          <w:szCs w:val="24"/>
        </w:rPr>
        <w:t xml:space="preserve">一、技术部分45分 </w:t>
      </w:r>
    </w:p>
    <w:tbl>
      <w:tblPr>
        <w:jc w:val="center"/>
        <w:tblW w:w="97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89"/>
        <w:gridCol w:w="2539"/>
        <w:gridCol w:w="1081"/>
        <w:gridCol w:w="5444"/>
      </w:tblGrid>
      <w:tr>
        <w:trPr>
          <w:trHeight w:val="458"/>
          <w:tblHeader/>
        </w:trPr>
        <w:tc>
          <w:tcPr>
            <w:tcW w:w="689" w:type="dxa"/>
            <w:tcBorders>
              <w:top w:val="single" w:sz="4" w:space="0" w:color="auto"/>
              <w:left w:val="single" w:sz="4" w:space="0" w:color="auto"/>
              <w:bottom w:val="single" w:sz="4" w:space="0" w:color="auto"/>
              <w:right w:val="single" w:sz="4" w:space="0" w:color="auto"/>
            </w:tcBorders>
            <w:noWrap/>
            <w:vAlign w:val="center"/>
          </w:tcPr>
          <w:p>
            <w:pPr>
              <w:pStyle w:val="50"/>
              <w:snapToGrid w:val="0"/>
              <w:spacing w:line="240" w:lineRule="auto"/>
              <w:ind w:firstLineChars="0" w:firstLine="0"/>
              <w:rPr>
                <w:rFonts w:ascii="宋体" w:eastAsia="宋体" w:cs="宋体" w:hint="eastAsia"/>
                <w:b w:val="0"/>
                <w:kern w:val="0"/>
                <w:sz w:val="24"/>
                <w:szCs w:val="24"/>
              </w:rPr>
            </w:pPr>
          </w:p>
        </w:tc>
        <w:tc>
          <w:tcPr>
            <w:tcW w:w="2539" w:type="dxa"/>
            <w:tcBorders>
              <w:top w:val="single" w:sz="4" w:space="0" w:color="auto"/>
              <w:left w:val="single" w:sz="4" w:space="0" w:color="auto"/>
              <w:bottom w:val="single" w:sz="4" w:space="0" w:color="auto"/>
              <w:right w:val="single" w:sz="4" w:space="0" w:color="auto"/>
            </w:tcBorders>
            <w:noWrap/>
            <w:vAlign w:val="center"/>
          </w:tcPr>
          <w:p>
            <w:pPr>
              <w:pStyle w:val="50"/>
              <w:snapToGrid w:val="0"/>
              <w:spacing w:line="240" w:lineRule="auto"/>
              <w:ind w:firstLineChars="0" w:firstLine="0"/>
              <w:rPr>
                <w:rFonts w:ascii="宋体" w:eastAsia="宋体" w:cs="宋体" w:hint="eastAsia"/>
                <w:b w:val="0"/>
                <w:kern w:val="0"/>
                <w:sz w:val="24"/>
                <w:szCs w:val="24"/>
              </w:rPr>
            </w:pPr>
            <w:r>
              <w:rPr>
                <w:rFonts w:ascii="宋体" w:eastAsia="宋体" w:cs="宋体" w:hint="eastAsia"/>
                <w:b w:val="0"/>
                <w:kern w:val="0"/>
                <w:sz w:val="24"/>
                <w:szCs w:val="24"/>
              </w:rPr>
              <w:t>评审项目</w:t>
            </w:r>
          </w:p>
        </w:tc>
        <w:tc>
          <w:tcPr>
            <w:tcW w:w="1081" w:type="dxa"/>
            <w:tcBorders>
              <w:top w:val="single" w:sz="4" w:space="0" w:color="auto"/>
              <w:left w:val="single" w:sz="4" w:space="0" w:color="auto"/>
              <w:bottom w:val="single" w:sz="4" w:space="0" w:color="auto"/>
              <w:right w:val="single" w:sz="4" w:space="0" w:color="auto"/>
            </w:tcBorders>
            <w:noWrap/>
            <w:vAlign w:val="center"/>
          </w:tcPr>
          <w:p>
            <w:pPr>
              <w:pStyle w:val="50"/>
              <w:snapToGrid w:val="0"/>
              <w:spacing w:line="240" w:lineRule="auto"/>
              <w:ind w:firstLineChars="0" w:firstLine="0"/>
              <w:rPr>
                <w:rFonts w:ascii="宋体" w:eastAsia="宋体" w:cs="宋体" w:hint="eastAsia"/>
                <w:b w:val="0"/>
                <w:kern w:val="0"/>
                <w:sz w:val="24"/>
                <w:szCs w:val="24"/>
              </w:rPr>
            </w:pPr>
            <w:r>
              <w:rPr>
                <w:rFonts w:ascii="宋体" w:eastAsia="宋体" w:cs="宋体" w:hint="eastAsia"/>
                <w:b w:val="0"/>
                <w:kern w:val="0"/>
                <w:sz w:val="24"/>
                <w:szCs w:val="24"/>
              </w:rPr>
              <w:t>分值</w:t>
            </w:r>
          </w:p>
        </w:tc>
        <w:tc>
          <w:tcPr>
            <w:tcW w:w="5444" w:type="dxa"/>
            <w:tcBorders>
              <w:top w:val="single" w:sz="4" w:space="0" w:color="auto"/>
              <w:left w:val="single" w:sz="4" w:space="0" w:color="auto"/>
              <w:bottom w:val="single" w:sz="4" w:space="0" w:color="auto"/>
              <w:right w:val="single" w:sz="4" w:space="0" w:color="auto"/>
            </w:tcBorders>
            <w:noWrap/>
            <w:vAlign w:val="center"/>
          </w:tcPr>
          <w:p>
            <w:pPr>
              <w:pStyle w:val="50"/>
              <w:snapToGrid w:val="0"/>
              <w:spacing w:line="240" w:lineRule="auto"/>
              <w:ind w:firstLineChars="0" w:firstLine="0"/>
              <w:rPr>
                <w:rFonts w:ascii="宋体" w:eastAsia="宋体" w:cs="宋体" w:hint="eastAsia"/>
                <w:b w:val="0"/>
                <w:kern w:val="0"/>
                <w:sz w:val="24"/>
                <w:szCs w:val="24"/>
              </w:rPr>
            </w:pPr>
            <w:r>
              <w:rPr>
                <w:rFonts w:ascii="宋体" w:eastAsia="宋体" w:cs="宋体" w:hint="eastAsia"/>
                <w:b w:val="0"/>
                <w:kern w:val="0"/>
                <w:sz w:val="24"/>
                <w:szCs w:val="24"/>
              </w:rPr>
              <w:t>内     容</w:t>
            </w:r>
          </w:p>
        </w:tc>
      </w:tr>
      <w:tr>
        <w:trPr>
          <w:trHeight w:val="382"/>
        </w:trPr>
        <w:tc>
          <w:tcPr>
            <w:tcW w:w="689" w:type="dxa"/>
            <w:vMerge w:val="restart"/>
            <w:tcBorders>
              <w:top w:val="single" w:sz="4" w:space="0" w:color="auto"/>
              <w:left w:val="single" w:sz="4" w:space="0" w:color="auto"/>
              <w:bottom w:val="single" w:sz="4" w:space="0" w:color="auto"/>
              <w:right w:val="single" w:sz="4" w:space="0" w:color="auto"/>
            </w:tcBorders>
            <w:noWrap/>
            <w:vAlign w:val="center"/>
          </w:tcPr>
          <w:p>
            <w:pPr>
              <w:pStyle w:val="50"/>
              <w:spacing w:line="240" w:lineRule="auto"/>
              <w:ind w:firstLineChars="0" w:firstLine="0"/>
              <w:rPr>
                <w:rFonts w:ascii="宋体" w:eastAsia="宋体" w:cs="宋体" w:hint="eastAsia"/>
                <w:b w:val="0"/>
                <w:kern w:val="0"/>
                <w:sz w:val="24"/>
                <w:szCs w:val="24"/>
              </w:rPr>
            </w:pPr>
            <w:r>
              <w:rPr>
                <w:rFonts w:ascii="宋体" w:eastAsia="宋体" w:cs="宋体" w:hint="eastAsia"/>
                <w:b w:val="0"/>
                <w:kern w:val="0"/>
                <w:sz w:val="24"/>
                <w:szCs w:val="24"/>
              </w:rPr>
              <w:t>技术部分</w:t>
            </w:r>
          </w:p>
        </w:tc>
        <w:tc>
          <w:tcPr>
            <w:tcW w:w="2539" w:type="dxa"/>
            <w:tcBorders>
              <w:top w:val="single" w:sz="4" w:space="0" w:color="auto"/>
              <w:left w:val="single" w:sz="4" w:space="0" w:color="auto"/>
              <w:bottom w:val="single" w:sz="4" w:space="0" w:color="auto"/>
              <w:right w:val="single" w:sz="4" w:space="0" w:color="auto"/>
            </w:tcBorders>
            <w:noWrap/>
            <w:vAlign w:val="center"/>
          </w:tcPr>
          <w:p>
            <w:pPr>
              <w:pStyle w:val="50"/>
              <w:snapToGrid w:val="0"/>
              <w:spacing w:line="240" w:lineRule="auto"/>
              <w:ind w:firstLineChars="0" w:firstLine="0"/>
              <w:rPr>
                <w:rFonts w:ascii="宋体" w:eastAsia="宋体" w:cs="宋体" w:hint="eastAsia"/>
                <w:b w:val="0"/>
                <w:kern w:val="0"/>
                <w:sz w:val="24"/>
                <w:szCs w:val="24"/>
              </w:rPr>
            </w:pPr>
            <w:r>
              <w:rPr>
                <w:rFonts w:ascii="宋体" w:eastAsia="宋体" w:cs="宋体" w:hint="eastAsia"/>
                <w:b w:val="0"/>
                <w:kern w:val="0"/>
                <w:sz w:val="24"/>
                <w:szCs w:val="24"/>
              </w:rPr>
              <w:t>投标产品的参数符合程度</w:t>
            </w:r>
          </w:p>
        </w:tc>
        <w:tc>
          <w:tcPr>
            <w:tcW w:w="1081" w:type="dxa"/>
            <w:tcBorders>
              <w:top w:val="single" w:sz="4" w:space="0" w:color="auto"/>
              <w:left w:val="single" w:sz="4" w:space="0" w:color="auto"/>
              <w:bottom w:val="single" w:sz="4" w:space="0" w:color="auto"/>
              <w:right w:val="single" w:sz="4" w:space="0" w:color="auto"/>
            </w:tcBorders>
            <w:noWrap/>
            <w:vAlign w:val="center"/>
          </w:tcPr>
          <w:p>
            <w:pPr>
              <w:pStyle w:val="50"/>
              <w:snapToGrid w:val="0"/>
              <w:spacing w:line="240" w:lineRule="auto"/>
              <w:ind w:firstLineChars="0" w:firstLine="0"/>
              <w:rPr>
                <w:rFonts w:ascii="宋体" w:eastAsia="宋体" w:cs="宋体" w:hint="eastAsia"/>
                <w:b w:val="0"/>
                <w:kern w:val="0"/>
                <w:sz w:val="24"/>
                <w:szCs w:val="24"/>
              </w:rPr>
            </w:pPr>
            <w:r>
              <w:rPr>
                <w:rFonts w:ascii="宋体" w:eastAsia="宋体" w:cs="宋体" w:hint="eastAsia"/>
                <w:b w:val="0"/>
                <w:kern w:val="0"/>
                <w:sz w:val="24"/>
                <w:szCs w:val="24"/>
              </w:rPr>
              <w:t>40分</w:t>
            </w:r>
          </w:p>
        </w:tc>
        <w:tc>
          <w:tcPr>
            <w:tcW w:w="5444" w:type="dxa"/>
            <w:tcBorders>
              <w:top w:val="single" w:sz="4" w:space="0" w:color="auto"/>
              <w:left w:val="single" w:sz="4" w:space="0" w:color="auto"/>
              <w:bottom w:val="single" w:sz="4" w:space="0" w:color="auto"/>
              <w:right w:val="single" w:sz="4" w:space="0" w:color="auto"/>
            </w:tcBorders>
            <w:noWrap/>
            <w:vAlign w:val="center"/>
          </w:tcPr>
          <w:p>
            <w:pPr>
              <w:pStyle w:val="50"/>
              <w:snapToGrid w:val="0"/>
              <w:spacing w:line="240" w:lineRule="auto"/>
              <w:ind w:firstLineChars="0" w:firstLine="0"/>
              <w:jc w:val="both"/>
              <w:rPr>
                <w:rFonts w:ascii="宋体" w:eastAsia="宋体" w:cs="宋体" w:hint="eastAsia"/>
                <w:b w:val="0"/>
                <w:kern w:val="0"/>
                <w:sz w:val="24"/>
                <w:szCs w:val="24"/>
              </w:rPr>
            </w:pPr>
            <w:r>
              <w:rPr>
                <w:rFonts w:ascii="宋体" w:eastAsia="宋体" w:cs="宋体" w:hint="eastAsia"/>
                <w:b w:val="0"/>
                <w:kern w:val="0"/>
                <w:sz w:val="24"/>
                <w:szCs w:val="24"/>
              </w:rPr>
              <w:t>1）投标产品完全满足招标文件技术参数和技术规格要求，没有实质性负偏离的得基本分 30 分，若</w:t>
            </w:r>
            <w:r>
              <w:rPr>
                <w:rFonts w:ascii="宋体" w:eastAsia="宋体" w:cs="宋体" w:hint="eastAsia"/>
                <w:b w:val="0"/>
                <w:kern w:val="0"/>
                <w:sz w:val="24"/>
                <w:szCs w:val="24"/>
                <w:lang w:val="zh-CN"/>
              </w:rPr>
              <w:t>参数存在负偏离，每项扣</w:t>
            </w:r>
            <w:r>
              <w:rPr>
                <w:rFonts w:ascii="宋体" w:eastAsia="宋体" w:cs="宋体" w:hint="eastAsia"/>
                <w:b w:val="0"/>
                <w:kern w:val="0"/>
                <w:sz w:val="24"/>
                <w:szCs w:val="24"/>
              </w:rPr>
              <w:t>0.5分，其他项参数存在负偏离，每项扣1分。扣完为止。</w:t>
            </w:r>
          </w:p>
          <w:p>
            <w:pPr>
              <w:pStyle w:val="50"/>
              <w:snapToGrid w:val="0"/>
              <w:spacing w:line="240" w:lineRule="auto"/>
              <w:ind w:firstLineChars="0" w:firstLine="0"/>
              <w:jc w:val="both"/>
              <w:rPr>
                <w:rFonts w:ascii="宋体" w:eastAsia="宋体" w:cs="宋体" w:hint="eastAsia"/>
                <w:b w:val="0"/>
                <w:kern w:val="0"/>
                <w:sz w:val="24"/>
                <w:szCs w:val="24"/>
              </w:rPr>
            </w:pPr>
            <w:r>
              <w:rPr>
                <w:rFonts w:ascii="宋体" w:eastAsia="宋体" w:cs="宋体" w:hint="eastAsia"/>
                <w:b w:val="0"/>
                <w:kern w:val="0"/>
                <w:sz w:val="24"/>
                <w:szCs w:val="24"/>
              </w:rPr>
              <w:t>2）经专家评审：主要产品技术指标和性能高于基本招标要求的相关技术参数的，每高于1项得1分,最多加10分；</w:t>
            </w:r>
          </w:p>
        </w:tc>
      </w:tr>
      <w:tr>
        <w:trPr>
          <w:trHeight w:val="579"/>
        </w:trPr>
        <w:tc>
          <w:tcPr>
            <w:tcW w:w="689" w:type="dxa"/>
            <w:vMerge/>
            <w:tcBorders>
              <w:top w:val="single" w:sz="4" w:space="0" w:color="auto"/>
              <w:left w:val="single" w:sz="4" w:space="0" w:color="auto"/>
              <w:bottom w:val="single" w:sz="4" w:space="0" w:color="auto"/>
              <w:right w:val="single" w:sz="4" w:space="0" w:color="auto"/>
            </w:tcBorders>
            <w:noWrap/>
            <w:vAlign w:val="center"/>
          </w:tcPr>
          <w:p/>
        </w:tc>
        <w:tc>
          <w:tcPr>
            <w:tcW w:w="2539" w:type="dxa"/>
            <w:tcBorders>
              <w:top w:val="single" w:sz="4" w:space="0" w:color="auto"/>
              <w:left w:val="single" w:sz="4" w:space="0" w:color="auto"/>
              <w:bottom w:val="single" w:sz="4" w:space="0" w:color="auto"/>
              <w:right w:val="single" w:sz="4" w:space="0" w:color="auto"/>
            </w:tcBorders>
            <w:noWrap/>
            <w:vAlign w:val="center"/>
          </w:tcPr>
          <w:p>
            <w:pPr>
              <w:ind w:left="108"/>
              <w:jc w:val="center"/>
              <w:rPr>
                <w:rFonts w:ascii="宋体" w:eastAsia="宋体" w:cs="宋体" w:hint="eastAsia"/>
                <w:sz w:val="24"/>
                <w:szCs w:val="24"/>
              </w:rPr>
            </w:pPr>
            <w:r>
              <w:rPr>
                <w:rFonts w:ascii="宋体" w:eastAsia="宋体" w:cs="宋体" w:hint="eastAsia"/>
                <w:sz w:val="24"/>
                <w:szCs w:val="24"/>
              </w:rPr>
              <w:t>运输、配送方案</w:t>
            </w:r>
          </w:p>
        </w:tc>
        <w:tc>
          <w:tcPr>
            <w:tcW w:w="1081" w:type="dxa"/>
            <w:tcBorders>
              <w:top w:val="single" w:sz="4" w:space="0" w:color="auto"/>
              <w:left w:val="single" w:sz="4" w:space="0" w:color="auto"/>
              <w:bottom w:val="single" w:sz="4" w:space="0" w:color="auto"/>
              <w:right w:val="single" w:sz="4" w:space="0" w:color="auto"/>
            </w:tcBorders>
            <w:noWrap/>
            <w:vAlign w:val="center"/>
          </w:tcPr>
          <w:p>
            <w:pPr>
              <w:jc w:val="center"/>
              <w:rPr>
                <w:rFonts w:ascii="宋体" w:eastAsia="宋体" w:cs="宋体" w:hint="eastAsia"/>
                <w:sz w:val="24"/>
                <w:szCs w:val="24"/>
              </w:rPr>
            </w:pPr>
            <w:r>
              <w:rPr>
                <w:rFonts w:ascii="宋体" w:eastAsia="宋体" w:cs="宋体" w:hint="eastAsia"/>
                <w:spacing w:val="-1"/>
                <w:sz w:val="24"/>
                <w:szCs w:val="24"/>
              </w:rPr>
              <w:t>5分</w:t>
            </w:r>
          </w:p>
        </w:tc>
        <w:tc>
          <w:tcPr>
            <w:tcW w:w="5444" w:type="dxa"/>
            <w:tcBorders>
              <w:top w:val="single" w:sz="4" w:space="0" w:color="auto"/>
              <w:left w:val="single" w:sz="4" w:space="0" w:color="auto"/>
              <w:bottom w:val="single" w:sz="4" w:space="0" w:color="auto"/>
              <w:right w:val="single" w:sz="4" w:space="0" w:color="auto"/>
            </w:tcBorders>
            <w:noWrap/>
            <w:vAlign w:val="center"/>
          </w:tcPr>
          <w:p>
            <w:pPr>
              <w:pStyle w:val="50"/>
              <w:snapToGrid w:val="0"/>
              <w:spacing w:line="240" w:lineRule="auto"/>
              <w:ind w:firstLineChars="0" w:firstLine="0"/>
              <w:jc w:val="both"/>
              <w:rPr>
                <w:rFonts w:ascii="宋体" w:eastAsia="宋体" w:cs="宋体" w:hint="eastAsia"/>
                <w:b w:val="0"/>
                <w:kern w:val="0"/>
                <w:sz w:val="24"/>
                <w:szCs w:val="24"/>
              </w:rPr>
            </w:pPr>
            <w:r>
              <w:rPr>
                <w:rFonts w:ascii="宋体" w:eastAsia="宋体" w:cs="宋体" w:hint="eastAsia"/>
                <w:b w:val="0"/>
                <w:kern w:val="0"/>
                <w:sz w:val="24"/>
                <w:szCs w:val="24"/>
              </w:rPr>
              <w:t>投标文件中具有合理，可行，安全可靠的运输、配送方案：运输、配送方案内容健全、科学合理、可行性强、安全可靠性切合实际得5分；运输、配送方案内容较为全面、较为科学合理，可行性一般得3分；其他得1分。</w:t>
            </w:r>
            <w:r>
              <w:rPr>
                <w:rFonts w:ascii="宋体" w:eastAsia="宋体" w:cs="宋体" w:hint="eastAsia"/>
                <w:b w:val="0"/>
                <w:kern w:val="0"/>
                <w:sz w:val="24"/>
                <w:szCs w:val="24"/>
                <w:lang w:eastAsia="zh-CN"/>
              </w:rPr>
              <w:t>）</w:t>
            </w:r>
          </w:p>
        </w:tc>
      </w:tr>
    </w:tbl>
    <w:p>
      <w:pPr>
        <w:pStyle w:val="37"/>
        <w:spacing w:line="440" w:lineRule="exact"/>
        <w:ind w:left="567" w:firstLineChars="0" w:firstLine="0"/>
        <w:rPr>
          <w:rFonts w:ascii="宋体" w:eastAsia="宋体" w:cs="宋体" w:hint="eastAsia"/>
          <w:b/>
          <w:sz w:val="24"/>
          <w:szCs w:val="24"/>
        </w:rPr>
      </w:pPr>
      <w:r>
        <w:rPr>
          <w:rFonts w:ascii="宋体" w:eastAsia="宋体" w:cs="宋体" w:hint="eastAsia"/>
          <w:b/>
          <w:sz w:val="24"/>
          <w:szCs w:val="24"/>
        </w:rPr>
        <w:t xml:space="preserve">二、商务部分25分 </w:t>
      </w:r>
    </w:p>
    <w:p>
      <w:pPr>
        <w:pStyle w:val="37"/>
        <w:spacing w:line="440" w:lineRule="exact"/>
        <w:ind w:left="425" w:firstLineChars="0" w:firstLine="0"/>
        <w:rPr>
          <w:rFonts w:ascii="宋体" w:eastAsia="宋体" w:cs="宋体" w:hint="eastAsia"/>
          <w:b/>
          <w:sz w:val="24"/>
          <w:szCs w:val="24"/>
        </w:rPr>
      </w:pPr>
      <w:r>
        <w:rPr>
          <w:rFonts w:ascii="宋体" w:eastAsia="宋体" w:cs="宋体" w:hint="eastAsia"/>
          <w:b/>
          <w:sz w:val="24"/>
          <w:szCs w:val="24"/>
        </w:rPr>
        <w:t xml:space="preserve">   </w:t>
      </w:r>
    </w:p>
    <w:p>
      <w:pPr>
        <w:spacing w:line="440" w:lineRule="exact"/>
        <w:ind w:left="142"/>
        <w:rPr>
          <w:rFonts w:ascii="宋体" w:eastAsia="宋体" w:cs="宋体" w:hint="eastAsia"/>
          <w:b/>
          <w:sz w:val="24"/>
          <w:szCs w:val="24"/>
        </w:rPr>
      </w:pPr>
    </w:p>
    <w:tbl>
      <w:tblPr>
        <w:jc w:val="left"/>
        <w:tblInd w:w="-254" w:type="dxa"/>
        <w:tblW w:w="9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944"/>
        <w:gridCol w:w="1803"/>
        <w:gridCol w:w="853"/>
        <w:gridCol w:w="6180"/>
      </w:tblGrid>
      <w:tr>
        <w:trPr>
          <w:cantSplit/>
          <w:trHeight w:val="687"/>
          <w:tblHeader/>
        </w:trPr>
        <w:tc>
          <w:tcPr>
            <w:tcW w:w="2747" w:type="dxa"/>
            <w:gridSpan w:val="2"/>
            <w:tcBorders>
              <w:top w:val="single" w:sz="4" w:space="0" w:color="auto"/>
              <w:left w:val="single" w:sz="4" w:space="0" w:color="auto"/>
              <w:bottom w:val="single" w:sz="4" w:space="0" w:color="auto"/>
              <w:right w:val="single" w:sz="4" w:space="0" w:color="auto"/>
            </w:tcBorders>
            <w:noWrap/>
            <w:vAlign w:val="center"/>
          </w:tcPr>
          <w:p>
            <w:pPr>
              <w:pStyle w:val="50"/>
              <w:spacing w:line="240" w:lineRule="auto"/>
              <w:ind w:firstLineChars="0" w:firstLine="0"/>
              <w:rPr>
                <w:rFonts w:ascii="宋体" w:eastAsia="宋体" w:cs="宋体" w:hint="eastAsia"/>
                <w:b w:val="0"/>
                <w:kern w:val="0"/>
                <w:sz w:val="24"/>
                <w:szCs w:val="24"/>
              </w:rPr>
            </w:pPr>
            <w:r>
              <w:rPr>
                <w:rFonts w:ascii="宋体" w:eastAsia="宋体" w:cs="宋体" w:hint="eastAsia"/>
                <w:b w:val="0"/>
                <w:kern w:val="0"/>
                <w:sz w:val="24"/>
                <w:szCs w:val="24"/>
              </w:rPr>
              <w:t>评审项目</w:t>
            </w:r>
          </w:p>
        </w:tc>
        <w:tc>
          <w:tcPr>
            <w:tcW w:w="853" w:type="dxa"/>
            <w:tcBorders>
              <w:top w:val="single" w:sz="4" w:space="0" w:color="auto"/>
              <w:left w:val="single" w:sz="4" w:space="0" w:color="auto"/>
              <w:bottom w:val="single" w:sz="4" w:space="0" w:color="auto"/>
              <w:right w:val="single" w:sz="4" w:space="0" w:color="auto"/>
            </w:tcBorders>
            <w:noWrap/>
            <w:vAlign w:val="center"/>
          </w:tcPr>
          <w:p>
            <w:pPr>
              <w:pStyle w:val="50"/>
              <w:spacing w:line="240" w:lineRule="auto"/>
              <w:ind w:firstLineChars="0" w:firstLine="0"/>
              <w:rPr>
                <w:rFonts w:ascii="宋体" w:eastAsia="宋体" w:cs="宋体" w:hint="eastAsia"/>
                <w:b w:val="0"/>
                <w:kern w:val="0"/>
                <w:sz w:val="24"/>
                <w:szCs w:val="24"/>
              </w:rPr>
            </w:pPr>
            <w:r>
              <w:rPr>
                <w:rFonts w:ascii="宋体" w:eastAsia="宋体" w:cs="宋体" w:hint="eastAsia"/>
                <w:b w:val="0"/>
                <w:kern w:val="0"/>
                <w:sz w:val="24"/>
                <w:szCs w:val="24"/>
              </w:rPr>
              <w:t>分值</w:t>
            </w:r>
          </w:p>
        </w:tc>
        <w:tc>
          <w:tcPr>
            <w:tcW w:w="6180" w:type="dxa"/>
            <w:tcBorders>
              <w:top w:val="single" w:sz="4" w:space="0" w:color="auto"/>
              <w:left w:val="single" w:sz="4" w:space="0" w:color="auto"/>
              <w:bottom w:val="single" w:sz="4" w:space="0" w:color="auto"/>
              <w:right w:val="single" w:sz="4" w:space="0" w:color="auto"/>
            </w:tcBorders>
            <w:noWrap/>
            <w:vAlign w:val="center"/>
          </w:tcPr>
          <w:p>
            <w:pPr>
              <w:pStyle w:val="50"/>
              <w:spacing w:line="240" w:lineRule="auto"/>
              <w:ind w:firstLineChars="0" w:firstLine="0"/>
              <w:rPr>
                <w:rFonts w:ascii="宋体" w:eastAsia="宋体" w:cs="宋体" w:hint="eastAsia"/>
                <w:b w:val="0"/>
                <w:kern w:val="0"/>
                <w:sz w:val="24"/>
                <w:szCs w:val="24"/>
              </w:rPr>
            </w:pPr>
            <w:r>
              <w:rPr>
                <w:rFonts w:ascii="宋体" w:eastAsia="宋体" w:cs="宋体" w:hint="eastAsia"/>
                <w:b w:val="0"/>
                <w:kern w:val="0"/>
                <w:sz w:val="24"/>
                <w:szCs w:val="24"/>
              </w:rPr>
              <w:t>内    容</w:t>
            </w:r>
          </w:p>
        </w:tc>
      </w:tr>
      <w:tr>
        <w:trPr>
          <w:cantSplit/>
          <w:trHeight w:val="844"/>
        </w:trPr>
        <w:tc>
          <w:tcPr>
            <w:tcW w:w="944" w:type="dxa"/>
            <w:vMerge w:val="restart"/>
            <w:tcBorders>
              <w:top w:val="single" w:sz="4" w:space="0" w:color="auto"/>
              <w:left w:val="single" w:sz="4" w:space="0" w:color="auto"/>
              <w:bottom w:val="single" w:sz="4" w:space="0" w:color="auto"/>
              <w:right w:val="single" w:sz="4" w:space="0" w:color="auto"/>
            </w:tcBorders>
            <w:noWrap/>
            <w:vAlign w:val="center"/>
          </w:tcPr>
          <w:p>
            <w:pPr>
              <w:pStyle w:val="50"/>
              <w:spacing w:line="240" w:lineRule="auto"/>
              <w:ind w:firstLineChars="0" w:firstLine="0"/>
              <w:rPr>
                <w:rFonts w:ascii="宋体" w:eastAsia="宋体" w:cs="宋体" w:hint="eastAsia"/>
                <w:b w:val="0"/>
                <w:kern w:val="0"/>
                <w:sz w:val="24"/>
                <w:szCs w:val="24"/>
              </w:rPr>
            </w:pPr>
            <w:r>
              <w:rPr>
                <w:rFonts w:ascii="宋体" w:eastAsia="宋体" w:cs="宋体" w:hint="eastAsia"/>
                <w:b w:val="0"/>
                <w:kern w:val="0"/>
                <w:sz w:val="24"/>
                <w:szCs w:val="24"/>
              </w:rPr>
              <w:t>商务</w:t>
            </w:r>
          </w:p>
          <w:p>
            <w:pPr>
              <w:widowControl/>
              <w:jc w:val="center"/>
              <w:rPr>
                <w:rFonts w:ascii="宋体" w:eastAsia="宋体" w:cs="宋体" w:hint="eastAsia"/>
                <w:kern w:val="0"/>
                <w:sz w:val="24"/>
                <w:szCs w:val="24"/>
              </w:rPr>
            </w:pPr>
            <w:r>
              <w:rPr>
                <w:rFonts w:ascii="宋体" w:eastAsia="宋体" w:cs="宋体" w:hint="eastAsia"/>
                <w:kern w:val="0"/>
                <w:sz w:val="24"/>
                <w:szCs w:val="24"/>
              </w:rPr>
              <w:t>部分</w:t>
            </w:r>
          </w:p>
        </w:tc>
        <w:tc>
          <w:tcPr>
            <w:tcW w:w="1803" w:type="dxa"/>
            <w:vMerge w:val="restart"/>
            <w:tcBorders>
              <w:top w:val="single" w:sz="4" w:space="0" w:color="auto"/>
              <w:left w:val="single" w:sz="4" w:space="0" w:color="auto"/>
              <w:bottom w:val="single" w:sz="4" w:space="0" w:color="auto"/>
              <w:right w:val="single" w:sz="4" w:space="0" w:color="auto"/>
            </w:tcBorders>
            <w:noWrap/>
            <w:vAlign w:val="center"/>
          </w:tcPr>
          <w:p>
            <w:pPr>
              <w:pStyle w:val="50"/>
              <w:spacing w:line="240" w:lineRule="auto"/>
              <w:ind w:firstLineChars="0" w:firstLine="0"/>
              <w:jc w:val="both"/>
              <w:rPr>
                <w:rFonts w:ascii="宋体" w:eastAsia="宋体" w:cs="宋体" w:hint="eastAsia"/>
                <w:b w:val="0"/>
                <w:kern w:val="0"/>
                <w:sz w:val="24"/>
                <w:szCs w:val="24"/>
              </w:rPr>
            </w:pPr>
            <w:r>
              <w:rPr>
                <w:rFonts w:ascii="宋体" w:eastAsia="宋体" w:cs="宋体" w:hint="eastAsia"/>
                <w:b w:val="0"/>
                <w:kern w:val="0"/>
                <w:sz w:val="24"/>
                <w:szCs w:val="24"/>
              </w:rPr>
              <w:t>质保期限（或试剂有效期）</w:t>
            </w:r>
          </w:p>
        </w:tc>
        <w:tc>
          <w:tcPr>
            <w:tcW w:w="853" w:type="dxa"/>
            <w:tcBorders>
              <w:top w:val="single" w:sz="4" w:space="0" w:color="auto"/>
              <w:left w:val="single" w:sz="4" w:space="0" w:color="auto"/>
              <w:bottom w:val="single" w:sz="4" w:space="0" w:color="auto"/>
              <w:right w:val="single" w:sz="4" w:space="0" w:color="auto"/>
            </w:tcBorders>
            <w:noWrap/>
            <w:vAlign w:val="center"/>
          </w:tcPr>
          <w:p>
            <w:pPr>
              <w:pStyle w:val="50"/>
              <w:spacing w:line="240" w:lineRule="auto"/>
              <w:ind w:firstLineChars="0" w:firstLine="0"/>
              <w:rPr>
                <w:rFonts w:ascii="宋体" w:eastAsia="宋体" w:cs="宋体" w:hint="eastAsia"/>
                <w:b w:val="0"/>
                <w:kern w:val="0"/>
                <w:sz w:val="24"/>
                <w:szCs w:val="24"/>
              </w:rPr>
            </w:pPr>
            <w:r>
              <w:rPr>
                <w:rFonts w:ascii="宋体" w:eastAsia="宋体" w:cs="宋体" w:hint="eastAsia"/>
                <w:b w:val="0"/>
                <w:kern w:val="0"/>
                <w:sz w:val="24"/>
                <w:szCs w:val="24"/>
              </w:rPr>
              <w:t>5分</w:t>
            </w:r>
          </w:p>
        </w:tc>
        <w:tc>
          <w:tcPr>
            <w:tcW w:w="6180" w:type="dxa"/>
            <w:tcBorders>
              <w:top w:val="single" w:sz="4" w:space="0" w:color="auto"/>
              <w:left w:val="single" w:sz="4" w:space="0" w:color="auto"/>
              <w:bottom w:val="single" w:sz="4" w:space="0" w:color="auto"/>
              <w:right w:val="single" w:sz="4" w:space="0" w:color="auto"/>
            </w:tcBorders>
            <w:noWrap/>
            <w:vAlign w:val="center"/>
          </w:tcPr>
          <w:p>
            <w:pPr>
              <w:pStyle w:val="50"/>
              <w:spacing w:line="240" w:lineRule="auto"/>
              <w:ind w:firstLineChars="0" w:firstLine="0"/>
              <w:jc w:val="both"/>
              <w:rPr>
                <w:rFonts w:ascii="宋体" w:eastAsia="宋体" w:cs="宋体" w:hint="eastAsia"/>
                <w:b w:val="0"/>
                <w:kern w:val="0"/>
                <w:sz w:val="24"/>
                <w:szCs w:val="24"/>
              </w:rPr>
            </w:pPr>
            <w:r>
              <w:rPr>
                <w:rFonts w:ascii="宋体" w:eastAsia="宋体" w:cs="宋体" w:hint="eastAsia"/>
                <w:b w:val="0"/>
                <w:kern w:val="0"/>
                <w:sz w:val="24"/>
                <w:szCs w:val="24"/>
              </w:rPr>
              <w:t>质保期限（或试剂有效期）承诺符合招标文件最低要求，得基础分2分；若优于采购文件要求，每增加一个月加0.</w:t>
            </w:r>
            <w:r>
              <w:rPr>
                <w:rFonts w:ascii="宋体" w:eastAsia="宋体" w:cs="宋体" w:hint="eastAsia"/>
                <w:b w:val="0"/>
                <w:kern w:val="0"/>
                <w:sz w:val="24"/>
                <w:szCs w:val="24"/>
                <w:lang w:val="en-US" w:eastAsia="zh-CN"/>
              </w:rPr>
              <w:t>5</w:t>
            </w:r>
            <w:r>
              <w:rPr>
                <w:rFonts w:ascii="宋体" w:eastAsia="宋体" w:cs="宋体" w:hint="eastAsia"/>
                <w:b w:val="0"/>
                <w:kern w:val="0"/>
                <w:sz w:val="24"/>
                <w:szCs w:val="24"/>
              </w:rPr>
              <w:t>分，此项最多加至5分。</w:t>
            </w:r>
          </w:p>
        </w:tc>
      </w:tr>
      <w:tr>
        <w:trPr>
          <w:cantSplit/>
          <w:trHeight w:val="844"/>
        </w:trPr>
        <w:tc>
          <w:tcPr>
            <w:tcW w:w="944" w:type="dxa"/>
            <w:vMerge/>
            <w:tcBorders>
              <w:top w:val="single" w:sz="4" w:space="0" w:color="auto"/>
              <w:left w:val="single" w:sz="4" w:space="0" w:color="auto"/>
              <w:bottom w:val="single" w:sz="4" w:space="0" w:color="auto"/>
              <w:right w:val="single" w:sz="4" w:space="0" w:color="auto"/>
            </w:tcBorders>
            <w:noWrap/>
            <w:vAlign w:val="center"/>
          </w:tcPr>
          <w:p/>
        </w:tc>
        <w:tc>
          <w:tcPr>
            <w:tcW w:w="1803" w:type="dxa"/>
            <w:vMerge/>
            <w:tcBorders>
              <w:top w:val="single" w:sz="4" w:space="0" w:color="auto"/>
              <w:left w:val="single" w:sz="4" w:space="0" w:color="auto"/>
              <w:bottom w:val="single" w:sz="4" w:space="0" w:color="auto"/>
              <w:right w:val="single" w:sz="4" w:space="0" w:color="auto"/>
            </w:tcBorders>
            <w:noWrap/>
            <w:vAlign w:val="center"/>
          </w:tcPr>
          <w:p/>
        </w:tc>
        <w:tc>
          <w:tcPr>
            <w:tcW w:w="853" w:type="dxa"/>
            <w:tcBorders>
              <w:top w:val="single" w:sz="4" w:space="0" w:color="auto"/>
              <w:left w:val="single" w:sz="4" w:space="0" w:color="auto"/>
              <w:bottom w:val="single" w:sz="4" w:space="0" w:color="auto"/>
              <w:right w:val="single" w:sz="4" w:space="0" w:color="auto"/>
            </w:tcBorders>
            <w:noWrap/>
            <w:vAlign w:val="center"/>
          </w:tcPr>
          <w:p>
            <w:pPr>
              <w:pStyle w:val="50"/>
              <w:spacing w:line="240" w:lineRule="auto"/>
              <w:ind w:firstLineChars="0" w:firstLine="0"/>
              <w:rPr>
                <w:rFonts w:ascii="宋体" w:eastAsia="宋体" w:cs="宋体" w:hint="eastAsia"/>
                <w:b w:val="0"/>
                <w:kern w:val="0"/>
                <w:sz w:val="24"/>
                <w:szCs w:val="24"/>
              </w:rPr>
            </w:pPr>
            <w:r>
              <w:rPr>
                <w:rFonts w:ascii="宋体" w:eastAsia="宋体" w:cs="宋体" w:hint="eastAsia"/>
                <w:b w:val="0"/>
                <w:kern w:val="0"/>
                <w:sz w:val="24"/>
                <w:szCs w:val="24"/>
              </w:rPr>
              <w:t>4分</w:t>
            </w:r>
          </w:p>
        </w:tc>
        <w:tc>
          <w:tcPr>
            <w:tcW w:w="6180" w:type="dxa"/>
            <w:tcBorders>
              <w:top w:val="single" w:sz="4" w:space="0" w:color="auto"/>
              <w:left w:val="single" w:sz="4" w:space="0" w:color="auto"/>
              <w:bottom w:val="single" w:sz="4" w:space="0" w:color="auto"/>
              <w:right w:val="single" w:sz="4" w:space="0" w:color="auto"/>
            </w:tcBorders>
            <w:noWrap/>
            <w:vAlign w:val="center"/>
          </w:tcPr>
          <w:p>
            <w:pPr>
              <w:pStyle w:val="50"/>
              <w:spacing w:line="240" w:lineRule="auto"/>
              <w:ind w:firstLineChars="0" w:firstLine="0"/>
              <w:jc w:val="both"/>
              <w:rPr>
                <w:rFonts w:ascii="宋体" w:eastAsia="宋体" w:cs="宋体" w:hint="eastAsia"/>
                <w:b w:val="0"/>
                <w:kern w:val="0"/>
                <w:sz w:val="24"/>
                <w:szCs w:val="24"/>
              </w:rPr>
            </w:pPr>
            <w:r>
              <w:rPr>
                <w:rFonts w:ascii="宋体" w:eastAsia="宋体" w:cs="宋体" w:hint="eastAsia"/>
                <w:b w:val="0"/>
                <w:kern w:val="0"/>
                <w:sz w:val="24"/>
                <w:szCs w:val="24"/>
              </w:rPr>
              <w:t>疆内设有常驻售后服务工程师，提供常驻售后服务工程师近三个月的社保缴纳记</w:t>
            </w:r>
            <w:r>
              <w:rPr>
                <w:rFonts w:ascii="宋体" w:eastAsia="宋体" w:cs="宋体" w:hint="eastAsia"/>
                <w:b w:val="0"/>
                <w:kern w:val="0"/>
                <w:sz w:val="24"/>
                <w:szCs w:val="24"/>
                <w:highlight w:val="auto"/>
              </w:rPr>
              <w:t>录</w:t>
            </w:r>
            <w:r>
              <w:rPr>
                <w:rFonts w:ascii="宋体" w:eastAsia="宋体" w:cs="宋体" w:hint="eastAsia"/>
                <w:b w:val="0"/>
                <w:kern w:val="0"/>
                <w:sz w:val="24"/>
                <w:szCs w:val="24"/>
                <w:lang w:eastAsia="zh-CN"/>
                <w:highlight w:val="auto"/>
              </w:rPr>
              <w:t>得</w:t>
            </w:r>
            <w:r>
              <w:rPr>
                <w:rFonts w:ascii="宋体" w:eastAsia="宋体" w:cs="宋体" w:hint="eastAsia"/>
                <w:b w:val="0"/>
                <w:kern w:val="0"/>
                <w:sz w:val="24"/>
                <w:szCs w:val="24"/>
                <w:lang w:val="en-US" w:eastAsia="zh-CN"/>
                <w:highlight w:val="auto"/>
              </w:rPr>
              <w:t>4</w:t>
            </w:r>
            <w:r>
              <w:rPr>
                <w:rFonts w:ascii="宋体" w:eastAsia="宋体" w:cs="宋体" w:hint="eastAsia"/>
                <w:b w:val="0"/>
                <w:kern w:val="0"/>
                <w:sz w:val="24"/>
                <w:szCs w:val="24"/>
                <w:lang w:eastAsia="zh-CN"/>
                <w:highlight w:val="auto"/>
              </w:rPr>
              <w:t>分</w:t>
            </w:r>
            <w:r>
              <w:rPr>
                <w:rFonts w:ascii="宋体" w:eastAsia="宋体" w:cs="宋体" w:hint="eastAsia"/>
                <w:b w:val="0"/>
                <w:kern w:val="0"/>
                <w:sz w:val="24"/>
                <w:szCs w:val="24"/>
                <w:lang w:eastAsia="zh-CN"/>
              </w:rPr>
              <w:t>；</w:t>
            </w:r>
            <w:r>
              <w:rPr>
                <w:rFonts w:ascii="宋体" w:eastAsia="宋体" w:cs="宋体" w:hint="eastAsia"/>
                <w:b w:val="0"/>
                <w:kern w:val="0"/>
                <w:sz w:val="24"/>
                <w:szCs w:val="24"/>
              </w:rPr>
              <w:t>未提供相应证明资料的，不得分。</w:t>
            </w:r>
          </w:p>
        </w:tc>
      </w:tr>
      <w:tr>
        <w:trPr>
          <w:cantSplit/>
          <w:trHeight w:val="844"/>
        </w:trPr>
        <w:tc>
          <w:tcPr>
            <w:tcW w:w="944" w:type="dxa"/>
            <w:vMerge/>
            <w:tcBorders>
              <w:top w:val="single" w:sz="4" w:space="0" w:color="auto"/>
              <w:left w:val="single" w:sz="4" w:space="0" w:color="auto"/>
              <w:bottom w:val="single" w:sz="4" w:space="0" w:color="auto"/>
              <w:right w:val="single" w:sz="4" w:space="0" w:color="auto"/>
            </w:tcBorders>
            <w:noWrap/>
            <w:vAlign w:val="center"/>
          </w:tcPr>
          <w:p/>
        </w:tc>
        <w:tc>
          <w:tcPr>
            <w:tcW w:w="1803" w:type="dxa"/>
            <w:vMerge/>
            <w:tcBorders>
              <w:top w:val="single" w:sz="4" w:space="0" w:color="auto"/>
              <w:left w:val="single" w:sz="4" w:space="0" w:color="auto"/>
              <w:bottom w:val="single" w:sz="4" w:space="0" w:color="auto"/>
              <w:right w:val="single" w:sz="4" w:space="0" w:color="auto"/>
            </w:tcBorders>
            <w:noWrap/>
            <w:vAlign w:val="center"/>
          </w:tcPr>
          <w:p/>
        </w:tc>
        <w:tc>
          <w:tcPr>
            <w:tcW w:w="853" w:type="dxa"/>
            <w:tcBorders>
              <w:top w:val="single" w:sz="4" w:space="0" w:color="auto"/>
              <w:left w:val="single" w:sz="4" w:space="0" w:color="auto"/>
              <w:bottom w:val="single" w:sz="4" w:space="0" w:color="auto"/>
              <w:right w:val="single" w:sz="4" w:space="0" w:color="auto"/>
            </w:tcBorders>
            <w:noWrap/>
            <w:vAlign w:val="center"/>
          </w:tcPr>
          <w:p>
            <w:pPr>
              <w:pStyle w:val="50"/>
              <w:spacing w:line="240" w:lineRule="auto"/>
              <w:ind w:firstLineChars="0" w:firstLine="0"/>
              <w:rPr>
                <w:rFonts w:ascii="宋体" w:eastAsia="宋体" w:cs="宋体" w:hint="eastAsia"/>
                <w:b w:val="0"/>
                <w:kern w:val="0"/>
                <w:sz w:val="24"/>
                <w:szCs w:val="24"/>
              </w:rPr>
            </w:pPr>
            <w:r>
              <w:rPr>
                <w:rFonts w:ascii="宋体" w:eastAsia="宋体" w:cs="宋体" w:hint="eastAsia"/>
                <w:b w:val="0"/>
                <w:kern w:val="0"/>
                <w:sz w:val="24"/>
                <w:szCs w:val="24"/>
                <w:lang w:val="en-US" w:eastAsia="zh-CN"/>
              </w:rPr>
              <w:t>3</w:t>
            </w:r>
            <w:r>
              <w:rPr>
                <w:rFonts w:ascii="宋体" w:eastAsia="宋体" w:cs="宋体" w:hint="eastAsia"/>
                <w:b w:val="0"/>
                <w:kern w:val="0"/>
                <w:sz w:val="24"/>
                <w:szCs w:val="24"/>
              </w:rPr>
              <w:t>分</w:t>
            </w:r>
          </w:p>
        </w:tc>
        <w:tc>
          <w:tcPr>
            <w:tcW w:w="6180" w:type="dxa"/>
            <w:tcBorders>
              <w:top w:val="single" w:sz="4" w:space="0" w:color="auto"/>
              <w:left w:val="single" w:sz="4" w:space="0" w:color="auto"/>
              <w:bottom w:val="single" w:sz="4" w:space="0" w:color="auto"/>
              <w:right w:val="single" w:sz="4" w:space="0" w:color="auto"/>
            </w:tcBorders>
            <w:noWrap/>
            <w:vAlign w:val="center"/>
          </w:tcPr>
          <w:p>
            <w:pPr>
              <w:pStyle w:val="50"/>
              <w:spacing w:line="240" w:lineRule="auto"/>
              <w:ind w:firstLineChars="0" w:firstLine="0"/>
              <w:jc w:val="both"/>
              <w:rPr>
                <w:rFonts w:ascii="宋体" w:eastAsia="宋体" w:cs="宋体" w:hint="eastAsia"/>
                <w:b w:val="0"/>
                <w:kern w:val="0"/>
                <w:sz w:val="24"/>
                <w:szCs w:val="24"/>
              </w:rPr>
            </w:pPr>
            <w:r>
              <w:rPr>
                <w:rFonts w:ascii="宋体" w:eastAsia="宋体" w:cs="宋体" w:hint="eastAsia"/>
                <w:b w:val="0"/>
                <w:kern w:val="0"/>
                <w:sz w:val="24"/>
                <w:szCs w:val="24"/>
              </w:rPr>
              <w:t>供应商须提供完整的售后服务方案。供应商售后服务体系及管理制度完整、方案完整合理，由评委进行综合评比打分；优得</w:t>
            </w:r>
            <w:r>
              <w:rPr>
                <w:rFonts w:ascii="宋体" w:eastAsia="宋体" w:cs="宋体" w:hint="eastAsia"/>
                <w:b w:val="0"/>
                <w:kern w:val="0"/>
                <w:sz w:val="24"/>
                <w:szCs w:val="24"/>
                <w:lang w:val="en-US" w:eastAsia="zh-CN"/>
              </w:rPr>
              <w:t>3</w:t>
            </w:r>
            <w:r>
              <w:rPr>
                <w:rFonts w:ascii="宋体" w:eastAsia="宋体" w:cs="宋体" w:hint="eastAsia"/>
                <w:b w:val="0"/>
                <w:kern w:val="0"/>
                <w:sz w:val="24"/>
                <w:szCs w:val="24"/>
              </w:rPr>
              <w:t>分；良得</w:t>
            </w:r>
            <w:r>
              <w:rPr>
                <w:rFonts w:ascii="宋体" w:eastAsia="宋体" w:cs="宋体" w:hint="eastAsia"/>
                <w:b w:val="0"/>
                <w:kern w:val="0"/>
                <w:sz w:val="24"/>
                <w:szCs w:val="24"/>
                <w:lang w:val="en-US" w:eastAsia="zh-CN"/>
              </w:rPr>
              <w:t>2</w:t>
            </w:r>
            <w:r>
              <w:rPr>
                <w:rFonts w:ascii="宋体" w:eastAsia="宋体" w:cs="宋体" w:hint="eastAsia"/>
                <w:b w:val="0"/>
                <w:kern w:val="0"/>
                <w:sz w:val="24"/>
                <w:szCs w:val="24"/>
              </w:rPr>
              <w:t>分；一般得1分，差不得分。</w:t>
            </w:r>
          </w:p>
        </w:tc>
      </w:tr>
      <w:tr>
        <w:trPr>
          <w:cantSplit/>
          <w:trHeight w:val="844"/>
        </w:trPr>
        <w:tc>
          <w:tcPr>
            <w:tcW w:w="944" w:type="dxa"/>
            <w:vMerge/>
            <w:tcBorders>
              <w:top w:val="single" w:sz="4" w:space="0" w:color="auto"/>
              <w:left w:val="single" w:sz="4" w:space="0" w:color="auto"/>
              <w:bottom w:val="single" w:sz="4" w:space="0" w:color="auto"/>
              <w:right w:val="single" w:sz="4" w:space="0" w:color="auto"/>
            </w:tcBorders>
            <w:noWrap/>
            <w:vAlign w:val="center"/>
          </w:tcPr>
          <w:p/>
        </w:tc>
        <w:tc>
          <w:tcPr>
            <w:tcW w:w="1803" w:type="dxa"/>
            <w:tcBorders>
              <w:top w:val="single" w:sz="4" w:space="0" w:color="auto"/>
              <w:left w:val="single" w:sz="4" w:space="0" w:color="auto"/>
              <w:bottom w:val="single" w:sz="4" w:space="0" w:color="auto"/>
              <w:right w:val="single" w:sz="4" w:space="0" w:color="auto"/>
            </w:tcBorders>
            <w:noWrap/>
            <w:vAlign w:val="center"/>
          </w:tcPr>
          <w:p>
            <w:pPr>
              <w:pStyle w:val="50"/>
              <w:snapToGrid w:val="0"/>
              <w:spacing w:line="240" w:lineRule="auto"/>
              <w:ind w:firstLineChars="0" w:firstLine="0"/>
              <w:rPr>
                <w:rFonts w:ascii="宋体" w:eastAsia="宋体" w:cs="宋体" w:hint="eastAsia"/>
                <w:b w:val="0"/>
                <w:kern w:val="0"/>
                <w:sz w:val="24"/>
                <w:szCs w:val="24"/>
              </w:rPr>
            </w:pPr>
            <w:r>
              <w:rPr>
                <w:rFonts w:ascii="宋体" w:eastAsia="宋体" w:cs="宋体" w:hint="eastAsia"/>
                <w:b w:val="0"/>
                <w:kern w:val="0"/>
                <w:sz w:val="24"/>
                <w:szCs w:val="24"/>
              </w:rPr>
              <w:t>售后服务保证</w:t>
            </w:r>
          </w:p>
        </w:tc>
        <w:tc>
          <w:tcPr>
            <w:tcW w:w="853" w:type="dxa"/>
            <w:tcBorders>
              <w:top w:val="single" w:sz="4" w:space="0" w:color="auto"/>
              <w:left w:val="single" w:sz="4" w:space="0" w:color="auto"/>
              <w:bottom w:val="single" w:sz="4" w:space="0" w:color="auto"/>
              <w:right w:val="single" w:sz="4" w:space="0" w:color="auto"/>
            </w:tcBorders>
            <w:noWrap/>
            <w:vAlign w:val="center"/>
          </w:tcPr>
          <w:p>
            <w:pPr>
              <w:pStyle w:val="50"/>
              <w:spacing w:line="240" w:lineRule="auto"/>
              <w:ind w:firstLineChars="0" w:firstLine="0"/>
              <w:rPr>
                <w:rFonts w:ascii="宋体" w:eastAsia="宋体" w:cs="宋体" w:hint="eastAsia"/>
                <w:b w:val="0"/>
                <w:kern w:val="0"/>
                <w:sz w:val="24"/>
                <w:szCs w:val="24"/>
              </w:rPr>
            </w:pPr>
            <w:r>
              <w:rPr>
                <w:rFonts w:ascii="宋体" w:eastAsia="宋体" w:cs="宋体" w:hint="eastAsia"/>
                <w:b w:val="0"/>
                <w:kern w:val="0"/>
                <w:sz w:val="24"/>
                <w:szCs w:val="24"/>
                <w:lang w:val="en-US" w:eastAsia="zh-CN"/>
              </w:rPr>
              <w:t>4</w:t>
            </w:r>
            <w:r>
              <w:rPr>
                <w:rFonts w:ascii="宋体" w:eastAsia="宋体" w:cs="宋体" w:hint="eastAsia"/>
                <w:b w:val="0"/>
                <w:kern w:val="0"/>
                <w:sz w:val="24"/>
                <w:szCs w:val="24"/>
              </w:rPr>
              <w:t>分</w:t>
            </w:r>
          </w:p>
        </w:tc>
        <w:tc>
          <w:tcPr>
            <w:tcW w:w="6180" w:type="dxa"/>
            <w:tcBorders>
              <w:top w:val="single" w:sz="4" w:space="0" w:color="auto"/>
              <w:left w:val="single" w:sz="4" w:space="0" w:color="auto"/>
              <w:bottom w:val="single" w:sz="4" w:space="0" w:color="auto"/>
              <w:right w:val="single" w:sz="4" w:space="0" w:color="auto"/>
            </w:tcBorders>
            <w:noWrap/>
            <w:vAlign w:val="center"/>
          </w:tcPr>
          <w:p>
            <w:pPr>
              <w:pStyle w:val="50"/>
              <w:spacing w:line="240" w:lineRule="auto"/>
              <w:ind w:firstLineChars="0" w:firstLine="0"/>
              <w:jc w:val="both"/>
              <w:rPr>
                <w:rFonts w:ascii="宋体" w:eastAsia="宋体" w:cs="宋体"/>
                <w:b w:val="0"/>
                <w:kern w:val="0"/>
                <w:sz w:val="24"/>
                <w:szCs w:val="24"/>
                <w:lang w:val="en-US" w:eastAsia="zh-CN"/>
              </w:rPr>
            </w:pPr>
            <w:r>
              <w:rPr>
                <w:rFonts w:ascii="宋体" w:eastAsia="宋体" w:cs="宋体" w:hint="eastAsia"/>
                <w:b w:val="0"/>
                <w:kern w:val="0"/>
                <w:sz w:val="24"/>
                <w:szCs w:val="24"/>
              </w:rPr>
              <w:t>售后派出的服务的人员（职称、专业、数量）、服务内容、响应时间等实质性承诺及保证措施等是否到位、可行、合理、操作性强0-</w:t>
            </w:r>
            <w:r>
              <w:rPr>
                <w:rFonts w:ascii="宋体" w:eastAsia="宋体" w:cs="宋体" w:hint="eastAsia"/>
                <w:b w:val="0"/>
                <w:kern w:val="0"/>
                <w:sz w:val="24"/>
                <w:szCs w:val="24"/>
                <w:lang w:val="en-US" w:eastAsia="zh-CN"/>
              </w:rPr>
              <w:t>4。（注：</w:t>
            </w:r>
            <w:r>
              <w:rPr>
                <w:rFonts w:ascii="宋体" w:eastAsia="宋体" w:cs="宋体"/>
                <w:b w:val="0"/>
                <w:bCs/>
                <w:sz w:val="24"/>
                <w:szCs w:val="24"/>
                <w:highlight w:val="auto"/>
              </w:rPr>
              <w:t>送货上门，出现任何问题，确保在2个工作日内上门退换货处理</w:t>
            </w:r>
            <w:r>
              <w:rPr>
                <w:rFonts w:ascii="宋体" w:eastAsia="宋体" w:cs="宋体" w:hint="eastAsia"/>
                <w:b w:val="0"/>
                <w:kern w:val="0"/>
                <w:sz w:val="24"/>
                <w:szCs w:val="24"/>
                <w:lang w:val="en-US" w:eastAsia="zh-CN"/>
              </w:rPr>
              <w:t>）</w:t>
            </w:r>
          </w:p>
        </w:tc>
      </w:tr>
      <w:tr>
        <w:trPr>
          <w:cantSplit/>
          <w:trHeight w:val="844"/>
        </w:trPr>
        <w:tc>
          <w:tcPr>
            <w:tcW w:w="944" w:type="dxa"/>
            <w:vMerge/>
            <w:tcBorders>
              <w:top w:val="single" w:sz="4" w:space="0" w:color="auto"/>
              <w:left w:val="single" w:sz="4" w:space="0" w:color="auto"/>
              <w:bottom w:val="single" w:sz="4" w:space="0" w:color="auto"/>
              <w:right w:val="single" w:sz="4" w:space="0" w:color="auto"/>
            </w:tcBorders>
            <w:noWrap/>
            <w:vAlign w:val="center"/>
          </w:tcPr>
          <w:p/>
        </w:tc>
        <w:tc>
          <w:tcPr>
            <w:tcW w:w="1803" w:type="dxa"/>
            <w:tcBorders>
              <w:top w:val="single" w:sz="4" w:space="0" w:color="auto"/>
              <w:left w:val="single" w:sz="4" w:space="0" w:color="auto"/>
              <w:bottom w:val="single" w:sz="4" w:space="0" w:color="auto"/>
              <w:right w:val="single" w:sz="4" w:space="0" w:color="auto"/>
            </w:tcBorders>
            <w:noWrap/>
            <w:vAlign w:val="center"/>
          </w:tcPr>
          <w:p>
            <w:pPr>
              <w:pStyle w:val="50"/>
              <w:snapToGrid w:val="0"/>
              <w:spacing w:line="240" w:lineRule="auto"/>
              <w:ind w:firstLineChars="0" w:firstLine="0"/>
              <w:rPr>
                <w:rFonts w:ascii="宋体" w:eastAsia="宋体" w:cs="宋体" w:hint="eastAsia"/>
                <w:b w:val="0"/>
                <w:kern w:val="0"/>
                <w:sz w:val="24"/>
                <w:szCs w:val="24"/>
              </w:rPr>
            </w:pPr>
            <w:r>
              <w:rPr>
                <w:rFonts w:ascii="宋体" w:eastAsia="宋体" w:cs="宋体" w:hint="eastAsia"/>
                <w:b w:val="0"/>
                <w:kern w:val="0"/>
                <w:sz w:val="24"/>
                <w:szCs w:val="24"/>
              </w:rPr>
              <w:t>投标文件及相关资料的完整性</w:t>
            </w:r>
          </w:p>
        </w:tc>
        <w:tc>
          <w:tcPr>
            <w:tcW w:w="853" w:type="dxa"/>
            <w:tcBorders>
              <w:top w:val="single" w:sz="4" w:space="0" w:color="auto"/>
              <w:left w:val="single" w:sz="4" w:space="0" w:color="auto"/>
              <w:bottom w:val="single" w:sz="4" w:space="0" w:color="auto"/>
              <w:right w:val="single" w:sz="4" w:space="0" w:color="auto"/>
            </w:tcBorders>
            <w:noWrap/>
            <w:vAlign w:val="center"/>
          </w:tcPr>
          <w:p>
            <w:pPr>
              <w:pStyle w:val="50"/>
              <w:snapToGrid w:val="0"/>
              <w:spacing w:line="240" w:lineRule="auto"/>
              <w:ind w:firstLineChars="0" w:firstLine="0"/>
              <w:rPr>
                <w:rFonts w:ascii="宋体" w:eastAsia="宋体" w:cs="宋体" w:hint="eastAsia"/>
                <w:b w:val="0"/>
                <w:kern w:val="0"/>
                <w:sz w:val="24"/>
                <w:szCs w:val="24"/>
              </w:rPr>
            </w:pPr>
            <w:r>
              <w:rPr>
                <w:rFonts w:ascii="宋体" w:eastAsia="宋体" w:cs="宋体" w:hint="eastAsia"/>
                <w:b w:val="0"/>
                <w:kern w:val="0"/>
                <w:sz w:val="24"/>
                <w:szCs w:val="24"/>
              </w:rPr>
              <w:t>3分</w:t>
            </w:r>
          </w:p>
        </w:tc>
        <w:tc>
          <w:tcPr>
            <w:tcW w:w="6180" w:type="dxa"/>
            <w:tcBorders>
              <w:top w:val="single" w:sz="4" w:space="0" w:color="auto"/>
              <w:left w:val="single" w:sz="4" w:space="0" w:color="auto"/>
              <w:bottom w:val="single" w:sz="4" w:space="0" w:color="auto"/>
              <w:right w:val="single" w:sz="4" w:space="0" w:color="auto"/>
            </w:tcBorders>
            <w:noWrap/>
            <w:vAlign w:val="center"/>
          </w:tcPr>
          <w:p>
            <w:pPr>
              <w:pStyle w:val="50"/>
              <w:spacing w:line="240" w:lineRule="auto"/>
              <w:ind w:firstLineChars="0" w:firstLine="0"/>
              <w:jc w:val="both"/>
              <w:rPr>
                <w:rFonts w:ascii="宋体" w:eastAsia="宋体" w:cs="宋体" w:hint="eastAsia"/>
                <w:b w:val="0"/>
                <w:kern w:val="0"/>
                <w:sz w:val="24"/>
                <w:szCs w:val="24"/>
              </w:rPr>
            </w:pPr>
            <w:r>
              <w:rPr>
                <w:rFonts w:ascii="宋体" w:eastAsia="宋体" w:cs="宋体" w:hint="eastAsia"/>
                <w:b w:val="0"/>
                <w:kern w:val="0"/>
                <w:sz w:val="24"/>
                <w:szCs w:val="24"/>
              </w:rPr>
              <w:t>相关资料的提供情况，是否真实、完整、清晰、有序、合理；投标文件是否编制完整、格式规范、内容齐全、表述准确、条理清晰，内容无前后矛盾，评委根据各投标文件的制作情况及资料提供情况进行综合评比打分，优得3分；良得2分；一般得1分。</w:t>
            </w:r>
          </w:p>
        </w:tc>
      </w:tr>
      <w:tr>
        <w:trPr>
          <w:cantSplit/>
          <w:trHeight w:val="844"/>
        </w:trPr>
        <w:tc>
          <w:tcPr>
            <w:tcW w:w="944" w:type="dxa"/>
            <w:tcBorders>
              <w:top w:val="single" w:sz="4" w:space="0" w:color="auto"/>
              <w:left w:val="single" w:sz="4" w:space="0" w:color="auto"/>
              <w:bottom w:val="single" w:sz="4" w:space="0" w:color="auto"/>
              <w:right w:val="single" w:sz="4" w:space="0" w:color="auto"/>
            </w:tcBorders>
            <w:noWrap/>
            <w:vAlign w:val="center"/>
          </w:tcPr>
          <w:p>
            <w:pPr>
              <w:widowControl/>
              <w:jc w:val="left"/>
              <w:rPr>
                <w:rFonts w:ascii="宋体" w:eastAsia="宋体" w:cs="宋体" w:hint="eastAsia"/>
                <w:kern w:val="0"/>
                <w:sz w:val="24"/>
                <w:szCs w:val="24"/>
              </w:rPr>
            </w:pPr>
          </w:p>
        </w:tc>
        <w:tc>
          <w:tcPr>
            <w:tcW w:w="1803" w:type="dxa"/>
            <w:tcBorders>
              <w:top w:val="single" w:sz="4" w:space="0" w:color="auto"/>
              <w:left w:val="single" w:sz="4" w:space="0" w:color="auto"/>
              <w:bottom w:val="single" w:sz="4" w:space="0" w:color="auto"/>
              <w:right w:val="single" w:sz="4" w:space="0" w:color="auto"/>
            </w:tcBorders>
            <w:noWrap/>
            <w:vAlign w:val="center"/>
          </w:tcPr>
          <w:p>
            <w:pPr>
              <w:pStyle w:val="50"/>
              <w:snapToGrid w:val="0"/>
              <w:spacing w:line="240" w:lineRule="auto"/>
              <w:ind w:firstLineChars="0" w:firstLine="0"/>
              <w:rPr>
                <w:rFonts w:ascii="宋体" w:eastAsia="宋体" w:cs="宋体" w:hint="eastAsia"/>
                <w:b w:val="0"/>
                <w:kern w:val="0"/>
                <w:sz w:val="24"/>
                <w:szCs w:val="24"/>
              </w:rPr>
            </w:pPr>
            <w:r>
              <w:rPr>
                <w:rFonts w:ascii="宋体" w:eastAsia="宋体" w:cs="宋体" w:hint="eastAsia"/>
                <w:b w:val="0"/>
                <w:kern w:val="0"/>
                <w:sz w:val="24"/>
                <w:szCs w:val="24"/>
              </w:rPr>
              <w:t>经营业绩</w:t>
            </w:r>
          </w:p>
        </w:tc>
        <w:tc>
          <w:tcPr>
            <w:tcW w:w="853" w:type="dxa"/>
            <w:tcBorders>
              <w:top w:val="single" w:sz="4" w:space="0" w:color="auto"/>
              <w:left w:val="single" w:sz="4" w:space="0" w:color="auto"/>
              <w:bottom w:val="single" w:sz="4" w:space="0" w:color="auto"/>
              <w:right w:val="single" w:sz="4" w:space="0" w:color="auto"/>
            </w:tcBorders>
            <w:noWrap/>
            <w:vAlign w:val="center"/>
          </w:tcPr>
          <w:p>
            <w:pPr>
              <w:pStyle w:val="50"/>
              <w:snapToGrid w:val="0"/>
              <w:spacing w:line="240" w:lineRule="auto"/>
              <w:ind w:firstLineChars="0" w:firstLine="0"/>
              <w:rPr>
                <w:rFonts w:ascii="宋体" w:eastAsia="宋体" w:cs="宋体" w:hint="eastAsia"/>
                <w:b w:val="0"/>
                <w:kern w:val="0"/>
                <w:sz w:val="24"/>
                <w:szCs w:val="24"/>
              </w:rPr>
            </w:pPr>
            <w:r>
              <w:rPr>
                <w:rFonts w:ascii="宋体" w:eastAsia="宋体" w:cs="宋体" w:hint="eastAsia"/>
                <w:b w:val="0"/>
                <w:kern w:val="0"/>
                <w:sz w:val="24"/>
                <w:szCs w:val="24"/>
                <w:lang w:val="en-US" w:eastAsia="zh-CN"/>
              </w:rPr>
              <w:t>6</w:t>
            </w:r>
            <w:r>
              <w:rPr>
                <w:rFonts w:ascii="宋体" w:eastAsia="宋体" w:cs="宋体" w:hint="eastAsia"/>
                <w:b w:val="0"/>
                <w:kern w:val="0"/>
                <w:sz w:val="24"/>
                <w:szCs w:val="24"/>
              </w:rPr>
              <w:t>分</w:t>
            </w:r>
          </w:p>
        </w:tc>
        <w:tc>
          <w:tcPr>
            <w:tcW w:w="6180" w:type="dxa"/>
            <w:tcBorders>
              <w:top w:val="single" w:sz="4" w:space="0" w:color="auto"/>
              <w:left w:val="single" w:sz="4" w:space="0" w:color="auto"/>
              <w:bottom w:val="single" w:sz="4" w:space="0" w:color="auto"/>
              <w:right w:val="single" w:sz="4" w:space="0" w:color="auto"/>
            </w:tcBorders>
            <w:noWrap/>
            <w:vAlign w:val="center"/>
          </w:tcPr>
          <w:p>
            <w:pPr>
              <w:spacing w:line="440" w:lineRule="exact"/>
              <w:rPr>
                <w:rFonts w:ascii="宋体" w:eastAsia="宋体" w:cs="宋体" w:hint="eastAsia"/>
                <w:b w:val="0"/>
                <w:kern w:val="0"/>
                <w:sz w:val="24"/>
                <w:szCs w:val="24"/>
                <w:lang w:val="en-US" w:eastAsia="zh-CN" w:bidi="ar-SA"/>
              </w:rPr>
            </w:pPr>
            <w:r>
              <w:rPr>
                <w:rFonts w:ascii="宋体" w:eastAsia="宋体" w:cs="宋体" w:hint="eastAsia"/>
                <w:b w:val="0"/>
                <w:kern w:val="0"/>
                <w:sz w:val="24"/>
                <w:szCs w:val="24"/>
                <w:lang w:val="en-US" w:eastAsia="zh-CN" w:bidi="ar-SA"/>
              </w:rPr>
              <w:t>根据投标文件所提供的投标人投标截止日前三年内同类项目经营业绩进行比较（有效业绩需附合同和中标通知书复印件，每一份有效业绩加2分，直至满6分。</w:t>
            </w:r>
          </w:p>
          <w:p>
            <w:pPr>
              <w:pStyle w:val="50"/>
              <w:spacing w:line="240" w:lineRule="auto"/>
              <w:ind w:firstLineChars="0" w:firstLine="0"/>
              <w:jc w:val="both"/>
              <w:rPr>
                <w:rFonts w:ascii="宋体" w:eastAsia="宋体" w:cs="宋体" w:hint="eastAsia"/>
                <w:b w:val="0"/>
                <w:kern w:val="0"/>
                <w:sz w:val="24"/>
                <w:szCs w:val="24"/>
              </w:rPr>
            </w:pPr>
            <w:r>
              <w:rPr>
                <w:rFonts w:ascii="宋体" w:eastAsia="宋体" w:cs="宋体" w:hint="eastAsia"/>
                <w:b w:val="0"/>
                <w:kern w:val="0"/>
                <w:sz w:val="24"/>
                <w:szCs w:val="24"/>
                <w:lang w:val="en-US" w:eastAsia="zh-CN" w:bidi="ar-SA"/>
              </w:rPr>
              <w:t>未提供相关证明的该项为0分。</w:t>
            </w:r>
          </w:p>
        </w:tc>
      </w:tr>
    </w:tbl>
    <w:p>
      <w:pPr>
        <w:spacing w:line="440" w:lineRule="exact"/>
        <w:ind w:left="142"/>
        <w:rPr>
          <w:rFonts w:ascii="宋体" w:eastAsia="宋体" w:cs="宋体" w:hint="eastAsia"/>
          <w:b/>
          <w:sz w:val="24"/>
          <w:szCs w:val="24"/>
        </w:rPr>
      </w:pPr>
    </w:p>
    <w:p>
      <w:pPr>
        <w:spacing w:line="440" w:lineRule="exact"/>
        <w:ind w:left="142"/>
        <w:rPr>
          <w:rFonts w:ascii="宋体" w:eastAsia="宋体" w:cs="宋体" w:hint="eastAsia"/>
          <w:b/>
          <w:sz w:val="24"/>
          <w:szCs w:val="24"/>
        </w:rPr>
      </w:pPr>
    </w:p>
    <w:p>
      <w:pPr>
        <w:spacing w:line="440" w:lineRule="exact"/>
        <w:ind w:left="142"/>
        <w:rPr>
          <w:rFonts w:ascii="宋体" w:eastAsia="宋体" w:cs="宋体" w:hint="eastAsia"/>
          <w:b/>
          <w:sz w:val="24"/>
          <w:szCs w:val="24"/>
        </w:rPr>
      </w:pPr>
      <w:r>
        <w:rPr>
          <w:rFonts w:ascii="宋体" w:eastAsia="宋体" w:cs="宋体" w:hint="eastAsia"/>
          <w:b/>
          <w:sz w:val="24"/>
          <w:szCs w:val="24"/>
        </w:rPr>
        <w:t>三、经济标（投标报价）部分 30分</w:t>
      </w:r>
    </w:p>
    <w:tbl>
      <w:tblPr>
        <w:jc w:val="center"/>
        <w:tblW w:w="97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789"/>
        <w:gridCol w:w="7094"/>
        <w:gridCol w:w="870"/>
      </w:tblGrid>
      <w:tr>
        <w:trPr>
          <w:trHeight w:val="397"/>
          <w:tblHeader/>
        </w:trPr>
        <w:tc>
          <w:tcPr>
            <w:tcW w:w="1789" w:type="dxa"/>
            <w:tcBorders>
              <w:top w:val="single" w:sz="4" w:space="0" w:color="auto"/>
              <w:left w:val="single" w:sz="4" w:space="0" w:color="auto"/>
              <w:bottom w:val="single" w:sz="4" w:space="0" w:color="auto"/>
              <w:right w:val="single" w:sz="4" w:space="0" w:color="auto"/>
            </w:tcBorders>
            <w:noWrap/>
            <w:vAlign w:val="center"/>
          </w:tcPr>
          <w:p>
            <w:pPr>
              <w:pStyle w:val="47"/>
              <w:jc w:val="center"/>
              <w:rPr>
                <w:rFonts w:ascii="宋体" w:eastAsia="宋体" w:cs="宋体" w:hint="eastAsia"/>
                <w:b/>
                <w:bCs/>
                <w:color w:val="auto"/>
                <w:sz w:val="24"/>
                <w:szCs w:val="24"/>
              </w:rPr>
            </w:pPr>
            <w:r>
              <w:rPr>
                <w:rFonts w:ascii="宋体" w:eastAsia="宋体" w:cs="宋体" w:hint="eastAsia"/>
                <w:b/>
                <w:bCs/>
                <w:color w:val="auto"/>
                <w:sz w:val="24"/>
                <w:szCs w:val="24"/>
              </w:rPr>
              <w:t>项目</w:t>
            </w:r>
          </w:p>
        </w:tc>
        <w:tc>
          <w:tcPr>
            <w:tcW w:w="7094" w:type="dxa"/>
            <w:tcBorders>
              <w:top w:val="single" w:sz="4" w:space="0" w:color="auto"/>
              <w:left w:val="single" w:sz="4" w:space="0" w:color="auto"/>
              <w:bottom w:val="single" w:sz="4" w:space="0" w:color="auto"/>
              <w:right w:val="single" w:sz="4" w:space="0" w:color="auto"/>
            </w:tcBorders>
            <w:noWrap/>
            <w:vAlign w:val="center"/>
          </w:tcPr>
          <w:p>
            <w:pPr>
              <w:pStyle w:val="47"/>
              <w:jc w:val="center"/>
              <w:rPr>
                <w:rFonts w:ascii="宋体" w:eastAsia="宋体" w:cs="宋体" w:hint="eastAsia"/>
                <w:b/>
                <w:bCs/>
                <w:color w:val="auto"/>
                <w:sz w:val="24"/>
                <w:szCs w:val="24"/>
              </w:rPr>
            </w:pPr>
            <w:r>
              <w:rPr>
                <w:rFonts w:ascii="宋体" w:eastAsia="宋体" w:cs="宋体" w:hint="eastAsia"/>
                <w:b/>
                <w:bCs/>
                <w:color w:val="auto"/>
                <w:sz w:val="24"/>
                <w:szCs w:val="24"/>
              </w:rPr>
              <w:t>评标内容</w:t>
            </w:r>
          </w:p>
        </w:tc>
        <w:tc>
          <w:tcPr>
            <w:tcW w:w="870" w:type="dxa"/>
            <w:tcBorders>
              <w:top w:val="single" w:sz="4" w:space="0" w:color="auto"/>
              <w:left w:val="single" w:sz="4" w:space="0" w:color="auto"/>
              <w:bottom w:val="single" w:sz="4" w:space="0" w:color="auto"/>
              <w:right w:val="single" w:sz="4" w:space="0" w:color="auto"/>
            </w:tcBorders>
            <w:noWrap/>
            <w:vAlign w:val="center"/>
          </w:tcPr>
          <w:p>
            <w:pPr>
              <w:pStyle w:val="47"/>
              <w:jc w:val="center"/>
              <w:rPr>
                <w:rFonts w:ascii="宋体" w:eastAsia="宋体" w:cs="宋体" w:hint="eastAsia"/>
                <w:b/>
                <w:bCs/>
                <w:color w:val="auto"/>
                <w:sz w:val="24"/>
                <w:szCs w:val="24"/>
              </w:rPr>
            </w:pPr>
            <w:r>
              <w:rPr>
                <w:rFonts w:ascii="宋体" w:eastAsia="宋体" w:cs="宋体" w:hint="eastAsia"/>
                <w:b/>
                <w:bCs/>
                <w:color w:val="auto"/>
                <w:sz w:val="24"/>
                <w:szCs w:val="24"/>
              </w:rPr>
              <w:t>分值</w:t>
            </w:r>
          </w:p>
        </w:tc>
      </w:tr>
      <w:tr>
        <w:trPr>
          <w:trHeight w:val="406"/>
        </w:trPr>
        <w:tc>
          <w:tcPr>
            <w:tcW w:w="9753" w:type="dxa"/>
            <w:gridSpan w:val="3"/>
            <w:tcBorders>
              <w:top w:val="single" w:sz="4" w:space="0" w:color="auto"/>
              <w:left w:val="single" w:sz="4" w:space="0" w:color="auto"/>
              <w:bottom w:val="single" w:sz="4" w:space="0" w:color="auto"/>
              <w:right w:val="single" w:sz="4" w:space="0" w:color="auto"/>
            </w:tcBorders>
            <w:noWrap/>
            <w:vAlign w:val="center"/>
          </w:tcPr>
          <w:p>
            <w:pPr>
              <w:pStyle w:val="47"/>
              <w:rPr>
                <w:rFonts w:ascii="宋体" w:eastAsia="宋体" w:cs="宋体" w:hint="eastAsia"/>
                <w:color w:val="auto"/>
                <w:sz w:val="24"/>
                <w:szCs w:val="24"/>
              </w:rPr>
            </w:pPr>
            <w:r>
              <w:rPr>
                <w:rFonts w:ascii="宋体" w:eastAsia="宋体" w:cs="宋体" w:hint="eastAsia"/>
                <w:b/>
                <w:bCs/>
                <w:color w:val="auto"/>
                <w:sz w:val="24"/>
                <w:szCs w:val="24"/>
              </w:rPr>
              <w:t>A．投标价格评分30分</w:t>
            </w:r>
          </w:p>
        </w:tc>
      </w:tr>
      <w:tr>
        <w:trPr>
          <w:trHeight w:val="322"/>
        </w:trPr>
        <w:tc>
          <w:tcPr>
            <w:tcW w:w="1789" w:type="dxa"/>
            <w:tcBorders>
              <w:top w:val="single" w:sz="4" w:space="0" w:color="auto"/>
              <w:left w:val="single" w:sz="4" w:space="0" w:color="auto"/>
              <w:bottom w:val="single" w:sz="4" w:space="0" w:color="auto"/>
              <w:right w:val="single" w:sz="4" w:space="0" w:color="auto"/>
            </w:tcBorders>
            <w:noWrap/>
            <w:vAlign w:val="center"/>
          </w:tcPr>
          <w:p>
            <w:pPr>
              <w:pStyle w:val="47"/>
              <w:jc w:val="center"/>
              <w:rPr>
                <w:rFonts w:ascii="宋体" w:eastAsia="宋体" w:cs="宋体" w:hint="eastAsia"/>
                <w:color w:val="auto"/>
                <w:sz w:val="24"/>
                <w:szCs w:val="24"/>
              </w:rPr>
            </w:pPr>
            <w:r>
              <w:rPr>
                <w:rFonts w:ascii="宋体" w:eastAsia="宋体" w:cs="宋体" w:hint="eastAsia"/>
                <w:color w:val="auto"/>
                <w:sz w:val="24"/>
                <w:szCs w:val="24"/>
              </w:rPr>
              <w:t>价格</w:t>
            </w:r>
          </w:p>
        </w:tc>
        <w:tc>
          <w:tcPr>
            <w:tcW w:w="7094" w:type="dxa"/>
            <w:tcBorders>
              <w:top w:val="single" w:sz="4" w:space="0" w:color="auto"/>
              <w:left w:val="single" w:sz="4" w:space="0" w:color="auto"/>
              <w:bottom w:val="single" w:sz="4" w:space="0" w:color="auto"/>
              <w:right w:val="single" w:sz="4" w:space="0" w:color="auto"/>
            </w:tcBorders>
            <w:noWrap/>
            <w:vAlign w:val="center"/>
          </w:tcPr>
          <w:p>
            <w:pPr>
              <w:pStyle w:val="47"/>
              <w:rPr>
                <w:rFonts w:ascii="宋体" w:eastAsia="宋体" w:cs="宋体" w:hint="eastAsia"/>
                <w:color w:val="auto"/>
                <w:sz w:val="24"/>
                <w:szCs w:val="24"/>
              </w:rPr>
            </w:pPr>
            <w:r>
              <w:rPr>
                <w:rFonts w:ascii="宋体" w:eastAsia="宋体" w:cs="宋体" w:hint="eastAsia"/>
                <w:color w:val="auto"/>
                <w:sz w:val="24"/>
                <w:szCs w:val="24"/>
              </w:rPr>
              <w:t>价格得分的评分方法：采用低价优先法计算，即满足招标文件要求且投标价格最低的投标报价为评标基准价，其价格得分为满分。其他投标人的价格得分统一按照下列公式计算：价格得分=（评标基准价/投标报价）×30%×100，如此类推，算出所有投标供应商的价格得分。</w:t>
            </w:r>
          </w:p>
        </w:tc>
        <w:tc>
          <w:tcPr>
            <w:tcW w:w="870" w:type="dxa"/>
            <w:tcBorders>
              <w:top w:val="single" w:sz="4" w:space="0" w:color="auto"/>
              <w:left w:val="single" w:sz="4" w:space="0" w:color="auto"/>
              <w:bottom w:val="single" w:sz="4" w:space="0" w:color="auto"/>
              <w:right w:val="single" w:sz="4" w:space="0" w:color="auto"/>
            </w:tcBorders>
            <w:noWrap/>
            <w:vAlign w:val="center"/>
          </w:tcPr>
          <w:p>
            <w:pPr>
              <w:pStyle w:val="47"/>
              <w:jc w:val="center"/>
              <w:rPr>
                <w:rFonts w:ascii="宋体" w:eastAsia="宋体" w:cs="宋体" w:hint="eastAsia"/>
                <w:color w:val="auto"/>
                <w:sz w:val="24"/>
                <w:szCs w:val="24"/>
              </w:rPr>
            </w:pPr>
            <w:r>
              <w:rPr>
                <w:rFonts w:ascii="宋体" w:eastAsia="宋体" w:cs="宋体" w:hint="eastAsia"/>
                <w:color w:val="auto"/>
                <w:sz w:val="24"/>
                <w:szCs w:val="24"/>
              </w:rPr>
              <w:t>30分</w:t>
            </w:r>
          </w:p>
        </w:tc>
      </w:tr>
    </w:tbl>
    <w:p>
      <w:pPr>
        <w:autoSpaceDE w:val="0"/>
        <w:autoSpaceDN w:val="0"/>
        <w:adjustRightInd w:val="0"/>
        <w:spacing w:line="460" w:lineRule="exact"/>
        <w:ind w:left="142"/>
        <w:jc w:val="left"/>
        <w:rPr>
          <w:rFonts w:ascii="宋体" w:eastAsia="宋体" w:cs="宋体" w:hint="eastAsia"/>
          <w:b/>
          <w:bCs/>
          <w:sz w:val="24"/>
          <w:szCs w:val="24"/>
        </w:rPr>
      </w:pPr>
    </w:p>
    <w:p>
      <w:pPr>
        <w:rPr>
          <w:rFonts w:ascii="宋体" w:eastAsia="宋体" w:cs="宋体" w:hint="eastAsia"/>
          <w:b/>
          <w:bCs/>
          <w:sz w:val="24"/>
          <w:szCs w:val="24"/>
        </w:rPr>
      </w:pPr>
      <w:r>
        <w:rPr>
          <w:rFonts w:ascii="宋体" w:eastAsia="宋体" w:cs="宋体" w:hint="eastAsia"/>
          <w:b/>
          <w:bCs/>
          <w:sz w:val="24"/>
          <w:szCs w:val="24"/>
        </w:rPr>
        <w:t>11.推荐中标候选人</w:t>
      </w:r>
    </w:p>
    <w:p>
      <w:pPr>
        <w:spacing w:line="360" w:lineRule="auto"/>
        <w:rPr>
          <w:rFonts w:ascii="宋体" w:eastAsia="宋体" w:cs="宋体" w:hint="eastAsia"/>
          <w:kern w:val="0"/>
          <w:sz w:val="24"/>
          <w:szCs w:val="24"/>
        </w:rPr>
      </w:pPr>
      <w:r>
        <w:rPr>
          <w:rFonts w:ascii="宋体" w:eastAsia="宋体" w:cs="宋体" w:hint="eastAsia"/>
          <w:kern w:val="0"/>
          <w:sz w:val="24"/>
          <w:szCs w:val="24"/>
        </w:rPr>
        <w:t>评分完毕，投标报价得分和商务、技术部分得分之和，作为投标人的综合得分（精确到小数点后二位）。评标委员会按照综合得分高低进行排序，取前3名作为中标候选人推荐给采购人。如果两个投标人的得分相同，投标价格低者排在前。</w:t>
      </w:r>
    </w:p>
    <w:p>
      <w:pPr>
        <w:tabs>
          <w:tab w:val="left" w:pos="420"/>
          <w:tab w:val="left" w:pos="525"/>
          <w:tab w:val="left" w:pos="992"/>
        </w:tabs>
        <w:spacing w:line="480" w:lineRule="auto"/>
        <w:outlineLvl w:val="3"/>
        <w:rPr>
          <w:rFonts w:ascii="宋体" w:eastAsia="宋体" w:cs="宋体" w:hint="eastAsia"/>
          <w:b/>
          <w:bCs/>
          <w:sz w:val="24"/>
          <w:szCs w:val="24"/>
        </w:rPr>
      </w:pPr>
      <w:r>
        <w:rPr>
          <w:rFonts w:ascii="宋体" w:eastAsia="宋体" w:cs="宋体" w:hint="eastAsia"/>
          <w:b/>
          <w:bCs/>
          <w:sz w:val="24"/>
          <w:szCs w:val="24"/>
        </w:rPr>
        <w:t>12定标</w:t>
      </w:r>
    </w:p>
    <w:p>
      <w:pPr>
        <w:tabs>
          <w:tab w:val="left" w:pos="624"/>
          <w:tab w:val="left" w:pos="735"/>
          <w:tab w:val="left" w:pos="992"/>
          <w:tab w:val="left" w:pos="1254"/>
        </w:tabs>
        <w:spacing w:line="360" w:lineRule="auto"/>
        <w:ind w:left="142"/>
        <w:rPr>
          <w:rFonts w:ascii="宋体" w:eastAsia="宋体" w:cs="宋体" w:hint="eastAsia"/>
          <w:sz w:val="24"/>
          <w:szCs w:val="24"/>
        </w:rPr>
      </w:pPr>
      <w:r>
        <w:rPr>
          <w:rFonts w:ascii="宋体" w:eastAsia="宋体" w:cs="宋体" w:hint="eastAsia"/>
          <w:bCs/>
          <w:sz w:val="24"/>
          <w:szCs w:val="24"/>
        </w:rPr>
        <w:t>12.1评标委员会提出评标书面报告和推荐中标意见报采购人确认。确认后由采购人、招标代理机构与预中标人进行最终澄清及对投标人的资格和履约能力进行再次审查，形成最终合同的基础文件。如在最终澄清过程中，发现预中标人存在重大问题造成其履约能力不能满足要求的，取消其中标资格，并视其实际情况，保留追究其法律责任的权利。第一中标候选人未能通过资格后审或放弃中标、或因不可抗力提出不能履行合同的，采购人可以确定综合得分排名次高的第二中标候选人为中标人。</w:t>
      </w:r>
    </w:p>
    <w:p>
      <w:pPr>
        <w:tabs>
          <w:tab w:val="left" w:pos="624"/>
          <w:tab w:val="left" w:pos="735"/>
          <w:tab w:val="left" w:pos="992"/>
          <w:tab w:val="left" w:pos="1254"/>
        </w:tabs>
        <w:spacing w:line="360" w:lineRule="auto"/>
        <w:rPr>
          <w:rFonts w:ascii="宋体" w:eastAsia="宋体" w:cs="宋体" w:hint="eastAsia"/>
          <w:sz w:val="24"/>
          <w:szCs w:val="24"/>
        </w:rPr>
      </w:pPr>
      <w:r>
        <w:rPr>
          <w:rFonts w:ascii="宋体" w:eastAsia="宋体" w:cs="宋体" w:hint="eastAsia"/>
          <w:bCs/>
          <w:sz w:val="24"/>
          <w:szCs w:val="24"/>
        </w:rPr>
        <w:t>12.2最终澄清完成后，由招标代理机构向中标人发出《中标通知书》，并同时将中标结果以网上公告的方式通知所有未中标的投标人。</w:t>
      </w:r>
    </w:p>
    <w:p>
      <w:pPr>
        <w:tabs>
          <w:tab w:val="left" w:pos="420"/>
          <w:tab w:val="left" w:pos="525"/>
          <w:tab w:val="left" w:pos="992"/>
        </w:tabs>
        <w:spacing w:line="480" w:lineRule="auto"/>
        <w:outlineLvl w:val="3"/>
        <w:rPr>
          <w:rFonts w:ascii="宋体" w:eastAsia="宋体" w:cs="宋体" w:hint="eastAsia"/>
          <w:b/>
          <w:bCs/>
          <w:sz w:val="24"/>
          <w:szCs w:val="24"/>
        </w:rPr>
      </w:pPr>
      <w:r>
        <w:rPr>
          <w:rFonts w:ascii="宋体" w:eastAsia="宋体" w:cs="宋体" w:hint="eastAsia"/>
          <w:b/>
          <w:bCs/>
          <w:sz w:val="24"/>
          <w:szCs w:val="24"/>
        </w:rPr>
        <w:t>13.签约</w:t>
      </w:r>
    </w:p>
    <w:p>
      <w:pPr>
        <w:tabs>
          <w:tab w:val="left" w:pos="624"/>
          <w:tab w:val="left" w:pos="735"/>
          <w:tab w:val="left" w:pos="992"/>
          <w:tab w:val="left" w:pos="1254"/>
        </w:tabs>
        <w:spacing w:line="360" w:lineRule="auto"/>
        <w:rPr>
          <w:rFonts w:ascii="宋体" w:eastAsia="宋体" w:cs="宋体" w:hint="eastAsia"/>
          <w:bCs/>
          <w:sz w:val="24"/>
          <w:szCs w:val="24"/>
        </w:rPr>
      </w:pPr>
      <w:r>
        <w:rPr>
          <w:rFonts w:ascii="宋体" w:eastAsia="宋体" w:cs="宋体" w:hint="eastAsia"/>
          <w:bCs/>
          <w:sz w:val="24"/>
          <w:szCs w:val="24"/>
        </w:rPr>
        <w:t>13.1中标人应当在《中标通知书》发出之日起次日与招标人签订合同。</w:t>
      </w:r>
    </w:p>
    <w:p>
      <w:pPr>
        <w:tabs>
          <w:tab w:val="left" w:pos="624"/>
          <w:tab w:val="left" w:pos="735"/>
          <w:tab w:val="left" w:pos="992"/>
          <w:tab w:val="left" w:pos="1254"/>
        </w:tabs>
        <w:spacing w:line="360" w:lineRule="auto"/>
        <w:rPr>
          <w:rFonts w:ascii="宋体" w:eastAsia="宋体" w:cs="宋体" w:hint="eastAsia"/>
          <w:sz w:val="24"/>
          <w:szCs w:val="24"/>
        </w:rPr>
      </w:pPr>
      <w:r>
        <w:rPr>
          <w:rFonts w:ascii="宋体" w:eastAsia="宋体" w:cs="宋体" w:hint="eastAsia"/>
          <w:bCs/>
          <w:sz w:val="24"/>
          <w:szCs w:val="24"/>
        </w:rPr>
        <w:t>13.2招标</w:t>
      </w:r>
      <w:r>
        <w:rPr>
          <w:rFonts w:ascii="宋体" w:eastAsia="宋体" w:cs="宋体" w:hint="eastAsia"/>
          <w:sz w:val="24"/>
          <w:szCs w:val="24"/>
        </w:rPr>
        <w:t>人不得向中标人提出任何不合理的要求，作为签订合同的条件，不得与中标人私下订立背离合同实质性内容的协议。</w:t>
      </w:r>
    </w:p>
    <w:p>
      <w:pPr>
        <w:tabs>
          <w:tab w:val="left" w:pos="420"/>
          <w:tab w:val="left" w:pos="525"/>
          <w:tab w:val="left" w:pos="992"/>
        </w:tabs>
        <w:spacing w:line="480" w:lineRule="auto"/>
        <w:outlineLvl w:val="3"/>
        <w:rPr>
          <w:rFonts w:ascii="宋体" w:eastAsia="宋体" w:cs="宋体" w:hint="eastAsia"/>
          <w:b/>
          <w:bCs/>
          <w:sz w:val="24"/>
          <w:szCs w:val="24"/>
        </w:rPr>
      </w:pPr>
      <w:bookmarkStart w:id="96" w:name="_Toc245203886"/>
      <w:bookmarkStart w:id="97" w:name="_Toc185747583"/>
      <w:bookmarkStart w:id="98" w:name="_Toc226521697"/>
      <w:bookmarkStart w:id="99" w:name="_Toc272350612"/>
      <w:bookmarkStart w:id="100" w:name="_Toc271105682"/>
      <w:bookmarkStart w:id="101" w:name="_Toc277758490"/>
      <w:bookmarkStart w:id="102" w:name="_Toc22157"/>
      <w:bookmarkStart w:id="103" w:name="_Toc243743358"/>
      <w:bookmarkStart w:id="104" w:name="_Toc226966685"/>
      <w:bookmarkStart w:id="105" w:name="_Toc191353019"/>
      <w:bookmarkStart w:id="106" w:name="_Toc209258277"/>
      <w:bookmarkStart w:id="107" w:name="_Toc278958163"/>
      <w:bookmarkStart w:id="108" w:name="_Toc243923372"/>
      <w:bookmarkStart w:id="109" w:name="_Toc279046870"/>
      <w:r>
        <w:rPr>
          <w:rFonts w:ascii="宋体" w:eastAsia="宋体" w:cs="宋体" w:hint="eastAsia"/>
          <w:b/>
          <w:bCs/>
          <w:sz w:val="24"/>
          <w:szCs w:val="24"/>
        </w:rPr>
        <w:t>14招标服务费</w:t>
      </w:r>
      <w:bookmarkEnd w:id="79"/>
      <w:bookmarkEnd w:id="80"/>
      <w:bookmarkEnd w:id="81"/>
      <w:bookmarkEnd w:id="96"/>
      <w:bookmarkEnd w:id="97"/>
      <w:bookmarkEnd w:id="98"/>
      <w:bookmarkEnd w:id="99"/>
      <w:bookmarkEnd w:id="100"/>
      <w:bookmarkEnd w:id="101"/>
      <w:bookmarkEnd w:id="102"/>
      <w:bookmarkEnd w:id="103"/>
      <w:bookmarkEnd w:id="104"/>
      <w:bookmarkEnd w:id="105"/>
      <w:bookmarkEnd w:id="106"/>
      <w:bookmarkEnd w:id="107"/>
      <w:bookmarkEnd w:id="108"/>
      <w:bookmarkEnd w:id="109"/>
    </w:p>
    <w:p>
      <w:pPr>
        <w:spacing w:before="50" w:after="50" w:line="360" w:lineRule="auto"/>
        <w:ind w:firstLineChars="200" w:firstLine="480"/>
        <w:rPr>
          <w:rFonts w:ascii="宋体" w:eastAsia="宋体" w:cs="宋体" w:hint="eastAsia"/>
          <w:bCs/>
          <w:sz w:val="24"/>
          <w:szCs w:val="24"/>
        </w:rPr>
      </w:pPr>
      <w:r>
        <w:rPr>
          <w:rFonts w:ascii="宋体" w:eastAsia="宋体" w:cs="宋体" w:hint="eastAsia"/>
          <w:bCs/>
          <w:sz w:val="24"/>
          <w:szCs w:val="24"/>
        </w:rPr>
        <w:t>中标人须向招标代理机构交纳的招标服务费，收费标准按国家计委颁布的《招标代理服务收费管理暂行办法》（计价格[2002]1980号）执行。本项目类型为货物类：各标段根据中标单位的中标金额计算。</w:t>
      </w:r>
    </w:p>
    <w:p>
      <w:pPr>
        <w:numPr>
          <w:ilvl w:val="0"/>
          <w:numId w:val="11"/>
        </w:numPr>
        <w:spacing w:line="360" w:lineRule="auto"/>
        <w:ind w:rightChars="-151" w:right="-317"/>
        <w:rPr>
          <w:rFonts w:ascii="宋体" w:eastAsia="宋体" w:cs="宋体" w:hint="eastAsia"/>
          <w:bCs/>
          <w:sz w:val="24"/>
          <w:szCs w:val="24"/>
        </w:rPr>
      </w:pPr>
      <w:r>
        <w:rPr>
          <w:rFonts w:ascii="宋体" w:eastAsia="宋体" w:cs="宋体" w:hint="eastAsia"/>
          <w:bCs/>
          <w:sz w:val="24"/>
          <w:szCs w:val="24"/>
        </w:rPr>
        <w:t>以《中标通知书》确定的中标总金额作为收费的计算基数，按差额定率累进法计算；</w:t>
      </w:r>
    </w:p>
    <w:p>
      <w:pPr>
        <w:numPr>
          <w:ilvl w:val="0"/>
          <w:numId w:val="11"/>
        </w:numPr>
        <w:spacing w:line="360" w:lineRule="auto"/>
        <w:rPr>
          <w:rFonts w:ascii="宋体" w:eastAsia="宋体" w:cs="宋体" w:hint="eastAsia"/>
          <w:bCs/>
          <w:sz w:val="24"/>
          <w:szCs w:val="24"/>
        </w:rPr>
      </w:pPr>
      <w:r>
        <w:rPr>
          <w:rFonts w:ascii="宋体" w:eastAsia="宋体" w:cs="宋体" w:hint="eastAsia"/>
          <w:bCs/>
          <w:sz w:val="24"/>
          <w:szCs w:val="24"/>
        </w:rPr>
        <w:t>币种与《中标通知书》的币种相同。</w:t>
      </w:r>
    </w:p>
    <w:p>
      <w:pPr>
        <w:numPr>
          <w:ilvl w:val="0"/>
          <w:numId w:val="11"/>
        </w:numPr>
        <w:spacing w:line="360" w:lineRule="auto"/>
        <w:rPr>
          <w:rFonts w:ascii="宋体" w:eastAsia="宋体" w:cs="宋体" w:hint="eastAsia"/>
          <w:bCs/>
          <w:sz w:val="24"/>
          <w:szCs w:val="24"/>
        </w:rPr>
        <w:sectPr>
          <w:footerReference w:type="default" r:id="rId2"/>
          <w:footerReference w:type="first" r:id="rId3"/>
          <w:type w:val="nextColumn"/>
          <w:pgSz w:w="11906" w:h="16838"/>
          <w:pgMar w:top="1191" w:right="1418" w:bottom="1191" w:left="1418" w:header="737" w:footer="737" w:gutter="0"/>
          <w:pgNumType w:start="1"/>
          <w:docGrid w:linePitch="312" w:charSpace="0"/>
        </w:sectPr>
      </w:pPr>
      <w:r>
        <w:rPr>
          <w:rFonts w:ascii="宋体" w:eastAsia="宋体" w:cs="宋体" w:hint="eastAsia"/>
          <w:bCs/>
          <w:sz w:val="24"/>
          <w:szCs w:val="24"/>
        </w:rPr>
        <w:t>中标人中标后，必须按规定向招标代理机构直接缴交采购服务费。</w:t>
      </w:r>
    </w:p>
    <w:p>
      <w:pPr>
        <w:pStyle w:val="1"/>
        <w:spacing w:before="0" w:after="0" w:line="360" w:lineRule="auto"/>
        <w:ind w:rightChars="-208" w:right="-439"/>
        <w:jc w:val="center"/>
        <w:rPr>
          <w:rFonts w:ascii="宋体" w:eastAsia="宋体" w:cs="宋体" w:hint="eastAsia"/>
          <w:kern w:val="2"/>
          <w:sz w:val="48"/>
          <w:szCs w:val="48"/>
        </w:rPr>
      </w:pPr>
      <w:bookmarkStart w:id="110" w:name="_Toc130180842"/>
      <w:bookmarkStart w:id="111" w:name="_Toc130180737"/>
      <w:bookmarkStart w:id="112" w:name="_Toc2420"/>
      <w:bookmarkStart w:id="113" w:name="_Toc130180923"/>
      <w:r>
        <w:rPr>
          <w:rFonts w:ascii="宋体" w:cs="宋体" w:hint="eastAsia"/>
          <w:kern w:val="2"/>
          <w:sz w:val="48"/>
          <w:szCs w:val="48"/>
          <w:lang w:val="en-US" w:eastAsia="zh-CN"/>
        </w:rPr>
        <w:t>第二章</w:t>
      </w:r>
      <w:r>
        <w:rPr>
          <w:rFonts w:ascii="宋体" w:eastAsia="宋体" w:cs="宋体" w:hint="eastAsia"/>
          <w:kern w:val="2"/>
          <w:sz w:val="48"/>
          <w:szCs w:val="48"/>
        </w:rPr>
        <w:t xml:space="preserve"> 采购人需求</w:t>
      </w:r>
      <w:bookmarkEnd w:id="110"/>
      <w:bookmarkEnd w:id="111"/>
      <w:bookmarkEnd w:id="112"/>
      <w:bookmarkEnd w:id="113"/>
    </w:p>
    <w:p>
      <w:pPr>
        <w:rPr>
          <w:rFonts w:ascii="宋体" w:eastAsia="宋体" w:cs="宋体" w:hint="eastAsia"/>
        </w:rPr>
      </w:pPr>
    </w:p>
    <w:tbl>
      <w:tblPr>
        <w:jc w:val="left"/>
        <w:tblInd w:w="91" w:type="dxa"/>
        <w:tblW w:w="97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0" w:type="dxa"/>
          <w:left w:w="108" w:type="dxa"/>
          <w:bottom w:w="0" w:type="dxa"/>
          <w:right w:w="108" w:type="dxa"/>
        </w:tblCellMar>
      </w:tblPr>
      <w:tblGrid>
        <w:gridCol w:w="2"/>
        <w:gridCol w:w="1485"/>
        <w:gridCol w:w="600"/>
        <w:gridCol w:w="735"/>
        <w:gridCol w:w="4065"/>
        <w:gridCol w:w="585"/>
        <w:gridCol w:w="615"/>
        <w:gridCol w:w="1668"/>
        <w:gridCol w:w="5"/>
      </w:tblGrid>
      <w:tr>
        <w:trPr>
          <w:trHeight w:val="345"/>
        </w:trPr>
        <w:tc>
          <w:tcPr>
            <w:tcW w:w="9760" w:type="dxa"/>
            <w:gridSpan w:val="9"/>
            <w:tcBorders>
              <w:top w:val="single" w:sz="4" w:space="0" w:color="auto"/>
              <w:left w:val="single" w:sz="4" w:space="0" w:color="auto"/>
              <w:bottom w:val="single" w:sz="4" w:space="0" w:color="auto"/>
              <w:right w:val="single" w:sz="4" w:space="0" w:color="auto"/>
            </w:tcBorders>
            <w:shd w:val="clear" w:color="auto" w:fill="FFFFFF"/>
            <w:noWrap/>
            <w:vAlign w:val="center"/>
          </w:tcPr>
          <w:p>
            <w:pPr>
              <w:widowControl/>
              <w:ind w:leftChars="-38" w:left="-80" w:rightChars="-52" w:right="-109"/>
              <w:jc w:val="left"/>
              <w:textAlignment w:val="center"/>
              <w:rPr>
                <w:rFonts w:ascii="宋体" w:eastAsia="宋体" w:cs="宋体" w:hint="eastAsia"/>
                <w:b/>
                <w:bCs/>
                <w:kern w:val="0"/>
                <w:sz w:val="24"/>
                <w:highlight w:val="auto"/>
              </w:rPr>
            </w:pPr>
            <w:r>
              <w:rPr>
                <w:rFonts w:ascii="宋体" w:cs="宋体" w:hint="eastAsia"/>
                <w:b/>
                <w:bCs/>
                <w:kern w:val="0"/>
                <w:sz w:val="24"/>
                <w:szCs w:val="24"/>
                <w:lang w:eastAsia="zh-CN"/>
                <w:highlight w:val="auto"/>
              </w:rPr>
              <w:t>新疆维吾尔自治区药品检验研究院标准物质、生物试剂耗材、普通试剂、普通实验耗材采购项目</w:t>
            </w:r>
            <w:r>
              <w:rPr>
                <w:rFonts w:ascii="宋体" w:cs="宋体" w:hint="eastAsia"/>
                <w:b/>
                <w:bCs/>
                <w:kern w:val="0"/>
                <w:sz w:val="24"/>
                <w:szCs w:val="24"/>
                <w:lang w:val="en-US" w:eastAsia="zh-CN"/>
                <w:highlight w:val="auto"/>
              </w:rPr>
              <w:t>（四包：</w:t>
            </w:r>
            <w:r>
              <w:rPr>
                <w:rFonts w:ascii="宋体" w:cs="宋体" w:hint="eastAsia"/>
                <w:b/>
                <w:bCs/>
                <w:kern w:val="0"/>
                <w:sz w:val="24"/>
                <w:szCs w:val="24"/>
                <w:lang w:eastAsia="zh-CN"/>
                <w:highlight w:val="auto"/>
              </w:rPr>
              <w:t>普通实验耗材</w:t>
            </w:r>
            <w:r>
              <w:rPr>
                <w:rFonts w:ascii="宋体" w:cs="宋体" w:hint="eastAsia"/>
                <w:b/>
                <w:bCs/>
                <w:kern w:val="0"/>
                <w:sz w:val="24"/>
                <w:szCs w:val="24"/>
                <w:lang w:val="en-US" w:eastAsia="zh-CN"/>
                <w:highlight w:val="auto"/>
              </w:rPr>
              <w:t>）</w:t>
            </w: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b/>
                <w:bCs/>
                <w:i w:val="0"/>
                <w:iCs w:val="0"/>
                <w:color w:val="000000"/>
                <w:sz w:val="16"/>
                <w:szCs w:val="16"/>
                <w:u w:val="none"/>
              </w:rPr>
            </w:pPr>
            <w:r>
              <w:rPr>
                <w:rFonts w:ascii="宋体" w:eastAsia="宋体" w:cs="宋体" w:hint="eastAsia"/>
                <w:b/>
                <w:bCs/>
                <w:i w:val="0"/>
                <w:iCs w:val="0"/>
                <w:color w:val="000000"/>
                <w:kern w:val="0"/>
                <w:sz w:val="16"/>
                <w:szCs w:val="16"/>
                <w:u w:val="none"/>
                <w:lang w:val="en-US" w:eastAsia="zh-CN"/>
              </w:rPr>
              <w:t>*商品名称</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b/>
                <w:bCs/>
                <w:i w:val="0"/>
                <w:iCs w:val="0"/>
                <w:color w:val="000000"/>
                <w:sz w:val="16"/>
                <w:szCs w:val="16"/>
                <w:u w:val="none"/>
              </w:rPr>
            </w:pPr>
            <w:r>
              <w:rPr>
                <w:rFonts w:ascii="宋体" w:eastAsia="宋体" w:cs="宋体" w:hint="eastAsia"/>
                <w:b/>
                <w:bCs/>
                <w:i w:val="0"/>
                <w:iCs w:val="0"/>
                <w:color w:val="000000"/>
                <w:kern w:val="0"/>
                <w:sz w:val="16"/>
                <w:szCs w:val="16"/>
                <w:u w:val="none"/>
                <w:lang w:val="en-US" w:eastAsia="zh-CN"/>
              </w:rPr>
              <w:t>*商品类目</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b/>
                <w:bCs/>
                <w:i w:val="0"/>
                <w:iCs w:val="0"/>
                <w:color w:val="000000"/>
                <w:sz w:val="16"/>
                <w:szCs w:val="16"/>
                <w:u w:val="none"/>
              </w:rPr>
            </w:pPr>
            <w:r>
              <w:rPr>
                <w:rFonts w:ascii="宋体" w:eastAsia="宋体" w:cs="宋体" w:hint="eastAsia"/>
                <w:b/>
                <w:bCs/>
                <w:i w:val="0"/>
                <w:iCs w:val="0"/>
                <w:color w:val="000000"/>
                <w:kern w:val="0"/>
                <w:sz w:val="16"/>
                <w:szCs w:val="16"/>
                <w:u w:val="none"/>
                <w:lang w:val="en-US" w:eastAsia="zh-CN"/>
              </w:rPr>
              <w:t>*是否核心商品</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b/>
                <w:bCs/>
                <w:i w:val="0"/>
                <w:iCs w:val="0"/>
                <w:color w:val="000000"/>
                <w:sz w:val="16"/>
                <w:szCs w:val="16"/>
                <w:u w:val="none"/>
              </w:rPr>
            </w:pPr>
            <w:r>
              <w:rPr>
                <w:rFonts w:ascii="宋体" w:eastAsia="宋体" w:cs="宋体" w:hint="eastAsia"/>
                <w:b/>
                <w:bCs/>
                <w:i w:val="0"/>
                <w:iCs w:val="0"/>
                <w:color w:val="000000"/>
                <w:kern w:val="0"/>
                <w:sz w:val="16"/>
                <w:szCs w:val="16"/>
                <w:u w:val="none"/>
                <w:lang w:val="en-US" w:eastAsia="zh-CN"/>
              </w:rPr>
              <w:t>*核心参数要求</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b/>
                <w:bCs/>
                <w:i w:val="0"/>
                <w:iCs w:val="0"/>
                <w:color w:val="000000"/>
                <w:sz w:val="16"/>
                <w:szCs w:val="16"/>
                <w:u w:val="none"/>
              </w:rPr>
            </w:pPr>
            <w:r>
              <w:rPr>
                <w:rFonts w:ascii="宋体" w:eastAsia="宋体" w:cs="宋体" w:hint="eastAsia"/>
                <w:b/>
                <w:bCs/>
                <w:i w:val="0"/>
                <w:iCs w:val="0"/>
                <w:color w:val="000000"/>
                <w:kern w:val="0"/>
                <w:sz w:val="16"/>
                <w:szCs w:val="16"/>
                <w:u w:val="none"/>
                <w:lang w:val="en-US" w:eastAsia="zh-CN"/>
              </w:rPr>
              <w:t>*数量</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b/>
                <w:bCs/>
                <w:i w:val="0"/>
                <w:iCs w:val="0"/>
                <w:color w:val="000000"/>
                <w:sz w:val="16"/>
                <w:szCs w:val="16"/>
                <w:u w:val="none"/>
              </w:rPr>
            </w:pPr>
            <w:r>
              <w:rPr>
                <w:rFonts w:ascii="宋体" w:eastAsia="宋体" w:cs="宋体" w:hint="eastAsia"/>
                <w:b/>
                <w:bCs/>
                <w:i w:val="0"/>
                <w:iCs w:val="0"/>
                <w:color w:val="000000"/>
                <w:kern w:val="0"/>
                <w:sz w:val="16"/>
                <w:szCs w:val="16"/>
                <w:u w:val="none"/>
                <w:lang w:val="en-US" w:eastAsia="zh-CN"/>
              </w:rPr>
              <w:t>*计量单位</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b/>
                <w:bCs/>
                <w:i w:val="0"/>
                <w:iCs w:val="0"/>
                <w:color w:val="000000"/>
                <w:sz w:val="16"/>
                <w:szCs w:val="16"/>
                <w:u w:val="none"/>
              </w:rPr>
            </w:pPr>
            <w:r>
              <w:rPr>
                <w:rFonts w:ascii="宋体" w:eastAsia="宋体" w:cs="宋体" w:hint="eastAsia"/>
                <w:b/>
                <w:bCs/>
                <w:i w:val="0"/>
                <w:iCs w:val="0"/>
                <w:color w:val="000000"/>
                <w:kern w:val="0"/>
                <w:sz w:val="16"/>
                <w:szCs w:val="16"/>
                <w:u w:val="none"/>
                <w:lang w:val="en-US" w:eastAsia="zh-CN"/>
              </w:rPr>
              <w:t>建议品牌</w:t>
            </w: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多口溶剂瓶</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规格:高硼硅材质;无色透明;1000ml;四孔;口GL45</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4</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个</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宁波哈迈;文特;肖特</w:t>
            </w:r>
          </w:p>
        </w:tc>
      </w:tr>
      <w:tr>
        <w:trPr>
          <w:trHeight w:val="63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单口液相溶剂瓶</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规格:高硼硅材质;无色透明;5000ml;四孔;口GL45</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6</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个</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宁波哈迈;文特;肖特；蜀牛；垒固</w:t>
            </w: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封口膜</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规格: PM996;Parafilm</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2</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卷</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jc w:val="center"/>
              <w:rPr>
                <w:rFonts w:ascii="宋体" w:eastAsia="宋体" w:cs="宋体" w:hint="eastAsia"/>
                <w:i w:val="0"/>
                <w:iCs w:val="0"/>
                <w:color w:val="000000"/>
                <w:sz w:val="16"/>
                <w:szCs w:val="16"/>
                <w:u w:val="none"/>
              </w:rPr>
            </w:pP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定性滤纸</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规格:圆形;直径12.5cm;中速</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3</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盒</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双圈;国药;特种纸业</w:t>
            </w: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定性滤纸</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规格:圆形;直径11cm;中速</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3</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盒</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双圈;国药;特种纸业</w:t>
            </w: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定性滤纸</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规格:圆形;直径9cm;中速</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3</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盒</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双圈;国药;特种纸业</w:t>
            </w:r>
          </w:p>
        </w:tc>
      </w:tr>
      <w:tr>
        <w:trPr>
          <w:trHeight w:val="63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擦镜纸</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擦拭光学仪器镜面使用</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10</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本</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杭州宇泰；杭州新星；杭州皎洁</w:t>
            </w: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玻璃消解管</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高硼硅玻璃，规格：50mL,30*150mm，GS-36-M,402-010</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72</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个</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莱伯泰科；金蓉园；康之达</w:t>
            </w: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一次性注射器</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规格:1mL;200支;盒</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3</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盒</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江苏治宇;威高;江西洪达</w:t>
            </w: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一次性注射器</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规格:2mL;200支;盒</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3</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盒</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江苏治宇;威高;江西洪达</w:t>
            </w: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塑料可拆式离心管架</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白色，20mm*40孔组装试管架</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5</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个</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耐斯;百思泰;雷布斯</w:t>
            </w: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广口（喇叭口）三角烧瓶</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玻璃，无色透明，规格：250mL，无盖</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10</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个</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蜀牛；环球；比克曼</w:t>
            </w: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广口（喇叭口）三角烧瓶</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玻璃，无色透明，规格：150mL，无盖</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10</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个</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蜀牛；环球；比克曼</w:t>
            </w: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石墨垫</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G-0.5 ,规格：10个／包,P/N 221-32126-05，适用于岛津气相色谱仪 GC-2010</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1</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盒</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jc w:val="center"/>
              <w:rPr>
                <w:rFonts w:ascii="宋体" w:eastAsia="宋体" w:cs="宋体" w:hint="eastAsia"/>
                <w:i w:val="0"/>
                <w:iCs w:val="0"/>
                <w:color w:val="000000"/>
                <w:sz w:val="16"/>
                <w:szCs w:val="16"/>
                <w:u w:val="none"/>
              </w:rPr>
            </w:pP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石墨垫</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规格：10个／包,P/N 670-15003-03，适用于岛津气相色谱质谱联用仪 GCMS QP2010 Ultra</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1</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盒</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jc w:val="center"/>
              <w:rPr>
                <w:rFonts w:ascii="宋体" w:eastAsia="宋体" w:cs="宋体" w:hint="eastAsia"/>
                <w:i w:val="0"/>
                <w:iCs w:val="0"/>
                <w:color w:val="000000"/>
                <w:sz w:val="16"/>
                <w:szCs w:val="16"/>
                <w:u w:val="none"/>
              </w:rPr>
            </w:pP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石墨垫</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规格：10个／包,P/N 670-15003-04，适用于岛津气相色谱质谱联用仪 GCMS QP2010 Ultra</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1</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盒</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jc w:val="center"/>
              <w:rPr>
                <w:rFonts w:ascii="宋体" w:eastAsia="宋体" w:cs="宋体" w:hint="eastAsia"/>
                <w:i w:val="0"/>
                <w:iCs w:val="0"/>
                <w:color w:val="000000"/>
                <w:sz w:val="16"/>
                <w:szCs w:val="16"/>
                <w:u w:val="none"/>
              </w:rPr>
            </w:pP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衬管</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P/N 35007-01，适用于岛津气相色谱质谱联用仪 GCMS QP2010 Ultra</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1</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盒</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jc w:val="center"/>
              <w:rPr>
                <w:rFonts w:ascii="宋体" w:eastAsia="宋体" w:cs="宋体" w:hint="eastAsia"/>
                <w:i w:val="0"/>
                <w:iCs w:val="0"/>
                <w:color w:val="000000"/>
                <w:sz w:val="16"/>
                <w:szCs w:val="16"/>
                <w:u w:val="none"/>
              </w:rPr>
            </w:pP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进样针</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10F-S-0.63,10μL,S221-34618，适用于岛津气相色谱质谱联用仪 GCMS QP2010 Ultra</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1</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支</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jc w:val="center"/>
              <w:rPr>
                <w:rFonts w:ascii="宋体" w:eastAsia="宋体" w:cs="宋体" w:hint="eastAsia"/>
                <w:i w:val="0"/>
                <w:iCs w:val="0"/>
                <w:color w:val="000000"/>
                <w:sz w:val="16"/>
                <w:szCs w:val="16"/>
                <w:u w:val="none"/>
              </w:rPr>
            </w:pPr>
          </w:p>
        </w:tc>
      </w:tr>
      <w:tr>
        <w:trPr>
          <w:trHeight w:val="63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 xml:space="preserve"> 针式过滤器</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5191-4287 ValueLab filter Nylon 13mm 0.45um 100/pk</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10</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包</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安捷伦        岛津            安普</w:t>
            </w:r>
          </w:p>
        </w:tc>
      </w:tr>
      <w:tr>
        <w:trPr>
          <w:trHeight w:val="63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 xml:space="preserve"> 针式过滤器</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5191-4289 ValueLab filter Nylon 25mm 0.45um 100/pk</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20</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包</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安捷伦        岛津            安普</w:t>
            </w:r>
          </w:p>
        </w:tc>
      </w:tr>
      <w:tr>
        <w:trPr>
          <w:trHeight w:val="63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 xml:space="preserve"> 针式过滤器</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5191-4301 ValueLab filter PES 25mm 0.45um 100/pk</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5</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包</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安捷伦        岛津            安普</w:t>
            </w:r>
          </w:p>
        </w:tc>
      </w:tr>
      <w:tr>
        <w:trPr>
          <w:trHeight w:val="63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针式过滤器</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ValueLab filter Nylon 13mm 0.2um 100/pk</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10</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包</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安捷伦        岛津            安普</w:t>
            </w: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一次性滴管</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规格:3mL;支;100个;包</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20</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包</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jc w:val="center"/>
              <w:rPr>
                <w:rFonts w:ascii="宋体" w:eastAsia="宋体" w:cs="宋体" w:hint="eastAsia"/>
                <w:i w:val="0"/>
                <w:iCs w:val="0"/>
                <w:color w:val="000000"/>
                <w:sz w:val="16"/>
                <w:szCs w:val="16"/>
                <w:u w:val="none"/>
              </w:rPr>
            </w:pP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一次性液相进样小瓶</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规格:透明;预切口;100个;盒</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10</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盒</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 xml:space="preserve">上海圣宾;安捷伦;哈迈              </w:t>
            </w: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离心管</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规格:旋盖;圆底;10mL;100个;包</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20</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包</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亚速旺;优耐特;国药</w:t>
            </w:r>
          </w:p>
        </w:tc>
      </w:tr>
      <w:tr>
        <w:trPr>
          <w:trHeight w:val="63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溴化汞试纸</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100条/瓶</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2</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瓶</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天津光复、沪试、天津华特化研</w:t>
            </w: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橡皮筋</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200g/袋</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1</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袋</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jc w:val="center"/>
              <w:rPr>
                <w:rFonts w:ascii="宋体" w:eastAsia="宋体" w:cs="宋体" w:hint="eastAsia"/>
                <w:i w:val="0"/>
                <w:iCs w:val="0"/>
                <w:color w:val="000000"/>
                <w:sz w:val="16"/>
                <w:szCs w:val="16"/>
                <w:u w:val="none"/>
              </w:rPr>
            </w:pP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天平日常校准砝码</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E2级，20mg，含计量证书</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1</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个</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jc w:val="center"/>
              <w:rPr>
                <w:rFonts w:ascii="宋体" w:eastAsia="宋体" w:cs="宋体" w:hint="eastAsia"/>
                <w:i w:val="0"/>
                <w:iCs w:val="0"/>
                <w:color w:val="000000"/>
                <w:sz w:val="16"/>
                <w:szCs w:val="16"/>
                <w:u w:val="none"/>
              </w:rPr>
            </w:pP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天平日常校准砝码</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E2级，1g，含计量证书</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1</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个</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jc w:val="center"/>
              <w:rPr>
                <w:rFonts w:ascii="宋体" w:eastAsia="宋体" w:cs="宋体" w:hint="eastAsia"/>
                <w:i w:val="0"/>
                <w:iCs w:val="0"/>
                <w:color w:val="000000"/>
                <w:sz w:val="16"/>
                <w:szCs w:val="16"/>
                <w:u w:val="none"/>
              </w:rPr>
            </w:pP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 xml:space="preserve">1/16不锈钢气管 </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3米，适配于Thermo ICP-MS ICP Q</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1</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个</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jc w:val="center"/>
              <w:rPr>
                <w:rFonts w:ascii="宋体" w:eastAsia="宋体" w:cs="宋体" w:hint="eastAsia"/>
                <w:i w:val="0"/>
                <w:iCs w:val="0"/>
                <w:color w:val="000000"/>
                <w:sz w:val="16"/>
                <w:szCs w:val="16"/>
                <w:u w:val="none"/>
              </w:rPr>
            </w:pP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1/16转1/4气管接头</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适配于Thermo ICP-MS ICP Q</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1</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个</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jc w:val="center"/>
              <w:rPr>
                <w:rFonts w:ascii="宋体" w:eastAsia="宋体" w:cs="宋体" w:hint="eastAsia"/>
                <w:i w:val="0"/>
                <w:iCs w:val="0"/>
                <w:color w:val="000000"/>
                <w:sz w:val="16"/>
                <w:szCs w:val="16"/>
                <w:u w:val="none"/>
              </w:rPr>
            </w:pP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1/16不锈钢气管接头内衬</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适配于Thermo ICP-MS ICP Q</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1</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个</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jc w:val="center"/>
              <w:rPr>
                <w:rFonts w:ascii="宋体" w:eastAsia="宋体" w:cs="宋体" w:hint="eastAsia"/>
                <w:i w:val="0"/>
                <w:iCs w:val="0"/>
                <w:color w:val="000000"/>
                <w:sz w:val="16"/>
                <w:szCs w:val="16"/>
                <w:u w:val="none"/>
              </w:rPr>
            </w:pPr>
          </w:p>
        </w:tc>
      </w:tr>
      <w:tr>
        <w:trPr>
          <w:trHeight w:val="126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色谱柱</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色谱柱</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Shim-pack GIST C18，</w:t>
            </w:r>
            <w:bookmarkStart w:id="114" w:name="_GoBack"/>
            <w:bookmarkEnd w:id="114"/>
            <w:r>
              <w:rPr>
                <w:rFonts w:ascii="宋体" w:eastAsia="宋体" w:cs="宋体" w:hint="eastAsia"/>
                <w:i w:val="0"/>
                <w:iCs w:val="0"/>
                <w:color w:val="000000"/>
                <w:kern w:val="0"/>
                <w:sz w:val="16"/>
                <w:szCs w:val="16"/>
                <w:u w:val="none"/>
                <w:lang w:val="en-US" w:eastAsia="zh-CN"/>
              </w:rPr>
              <w:t xml:space="preserve">5цm，4.6×250mm，各含1套保护柱芯带柱套    ，1盒柱芯(2个/盒)                            </w:t>
            </w:r>
            <w:r>
              <w:rPr>
                <w:rFonts w:ascii="宋体" w:eastAsia="宋体" w:cs="宋体" w:hint="eastAsia"/>
                <w:b/>
                <w:bCs/>
                <w:i w:val="0"/>
                <w:iCs w:val="0"/>
                <w:color w:val="000000"/>
                <w:kern w:val="0"/>
                <w:sz w:val="16"/>
                <w:szCs w:val="16"/>
                <w:u w:val="none"/>
                <w:lang w:val="en-US" w:eastAsia="zh-CN"/>
              </w:rPr>
              <w:t>或</w:t>
            </w:r>
            <w:r>
              <w:rPr>
                <w:rFonts w:ascii="宋体" w:eastAsia="宋体" w:cs="宋体" w:hint="eastAsia"/>
                <w:i w:val="0"/>
                <w:iCs w:val="0"/>
                <w:color w:val="000000"/>
                <w:kern w:val="0"/>
                <w:sz w:val="16"/>
                <w:szCs w:val="16"/>
                <w:u w:val="none"/>
                <w:lang w:val="en-US" w:eastAsia="zh-CN"/>
              </w:rPr>
              <w:t xml:space="preserve">ACE 10 SIL 150×21.2mm ACE-137-1520，含1个保护柱套，1包柱芯                            </w:t>
            </w:r>
            <w:r>
              <w:rPr>
                <w:rFonts w:ascii="宋体" w:eastAsia="宋体" w:cs="宋体" w:hint="eastAsia"/>
                <w:b/>
                <w:bCs/>
                <w:i w:val="0"/>
                <w:iCs w:val="0"/>
                <w:color w:val="000000"/>
                <w:kern w:val="0"/>
                <w:sz w:val="16"/>
                <w:szCs w:val="16"/>
                <w:u w:val="none"/>
                <w:lang w:val="en-US" w:eastAsia="zh-CN"/>
              </w:rPr>
              <w:t xml:space="preserve">或 </w:t>
            </w:r>
            <w:r>
              <w:rPr>
                <w:rFonts w:ascii="宋体" w:eastAsia="宋体" w:cs="宋体" w:hint="eastAsia"/>
                <w:i w:val="0"/>
                <w:iCs w:val="0"/>
                <w:color w:val="000000"/>
                <w:kern w:val="0"/>
                <w:sz w:val="16"/>
                <w:szCs w:val="16"/>
                <w:u w:val="none"/>
                <w:lang w:val="en-US" w:eastAsia="zh-CN"/>
              </w:rPr>
              <w:t>XSelect CSH C18 Column, 130Å, 5 µm, 4.6 mm X 250 mm, 含1个保护柱套，1包柱芯</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2</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套</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岛津；</w:t>
              <w:br/>
              <w:t>ACE ；Waters；</w:t>
            </w:r>
          </w:p>
        </w:tc>
      </w:tr>
      <w:tr>
        <w:trPr>
          <w:trHeight w:val="105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色谱柱</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色谱柱</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 xml:space="preserve">Shimadzu    Shim-pack    XR-ODS Ⅲ C18， 2.2μm,2×150mm ，含1个保护柱套，1盒柱芯(2个/盒)                    </w:t>
            </w:r>
            <w:r>
              <w:rPr>
                <w:rFonts w:ascii="宋体" w:eastAsia="宋体" w:cs="宋体" w:hint="eastAsia"/>
                <w:b/>
                <w:bCs/>
                <w:i w:val="0"/>
                <w:iCs w:val="0"/>
                <w:color w:val="000000"/>
                <w:kern w:val="0"/>
                <w:sz w:val="16"/>
                <w:szCs w:val="16"/>
                <w:u w:val="none"/>
                <w:lang w:val="en-US" w:eastAsia="zh-CN"/>
              </w:rPr>
              <w:t>或</w:t>
            </w:r>
            <w:r>
              <w:rPr>
                <w:rFonts w:ascii="宋体" w:eastAsia="宋体" w:cs="宋体" w:hint="eastAsia"/>
                <w:i w:val="0"/>
                <w:iCs w:val="0"/>
                <w:color w:val="000000"/>
                <w:kern w:val="0"/>
                <w:sz w:val="16"/>
                <w:szCs w:val="16"/>
                <w:u w:val="none"/>
                <w:lang w:val="en-US" w:eastAsia="zh-CN"/>
              </w:rPr>
              <w:t xml:space="preserve">  ACE 5 SIL 300×21.2mm ACE-127-3020，含1个保护柱套，1包柱芯  </w:t>
            </w:r>
            <w:r>
              <w:rPr>
                <w:rFonts w:ascii="宋体" w:eastAsia="宋体" w:cs="宋体" w:hint="eastAsia"/>
                <w:b/>
                <w:bCs/>
                <w:i w:val="0"/>
                <w:iCs w:val="0"/>
                <w:color w:val="000000"/>
                <w:kern w:val="0"/>
                <w:sz w:val="16"/>
                <w:szCs w:val="16"/>
                <w:u w:val="none"/>
                <w:lang w:val="en-US" w:eastAsia="zh-CN"/>
              </w:rPr>
              <w:t>或</w:t>
            </w:r>
            <w:r>
              <w:rPr>
                <w:rFonts w:ascii="宋体" w:eastAsia="宋体" w:cs="宋体" w:hint="eastAsia"/>
                <w:i w:val="0"/>
                <w:iCs w:val="0"/>
                <w:color w:val="000000"/>
                <w:kern w:val="0"/>
                <w:sz w:val="16"/>
                <w:szCs w:val="16"/>
                <w:u w:val="none"/>
                <w:lang w:val="en-US" w:eastAsia="zh-CN"/>
              </w:rPr>
              <w:t xml:space="preserve">  Shodex Asahipak GS-620 7G-P xmm ,含1个保护柱套，1包柱芯</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2</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套</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岛津；</w:t>
              <w:br/>
              <w:t>ACE ； Shodex；</w:t>
            </w:r>
          </w:p>
        </w:tc>
      </w:tr>
      <w:tr>
        <w:trPr>
          <w:trHeight w:val="147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色谱柱</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色谱柱</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CAPCELL PAK C18 MGⅡ（S-5）,</w:t>
              <w:br/>
              <w:t xml:space="preserve"> 5μm ,4.6×250mm,含1个保护柱套，1盒柱芯(2个/盒)                </w:t>
            </w:r>
            <w:r>
              <w:rPr>
                <w:rFonts w:ascii="宋体" w:eastAsia="宋体" w:cs="宋体" w:hint="eastAsia"/>
                <w:b/>
                <w:bCs/>
                <w:i w:val="0"/>
                <w:iCs w:val="0"/>
                <w:color w:val="000000"/>
                <w:kern w:val="0"/>
                <w:sz w:val="16"/>
                <w:szCs w:val="16"/>
                <w:u w:val="none"/>
                <w:lang w:val="en-US" w:eastAsia="zh-CN"/>
              </w:rPr>
              <w:t>或</w:t>
            </w:r>
            <w:r>
              <w:rPr>
                <w:rFonts w:ascii="宋体" w:eastAsia="宋体" w:cs="宋体" w:hint="eastAsia"/>
                <w:i w:val="0"/>
                <w:iCs w:val="0"/>
                <w:color w:val="000000"/>
                <w:kern w:val="0"/>
                <w:sz w:val="16"/>
                <w:szCs w:val="16"/>
                <w:u w:val="none"/>
                <w:lang w:val="en-US" w:eastAsia="zh-CN"/>
              </w:rPr>
              <w:t xml:space="preserve"> ACE 5 SIL 75×30.0mm ACE-127-7530，含1个保护柱套，1盒柱芯                      </w:t>
            </w:r>
            <w:r>
              <w:rPr>
                <w:rFonts w:ascii="宋体" w:eastAsia="宋体" w:cs="宋体" w:hint="eastAsia"/>
                <w:b/>
                <w:bCs/>
                <w:i w:val="0"/>
                <w:iCs w:val="0"/>
                <w:color w:val="000000"/>
                <w:kern w:val="0"/>
                <w:sz w:val="16"/>
                <w:szCs w:val="16"/>
                <w:u w:val="none"/>
                <w:lang w:val="en-US" w:eastAsia="zh-CN"/>
              </w:rPr>
              <w:t>或</w:t>
            </w:r>
            <w:r>
              <w:rPr>
                <w:rFonts w:ascii="宋体" w:eastAsia="宋体" w:cs="宋体" w:hint="eastAsia"/>
                <w:i w:val="0"/>
                <w:iCs w:val="0"/>
                <w:color w:val="000000"/>
                <w:kern w:val="0"/>
                <w:sz w:val="16"/>
                <w:szCs w:val="16"/>
                <w:u w:val="none"/>
                <w:lang w:val="en-US" w:eastAsia="zh-CN"/>
              </w:rPr>
              <w:t xml:space="preserve"> Shodex IC R-621 6×250mm,,含1个保护柱套，1盒柱芯</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2</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套</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资生堂；ACE ； Shodex；</w:t>
            </w:r>
          </w:p>
        </w:tc>
      </w:tr>
      <w:tr>
        <w:trPr>
          <w:trHeight w:val="126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色谱柱</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色谱柱</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ZORBAX StableBond C8,</w:t>
              <w:br/>
              <w:t xml:space="preserve"> 5μm ,4.6×250mm,含1个保护柱套，1盒柱芯(4个/盒)                </w:t>
            </w:r>
            <w:r>
              <w:rPr>
                <w:rFonts w:ascii="宋体" w:eastAsia="宋体" w:cs="宋体" w:hint="eastAsia"/>
                <w:b/>
                <w:bCs/>
                <w:i w:val="0"/>
                <w:iCs w:val="0"/>
                <w:color w:val="000000"/>
                <w:kern w:val="0"/>
                <w:sz w:val="16"/>
                <w:szCs w:val="16"/>
                <w:u w:val="none"/>
                <w:lang w:val="en-US" w:eastAsia="zh-CN"/>
              </w:rPr>
              <w:t>或</w:t>
            </w:r>
            <w:r>
              <w:rPr>
                <w:rFonts w:ascii="宋体" w:eastAsia="宋体" w:cs="宋体" w:hint="eastAsia"/>
                <w:i w:val="0"/>
                <w:iCs w:val="0"/>
                <w:color w:val="000000"/>
                <w:kern w:val="0"/>
                <w:sz w:val="16"/>
                <w:szCs w:val="16"/>
                <w:u w:val="none"/>
                <w:lang w:val="en-US" w:eastAsia="zh-CN"/>
              </w:rPr>
              <w:t xml:space="preserve">ACE 5 SIL 300×30.0mm ACE-127-3030，含1个保护柱套，1盒柱芯    </w:t>
            </w:r>
            <w:r>
              <w:rPr>
                <w:rFonts w:ascii="宋体" w:eastAsia="宋体" w:cs="宋体" w:hint="eastAsia"/>
                <w:b/>
                <w:bCs/>
                <w:i w:val="0"/>
                <w:iCs w:val="0"/>
                <w:color w:val="000000"/>
                <w:kern w:val="0"/>
                <w:sz w:val="16"/>
                <w:szCs w:val="16"/>
                <w:u w:val="none"/>
                <w:lang w:val="en-US" w:eastAsia="zh-CN"/>
              </w:rPr>
              <w:t>或</w:t>
            </w:r>
            <w:r>
              <w:rPr>
                <w:rFonts w:ascii="宋体" w:eastAsia="宋体" w:cs="宋体" w:hint="eastAsia"/>
                <w:i w:val="0"/>
                <w:iCs w:val="0"/>
                <w:color w:val="000000"/>
                <w:kern w:val="0"/>
                <w:sz w:val="16"/>
                <w:szCs w:val="16"/>
                <w:u w:val="none"/>
                <w:lang w:val="en-US" w:eastAsia="zh-CN"/>
              </w:rPr>
              <w:t xml:space="preserve"> Shodex SUGAR CH-801 8×300mm，F6378040,含1个保护柱套，1盒柱芯</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1</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套</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安捷伦；ACE ； Shodex；</w:t>
            </w:r>
          </w:p>
        </w:tc>
      </w:tr>
      <w:tr>
        <w:trPr>
          <w:trHeight w:val="126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色谱柱</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色谱柱</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 xml:space="preserve">CAPCELL PAK C18 BB( S-5 )，4.6X250mm，含1个保护柱套，1盒柱芯(2个/盒)                                      </w:t>
            </w:r>
            <w:r>
              <w:rPr>
                <w:rFonts w:ascii="宋体" w:eastAsia="宋体" w:cs="宋体" w:hint="eastAsia"/>
                <w:b/>
                <w:bCs/>
                <w:i w:val="0"/>
                <w:iCs w:val="0"/>
                <w:color w:val="000000"/>
                <w:kern w:val="0"/>
                <w:sz w:val="16"/>
                <w:szCs w:val="16"/>
                <w:u w:val="none"/>
                <w:lang w:val="en-US" w:eastAsia="zh-CN"/>
              </w:rPr>
              <w:t xml:space="preserve">或 </w:t>
            </w:r>
            <w:r>
              <w:rPr>
                <w:rFonts w:ascii="宋体" w:eastAsia="宋体" w:cs="宋体" w:hint="eastAsia"/>
                <w:i w:val="0"/>
                <w:iCs w:val="0"/>
                <w:color w:val="000000"/>
                <w:kern w:val="0"/>
                <w:sz w:val="16"/>
                <w:szCs w:val="16"/>
                <w:u w:val="none"/>
                <w:lang w:val="en-US" w:eastAsia="zh-CN"/>
              </w:rPr>
              <w:t xml:space="preserve"> ACE 5 SIL 300×30.0mm ACE-127-3030，含1个保护柱套，1盒柱芯                            </w:t>
            </w:r>
            <w:r>
              <w:rPr>
                <w:rFonts w:ascii="宋体" w:eastAsia="宋体" w:cs="宋体" w:hint="eastAsia"/>
                <w:b/>
                <w:bCs/>
                <w:i w:val="0"/>
                <w:iCs w:val="0"/>
                <w:color w:val="000000"/>
                <w:kern w:val="0"/>
                <w:sz w:val="16"/>
                <w:szCs w:val="16"/>
                <w:u w:val="none"/>
                <w:lang w:val="en-US" w:eastAsia="zh-CN"/>
              </w:rPr>
              <w:t>或</w:t>
            </w:r>
            <w:r>
              <w:rPr>
                <w:rFonts w:ascii="宋体" w:eastAsia="宋体" w:cs="宋体" w:hint="eastAsia"/>
                <w:i w:val="0"/>
                <w:iCs w:val="0"/>
                <w:color w:val="000000"/>
                <w:kern w:val="0"/>
                <w:sz w:val="16"/>
                <w:szCs w:val="16"/>
                <w:u w:val="none"/>
                <w:lang w:val="en-US" w:eastAsia="zh-CN"/>
              </w:rPr>
              <w:t xml:space="preserve"> Shodex SUGAR CH-801 8×300mm，F6378040,含1个保护柱套，1盒柱芯</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1</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套</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资生堂；ACE ； Shodex；</w:t>
            </w:r>
          </w:p>
        </w:tc>
      </w:tr>
      <w:tr>
        <w:trPr>
          <w:trHeight w:val="84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流动相过滤装置</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型号：螺口过滤装置          规格：GL45过滤装置整套+1000ml螺口瓶                        组成部分：滤杯、滤头、抽滤瓶、夹子、防尘盖、硅胶及耐压橡胶管</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2</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套</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悦成；三元化玻；垒固</w:t>
            </w: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流动相过滤装置</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规格：磨口型＋2L接液瓶        组成部分：滤杯、滤芯、抽滤瓶、夹子、防尘盖</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1</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套</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垒固；悦成；三元化玻</w:t>
            </w: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一次性注射器</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规格:5mL;wego;100支/盒</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5</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盒</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洁瑞;侨民;威高</w:t>
            </w:r>
          </w:p>
        </w:tc>
      </w:tr>
      <w:tr>
        <w:trPr>
          <w:trHeight w:val="147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薄层层析硅胶板</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规格：5*10cm 160片/盒  型号：HSG 涂层厚度：0.2mm±0.03mm</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2</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盒</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青岛基亿达硅胶试剂有限公司，烟台江友硅胶开发有限公司，青岛海洋化工有限公司</w:t>
            </w: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石棉网</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规格：包边12.5×12.5（10片）</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1</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盒</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康玻；汇达实验耗材；蜀牛</w:t>
            </w: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石棉网</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规格：包边15×15（10片）</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1</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盒</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康玻；汇达实验耗材；蜀牛</w:t>
            </w: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石棉网</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规格：包边20×20（10片）</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1</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盒</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康玻；汇达实验耗材；蜀牛</w:t>
            </w: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一次性乳胶手套</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规格:小号 绿色</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10</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盒</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光明;启巧;爱马斯</w:t>
            </w: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一次性乳胶手套</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规格:大号 绿色</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2</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盒</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光明;启巧;爱马斯</w:t>
            </w:r>
          </w:p>
        </w:tc>
      </w:tr>
      <w:tr>
        <w:trPr>
          <w:trHeight w:val="63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水相滤头</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规格:0.45µm;aglient;100/pk</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10</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包</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安捷伦;waters;安谱</w:t>
            </w:r>
          </w:p>
        </w:tc>
      </w:tr>
      <w:tr>
        <w:trPr>
          <w:trHeight w:val="63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D101大孔吸附树脂</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级别：分析纯</w:t>
              <w:br/>
              <w:t>规格：500g    交换容量：不少于4.2mmol/g； 型号规格：HG2-885-76</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6</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包</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天津光复；</w:t>
              <w:br/>
              <w:t>国药；</w:t>
              <w:br/>
              <w:t>麦克林</w:t>
            </w: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带球显色喷雾瓶</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规格：100ml</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6</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个</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信谊；北玻；蜀牛</w:t>
            </w:r>
          </w:p>
        </w:tc>
      </w:tr>
      <w:tr>
        <w:trPr>
          <w:trHeight w:val="63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一次性丁腈手套</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型号：Asell  92-600          规格：100只/盒；M号</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10</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盒</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安思尔；</w:t>
              <w:br/>
              <w:t>金佰利；</w:t>
              <w:br/>
              <w:t>爱马斯；</w:t>
            </w:r>
          </w:p>
        </w:tc>
      </w:tr>
      <w:tr>
        <w:trPr>
          <w:trHeight w:val="63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一次性丁腈手套</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型号：Asell  92-600          规格：100只/盒； L号</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4</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盒</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安思尔；</w:t>
              <w:br/>
              <w:t>金佰利；</w:t>
              <w:br/>
              <w:t>爱马斯；</w:t>
            </w: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一次性活性炭口罩</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型号：Ason CC-4273-01单片装             规格：50片/盒</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10</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盒</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jc w:val="center"/>
              <w:rPr>
                <w:rFonts w:ascii="宋体" w:eastAsia="宋体" w:cs="宋体" w:hint="eastAsia"/>
                <w:i w:val="0"/>
                <w:iCs w:val="0"/>
                <w:color w:val="000000"/>
                <w:sz w:val="16"/>
                <w:szCs w:val="16"/>
                <w:u w:val="none"/>
              </w:rPr>
            </w:pPr>
          </w:p>
        </w:tc>
      </w:tr>
      <w:tr>
        <w:trPr>
          <w:trHeight w:val="63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离心管</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型号：螺口圆底                 规格：50ml</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5</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包</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甄选；biosharp；耐思</w:t>
            </w: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西林瓶</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型号：BKMAM                 规格：50ml</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50</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个</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BKMAM；岛津；安捷伦</w:t>
            </w: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西林瓶</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型号：BKMAM                 规格：100ml</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50</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个</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BKMAM；岛津；安捷伦</w:t>
            </w: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流动相多口瓶</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型号：HAMAG；                    规格：2000ml；三头瓶</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4</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个</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哈迈；岛津；安捷伦</w:t>
            </w: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流动相多口瓶</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型号：HAMAG；                    规格：2000ml；两头瓶</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10</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个</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哈迈；岛津；安捷伦</w:t>
            </w: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流动相安全瓶盖</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型号：HAMAG；规格：三孔瓶盖；单向阀，鸭嘴型设计，负压只进不出；高硼硅</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10</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个</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哈迈；岛津；安捷伦</w:t>
            </w: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流动相安全瓶盖</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型号：HAMAG；规格：两孔孔瓶盖；单向阀，鸭嘴型设计，负压只进不出；高硼硅</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10</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个</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哈迈；岛津；安捷伦</w:t>
            </w: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流动相收集器</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型号：HAMAG；规格：主体PTFE材质；接头部分10X8mm冷凝管；废液过滤器，HDPE耐腐蚀桶</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10</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套</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哈迈；岛津；安捷伦</w:t>
            </w: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白色螺口试剂瓶（流动相溶剂瓶）</w:t>
            </w:r>
          </w:p>
        </w:tc>
        <w:tc>
          <w:tcPr>
            <w:tcW w:w="60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型号：Ason C2-077-06容量：2000ml；瓶体直径×高度136×260mm;带盖；</w:t>
            </w:r>
          </w:p>
        </w:tc>
        <w:tc>
          <w:tcPr>
            <w:tcW w:w="58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3</w:t>
            </w:r>
          </w:p>
        </w:tc>
        <w:tc>
          <w:tcPr>
            <w:tcW w:w="61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个</w:t>
            </w:r>
          </w:p>
        </w:tc>
        <w:tc>
          <w:tcPr>
            <w:tcW w:w="166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pPr>
              <w:jc w:val="center"/>
              <w:rPr>
                <w:rFonts w:ascii="宋体" w:eastAsia="宋体" w:cs="宋体" w:hint="eastAsia"/>
                <w:i w:val="0"/>
                <w:iCs w:val="0"/>
                <w:color w:val="000000"/>
                <w:sz w:val="16"/>
                <w:szCs w:val="16"/>
                <w:u w:val="none"/>
              </w:rPr>
            </w:pP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棕色螺口试剂瓶（流动相溶剂瓶）</w:t>
            </w:r>
          </w:p>
        </w:tc>
        <w:tc>
          <w:tcPr>
            <w:tcW w:w="60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型号：Ason C1-1961-07容量：2000ml；瓶体直径×高度136×260mm;带盖；</w:t>
            </w:r>
          </w:p>
        </w:tc>
        <w:tc>
          <w:tcPr>
            <w:tcW w:w="58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2</w:t>
            </w:r>
          </w:p>
        </w:tc>
        <w:tc>
          <w:tcPr>
            <w:tcW w:w="61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个</w:t>
            </w:r>
          </w:p>
        </w:tc>
        <w:tc>
          <w:tcPr>
            <w:tcW w:w="166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pPr>
              <w:jc w:val="center"/>
              <w:rPr>
                <w:rFonts w:ascii="宋体" w:eastAsia="宋体" w:cs="宋体" w:hint="eastAsia"/>
                <w:i w:val="0"/>
                <w:iCs w:val="0"/>
                <w:color w:val="000000"/>
                <w:sz w:val="16"/>
                <w:szCs w:val="16"/>
                <w:u w:val="none"/>
              </w:rPr>
            </w:pP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白色螺口试剂瓶（流动相溶剂瓶）</w:t>
            </w:r>
          </w:p>
        </w:tc>
        <w:tc>
          <w:tcPr>
            <w:tcW w:w="60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型号：Ason C2-077-11容量：3500ml；瓶体直径×高度166×295mm;带盖；</w:t>
            </w:r>
          </w:p>
        </w:tc>
        <w:tc>
          <w:tcPr>
            <w:tcW w:w="58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3</w:t>
            </w:r>
          </w:p>
        </w:tc>
        <w:tc>
          <w:tcPr>
            <w:tcW w:w="61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个</w:t>
            </w:r>
          </w:p>
        </w:tc>
        <w:tc>
          <w:tcPr>
            <w:tcW w:w="166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pPr>
              <w:jc w:val="center"/>
              <w:rPr>
                <w:rFonts w:ascii="宋体" w:eastAsia="宋体" w:cs="宋体" w:hint="eastAsia"/>
                <w:i w:val="0"/>
                <w:iCs w:val="0"/>
                <w:color w:val="000000"/>
                <w:sz w:val="16"/>
                <w:szCs w:val="16"/>
                <w:u w:val="none"/>
              </w:rPr>
            </w:pP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棕色螺口试剂瓶（流动相溶剂瓶）</w:t>
            </w:r>
          </w:p>
        </w:tc>
        <w:tc>
          <w:tcPr>
            <w:tcW w:w="60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型号：Ason CC-4115-01容量：3500ml；瓶体直径×高度166×295mm;带盖；</w:t>
            </w:r>
          </w:p>
        </w:tc>
        <w:tc>
          <w:tcPr>
            <w:tcW w:w="58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2</w:t>
            </w:r>
          </w:p>
        </w:tc>
        <w:tc>
          <w:tcPr>
            <w:tcW w:w="61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个</w:t>
            </w:r>
          </w:p>
        </w:tc>
        <w:tc>
          <w:tcPr>
            <w:tcW w:w="166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pPr>
              <w:jc w:val="center"/>
              <w:rPr>
                <w:rFonts w:ascii="宋体" w:eastAsia="宋体" w:cs="宋体" w:hint="eastAsia"/>
                <w:i w:val="0"/>
                <w:iCs w:val="0"/>
                <w:color w:val="000000"/>
                <w:sz w:val="16"/>
                <w:szCs w:val="16"/>
                <w:u w:val="none"/>
              </w:rPr>
            </w:pP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玻璃烧杯</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规格：1000ml；</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10</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个</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北玻；天玻；蜀牛</w:t>
            </w: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玻璃烧杯</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规格：500ml；</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20</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个</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北玻；天玻；蜀牛</w:t>
            </w: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大肚移液管</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规格：1ml；10根/盒</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3</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盒</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北玻；天玻；蜀牛</w:t>
            </w: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大肚移液管</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规格：2ml；10根/盒</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3</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盒</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北玻；天玻；蜀牛</w:t>
            </w: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大肚移液管</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规格：3ml；10根/盒</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3</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盒</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北玻；天玻；蜀牛</w:t>
            </w: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大肚移液管</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规格：5ml；10根/盒</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2</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盒</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北玻；天玻；蜀牛</w:t>
            </w: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PFA软管</w:t>
            </w:r>
          </w:p>
        </w:tc>
        <w:tc>
          <w:tcPr>
            <w:tcW w:w="60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型号：Asone 1-9802-07 CFT10-80      内径×外径(φmm)：</w:t>
            </w:r>
            <w:r>
              <w:rPr>
                <w:rFonts w:ascii="宋体" w:eastAsia="宋体" w:cs="宋体" w:hint="eastAsia"/>
                <w:i w:val="0"/>
                <w:iCs w:val="0"/>
                <w:color w:val="000000"/>
                <w:kern w:val="0"/>
                <w:sz w:val="16"/>
                <w:szCs w:val="16"/>
                <w:u w:val="single"/>
                <w:lang w:val="en-US" w:eastAsia="zh-CN"/>
              </w:rPr>
              <w:t>8*10</w:t>
            </w:r>
            <w:r>
              <w:rPr>
                <w:rFonts w:ascii="宋体" w:eastAsia="宋体" w:cs="宋体" w:hint="eastAsia"/>
                <w:i w:val="0"/>
                <w:iCs w:val="0"/>
                <w:color w:val="000000"/>
                <w:kern w:val="0"/>
                <w:sz w:val="16"/>
                <w:szCs w:val="16"/>
                <w:u w:val="none"/>
                <w:lang w:val="en-US" w:eastAsia="zh-CN"/>
              </w:rPr>
              <w:t xml:space="preserve"> ;10米</w:t>
            </w:r>
          </w:p>
        </w:tc>
        <w:tc>
          <w:tcPr>
            <w:tcW w:w="58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2</w:t>
            </w:r>
          </w:p>
        </w:tc>
        <w:tc>
          <w:tcPr>
            <w:tcW w:w="61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包</w:t>
            </w:r>
          </w:p>
        </w:tc>
        <w:tc>
          <w:tcPr>
            <w:tcW w:w="166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pPr>
              <w:jc w:val="center"/>
              <w:rPr>
                <w:rFonts w:ascii="宋体" w:eastAsia="宋体" w:cs="宋体" w:hint="eastAsia"/>
                <w:i w:val="0"/>
                <w:iCs w:val="0"/>
                <w:color w:val="000000"/>
                <w:sz w:val="16"/>
                <w:szCs w:val="16"/>
                <w:u w:val="none"/>
              </w:rPr>
            </w:pP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针头滤器（有机）</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型号：SHIMADZU孔径：0.22μm；内径13mm；100个/盒</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20</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盒</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哈迈；岛津；安捷伦</w:t>
            </w: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液相过滤膜</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型号：SHIMADZU孔径：0.45μm；直径50mm；50片/包</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30</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包</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哈迈；岛津；安捷伦</w:t>
            </w: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展开缸</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型号：CAMAG-022.5256 规格：20×20cm；不锈钢盖；缸体一次成型</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2</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个</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jc w:val="center"/>
              <w:rPr>
                <w:rFonts w:ascii="宋体" w:eastAsia="宋体" w:cs="宋体" w:hint="eastAsia"/>
                <w:i w:val="0"/>
                <w:iCs w:val="0"/>
                <w:color w:val="000000"/>
                <w:sz w:val="16"/>
                <w:szCs w:val="16"/>
                <w:u w:val="none"/>
              </w:rPr>
            </w:pP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展开缸</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型号：CAMAG-022.5254 规格：20×10cm；不锈钢盖；缸体一次成型</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2</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个</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jc w:val="center"/>
              <w:rPr>
                <w:rFonts w:ascii="宋体" w:eastAsia="宋体" w:cs="宋体" w:hint="eastAsia"/>
                <w:i w:val="0"/>
                <w:iCs w:val="0"/>
                <w:color w:val="000000"/>
                <w:sz w:val="16"/>
                <w:szCs w:val="16"/>
                <w:u w:val="none"/>
              </w:rPr>
            </w:pP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展开缸</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型号：CAMAG-022.5155 规格：10*10cm；不锈钢盖；缸体一次成型</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2</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个</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jc w:val="center"/>
              <w:rPr>
                <w:rFonts w:ascii="宋体" w:eastAsia="宋体" w:cs="宋体" w:hint="eastAsia"/>
                <w:i w:val="0"/>
                <w:iCs w:val="0"/>
                <w:color w:val="000000"/>
                <w:sz w:val="16"/>
                <w:szCs w:val="16"/>
                <w:u w:val="none"/>
              </w:rPr>
            </w:pP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不锈钢筛</w:t>
            </w:r>
          </w:p>
        </w:tc>
        <w:tc>
          <w:tcPr>
            <w:tcW w:w="60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型号：Asone 5-3293-25规格：网孔2.00mm;1号筛;内径×内高：200×60mm</w:t>
            </w:r>
          </w:p>
        </w:tc>
        <w:tc>
          <w:tcPr>
            <w:tcW w:w="58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1</w:t>
            </w:r>
          </w:p>
        </w:tc>
        <w:tc>
          <w:tcPr>
            <w:tcW w:w="61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个</w:t>
            </w:r>
          </w:p>
        </w:tc>
        <w:tc>
          <w:tcPr>
            <w:tcW w:w="166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pPr>
              <w:jc w:val="center"/>
              <w:rPr>
                <w:rFonts w:ascii="宋体" w:eastAsia="宋体" w:cs="宋体" w:hint="eastAsia"/>
                <w:i w:val="0"/>
                <w:iCs w:val="0"/>
                <w:color w:val="000000"/>
                <w:sz w:val="16"/>
                <w:szCs w:val="16"/>
                <w:u w:val="none"/>
              </w:rPr>
            </w:pP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不锈钢筛</w:t>
            </w:r>
          </w:p>
        </w:tc>
        <w:tc>
          <w:tcPr>
            <w:tcW w:w="60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型号：Asone 5-3293-30规格：网孔850μm;2号筛;内径×内高：200×60mm</w:t>
            </w:r>
          </w:p>
        </w:tc>
        <w:tc>
          <w:tcPr>
            <w:tcW w:w="58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1</w:t>
            </w:r>
          </w:p>
        </w:tc>
        <w:tc>
          <w:tcPr>
            <w:tcW w:w="61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个</w:t>
            </w:r>
          </w:p>
        </w:tc>
        <w:tc>
          <w:tcPr>
            <w:tcW w:w="166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pPr>
              <w:jc w:val="center"/>
              <w:rPr>
                <w:rFonts w:ascii="宋体" w:eastAsia="宋体" w:cs="宋体" w:hint="eastAsia"/>
                <w:i w:val="0"/>
                <w:iCs w:val="0"/>
                <w:color w:val="000000"/>
                <w:sz w:val="16"/>
                <w:szCs w:val="16"/>
                <w:u w:val="none"/>
              </w:rPr>
            </w:pP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不锈钢筛</w:t>
            </w:r>
          </w:p>
        </w:tc>
        <w:tc>
          <w:tcPr>
            <w:tcW w:w="60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型号：Asone 5-3293-35规格：网孔355μm;3号筛;内径×内高：200×60mm</w:t>
            </w:r>
          </w:p>
        </w:tc>
        <w:tc>
          <w:tcPr>
            <w:tcW w:w="58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1</w:t>
            </w:r>
          </w:p>
        </w:tc>
        <w:tc>
          <w:tcPr>
            <w:tcW w:w="61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个</w:t>
            </w:r>
          </w:p>
        </w:tc>
        <w:tc>
          <w:tcPr>
            <w:tcW w:w="166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pPr>
              <w:jc w:val="center"/>
              <w:rPr>
                <w:rFonts w:ascii="宋体" w:eastAsia="宋体" w:cs="宋体" w:hint="eastAsia"/>
                <w:i w:val="0"/>
                <w:iCs w:val="0"/>
                <w:color w:val="000000"/>
                <w:sz w:val="16"/>
                <w:szCs w:val="16"/>
                <w:u w:val="none"/>
              </w:rPr>
            </w:pP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不锈钢筛</w:t>
            </w:r>
          </w:p>
        </w:tc>
        <w:tc>
          <w:tcPr>
            <w:tcW w:w="60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型号：Asone 5-3293-37规格：网孔250μm;4号筛;内径×内高：200×60mm</w:t>
            </w:r>
          </w:p>
        </w:tc>
        <w:tc>
          <w:tcPr>
            <w:tcW w:w="58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1</w:t>
            </w:r>
          </w:p>
        </w:tc>
        <w:tc>
          <w:tcPr>
            <w:tcW w:w="61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个</w:t>
            </w:r>
          </w:p>
        </w:tc>
        <w:tc>
          <w:tcPr>
            <w:tcW w:w="166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pPr>
              <w:jc w:val="center"/>
              <w:rPr>
                <w:rFonts w:ascii="宋体" w:eastAsia="宋体" w:cs="宋体" w:hint="eastAsia"/>
                <w:i w:val="0"/>
                <w:iCs w:val="0"/>
                <w:color w:val="000000"/>
                <w:sz w:val="16"/>
                <w:szCs w:val="16"/>
                <w:u w:val="none"/>
              </w:rPr>
            </w:pP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不锈钢筛</w:t>
            </w:r>
          </w:p>
        </w:tc>
        <w:tc>
          <w:tcPr>
            <w:tcW w:w="60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型号：Asone 5-3293-39规格：网孔180μm;5号筛;内径×内高：200×60mm</w:t>
            </w:r>
          </w:p>
        </w:tc>
        <w:tc>
          <w:tcPr>
            <w:tcW w:w="58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1</w:t>
            </w:r>
          </w:p>
        </w:tc>
        <w:tc>
          <w:tcPr>
            <w:tcW w:w="61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个</w:t>
            </w:r>
          </w:p>
        </w:tc>
        <w:tc>
          <w:tcPr>
            <w:tcW w:w="166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pPr>
              <w:jc w:val="center"/>
              <w:rPr>
                <w:rFonts w:ascii="宋体" w:eastAsia="宋体" w:cs="宋体" w:hint="eastAsia"/>
                <w:i w:val="0"/>
                <w:iCs w:val="0"/>
                <w:color w:val="000000"/>
                <w:sz w:val="16"/>
                <w:szCs w:val="16"/>
                <w:u w:val="none"/>
              </w:rPr>
            </w:pP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不锈钢筛</w:t>
            </w:r>
          </w:p>
        </w:tc>
        <w:tc>
          <w:tcPr>
            <w:tcW w:w="60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型号：Asone 5-3293-40规格：网孔150μm;6号筛;内径×内高：200×60mm</w:t>
            </w:r>
          </w:p>
        </w:tc>
        <w:tc>
          <w:tcPr>
            <w:tcW w:w="58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1</w:t>
            </w:r>
          </w:p>
        </w:tc>
        <w:tc>
          <w:tcPr>
            <w:tcW w:w="61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个</w:t>
            </w:r>
          </w:p>
        </w:tc>
        <w:tc>
          <w:tcPr>
            <w:tcW w:w="166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pPr>
              <w:jc w:val="center"/>
              <w:rPr>
                <w:rFonts w:ascii="宋体" w:eastAsia="宋体" w:cs="宋体" w:hint="eastAsia"/>
                <w:i w:val="0"/>
                <w:iCs w:val="0"/>
                <w:color w:val="000000"/>
                <w:sz w:val="16"/>
                <w:szCs w:val="16"/>
                <w:u w:val="none"/>
              </w:rPr>
            </w:pP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铝冷却模块</w:t>
            </w:r>
          </w:p>
        </w:tc>
        <w:tc>
          <w:tcPr>
            <w:tcW w:w="60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型号：Asone 2-4119-02规格：1.5ml/2ml管兼用；尺寸：128×86×35mm；存放支数：24支；</w:t>
            </w:r>
          </w:p>
        </w:tc>
        <w:tc>
          <w:tcPr>
            <w:tcW w:w="58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1</w:t>
            </w:r>
          </w:p>
        </w:tc>
        <w:tc>
          <w:tcPr>
            <w:tcW w:w="61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个</w:t>
            </w:r>
          </w:p>
        </w:tc>
        <w:tc>
          <w:tcPr>
            <w:tcW w:w="1668"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pPr>
              <w:jc w:val="center"/>
              <w:rPr>
                <w:rFonts w:ascii="宋体" w:eastAsia="宋体" w:cs="宋体" w:hint="eastAsia"/>
                <w:i w:val="0"/>
                <w:iCs w:val="0"/>
                <w:color w:val="000000"/>
                <w:sz w:val="16"/>
                <w:szCs w:val="16"/>
                <w:u w:val="none"/>
              </w:rPr>
            </w:pPr>
          </w:p>
        </w:tc>
      </w:tr>
      <w:tr>
        <w:trPr>
          <w:trHeight w:val="63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黄曲霉毒素B1B2G1G2免疫亲和柱</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型号：HCM0125B；规格：3ml;数量：50支</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2</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盒</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jc w:val="center"/>
              <w:rPr>
                <w:rFonts w:ascii="宋体" w:eastAsia="宋体" w:cs="宋体" w:hint="eastAsia"/>
                <w:i w:val="0"/>
                <w:iCs w:val="0"/>
                <w:color w:val="000000"/>
                <w:sz w:val="16"/>
                <w:szCs w:val="16"/>
                <w:u w:val="none"/>
              </w:rPr>
            </w:pP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量入式玻璃量筒（5mL）</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分度值：0.1mL</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5</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个</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天玻；申玻；泰州中泰</w:t>
            </w: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量入式玻璃量筒（10mL）</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分度值：0.2mL</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5</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个</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天玻；申玻；泰州中泰</w:t>
            </w: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量入式玻璃量筒（25mL）</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分度值：0.5mL</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5</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个</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天玻；申玻；泰州中泰</w:t>
            </w: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量入式玻璃量筒（50mL）</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分度值：1mL</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5</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个</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天玻；申玻；泰州中泰</w:t>
            </w: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量入式玻璃量筒（100mL）</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分度值：1mL</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5</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个</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天玻；申玻；泰州中泰</w:t>
            </w: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量入式玻璃量筒（250mL）</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分度值：2mL</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5</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个</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天玻；申玻；泰州中泰</w:t>
            </w: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量入式玻璃量筒（500mL）</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分度值：5mL</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5</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个</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天玻；申玻；泰州中泰</w:t>
            </w: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量入式玻璃量筒（1000mL）</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分度值：10mL</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5</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个</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天玻；申玻；泰州中泰</w:t>
            </w: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量入式玻璃量筒（2000mL）</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分度值：20mL</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5</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个</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天玻；申玻；泰州中泰</w:t>
            </w: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N-丙基乙二胺</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型号：PSA；规格：40~100μm,100g</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1</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瓶</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jc w:val="center"/>
              <w:rPr>
                <w:rFonts w:ascii="宋体" w:eastAsia="宋体" w:cs="宋体" w:hint="eastAsia"/>
                <w:i w:val="0"/>
                <w:iCs w:val="0"/>
                <w:color w:val="000000"/>
                <w:sz w:val="16"/>
                <w:szCs w:val="16"/>
                <w:u w:val="none"/>
              </w:rPr>
            </w:pP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十八烷基硅烷键合硅胶</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型号：C</w:t>
            </w:r>
            <w:r>
              <w:rPr>
                <w:rFonts w:ascii="宋体" w:eastAsia="宋体" w:cs="宋体" w:hint="eastAsia"/>
                <w:i w:val="0"/>
                <w:iCs w:val="0"/>
                <w:color w:val="000000"/>
                <w:kern w:val="0"/>
                <w:sz w:val="16"/>
                <w:szCs w:val="16"/>
                <w:u w:val="none"/>
                <w:vertAlign w:val="subscript"/>
                <w:lang w:val="en-US" w:eastAsia="zh-CN"/>
              </w:rPr>
              <w:t>18</w:t>
            </w:r>
            <w:r>
              <w:rPr>
                <w:rFonts w:ascii="宋体" w:eastAsia="宋体" w:cs="宋体" w:hint="eastAsia"/>
                <w:i w:val="0"/>
                <w:iCs w:val="0"/>
                <w:color w:val="000000"/>
                <w:kern w:val="0"/>
                <w:sz w:val="16"/>
                <w:szCs w:val="16"/>
                <w:u w:val="none"/>
                <w:lang w:val="en-US" w:eastAsia="zh-CN"/>
              </w:rPr>
              <w:t>；规格：40~100μm,100g</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1</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瓶</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jc w:val="center"/>
              <w:rPr>
                <w:rFonts w:ascii="宋体" w:eastAsia="宋体" w:cs="宋体" w:hint="eastAsia"/>
                <w:i w:val="0"/>
                <w:iCs w:val="0"/>
                <w:color w:val="000000"/>
                <w:sz w:val="16"/>
                <w:szCs w:val="16"/>
                <w:u w:val="none"/>
              </w:rPr>
            </w:pP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固相萃取柱</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规格：C</w:t>
            </w:r>
            <w:r>
              <w:rPr>
                <w:rFonts w:ascii="宋体" w:eastAsia="宋体" w:cs="宋体" w:hint="eastAsia"/>
                <w:i w:val="0"/>
                <w:iCs w:val="0"/>
                <w:color w:val="000000"/>
                <w:kern w:val="0"/>
                <w:sz w:val="16"/>
                <w:szCs w:val="16"/>
                <w:u w:val="none"/>
                <w:vertAlign w:val="subscript"/>
                <w:lang w:val="en-US" w:eastAsia="zh-CN"/>
              </w:rPr>
              <w:t>18</w:t>
            </w:r>
            <w:r>
              <w:rPr>
                <w:rFonts w:ascii="宋体" w:eastAsia="宋体" w:cs="宋体" w:hint="eastAsia"/>
                <w:i w:val="0"/>
                <w:iCs w:val="0"/>
                <w:color w:val="000000"/>
                <w:kern w:val="0"/>
                <w:sz w:val="16"/>
                <w:szCs w:val="16"/>
                <w:u w:val="none"/>
                <w:lang w:val="en-US" w:eastAsia="zh-CN"/>
              </w:rPr>
              <w:t>柱1ｇ／6ｍＬ</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30</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个</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赛默飞;默克；waters</w:t>
            </w: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固相萃取柱</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规格：SAX柱500ｍｇ／6ｍＬ</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36</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个</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赛默飞;默克；waters</w:t>
            </w: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固相萃取柱</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规格：SCX柱　100mｇ／6ｍＬ</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48</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个</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赛默飞;默克；waters</w:t>
            </w: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固相萃取柱</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规格：MCX柱　60mｇ／3ｍＬ</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50</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个</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CNW；逗点;安谱</w:t>
            </w: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固相萃取柱</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规格：MEP柱　60mｇ／3ｍＬ</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50</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个</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CNW；逗点;安谱</w:t>
            </w: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固相萃取柱</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规格：silica柱　500mｇ／6ｍＬ</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30</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个</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CNW；逗点;安谱</w:t>
            </w: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固相萃取柱</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规格：HLB柱　500mｇ／6ｍＬ</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30</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个</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安谱；CNW；逗点;</w:t>
            </w: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固相萃取柱</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规格：SCX柱　500mｇ／3ｍＬ</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50</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个</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安谱；CNW；逗点;</w:t>
            </w: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无粉乳胶手套</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规格：S号</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20</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盒</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光明；可孚；爱马斯</w:t>
            </w: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气相色谱进样针</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仪器耗材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规格:10μL;</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 xml:space="preserve">5 </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根</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jc w:val="center"/>
              <w:rPr>
                <w:rFonts w:ascii="宋体" w:eastAsia="宋体" w:cs="宋体" w:hint="eastAsia"/>
                <w:i w:val="0"/>
                <w:iCs w:val="0"/>
                <w:color w:val="000000"/>
                <w:sz w:val="16"/>
                <w:szCs w:val="16"/>
                <w:u w:val="none"/>
              </w:rPr>
            </w:pPr>
          </w:p>
        </w:tc>
      </w:tr>
      <w:tr>
        <w:trPr>
          <w:trHeight w:val="63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 xml:space="preserve">石墨压环 </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仪器耗材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P/N:S670-15003-03</w:t>
              <w:br/>
              <w:t>规格：0.25mm;</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 xml:space="preserve">4 </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盒</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jc w:val="center"/>
              <w:rPr>
                <w:rFonts w:ascii="宋体" w:eastAsia="宋体" w:cs="宋体" w:hint="eastAsia"/>
                <w:i w:val="0"/>
                <w:iCs w:val="0"/>
                <w:color w:val="000000"/>
                <w:sz w:val="16"/>
                <w:szCs w:val="16"/>
                <w:u w:val="none"/>
              </w:rPr>
            </w:pPr>
          </w:p>
        </w:tc>
      </w:tr>
      <w:tr>
        <w:trPr>
          <w:trHeight w:val="63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岛津气相清洗瓶套装（含4ml瓶，瓶盖，瓶垫）</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仪器耗材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规格:4mL;</w:t>
              <w:br/>
              <w:t>规格:50个/盒;</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 xml:space="preserve">3 </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盒</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jc w:val="center"/>
              <w:rPr>
                <w:rFonts w:ascii="宋体" w:eastAsia="宋体" w:cs="宋体" w:hint="eastAsia"/>
                <w:i w:val="0"/>
                <w:iCs w:val="0"/>
                <w:color w:val="000000"/>
                <w:sz w:val="16"/>
                <w:szCs w:val="16"/>
                <w:u w:val="none"/>
              </w:rPr>
            </w:pP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GPC进样管配套盖子</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仪器耗材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 xml:space="preserve">BV016  Cap ; Open Top; 16mm; pk/144 </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 xml:space="preserve">3 </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盒</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jc w:val="center"/>
              <w:rPr>
                <w:rFonts w:ascii="宋体" w:eastAsia="宋体" w:cs="宋体" w:hint="eastAsia"/>
                <w:i w:val="0"/>
                <w:iCs w:val="0"/>
                <w:color w:val="000000"/>
                <w:sz w:val="16"/>
                <w:szCs w:val="16"/>
                <w:u w:val="none"/>
              </w:rPr>
            </w:pP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GPC进样管配套垫片</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仪器耗材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BV016T-PK   Septa; PTFE Disc; 13mm; pk/100 NO REV;</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 xml:space="preserve">3 </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盒</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jc w:val="center"/>
              <w:rPr>
                <w:rFonts w:ascii="宋体" w:eastAsia="宋体" w:cs="宋体" w:hint="eastAsia"/>
                <w:i w:val="0"/>
                <w:iCs w:val="0"/>
                <w:color w:val="000000"/>
                <w:sz w:val="16"/>
                <w:szCs w:val="16"/>
                <w:u w:val="none"/>
              </w:rPr>
            </w:pP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容量瓶</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规格：5mL  透明</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50</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个</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天玻；蜀牛；北玻</w:t>
            </w: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容量瓶</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规格：10mL  透明</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50</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个</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天玻；蜀牛；北玻</w:t>
            </w:r>
          </w:p>
        </w:tc>
      </w:tr>
      <w:tr>
        <w:trPr>
          <w:trHeight w:val="63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液相小瓶盖</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规格：2mL瓶对应螺纹口瓶盖带隔垫</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100*5</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个</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安捷伦；waters；岛津</w:t>
            </w: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液相色谱柱</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色谱柱</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名称：HILIC;规格:250 mm×4.6 mm（i.d.），5 μm</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1</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根</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CNW;AGILENT;岛津</w:t>
            </w:r>
          </w:p>
        </w:tc>
      </w:tr>
      <w:tr>
        <w:trPr>
          <w:trHeight w:val="63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液质色谱柱</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色谱柱</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名称：HILIC Silica;规格:100 mm×2.1 mm（i.d.），3 μm</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1</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根</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WATERS</w:t>
              <w:br/>
              <w:t>CNW;</w:t>
              <w:br/>
              <w:t>AGILENT;</w:t>
            </w: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液质色谱柱</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色谱柱</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名称：Waters CORTECS T3;规格:100 mm×2.1 mm，2.7 μm</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1</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根</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waters;安捷伦；岛津</w:t>
            </w: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利器盒</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直径15cm，高17cm</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30</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个</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钜之盛  鼎坚    艾美特</w:t>
            </w:r>
          </w:p>
        </w:tc>
      </w:tr>
      <w:tr>
        <w:trPr>
          <w:trHeight w:val="42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利器盒</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直径17cm，高20cm</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30</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个</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钜之盛  鼎坚    艾美特</w:t>
            </w:r>
          </w:p>
        </w:tc>
      </w:tr>
      <w:tr>
        <w:trPr>
          <w:trHeight w:val="126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废液桶</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容量：5升</w:t>
              <w:br/>
              <w:t>要求：耐酸碱不漏液，食品级耐高温，装满产品可堆码4层抗摔抗压承重</w:t>
              <w:br/>
              <w:t>材质：HDPE（高密度聚乙烯）</w:t>
              <w:br/>
              <w:t>长×宽×高(mm)：180×156×260</w:t>
              <w:br/>
              <w:t>口内径(φmm)：39</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300</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个</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jc w:val="center"/>
              <w:rPr>
                <w:rFonts w:ascii="宋体" w:eastAsia="宋体" w:cs="宋体" w:hint="eastAsia"/>
                <w:i w:val="0"/>
                <w:iCs w:val="0"/>
                <w:color w:val="000000"/>
                <w:sz w:val="16"/>
                <w:szCs w:val="16"/>
                <w:u w:val="none"/>
              </w:rPr>
            </w:pPr>
          </w:p>
        </w:tc>
      </w:tr>
      <w:tr>
        <w:trPr>
          <w:trHeight w:val="1470"/>
          <w:gridBefore w:val="1"/>
          <w:wBefore w:w="2" w:type="dxa"/>
          <w:gridAfter w:val="1"/>
          <w:wAfter w:w="5" w:type="dxa"/>
        </w:trPr>
        <w:tc>
          <w:tcPr>
            <w:tcW w:w="14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高精度数显冰箱温度计（带外置探头）</w:t>
            </w:r>
          </w:p>
        </w:tc>
        <w:tc>
          <w:tcPr>
            <w:tcW w:w="6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实验耗材</w:t>
            </w:r>
          </w:p>
        </w:tc>
        <w:tc>
          <w:tcPr>
            <w:tcW w:w="7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是</w:t>
            </w:r>
          </w:p>
        </w:tc>
        <w:tc>
          <w:tcPr>
            <w:tcW w:w="406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测量范围：-40℃~60℃；</w:t>
              <w:br/>
              <w:t>测量精度：±2℃；</w:t>
              <w:br/>
              <w:t>探头及探线：防水、防锈、耐磨损、耐低温处理</w:t>
              <w:br/>
              <w:t>探线长度：≥1米</w:t>
              <w:br/>
              <w:t>供电模式：电池供电</w:t>
              <w:br/>
              <w:t>带计量证书；</w:t>
              <w:br/>
              <w:t>计量范围：-30℃~10℃</w:t>
            </w:r>
          </w:p>
        </w:tc>
        <w:tc>
          <w:tcPr>
            <w:tcW w:w="58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5</w:t>
            </w:r>
          </w:p>
        </w:tc>
        <w:tc>
          <w:tcPr>
            <w:tcW w:w="6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jc w:val="center"/>
              <w:textAlignment w:val="center"/>
              <w:rPr>
                <w:rFonts w:ascii="宋体" w:eastAsia="宋体" w:cs="宋体" w:hint="eastAsia"/>
                <w:i w:val="0"/>
                <w:iCs w:val="0"/>
                <w:color w:val="000000"/>
                <w:sz w:val="16"/>
                <w:szCs w:val="16"/>
                <w:u w:val="none"/>
              </w:rPr>
            </w:pPr>
            <w:r>
              <w:rPr>
                <w:rFonts w:ascii="宋体" w:eastAsia="宋体" w:cs="宋体" w:hint="eastAsia"/>
                <w:i w:val="0"/>
                <w:iCs w:val="0"/>
                <w:color w:val="000000"/>
                <w:kern w:val="0"/>
                <w:sz w:val="16"/>
                <w:szCs w:val="16"/>
                <w:u w:val="none"/>
                <w:lang w:val="en-US" w:eastAsia="zh-CN"/>
              </w:rPr>
              <w:t>台</w:t>
            </w:r>
          </w:p>
        </w:tc>
        <w:tc>
          <w:tcPr>
            <w:tcW w:w="1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jc w:val="center"/>
              <w:rPr>
                <w:rFonts w:ascii="宋体" w:eastAsia="宋体" w:cs="宋体" w:hint="eastAsia"/>
                <w:i w:val="0"/>
                <w:iCs w:val="0"/>
                <w:color w:val="000000"/>
                <w:sz w:val="16"/>
                <w:szCs w:val="16"/>
                <w:u w:val="none"/>
              </w:rPr>
            </w:pPr>
          </w:p>
        </w:tc>
      </w:tr>
    </w:tbl>
    <w:p>
      <w:pPr>
        <w:pStyle w:val="1"/>
        <w:keepNext/>
        <w:keepLines/>
        <w:widowControl w:val="0"/>
        <w:wordWrap/>
        <w:adjustRightInd/>
        <w:snapToGrid/>
        <w:spacing w:before="0" w:after="0" w:line="240" w:lineRule="auto"/>
        <w:jc w:val="center"/>
        <w:textAlignment w:val="auto"/>
        <w:rPr>
          <w:rFonts w:ascii="宋体" w:eastAsia="宋体" w:cs="宋体" w:hint="eastAsia"/>
          <w:b w:val="0"/>
          <w:bCs w:val="0"/>
          <w:color w:val="000000"/>
          <w:kern w:val="2"/>
          <w:sz w:val="28"/>
          <w:szCs w:val="28"/>
          <w:lang w:val="en-US" w:eastAsia="zh-CN" w:bidi="ar-SA"/>
        </w:rPr>
      </w:pPr>
    </w:p>
    <w:p>
      <w:pPr>
        <w:pStyle w:val="1"/>
        <w:keepNext/>
        <w:keepLines/>
        <w:widowControl w:val="0"/>
        <w:wordWrap/>
        <w:adjustRightInd/>
        <w:snapToGrid/>
        <w:spacing w:before="0" w:after="0" w:line="240" w:lineRule="auto"/>
        <w:jc w:val="left"/>
        <w:textAlignment w:val="auto"/>
        <w:rPr>
          <w:rFonts w:ascii="宋体" w:eastAsia="宋体" w:cs="宋体" w:hint="eastAsia"/>
          <w:b w:val="0"/>
          <w:bCs w:val="0"/>
          <w:kern w:val="0"/>
          <w:sz w:val="24"/>
          <w:szCs w:val="24"/>
          <w:lang w:val="en-US" w:eastAsia="zh-CN" w:bidi="ar-SA"/>
        </w:rPr>
      </w:pPr>
      <w:r>
        <w:rPr>
          <w:rFonts w:ascii="宋体" w:eastAsia="宋体" w:cs="宋体" w:hint="eastAsia"/>
          <w:b w:val="0"/>
          <w:bCs w:val="0"/>
          <w:kern w:val="0"/>
          <w:sz w:val="24"/>
          <w:szCs w:val="24"/>
          <w:lang w:val="en-US" w:eastAsia="zh-CN" w:bidi="ar-SA"/>
        </w:rPr>
        <w:t>安全与验收</w:t>
      </w:r>
    </w:p>
    <w:p>
      <w:pPr>
        <w:pStyle w:val="1"/>
        <w:keepNext/>
        <w:keepLines/>
        <w:widowControl w:val="0"/>
        <w:wordWrap/>
        <w:adjustRightInd/>
        <w:snapToGrid/>
        <w:spacing w:before="0" w:beforeAutospacing="0" w:after="0" w:afterAutospacing="0" w:line="360" w:lineRule="auto"/>
        <w:ind w:firstLineChars="100" w:firstLine="240"/>
        <w:textAlignment w:val="auto"/>
        <w:rPr>
          <w:rFonts w:ascii="宋体" w:eastAsia="宋体" w:cs="宋体" w:hint="eastAsia"/>
          <w:b w:val="0"/>
          <w:bCs w:val="0"/>
          <w:kern w:val="0"/>
          <w:sz w:val="24"/>
          <w:szCs w:val="24"/>
          <w:lang w:val="en-US" w:eastAsia="zh-CN" w:bidi="ar-SA"/>
        </w:rPr>
      </w:pPr>
      <w:r>
        <w:rPr>
          <w:rFonts w:ascii="宋体" w:eastAsia="宋体" w:cs="宋体" w:hint="eastAsia"/>
          <w:b w:val="0"/>
          <w:bCs w:val="0"/>
          <w:kern w:val="0"/>
          <w:sz w:val="24"/>
          <w:szCs w:val="24"/>
          <w:lang w:val="en-US" w:eastAsia="zh-CN" w:bidi="ar-SA"/>
        </w:rPr>
        <w:t>1、到货验收：货物运抵甲方指定地点后，甲方应依据</w:t>
      </w:r>
      <w:r>
        <w:rPr>
          <w:rFonts w:ascii="宋体" w:eastAsia="宋体" w:cs="宋体" w:hint="eastAsia"/>
          <w:b w:val="0"/>
          <w:bCs w:val="0"/>
          <w:kern w:val="0"/>
          <w:sz w:val="24"/>
          <w:szCs w:val="24"/>
          <w:lang w:val="en-US" w:eastAsia="zh-CN" w:bidi="ar-SA"/>
          <w:highlight w:val="auto"/>
        </w:rPr>
        <w:t>合同及</w:t>
      </w:r>
      <w:r>
        <w:rPr>
          <w:rFonts w:ascii="宋体" w:cs="宋体" w:hint="eastAsia"/>
          <w:b w:val="0"/>
          <w:bCs w:val="0"/>
          <w:kern w:val="0"/>
          <w:sz w:val="24"/>
          <w:szCs w:val="24"/>
          <w:lang w:val="en-US" w:eastAsia="zh-CN" w:bidi="ar-SA"/>
          <w:highlight w:val="auto"/>
        </w:rPr>
        <w:t>招标文件</w:t>
      </w:r>
      <w:r>
        <w:rPr>
          <w:rFonts w:ascii="宋体" w:eastAsia="宋体" w:cs="宋体" w:hint="eastAsia"/>
          <w:b w:val="0"/>
          <w:bCs w:val="0"/>
          <w:kern w:val="0"/>
          <w:sz w:val="24"/>
          <w:szCs w:val="24"/>
          <w:lang w:val="en-US" w:eastAsia="zh-CN" w:bidi="ar-SA"/>
          <w:highlight w:val="auto"/>
        </w:rPr>
        <w:t>文件上的技术规格要求和国家有关质量标准及时进行验收。如发生所供货物与</w:t>
      </w:r>
      <w:r>
        <w:rPr>
          <w:rFonts w:ascii="宋体" w:cs="宋体" w:hint="eastAsia"/>
          <w:b w:val="0"/>
          <w:bCs w:val="0"/>
          <w:kern w:val="0"/>
          <w:sz w:val="24"/>
          <w:szCs w:val="24"/>
          <w:lang w:val="en-US" w:eastAsia="zh-CN" w:bidi="ar-SA"/>
          <w:highlight w:val="auto"/>
        </w:rPr>
        <w:t>招标文件</w:t>
      </w:r>
      <w:r>
        <w:rPr>
          <w:rFonts w:ascii="宋体" w:eastAsia="宋体" w:cs="宋体" w:hint="eastAsia"/>
          <w:b w:val="0"/>
          <w:bCs w:val="0"/>
          <w:kern w:val="0"/>
          <w:sz w:val="24"/>
          <w:szCs w:val="24"/>
          <w:lang w:val="en-US" w:eastAsia="zh-CN" w:bidi="ar-SA"/>
        </w:rPr>
        <w:t>约定不符，甲方有权退货或要求乙方进行更换、补齐，因此造成逾期交货的，乙方应承担逾期交货的违约责任。乙方应在接到甲方要求后 2 日内予以补救，所产生的费用及法律后果由乙方承担。</w:t>
      </w:r>
    </w:p>
    <w:p>
      <w:pPr>
        <w:pStyle w:val="20"/>
        <w:widowControl w:val="0"/>
        <w:kinsoku w:val="0"/>
        <w:wordWrap/>
        <w:overflowPunct w:val="0"/>
        <w:adjustRightInd/>
        <w:snapToGrid/>
        <w:spacing w:beforeAutospacing="0" w:afterAutospacing="0" w:line="360" w:lineRule="auto"/>
        <w:ind w:rightChars="-36" w:right="-76" w:firstLineChars="100" w:firstLine="240"/>
        <w:textAlignment w:val="auto"/>
        <w:rPr>
          <w:rFonts w:ascii="宋体" w:eastAsia="宋体" w:cs="宋体" w:hint="eastAsia"/>
          <w:b w:val="0"/>
          <w:bCs w:val="0"/>
          <w:kern w:val="0"/>
          <w:sz w:val="24"/>
          <w:szCs w:val="24"/>
          <w:lang w:val="en-US" w:eastAsia="zh-CN" w:bidi="ar-SA"/>
        </w:rPr>
      </w:pPr>
      <w:r>
        <w:rPr>
          <w:rFonts w:ascii="宋体" w:eastAsia="宋体" w:cs="宋体" w:hint="eastAsia"/>
          <w:b w:val="0"/>
          <w:bCs w:val="0"/>
          <w:kern w:val="0"/>
          <w:sz w:val="24"/>
          <w:szCs w:val="24"/>
          <w:lang w:val="en-US" w:eastAsia="zh-CN" w:bidi="ar-SA"/>
        </w:rPr>
        <w:t>2、安装调试：甲方对乙方提供的货物在使用前进行调试时，乙方需在甲方指定时间内负责安装并培训甲方的使用操作人员，并协助甲方一起调试，直到符合技术要求。安装调试所需的专用工具、备品备件以及</w:t>
      </w:r>
      <w:r>
        <w:rPr>
          <w:rFonts w:cs="宋体" w:hint="eastAsia"/>
          <w:b w:val="0"/>
          <w:bCs w:val="0"/>
          <w:kern w:val="0"/>
          <w:sz w:val="24"/>
          <w:szCs w:val="24"/>
          <w:lang w:val="en-US" w:eastAsia="zh-CN" w:bidi="ar-SA"/>
        </w:rPr>
        <w:t>招标文件</w:t>
      </w:r>
      <w:r>
        <w:rPr>
          <w:rFonts w:ascii="宋体" w:eastAsia="宋体" w:cs="宋体" w:hint="eastAsia"/>
          <w:b w:val="0"/>
          <w:bCs w:val="0"/>
          <w:kern w:val="0"/>
          <w:sz w:val="24"/>
          <w:szCs w:val="24"/>
          <w:lang w:val="en-US" w:eastAsia="zh-CN" w:bidi="ar-SA"/>
        </w:rPr>
        <w:t>规定的其他事项由乙方提供。</w:t>
      </w:r>
    </w:p>
    <w:p>
      <w:pPr>
        <w:pStyle w:val="20"/>
        <w:widowControl w:val="0"/>
        <w:kinsoku w:val="0"/>
        <w:wordWrap/>
        <w:overflowPunct w:val="0"/>
        <w:adjustRightInd/>
        <w:snapToGrid/>
        <w:spacing w:beforeAutospacing="0" w:afterAutospacing="0" w:line="360" w:lineRule="auto"/>
        <w:ind w:left="122" w:rightChars="-36" w:right="-76"/>
        <w:textAlignment w:val="auto"/>
        <w:rPr>
          <w:rFonts w:ascii="宋体" w:eastAsia="宋体" w:cs="宋体" w:hint="eastAsia"/>
          <w:b w:val="0"/>
          <w:bCs w:val="0"/>
          <w:kern w:val="0"/>
          <w:sz w:val="24"/>
          <w:szCs w:val="24"/>
          <w:lang w:val="en-US" w:eastAsia="zh-CN" w:bidi="ar-SA"/>
        </w:rPr>
      </w:pPr>
      <w:r>
        <w:rPr>
          <w:rFonts w:ascii="宋体" w:eastAsia="宋体" w:cs="宋体" w:hint="eastAsia"/>
          <w:b w:val="0"/>
          <w:bCs w:val="0"/>
          <w:kern w:val="0"/>
          <w:sz w:val="24"/>
          <w:szCs w:val="24"/>
          <w:lang w:val="en-US" w:eastAsia="zh-CN" w:bidi="ar-SA"/>
        </w:rPr>
        <w:t>安装调试过程中，乙方应采取安全保障措施，保证人员安全。如因乙方原因造成人员伤亡和财产损失的，乙方应承担全部 赔偿责任。</w:t>
      </w:r>
    </w:p>
    <w:p>
      <w:pPr>
        <w:pStyle w:val="20"/>
        <w:widowControl w:val="0"/>
        <w:kinsoku w:val="0"/>
        <w:wordWrap/>
        <w:overflowPunct w:val="0"/>
        <w:adjustRightInd/>
        <w:snapToGrid/>
        <w:spacing w:beforeAutospacing="0" w:afterAutospacing="0" w:line="360" w:lineRule="auto"/>
        <w:ind w:rightChars="-36" w:right="-76" w:firstLineChars="100" w:firstLine="240"/>
        <w:jc w:val="both"/>
        <w:textAlignment w:val="auto"/>
        <w:rPr>
          <w:rFonts w:ascii="宋体" w:eastAsia="宋体" w:cs="宋体" w:hint="eastAsia"/>
          <w:b w:val="0"/>
          <w:bCs w:val="0"/>
          <w:kern w:val="0"/>
          <w:sz w:val="24"/>
          <w:szCs w:val="24"/>
          <w:lang w:val="en-US" w:eastAsia="zh-CN" w:bidi="ar-SA"/>
        </w:rPr>
      </w:pPr>
      <w:r>
        <w:rPr>
          <w:rFonts w:ascii="宋体" w:eastAsia="宋体" w:cs="宋体" w:hint="eastAsia"/>
          <w:b w:val="0"/>
          <w:bCs w:val="0"/>
          <w:kern w:val="0"/>
          <w:sz w:val="24"/>
          <w:szCs w:val="24"/>
          <w:lang w:val="en-US" w:eastAsia="zh-CN" w:bidi="ar-SA"/>
        </w:rPr>
        <w:t>3、最终验收：货物经安装调试完成且符合技术要求后，甲方进行最终验收。验收时乙方必须在现场。货物符合</w:t>
      </w:r>
      <w:r>
        <w:rPr>
          <w:rFonts w:cs="宋体" w:hint="eastAsia"/>
          <w:b w:val="0"/>
          <w:bCs w:val="0"/>
          <w:kern w:val="0"/>
          <w:sz w:val="24"/>
          <w:szCs w:val="24"/>
          <w:lang w:val="en-US" w:eastAsia="zh-CN" w:bidi="ar-SA"/>
        </w:rPr>
        <w:t>招标文件</w:t>
      </w:r>
      <w:r>
        <w:rPr>
          <w:rFonts w:ascii="宋体" w:eastAsia="宋体" w:cs="宋体" w:hint="eastAsia"/>
          <w:b w:val="0"/>
          <w:bCs w:val="0"/>
          <w:kern w:val="0"/>
          <w:sz w:val="24"/>
          <w:szCs w:val="24"/>
          <w:lang w:val="en-US" w:eastAsia="zh-CN" w:bidi="ar-SA"/>
        </w:rPr>
        <w:t>约定的技术规范要求和验收标准的，甲方签署验收合格证明。如货物不符合</w:t>
      </w:r>
      <w:r>
        <w:rPr>
          <w:rFonts w:cs="宋体" w:hint="eastAsia"/>
          <w:b w:val="0"/>
          <w:bCs w:val="0"/>
          <w:kern w:val="0"/>
          <w:sz w:val="24"/>
          <w:szCs w:val="24"/>
          <w:lang w:val="en-US" w:eastAsia="zh-CN" w:bidi="ar-SA"/>
        </w:rPr>
        <w:t>招标文件</w:t>
      </w:r>
      <w:r>
        <w:rPr>
          <w:rFonts w:ascii="宋体" w:eastAsia="宋体" w:cs="宋体" w:hint="eastAsia"/>
          <w:b w:val="0"/>
          <w:bCs w:val="0"/>
          <w:kern w:val="0"/>
          <w:sz w:val="24"/>
          <w:szCs w:val="24"/>
          <w:lang w:val="en-US" w:eastAsia="zh-CN" w:bidi="ar-SA"/>
        </w:rPr>
        <w:t>约定的要求的，乙方应当在 3 日内采取措施消除缺陷后重新申请终验，并承担由此产生的费用。</w:t>
      </w:r>
    </w:p>
    <w:p>
      <w:pPr>
        <w:pStyle w:val="20"/>
        <w:widowControl w:val="0"/>
        <w:kinsoku w:val="0"/>
        <w:wordWrap/>
        <w:overflowPunct w:val="0"/>
        <w:adjustRightInd/>
        <w:snapToGrid/>
        <w:spacing w:beforeAutospacing="0" w:afterAutospacing="0" w:line="360" w:lineRule="auto"/>
        <w:ind w:rightChars="-36" w:right="-76" w:firstLineChars="100" w:firstLine="240"/>
        <w:textAlignment w:val="auto"/>
        <w:rPr>
          <w:rFonts w:ascii="宋体" w:eastAsia="宋体" w:cs="宋体" w:hint="eastAsia"/>
          <w:b w:val="0"/>
          <w:bCs w:val="0"/>
          <w:kern w:val="0"/>
          <w:sz w:val="24"/>
          <w:szCs w:val="24"/>
          <w:lang w:val="en-US" w:eastAsia="zh-CN" w:bidi="ar-SA"/>
        </w:rPr>
      </w:pPr>
      <w:r>
        <w:rPr>
          <w:rFonts w:ascii="宋体" w:eastAsia="宋体" w:cs="宋体" w:hint="eastAsia"/>
          <w:b w:val="0"/>
          <w:bCs w:val="0"/>
          <w:kern w:val="0"/>
          <w:sz w:val="24"/>
          <w:szCs w:val="24"/>
          <w:lang w:val="en-US" w:eastAsia="zh-CN" w:bidi="ar-SA"/>
        </w:rPr>
        <w:t>4、对技术复杂的货物，甲方可请国家认可的专业检测机构参与验收，并由其出具质量检测报告，检测费用由 乙 方承担。</w:t>
      </w:r>
    </w:p>
    <w:p>
      <w:pPr>
        <w:pStyle w:val="20"/>
        <w:widowControl w:val="0"/>
        <w:kinsoku w:val="0"/>
        <w:wordWrap/>
        <w:overflowPunct w:val="0"/>
        <w:adjustRightInd/>
        <w:snapToGrid/>
        <w:spacing w:beforeAutospacing="0" w:afterAutospacing="0" w:line="360" w:lineRule="auto"/>
        <w:ind w:rightChars="-36" w:right="-76" w:firstLineChars="100" w:firstLine="240"/>
        <w:textAlignment w:val="auto"/>
        <w:rPr>
          <w:rFonts w:ascii="宋体" w:eastAsia="宋体" w:cs="宋体" w:hint="eastAsia"/>
          <w:b w:val="0"/>
          <w:bCs w:val="0"/>
          <w:kern w:val="0"/>
          <w:sz w:val="24"/>
          <w:szCs w:val="24"/>
          <w:lang w:val="en-US" w:eastAsia="zh-CN" w:bidi="ar-SA"/>
        </w:rPr>
      </w:pPr>
      <w:r>
        <w:rPr>
          <w:rFonts w:ascii="宋体" w:eastAsia="宋体" w:cs="宋体" w:hint="eastAsia"/>
          <w:b w:val="0"/>
          <w:bCs w:val="0"/>
          <w:kern w:val="0"/>
          <w:sz w:val="24"/>
          <w:szCs w:val="24"/>
          <w:lang w:val="en-US" w:eastAsia="zh-CN" w:bidi="ar-SA"/>
        </w:rPr>
        <w:t>5、货物毁损、灭失的风险，自货物最终验收合格之日起由甲方承担。</w:t>
      </w:r>
    </w:p>
    <w:p>
      <w:pPr>
        <w:pStyle w:val="20"/>
        <w:widowControl w:val="0"/>
        <w:kinsoku w:val="0"/>
        <w:wordWrap/>
        <w:overflowPunct w:val="0"/>
        <w:adjustRightInd/>
        <w:snapToGrid/>
        <w:spacing w:line="360" w:lineRule="auto"/>
        <w:ind w:left="122" w:rightChars="-36" w:right="-76" w:firstLine="304"/>
        <w:textAlignment w:val="auto"/>
        <w:rPr>
          <w:rFonts w:ascii="宋体" w:eastAsia="宋体" w:cs="宋体" w:hint="eastAsia"/>
          <w:b w:val="0"/>
          <w:bCs w:val="0"/>
          <w:kern w:val="0"/>
          <w:sz w:val="24"/>
          <w:szCs w:val="24"/>
          <w:lang w:val="en-US" w:eastAsia="zh-CN" w:bidi="ar-SA"/>
        </w:rPr>
      </w:pPr>
      <w:r>
        <w:rPr>
          <w:rFonts w:ascii="宋体" w:eastAsia="宋体" w:cs="宋体" w:hint="eastAsia"/>
          <w:b w:val="0"/>
          <w:bCs w:val="0"/>
          <w:kern w:val="0"/>
          <w:sz w:val="24"/>
          <w:szCs w:val="24"/>
          <w:lang w:val="en-US" w:eastAsia="zh-CN" w:bidi="ar-SA"/>
        </w:rPr>
        <w:t>保修与售后服务</w:t>
      </w:r>
    </w:p>
    <w:p>
      <w:pPr>
        <w:pStyle w:val="20"/>
        <w:widowControl w:val="0"/>
        <w:kinsoku w:val="0"/>
        <w:wordWrap/>
        <w:overflowPunct w:val="0"/>
        <w:adjustRightInd/>
        <w:snapToGrid/>
        <w:spacing w:line="360" w:lineRule="auto"/>
        <w:ind w:left="122" w:rightChars="-36" w:right="-76" w:firstLine="304"/>
        <w:textAlignment w:val="auto"/>
        <w:rPr>
          <w:rFonts w:ascii="宋体" w:eastAsia="宋体" w:cs="宋体" w:hint="eastAsia"/>
          <w:b w:val="0"/>
          <w:bCs w:val="0"/>
          <w:kern w:val="0"/>
          <w:sz w:val="24"/>
          <w:szCs w:val="24"/>
          <w:lang w:val="en-US" w:eastAsia="zh-CN" w:bidi="ar-SA"/>
        </w:rPr>
      </w:pPr>
      <w:r>
        <w:rPr>
          <w:rFonts w:ascii="宋体" w:eastAsia="宋体" w:cs="宋体" w:hint="eastAsia"/>
          <w:b w:val="0"/>
          <w:bCs w:val="0"/>
          <w:kern w:val="0"/>
          <w:sz w:val="24"/>
          <w:szCs w:val="24"/>
          <w:lang w:val="en-US" w:eastAsia="zh-CN" w:bidi="ar-SA"/>
        </w:rPr>
        <w:t>1、质保期保证2023年12月31日之前有效，自最终验收合格之日起至质保期届满且经甲方确认无任何质量问题时止。</w:t>
      </w:r>
    </w:p>
    <w:p>
      <w:pPr>
        <w:pStyle w:val="20"/>
        <w:widowControl w:val="0"/>
        <w:kinsoku w:val="0"/>
        <w:wordWrap/>
        <w:overflowPunct w:val="0"/>
        <w:adjustRightInd/>
        <w:snapToGrid/>
        <w:spacing w:line="360" w:lineRule="auto"/>
        <w:ind w:left="122" w:rightChars="-36" w:right="-76" w:firstLine="304"/>
        <w:textAlignment w:val="auto"/>
        <w:rPr>
          <w:rFonts w:ascii="宋体" w:eastAsia="宋体" w:cs="宋体" w:hint="eastAsia"/>
          <w:b w:val="0"/>
          <w:bCs w:val="0"/>
          <w:kern w:val="0"/>
          <w:sz w:val="24"/>
          <w:szCs w:val="24"/>
          <w:lang w:val="en-US" w:eastAsia="zh-CN" w:bidi="ar-SA"/>
        </w:rPr>
      </w:pPr>
      <w:r>
        <w:rPr>
          <w:rFonts w:ascii="宋体" w:eastAsia="宋体" w:cs="宋体" w:hint="eastAsia"/>
          <w:b w:val="0"/>
          <w:bCs w:val="0"/>
          <w:kern w:val="0"/>
          <w:sz w:val="24"/>
          <w:szCs w:val="24"/>
          <w:lang w:val="en-US" w:eastAsia="zh-CN" w:bidi="ar-SA"/>
        </w:rPr>
        <w:t>2、技术支持</w:t>
      </w:r>
    </w:p>
    <w:p>
      <w:pPr>
        <w:pStyle w:val="37"/>
        <w:widowControl w:val="0"/>
        <w:numPr>
          <w:ilvl w:val="0"/>
          <w:numId w:val="12"/>
        </w:numPr>
        <w:tabs>
          <w:tab w:val="left" w:pos="874"/>
        </w:tabs>
        <w:kinsoku w:val="0"/>
        <w:wordWrap/>
        <w:overflowPunct w:val="0"/>
        <w:adjustRightInd/>
        <w:snapToGrid/>
        <w:spacing w:before="3" w:line="360" w:lineRule="auto"/>
        <w:ind w:left="122" w:rightChars="-36" w:right="-76" w:firstLineChars="0" w:firstLine="304"/>
        <w:textAlignment w:val="auto"/>
        <w:rPr>
          <w:rFonts w:ascii="宋体" w:eastAsia="宋体" w:cs="宋体" w:hint="eastAsia"/>
          <w:b w:val="0"/>
          <w:bCs w:val="0"/>
          <w:kern w:val="0"/>
          <w:sz w:val="24"/>
          <w:szCs w:val="24"/>
          <w:lang w:val="en-US" w:eastAsia="zh-CN" w:bidi="ar-SA"/>
        </w:rPr>
      </w:pPr>
      <w:r>
        <w:rPr>
          <w:rFonts w:ascii="宋体" w:eastAsia="宋体" w:cs="宋体" w:hint="eastAsia"/>
          <w:b w:val="0"/>
          <w:bCs w:val="0"/>
          <w:kern w:val="0"/>
          <w:sz w:val="24"/>
          <w:szCs w:val="24"/>
          <w:lang w:val="en-US" w:eastAsia="zh-CN" w:bidi="ar-SA"/>
        </w:rPr>
        <w:t>远程技术支持：乙方应具有稳定的技术支持队伍和完善的服务支持网络，提供 24 小时技术支持服务，及时响应甲方的技术服务支持需求，提出有效的解决方案，解决甲方在货物使用过程中遇到的实际问题。</w:t>
      </w:r>
    </w:p>
    <w:p>
      <w:pPr>
        <w:pStyle w:val="37"/>
        <w:widowControl w:val="0"/>
        <w:numPr>
          <w:ilvl w:val="0"/>
          <w:numId w:val="12"/>
        </w:numPr>
        <w:tabs>
          <w:tab w:val="left" w:pos="874"/>
        </w:tabs>
        <w:kinsoku w:val="0"/>
        <w:wordWrap/>
        <w:overflowPunct w:val="0"/>
        <w:adjustRightInd/>
        <w:snapToGrid/>
        <w:spacing w:before="3" w:line="360" w:lineRule="auto"/>
        <w:ind w:left="122" w:rightChars="-36" w:right="-76" w:firstLineChars="0" w:firstLine="304"/>
        <w:textAlignment w:val="auto"/>
        <w:rPr>
          <w:rFonts w:ascii="宋体" w:eastAsia="宋体" w:cs="宋体" w:hint="eastAsia"/>
          <w:b w:val="0"/>
          <w:bCs w:val="0"/>
          <w:kern w:val="0"/>
          <w:sz w:val="24"/>
          <w:szCs w:val="24"/>
          <w:lang w:val="en-US" w:eastAsia="zh-CN" w:bidi="ar-SA"/>
        </w:rPr>
      </w:pPr>
      <w:r>
        <w:rPr>
          <w:rFonts w:ascii="宋体" w:eastAsia="宋体" w:cs="宋体" w:hint="eastAsia"/>
          <w:b w:val="0"/>
          <w:bCs w:val="0"/>
          <w:kern w:val="0"/>
          <w:sz w:val="24"/>
          <w:szCs w:val="24"/>
          <w:lang w:val="en-US" w:eastAsia="zh-CN" w:bidi="ar-SA"/>
        </w:rPr>
        <w:t>现场技术支持：对于通过电话、邮件等远程技术支持不能解决的问题，乙方应在2个工作日内派遣相关人员赶赴现场，三个工作日内维修完毕；发生紧急抢修事故的，乙方应在接到甲方通知后24小时内到达现场抢修，并于到达现场 48小时之内排除故障。乙方未在约定时间内修复的或同一货物经 3 次维修后仍不能稳定、可靠运行的，甲方有权要求乙方免费更换。返修或更换后的部件保修期应重新计算。</w:t>
      </w:r>
    </w:p>
    <w:p>
      <w:pPr>
        <w:pStyle w:val="37"/>
        <w:widowControl w:val="0"/>
        <w:numPr>
          <w:ilvl w:val="0"/>
          <w:numId w:val="12"/>
        </w:numPr>
        <w:tabs>
          <w:tab w:val="left" w:pos="874"/>
        </w:tabs>
        <w:kinsoku w:val="0"/>
        <w:wordWrap/>
        <w:overflowPunct w:val="0"/>
        <w:adjustRightInd/>
        <w:snapToGrid/>
        <w:spacing w:line="360" w:lineRule="auto"/>
        <w:ind w:left="122" w:rightChars="-36" w:right="-76" w:firstLineChars="0" w:firstLine="304"/>
        <w:textAlignment w:val="auto"/>
        <w:rPr>
          <w:rFonts w:ascii="宋体" w:eastAsia="宋体" w:cs="宋体" w:hint="eastAsia"/>
          <w:b w:val="0"/>
          <w:bCs w:val="0"/>
          <w:kern w:val="0"/>
          <w:sz w:val="24"/>
          <w:szCs w:val="24"/>
          <w:lang w:val="en-US" w:eastAsia="zh-CN" w:bidi="ar-SA"/>
        </w:rPr>
      </w:pPr>
      <w:r>
        <w:rPr>
          <w:rFonts w:ascii="宋体" w:eastAsia="宋体" w:cs="宋体" w:hint="eastAsia"/>
          <w:b w:val="0"/>
          <w:bCs w:val="0"/>
          <w:kern w:val="0"/>
          <w:sz w:val="24"/>
          <w:szCs w:val="24"/>
          <w:lang w:val="en-US" w:eastAsia="zh-CN" w:bidi="ar-SA"/>
        </w:rPr>
        <w:t>技术升级支持：乙方应提供货物所配置软件的终身免费维护和升级服务，保证货物正常运行，且不影响甲方其它 运行环境。</w:t>
      </w:r>
    </w:p>
    <w:p>
      <w:pPr>
        <w:pStyle w:val="20"/>
        <w:widowControl w:val="0"/>
        <w:kinsoku w:val="0"/>
        <w:wordWrap/>
        <w:overflowPunct w:val="0"/>
        <w:adjustRightInd/>
        <w:snapToGrid/>
        <w:spacing w:line="360" w:lineRule="auto"/>
        <w:ind w:left="426" w:rightChars="-36" w:right="-76"/>
        <w:textAlignment w:val="auto"/>
        <w:rPr>
          <w:rFonts w:ascii="宋体" w:eastAsia="宋体" w:cs="宋体" w:hint="eastAsia"/>
          <w:b w:val="0"/>
          <w:bCs w:val="0"/>
          <w:kern w:val="0"/>
          <w:sz w:val="24"/>
          <w:szCs w:val="24"/>
          <w:lang w:val="en-US" w:eastAsia="zh-CN" w:bidi="ar-SA"/>
        </w:rPr>
      </w:pPr>
      <w:r>
        <w:rPr>
          <w:rFonts w:ascii="宋体" w:eastAsia="宋体" w:cs="宋体" w:hint="eastAsia"/>
          <w:b w:val="0"/>
          <w:bCs w:val="0"/>
          <w:kern w:val="0"/>
          <w:sz w:val="24"/>
          <w:szCs w:val="24"/>
          <w:lang w:val="en-US" w:eastAsia="zh-CN" w:bidi="ar-SA"/>
        </w:rPr>
        <w:t>3、在质保期内，乙方应对货物出现的质量及安全问题负责处理解决并承担一切费用</w:t>
      </w:r>
    </w:p>
    <w:p>
      <w:pPr>
        <w:pStyle w:val="20"/>
        <w:widowControl w:val="0"/>
        <w:kinsoku w:val="0"/>
        <w:wordWrap/>
        <w:overflowPunct w:val="0"/>
        <w:adjustRightInd/>
        <w:snapToGrid/>
        <w:spacing w:before="2" w:line="360" w:lineRule="auto"/>
        <w:ind w:left="122" w:rightChars="-36" w:right="-76" w:firstLine="304"/>
        <w:textAlignment w:val="auto"/>
        <w:rPr>
          <w:rFonts w:ascii="宋体" w:eastAsia="宋体" w:cs="宋体" w:hint="eastAsia"/>
          <w:b w:val="0"/>
          <w:bCs w:val="0"/>
          <w:kern w:val="0"/>
          <w:sz w:val="24"/>
          <w:szCs w:val="24"/>
          <w:lang w:val="en-US" w:eastAsia="zh-CN" w:bidi="ar-SA"/>
        </w:rPr>
      </w:pPr>
      <w:r>
        <w:rPr>
          <w:rFonts w:ascii="宋体" w:eastAsia="宋体" w:cs="宋体" w:hint="eastAsia"/>
          <w:b w:val="0"/>
          <w:bCs w:val="0"/>
          <w:kern w:val="0"/>
          <w:sz w:val="24"/>
          <w:szCs w:val="24"/>
          <w:lang w:val="en-US" w:eastAsia="zh-CN" w:bidi="ar-SA"/>
        </w:rPr>
        <w:t>4、质保期届满后，乙方对本合同项下货物提供终身维修服务，且维修时只收取所需维修部件的成本费，服务内容应与 质保期内的要求相一致。</w:t>
      </w:r>
    </w:p>
    <w:p>
      <w:pPr>
        <w:pStyle w:val="20"/>
        <w:widowControl w:val="0"/>
        <w:kinsoku w:val="0"/>
        <w:wordWrap/>
        <w:overflowPunct w:val="0"/>
        <w:adjustRightInd/>
        <w:snapToGrid/>
        <w:spacing w:before="2" w:line="360" w:lineRule="auto"/>
        <w:ind w:left="122" w:rightChars="-36" w:right="-76" w:firstLine="304"/>
        <w:textAlignment w:val="auto"/>
        <w:rPr>
          <w:rFonts w:ascii="宋体" w:eastAsia="宋体" w:cs="宋体" w:hint="eastAsia"/>
          <w:b w:val="0"/>
          <w:bCs w:val="0"/>
          <w:kern w:val="0"/>
          <w:sz w:val="24"/>
          <w:szCs w:val="24"/>
          <w:lang w:val="en-US" w:eastAsia="zh-CN" w:bidi="ar-SA"/>
        </w:rPr>
      </w:pPr>
      <w:r>
        <w:rPr>
          <w:rFonts w:cs="宋体" w:hint="eastAsia"/>
          <w:b w:val="0"/>
          <w:bCs w:val="0"/>
          <w:kern w:val="0"/>
          <w:sz w:val="24"/>
          <w:szCs w:val="24"/>
          <w:lang w:val="en-US" w:eastAsia="zh-CN" w:bidi="ar-SA"/>
          <w:highlight w:val="auto"/>
        </w:rPr>
        <w:t>注：</w:t>
      </w:r>
      <w:r>
        <w:rPr>
          <w:rFonts w:ascii="宋体" w:eastAsia="宋体" w:cs="宋体" w:hint="eastAsia"/>
          <w:b w:val="0"/>
          <w:bCs w:val="0"/>
          <w:kern w:val="0"/>
          <w:sz w:val="24"/>
          <w:szCs w:val="24"/>
          <w:lang w:val="en-US" w:eastAsia="zh-CN" w:bidi="ar-SA"/>
        </w:rPr>
        <w:t>乙方应向甲方提供使用货物的有关技术资料，包括相应的每套设备和仪器的中文技术文件，例如：商品目录、图 纸、使用说明、质量检验证明、操作手册，维护手册或服务指南等。该类文件应包装好随货发运。</w:t>
      </w:r>
    </w:p>
    <w:p>
      <w:pPr>
        <w:rPr>
          <w:rFonts w:ascii="宋体" w:eastAsia="宋体" w:cs="宋体" w:hint="eastAsia"/>
          <w:b w:val="0"/>
          <w:bCs w:val="0"/>
          <w:kern w:val="0"/>
          <w:sz w:val="24"/>
          <w:szCs w:val="24"/>
          <w:lang w:val="en-US" w:eastAsia="zh-CN" w:bidi="ar-SA"/>
        </w:rPr>
      </w:pPr>
      <w:r>
        <w:rPr>
          <w:rFonts w:ascii="宋体" w:eastAsia="宋体" w:cs="宋体" w:hint="eastAsia"/>
          <w:b w:val="0"/>
          <w:bCs w:val="0"/>
          <w:kern w:val="0"/>
          <w:sz w:val="24"/>
          <w:szCs w:val="24"/>
          <w:lang w:val="en-US" w:eastAsia="zh-CN" w:bidi="ar-SA"/>
        </w:rPr>
        <w:br w:type="page"/>
      </w:r>
    </w:p>
    <w:p>
      <w:pPr>
        <w:pStyle w:val="16"/>
        <w:spacing w:line="240" w:lineRule="auto"/>
        <w:rPr>
          <w:rFonts w:ascii="宋体" w:eastAsia="宋体" w:cs="宋体" w:hint="eastAsia"/>
        </w:rPr>
      </w:pPr>
    </w:p>
    <w:p>
      <w:pPr>
        <w:pStyle w:val="1"/>
        <w:spacing w:before="0" w:after="0" w:line="360" w:lineRule="auto"/>
        <w:ind w:rightChars="-208" w:right="-439"/>
        <w:jc w:val="center"/>
        <w:rPr>
          <w:rFonts w:ascii="宋体" w:eastAsia="宋体" w:cs="宋体" w:hint="eastAsia"/>
          <w:color w:val="FF0000"/>
          <w:kern w:val="2"/>
          <w:sz w:val="48"/>
          <w:szCs w:val="48"/>
        </w:rPr>
      </w:pPr>
      <w:bookmarkStart w:id="115" w:name="_Toc130180843"/>
      <w:bookmarkStart w:id="116" w:name="_Toc130180924"/>
      <w:bookmarkStart w:id="117" w:name="_Toc130180738"/>
      <w:bookmarkStart w:id="118" w:name="_Toc31409"/>
      <w:r>
        <w:rPr>
          <w:rFonts w:ascii="宋体" w:cs="宋体" w:hint="eastAsia"/>
          <w:color w:val="FF0000"/>
          <w:kern w:val="2"/>
          <w:sz w:val="48"/>
          <w:szCs w:val="48"/>
          <w:lang w:val="en-US" w:eastAsia="zh-CN"/>
        </w:rPr>
        <w:t>第三章</w:t>
      </w:r>
      <w:r>
        <w:rPr>
          <w:rFonts w:ascii="宋体" w:eastAsia="宋体" w:cs="宋体" w:hint="eastAsia"/>
          <w:color w:val="FF0000"/>
          <w:kern w:val="2"/>
          <w:sz w:val="48"/>
          <w:szCs w:val="48"/>
        </w:rPr>
        <w:t xml:space="preserve"> 采购合同</w:t>
      </w:r>
      <w:bookmarkEnd w:id="115"/>
      <w:bookmarkEnd w:id="116"/>
      <w:bookmarkEnd w:id="117"/>
      <w:bookmarkEnd w:id="118"/>
    </w:p>
    <w:p>
      <w:pPr>
        <w:jc w:val="center"/>
        <w:rPr>
          <w:rFonts w:eastAsia="宋体"/>
          <w:lang w:val="en-US" w:eastAsia="zh-CN"/>
        </w:rPr>
      </w:pPr>
      <w:r>
        <w:rPr>
          <w:rFonts w:ascii="宋体" w:cs="宋体" w:hint="eastAsia"/>
          <w:color w:val="FF0000"/>
          <w:kern w:val="2"/>
          <w:sz w:val="28"/>
          <w:szCs w:val="28"/>
          <w:lang w:val="en-US" w:eastAsia="zh-CN"/>
        </w:rPr>
        <w:t>（以具体签订为准）</w:t>
      </w:r>
    </w:p>
    <w:p>
      <w:pPr>
        <w:spacing w:line="360" w:lineRule="auto"/>
        <w:rPr>
          <w:rFonts w:ascii="宋体" w:eastAsia="宋体" w:cs="宋体" w:hint="eastAsia"/>
          <w:b/>
          <w:bCs/>
        </w:rPr>
      </w:pPr>
    </w:p>
    <w:p>
      <w:pPr>
        <w:adjustRightInd w:val="0"/>
        <w:snapToGrid w:val="0"/>
        <w:spacing w:line="360" w:lineRule="auto"/>
        <w:jc w:val="center"/>
        <w:rPr>
          <w:rFonts w:ascii="宋体" w:eastAsia="宋体" w:cs="宋体" w:hint="eastAsia"/>
          <w:sz w:val="44"/>
          <w:szCs w:val="44"/>
          <w:lang w:eastAsia="zh-CN"/>
        </w:rPr>
      </w:pPr>
      <w:bookmarkStart w:id="119" w:name="_Toc130180925"/>
      <w:bookmarkStart w:id="120" w:name="_Toc130180739"/>
      <w:bookmarkStart w:id="121" w:name="_Toc130180844"/>
      <w:bookmarkStart w:id="122" w:name="_Toc31345"/>
      <w:r>
        <w:rPr>
          <w:rFonts w:ascii="宋体" w:eastAsia="宋体" w:cs="宋体" w:hint="eastAsia"/>
          <w:sz w:val="44"/>
          <w:szCs w:val="44"/>
          <w:lang w:eastAsia="zh-CN"/>
        </w:rPr>
        <w:t>新疆维吾尔自治区药品检验研究院</w:t>
      </w:r>
    </w:p>
    <w:p>
      <w:pPr>
        <w:tabs>
          <w:tab w:val="center" w:pos="4536"/>
          <w:tab w:val="left" w:pos="7560"/>
        </w:tabs>
        <w:adjustRightInd w:val="0"/>
        <w:snapToGrid w:val="0"/>
        <w:spacing w:line="360" w:lineRule="auto"/>
        <w:jc w:val="left"/>
        <w:rPr>
          <w:rFonts w:ascii="宋体" w:eastAsia="宋体" w:cs="宋体" w:hint="eastAsia"/>
          <w:sz w:val="30"/>
          <w:szCs w:val="30"/>
        </w:rPr>
      </w:pPr>
      <w:r>
        <w:rPr>
          <w:rFonts w:ascii="宋体" w:eastAsia="宋体" w:cs="宋体" w:hint="eastAsia"/>
          <w:w w:val="110"/>
          <w:sz w:val="44"/>
          <w:szCs w:val="44"/>
        </w:rPr>
        <w:tab/>
        <w:t>采 购</w:t>
      </w:r>
      <w:r>
        <w:rPr>
          <w:rFonts w:ascii="宋体" w:eastAsia="宋体" w:cs="宋体" w:hint="eastAsia"/>
          <w:color w:val="0000FF"/>
          <w:w w:val="110"/>
          <w:sz w:val="44"/>
          <w:szCs w:val="44"/>
        </w:rPr>
        <w:t xml:space="preserve"> </w:t>
      </w:r>
      <w:r>
        <w:rPr>
          <w:rFonts w:ascii="宋体" w:eastAsia="宋体" w:cs="宋体" w:hint="eastAsia"/>
          <w:sz w:val="44"/>
          <w:szCs w:val="44"/>
        </w:rPr>
        <w:t>合 同</w:t>
      </w:r>
      <w:r>
        <w:rPr>
          <w:rFonts w:ascii="宋体" w:eastAsia="宋体" w:cs="宋体" w:hint="eastAsia"/>
          <w:sz w:val="30"/>
          <w:szCs w:val="30"/>
        </w:rPr>
        <w:tab/>
      </w:r>
    </w:p>
    <w:p>
      <w:pPr>
        <w:adjustRightInd w:val="0"/>
        <w:snapToGrid w:val="0"/>
        <w:spacing w:line="360" w:lineRule="auto"/>
        <w:ind w:firstLineChars="500" w:firstLine="1050"/>
        <w:rPr>
          <w:rFonts w:ascii="宋体" w:eastAsia="宋体" w:cs="宋体" w:hint="eastAsia"/>
          <w:szCs w:val="21"/>
        </w:rPr>
      </w:pPr>
    </w:p>
    <w:p>
      <w:pPr>
        <w:adjustRightInd w:val="0"/>
        <w:snapToGrid w:val="0"/>
        <w:spacing w:line="360" w:lineRule="auto"/>
        <w:ind w:firstLineChars="500" w:firstLine="1500"/>
        <w:rPr>
          <w:rFonts w:ascii="宋体" w:eastAsia="宋体" w:cs="宋体" w:hint="eastAsia"/>
          <w:color w:val="FF0000"/>
          <w:sz w:val="30"/>
          <w:szCs w:val="30"/>
        </w:rPr>
      </w:pPr>
      <w:r>
        <w:rPr>
          <w:rFonts w:ascii="宋体" w:eastAsia="宋体" w:cs="宋体" w:hint="eastAsia"/>
          <w:sz w:val="30"/>
          <w:szCs w:val="30"/>
        </w:rPr>
        <w:t>项目编号：</w:t>
      </w:r>
    </w:p>
    <w:p>
      <w:pPr>
        <w:adjustRightInd w:val="0"/>
        <w:snapToGrid w:val="0"/>
        <w:spacing w:line="360" w:lineRule="auto"/>
        <w:ind w:firstLineChars="500" w:firstLine="1500"/>
        <w:rPr>
          <w:rFonts w:ascii="宋体" w:eastAsia="宋体" w:cs="宋体" w:hint="eastAsia"/>
          <w:color w:val="FF0000"/>
          <w:sz w:val="30"/>
          <w:szCs w:val="30"/>
        </w:rPr>
      </w:pPr>
      <w:r>
        <w:rPr>
          <w:rFonts w:ascii="宋体" w:eastAsia="宋体" w:cs="宋体" w:hint="eastAsia"/>
          <w:sz w:val="30"/>
          <w:szCs w:val="30"/>
        </w:rPr>
        <w:t>合同编号：</w:t>
      </w:r>
    </w:p>
    <w:p>
      <w:pPr>
        <w:adjustRightInd w:val="0"/>
        <w:snapToGrid w:val="0"/>
        <w:spacing w:line="360" w:lineRule="auto"/>
        <w:jc w:val="center"/>
        <w:rPr>
          <w:rFonts w:ascii="宋体" w:eastAsia="宋体" w:cs="宋体" w:hint="eastAsia"/>
          <w:color w:val="FF0000"/>
          <w:sz w:val="30"/>
          <w:szCs w:val="30"/>
        </w:rPr>
      </w:pPr>
      <w:r>
        <w:rPr>
          <w:rFonts w:ascii="宋体" w:eastAsia="宋体" w:cs="宋体" w:hint="eastAsia"/>
          <w:sz w:val="30"/>
          <w:szCs w:val="30"/>
        </w:rPr>
        <w:t>（      年度）</w:t>
      </w:r>
    </w:p>
    <w:p>
      <w:pPr>
        <w:widowControl/>
        <w:adjustRightInd w:val="0"/>
        <w:snapToGrid w:val="0"/>
        <w:spacing w:line="360" w:lineRule="auto"/>
        <w:jc w:val="center"/>
        <w:rPr>
          <w:rFonts w:ascii="宋体" w:eastAsia="宋体" w:cs="宋体" w:hint="eastAsia"/>
          <w:kern w:val="0"/>
          <w:szCs w:val="21"/>
        </w:rPr>
      </w:pPr>
      <w:r>
        <w:rPr>
          <w:rFonts w:ascii="宋体" w:eastAsia="宋体" w:cs="宋体" w:hint="eastAsia"/>
          <w:szCs w:val="21"/>
        </w:rPr>
        <w:t xml:space="preserve">      </w:t>
      </w:r>
    </w:p>
    <w:p>
      <w:pPr>
        <w:adjustRightInd w:val="0"/>
        <w:snapToGrid w:val="0"/>
        <w:spacing w:line="360" w:lineRule="auto"/>
        <w:rPr>
          <w:rFonts w:ascii="宋体" w:eastAsia="宋体" w:cs="宋体" w:hint="eastAsia"/>
          <w:color w:val="000000"/>
          <w:szCs w:val="21"/>
        </w:rPr>
      </w:pPr>
      <w:r>
        <w:rPr>
          <w:rFonts w:ascii="宋体" w:eastAsia="宋体" w:cs="宋体" w:hint="eastAsia"/>
          <w:color w:val="000000"/>
          <w:szCs w:val="21"/>
        </w:rPr>
        <w:t xml:space="preserve">          </w:t>
      </w:r>
    </w:p>
    <w:p>
      <w:pPr>
        <w:adjustRightInd w:val="0"/>
        <w:snapToGrid w:val="0"/>
        <w:spacing w:line="360" w:lineRule="auto"/>
        <w:rPr>
          <w:rFonts w:ascii="宋体" w:eastAsia="宋体" w:cs="宋体" w:hint="eastAsia"/>
          <w:color w:val="000000"/>
          <w:szCs w:val="21"/>
        </w:rPr>
      </w:pPr>
    </w:p>
    <w:p>
      <w:pPr>
        <w:adjustRightInd w:val="0"/>
        <w:snapToGrid w:val="0"/>
        <w:spacing w:line="360" w:lineRule="auto"/>
        <w:rPr>
          <w:rFonts w:ascii="宋体" w:eastAsia="宋体" w:cs="宋体" w:hint="eastAsia"/>
          <w:color w:val="000000"/>
          <w:szCs w:val="21"/>
        </w:rPr>
      </w:pPr>
    </w:p>
    <w:p>
      <w:pPr>
        <w:adjustRightInd w:val="0"/>
        <w:snapToGrid w:val="0"/>
        <w:spacing w:line="360" w:lineRule="auto"/>
        <w:ind w:firstLineChars="345" w:firstLine="966"/>
        <w:rPr>
          <w:rFonts w:ascii="宋体" w:eastAsia="宋体" w:cs="宋体" w:hint="eastAsia"/>
          <w:color w:val="000000"/>
          <w:sz w:val="28"/>
          <w:szCs w:val="28"/>
          <w:lang w:eastAsia="zh-CN"/>
        </w:rPr>
      </w:pPr>
      <w:r>
        <w:rPr>
          <w:rFonts w:ascii="宋体" w:eastAsia="宋体" w:cs="宋体" w:hint="eastAsia"/>
          <w:color w:val="000000"/>
          <w:sz w:val="28"/>
          <w:szCs w:val="28"/>
        </w:rPr>
        <w:t>甲  方：</w:t>
      </w:r>
      <w:r>
        <w:rPr>
          <w:rFonts w:ascii="宋体" w:eastAsia="宋体" w:cs="宋体" w:hint="eastAsia"/>
          <w:color w:val="000000"/>
          <w:sz w:val="28"/>
          <w:szCs w:val="28"/>
          <w:lang w:eastAsia="zh-CN"/>
        </w:rPr>
        <w:t>新疆维吾尔自治区药品检验研究院</w:t>
      </w:r>
    </w:p>
    <w:p>
      <w:pPr>
        <w:adjustRightInd w:val="0"/>
        <w:snapToGrid w:val="0"/>
        <w:spacing w:line="360" w:lineRule="auto"/>
        <w:ind w:firstLineChars="345" w:firstLine="966"/>
        <w:rPr>
          <w:rFonts w:ascii="宋体" w:eastAsia="宋体" w:cs="宋体" w:hint="eastAsia"/>
          <w:sz w:val="28"/>
          <w:szCs w:val="28"/>
        </w:rPr>
      </w:pPr>
      <w:r>
        <w:rPr>
          <w:rFonts w:ascii="宋体" w:eastAsia="宋体" w:cs="宋体" w:hint="eastAsia"/>
          <w:sz w:val="28"/>
          <w:szCs w:val="28"/>
        </w:rPr>
        <w:t xml:space="preserve">乙  方： </w:t>
      </w:r>
    </w:p>
    <w:p>
      <w:pPr>
        <w:adjustRightInd w:val="0"/>
        <w:snapToGrid w:val="0"/>
        <w:spacing w:line="360" w:lineRule="auto"/>
        <w:jc w:val="center"/>
        <w:rPr>
          <w:rFonts w:ascii="宋体" w:eastAsia="宋体" w:cs="宋体" w:hint="eastAsia"/>
          <w:color w:val="000000"/>
          <w:sz w:val="28"/>
          <w:szCs w:val="28"/>
        </w:rPr>
      </w:pPr>
    </w:p>
    <w:p>
      <w:pPr>
        <w:adjustRightInd w:val="0"/>
        <w:snapToGrid w:val="0"/>
        <w:spacing w:line="360" w:lineRule="auto"/>
        <w:jc w:val="center"/>
        <w:rPr>
          <w:rFonts w:ascii="宋体" w:eastAsia="宋体" w:cs="宋体" w:hint="eastAsia"/>
          <w:szCs w:val="21"/>
        </w:rPr>
      </w:pPr>
    </w:p>
    <w:p>
      <w:pPr>
        <w:adjustRightInd w:val="0"/>
        <w:snapToGrid w:val="0"/>
        <w:spacing w:line="360" w:lineRule="auto"/>
        <w:jc w:val="center"/>
        <w:rPr>
          <w:rFonts w:ascii="宋体" w:eastAsia="宋体" w:cs="宋体" w:hint="eastAsia"/>
          <w:szCs w:val="21"/>
        </w:rPr>
      </w:pPr>
    </w:p>
    <w:p>
      <w:pPr>
        <w:adjustRightInd w:val="0"/>
        <w:snapToGrid w:val="0"/>
        <w:spacing w:line="360" w:lineRule="auto"/>
        <w:jc w:val="center"/>
        <w:rPr>
          <w:rFonts w:ascii="宋体" w:eastAsia="宋体" w:cs="宋体" w:hint="eastAsia"/>
          <w:szCs w:val="21"/>
        </w:rPr>
      </w:pPr>
    </w:p>
    <w:p>
      <w:pPr>
        <w:adjustRightInd w:val="0"/>
        <w:snapToGrid w:val="0"/>
        <w:spacing w:line="360" w:lineRule="auto"/>
        <w:jc w:val="center"/>
        <w:rPr>
          <w:rFonts w:ascii="宋体" w:eastAsia="宋体" w:cs="宋体" w:hint="eastAsia"/>
          <w:szCs w:val="21"/>
        </w:rPr>
      </w:pPr>
    </w:p>
    <w:p>
      <w:pPr>
        <w:adjustRightInd w:val="0"/>
        <w:snapToGrid w:val="0"/>
        <w:spacing w:line="360" w:lineRule="auto"/>
        <w:jc w:val="center"/>
        <w:rPr>
          <w:rFonts w:ascii="宋体" w:eastAsia="宋体" w:cs="宋体" w:hint="eastAsia"/>
          <w:szCs w:val="21"/>
        </w:rPr>
      </w:pPr>
    </w:p>
    <w:p>
      <w:pPr>
        <w:adjustRightInd w:val="0"/>
        <w:snapToGrid w:val="0"/>
        <w:spacing w:line="360" w:lineRule="auto"/>
        <w:jc w:val="center"/>
        <w:rPr>
          <w:rFonts w:ascii="宋体" w:eastAsia="宋体" w:cs="宋体" w:hint="eastAsia"/>
          <w:szCs w:val="21"/>
        </w:rPr>
      </w:pPr>
    </w:p>
    <w:p>
      <w:pPr>
        <w:adjustRightInd w:val="0"/>
        <w:snapToGrid w:val="0"/>
        <w:spacing w:line="360" w:lineRule="auto"/>
        <w:ind w:firstLineChars="400" w:firstLine="1120"/>
        <w:rPr>
          <w:rFonts w:ascii="宋体" w:eastAsia="宋体" w:cs="宋体" w:hint="eastAsia"/>
          <w:sz w:val="28"/>
          <w:szCs w:val="28"/>
        </w:rPr>
      </w:pPr>
      <w:r>
        <w:rPr>
          <w:rFonts w:ascii="宋体" w:eastAsia="宋体" w:cs="宋体" w:hint="eastAsia"/>
          <w:sz w:val="28"/>
          <w:szCs w:val="28"/>
        </w:rPr>
        <w:t xml:space="preserve">合同签订地点：                             </w:t>
      </w:r>
    </w:p>
    <w:p>
      <w:pPr>
        <w:adjustRightInd w:val="0"/>
        <w:snapToGrid w:val="0"/>
        <w:spacing w:line="360" w:lineRule="auto"/>
        <w:jc w:val="center"/>
        <w:rPr>
          <w:rFonts w:ascii="宋体" w:eastAsia="宋体" w:cs="宋体" w:hint="eastAsia"/>
          <w:sz w:val="28"/>
          <w:szCs w:val="28"/>
        </w:rPr>
      </w:pPr>
      <w:r>
        <w:rPr>
          <w:rFonts w:ascii="宋体" w:eastAsia="宋体" w:cs="宋体" w:hint="eastAsia"/>
          <w:sz w:val="28"/>
          <w:szCs w:val="28"/>
        </w:rPr>
        <w:t>二O二</w:t>
      </w:r>
      <w:r>
        <w:rPr>
          <w:rFonts w:ascii="宋体" w:eastAsia="宋体" w:cs="宋体" w:hint="eastAsia"/>
          <w:sz w:val="28"/>
          <w:szCs w:val="28"/>
          <w:u w:val="single"/>
        </w:rPr>
        <w:t xml:space="preserve">    </w:t>
      </w:r>
      <w:r>
        <w:rPr>
          <w:rFonts w:ascii="宋体" w:eastAsia="宋体" w:cs="宋体" w:hint="eastAsia"/>
          <w:sz w:val="28"/>
          <w:szCs w:val="28"/>
        </w:rPr>
        <w:t>年</w:t>
      </w:r>
      <w:r>
        <w:rPr>
          <w:rFonts w:ascii="宋体" w:eastAsia="宋体" w:cs="宋体" w:hint="eastAsia"/>
          <w:sz w:val="28"/>
          <w:szCs w:val="28"/>
          <w:u w:val="single"/>
        </w:rPr>
        <w:t xml:space="preserve">   </w:t>
      </w:r>
      <w:r>
        <w:rPr>
          <w:rFonts w:ascii="宋体" w:eastAsia="宋体" w:cs="宋体" w:hint="eastAsia"/>
          <w:sz w:val="28"/>
          <w:szCs w:val="28"/>
        </w:rPr>
        <w:t>月</w:t>
      </w:r>
    </w:p>
    <w:p>
      <w:pPr>
        <w:rPr>
          <w:rFonts w:ascii="宋体" w:eastAsia="宋体" w:cs="宋体" w:hint="eastAsia"/>
        </w:rPr>
      </w:pPr>
    </w:p>
    <w:p>
      <w:pPr>
        <w:adjustRightInd w:val="0"/>
        <w:snapToGrid w:val="0"/>
        <w:spacing w:line="360" w:lineRule="auto"/>
        <w:jc w:val="center"/>
        <w:rPr>
          <w:rFonts w:ascii="宋体" w:eastAsia="宋体" w:cs="宋体" w:hint="eastAsia"/>
          <w:szCs w:val="21"/>
        </w:rPr>
      </w:pPr>
    </w:p>
    <w:p>
      <w:pPr>
        <w:adjustRightInd w:val="0"/>
        <w:snapToGrid w:val="0"/>
        <w:spacing w:line="360" w:lineRule="auto"/>
        <w:rPr>
          <w:rFonts w:ascii="宋体" w:eastAsia="宋体" w:cs="宋体" w:hint="eastAsia"/>
          <w:szCs w:val="21"/>
        </w:rPr>
      </w:pPr>
    </w:p>
    <w:p>
      <w:pPr>
        <w:adjustRightInd w:val="0"/>
        <w:snapToGrid w:val="0"/>
        <w:spacing w:line="360" w:lineRule="auto"/>
        <w:jc w:val="center"/>
        <w:rPr>
          <w:rFonts w:ascii="宋体" w:eastAsia="宋体" w:cs="宋体" w:hint="eastAsia"/>
          <w:sz w:val="30"/>
          <w:szCs w:val="30"/>
        </w:rPr>
      </w:pPr>
      <w:r>
        <w:rPr>
          <w:rFonts w:ascii="宋体" w:eastAsia="宋体" w:cs="宋体" w:hint="eastAsia"/>
          <w:sz w:val="30"/>
          <w:szCs w:val="30"/>
        </w:rPr>
        <w:t>采 购 （专 用）</w:t>
      </w:r>
      <w:r>
        <w:rPr>
          <w:rFonts w:ascii="宋体" w:eastAsia="宋体" w:cs="宋体" w:hint="eastAsia"/>
          <w:color w:val="FF0000"/>
          <w:sz w:val="30"/>
          <w:szCs w:val="30"/>
        </w:rPr>
        <w:t xml:space="preserve"> </w:t>
      </w:r>
      <w:r>
        <w:rPr>
          <w:rFonts w:ascii="宋体" w:eastAsia="宋体" w:cs="宋体" w:hint="eastAsia"/>
          <w:sz w:val="30"/>
          <w:szCs w:val="30"/>
        </w:rPr>
        <w:t>合 同（本级）</w:t>
      </w:r>
    </w:p>
    <w:p>
      <w:pPr>
        <w:adjustRightInd w:val="0"/>
        <w:snapToGrid w:val="0"/>
        <w:spacing w:line="360" w:lineRule="auto"/>
        <w:rPr>
          <w:rFonts w:ascii="宋体" w:eastAsia="宋体" w:cs="宋体" w:hint="eastAsia"/>
          <w:sz w:val="24"/>
          <w:szCs w:val="24"/>
          <w:lang w:eastAsia="zh-CN"/>
        </w:rPr>
      </w:pPr>
      <w:r>
        <w:rPr>
          <w:rFonts w:ascii="宋体" w:eastAsia="宋体" w:cs="宋体" w:hint="eastAsia"/>
          <w:sz w:val="24"/>
          <w:szCs w:val="24"/>
        </w:rPr>
        <w:t>甲方：</w:t>
      </w:r>
      <w:r>
        <w:rPr>
          <w:rFonts w:ascii="宋体" w:eastAsia="宋体" w:cs="宋体" w:hint="eastAsia"/>
          <w:sz w:val="24"/>
          <w:szCs w:val="24"/>
          <w:lang w:eastAsia="zh-CN"/>
        </w:rPr>
        <w:t>新疆维吾尔自治区药品检验研究院</w:t>
      </w:r>
    </w:p>
    <w:p>
      <w:pPr>
        <w:adjustRightInd w:val="0"/>
        <w:snapToGrid w:val="0"/>
        <w:spacing w:line="360" w:lineRule="auto"/>
        <w:rPr>
          <w:rFonts w:ascii="宋体" w:eastAsia="宋体" w:cs="宋体" w:hint="eastAsia"/>
          <w:sz w:val="24"/>
          <w:szCs w:val="24"/>
        </w:rPr>
      </w:pPr>
      <w:r>
        <w:rPr>
          <w:rFonts w:ascii="宋体" w:eastAsia="宋体" w:cs="宋体" w:hint="eastAsia"/>
          <w:sz w:val="24"/>
          <w:szCs w:val="24"/>
        </w:rPr>
        <w:t xml:space="preserve">乙方：                                </w:t>
      </w:r>
    </w:p>
    <w:p>
      <w:pPr>
        <w:widowControl/>
        <w:adjustRightInd w:val="0"/>
        <w:snapToGrid w:val="0"/>
        <w:spacing w:line="360" w:lineRule="auto"/>
        <w:ind w:leftChars="86" w:left="181" w:firstLineChars="171" w:firstLine="410"/>
        <w:rPr>
          <w:rFonts w:ascii="宋体" w:eastAsia="宋体" w:cs="宋体" w:hint="eastAsia"/>
          <w:sz w:val="24"/>
          <w:szCs w:val="24"/>
        </w:rPr>
      </w:pPr>
      <w:r>
        <w:rPr>
          <w:rFonts w:ascii="宋体" w:eastAsia="宋体" w:cs="宋体" w:hint="eastAsia"/>
          <w:sz w:val="24"/>
          <w:szCs w:val="24"/>
          <w:lang w:eastAsia="zh-CN"/>
        </w:rPr>
        <w:t>新疆维吾尔自治区药品检验研究院</w:t>
      </w:r>
      <w:r>
        <w:rPr>
          <w:rFonts w:ascii="宋体" w:eastAsia="宋体" w:cs="宋体" w:hint="eastAsia"/>
          <w:sz w:val="24"/>
          <w:szCs w:val="24"/>
        </w:rPr>
        <w:t>（以下简称甲方）经</w:t>
      </w:r>
      <w:r>
        <w:rPr>
          <w:rFonts w:ascii="宋体" w:eastAsia="宋体" w:cs="宋体" w:hint="eastAsia"/>
          <w:sz w:val="24"/>
          <w:szCs w:val="24"/>
          <w:u w:val="single"/>
        </w:rPr>
        <w:t xml:space="preserve">             </w:t>
      </w:r>
      <w:r>
        <w:rPr>
          <w:rFonts w:ascii="宋体" w:eastAsia="宋体" w:cs="宋体" w:hint="eastAsia"/>
          <w:sz w:val="24"/>
          <w:szCs w:val="24"/>
        </w:rPr>
        <w:t>组织的招标采购，选定</w:t>
      </w:r>
      <w:r>
        <w:rPr>
          <w:rFonts w:ascii="宋体" w:eastAsia="宋体" w:cs="宋体" w:hint="eastAsia"/>
          <w:sz w:val="24"/>
          <w:szCs w:val="24"/>
          <w:u w:val="single"/>
        </w:rPr>
        <w:t xml:space="preserve">                                                                                    （                  （</w:t>
      </w:r>
      <w:r>
        <w:rPr>
          <w:rFonts w:ascii="宋体" w:eastAsia="宋体" w:cs="宋体" w:hint="eastAsia"/>
          <w:sz w:val="24"/>
          <w:szCs w:val="24"/>
        </w:rPr>
        <w:t>以下简称乙方</w:t>
      </w:r>
      <w:r>
        <w:rPr>
          <w:rFonts w:ascii="宋体" w:eastAsia="宋体" w:cs="宋体" w:hint="eastAsia"/>
          <w:sz w:val="24"/>
          <w:szCs w:val="24"/>
          <w:u w:val="single"/>
        </w:rPr>
        <w:t>）</w:t>
      </w:r>
      <w:r>
        <w:rPr>
          <w:rFonts w:ascii="宋体" w:eastAsia="宋体" w:cs="宋体" w:hint="eastAsia"/>
          <w:sz w:val="24"/>
          <w:szCs w:val="24"/>
        </w:rPr>
        <w:t>：为提供</w:t>
      </w:r>
      <w:r>
        <w:rPr>
          <w:rFonts w:ascii="宋体" w:eastAsia="宋体" w:cs="宋体" w:hint="eastAsia"/>
          <w:sz w:val="24"/>
          <w:szCs w:val="24"/>
          <w:u w:val="single"/>
        </w:rPr>
        <w:t xml:space="preserve">                          </w:t>
      </w:r>
      <w:r>
        <w:rPr>
          <w:rFonts w:ascii="宋体" w:eastAsia="宋体" w:cs="宋体" w:hint="eastAsia"/>
          <w:sz w:val="24"/>
          <w:szCs w:val="24"/>
        </w:rPr>
        <w:t>产品的</w:t>
      </w:r>
      <w:r>
        <w:rPr>
          <w:rFonts w:ascii="宋体" w:eastAsia="宋体" w:cs="宋体" w:hint="eastAsia"/>
          <w:sz w:val="24"/>
          <w:szCs w:val="24"/>
          <w:u w:val="single"/>
        </w:rPr>
        <w:t>中标单位</w:t>
      </w:r>
      <w:r>
        <w:rPr>
          <w:rFonts w:ascii="宋体" w:eastAsia="宋体" w:cs="宋体" w:hint="eastAsia"/>
          <w:sz w:val="24"/>
          <w:szCs w:val="24"/>
        </w:rPr>
        <w:t>。依据《中华人民共和国民法典》、《中华人民共和国政府采购法》及相关法律、法规，经甲、乙双方共同协商，按下述条款签署本合同。</w:t>
      </w:r>
    </w:p>
    <w:p>
      <w:pPr>
        <w:widowControl/>
        <w:adjustRightInd w:val="0"/>
        <w:snapToGrid w:val="0"/>
        <w:spacing w:line="360" w:lineRule="auto"/>
        <w:rPr>
          <w:rFonts w:ascii="宋体" w:eastAsia="宋体" w:cs="宋体" w:hint="eastAsia"/>
          <w:sz w:val="24"/>
          <w:szCs w:val="24"/>
        </w:rPr>
      </w:pPr>
      <w:r>
        <w:rPr>
          <w:rFonts w:ascii="宋体" w:eastAsia="宋体" w:cs="宋体" w:hint="eastAsia"/>
          <w:sz w:val="24"/>
          <w:szCs w:val="24"/>
        </w:rPr>
        <w:t xml:space="preserve">一、合同标的、规格、数量、单价 </w:t>
      </w:r>
    </w:p>
    <w:tbl>
      <w:tblPr>
        <w:jc w:val="center"/>
        <w:tblW w:w="10419" w:type="dxa"/>
        <w:tblBorders>
          <w:top w:val="none" w:sz="0" w:space="0" w:color="auto"/>
          <w:left w:val="none" w:sz="0" w:space="0" w:color="auto"/>
          <w:bottom w:val="none" w:sz="0" w:space="0" w:color="auto"/>
          <w:right w:val="none" w:sz="0" w:space="0" w:color="auto"/>
        </w:tblBorders>
        <w:tblLayout w:type="fixed"/>
        <w:tblCellMar>
          <w:top w:w="0" w:type="dxa"/>
          <w:left w:w="108" w:type="dxa"/>
          <w:bottom w:w="0" w:type="dxa"/>
          <w:right w:w="108" w:type="dxa"/>
        </w:tblCellMar>
      </w:tblPr>
      <w:tblGrid>
        <w:gridCol w:w="855"/>
        <w:gridCol w:w="1266"/>
        <w:gridCol w:w="851"/>
        <w:gridCol w:w="119"/>
        <w:gridCol w:w="609"/>
        <w:gridCol w:w="242"/>
        <w:gridCol w:w="732"/>
        <w:gridCol w:w="850"/>
        <w:gridCol w:w="1559"/>
        <w:gridCol w:w="1276"/>
        <w:gridCol w:w="996"/>
        <w:gridCol w:w="262"/>
        <w:gridCol w:w="543"/>
        <w:gridCol w:w="259"/>
      </w:tblGrid>
      <w:tr>
        <w:trPr>
          <w:cantSplit/>
          <w:trHeight w:hRule="exact" w:val="453"/>
        </w:trPr>
        <w:tc>
          <w:tcPr>
            <w:tcW w:w="855" w:type="dxa"/>
            <w:vMerge w:val="restart"/>
            <w:tcBorders>
              <w:top w:val="single" w:sz="4" w:space="0" w:color="auto"/>
              <w:left w:val="single" w:sz="4" w:space="0" w:color="auto"/>
              <w:bottom w:val="nil"/>
              <w:right w:val="single" w:sz="4" w:space="0" w:color="auto"/>
            </w:tcBorders>
            <w:noWrap/>
            <w:vAlign w:val="center"/>
          </w:tcPr>
          <w:p>
            <w:pPr>
              <w:adjustRightInd w:val="0"/>
              <w:snapToGrid w:val="0"/>
              <w:spacing w:line="360" w:lineRule="auto"/>
              <w:jc w:val="center"/>
              <w:rPr>
                <w:rFonts w:ascii="宋体" w:eastAsia="宋体" w:cs="宋体" w:hint="eastAsia"/>
                <w:sz w:val="24"/>
                <w:szCs w:val="24"/>
              </w:rPr>
            </w:pPr>
            <w:r>
              <w:rPr>
                <w:rFonts w:ascii="宋体" w:eastAsia="宋体" w:cs="宋体" w:hint="eastAsia"/>
                <w:sz w:val="24"/>
                <w:szCs w:val="24"/>
              </w:rPr>
              <w:t>项目序号</w:t>
            </w:r>
          </w:p>
        </w:tc>
        <w:tc>
          <w:tcPr>
            <w:tcW w:w="1266" w:type="dxa"/>
            <w:vMerge w:val="restart"/>
            <w:tcBorders>
              <w:top w:val="single" w:sz="4" w:space="0" w:color="auto"/>
              <w:left w:val="single" w:sz="4" w:space="0" w:color="auto"/>
              <w:bottom w:val="nil"/>
              <w:right w:val="single" w:sz="4" w:space="0" w:color="auto"/>
            </w:tcBorders>
            <w:noWrap/>
            <w:vAlign w:val="center"/>
          </w:tcPr>
          <w:p>
            <w:pPr>
              <w:adjustRightInd w:val="0"/>
              <w:snapToGrid w:val="0"/>
              <w:spacing w:line="360" w:lineRule="auto"/>
              <w:jc w:val="center"/>
              <w:rPr>
                <w:rFonts w:ascii="宋体" w:eastAsia="宋体" w:cs="宋体" w:hint="eastAsia"/>
                <w:sz w:val="24"/>
                <w:szCs w:val="24"/>
              </w:rPr>
            </w:pPr>
            <w:r>
              <w:rPr>
                <w:rFonts w:ascii="宋体" w:eastAsia="宋体" w:cs="宋体" w:hint="eastAsia"/>
                <w:sz w:val="24"/>
                <w:szCs w:val="24"/>
              </w:rPr>
              <w:t>名   称</w:t>
            </w:r>
          </w:p>
          <w:p>
            <w:pPr>
              <w:adjustRightInd w:val="0"/>
              <w:snapToGrid w:val="0"/>
              <w:spacing w:line="360" w:lineRule="auto"/>
              <w:jc w:val="center"/>
              <w:rPr>
                <w:rFonts w:ascii="宋体" w:eastAsia="宋体" w:cs="宋体" w:hint="eastAsia"/>
                <w:sz w:val="24"/>
                <w:szCs w:val="24"/>
              </w:rPr>
            </w:pPr>
            <w:r>
              <w:rPr>
                <w:rFonts w:ascii="宋体" w:eastAsia="宋体" w:cs="宋体" w:hint="eastAsia"/>
                <w:sz w:val="24"/>
                <w:szCs w:val="24"/>
              </w:rPr>
              <w:t>（通用名）</w:t>
            </w:r>
          </w:p>
        </w:tc>
        <w:tc>
          <w:tcPr>
            <w:tcW w:w="851" w:type="dxa"/>
            <w:vMerge w:val="restart"/>
            <w:tcBorders>
              <w:top w:val="single" w:sz="4" w:space="0" w:color="auto"/>
              <w:left w:val="single" w:sz="4" w:space="0" w:color="auto"/>
              <w:bottom w:val="nil"/>
              <w:right w:val="single" w:sz="4" w:space="0" w:color="auto"/>
            </w:tcBorders>
            <w:noWrap/>
            <w:vAlign w:val="center"/>
          </w:tcPr>
          <w:p>
            <w:pPr>
              <w:adjustRightInd w:val="0"/>
              <w:snapToGrid w:val="0"/>
              <w:spacing w:line="360" w:lineRule="auto"/>
              <w:jc w:val="center"/>
              <w:rPr>
                <w:rFonts w:ascii="宋体" w:eastAsia="宋体" w:cs="宋体" w:hint="eastAsia"/>
                <w:sz w:val="24"/>
                <w:szCs w:val="24"/>
              </w:rPr>
            </w:pPr>
            <w:r>
              <w:rPr>
                <w:rFonts w:ascii="宋体" w:eastAsia="宋体" w:cs="宋体" w:hint="eastAsia"/>
                <w:sz w:val="24"/>
                <w:szCs w:val="24"/>
              </w:rPr>
              <w:t>国产/进口</w:t>
            </w:r>
          </w:p>
        </w:tc>
        <w:tc>
          <w:tcPr>
            <w:tcW w:w="728" w:type="dxa"/>
            <w:gridSpan w:val="2"/>
            <w:tcBorders>
              <w:top w:val="single" w:sz="4" w:space="0" w:color="auto"/>
              <w:left w:val="single" w:sz="4" w:space="0" w:color="auto"/>
              <w:bottom w:val="nil"/>
              <w:right w:val="single" w:sz="4" w:space="0" w:color="auto"/>
            </w:tcBorders>
            <w:noWrap/>
          </w:tcPr>
          <w:p>
            <w:pPr>
              <w:adjustRightInd w:val="0"/>
              <w:snapToGrid w:val="0"/>
              <w:spacing w:line="360" w:lineRule="auto"/>
              <w:rPr>
                <w:rFonts w:ascii="宋体" w:eastAsia="宋体" w:cs="宋体" w:hint="eastAsia"/>
                <w:sz w:val="24"/>
                <w:szCs w:val="24"/>
              </w:rPr>
            </w:pPr>
          </w:p>
        </w:tc>
        <w:tc>
          <w:tcPr>
            <w:tcW w:w="974" w:type="dxa"/>
            <w:gridSpan w:val="2"/>
            <w:vMerge w:val="restart"/>
            <w:tcBorders>
              <w:top w:val="single" w:sz="4" w:space="0" w:color="auto"/>
              <w:left w:val="single" w:sz="4" w:space="0" w:color="auto"/>
              <w:bottom w:val="nil"/>
              <w:right w:val="single" w:sz="4" w:space="0" w:color="auto"/>
            </w:tcBorders>
            <w:noWrap/>
            <w:vAlign w:val="center"/>
          </w:tcPr>
          <w:p>
            <w:pPr>
              <w:adjustRightInd w:val="0"/>
              <w:snapToGrid w:val="0"/>
              <w:spacing w:line="360" w:lineRule="auto"/>
              <w:rPr>
                <w:rFonts w:ascii="宋体" w:eastAsia="宋体" w:cs="宋体" w:hint="eastAsia"/>
                <w:sz w:val="24"/>
                <w:szCs w:val="24"/>
              </w:rPr>
            </w:pPr>
            <w:r>
              <w:rPr>
                <w:rFonts w:ascii="宋体" w:eastAsia="宋体" w:cs="宋体" w:hint="eastAsia"/>
                <w:sz w:val="24"/>
                <w:szCs w:val="24"/>
              </w:rPr>
              <w:t>技术参 数</w:t>
            </w:r>
          </w:p>
        </w:tc>
        <w:tc>
          <w:tcPr>
            <w:tcW w:w="850" w:type="dxa"/>
            <w:tcBorders>
              <w:top w:val="single" w:sz="4" w:space="0" w:color="auto"/>
              <w:left w:val="single" w:sz="4" w:space="0" w:color="auto"/>
              <w:bottom w:val="nil"/>
              <w:right w:val="single" w:sz="4" w:space="0" w:color="auto"/>
            </w:tcBorders>
            <w:noWrap/>
          </w:tcPr>
          <w:p>
            <w:pPr>
              <w:adjustRightInd w:val="0"/>
              <w:snapToGrid w:val="0"/>
              <w:spacing w:line="360" w:lineRule="auto"/>
              <w:jc w:val="center"/>
              <w:rPr>
                <w:rFonts w:ascii="宋体" w:eastAsia="宋体" w:cs="宋体" w:hint="eastAsia"/>
                <w:sz w:val="24"/>
                <w:szCs w:val="24"/>
              </w:rPr>
            </w:pPr>
          </w:p>
        </w:tc>
        <w:tc>
          <w:tcPr>
            <w:tcW w:w="1559" w:type="dxa"/>
            <w:vMerge w:val="restart"/>
            <w:tcBorders>
              <w:top w:val="single" w:sz="4" w:space="0" w:color="auto"/>
              <w:left w:val="single" w:sz="4" w:space="0" w:color="auto"/>
              <w:bottom w:val="nil"/>
              <w:right w:val="single" w:sz="4" w:space="0" w:color="auto"/>
            </w:tcBorders>
            <w:noWrap/>
            <w:vAlign w:val="center"/>
          </w:tcPr>
          <w:p>
            <w:pPr>
              <w:adjustRightInd w:val="0"/>
              <w:snapToGrid w:val="0"/>
              <w:spacing w:line="360" w:lineRule="auto"/>
              <w:jc w:val="center"/>
              <w:rPr>
                <w:rFonts w:ascii="宋体" w:eastAsia="宋体" w:cs="宋体" w:hint="eastAsia"/>
                <w:sz w:val="24"/>
                <w:szCs w:val="24"/>
              </w:rPr>
            </w:pPr>
            <w:r>
              <w:rPr>
                <w:rFonts w:ascii="宋体" w:eastAsia="宋体" w:cs="宋体" w:hint="eastAsia"/>
                <w:sz w:val="24"/>
                <w:szCs w:val="24"/>
              </w:rPr>
              <w:t>投标方报价</w:t>
            </w:r>
          </w:p>
          <w:p>
            <w:pPr>
              <w:adjustRightInd w:val="0"/>
              <w:snapToGrid w:val="0"/>
              <w:spacing w:line="360" w:lineRule="auto"/>
              <w:ind w:left="165"/>
              <w:jc w:val="center"/>
              <w:rPr>
                <w:rFonts w:ascii="宋体" w:eastAsia="宋体" w:cs="宋体" w:hint="eastAsia"/>
                <w:sz w:val="24"/>
                <w:szCs w:val="24"/>
              </w:rPr>
            </w:pPr>
            <w:r>
              <w:rPr>
                <w:rFonts w:ascii="宋体" w:eastAsia="宋体" w:cs="宋体" w:hint="eastAsia"/>
                <w:sz w:val="24"/>
                <w:szCs w:val="24"/>
              </w:rPr>
              <w:t>单价（元/</w:t>
            </w:r>
          </w:p>
          <w:p>
            <w:pPr>
              <w:adjustRightInd w:val="0"/>
              <w:snapToGrid w:val="0"/>
              <w:spacing w:line="360" w:lineRule="auto"/>
              <w:jc w:val="center"/>
              <w:rPr>
                <w:rFonts w:ascii="宋体" w:eastAsia="宋体" w:cs="宋体" w:hint="eastAsia"/>
                <w:sz w:val="24"/>
                <w:szCs w:val="24"/>
              </w:rPr>
            </w:pPr>
            <w:r>
              <w:rPr>
                <w:rFonts w:ascii="宋体" w:eastAsia="宋体" w:cs="宋体" w:hint="eastAsia"/>
                <w:sz w:val="24"/>
                <w:szCs w:val="24"/>
              </w:rPr>
              <w:t>支）</w:t>
            </w:r>
          </w:p>
        </w:tc>
        <w:tc>
          <w:tcPr>
            <w:tcW w:w="1276" w:type="dxa"/>
            <w:vMerge w:val="restart"/>
            <w:tcBorders>
              <w:top w:val="single" w:sz="4" w:space="0" w:color="auto"/>
              <w:left w:val="single" w:sz="4" w:space="0" w:color="auto"/>
              <w:bottom w:val="nil"/>
              <w:right w:val="single" w:sz="4" w:space="0" w:color="auto"/>
            </w:tcBorders>
            <w:noWrap/>
            <w:vAlign w:val="center"/>
          </w:tcPr>
          <w:p>
            <w:pPr>
              <w:adjustRightInd w:val="0"/>
              <w:snapToGrid w:val="0"/>
              <w:spacing w:line="360" w:lineRule="auto"/>
              <w:jc w:val="center"/>
              <w:rPr>
                <w:rFonts w:ascii="宋体" w:eastAsia="宋体" w:cs="宋体" w:hint="eastAsia"/>
                <w:sz w:val="24"/>
                <w:szCs w:val="24"/>
              </w:rPr>
            </w:pPr>
            <w:r>
              <w:rPr>
                <w:rFonts w:ascii="宋体" w:eastAsia="宋体" w:cs="宋体" w:hint="eastAsia"/>
                <w:sz w:val="24"/>
                <w:szCs w:val="24"/>
              </w:rPr>
              <w:t>合同总价</w:t>
            </w:r>
          </w:p>
        </w:tc>
        <w:tc>
          <w:tcPr>
            <w:tcW w:w="996" w:type="dxa"/>
            <w:vMerge w:val="restart"/>
            <w:tcBorders>
              <w:top w:val="single" w:sz="4" w:space="0" w:color="auto"/>
              <w:left w:val="single" w:sz="4" w:space="0" w:color="auto"/>
              <w:bottom w:val="nil"/>
              <w:right w:val="single" w:sz="4" w:space="0" w:color="auto"/>
            </w:tcBorders>
            <w:noWrap/>
            <w:vAlign w:val="center"/>
          </w:tcPr>
          <w:p>
            <w:pPr>
              <w:adjustRightInd w:val="0"/>
              <w:snapToGrid w:val="0"/>
              <w:spacing w:line="360" w:lineRule="auto"/>
              <w:jc w:val="center"/>
              <w:rPr>
                <w:rFonts w:ascii="宋体" w:eastAsia="宋体" w:cs="宋体" w:hint="eastAsia"/>
                <w:sz w:val="24"/>
                <w:szCs w:val="24"/>
              </w:rPr>
            </w:pPr>
            <w:r>
              <w:rPr>
                <w:rFonts w:ascii="宋体" w:eastAsia="宋体" w:cs="宋体" w:hint="eastAsia"/>
                <w:sz w:val="24"/>
                <w:szCs w:val="24"/>
              </w:rPr>
              <w:t>金额大写</w:t>
            </w:r>
          </w:p>
        </w:tc>
        <w:tc>
          <w:tcPr>
            <w:tcW w:w="262" w:type="dxa"/>
            <w:tcBorders>
              <w:top w:val="single" w:sz="4" w:space="0" w:color="auto"/>
              <w:left w:val="nil"/>
              <w:bottom w:val="nil"/>
              <w:right w:val="nil"/>
            </w:tcBorders>
            <w:noWrap/>
          </w:tcPr>
          <w:p>
            <w:pPr>
              <w:widowControl/>
              <w:adjustRightInd w:val="0"/>
              <w:snapToGrid w:val="0"/>
              <w:jc w:val="left"/>
              <w:rPr>
                <w:rFonts w:ascii="宋体" w:eastAsia="宋体" w:cs="宋体" w:hint="eastAsia"/>
                <w:sz w:val="24"/>
                <w:szCs w:val="24"/>
              </w:rPr>
            </w:pPr>
          </w:p>
          <w:p>
            <w:pPr>
              <w:widowControl/>
              <w:adjustRightInd w:val="0"/>
              <w:snapToGrid w:val="0"/>
              <w:jc w:val="left"/>
              <w:rPr>
                <w:rFonts w:ascii="宋体" w:eastAsia="宋体" w:cs="宋体" w:hint="eastAsia"/>
                <w:sz w:val="24"/>
                <w:szCs w:val="24"/>
              </w:rPr>
            </w:pPr>
          </w:p>
        </w:tc>
        <w:tc>
          <w:tcPr>
            <w:tcW w:w="802" w:type="dxa"/>
            <w:gridSpan w:val="2"/>
            <w:vMerge w:val="restart"/>
            <w:tcBorders>
              <w:top w:val="single" w:sz="4" w:space="0" w:color="auto"/>
              <w:left w:val="nil"/>
              <w:bottom w:val="nil"/>
              <w:right w:val="single" w:sz="4" w:space="0" w:color="auto"/>
            </w:tcBorders>
            <w:noWrap/>
            <w:vAlign w:val="center"/>
          </w:tcPr>
          <w:p>
            <w:pPr>
              <w:widowControl/>
              <w:adjustRightInd w:val="0"/>
              <w:snapToGrid w:val="0"/>
              <w:jc w:val="center"/>
              <w:rPr>
                <w:rFonts w:ascii="宋体" w:eastAsia="宋体" w:cs="宋体" w:hint="eastAsia"/>
                <w:sz w:val="24"/>
                <w:szCs w:val="24"/>
              </w:rPr>
            </w:pPr>
          </w:p>
          <w:p>
            <w:pPr>
              <w:widowControl/>
              <w:adjustRightInd w:val="0"/>
              <w:snapToGrid w:val="0"/>
              <w:jc w:val="center"/>
              <w:rPr>
                <w:rFonts w:ascii="宋体" w:eastAsia="宋体" w:cs="宋体" w:hint="eastAsia"/>
                <w:sz w:val="24"/>
                <w:szCs w:val="24"/>
              </w:rPr>
            </w:pPr>
            <w:r>
              <w:rPr>
                <w:rFonts w:ascii="宋体" w:eastAsia="宋体" w:cs="宋体" w:hint="eastAsia"/>
                <w:sz w:val="24"/>
                <w:szCs w:val="24"/>
              </w:rPr>
              <w:t>收货人及电话</w:t>
            </w:r>
          </w:p>
        </w:tc>
      </w:tr>
      <w:tr>
        <w:trPr>
          <w:cantSplit/>
          <w:trHeight w:val="411"/>
        </w:trPr>
        <w:tc>
          <w:tcPr>
            <w:tcW w:w="855" w:type="dxa"/>
            <w:vMerge/>
            <w:tcBorders>
              <w:top w:val="nil"/>
              <w:left w:val="single" w:sz="4" w:space="0" w:color="auto"/>
              <w:bottom w:val="single" w:sz="4" w:space="0" w:color="auto"/>
              <w:right w:val="single" w:sz="4" w:space="0" w:color="auto"/>
            </w:tcBorders>
            <w:noWrap/>
            <w:vAlign w:val="center"/>
          </w:tcPr>
          <w:p/>
        </w:tc>
        <w:tc>
          <w:tcPr>
            <w:tcW w:w="1266" w:type="dxa"/>
            <w:vMerge/>
            <w:tcBorders>
              <w:top w:val="nil"/>
              <w:left w:val="single" w:sz="4" w:space="0" w:color="auto"/>
              <w:bottom w:val="nil"/>
              <w:right w:val="single" w:sz="4" w:space="0" w:color="auto"/>
            </w:tcBorders>
            <w:noWrap/>
            <w:vAlign w:val="center"/>
          </w:tcPr>
          <w:p/>
        </w:tc>
        <w:tc>
          <w:tcPr>
            <w:tcW w:w="851" w:type="dxa"/>
            <w:vMerge/>
            <w:tcBorders>
              <w:top w:val="nil"/>
              <w:left w:val="single" w:sz="4" w:space="0" w:color="auto"/>
              <w:bottom w:val="nil"/>
              <w:right w:val="single" w:sz="4" w:space="0" w:color="auto"/>
            </w:tcBorders>
            <w:noWrap/>
            <w:vAlign w:val="center"/>
          </w:tcPr>
          <w:p/>
        </w:tc>
        <w:tc>
          <w:tcPr>
            <w:tcW w:w="728" w:type="dxa"/>
            <w:gridSpan w:val="2"/>
            <w:tcBorders>
              <w:top w:val="nil"/>
              <w:left w:val="single" w:sz="4" w:space="0" w:color="auto"/>
              <w:bottom w:val="nil"/>
              <w:right w:val="single" w:sz="4" w:space="0" w:color="auto"/>
            </w:tcBorders>
            <w:noWrap/>
          </w:tcPr>
          <w:p>
            <w:pPr>
              <w:adjustRightInd w:val="0"/>
              <w:snapToGrid w:val="0"/>
              <w:spacing w:line="360" w:lineRule="auto"/>
              <w:rPr>
                <w:rFonts w:ascii="宋体" w:eastAsia="宋体" w:cs="宋体" w:hint="eastAsia"/>
                <w:sz w:val="24"/>
                <w:szCs w:val="24"/>
              </w:rPr>
            </w:pPr>
            <w:r>
              <w:rPr>
                <w:rFonts w:ascii="宋体" w:eastAsia="宋体" w:cs="宋体" w:hint="eastAsia"/>
                <w:sz w:val="24"/>
                <w:szCs w:val="24"/>
              </w:rPr>
              <w:t>品名型号</w:t>
            </w:r>
          </w:p>
        </w:tc>
        <w:tc>
          <w:tcPr>
            <w:tcW w:w="974" w:type="dxa"/>
            <w:gridSpan w:val="2"/>
            <w:vMerge/>
            <w:tcBorders>
              <w:top w:val="nil"/>
              <w:left w:val="single" w:sz="4" w:space="0" w:color="auto"/>
              <w:bottom w:val="nil"/>
              <w:right w:val="single" w:sz="4" w:space="0" w:color="auto"/>
            </w:tcBorders>
            <w:noWrap/>
            <w:vAlign w:val="center"/>
          </w:tcPr>
          <w:p/>
        </w:tc>
        <w:tc>
          <w:tcPr>
            <w:tcW w:w="850" w:type="dxa"/>
            <w:tcBorders>
              <w:top w:val="nil"/>
              <w:left w:val="single" w:sz="4" w:space="0" w:color="auto"/>
              <w:bottom w:val="nil"/>
              <w:right w:val="single" w:sz="4" w:space="0" w:color="auto"/>
            </w:tcBorders>
            <w:noWrap/>
          </w:tcPr>
          <w:p>
            <w:pPr>
              <w:adjustRightInd w:val="0"/>
              <w:snapToGrid w:val="0"/>
              <w:spacing w:line="360" w:lineRule="auto"/>
              <w:jc w:val="center"/>
              <w:rPr>
                <w:rFonts w:ascii="宋体" w:eastAsia="宋体" w:cs="宋体" w:hint="eastAsia"/>
                <w:sz w:val="24"/>
                <w:szCs w:val="24"/>
              </w:rPr>
            </w:pPr>
            <w:r>
              <w:rPr>
                <w:rFonts w:ascii="宋体" w:eastAsia="宋体" w:cs="宋体" w:hint="eastAsia"/>
                <w:sz w:val="24"/>
                <w:szCs w:val="24"/>
              </w:rPr>
              <w:t>数量</w:t>
            </w:r>
          </w:p>
        </w:tc>
        <w:tc>
          <w:tcPr>
            <w:tcW w:w="1559" w:type="dxa"/>
            <w:vMerge/>
            <w:tcBorders>
              <w:top w:val="nil"/>
              <w:left w:val="single" w:sz="4" w:space="0" w:color="auto"/>
              <w:bottom w:val="nil"/>
              <w:right w:val="single" w:sz="4" w:space="0" w:color="auto"/>
            </w:tcBorders>
            <w:noWrap/>
            <w:vAlign w:val="center"/>
          </w:tcPr>
          <w:p/>
        </w:tc>
        <w:tc>
          <w:tcPr>
            <w:tcW w:w="1276" w:type="dxa"/>
            <w:vMerge/>
            <w:tcBorders>
              <w:top w:val="nil"/>
              <w:left w:val="single" w:sz="4" w:space="0" w:color="auto"/>
              <w:bottom w:val="nil"/>
              <w:right w:val="single" w:sz="4" w:space="0" w:color="auto"/>
            </w:tcBorders>
            <w:noWrap/>
            <w:vAlign w:val="center"/>
          </w:tcPr>
          <w:p/>
        </w:tc>
        <w:tc>
          <w:tcPr>
            <w:tcW w:w="996" w:type="dxa"/>
            <w:vMerge/>
            <w:tcBorders>
              <w:top w:val="nil"/>
              <w:left w:val="single" w:sz="4" w:space="0" w:color="auto"/>
              <w:bottom w:val="single" w:sz="4" w:space="0" w:color="auto"/>
              <w:right w:val="single" w:sz="4" w:space="0" w:color="auto"/>
            </w:tcBorders>
            <w:noWrap/>
            <w:vAlign w:val="center"/>
          </w:tcPr>
          <w:p/>
        </w:tc>
        <w:tc>
          <w:tcPr>
            <w:tcW w:w="262" w:type="dxa"/>
            <w:tcBorders>
              <w:top w:val="nil"/>
              <w:left w:val="nil"/>
              <w:bottom w:val="single" w:sz="4" w:space="0" w:color="auto"/>
              <w:right w:val="nil"/>
            </w:tcBorders>
            <w:noWrap/>
          </w:tcPr>
          <w:p>
            <w:pPr>
              <w:widowControl/>
              <w:adjustRightInd w:val="0"/>
              <w:snapToGrid w:val="0"/>
              <w:jc w:val="left"/>
              <w:rPr>
                <w:rFonts w:ascii="宋体" w:eastAsia="宋体" w:cs="宋体" w:hint="eastAsia"/>
                <w:sz w:val="24"/>
                <w:szCs w:val="24"/>
              </w:rPr>
            </w:pPr>
          </w:p>
        </w:tc>
        <w:tc>
          <w:tcPr>
            <w:tcW w:w="802" w:type="dxa"/>
            <w:gridSpan w:val="2"/>
            <w:vMerge/>
            <w:tcBorders>
              <w:top w:val="nil"/>
              <w:left w:val="nil"/>
              <w:bottom w:val="single" w:sz="4" w:space="0" w:color="auto"/>
              <w:right w:val="single" w:sz="4" w:space="0" w:color="auto"/>
            </w:tcBorders>
            <w:noWrap/>
          </w:tcPr>
          <w:p/>
        </w:tc>
      </w:tr>
      <w:tr>
        <w:trPr>
          <w:cantSplit/>
          <w:trHeight w:val="803"/>
        </w:trPr>
        <w:tc>
          <w:tcPr>
            <w:tcW w:w="855" w:type="dxa"/>
            <w:tcBorders>
              <w:top w:val="single" w:sz="4" w:space="0" w:color="auto"/>
              <w:left w:val="single" w:sz="6" w:space="0" w:color="auto"/>
              <w:bottom w:val="single" w:sz="4" w:space="0" w:color="auto"/>
              <w:right w:val="single" w:sz="4" w:space="0" w:color="auto"/>
            </w:tcBorders>
            <w:noWrap/>
            <w:vAlign w:val="center"/>
          </w:tcPr>
          <w:p>
            <w:pPr>
              <w:adjustRightInd w:val="0"/>
              <w:snapToGrid w:val="0"/>
              <w:spacing w:line="360" w:lineRule="auto"/>
              <w:jc w:val="center"/>
              <w:rPr>
                <w:rFonts w:ascii="宋体" w:eastAsia="宋体" w:cs="宋体" w:hint="eastAsia"/>
                <w:sz w:val="24"/>
                <w:szCs w:val="24"/>
              </w:rPr>
            </w:pPr>
          </w:p>
        </w:tc>
        <w:tc>
          <w:tcPr>
            <w:tcW w:w="1266" w:type="dxa"/>
            <w:tcBorders>
              <w:top w:val="single" w:sz="6" w:space="0" w:color="auto"/>
              <w:left w:val="single" w:sz="4" w:space="0" w:color="auto"/>
              <w:bottom w:val="single" w:sz="6" w:space="0" w:color="auto"/>
              <w:right w:val="single" w:sz="6" w:space="0" w:color="auto"/>
            </w:tcBorders>
            <w:noWrap/>
            <w:vAlign w:val="center"/>
          </w:tcPr>
          <w:p>
            <w:pPr>
              <w:adjustRightInd w:val="0"/>
              <w:snapToGrid w:val="0"/>
              <w:spacing w:line="360" w:lineRule="auto"/>
              <w:jc w:val="center"/>
              <w:rPr>
                <w:rFonts w:ascii="宋体" w:eastAsia="宋体" w:cs="宋体" w:hint="eastAsia"/>
                <w:sz w:val="24"/>
                <w:szCs w:val="24"/>
              </w:rPr>
            </w:pPr>
          </w:p>
        </w:tc>
        <w:tc>
          <w:tcPr>
            <w:tcW w:w="851" w:type="dxa"/>
            <w:tcBorders>
              <w:top w:val="single" w:sz="4" w:space="0" w:color="auto"/>
              <w:left w:val="single" w:sz="6" w:space="0" w:color="auto"/>
              <w:bottom w:val="single" w:sz="4" w:space="0" w:color="auto"/>
              <w:right w:val="single" w:sz="6" w:space="0" w:color="auto"/>
            </w:tcBorders>
            <w:noWrap/>
            <w:vAlign w:val="center"/>
          </w:tcPr>
          <w:p>
            <w:pPr>
              <w:adjustRightInd w:val="0"/>
              <w:snapToGrid w:val="0"/>
              <w:spacing w:line="360" w:lineRule="auto"/>
              <w:jc w:val="center"/>
              <w:rPr>
                <w:rFonts w:ascii="宋体" w:eastAsia="宋体" w:cs="宋体" w:hint="eastAsia"/>
                <w:sz w:val="24"/>
                <w:szCs w:val="24"/>
              </w:rPr>
            </w:pPr>
          </w:p>
        </w:tc>
        <w:tc>
          <w:tcPr>
            <w:tcW w:w="728" w:type="dxa"/>
            <w:gridSpan w:val="2"/>
            <w:tcBorders>
              <w:top w:val="single" w:sz="4" w:space="0" w:color="auto"/>
              <w:left w:val="single" w:sz="6" w:space="0" w:color="auto"/>
              <w:bottom w:val="single" w:sz="4" w:space="0" w:color="auto"/>
              <w:right w:val="single" w:sz="6" w:space="0" w:color="auto"/>
            </w:tcBorders>
            <w:noWrap/>
          </w:tcPr>
          <w:p>
            <w:pPr>
              <w:adjustRightInd w:val="0"/>
              <w:snapToGrid w:val="0"/>
              <w:spacing w:line="360" w:lineRule="auto"/>
              <w:jc w:val="center"/>
              <w:rPr>
                <w:rFonts w:ascii="宋体" w:eastAsia="宋体" w:cs="宋体" w:hint="eastAsia"/>
                <w:sz w:val="24"/>
                <w:szCs w:val="24"/>
              </w:rPr>
            </w:pPr>
          </w:p>
        </w:tc>
        <w:tc>
          <w:tcPr>
            <w:tcW w:w="974" w:type="dxa"/>
            <w:gridSpan w:val="2"/>
            <w:tcBorders>
              <w:top w:val="single" w:sz="4" w:space="0" w:color="auto"/>
              <w:left w:val="single" w:sz="6" w:space="0" w:color="auto"/>
              <w:bottom w:val="single" w:sz="4" w:space="0" w:color="auto"/>
              <w:right w:val="single" w:sz="4" w:space="0" w:color="auto"/>
            </w:tcBorders>
            <w:noWrap/>
            <w:vAlign w:val="center"/>
          </w:tcPr>
          <w:p>
            <w:pPr>
              <w:adjustRightInd w:val="0"/>
              <w:snapToGrid w:val="0"/>
              <w:spacing w:line="360" w:lineRule="auto"/>
              <w:jc w:val="center"/>
              <w:rPr>
                <w:rFonts w:ascii="宋体" w:eastAsia="宋体" w:cs="宋体" w:hint="eastAsia"/>
                <w:sz w:val="24"/>
                <w:szCs w:val="24"/>
              </w:rPr>
            </w:pPr>
          </w:p>
        </w:tc>
        <w:tc>
          <w:tcPr>
            <w:tcW w:w="850" w:type="dxa"/>
            <w:tcBorders>
              <w:top w:val="single" w:sz="4" w:space="0" w:color="auto"/>
              <w:left w:val="single" w:sz="4" w:space="0" w:color="auto"/>
              <w:bottom w:val="single" w:sz="4" w:space="0" w:color="auto"/>
              <w:right w:val="single" w:sz="4" w:space="0" w:color="auto"/>
            </w:tcBorders>
            <w:noWrap/>
          </w:tcPr>
          <w:p>
            <w:pPr>
              <w:adjustRightInd w:val="0"/>
              <w:snapToGrid w:val="0"/>
              <w:spacing w:line="360" w:lineRule="auto"/>
              <w:jc w:val="center"/>
              <w:rPr>
                <w:rFonts w:ascii="宋体" w:eastAsia="宋体" w:cs="宋体" w:hint="eastAsia"/>
                <w:sz w:val="24"/>
                <w:szCs w:val="24"/>
              </w:rPr>
            </w:pPr>
          </w:p>
        </w:tc>
        <w:tc>
          <w:tcPr>
            <w:tcW w:w="1559" w:type="dxa"/>
            <w:tcBorders>
              <w:top w:val="single" w:sz="4" w:space="0" w:color="auto"/>
              <w:left w:val="single" w:sz="4" w:space="0" w:color="auto"/>
              <w:bottom w:val="single" w:sz="4" w:space="0" w:color="auto"/>
              <w:right w:val="single" w:sz="4" w:space="0" w:color="auto"/>
            </w:tcBorders>
            <w:noWrap/>
            <w:vAlign w:val="center"/>
          </w:tcPr>
          <w:p>
            <w:pPr>
              <w:adjustRightInd w:val="0"/>
              <w:snapToGrid w:val="0"/>
              <w:spacing w:line="360" w:lineRule="auto"/>
              <w:jc w:val="center"/>
              <w:rPr>
                <w:rFonts w:ascii="宋体" w:eastAsia="宋体" w:cs="宋体" w:hint="eastAsia"/>
                <w:sz w:val="24"/>
                <w:szCs w:val="24"/>
              </w:rPr>
            </w:pPr>
          </w:p>
        </w:tc>
        <w:tc>
          <w:tcPr>
            <w:tcW w:w="1276" w:type="dxa"/>
            <w:tcBorders>
              <w:top w:val="single" w:sz="4" w:space="0" w:color="auto"/>
              <w:left w:val="single" w:sz="4" w:space="0" w:color="auto"/>
              <w:bottom w:val="single" w:sz="4" w:space="0" w:color="auto"/>
              <w:right w:val="single" w:sz="6" w:space="0" w:color="auto"/>
            </w:tcBorders>
            <w:noWrap/>
            <w:vAlign w:val="center"/>
          </w:tcPr>
          <w:p>
            <w:pPr>
              <w:adjustRightInd w:val="0"/>
              <w:snapToGrid w:val="0"/>
              <w:spacing w:line="360" w:lineRule="auto"/>
              <w:jc w:val="center"/>
              <w:rPr>
                <w:rFonts w:ascii="宋体" w:eastAsia="宋体" w:cs="宋体" w:hint="eastAsia"/>
                <w:sz w:val="24"/>
                <w:szCs w:val="24"/>
              </w:rPr>
            </w:pPr>
          </w:p>
        </w:tc>
        <w:tc>
          <w:tcPr>
            <w:tcW w:w="996" w:type="dxa"/>
            <w:tcBorders>
              <w:top w:val="single" w:sz="4" w:space="0" w:color="auto"/>
              <w:left w:val="single" w:sz="6" w:space="0" w:color="auto"/>
              <w:bottom w:val="nil"/>
              <w:right w:val="single" w:sz="4" w:space="0" w:color="auto"/>
            </w:tcBorders>
            <w:noWrap/>
            <w:vAlign w:val="center"/>
          </w:tcPr>
          <w:p>
            <w:pPr>
              <w:adjustRightInd w:val="0"/>
              <w:snapToGrid w:val="0"/>
              <w:spacing w:line="360" w:lineRule="auto"/>
              <w:jc w:val="center"/>
              <w:rPr>
                <w:rFonts w:ascii="宋体" w:eastAsia="宋体" w:cs="宋体" w:hint="eastAsia"/>
                <w:sz w:val="24"/>
                <w:szCs w:val="24"/>
              </w:rPr>
            </w:pPr>
          </w:p>
        </w:tc>
        <w:tc>
          <w:tcPr>
            <w:tcW w:w="262" w:type="dxa"/>
            <w:tcBorders>
              <w:top w:val="single" w:sz="4" w:space="0" w:color="auto"/>
              <w:left w:val="single" w:sz="4" w:space="0" w:color="auto"/>
              <w:bottom w:val="nil"/>
              <w:right w:val="nil"/>
            </w:tcBorders>
            <w:noWrap/>
          </w:tcPr>
          <w:p>
            <w:pPr>
              <w:widowControl/>
              <w:adjustRightInd w:val="0"/>
              <w:snapToGrid w:val="0"/>
              <w:jc w:val="left"/>
              <w:rPr>
                <w:rFonts w:ascii="宋体" w:eastAsia="宋体" w:cs="宋体" w:hint="eastAsia"/>
                <w:sz w:val="24"/>
                <w:szCs w:val="24"/>
              </w:rPr>
            </w:pPr>
          </w:p>
        </w:tc>
        <w:tc>
          <w:tcPr>
            <w:tcW w:w="802" w:type="dxa"/>
            <w:gridSpan w:val="2"/>
            <w:tcBorders>
              <w:top w:val="single" w:sz="4" w:space="0" w:color="auto"/>
              <w:left w:val="nil"/>
              <w:bottom w:val="single" w:sz="4" w:space="0" w:color="auto"/>
              <w:right w:val="single" w:sz="4" w:space="0" w:color="auto"/>
            </w:tcBorders>
            <w:noWrap/>
          </w:tcPr>
          <w:p>
            <w:pPr>
              <w:widowControl/>
              <w:adjustRightInd w:val="0"/>
              <w:snapToGrid w:val="0"/>
              <w:jc w:val="left"/>
              <w:rPr>
                <w:rFonts w:ascii="宋体" w:eastAsia="宋体" w:cs="宋体" w:hint="eastAsia"/>
                <w:sz w:val="24"/>
                <w:szCs w:val="24"/>
              </w:rPr>
            </w:pPr>
          </w:p>
        </w:tc>
      </w:tr>
      <w:tr>
        <w:trPr>
          <w:cantSplit/>
          <w:trHeight w:val="551"/>
        </w:trPr>
        <w:tc>
          <w:tcPr>
            <w:tcW w:w="855" w:type="dxa"/>
            <w:tcBorders>
              <w:top w:val="single" w:sz="4" w:space="0" w:color="auto"/>
              <w:left w:val="single" w:sz="6" w:space="0" w:color="auto"/>
              <w:bottom w:val="single" w:sz="4" w:space="0" w:color="auto"/>
              <w:right w:val="single" w:sz="4" w:space="0" w:color="auto"/>
            </w:tcBorders>
            <w:noWrap/>
            <w:vAlign w:val="center"/>
          </w:tcPr>
          <w:p>
            <w:pPr>
              <w:adjustRightInd w:val="0"/>
              <w:snapToGrid w:val="0"/>
              <w:spacing w:line="360" w:lineRule="auto"/>
              <w:jc w:val="center"/>
              <w:rPr>
                <w:rFonts w:ascii="宋体" w:eastAsia="宋体" w:cs="宋体" w:hint="eastAsia"/>
                <w:sz w:val="24"/>
                <w:szCs w:val="24"/>
              </w:rPr>
            </w:pPr>
          </w:p>
        </w:tc>
        <w:tc>
          <w:tcPr>
            <w:tcW w:w="1266" w:type="dxa"/>
            <w:tcBorders>
              <w:top w:val="single" w:sz="6" w:space="0" w:color="auto"/>
              <w:left w:val="single" w:sz="4" w:space="0" w:color="auto"/>
              <w:bottom w:val="single" w:sz="6" w:space="0" w:color="auto"/>
              <w:right w:val="single" w:sz="6" w:space="0" w:color="auto"/>
            </w:tcBorders>
            <w:noWrap/>
            <w:vAlign w:val="center"/>
          </w:tcPr>
          <w:p>
            <w:pPr>
              <w:adjustRightInd w:val="0"/>
              <w:snapToGrid w:val="0"/>
              <w:spacing w:line="360" w:lineRule="auto"/>
              <w:jc w:val="center"/>
              <w:rPr>
                <w:rFonts w:ascii="宋体" w:eastAsia="宋体" w:cs="宋体" w:hint="eastAsia"/>
                <w:sz w:val="24"/>
                <w:szCs w:val="24"/>
              </w:rPr>
            </w:pPr>
          </w:p>
        </w:tc>
        <w:tc>
          <w:tcPr>
            <w:tcW w:w="851" w:type="dxa"/>
            <w:tcBorders>
              <w:top w:val="single" w:sz="4" w:space="0" w:color="auto"/>
              <w:left w:val="single" w:sz="6" w:space="0" w:color="auto"/>
              <w:bottom w:val="single" w:sz="4" w:space="0" w:color="auto"/>
              <w:right w:val="single" w:sz="6" w:space="0" w:color="auto"/>
            </w:tcBorders>
            <w:noWrap/>
            <w:vAlign w:val="center"/>
          </w:tcPr>
          <w:p>
            <w:pPr>
              <w:adjustRightInd w:val="0"/>
              <w:snapToGrid w:val="0"/>
              <w:spacing w:line="360" w:lineRule="auto"/>
              <w:jc w:val="center"/>
              <w:rPr>
                <w:rFonts w:ascii="宋体" w:eastAsia="宋体" w:cs="宋体" w:hint="eastAsia"/>
                <w:sz w:val="24"/>
                <w:szCs w:val="24"/>
              </w:rPr>
            </w:pPr>
          </w:p>
        </w:tc>
        <w:tc>
          <w:tcPr>
            <w:tcW w:w="728" w:type="dxa"/>
            <w:gridSpan w:val="2"/>
            <w:tcBorders>
              <w:top w:val="single" w:sz="4" w:space="0" w:color="auto"/>
              <w:left w:val="single" w:sz="6" w:space="0" w:color="auto"/>
              <w:bottom w:val="single" w:sz="4" w:space="0" w:color="auto"/>
              <w:right w:val="single" w:sz="6" w:space="0" w:color="auto"/>
            </w:tcBorders>
            <w:noWrap/>
          </w:tcPr>
          <w:p>
            <w:pPr>
              <w:adjustRightInd w:val="0"/>
              <w:snapToGrid w:val="0"/>
              <w:spacing w:line="360" w:lineRule="auto"/>
              <w:jc w:val="center"/>
              <w:rPr>
                <w:rFonts w:ascii="宋体" w:eastAsia="宋体" w:cs="宋体" w:hint="eastAsia"/>
                <w:sz w:val="24"/>
                <w:szCs w:val="24"/>
              </w:rPr>
            </w:pPr>
          </w:p>
        </w:tc>
        <w:tc>
          <w:tcPr>
            <w:tcW w:w="974" w:type="dxa"/>
            <w:gridSpan w:val="2"/>
            <w:tcBorders>
              <w:top w:val="single" w:sz="4" w:space="0" w:color="auto"/>
              <w:left w:val="single" w:sz="6" w:space="0" w:color="auto"/>
              <w:bottom w:val="single" w:sz="4" w:space="0" w:color="auto"/>
              <w:right w:val="single" w:sz="4" w:space="0" w:color="auto"/>
            </w:tcBorders>
            <w:noWrap/>
            <w:vAlign w:val="center"/>
          </w:tcPr>
          <w:p>
            <w:pPr>
              <w:adjustRightInd w:val="0"/>
              <w:snapToGrid w:val="0"/>
              <w:spacing w:line="360" w:lineRule="auto"/>
              <w:jc w:val="center"/>
              <w:rPr>
                <w:rFonts w:ascii="宋体" w:eastAsia="宋体" w:cs="宋体" w:hint="eastAsia"/>
                <w:sz w:val="24"/>
                <w:szCs w:val="24"/>
              </w:rPr>
            </w:pPr>
          </w:p>
        </w:tc>
        <w:tc>
          <w:tcPr>
            <w:tcW w:w="850" w:type="dxa"/>
            <w:tcBorders>
              <w:top w:val="single" w:sz="4" w:space="0" w:color="auto"/>
              <w:left w:val="single" w:sz="4" w:space="0" w:color="auto"/>
              <w:bottom w:val="single" w:sz="4" w:space="0" w:color="auto"/>
              <w:right w:val="single" w:sz="4" w:space="0" w:color="auto"/>
            </w:tcBorders>
            <w:noWrap/>
          </w:tcPr>
          <w:p>
            <w:pPr>
              <w:adjustRightInd w:val="0"/>
              <w:snapToGrid w:val="0"/>
              <w:spacing w:line="360" w:lineRule="auto"/>
              <w:jc w:val="center"/>
              <w:rPr>
                <w:rFonts w:ascii="宋体" w:eastAsia="宋体" w:cs="宋体" w:hint="eastAsia"/>
                <w:sz w:val="24"/>
                <w:szCs w:val="24"/>
              </w:rPr>
            </w:pPr>
          </w:p>
        </w:tc>
        <w:tc>
          <w:tcPr>
            <w:tcW w:w="1559" w:type="dxa"/>
            <w:tcBorders>
              <w:top w:val="single" w:sz="4" w:space="0" w:color="auto"/>
              <w:left w:val="single" w:sz="4" w:space="0" w:color="auto"/>
              <w:bottom w:val="single" w:sz="4" w:space="0" w:color="auto"/>
              <w:right w:val="single" w:sz="4" w:space="0" w:color="auto"/>
            </w:tcBorders>
            <w:noWrap/>
            <w:vAlign w:val="center"/>
          </w:tcPr>
          <w:p>
            <w:pPr>
              <w:adjustRightInd w:val="0"/>
              <w:snapToGrid w:val="0"/>
              <w:spacing w:line="360" w:lineRule="auto"/>
              <w:jc w:val="center"/>
              <w:rPr>
                <w:rFonts w:ascii="宋体" w:eastAsia="宋体" w:cs="宋体" w:hint="eastAsia"/>
                <w:sz w:val="24"/>
                <w:szCs w:val="24"/>
              </w:rPr>
            </w:pPr>
          </w:p>
        </w:tc>
        <w:tc>
          <w:tcPr>
            <w:tcW w:w="1276" w:type="dxa"/>
            <w:tcBorders>
              <w:top w:val="single" w:sz="4" w:space="0" w:color="auto"/>
              <w:left w:val="single" w:sz="4" w:space="0" w:color="auto"/>
              <w:bottom w:val="single" w:sz="4" w:space="0" w:color="auto"/>
              <w:right w:val="single" w:sz="6" w:space="0" w:color="auto"/>
            </w:tcBorders>
            <w:noWrap/>
            <w:vAlign w:val="center"/>
          </w:tcPr>
          <w:p>
            <w:pPr>
              <w:adjustRightInd w:val="0"/>
              <w:snapToGrid w:val="0"/>
              <w:spacing w:line="360" w:lineRule="auto"/>
              <w:jc w:val="center"/>
              <w:rPr>
                <w:rFonts w:ascii="宋体" w:eastAsia="宋体" w:cs="宋体" w:hint="eastAsia"/>
                <w:sz w:val="24"/>
                <w:szCs w:val="24"/>
              </w:rPr>
            </w:pPr>
          </w:p>
        </w:tc>
        <w:tc>
          <w:tcPr>
            <w:tcW w:w="996" w:type="dxa"/>
            <w:tcBorders>
              <w:top w:val="single" w:sz="4" w:space="0" w:color="auto"/>
              <w:left w:val="single" w:sz="6" w:space="0" w:color="auto"/>
              <w:bottom w:val="single" w:sz="4" w:space="0" w:color="auto"/>
              <w:right w:val="single" w:sz="4" w:space="0" w:color="auto"/>
            </w:tcBorders>
            <w:noWrap/>
            <w:vAlign w:val="center"/>
          </w:tcPr>
          <w:p>
            <w:pPr>
              <w:widowControl/>
              <w:adjustRightInd w:val="0"/>
              <w:snapToGrid w:val="0"/>
              <w:jc w:val="left"/>
              <w:rPr>
                <w:rFonts w:ascii="宋体" w:eastAsia="宋体" w:cs="宋体" w:hint="eastAsia"/>
                <w:sz w:val="24"/>
                <w:szCs w:val="24"/>
              </w:rPr>
            </w:pPr>
          </w:p>
        </w:tc>
        <w:tc>
          <w:tcPr>
            <w:tcW w:w="262" w:type="dxa"/>
            <w:tcBorders>
              <w:top w:val="single" w:sz="4" w:space="0" w:color="auto"/>
              <w:left w:val="single" w:sz="4" w:space="0" w:color="auto"/>
              <w:bottom w:val="single" w:sz="4" w:space="0" w:color="auto"/>
              <w:right w:val="nil"/>
            </w:tcBorders>
            <w:noWrap/>
            <w:vAlign w:val="center"/>
          </w:tcPr>
          <w:p>
            <w:pPr>
              <w:widowControl/>
              <w:adjustRightInd w:val="0"/>
              <w:snapToGrid w:val="0"/>
              <w:jc w:val="left"/>
              <w:rPr>
                <w:rFonts w:ascii="宋体" w:eastAsia="宋体" w:cs="宋体" w:hint="eastAsia"/>
                <w:sz w:val="24"/>
                <w:szCs w:val="24"/>
              </w:rPr>
            </w:pPr>
          </w:p>
        </w:tc>
        <w:tc>
          <w:tcPr>
            <w:tcW w:w="802" w:type="dxa"/>
            <w:gridSpan w:val="2"/>
            <w:tcBorders>
              <w:top w:val="single" w:sz="4" w:space="0" w:color="auto"/>
              <w:left w:val="nil"/>
              <w:bottom w:val="single" w:sz="4" w:space="0" w:color="auto"/>
              <w:right w:val="single" w:sz="4" w:space="0" w:color="auto"/>
            </w:tcBorders>
            <w:noWrap/>
          </w:tcPr>
          <w:p>
            <w:pPr>
              <w:widowControl/>
              <w:adjustRightInd w:val="0"/>
              <w:snapToGrid w:val="0"/>
              <w:jc w:val="left"/>
              <w:rPr>
                <w:rFonts w:ascii="宋体" w:eastAsia="宋体" w:cs="宋体" w:hint="eastAsia"/>
                <w:sz w:val="24"/>
                <w:szCs w:val="24"/>
              </w:rPr>
            </w:pPr>
          </w:p>
        </w:tc>
      </w:tr>
      <w:tr>
        <w:trPr>
          <w:cantSplit/>
          <w:trHeight w:val="755"/>
        </w:trPr>
        <w:tc>
          <w:tcPr>
            <w:tcW w:w="2121" w:type="dxa"/>
            <w:gridSpan w:val="2"/>
            <w:tcBorders>
              <w:top w:val="single" w:sz="4" w:space="0" w:color="auto"/>
              <w:left w:val="single" w:sz="6" w:space="0" w:color="auto"/>
              <w:bottom w:val="single" w:sz="4" w:space="0" w:color="auto"/>
              <w:right w:val="single" w:sz="6" w:space="0" w:color="auto"/>
            </w:tcBorders>
            <w:noWrap/>
            <w:vAlign w:val="center"/>
          </w:tcPr>
          <w:p>
            <w:pPr>
              <w:adjustRightInd w:val="0"/>
              <w:snapToGrid w:val="0"/>
              <w:spacing w:line="360" w:lineRule="auto"/>
              <w:jc w:val="center"/>
              <w:rPr>
                <w:rFonts w:ascii="宋体" w:eastAsia="宋体" w:cs="宋体" w:hint="eastAsia"/>
                <w:sz w:val="24"/>
                <w:szCs w:val="24"/>
              </w:rPr>
            </w:pPr>
            <w:r>
              <w:rPr>
                <w:rFonts w:ascii="宋体" w:eastAsia="宋体" w:cs="宋体" w:hint="eastAsia"/>
                <w:sz w:val="24"/>
                <w:szCs w:val="24"/>
              </w:rPr>
              <w:t>合同总价</w:t>
            </w:r>
          </w:p>
        </w:tc>
        <w:tc>
          <w:tcPr>
            <w:tcW w:w="851" w:type="dxa"/>
            <w:tcBorders>
              <w:top w:val="single" w:sz="4" w:space="0" w:color="auto"/>
              <w:left w:val="single" w:sz="6" w:space="0" w:color="auto"/>
              <w:bottom w:val="single" w:sz="4" w:space="0" w:color="auto"/>
              <w:right w:val="single" w:sz="6" w:space="0" w:color="auto"/>
            </w:tcBorders>
            <w:noWrap/>
          </w:tcPr>
          <w:p>
            <w:pPr>
              <w:adjustRightInd w:val="0"/>
              <w:snapToGrid w:val="0"/>
              <w:spacing w:line="360" w:lineRule="auto"/>
              <w:rPr>
                <w:rFonts w:ascii="宋体" w:eastAsia="宋体" w:cs="宋体" w:hint="eastAsia"/>
                <w:sz w:val="24"/>
                <w:szCs w:val="24"/>
              </w:rPr>
            </w:pPr>
          </w:p>
        </w:tc>
        <w:tc>
          <w:tcPr>
            <w:tcW w:w="970" w:type="dxa"/>
            <w:gridSpan w:val="3"/>
            <w:tcBorders>
              <w:top w:val="single" w:sz="4" w:space="0" w:color="auto"/>
              <w:left w:val="single" w:sz="6" w:space="0" w:color="auto"/>
              <w:bottom w:val="single" w:sz="4" w:space="0" w:color="auto"/>
              <w:right w:val="nil"/>
            </w:tcBorders>
            <w:noWrap/>
          </w:tcPr>
          <w:p>
            <w:pPr>
              <w:adjustRightInd w:val="0"/>
              <w:snapToGrid w:val="0"/>
              <w:spacing w:line="360" w:lineRule="auto"/>
              <w:rPr>
                <w:rFonts w:ascii="宋体" w:eastAsia="宋体" w:cs="宋体" w:hint="eastAsia"/>
                <w:sz w:val="24"/>
                <w:szCs w:val="24"/>
              </w:rPr>
            </w:pPr>
          </w:p>
        </w:tc>
        <w:tc>
          <w:tcPr>
            <w:tcW w:w="6477" w:type="dxa"/>
            <w:gridSpan w:val="8"/>
            <w:tcBorders>
              <w:top w:val="nil"/>
              <w:left w:val="nil"/>
              <w:bottom w:val="nil"/>
              <w:right w:val="single" w:sz="4" w:space="0" w:color="auto"/>
            </w:tcBorders>
            <w:noWrap/>
          </w:tcPr>
          <w:p>
            <w:pPr>
              <w:adjustRightInd w:val="0"/>
              <w:snapToGrid w:val="0"/>
              <w:spacing w:line="360" w:lineRule="auto"/>
              <w:rPr>
                <w:rFonts w:ascii="宋体" w:eastAsia="宋体" w:cs="宋体" w:hint="eastAsia"/>
                <w:kern w:val="0"/>
                <w:sz w:val="24"/>
                <w:szCs w:val="24"/>
              </w:rPr>
            </w:pPr>
          </w:p>
          <w:p>
            <w:pPr>
              <w:adjustRightInd w:val="0"/>
              <w:snapToGrid w:val="0"/>
              <w:spacing w:line="360" w:lineRule="auto"/>
              <w:rPr>
                <w:rFonts w:ascii="宋体" w:eastAsia="宋体" w:cs="宋体" w:hint="eastAsia"/>
                <w:kern w:val="0"/>
                <w:sz w:val="24"/>
                <w:szCs w:val="24"/>
              </w:rPr>
            </w:pPr>
            <w:r>
              <w:rPr>
                <w:rFonts w:ascii="宋体" w:eastAsia="宋体" w:cs="宋体" w:hint="eastAsia"/>
                <w:kern w:val="0"/>
                <w:sz w:val="24"/>
                <w:szCs w:val="24"/>
              </w:rPr>
              <w:t>人民币大写</w:t>
            </w:r>
            <w:r>
              <w:rPr>
                <w:rFonts w:ascii="宋体" w:eastAsia="宋体" w:cs="宋体" w:hint="eastAsia"/>
                <w:kern w:val="0"/>
                <w:sz w:val="24"/>
                <w:szCs w:val="24"/>
                <w:u w:val="single"/>
              </w:rPr>
              <w:t xml:space="preserve">：                       </w:t>
            </w:r>
            <w:r>
              <w:rPr>
                <w:rFonts w:ascii="宋体" w:eastAsia="宋体" w:cs="宋体" w:hint="eastAsia"/>
                <w:sz w:val="24"/>
                <w:szCs w:val="24"/>
              </w:rPr>
              <w:t xml:space="preserve"> </w:t>
            </w:r>
            <w:r>
              <w:rPr>
                <w:rFonts w:ascii="宋体" w:eastAsia="宋体" w:cs="宋体" w:hint="eastAsia"/>
                <w:kern w:val="0"/>
                <w:sz w:val="24"/>
                <w:szCs w:val="24"/>
              </w:rPr>
              <w:t>（小写￥</w:t>
            </w:r>
            <w:r>
              <w:rPr>
                <w:rFonts w:ascii="宋体" w:eastAsia="宋体" w:cs="宋体" w:hint="eastAsia"/>
                <w:sz w:val="24"/>
                <w:szCs w:val="24"/>
              </w:rPr>
              <w:t xml:space="preserve">      </w:t>
            </w:r>
            <w:r>
              <w:rPr>
                <w:rFonts w:ascii="宋体" w:eastAsia="宋体" w:cs="宋体" w:hint="eastAsia"/>
                <w:kern w:val="0"/>
                <w:sz w:val="24"/>
                <w:szCs w:val="24"/>
              </w:rPr>
              <w:t>元）</w:t>
            </w:r>
          </w:p>
          <w:p>
            <w:pPr>
              <w:widowControl/>
              <w:adjustRightInd w:val="0"/>
              <w:snapToGrid w:val="0"/>
              <w:jc w:val="left"/>
              <w:rPr>
                <w:rFonts w:ascii="宋体" w:eastAsia="宋体" w:cs="宋体" w:hint="eastAsia"/>
                <w:sz w:val="24"/>
                <w:szCs w:val="24"/>
              </w:rPr>
            </w:pPr>
          </w:p>
        </w:tc>
      </w:tr>
      <w:tr>
        <w:trPr>
          <w:trHeight w:val="100"/>
          <w:gridBefore w:val="4"/>
          <w:wBefore w:w="3091" w:type="dxa"/>
          <w:gridAfter w:val="1"/>
          <w:wAfter w:w="259" w:type="dxa"/>
        </w:trPr>
        <w:tc>
          <w:tcPr>
            <w:tcW w:w="851" w:type="dxa"/>
            <w:gridSpan w:val="2"/>
            <w:tcBorders>
              <w:top w:val="single" w:sz="4" w:space="0" w:color="auto"/>
              <w:left w:val="nil"/>
              <w:bottom w:val="nil"/>
              <w:right w:val="nil"/>
            </w:tcBorders>
            <w:noWrap/>
          </w:tcPr>
          <w:p>
            <w:pPr>
              <w:tabs>
                <w:tab w:val="left" w:pos="540"/>
              </w:tabs>
              <w:adjustRightInd w:val="0"/>
              <w:snapToGrid w:val="0"/>
              <w:spacing w:line="360" w:lineRule="auto"/>
              <w:rPr>
                <w:rFonts w:ascii="宋体" w:eastAsia="宋体" w:cs="宋体" w:hint="eastAsia"/>
                <w:color w:val="0000FF"/>
                <w:sz w:val="24"/>
                <w:szCs w:val="24"/>
              </w:rPr>
            </w:pPr>
          </w:p>
        </w:tc>
        <w:tc>
          <w:tcPr>
            <w:tcW w:w="6218" w:type="dxa"/>
            <w:gridSpan w:val="7"/>
            <w:tcBorders>
              <w:top w:val="single" w:sz="4" w:space="0" w:color="auto"/>
              <w:left w:val="nil"/>
              <w:bottom w:val="nil"/>
              <w:right w:val="nil"/>
            </w:tcBorders>
            <w:noWrap/>
          </w:tcPr>
          <w:p>
            <w:pPr>
              <w:tabs>
                <w:tab w:val="left" w:pos="540"/>
              </w:tabs>
              <w:adjustRightInd w:val="0"/>
              <w:snapToGrid w:val="0"/>
              <w:spacing w:line="360" w:lineRule="auto"/>
              <w:rPr>
                <w:rFonts w:ascii="宋体" w:eastAsia="宋体" w:cs="宋体" w:hint="eastAsia"/>
                <w:color w:val="0000FF"/>
                <w:sz w:val="24"/>
                <w:szCs w:val="24"/>
              </w:rPr>
            </w:pPr>
          </w:p>
        </w:tc>
      </w:tr>
    </w:tbl>
    <w:p>
      <w:pPr>
        <w:adjustRightInd w:val="0"/>
        <w:snapToGrid w:val="0"/>
        <w:spacing w:line="360" w:lineRule="auto"/>
        <w:rPr>
          <w:rFonts w:ascii="宋体" w:eastAsia="宋体" w:cs="宋体" w:hint="eastAsia"/>
          <w:spacing w:val="-20"/>
          <w:sz w:val="24"/>
          <w:szCs w:val="24"/>
        </w:rPr>
      </w:pPr>
      <w:r>
        <w:rPr>
          <w:rFonts w:ascii="宋体" w:eastAsia="宋体" w:cs="宋体" w:hint="eastAsia"/>
          <w:spacing w:val="-20"/>
          <w:sz w:val="24"/>
          <w:szCs w:val="24"/>
        </w:rPr>
        <w:t>说      明：</w:t>
      </w:r>
    </w:p>
    <w:p>
      <w:pPr>
        <w:adjustRightInd w:val="0"/>
        <w:snapToGrid w:val="0"/>
        <w:spacing w:line="360" w:lineRule="auto"/>
        <w:ind w:firstLineChars="200" w:firstLine="480"/>
        <w:rPr>
          <w:rFonts w:ascii="宋体" w:eastAsia="宋体" w:cs="宋体" w:hint="eastAsia"/>
          <w:sz w:val="24"/>
          <w:szCs w:val="24"/>
        </w:rPr>
      </w:pPr>
      <w:r>
        <w:rPr>
          <w:rFonts w:ascii="宋体" w:eastAsia="宋体" w:cs="宋体" w:hint="eastAsia"/>
          <w:sz w:val="24"/>
          <w:szCs w:val="24"/>
        </w:rPr>
        <w:t>（一） 合同总价包含到达交货地点的运杂费、技术服务（相关技术指导）、运输费、保险费、培训及其他各项费用。</w:t>
      </w:r>
    </w:p>
    <w:p>
      <w:pPr>
        <w:adjustRightInd w:val="0"/>
        <w:snapToGrid w:val="0"/>
        <w:spacing w:line="360" w:lineRule="auto"/>
        <w:ind w:firstLineChars="200" w:firstLine="480"/>
        <w:rPr>
          <w:rFonts w:ascii="宋体" w:eastAsia="宋体" w:cs="宋体" w:hint="eastAsia"/>
          <w:sz w:val="24"/>
          <w:szCs w:val="24"/>
        </w:rPr>
      </w:pPr>
      <w:r>
        <w:rPr>
          <w:rFonts w:ascii="宋体" w:eastAsia="宋体" w:cs="宋体" w:hint="eastAsia"/>
          <w:sz w:val="24"/>
          <w:szCs w:val="24"/>
        </w:rPr>
        <w:t>（二）合同总价包括乙方销售本合同产品，国家根据现行税法向乙方征收的与履行合同有关的一切税费。</w:t>
      </w:r>
    </w:p>
    <w:p>
      <w:pPr>
        <w:adjustRightInd w:val="0"/>
        <w:snapToGrid w:val="0"/>
        <w:spacing w:line="360" w:lineRule="auto"/>
        <w:ind w:firstLineChars="200" w:firstLine="480"/>
        <w:rPr>
          <w:rFonts w:ascii="宋体" w:eastAsia="宋体" w:cs="宋体" w:hint="eastAsia"/>
          <w:sz w:val="24"/>
          <w:szCs w:val="24"/>
        </w:rPr>
      </w:pPr>
      <w:r>
        <w:rPr>
          <w:rFonts w:ascii="宋体" w:eastAsia="宋体" w:cs="宋体" w:hint="eastAsia"/>
          <w:sz w:val="24"/>
          <w:szCs w:val="24"/>
        </w:rPr>
        <w:t>（三） 合同总价一次包死，不受市场价格变化的影响，并作为结算的唯一依据。</w:t>
      </w:r>
    </w:p>
    <w:p>
      <w:pPr>
        <w:adjustRightInd w:val="0"/>
        <w:snapToGrid w:val="0"/>
        <w:spacing w:line="360" w:lineRule="auto"/>
        <w:ind w:firstLineChars="200" w:firstLine="480"/>
        <w:rPr>
          <w:rFonts w:ascii="宋体" w:eastAsia="宋体" w:cs="宋体" w:hint="eastAsia"/>
          <w:sz w:val="24"/>
          <w:szCs w:val="24"/>
        </w:rPr>
      </w:pPr>
      <w:r>
        <w:rPr>
          <w:rFonts w:ascii="宋体" w:eastAsia="宋体" w:cs="宋体" w:hint="eastAsia"/>
          <w:sz w:val="24"/>
          <w:szCs w:val="24"/>
        </w:rPr>
        <w:t>二、产品质量要求</w:t>
      </w:r>
    </w:p>
    <w:p>
      <w:pPr>
        <w:adjustRightInd w:val="0"/>
        <w:snapToGrid w:val="0"/>
        <w:spacing w:line="360" w:lineRule="auto"/>
        <w:ind w:firstLineChars="200" w:firstLine="480"/>
        <w:rPr>
          <w:rFonts w:ascii="宋体" w:eastAsia="宋体" w:cs="宋体" w:hint="eastAsia"/>
          <w:sz w:val="24"/>
          <w:szCs w:val="24"/>
          <w:u w:val="single"/>
        </w:rPr>
      </w:pPr>
      <w:r>
        <w:rPr>
          <w:rFonts w:ascii="宋体" w:eastAsia="宋体" w:cs="宋体" w:hint="eastAsia"/>
          <w:sz w:val="24"/>
          <w:szCs w:val="24"/>
        </w:rPr>
        <w:t>（一） 国家标准：</w:t>
      </w:r>
      <w:r>
        <w:rPr>
          <w:rFonts w:ascii="宋体" w:eastAsia="宋体" w:cs="宋体" w:hint="eastAsia"/>
          <w:sz w:val="24"/>
          <w:szCs w:val="24"/>
          <w:u w:val="single"/>
        </w:rPr>
        <w:t xml:space="preserve">  符合国家标准          </w:t>
      </w:r>
    </w:p>
    <w:p>
      <w:pPr>
        <w:adjustRightInd w:val="0"/>
        <w:snapToGrid w:val="0"/>
        <w:spacing w:line="360" w:lineRule="auto"/>
        <w:ind w:firstLineChars="200" w:firstLine="480"/>
        <w:rPr>
          <w:rFonts w:ascii="宋体" w:eastAsia="宋体" w:cs="宋体" w:hint="eastAsia"/>
          <w:sz w:val="24"/>
          <w:szCs w:val="24"/>
        </w:rPr>
      </w:pPr>
      <w:r>
        <w:rPr>
          <w:rFonts w:ascii="宋体" w:eastAsia="宋体" w:cs="宋体" w:hint="eastAsia"/>
          <w:sz w:val="24"/>
          <w:szCs w:val="24"/>
        </w:rPr>
        <w:t>（二）行业标准：</w:t>
      </w:r>
      <w:r>
        <w:rPr>
          <w:rFonts w:ascii="宋体" w:eastAsia="宋体" w:cs="宋体" w:hint="eastAsia"/>
          <w:sz w:val="24"/>
          <w:szCs w:val="24"/>
          <w:u w:val="single"/>
        </w:rPr>
        <w:t xml:space="preserve">    符合行业标准         </w:t>
      </w:r>
      <w:r>
        <w:rPr>
          <w:rFonts w:ascii="宋体" w:eastAsia="宋体" w:cs="宋体" w:hint="eastAsia"/>
          <w:sz w:val="24"/>
          <w:szCs w:val="24"/>
        </w:rPr>
        <w:t xml:space="preserve">                             </w:t>
      </w:r>
    </w:p>
    <w:p>
      <w:pPr>
        <w:adjustRightInd w:val="0"/>
        <w:snapToGrid w:val="0"/>
        <w:spacing w:line="360" w:lineRule="auto"/>
        <w:ind w:firstLineChars="200" w:firstLine="480"/>
        <w:rPr>
          <w:rFonts w:ascii="宋体" w:eastAsia="宋体" w:cs="宋体" w:hint="eastAsia"/>
          <w:sz w:val="24"/>
          <w:szCs w:val="24"/>
          <w:u w:val="single"/>
        </w:rPr>
      </w:pPr>
      <w:r>
        <w:rPr>
          <w:rFonts w:ascii="宋体" w:eastAsia="宋体" w:cs="宋体" w:hint="eastAsia"/>
          <w:sz w:val="24"/>
          <w:szCs w:val="24"/>
        </w:rPr>
        <w:t>（三） 样品标准：</w:t>
      </w:r>
      <w:r>
        <w:rPr>
          <w:rFonts w:ascii="宋体" w:eastAsia="宋体" w:cs="宋体" w:hint="eastAsia"/>
          <w:sz w:val="24"/>
          <w:szCs w:val="24"/>
          <w:u w:val="single"/>
        </w:rPr>
        <w:t xml:space="preserve"> (有/无) 乙方按甲方要求制作样品，该样品由甲乙双方封样，由甲方保存 </w:t>
      </w:r>
    </w:p>
    <w:p>
      <w:pPr>
        <w:adjustRightInd w:val="0"/>
        <w:snapToGrid w:val="0"/>
        <w:spacing w:line="360" w:lineRule="auto"/>
        <w:ind w:firstLineChars="200" w:firstLine="480"/>
        <w:rPr>
          <w:rFonts w:ascii="宋体" w:eastAsia="宋体" w:cs="宋体" w:hint="eastAsia"/>
          <w:sz w:val="24"/>
          <w:szCs w:val="24"/>
        </w:rPr>
      </w:pPr>
      <w:r>
        <w:rPr>
          <w:rFonts w:ascii="宋体" w:eastAsia="宋体" w:cs="宋体" w:hint="eastAsia"/>
          <w:sz w:val="24"/>
          <w:szCs w:val="24"/>
        </w:rPr>
        <w:t>（四）乙方应保证其提供的产品是全新的、未使用过的，采用的是最佳材料和一流工艺，并在各个方面符合合同规定的质量、规格和性能要求。提供的产品和投标文件一致。在规定的质量保证期内，乙方应对任何缺陷负责。除合同中另有规定外，出现上述情况乙方应在收到甲方通知后</w:t>
      </w:r>
      <w:r>
        <w:rPr>
          <w:rFonts w:ascii="宋体" w:eastAsia="宋体" w:cs="宋体" w:hint="eastAsia"/>
          <w:sz w:val="24"/>
          <w:szCs w:val="24"/>
          <w:u w:val="single"/>
        </w:rPr>
        <w:t>7</w:t>
      </w:r>
      <w:r>
        <w:rPr>
          <w:rFonts w:ascii="宋体" w:eastAsia="宋体" w:cs="宋体" w:hint="eastAsia"/>
          <w:sz w:val="24"/>
          <w:szCs w:val="24"/>
        </w:rPr>
        <w:t>天内，免费负责更换新的产品。对造成的损失甲方保留索赔的权利。</w:t>
      </w:r>
    </w:p>
    <w:p>
      <w:pPr>
        <w:adjustRightInd w:val="0"/>
        <w:snapToGrid w:val="0"/>
        <w:spacing w:line="360" w:lineRule="auto"/>
        <w:ind w:firstLineChars="200" w:firstLine="480"/>
        <w:rPr>
          <w:rFonts w:ascii="宋体" w:eastAsia="宋体" w:cs="宋体" w:hint="eastAsia"/>
          <w:sz w:val="24"/>
          <w:szCs w:val="24"/>
        </w:rPr>
      </w:pPr>
      <w:r>
        <w:rPr>
          <w:rFonts w:ascii="宋体" w:eastAsia="宋体" w:cs="宋体" w:hint="eastAsia"/>
          <w:sz w:val="24"/>
          <w:szCs w:val="24"/>
        </w:rPr>
        <w:t>（五）因乙方产品发生知识产权纠纷、质量问题导致的产品被监管部门没收、罚款或召回及因第三方主张民事权利等造成的甲方经济损失和相关费用均由乙方承担。</w:t>
      </w:r>
    </w:p>
    <w:p>
      <w:pPr>
        <w:adjustRightInd w:val="0"/>
        <w:snapToGrid w:val="0"/>
        <w:spacing w:line="360" w:lineRule="auto"/>
        <w:ind w:firstLineChars="200" w:firstLine="480"/>
        <w:rPr>
          <w:rFonts w:ascii="宋体" w:eastAsia="宋体" w:cs="宋体" w:hint="eastAsia"/>
          <w:sz w:val="24"/>
          <w:szCs w:val="24"/>
        </w:rPr>
      </w:pPr>
      <w:r>
        <w:rPr>
          <w:rFonts w:ascii="宋体" w:eastAsia="宋体" w:cs="宋体" w:hint="eastAsia"/>
          <w:sz w:val="24"/>
          <w:szCs w:val="24"/>
        </w:rPr>
        <w:t>三、包装方式及包装品处理</w:t>
      </w:r>
    </w:p>
    <w:p>
      <w:pPr>
        <w:adjustRightInd w:val="0"/>
        <w:snapToGrid w:val="0"/>
        <w:spacing w:line="360" w:lineRule="auto"/>
        <w:ind w:firstLineChars="200" w:firstLine="480"/>
        <w:rPr>
          <w:rFonts w:ascii="宋体" w:eastAsia="宋体" w:cs="宋体" w:hint="eastAsia"/>
          <w:sz w:val="24"/>
          <w:szCs w:val="24"/>
          <w:u w:val="single"/>
        </w:rPr>
      </w:pPr>
      <w:r>
        <w:rPr>
          <w:rFonts w:ascii="宋体" w:eastAsia="宋体" w:cs="宋体" w:hint="eastAsia"/>
          <w:sz w:val="24"/>
          <w:szCs w:val="24"/>
        </w:rPr>
        <w:t>（一）包装方式：</w:t>
      </w:r>
      <w:r>
        <w:rPr>
          <w:rFonts w:ascii="宋体" w:eastAsia="宋体" w:cs="宋体" w:hint="eastAsia"/>
          <w:sz w:val="24"/>
          <w:szCs w:val="24"/>
          <w:u w:val="single"/>
        </w:rPr>
        <w:t xml:space="preserve">     纸箱/木箱/泡沫                      </w:t>
      </w:r>
    </w:p>
    <w:p>
      <w:pPr>
        <w:adjustRightInd w:val="0"/>
        <w:snapToGrid w:val="0"/>
        <w:spacing w:line="360" w:lineRule="auto"/>
        <w:ind w:firstLineChars="200" w:firstLine="480"/>
        <w:rPr>
          <w:rFonts w:ascii="宋体" w:eastAsia="宋体" w:cs="宋体" w:hint="eastAsia"/>
          <w:sz w:val="24"/>
          <w:szCs w:val="24"/>
          <w:u w:val="single"/>
        </w:rPr>
      </w:pPr>
      <w:r>
        <w:rPr>
          <w:rFonts w:ascii="宋体" w:eastAsia="宋体" w:cs="宋体" w:hint="eastAsia"/>
          <w:sz w:val="24"/>
          <w:szCs w:val="24"/>
        </w:rPr>
        <w:t>（二）包装品处理：</w:t>
      </w:r>
      <w:r>
        <w:rPr>
          <w:rFonts w:ascii="宋体" w:eastAsia="宋体" w:cs="宋体" w:hint="eastAsia"/>
          <w:sz w:val="24"/>
          <w:szCs w:val="24"/>
          <w:u w:val="single"/>
        </w:rPr>
        <w:t xml:space="preserve">   由甲方指定处理                      </w:t>
      </w:r>
    </w:p>
    <w:p>
      <w:pPr>
        <w:numPr>
          <w:ilvl w:val="0"/>
          <w:numId w:val="13"/>
        </w:numPr>
        <w:adjustRightInd w:val="0"/>
        <w:snapToGrid w:val="0"/>
        <w:spacing w:line="360" w:lineRule="auto"/>
        <w:ind w:left="0" w:firstLineChars="200" w:firstLine="480"/>
        <w:rPr>
          <w:rFonts w:ascii="宋体" w:eastAsia="宋体" w:cs="宋体" w:hint="eastAsia"/>
          <w:sz w:val="24"/>
          <w:szCs w:val="24"/>
        </w:rPr>
      </w:pPr>
      <w:r>
        <w:rPr>
          <w:rFonts w:ascii="宋体" w:eastAsia="宋体" w:cs="宋体" w:hint="eastAsia"/>
          <w:sz w:val="24"/>
          <w:szCs w:val="24"/>
        </w:rPr>
        <w:t>交货方式</w:t>
      </w:r>
    </w:p>
    <w:p>
      <w:pPr>
        <w:numPr>
          <w:ilvl w:val="0"/>
          <w:numId w:val="14"/>
        </w:numPr>
        <w:adjustRightInd w:val="0"/>
        <w:snapToGrid w:val="0"/>
        <w:spacing w:line="360" w:lineRule="auto"/>
        <w:ind w:left="0" w:firstLineChars="200" w:firstLine="480"/>
        <w:rPr>
          <w:rFonts w:ascii="宋体" w:eastAsia="宋体" w:cs="宋体" w:hint="eastAsia"/>
          <w:sz w:val="24"/>
          <w:szCs w:val="24"/>
          <w:u w:val="single"/>
        </w:rPr>
      </w:pPr>
      <w:r>
        <w:rPr>
          <w:rFonts w:ascii="宋体" w:eastAsia="宋体" w:cs="宋体" w:hint="eastAsia"/>
          <w:sz w:val="24"/>
          <w:szCs w:val="24"/>
        </w:rPr>
        <w:t>交货期限：</w:t>
      </w:r>
      <w:r>
        <w:rPr>
          <w:rFonts w:ascii="宋体" w:eastAsia="宋体" w:cs="宋体" w:hint="eastAsia"/>
          <w:sz w:val="24"/>
          <w:szCs w:val="24"/>
          <w:u w:val="single"/>
        </w:rPr>
        <w:t xml:space="preserve">    国产物资自合同签订之日起   日完成交货，进口物资自合同签订之日起   日交货。  </w:t>
      </w:r>
    </w:p>
    <w:p>
      <w:pPr>
        <w:adjustRightInd w:val="0"/>
        <w:snapToGrid w:val="0"/>
        <w:spacing w:line="360" w:lineRule="auto"/>
        <w:ind w:firstLineChars="200" w:firstLine="480"/>
        <w:rPr>
          <w:rFonts w:ascii="宋体" w:eastAsia="宋体" w:cs="宋体" w:hint="eastAsia"/>
          <w:sz w:val="24"/>
          <w:szCs w:val="24"/>
          <w:u w:val="single"/>
        </w:rPr>
      </w:pPr>
      <w:r>
        <w:rPr>
          <w:rFonts w:ascii="宋体" w:eastAsia="宋体" w:cs="宋体" w:hint="eastAsia"/>
          <w:sz w:val="24"/>
          <w:szCs w:val="24"/>
        </w:rPr>
        <w:t xml:space="preserve">（二）交货地点： </w:t>
      </w:r>
      <w:r>
        <w:rPr>
          <w:rFonts w:ascii="宋体" w:eastAsia="宋体" w:cs="宋体" w:hint="eastAsia"/>
          <w:sz w:val="24"/>
          <w:szCs w:val="24"/>
          <w:u w:val="single"/>
        </w:rPr>
        <w:t xml:space="preserve">  甲方指定地点。 </w:t>
      </w:r>
    </w:p>
    <w:p>
      <w:pPr>
        <w:adjustRightInd w:val="0"/>
        <w:snapToGrid w:val="0"/>
        <w:spacing w:line="360" w:lineRule="auto"/>
        <w:ind w:firstLineChars="200" w:firstLine="480"/>
        <w:rPr>
          <w:rFonts w:ascii="宋体" w:eastAsia="宋体" w:cs="宋体" w:hint="eastAsia"/>
          <w:sz w:val="24"/>
          <w:szCs w:val="24"/>
          <w:u w:val="single"/>
        </w:rPr>
      </w:pPr>
      <w:r>
        <w:rPr>
          <w:rFonts w:ascii="宋体" w:eastAsia="宋体" w:cs="宋体" w:hint="eastAsia"/>
          <w:sz w:val="24"/>
          <w:szCs w:val="24"/>
        </w:rPr>
        <w:t>（三）运输方式：</w:t>
      </w:r>
      <w:r>
        <w:rPr>
          <w:rFonts w:ascii="宋体" w:eastAsia="宋体" w:cs="宋体" w:hint="eastAsia"/>
          <w:sz w:val="24"/>
          <w:szCs w:val="24"/>
          <w:u w:val="single"/>
        </w:rPr>
        <w:t xml:space="preserve">  乙方负责运输到甲方指定地点     </w:t>
      </w:r>
    </w:p>
    <w:p>
      <w:pPr>
        <w:adjustRightInd w:val="0"/>
        <w:snapToGrid w:val="0"/>
        <w:spacing w:line="360" w:lineRule="auto"/>
        <w:ind w:firstLineChars="200" w:firstLine="480"/>
        <w:rPr>
          <w:rFonts w:ascii="宋体" w:eastAsia="宋体" w:cs="宋体" w:hint="eastAsia"/>
          <w:sz w:val="24"/>
          <w:szCs w:val="24"/>
        </w:rPr>
      </w:pPr>
      <w:r>
        <w:rPr>
          <w:rFonts w:ascii="宋体" w:eastAsia="宋体" w:cs="宋体" w:hint="eastAsia"/>
          <w:sz w:val="24"/>
          <w:szCs w:val="24"/>
        </w:rPr>
        <w:t>根据国家相关部门规定，产品需特殊方式运输的，如冷链运输的，配送由具备冷链储存、运输条件乙方或乙方委托具备冷链储存、运输条件的企业负责配送。配送要符合新修改条例及各级卫生主管部门和食品药品监督管理部门的相关规定，遵守储存、运输管理规范，保证产品质量。产品储存、运输的全过程应当始终处于规定的温度环境，不得脱离冷链，每批货物需配备自动温度记录器，按要求做好全程温度记录，并能够现场读取。</w:t>
      </w:r>
    </w:p>
    <w:p>
      <w:pPr>
        <w:pStyle w:val="19"/>
        <w:adjustRightInd w:val="0"/>
        <w:snapToGrid w:val="0"/>
        <w:rPr>
          <w:rFonts w:ascii="宋体" w:eastAsia="宋体" w:cs="宋体" w:hint="eastAsia"/>
          <w:sz w:val="24"/>
          <w:szCs w:val="24"/>
        </w:rPr>
      </w:pPr>
      <w:r>
        <w:rPr>
          <w:rFonts w:ascii="宋体" w:eastAsia="宋体" w:cs="宋体" w:hint="eastAsia"/>
          <w:sz w:val="24"/>
          <w:szCs w:val="24"/>
        </w:rPr>
        <w:t>（四）风险承担：在乙方将产品交付甲方前标的物的毁损、灭失风险由乙方承担。甲方已付乙方的费用中已包含货物的保险费用，乙方应当按规定购买保险。除货物在交付甲方前的损失由乙方承担外，乙方仍应承担货物损失总额30%的违约金。</w:t>
      </w:r>
    </w:p>
    <w:p>
      <w:pPr>
        <w:numPr>
          <w:ilvl w:val="0"/>
          <w:numId w:val="13"/>
        </w:numPr>
        <w:adjustRightInd w:val="0"/>
        <w:snapToGrid w:val="0"/>
        <w:spacing w:line="360" w:lineRule="auto"/>
        <w:ind w:left="0" w:firstLineChars="200" w:firstLine="480"/>
        <w:rPr>
          <w:rFonts w:ascii="宋体" w:eastAsia="宋体" w:cs="宋体" w:hint="eastAsia"/>
          <w:sz w:val="24"/>
          <w:szCs w:val="24"/>
        </w:rPr>
      </w:pPr>
      <w:r>
        <w:rPr>
          <w:rFonts w:ascii="宋体" w:eastAsia="宋体" w:cs="宋体" w:hint="eastAsia"/>
          <w:sz w:val="24"/>
          <w:szCs w:val="24"/>
        </w:rPr>
        <w:t>验收</w:t>
      </w:r>
    </w:p>
    <w:p>
      <w:pPr>
        <w:adjustRightInd w:val="0"/>
        <w:snapToGrid w:val="0"/>
        <w:spacing w:line="360" w:lineRule="auto"/>
        <w:ind w:leftChars="200" w:left="420"/>
        <w:rPr>
          <w:rFonts w:ascii="宋体" w:eastAsia="宋体" w:cs="宋体" w:hint="eastAsia"/>
          <w:sz w:val="24"/>
          <w:szCs w:val="24"/>
          <w:u w:val="single"/>
        </w:rPr>
      </w:pPr>
      <w:r>
        <w:rPr>
          <w:rFonts w:ascii="宋体" w:eastAsia="宋体" w:cs="宋体" w:hint="eastAsia"/>
          <w:sz w:val="24"/>
          <w:szCs w:val="24"/>
        </w:rPr>
        <w:t xml:space="preserve"> （一）验收时间：</w:t>
      </w:r>
      <w:r>
        <w:rPr>
          <w:rFonts w:ascii="宋体" w:eastAsia="宋体" w:cs="宋体" w:hint="eastAsia"/>
          <w:sz w:val="24"/>
          <w:szCs w:val="24"/>
          <w:u w:val="single"/>
        </w:rPr>
        <w:t xml:space="preserve"> 货到现场验收 。   </w:t>
      </w:r>
    </w:p>
    <w:p>
      <w:pPr>
        <w:adjustRightInd w:val="0"/>
        <w:snapToGrid w:val="0"/>
        <w:spacing w:line="360" w:lineRule="auto"/>
        <w:ind w:firstLineChars="200" w:firstLine="480"/>
        <w:rPr>
          <w:rFonts w:ascii="宋体" w:eastAsia="宋体" w:cs="宋体" w:hint="eastAsia"/>
          <w:sz w:val="24"/>
          <w:szCs w:val="24"/>
        </w:rPr>
      </w:pPr>
      <w:r>
        <w:rPr>
          <w:rFonts w:ascii="宋体" w:eastAsia="宋体" w:cs="宋体" w:hint="eastAsia"/>
          <w:sz w:val="24"/>
          <w:szCs w:val="24"/>
        </w:rPr>
        <w:t>（二）验收方式：</w:t>
      </w:r>
    </w:p>
    <w:p>
      <w:pPr>
        <w:adjustRightInd w:val="0"/>
        <w:snapToGrid w:val="0"/>
        <w:spacing w:line="360" w:lineRule="auto"/>
        <w:ind w:firstLineChars="200" w:firstLine="480"/>
        <w:rPr>
          <w:rFonts w:ascii="宋体" w:eastAsia="宋体" w:cs="宋体" w:hint="eastAsia"/>
          <w:sz w:val="24"/>
          <w:szCs w:val="24"/>
        </w:rPr>
      </w:pPr>
      <w:r>
        <w:rPr>
          <w:rFonts w:ascii="宋体" w:eastAsia="宋体" w:cs="宋体" w:hint="eastAsia"/>
          <w:sz w:val="24"/>
          <w:szCs w:val="24"/>
        </w:rPr>
        <w:t>验收按照下列要求验收，如一项不合格，视同产品不合格：</w:t>
      </w:r>
    </w:p>
    <w:p>
      <w:pPr>
        <w:adjustRightInd w:val="0"/>
        <w:snapToGrid w:val="0"/>
        <w:spacing w:line="360" w:lineRule="auto"/>
        <w:ind w:firstLineChars="307" w:firstLine="737"/>
        <w:rPr>
          <w:rFonts w:ascii="宋体" w:eastAsia="宋体" w:cs="宋体" w:hint="eastAsia"/>
          <w:sz w:val="24"/>
          <w:szCs w:val="24"/>
        </w:rPr>
      </w:pPr>
      <w:r>
        <w:rPr>
          <w:rFonts w:ascii="宋体" w:eastAsia="宋体" w:cs="宋体" w:hint="eastAsia"/>
          <w:sz w:val="24"/>
          <w:szCs w:val="24"/>
        </w:rPr>
        <w:fldChar w:fldCharType="begin"/>
      </w:r>
      <w:r>
        <w:rPr>
          <w:rFonts w:ascii="宋体" w:eastAsia="宋体" w:cs="宋体" w:hint="eastAsia"/>
          <w:sz w:val="24"/>
          <w:szCs w:val="24"/>
        </w:rPr>
        <w:instrText xml:space="preserve"> = 1 \* GB2 </w:instrText>
      </w:r>
      <w:r>
        <w:rPr>
          <w:rFonts w:ascii="宋体" w:eastAsia="宋体" w:cs="宋体" w:hint="eastAsia"/>
          <w:sz w:val="24"/>
          <w:szCs w:val="24"/>
        </w:rPr>
        <w:fldChar w:fldCharType="separate"/>
      </w:r>
      <w:r>
        <w:rPr>
          <w:rFonts w:ascii="宋体" w:eastAsia="宋体" w:cs="宋体" w:hint="eastAsia"/>
          <w:sz w:val="24"/>
          <w:szCs w:val="24"/>
        </w:rPr>
        <w:t>⑴</w:t>
      </w:r>
      <w:r>
        <w:rPr>
          <w:rFonts w:ascii="宋体" w:eastAsia="宋体" w:cs="宋体" w:hint="eastAsia"/>
          <w:sz w:val="24"/>
          <w:szCs w:val="24"/>
        </w:rPr>
        <w:fldChar w:fldCharType="end"/>
      </w:r>
      <w:r>
        <w:rPr>
          <w:rFonts w:ascii="宋体" w:eastAsia="宋体" w:cs="宋体" w:hint="eastAsia"/>
          <w:sz w:val="24"/>
          <w:szCs w:val="24"/>
        </w:rPr>
        <w:t>资料验收：供方交货时应按合同规定的要求，提供相关的技术资料。</w:t>
      </w:r>
    </w:p>
    <w:p>
      <w:pPr>
        <w:adjustRightInd w:val="0"/>
        <w:snapToGrid w:val="0"/>
        <w:spacing w:line="360" w:lineRule="auto"/>
        <w:ind w:leftChars="100" w:left="210" w:firstLineChars="207" w:firstLine="497"/>
        <w:rPr>
          <w:rFonts w:ascii="宋体" w:eastAsia="宋体" w:cs="宋体" w:hint="eastAsia"/>
          <w:sz w:val="24"/>
          <w:szCs w:val="24"/>
        </w:rPr>
      </w:pPr>
      <w:r>
        <w:rPr>
          <w:rFonts w:ascii="宋体" w:eastAsia="宋体" w:cs="宋体" w:hint="eastAsia"/>
          <w:sz w:val="24"/>
          <w:szCs w:val="24"/>
        </w:rPr>
        <w:fldChar w:fldCharType="begin"/>
      </w:r>
      <w:r>
        <w:rPr>
          <w:rFonts w:ascii="宋体" w:eastAsia="宋体" w:cs="宋体" w:hint="eastAsia"/>
          <w:sz w:val="24"/>
          <w:szCs w:val="24"/>
        </w:rPr>
        <w:instrText xml:space="preserve"> = 2 \* GB2 </w:instrText>
      </w:r>
      <w:r>
        <w:rPr>
          <w:rFonts w:ascii="宋体" w:eastAsia="宋体" w:cs="宋体" w:hint="eastAsia"/>
          <w:sz w:val="24"/>
          <w:szCs w:val="24"/>
        </w:rPr>
        <w:fldChar w:fldCharType="separate"/>
      </w:r>
      <w:r>
        <w:rPr>
          <w:rFonts w:ascii="宋体" w:eastAsia="宋体" w:cs="宋体" w:hint="eastAsia"/>
          <w:sz w:val="24"/>
          <w:szCs w:val="24"/>
        </w:rPr>
        <w:t>⑵</w:t>
      </w:r>
      <w:r>
        <w:rPr>
          <w:rFonts w:ascii="宋体" w:eastAsia="宋体" w:cs="宋体" w:hint="eastAsia"/>
          <w:sz w:val="24"/>
          <w:szCs w:val="24"/>
        </w:rPr>
        <w:fldChar w:fldCharType="end"/>
      </w:r>
      <w:r>
        <w:rPr>
          <w:rFonts w:ascii="宋体" w:eastAsia="宋体" w:cs="宋体" w:hint="eastAsia"/>
          <w:sz w:val="24"/>
          <w:szCs w:val="24"/>
        </w:rPr>
        <w:t xml:space="preserve">实物验收：包括产品名称、数量、规格和包装等外观形态。质保期剩余期限不得低于该产品限定质保期的 </w:t>
      </w:r>
      <w:r>
        <w:rPr>
          <w:rFonts w:ascii="宋体" w:eastAsia="宋体" w:cs="宋体" w:hint="eastAsia"/>
          <w:sz w:val="24"/>
          <w:szCs w:val="24"/>
          <w:u w:val="single"/>
        </w:rPr>
        <w:t xml:space="preserve">（按招标文件及中标文件约定执行） </w:t>
      </w:r>
      <w:r>
        <w:rPr>
          <w:rFonts w:ascii="宋体" w:eastAsia="宋体" w:cs="宋体" w:hint="eastAsia"/>
          <w:sz w:val="24"/>
          <w:szCs w:val="24"/>
        </w:rPr>
        <w:t>。</w:t>
      </w:r>
    </w:p>
    <w:p>
      <w:pPr>
        <w:adjustRightInd w:val="0"/>
        <w:snapToGrid w:val="0"/>
        <w:spacing w:line="360" w:lineRule="auto"/>
        <w:ind w:firstLineChars="307" w:firstLine="737"/>
        <w:rPr>
          <w:rFonts w:ascii="宋体" w:eastAsia="宋体" w:cs="宋体" w:hint="eastAsia"/>
          <w:sz w:val="24"/>
          <w:szCs w:val="24"/>
        </w:rPr>
      </w:pPr>
      <w:r>
        <w:rPr>
          <w:rFonts w:ascii="宋体" w:eastAsia="宋体" w:cs="宋体" w:hint="eastAsia"/>
          <w:sz w:val="24"/>
          <w:szCs w:val="24"/>
        </w:rPr>
        <w:fldChar w:fldCharType="begin"/>
      </w:r>
      <w:r>
        <w:rPr>
          <w:rFonts w:ascii="宋体" w:eastAsia="宋体" w:cs="宋体" w:hint="eastAsia"/>
          <w:sz w:val="24"/>
          <w:szCs w:val="24"/>
        </w:rPr>
        <w:instrText xml:space="preserve"> = 3 \* GB2 </w:instrText>
      </w:r>
      <w:r>
        <w:rPr>
          <w:rFonts w:ascii="宋体" w:eastAsia="宋体" w:cs="宋体" w:hint="eastAsia"/>
          <w:sz w:val="24"/>
          <w:szCs w:val="24"/>
        </w:rPr>
        <w:fldChar w:fldCharType="separate"/>
      </w:r>
      <w:r>
        <w:rPr>
          <w:rFonts w:ascii="宋体" w:eastAsia="宋体" w:cs="宋体" w:hint="eastAsia"/>
          <w:sz w:val="24"/>
          <w:szCs w:val="24"/>
        </w:rPr>
        <w:t>⑶</w:t>
      </w:r>
      <w:r>
        <w:rPr>
          <w:rFonts w:ascii="宋体" w:eastAsia="宋体" w:cs="宋体" w:hint="eastAsia"/>
          <w:sz w:val="24"/>
          <w:szCs w:val="24"/>
        </w:rPr>
        <w:fldChar w:fldCharType="end"/>
      </w:r>
      <w:r>
        <w:rPr>
          <w:rFonts w:ascii="宋体" w:eastAsia="宋体" w:cs="宋体" w:hint="eastAsia"/>
          <w:sz w:val="24"/>
          <w:szCs w:val="24"/>
        </w:rPr>
        <w:t>产品质量抽检复核。</w:t>
      </w:r>
    </w:p>
    <w:p>
      <w:pPr>
        <w:adjustRightInd w:val="0"/>
        <w:snapToGrid w:val="0"/>
        <w:spacing w:line="360" w:lineRule="auto"/>
        <w:ind w:firstLineChars="300" w:firstLine="720"/>
        <w:rPr>
          <w:rFonts w:ascii="宋体" w:eastAsia="宋体" w:cs="宋体" w:hint="eastAsia"/>
          <w:sz w:val="24"/>
          <w:szCs w:val="24"/>
        </w:rPr>
      </w:pPr>
      <w:r>
        <w:rPr>
          <w:rFonts w:ascii="宋体" w:eastAsia="宋体" w:cs="宋体" w:hint="eastAsia"/>
          <w:sz w:val="24"/>
          <w:szCs w:val="24"/>
        </w:rPr>
        <w:t>(4)验收人员可以包括使用部门人员、财务部门人员、乙方人员、代理机构。</w:t>
      </w:r>
    </w:p>
    <w:p>
      <w:pPr>
        <w:adjustRightInd w:val="0"/>
        <w:snapToGrid w:val="0"/>
        <w:spacing w:line="360" w:lineRule="auto"/>
        <w:ind w:firstLineChars="200" w:firstLine="480"/>
        <w:rPr>
          <w:rFonts w:ascii="宋体" w:eastAsia="宋体" w:cs="宋体" w:hint="eastAsia"/>
          <w:sz w:val="24"/>
          <w:szCs w:val="24"/>
        </w:rPr>
      </w:pPr>
      <w:r>
        <w:rPr>
          <w:rFonts w:ascii="宋体" w:eastAsia="宋体" w:cs="宋体" w:hint="eastAsia"/>
          <w:sz w:val="24"/>
          <w:szCs w:val="24"/>
        </w:rPr>
        <w:t>（三）安装验收：</w:t>
      </w:r>
    </w:p>
    <w:p>
      <w:pPr>
        <w:adjustRightInd w:val="0"/>
        <w:snapToGrid w:val="0"/>
        <w:spacing w:line="360" w:lineRule="auto"/>
        <w:ind w:firstLineChars="200" w:firstLine="480"/>
        <w:rPr>
          <w:rFonts w:ascii="宋体" w:eastAsia="宋体" w:cs="宋体" w:hint="eastAsia"/>
          <w:sz w:val="24"/>
          <w:szCs w:val="24"/>
        </w:rPr>
      </w:pPr>
      <w:r>
        <w:rPr>
          <w:rFonts w:ascii="宋体" w:eastAsia="宋体" w:cs="宋体" w:hint="eastAsia"/>
          <w:sz w:val="24"/>
          <w:szCs w:val="24"/>
        </w:rPr>
        <w:t>产品如需安装验收，自设备正常运转</w:t>
      </w:r>
      <w:r>
        <w:rPr>
          <w:rFonts w:ascii="宋体" w:eastAsia="宋体" w:cs="宋体" w:hint="eastAsia"/>
          <w:sz w:val="24"/>
          <w:szCs w:val="24"/>
          <w:u w:val="single"/>
        </w:rPr>
        <w:t xml:space="preserve"> 7 </w:t>
      </w:r>
      <w:r>
        <w:rPr>
          <w:rFonts w:ascii="宋体" w:eastAsia="宋体" w:cs="宋体" w:hint="eastAsia"/>
          <w:sz w:val="24"/>
          <w:szCs w:val="24"/>
        </w:rPr>
        <w:t>天后，视为验收合格。</w:t>
      </w:r>
    </w:p>
    <w:p>
      <w:pPr>
        <w:adjustRightInd w:val="0"/>
        <w:snapToGrid w:val="0"/>
        <w:spacing w:line="360" w:lineRule="auto"/>
        <w:ind w:firstLineChars="200" w:firstLine="480"/>
        <w:rPr>
          <w:rFonts w:ascii="宋体" w:eastAsia="宋体" w:cs="宋体" w:hint="eastAsia"/>
          <w:sz w:val="24"/>
          <w:szCs w:val="24"/>
        </w:rPr>
      </w:pPr>
      <w:r>
        <w:rPr>
          <w:rFonts w:ascii="宋体" w:eastAsia="宋体" w:cs="宋体" w:hint="eastAsia"/>
          <w:sz w:val="24"/>
          <w:szCs w:val="24"/>
        </w:rPr>
        <w:t>（四）特殊产品（指疫苗等生物产品）乙方交货时，同时应当提供该批产品由药品检验机构依法签发的生物制品每批检验合格或者审核批准证明复印件，并加盖企业印章。销售进口产品的，还应当提供进口药品通关单复印件，并加盖企业印章。甲方在产品质量保证期内有权进行抽检复核，如发现产品质量问题，乙方应按照甲方要求及时予以退换。</w:t>
      </w:r>
    </w:p>
    <w:p>
      <w:pPr>
        <w:adjustRightInd w:val="0"/>
        <w:snapToGrid w:val="0"/>
        <w:spacing w:line="360" w:lineRule="auto"/>
        <w:rPr>
          <w:rFonts w:ascii="宋体" w:eastAsia="宋体" w:cs="宋体" w:hint="eastAsia"/>
          <w:sz w:val="24"/>
          <w:szCs w:val="24"/>
        </w:rPr>
      </w:pPr>
      <w:r>
        <w:rPr>
          <w:rFonts w:ascii="宋体" w:eastAsia="宋体" w:cs="宋体" w:hint="eastAsia"/>
          <w:sz w:val="24"/>
          <w:szCs w:val="24"/>
        </w:rPr>
        <w:t xml:space="preserve">      （五）质量争议：对产品质量发生争议由</w:t>
      </w:r>
      <w:r>
        <w:rPr>
          <w:rFonts w:ascii="宋体" w:eastAsia="宋体" w:cs="宋体" w:hint="eastAsia"/>
          <w:sz w:val="24"/>
          <w:szCs w:val="24"/>
          <w:u w:val="single"/>
        </w:rPr>
        <w:t xml:space="preserve"> 具有检验资质的第三方 </w:t>
      </w:r>
      <w:r>
        <w:rPr>
          <w:rFonts w:ascii="宋体" w:eastAsia="宋体" w:cs="宋体" w:hint="eastAsia"/>
          <w:sz w:val="24"/>
          <w:szCs w:val="24"/>
        </w:rPr>
        <w:t>检验机构进行检验，检验费由</w:t>
      </w:r>
      <w:r>
        <w:rPr>
          <w:rFonts w:ascii="宋体" w:eastAsia="宋体" w:cs="宋体" w:hint="eastAsia"/>
          <w:sz w:val="24"/>
          <w:szCs w:val="24"/>
          <w:u w:val="single"/>
        </w:rPr>
        <w:t>乙方</w:t>
      </w:r>
      <w:r>
        <w:rPr>
          <w:rFonts w:ascii="宋体" w:eastAsia="宋体" w:cs="宋体" w:hint="eastAsia"/>
          <w:sz w:val="24"/>
          <w:szCs w:val="24"/>
        </w:rPr>
        <w:t xml:space="preserve">承担。  </w:t>
      </w:r>
    </w:p>
    <w:p>
      <w:pPr>
        <w:adjustRightInd w:val="0"/>
        <w:snapToGrid w:val="0"/>
        <w:spacing w:line="360" w:lineRule="auto"/>
        <w:ind w:firstLineChars="300" w:firstLine="720"/>
        <w:rPr>
          <w:rFonts w:ascii="宋体" w:eastAsia="宋体" w:cs="宋体" w:hint="eastAsia"/>
          <w:sz w:val="24"/>
          <w:szCs w:val="24"/>
        </w:rPr>
      </w:pPr>
      <w:r>
        <w:rPr>
          <w:rFonts w:ascii="宋体" w:eastAsia="宋体" w:cs="宋体" w:hint="eastAsia"/>
          <w:sz w:val="24"/>
          <w:szCs w:val="24"/>
        </w:rPr>
        <w:t>（六）  乙方接到甲方对产品质量提出异议的通知后，3天内负责处理并通知甲方处理情况，否则即视为默认甲方提出的异议和处理意见。</w:t>
      </w:r>
    </w:p>
    <w:p>
      <w:pPr>
        <w:adjustRightInd w:val="0"/>
        <w:snapToGrid w:val="0"/>
        <w:spacing w:line="360" w:lineRule="auto"/>
        <w:ind w:firstLineChars="300" w:firstLine="720"/>
        <w:rPr>
          <w:rFonts w:ascii="宋体" w:eastAsia="宋体" w:cs="宋体" w:hint="eastAsia"/>
          <w:sz w:val="24"/>
          <w:szCs w:val="24"/>
        </w:rPr>
      </w:pPr>
      <w:r>
        <w:rPr>
          <w:rFonts w:ascii="宋体" w:eastAsia="宋体" w:cs="宋体" w:hint="eastAsia"/>
          <w:sz w:val="24"/>
          <w:szCs w:val="24"/>
        </w:rPr>
        <w:t xml:space="preserve">（七）甲方因使用、保管、保养不善等造成产品质量下降的，不得提出异议。 </w:t>
      </w:r>
    </w:p>
    <w:p>
      <w:pPr>
        <w:adjustRightInd w:val="0"/>
        <w:snapToGrid w:val="0"/>
        <w:spacing w:line="360" w:lineRule="auto"/>
        <w:ind w:firstLineChars="300" w:firstLine="720"/>
        <w:rPr>
          <w:rFonts w:ascii="宋体" w:eastAsia="宋体" w:cs="宋体" w:hint="eastAsia"/>
          <w:sz w:val="24"/>
          <w:szCs w:val="24"/>
        </w:rPr>
      </w:pPr>
      <w:r>
        <w:rPr>
          <w:rFonts w:ascii="宋体" w:eastAsia="宋体" w:cs="宋体" w:hint="eastAsia"/>
          <w:sz w:val="24"/>
          <w:szCs w:val="24"/>
        </w:rPr>
        <w:t xml:space="preserve">（八）货物符合合同约定的技术规范要求和验收标准的，甲方签署验收合格证明 。                    </w:t>
      </w:r>
    </w:p>
    <w:p>
      <w:pPr>
        <w:adjustRightInd w:val="0"/>
        <w:snapToGrid w:val="0"/>
        <w:spacing w:line="360" w:lineRule="auto"/>
        <w:ind w:firstLineChars="200" w:firstLine="480"/>
        <w:outlineLvl w:val="0"/>
        <w:rPr>
          <w:rFonts w:ascii="宋体" w:eastAsia="宋体" w:cs="宋体" w:hint="eastAsia"/>
          <w:kern w:val="0"/>
          <w:sz w:val="24"/>
          <w:szCs w:val="24"/>
        </w:rPr>
      </w:pPr>
      <w:r>
        <w:rPr>
          <w:rFonts w:ascii="宋体" w:eastAsia="宋体" w:cs="宋体" w:hint="eastAsia"/>
          <w:kern w:val="0"/>
          <w:sz w:val="24"/>
          <w:szCs w:val="24"/>
        </w:rPr>
        <w:t>六、款项支付</w:t>
      </w:r>
    </w:p>
    <w:p>
      <w:pPr>
        <w:adjustRightInd w:val="0"/>
        <w:snapToGrid w:val="0"/>
        <w:spacing w:line="360" w:lineRule="auto"/>
        <w:ind w:firstLineChars="150" w:firstLine="360"/>
        <w:rPr>
          <w:rFonts w:ascii="宋体" w:eastAsia="宋体" w:cs="宋体" w:hint="eastAsia"/>
          <w:sz w:val="24"/>
          <w:szCs w:val="24"/>
        </w:rPr>
      </w:pPr>
      <w:r>
        <w:rPr>
          <w:rFonts w:ascii="宋体" w:eastAsia="宋体" w:cs="宋体" w:hint="eastAsia"/>
          <w:sz w:val="24"/>
          <w:szCs w:val="24"/>
        </w:rPr>
        <w:t>（一）履约保证金</w:t>
      </w:r>
    </w:p>
    <w:p>
      <w:pPr>
        <w:adjustRightInd w:val="0"/>
        <w:snapToGrid w:val="0"/>
        <w:spacing w:line="360" w:lineRule="auto"/>
        <w:ind w:firstLineChars="150" w:firstLine="360"/>
        <w:rPr>
          <w:rFonts w:ascii="宋体" w:eastAsia="宋体" w:cs="宋体" w:hint="eastAsia"/>
          <w:sz w:val="24"/>
          <w:szCs w:val="24"/>
        </w:rPr>
      </w:pPr>
      <w:r>
        <w:rPr>
          <w:rFonts w:ascii="宋体" w:eastAsia="宋体" w:cs="宋体" w:hint="eastAsia"/>
          <w:sz w:val="24"/>
          <w:szCs w:val="24"/>
        </w:rPr>
        <w:t xml:space="preserve">   为保证乙方能够按合同履约，乙方应交付</w:t>
      </w:r>
      <w:r>
        <w:rPr>
          <w:rFonts w:ascii="宋体" w:eastAsia="宋体" w:cs="宋体"/>
          <w:sz w:val="24"/>
          <w:szCs w:val="24"/>
        </w:rPr>
        <w:t>1</w:t>
      </w:r>
      <w:r>
        <w:rPr>
          <w:rFonts w:ascii="宋体" w:eastAsia="宋体" w:cs="宋体" w:hint="eastAsia"/>
          <w:sz w:val="24"/>
          <w:szCs w:val="24"/>
        </w:rPr>
        <w:t>0%履约保证金</w:t>
      </w:r>
      <w:r>
        <w:rPr>
          <w:rFonts w:ascii="宋体" w:eastAsia="宋体" w:cs="宋体" w:hint="eastAsia"/>
          <w:sz w:val="24"/>
          <w:szCs w:val="24"/>
          <w:u w:val="single"/>
        </w:rPr>
        <w:t xml:space="preserve">           元。</w:t>
      </w:r>
      <w:r>
        <w:rPr>
          <w:rFonts w:ascii="宋体" w:eastAsia="宋体" w:cs="宋体" w:hint="eastAsia"/>
          <w:sz w:val="24"/>
          <w:szCs w:val="24"/>
        </w:rPr>
        <w:t>如物资为设备类，则该履约金自动转为质保金，保证金在质保期开始计算时，转为质保金，待质保期届满（无违约责任）后返还（无息）。如乙方有违约行为，甲方可用该保证金冲抵甲方的损失及乙方的违约金。</w:t>
      </w:r>
    </w:p>
    <w:p>
      <w:pPr>
        <w:adjustRightInd w:val="0"/>
        <w:snapToGrid w:val="0"/>
        <w:spacing w:line="360" w:lineRule="auto"/>
        <w:ind w:firstLineChars="150" w:firstLine="360"/>
        <w:rPr>
          <w:rFonts w:ascii="宋体" w:eastAsia="宋体" w:cs="宋体" w:hint="eastAsia"/>
          <w:sz w:val="24"/>
          <w:szCs w:val="24"/>
        </w:rPr>
      </w:pPr>
      <w:r>
        <w:rPr>
          <w:rFonts w:ascii="宋体" w:eastAsia="宋体" w:cs="宋体" w:hint="eastAsia"/>
          <w:sz w:val="24"/>
          <w:szCs w:val="24"/>
        </w:rPr>
        <w:t>（二）货款支付：</w:t>
      </w:r>
    </w:p>
    <w:p>
      <w:pPr>
        <w:adjustRightInd w:val="0"/>
        <w:snapToGrid w:val="0"/>
        <w:spacing w:line="360" w:lineRule="auto"/>
        <w:ind w:firstLineChars="150" w:firstLine="360"/>
        <w:rPr>
          <w:rFonts w:ascii="宋体" w:eastAsia="宋体" w:cs="宋体" w:hint="eastAsia"/>
          <w:sz w:val="24"/>
          <w:szCs w:val="24"/>
        </w:rPr>
      </w:pPr>
      <w:r>
        <w:rPr>
          <w:rFonts w:ascii="宋体" w:eastAsia="宋体" w:cs="宋体" w:hint="eastAsia"/>
          <w:sz w:val="24"/>
          <w:szCs w:val="24"/>
        </w:rPr>
        <w:t>合同总价包含到达交货地点的运杂费、技术服务（相关技术指导）、运输费、保险费、培训、税费及其他各项费用(本合同按</w:t>
      </w:r>
      <w:r>
        <w:rPr>
          <w:rFonts w:ascii="宋体" w:eastAsia="宋体" w:cs="宋体" w:hint="eastAsia"/>
          <w:sz w:val="24"/>
          <w:szCs w:val="24"/>
          <w:u w:val="single"/>
        </w:rPr>
        <w:t xml:space="preserve">                执行</w:t>
      </w:r>
      <w:r>
        <w:rPr>
          <w:rFonts w:ascii="宋体" w:eastAsia="宋体" w:cs="宋体" w:hint="eastAsia"/>
          <w:sz w:val="24"/>
          <w:szCs w:val="24"/>
        </w:rPr>
        <w:t>)。</w:t>
      </w:r>
    </w:p>
    <w:p>
      <w:pPr>
        <w:numPr>
          <w:ilvl w:val="0"/>
          <w:numId w:val="15"/>
        </w:numPr>
        <w:adjustRightInd w:val="0"/>
        <w:snapToGrid w:val="0"/>
        <w:spacing w:line="360" w:lineRule="auto"/>
        <w:ind w:left="0" w:firstLineChars="150" w:firstLine="360"/>
        <w:rPr>
          <w:rFonts w:ascii="宋体" w:eastAsia="宋体" w:cs="宋体" w:hint="eastAsia"/>
          <w:sz w:val="24"/>
          <w:szCs w:val="24"/>
        </w:rPr>
      </w:pPr>
      <w:r>
        <w:rPr>
          <w:rFonts w:ascii="宋体" w:eastAsia="宋体" w:cs="宋体" w:hint="eastAsia"/>
          <w:sz w:val="24"/>
          <w:szCs w:val="24"/>
        </w:rPr>
        <w:t>双方约定，合同签订后，乙方向甲方交纳</w:t>
      </w:r>
      <w:r>
        <w:rPr>
          <w:rFonts w:ascii="宋体" w:eastAsia="宋体" w:cs="宋体"/>
          <w:sz w:val="24"/>
          <w:szCs w:val="24"/>
        </w:rPr>
        <w:t>1</w:t>
      </w:r>
      <w:r>
        <w:rPr>
          <w:rFonts w:ascii="宋体" w:eastAsia="宋体" w:cs="宋体" w:hint="eastAsia"/>
          <w:sz w:val="24"/>
          <w:szCs w:val="24"/>
        </w:rPr>
        <w:t>0%履约金</w:t>
      </w:r>
      <w:r>
        <w:rPr>
          <w:rFonts w:ascii="宋体" w:eastAsia="宋体" w:cs="宋体" w:hint="eastAsia"/>
          <w:sz w:val="24"/>
          <w:szCs w:val="24"/>
          <w:u w:val="single"/>
        </w:rPr>
        <w:t xml:space="preserve">           元</w:t>
      </w:r>
      <w:r>
        <w:rPr>
          <w:rFonts w:ascii="宋体" w:eastAsia="宋体" w:cs="宋体" w:hint="eastAsia"/>
          <w:sz w:val="24"/>
          <w:szCs w:val="24"/>
        </w:rPr>
        <w:t>，并向甲方开具合同全额发票，甲方收到履约金和全额发票后向乙方支付全额货款。</w:t>
      </w:r>
    </w:p>
    <w:p>
      <w:pPr>
        <w:numPr>
          <w:ilvl w:val="0"/>
          <w:numId w:val="15"/>
        </w:numPr>
        <w:adjustRightInd w:val="0"/>
        <w:snapToGrid w:val="0"/>
        <w:spacing w:line="360" w:lineRule="auto"/>
        <w:ind w:left="0" w:firstLineChars="150" w:firstLine="360"/>
        <w:rPr>
          <w:rFonts w:ascii="宋体" w:eastAsia="宋体" w:cs="宋体" w:hint="eastAsia"/>
          <w:sz w:val="24"/>
          <w:szCs w:val="24"/>
        </w:rPr>
      </w:pPr>
      <w:r>
        <w:rPr>
          <w:rFonts w:ascii="宋体" w:eastAsia="宋体" w:cs="宋体" w:hint="eastAsia"/>
          <w:sz w:val="24"/>
          <w:szCs w:val="24"/>
        </w:rPr>
        <w:t>乙方按照甲方需求分批次供货，待所有货物验收合格后，甲方向乙方无息退款</w:t>
      </w:r>
      <w:r>
        <w:rPr>
          <w:rFonts w:ascii="宋体" w:eastAsia="宋体" w:cs="宋体"/>
          <w:sz w:val="24"/>
          <w:szCs w:val="24"/>
        </w:rPr>
        <w:t>1</w:t>
      </w:r>
      <w:r>
        <w:rPr>
          <w:rFonts w:ascii="宋体" w:cs="宋体" w:hint="eastAsia"/>
          <w:color w:val="FF0000"/>
          <w:sz w:val="24"/>
          <w:szCs w:val="24"/>
          <w:lang w:val="en-US" w:eastAsia="zh-CN"/>
          <w:highlight w:val="auto"/>
        </w:rPr>
        <w:t>0%</w:t>
      </w:r>
      <w:r>
        <w:rPr>
          <w:rFonts w:ascii="宋体" w:eastAsia="宋体" w:cs="宋体" w:hint="eastAsia"/>
          <w:sz w:val="24"/>
          <w:szCs w:val="24"/>
        </w:rPr>
        <w:t>履约保证金</w:t>
      </w:r>
      <w:r>
        <w:rPr>
          <w:rFonts w:ascii="宋体" w:eastAsia="宋体" w:cs="宋体" w:hint="eastAsia"/>
          <w:sz w:val="24"/>
          <w:szCs w:val="24"/>
          <w:u w:val="single"/>
        </w:rPr>
        <w:t xml:space="preserve">       元        </w:t>
      </w:r>
    </w:p>
    <w:p>
      <w:pPr>
        <w:adjustRightInd w:val="0"/>
        <w:snapToGrid w:val="0"/>
        <w:spacing w:line="360" w:lineRule="auto"/>
        <w:ind w:firstLineChars="150" w:firstLine="360"/>
        <w:rPr>
          <w:rFonts w:ascii="宋体" w:eastAsia="宋体" w:cs="宋体" w:hint="eastAsia"/>
          <w:kern w:val="0"/>
          <w:sz w:val="24"/>
          <w:szCs w:val="24"/>
        </w:rPr>
      </w:pPr>
      <w:r>
        <w:rPr>
          <w:rFonts w:ascii="宋体" w:eastAsia="宋体" w:cs="宋体" w:hint="eastAsia"/>
          <w:sz w:val="24"/>
          <w:szCs w:val="24"/>
        </w:rPr>
        <w:t>（5）</w:t>
      </w:r>
      <w:r>
        <w:rPr>
          <w:rFonts w:ascii="宋体" w:eastAsia="宋体" w:cs="宋体" w:hint="eastAsia"/>
          <w:kern w:val="0"/>
          <w:sz w:val="24"/>
          <w:szCs w:val="24"/>
        </w:rPr>
        <w:t>付款要求：甲方财务凭下列单据支付货款（按甲乙各方的义务提交）：</w:t>
      </w:r>
    </w:p>
    <w:p>
      <w:pPr>
        <w:widowControl/>
        <w:shd w:val="clear" w:color="auto" w:fill="FFFFFF"/>
        <w:adjustRightInd w:val="0"/>
        <w:snapToGrid w:val="0"/>
        <w:spacing w:line="360" w:lineRule="auto"/>
        <w:jc w:val="left"/>
        <w:rPr>
          <w:rFonts w:ascii="宋体" w:cs="宋体" w:hint="eastAsia"/>
          <w:kern w:val="0"/>
          <w:sz w:val="24"/>
          <w:szCs w:val="24"/>
          <w:lang w:eastAsia="zh-CN"/>
        </w:rPr>
      </w:pPr>
      <w:r>
        <w:rPr>
          <w:rFonts w:ascii="宋体" w:eastAsia="宋体" w:cs="宋体" w:hint="eastAsia"/>
          <w:kern w:val="0"/>
          <w:sz w:val="24"/>
          <w:szCs w:val="24"/>
        </w:rPr>
        <w:t>（a）全额发票（原件及复印件各1份）；（b）中标通知书复印件（1份）（c）</w:t>
      </w:r>
      <w:r>
        <w:rPr>
          <w:rFonts w:ascii="宋体" w:cs="宋体" w:hint="eastAsia"/>
          <w:kern w:val="0"/>
          <w:sz w:val="24"/>
          <w:szCs w:val="24"/>
          <w:lang w:eastAsia="zh-CN"/>
          <w:highlight w:val="auto"/>
        </w:rPr>
        <w:t>新疆自治区药品检验研究院出入库单</w:t>
      </w:r>
      <w:r>
        <w:rPr>
          <w:rFonts w:ascii="宋体" w:eastAsia="宋体" w:cs="宋体" w:hint="eastAsia"/>
          <w:kern w:val="0"/>
          <w:sz w:val="24"/>
          <w:szCs w:val="24"/>
        </w:rPr>
        <w:t>；（d）乙方供货清单（盖章） ； （e）</w:t>
      </w:r>
      <w:r>
        <w:rPr>
          <w:rFonts w:ascii="宋体" w:cs="宋体" w:hint="eastAsia"/>
          <w:kern w:val="0"/>
          <w:sz w:val="24"/>
          <w:szCs w:val="24"/>
          <w:lang w:eastAsia="zh-CN"/>
        </w:rPr>
        <w:t>合同</w:t>
      </w:r>
    </w:p>
    <w:p>
      <w:pPr>
        <w:widowControl/>
        <w:shd w:val="clear" w:color="auto" w:fill="FFFFFF"/>
        <w:adjustRightInd w:val="0"/>
        <w:snapToGrid w:val="0"/>
        <w:spacing w:line="360" w:lineRule="auto"/>
        <w:jc w:val="left"/>
        <w:rPr>
          <w:rFonts w:ascii="宋体" w:eastAsia="宋体" w:cs="宋体" w:hint="eastAsia"/>
          <w:kern w:val="0"/>
          <w:sz w:val="24"/>
          <w:szCs w:val="24"/>
        </w:rPr>
      </w:pPr>
      <w:r>
        <w:rPr>
          <w:rFonts w:ascii="宋体" w:eastAsia="宋体" w:cs="宋体" w:hint="eastAsia"/>
          <w:kern w:val="0"/>
          <w:sz w:val="24"/>
          <w:szCs w:val="24"/>
        </w:rPr>
        <w:t>因乙方提交单据不全导致甲方财务未能付款的，甲方不承担逾期付款责任。</w:t>
      </w:r>
    </w:p>
    <w:p>
      <w:pPr>
        <w:widowControl/>
        <w:shd w:val="clear" w:color="auto" w:fill="FFFFFF"/>
        <w:adjustRightInd w:val="0"/>
        <w:snapToGrid w:val="0"/>
        <w:spacing w:line="360" w:lineRule="auto"/>
        <w:jc w:val="left"/>
        <w:rPr>
          <w:rFonts w:ascii="宋体" w:eastAsia="宋体" w:cs="宋体" w:hint="eastAsia"/>
          <w:kern w:val="0"/>
          <w:sz w:val="24"/>
          <w:szCs w:val="24"/>
        </w:rPr>
      </w:pPr>
      <w:r>
        <w:rPr>
          <w:rFonts w:ascii="宋体" w:eastAsia="宋体" w:cs="宋体" w:hint="eastAsia"/>
          <w:kern w:val="0"/>
          <w:sz w:val="24"/>
          <w:szCs w:val="24"/>
        </w:rPr>
        <w:t xml:space="preserve">   （三）付款信息:</w:t>
      </w:r>
    </w:p>
    <w:p>
      <w:pPr>
        <w:adjustRightInd w:val="0"/>
        <w:snapToGrid w:val="0"/>
        <w:spacing w:line="360" w:lineRule="auto"/>
        <w:ind w:firstLineChars="200" w:firstLine="480"/>
        <w:rPr>
          <w:rFonts w:ascii="宋体" w:eastAsia="宋体" w:cs="宋体" w:hint="eastAsia"/>
          <w:sz w:val="24"/>
          <w:szCs w:val="24"/>
        </w:rPr>
      </w:pPr>
      <w:r>
        <w:rPr>
          <w:rFonts w:ascii="宋体" w:eastAsia="宋体" w:cs="宋体" w:hint="eastAsia"/>
          <w:kern w:val="0"/>
          <w:sz w:val="24"/>
          <w:szCs w:val="24"/>
        </w:rPr>
        <w:t>甲方：</w:t>
      </w:r>
      <w:r>
        <w:rPr>
          <w:rFonts w:ascii="宋体" w:eastAsia="宋体" w:cs="宋体" w:hint="eastAsia"/>
          <w:kern w:val="0"/>
          <w:sz w:val="24"/>
          <w:szCs w:val="24"/>
          <w:lang w:val="en-US" w:eastAsia="zh-CN"/>
        </w:rPr>
        <w:t xml:space="preserve"> </w:t>
      </w:r>
      <w:r>
        <w:rPr>
          <w:rFonts w:ascii="宋体" w:eastAsia="宋体" w:cs="宋体" w:hint="eastAsia"/>
          <w:sz w:val="24"/>
          <w:szCs w:val="24"/>
        </w:rPr>
        <w:t xml:space="preserve">税号：                  乙方：税号：           </w:t>
      </w:r>
    </w:p>
    <w:p>
      <w:pPr>
        <w:adjustRightInd w:val="0"/>
        <w:snapToGrid w:val="0"/>
        <w:spacing w:line="360" w:lineRule="exact"/>
        <w:ind w:firstLineChars="250" w:firstLine="600"/>
        <w:rPr>
          <w:rFonts w:ascii="宋体" w:eastAsia="宋体" w:cs="宋体" w:hint="eastAsia"/>
          <w:sz w:val="24"/>
          <w:szCs w:val="24"/>
        </w:rPr>
      </w:pPr>
      <w:r>
        <w:rPr>
          <w:rFonts w:ascii="宋体" w:eastAsia="宋体" w:cs="宋体" w:hint="eastAsia"/>
          <w:sz w:val="24"/>
          <w:szCs w:val="24"/>
        </w:rPr>
        <w:t xml:space="preserve">开 户 行：     </w:t>
      </w:r>
      <w:r>
        <w:rPr>
          <w:rFonts w:ascii="宋体" w:eastAsia="宋体" w:cs="宋体" w:hint="eastAsia"/>
          <w:sz w:val="24"/>
          <w:szCs w:val="24"/>
          <w:lang w:val="en-US" w:eastAsia="zh-CN"/>
        </w:rPr>
        <w:t xml:space="preserve">              </w:t>
      </w:r>
      <w:r>
        <w:rPr>
          <w:rFonts w:ascii="宋体" w:eastAsia="宋体" w:cs="宋体" w:hint="eastAsia"/>
          <w:sz w:val="24"/>
          <w:szCs w:val="24"/>
        </w:rPr>
        <w:t xml:space="preserve"> 开 户 行：</w:t>
      </w:r>
    </w:p>
    <w:p>
      <w:pPr>
        <w:tabs>
          <w:tab w:val="center" w:pos="5070"/>
        </w:tabs>
        <w:adjustRightInd w:val="0"/>
        <w:snapToGrid w:val="0"/>
        <w:spacing w:line="360" w:lineRule="exact"/>
        <w:ind w:firstLineChars="250" w:firstLine="600"/>
        <w:rPr>
          <w:rFonts w:ascii="宋体" w:eastAsia="宋体" w:cs="宋体" w:hint="eastAsia"/>
          <w:sz w:val="24"/>
          <w:szCs w:val="24"/>
        </w:rPr>
      </w:pPr>
      <w:r>
        <w:rPr>
          <w:rFonts w:ascii="宋体" w:eastAsia="宋体" w:cs="宋体" w:hint="eastAsia"/>
          <w:sz w:val="24"/>
          <w:szCs w:val="24"/>
        </w:rPr>
        <w:t xml:space="preserve">开户行号：              </w:t>
      </w:r>
      <w:r>
        <w:rPr>
          <w:rFonts w:ascii="宋体" w:eastAsia="宋体" w:cs="宋体" w:hint="eastAsia"/>
          <w:sz w:val="24"/>
          <w:szCs w:val="24"/>
          <w:lang w:val="en-US" w:eastAsia="zh-CN"/>
        </w:rPr>
        <w:t xml:space="preserve">     </w:t>
      </w:r>
      <w:r>
        <w:rPr>
          <w:rFonts w:ascii="宋体" w:eastAsia="宋体" w:cs="宋体" w:hint="eastAsia"/>
          <w:sz w:val="24"/>
          <w:szCs w:val="24"/>
        </w:rPr>
        <w:t xml:space="preserve"> 开户行号：</w:t>
      </w:r>
    </w:p>
    <w:p>
      <w:pPr>
        <w:widowControl/>
        <w:shd w:val="clear" w:color="auto" w:fill="FFFFFF"/>
        <w:adjustRightInd w:val="0"/>
        <w:snapToGrid w:val="0"/>
        <w:spacing w:line="360" w:lineRule="auto"/>
        <w:ind w:firstLineChars="200" w:firstLine="480"/>
        <w:jc w:val="left"/>
        <w:rPr>
          <w:rFonts w:ascii="宋体" w:eastAsia="宋体" w:cs="宋体" w:hint="eastAsia"/>
          <w:kern w:val="0"/>
          <w:sz w:val="24"/>
          <w:szCs w:val="24"/>
        </w:rPr>
      </w:pPr>
      <w:r>
        <w:rPr>
          <w:rFonts w:ascii="宋体" w:eastAsia="宋体" w:cs="宋体" w:hint="eastAsia"/>
          <w:sz w:val="24"/>
          <w:szCs w:val="24"/>
        </w:rPr>
        <w:t xml:space="preserve"> 帐   号:                </w:t>
      </w:r>
      <w:r>
        <w:rPr>
          <w:rFonts w:ascii="宋体" w:eastAsia="宋体" w:cs="宋体" w:hint="eastAsia"/>
          <w:sz w:val="24"/>
          <w:szCs w:val="24"/>
          <w:lang w:val="en-US" w:eastAsia="zh-CN"/>
        </w:rPr>
        <w:t xml:space="preserve">   </w:t>
      </w:r>
      <w:r>
        <w:rPr>
          <w:rFonts w:ascii="宋体" w:eastAsia="宋体" w:cs="宋体" w:hint="eastAsia"/>
          <w:sz w:val="24"/>
          <w:szCs w:val="24"/>
        </w:rPr>
        <w:t xml:space="preserve">    帐   号：   </w:t>
      </w:r>
    </w:p>
    <w:p>
      <w:pPr>
        <w:adjustRightInd w:val="0"/>
        <w:snapToGrid w:val="0"/>
        <w:spacing w:line="360" w:lineRule="auto"/>
        <w:rPr>
          <w:rFonts w:ascii="宋体" w:eastAsia="宋体" w:cs="宋体" w:hint="eastAsia"/>
          <w:sz w:val="24"/>
          <w:szCs w:val="24"/>
        </w:rPr>
      </w:pPr>
      <w:r>
        <w:rPr>
          <w:rFonts w:ascii="宋体" w:eastAsia="宋体" w:cs="宋体" w:hint="eastAsia"/>
          <w:sz w:val="24"/>
          <w:szCs w:val="24"/>
        </w:rPr>
        <w:t>七、延期交货与核定损失额</w:t>
      </w:r>
    </w:p>
    <w:p>
      <w:pPr>
        <w:adjustRightInd w:val="0"/>
        <w:snapToGrid w:val="0"/>
        <w:spacing w:line="360" w:lineRule="auto"/>
        <w:ind w:firstLineChars="200" w:firstLine="480"/>
        <w:rPr>
          <w:rFonts w:ascii="宋体" w:eastAsia="宋体" w:cs="宋体" w:hint="eastAsia"/>
          <w:sz w:val="24"/>
          <w:szCs w:val="24"/>
        </w:rPr>
      </w:pPr>
      <w:r>
        <w:rPr>
          <w:rFonts w:ascii="宋体" w:eastAsia="宋体" w:cs="宋体" w:hint="eastAsia"/>
          <w:sz w:val="24"/>
          <w:szCs w:val="24"/>
        </w:rPr>
        <w:t>如果乙方未能按合同规定的时间按期交货(不可抗力除外)，在乙方同意支付核定损失额的条件下，甲方可适当延长交货期。核定损失额的支付将从未付款或从履约保证金中扣除。核定损失额计付比率为每迟交1天，按货物全额的</w:t>
      </w:r>
      <w:r>
        <w:rPr>
          <w:rFonts w:ascii="宋体" w:eastAsia="宋体" w:cs="宋体" w:hint="eastAsia"/>
          <w:sz w:val="24"/>
          <w:szCs w:val="24"/>
          <w:u w:val="single"/>
        </w:rPr>
        <w:t xml:space="preserve"> 1 %</w:t>
      </w:r>
      <w:r>
        <w:rPr>
          <w:rFonts w:ascii="宋体" w:eastAsia="宋体" w:cs="宋体" w:hint="eastAsia"/>
          <w:sz w:val="24"/>
          <w:szCs w:val="24"/>
        </w:rPr>
        <w:t xml:space="preserve">。如果乙方 </w:t>
      </w:r>
      <w:r>
        <w:rPr>
          <w:rFonts w:ascii="宋体" w:eastAsia="宋体" w:cs="宋体" w:hint="eastAsia"/>
          <w:sz w:val="24"/>
          <w:szCs w:val="24"/>
          <w:u w:val="single"/>
        </w:rPr>
        <w:t>7</w:t>
      </w:r>
      <w:r>
        <w:rPr>
          <w:rFonts w:ascii="宋体" w:eastAsia="宋体" w:cs="宋体" w:hint="eastAsia"/>
          <w:sz w:val="24"/>
          <w:szCs w:val="24"/>
        </w:rPr>
        <w:t>天后仍不能交货，甲方有权因乙方违约终止合同，而乙方仍有义务支付上述迟交核定损失金额。</w:t>
      </w:r>
    </w:p>
    <w:p>
      <w:pPr>
        <w:adjustRightInd w:val="0"/>
        <w:snapToGrid w:val="0"/>
        <w:spacing w:line="360" w:lineRule="auto"/>
        <w:ind w:firstLineChars="200" w:firstLine="480"/>
        <w:rPr>
          <w:rFonts w:ascii="宋体" w:eastAsia="宋体" w:cs="宋体" w:hint="eastAsia"/>
          <w:sz w:val="24"/>
          <w:szCs w:val="24"/>
        </w:rPr>
      </w:pPr>
      <w:r>
        <w:rPr>
          <w:rFonts w:ascii="宋体" w:eastAsia="宋体" w:cs="宋体" w:hint="eastAsia"/>
          <w:sz w:val="24"/>
          <w:szCs w:val="24"/>
        </w:rPr>
        <w:t>八、保密</w:t>
      </w:r>
    </w:p>
    <w:p>
      <w:pPr>
        <w:adjustRightInd w:val="0"/>
        <w:snapToGrid w:val="0"/>
        <w:spacing w:line="360" w:lineRule="auto"/>
        <w:ind w:firstLineChars="200" w:firstLine="480"/>
        <w:rPr>
          <w:rFonts w:ascii="宋体" w:eastAsia="宋体" w:cs="宋体" w:hint="eastAsia"/>
          <w:sz w:val="24"/>
          <w:szCs w:val="24"/>
        </w:rPr>
      </w:pPr>
      <w:r>
        <w:rPr>
          <w:rFonts w:ascii="宋体" w:eastAsia="宋体" w:cs="宋体" w:hint="eastAsia"/>
          <w:sz w:val="24"/>
          <w:szCs w:val="24"/>
        </w:rPr>
        <w:t>双方保证对从另一方取得且无法自公开渠道获得的商业秘密（技术信息、经济信息及其他商业秘密）予以保密。未经对方同意不得向任何第三方泄露该商业秘密。</w:t>
      </w:r>
    </w:p>
    <w:p>
      <w:pPr>
        <w:adjustRightInd w:val="0"/>
        <w:snapToGrid w:val="0"/>
        <w:spacing w:line="360" w:lineRule="auto"/>
        <w:ind w:firstLineChars="200" w:firstLine="480"/>
        <w:rPr>
          <w:rFonts w:ascii="宋体" w:eastAsia="宋体" w:cs="宋体" w:hint="eastAsia"/>
          <w:color w:val="auto"/>
          <w:sz w:val="24"/>
          <w:szCs w:val="24"/>
          <w:highlight w:val="auto"/>
        </w:rPr>
      </w:pPr>
      <w:r>
        <w:rPr>
          <w:rFonts w:ascii="宋体" w:eastAsia="宋体" w:cs="宋体" w:hint="eastAsia"/>
          <w:color w:val="auto"/>
          <w:sz w:val="24"/>
          <w:szCs w:val="24"/>
          <w:highlight w:val="auto"/>
        </w:rPr>
        <w:t>九、保修与售后服务</w:t>
      </w:r>
    </w:p>
    <w:p>
      <w:pPr>
        <w:adjustRightInd w:val="0"/>
        <w:snapToGrid w:val="0"/>
        <w:spacing w:line="360" w:lineRule="auto"/>
        <w:ind w:firstLineChars="200" w:firstLine="480"/>
        <w:rPr>
          <w:rFonts w:ascii="宋体" w:eastAsia="宋体" w:cs="宋体" w:hint="eastAsia"/>
          <w:color w:val="auto"/>
          <w:sz w:val="24"/>
          <w:szCs w:val="24"/>
          <w:highlight w:val="auto"/>
        </w:rPr>
      </w:pPr>
      <w:r>
        <w:rPr>
          <w:rFonts w:ascii="宋体" w:eastAsia="宋体" w:cs="宋体" w:hint="eastAsia"/>
          <w:color w:val="auto"/>
          <w:sz w:val="24"/>
          <w:szCs w:val="24"/>
          <w:highlight w:val="auto"/>
        </w:rPr>
        <w:t>（一）、</w:t>
      </w:r>
      <w:r>
        <w:rPr>
          <w:rFonts w:ascii="宋体" w:cs="宋体" w:hint="eastAsia"/>
          <w:color w:val="auto"/>
          <w:sz w:val="24"/>
          <w:szCs w:val="24"/>
          <w:lang w:val="en-US" w:eastAsia="zh-CN"/>
          <w:highlight w:val="auto"/>
        </w:rPr>
        <w:t>质保期</w:t>
      </w:r>
      <w:r>
        <w:rPr>
          <w:rFonts w:ascii="宋体" w:eastAsia="宋体" w:cs="宋体" w:hint="eastAsia"/>
          <w:color w:val="auto"/>
          <w:sz w:val="24"/>
          <w:szCs w:val="24"/>
          <w:highlight w:val="auto"/>
        </w:rPr>
        <w:t>保证2023年12月31日之前有效， 自产品最终验收合格之日起至质保期届满且经甲方确认无任何质量问题时止。在质保期内因产品质量造成产品不能正常使用，影响不能正常工作时间从质保期扣除。</w:t>
      </w:r>
    </w:p>
    <w:p>
      <w:pPr>
        <w:adjustRightInd w:val="0"/>
        <w:snapToGrid w:val="0"/>
        <w:spacing w:line="360" w:lineRule="auto"/>
        <w:ind w:firstLineChars="200" w:firstLine="480"/>
        <w:rPr>
          <w:rFonts w:ascii="宋体" w:eastAsia="宋体" w:cs="宋体" w:hint="eastAsia"/>
          <w:color w:val="auto"/>
          <w:sz w:val="24"/>
          <w:szCs w:val="24"/>
          <w:highlight w:val="auto"/>
        </w:rPr>
      </w:pPr>
      <w:r>
        <w:rPr>
          <w:rFonts w:ascii="宋体" w:eastAsia="宋体" w:cs="宋体" w:hint="eastAsia"/>
          <w:color w:val="auto"/>
          <w:sz w:val="24"/>
          <w:szCs w:val="24"/>
          <w:highlight w:val="auto"/>
        </w:rPr>
        <w:t>（二）、接到甲方通知，乙方应在</w:t>
      </w:r>
      <w:r>
        <w:rPr>
          <w:rFonts w:ascii="宋体" w:eastAsia="宋体" w:cs="宋体" w:hint="eastAsia"/>
          <w:color w:val="auto"/>
          <w:sz w:val="24"/>
          <w:szCs w:val="24"/>
          <w:u w:val="single"/>
          <w:highlight w:val="auto"/>
        </w:rPr>
        <w:t xml:space="preserve"> </w:t>
      </w:r>
      <w:r>
        <w:rPr>
          <w:rFonts w:ascii="宋体" w:cs="宋体" w:hint="eastAsia"/>
          <w:color w:val="auto"/>
          <w:sz w:val="24"/>
          <w:szCs w:val="24"/>
          <w:u w:val="single"/>
          <w:lang w:val="en-US" w:eastAsia="zh-CN"/>
          <w:highlight w:val="auto"/>
        </w:rPr>
        <w:t>2</w:t>
      </w:r>
      <w:r>
        <w:rPr>
          <w:rFonts w:ascii="宋体" w:cs="宋体" w:hint="eastAsia"/>
          <w:color w:val="auto"/>
          <w:sz w:val="24"/>
          <w:szCs w:val="24"/>
          <w:lang w:val="en-US" w:eastAsia="zh-CN"/>
          <w:highlight w:val="auto"/>
        </w:rPr>
        <w:t>个工作日</w:t>
      </w:r>
      <w:r>
        <w:rPr>
          <w:rFonts w:ascii="宋体" w:eastAsia="宋体" w:cs="宋体" w:hint="eastAsia"/>
          <w:color w:val="auto"/>
          <w:sz w:val="24"/>
          <w:szCs w:val="24"/>
          <w:highlight w:val="auto"/>
        </w:rPr>
        <w:t>内派遣相关人员到达现场</w:t>
      </w:r>
      <w:r>
        <w:rPr>
          <w:rFonts w:ascii="宋体" w:eastAsia="宋体" w:cs="宋体" w:hint="eastAsia"/>
          <w:color w:val="auto"/>
          <w:sz w:val="24"/>
          <w:szCs w:val="24"/>
          <w:u w:val="single"/>
          <w:highlight w:val="auto"/>
        </w:rPr>
        <w:t>，</w:t>
      </w:r>
      <w:r>
        <w:rPr>
          <w:rFonts w:ascii="宋体" w:cs="宋体" w:hint="eastAsia"/>
          <w:color w:val="auto"/>
          <w:sz w:val="24"/>
          <w:szCs w:val="24"/>
          <w:u w:val="single"/>
          <w:lang w:val="en-US" w:eastAsia="zh-CN"/>
          <w:highlight w:val="auto"/>
        </w:rPr>
        <w:t>3个工作日</w:t>
      </w:r>
      <w:r>
        <w:rPr>
          <w:rFonts w:ascii="宋体" w:eastAsia="宋体" w:cs="宋体" w:hint="eastAsia"/>
          <w:color w:val="auto"/>
          <w:sz w:val="24"/>
          <w:szCs w:val="24"/>
          <w:highlight w:val="auto"/>
        </w:rPr>
        <w:t>内维修完毕；发生紧急抢修事故的，乙方应在接到甲方通知后立即赶往现场排除故障。乙方未在约定时间到达现场，甲方可另选第三方修复，相关费用由乙方承担。乙方未在约定时间内修复的或同一产品经</w:t>
      </w:r>
      <w:r>
        <w:rPr>
          <w:rFonts w:ascii="宋体" w:eastAsia="宋体" w:cs="宋体" w:hint="eastAsia"/>
          <w:color w:val="auto"/>
          <w:sz w:val="24"/>
          <w:szCs w:val="24"/>
          <w:u w:val="single"/>
          <w:highlight w:val="auto"/>
        </w:rPr>
        <w:t xml:space="preserve"> 3</w:t>
      </w:r>
      <w:r>
        <w:rPr>
          <w:rFonts w:ascii="宋体" w:eastAsia="宋体" w:cs="宋体" w:hint="eastAsia"/>
          <w:color w:val="auto"/>
          <w:sz w:val="24"/>
          <w:szCs w:val="24"/>
          <w:highlight w:val="auto"/>
        </w:rPr>
        <w:t xml:space="preserve"> 次维修后仍不能稳定、可靠运行的，甲方有权要求乙方免费更换。</w:t>
      </w:r>
      <w:r>
        <w:rPr>
          <w:rStyle w:val="59"/>
          <w:rFonts w:ascii="宋体" w:eastAsia="宋体" w:cs="宋体" w:hint="eastAsia"/>
          <w:color w:val="auto"/>
          <w:sz w:val="24"/>
          <w:szCs w:val="24"/>
          <w:highlight w:val="auto"/>
        </w:rPr>
        <w:t>返修或更换部件后的产品保修期应重新计算。</w:t>
      </w:r>
    </w:p>
    <w:p>
      <w:pPr>
        <w:adjustRightInd w:val="0"/>
        <w:snapToGrid w:val="0"/>
        <w:spacing w:line="360" w:lineRule="auto"/>
        <w:ind w:firstLineChars="200" w:firstLine="480"/>
        <w:rPr>
          <w:rFonts w:ascii="宋体" w:eastAsia="宋体" w:cs="宋体" w:hint="eastAsia"/>
          <w:color w:val="auto"/>
          <w:sz w:val="24"/>
          <w:szCs w:val="24"/>
          <w:highlight w:val="auto"/>
        </w:rPr>
      </w:pPr>
      <w:r>
        <w:rPr>
          <w:rFonts w:ascii="宋体" w:eastAsia="宋体" w:cs="宋体" w:hint="eastAsia"/>
          <w:color w:val="auto"/>
          <w:sz w:val="24"/>
          <w:szCs w:val="24"/>
          <w:highlight w:val="auto"/>
        </w:rPr>
        <w:t>（三）、在质保期内，乙方应对产品出现的质量及安全问题负责处理解决并承担一切费用。</w:t>
      </w:r>
    </w:p>
    <w:p>
      <w:pPr>
        <w:adjustRightInd w:val="0"/>
        <w:snapToGrid w:val="0"/>
        <w:spacing w:line="360" w:lineRule="auto"/>
        <w:ind w:firstLineChars="200" w:firstLine="480"/>
        <w:rPr>
          <w:rFonts w:ascii="宋体" w:eastAsia="宋体" w:cs="宋体" w:hint="eastAsia"/>
          <w:sz w:val="24"/>
          <w:szCs w:val="24"/>
        </w:rPr>
      </w:pPr>
      <w:r>
        <w:rPr>
          <w:rFonts w:ascii="宋体" w:eastAsia="宋体" w:cs="宋体" w:hint="eastAsia"/>
          <w:color w:val="auto"/>
          <w:sz w:val="24"/>
          <w:szCs w:val="24"/>
          <w:highlight w:val="auto"/>
        </w:rPr>
        <w:t xml:space="preserve">（四）、质保期届满后，乙方对本合同项下产品提供终身维修服务，且维修时只收取所需维修部件的成本费 </w:t>
      </w:r>
      <w:r>
        <w:rPr>
          <w:rFonts w:ascii="宋体" w:eastAsia="宋体" w:cs="宋体" w:hint="eastAsia"/>
          <w:color w:val="auto"/>
          <w:sz w:val="24"/>
          <w:szCs w:val="24"/>
        </w:rPr>
        <w:t xml:space="preserve"> </w:t>
      </w:r>
      <w:r>
        <w:rPr>
          <w:rFonts w:ascii="宋体" w:eastAsia="宋体" w:cs="宋体" w:hint="eastAsia"/>
          <w:color w:val="FF0000"/>
          <w:sz w:val="24"/>
          <w:szCs w:val="24"/>
        </w:rPr>
        <w:t xml:space="preserve"> </w:t>
      </w:r>
      <w:r>
        <w:rPr>
          <w:rFonts w:ascii="宋体" w:eastAsia="宋体" w:cs="宋体" w:hint="eastAsia"/>
          <w:sz w:val="24"/>
          <w:szCs w:val="24"/>
        </w:rPr>
        <w:t xml:space="preserve">           </w:t>
      </w:r>
    </w:p>
    <w:p>
      <w:pPr>
        <w:adjustRightInd w:val="0"/>
        <w:snapToGrid w:val="0"/>
        <w:spacing w:line="360" w:lineRule="auto"/>
        <w:ind w:firstLineChars="147" w:firstLine="353"/>
        <w:rPr>
          <w:rFonts w:ascii="宋体" w:eastAsia="宋体" w:cs="宋体" w:hint="eastAsia"/>
          <w:sz w:val="24"/>
          <w:szCs w:val="24"/>
        </w:rPr>
      </w:pPr>
      <w:r>
        <w:rPr>
          <w:rFonts w:ascii="宋体" w:eastAsia="宋体" w:cs="宋体" w:hint="eastAsia"/>
          <w:sz w:val="24"/>
          <w:szCs w:val="24"/>
        </w:rPr>
        <w:t>十、不可抗力</w:t>
      </w:r>
    </w:p>
    <w:p>
      <w:pPr>
        <w:adjustRightInd w:val="0"/>
        <w:snapToGrid w:val="0"/>
        <w:spacing w:line="360" w:lineRule="auto"/>
        <w:ind w:firstLineChars="147" w:firstLine="353"/>
        <w:rPr>
          <w:rFonts w:ascii="宋体" w:eastAsia="宋体" w:cs="宋体" w:hint="eastAsia"/>
          <w:sz w:val="24"/>
          <w:szCs w:val="24"/>
        </w:rPr>
      </w:pPr>
      <w:r>
        <w:rPr>
          <w:rFonts w:ascii="宋体" w:eastAsia="宋体" w:cs="宋体" w:hint="eastAsia"/>
          <w:sz w:val="24"/>
          <w:szCs w:val="24"/>
        </w:rPr>
        <w:t>本合同所称不可抗力是指不能预见、不能克服、不能避免并对另一方造成重大影响的客观事件。包括但不限于自然灾害如洪水、地震、火灾和风暴等以及社会事件如战争、动乱、政府行为等。</w:t>
      </w:r>
    </w:p>
    <w:p>
      <w:pPr>
        <w:adjustRightInd w:val="0"/>
        <w:snapToGrid w:val="0"/>
        <w:spacing w:line="360" w:lineRule="auto"/>
        <w:ind w:firstLineChars="147" w:firstLine="353"/>
        <w:rPr>
          <w:rFonts w:ascii="宋体" w:eastAsia="宋体" w:cs="宋体" w:hint="eastAsia"/>
          <w:sz w:val="24"/>
          <w:szCs w:val="24"/>
        </w:rPr>
      </w:pPr>
      <w:r>
        <w:rPr>
          <w:rFonts w:ascii="宋体" w:eastAsia="宋体" w:cs="宋体" w:hint="eastAsia"/>
          <w:sz w:val="24"/>
          <w:szCs w:val="24"/>
        </w:rPr>
        <w:t>如遇不可抗力事件的一方导致合同无法履行时，应立即将事故情况书面告知另一方，并在</w:t>
      </w:r>
      <w:r>
        <w:rPr>
          <w:rFonts w:ascii="宋体" w:eastAsia="宋体" w:cs="宋体" w:hint="eastAsia"/>
          <w:sz w:val="24"/>
          <w:szCs w:val="24"/>
          <w:u w:val="single"/>
        </w:rPr>
        <w:t>3</w:t>
      </w:r>
      <w:r>
        <w:rPr>
          <w:rFonts w:ascii="宋体" w:eastAsia="宋体" w:cs="宋体" w:hint="eastAsia"/>
          <w:sz w:val="24"/>
          <w:szCs w:val="24"/>
        </w:rPr>
        <w:t>天内，提供事故详情。</w:t>
      </w:r>
    </w:p>
    <w:p>
      <w:pPr>
        <w:adjustRightInd w:val="0"/>
        <w:snapToGrid w:val="0"/>
        <w:spacing w:line="360" w:lineRule="auto"/>
        <w:ind w:firstLineChars="147" w:firstLine="353"/>
        <w:rPr>
          <w:rFonts w:ascii="宋体" w:eastAsia="宋体" w:cs="宋体" w:hint="eastAsia"/>
          <w:sz w:val="24"/>
          <w:szCs w:val="24"/>
        </w:rPr>
      </w:pPr>
      <w:r>
        <w:rPr>
          <w:rFonts w:ascii="宋体" w:eastAsia="宋体" w:cs="宋体" w:hint="eastAsia"/>
          <w:sz w:val="24"/>
          <w:szCs w:val="24"/>
        </w:rPr>
        <w:t>十一、违约责任</w:t>
      </w:r>
    </w:p>
    <w:p>
      <w:pPr>
        <w:adjustRightInd w:val="0"/>
        <w:snapToGrid w:val="0"/>
        <w:spacing w:line="360" w:lineRule="auto"/>
        <w:ind w:firstLineChars="200" w:firstLine="480"/>
        <w:rPr>
          <w:rFonts w:ascii="宋体" w:eastAsia="宋体" w:cs="宋体" w:hint="eastAsia"/>
          <w:sz w:val="24"/>
          <w:szCs w:val="24"/>
        </w:rPr>
      </w:pPr>
      <w:r>
        <w:rPr>
          <w:rFonts w:ascii="宋体" w:eastAsia="宋体" w:cs="宋体" w:hint="eastAsia"/>
          <w:sz w:val="24"/>
          <w:szCs w:val="24"/>
        </w:rPr>
        <w:t>（一）、在补救违约而采取的任何其他措施未能实现的情况下，即在乙方收到甲方发出的违约整改通知后</w:t>
      </w:r>
      <w:r>
        <w:rPr>
          <w:rFonts w:ascii="宋体" w:eastAsia="宋体" w:cs="宋体" w:hint="eastAsia"/>
          <w:sz w:val="24"/>
          <w:szCs w:val="24"/>
          <w:u w:val="single"/>
        </w:rPr>
        <w:t xml:space="preserve"> 3</w:t>
      </w:r>
      <w:r>
        <w:rPr>
          <w:rFonts w:ascii="宋体" w:eastAsia="宋体" w:cs="宋体" w:hint="eastAsia"/>
          <w:sz w:val="24"/>
          <w:szCs w:val="24"/>
        </w:rPr>
        <w:t>天内(或经甲方书面确认的更长时间内)仍未纠正其下述任何一种违约行为，甲方可向乙方发出书面解除通知，终止全部或部分合同条款：</w:t>
      </w:r>
    </w:p>
    <w:p>
      <w:pPr>
        <w:adjustRightInd w:val="0"/>
        <w:snapToGrid w:val="0"/>
        <w:spacing w:line="360" w:lineRule="auto"/>
        <w:ind w:firstLineChars="200" w:firstLine="480"/>
        <w:rPr>
          <w:rFonts w:ascii="宋体" w:eastAsia="宋体" w:cs="宋体" w:hint="eastAsia"/>
          <w:sz w:val="24"/>
          <w:szCs w:val="24"/>
        </w:rPr>
      </w:pPr>
      <w:r>
        <w:rPr>
          <w:rFonts w:ascii="宋体" w:eastAsia="宋体" w:cs="宋体" w:hint="eastAsia"/>
          <w:sz w:val="24"/>
          <w:szCs w:val="24"/>
        </w:rPr>
        <w:t>(1)如果乙方未能在合同规定的期限内或甲方准许的任何延期内交付部分或全部产品。</w:t>
      </w:r>
    </w:p>
    <w:p>
      <w:pPr>
        <w:adjustRightInd w:val="0"/>
        <w:snapToGrid w:val="0"/>
        <w:spacing w:line="360" w:lineRule="auto"/>
        <w:ind w:firstLineChars="50" w:firstLine="120"/>
        <w:rPr>
          <w:rFonts w:ascii="宋体" w:eastAsia="宋体" w:cs="宋体" w:hint="eastAsia"/>
          <w:sz w:val="24"/>
          <w:szCs w:val="24"/>
        </w:rPr>
      </w:pPr>
      <w:r>
        <w:rPr>
          <w:rFonts w:ascii="宋体" w:eastAsia="宋体" w:cs="宋体" w:hint="eastAsia"/>
          <w:sz w:val="24"/>
          <w:szCs w:val="24"/>
        </w:rPr>
        <w:t xml:space="preserve">   (2)乙方未能履行合同项下的其它义务。</w:t>
      </w:r>
    </w:p>
    <w:p>
      <w:pPr>
        <w:adjustRightInd w:val="0"/>
        <w:snapToGrid w:val="0"/>
        <w:spacing w:line="360" w:lineRule="auto"/>
        <w:ind w:firstLineChars="200" w:firstLine="480"/>
        <w:rPr>
          <w:rFonts w:ascii="宋体" w:eastAsia="宋体" w:cs="宋体" w:hint="eastAsia"/>
          <w:sz w:val="24"/>
          <w:szCs w:val="24"/>
        </w:rPr>
      </w:pPr>
      <w:r>
        <w:rPr>
          <w:rFonts w:ascii="宋体" w:eastAsia="宋体" w:cs="宋体" w:hint="eastAsia"/>
          <w:sz w:val="24"/>
          <w:szCs w:val="24"/>
        </w:rPr>
        <w:t>（二）、因乙方违约致使甲方终止合同时，乙方除退还甲方已付全部货款及资金占用费外，应无条件承担合同总价30%的违约金。</w:t>
      </w:r>
    </w:p>
    <w:p>
      <w:pPr>
        <w:adjustRightInd w:val="0"/>
        <w:snapToGrid w:val="0"/>
        <w:spacing w:line="360" w:lineRule="auto"/>
        <w:ind w:firstLineChars="150" w:firstLine="360"/>
        <w:rPr>
          <w:rFonts w:ascii="宋体" w:eastAsia="宋体" w:cs="宋体" w:hint="eastAsia"/>
          <w:sz w:val="24"/>
          <w:szCs w:val="24"/>
        </w:rPr>
      </w:pPr>
      <w:r>
        <w:rPr>
          <w:rFonts w:ascii="宋体" w:eastAsia="宋体" w:cs="宋体" w:hint="eastAsia"/>
          <w:sz w:val="24"/>
          <w:szCs w:val="24"/>
        </w:rPr>
        <w:t>（三）、严禁乙方转让合同，若乙方违约，则甲方有权终止合同，乙方承担合同总价30%的违约金。</w:t>
      </w:r>
    </w:p>
    <w:p>
      <w:pPr>
        <w:adjustRightInd w:val="0"/>
        <w:snapToGrid w:val="0"/>
        <w:spacing w:line="360" w:lineRule="auto"/>
        <w:ind w:firstLineChars="200" w:firstLine="480"/>
        <w:rPr>
          <w:rFonts w:ascii="宋体" w:eastAsia="宋体" w:cs="宋体" w:hint="eastAsia"/>
          <w:sz w:val="24"/>
          <w:szCs w:val="24"/>
        </w:rPr>
      </w:pPr>
      <w:r>
        <w:rPr>
          <w:rFonts w:ascii="宋体" w:eastAsia="宋体" w:cs="宋体" w:hint="eastAsia"/>
          <w:sz w:val="24"/>
          <w:szCs w:val="24"/>
        </w:rPr>
        <w:t>（四）：任何一方违约应承担守约方因主张权利而支付的所有费用，包含且不限于误工费、差旅费、住宿费、交通费、律师费等。</w:t>
      </w:r>
    </w:p>
    <w:p>
      <w:pPr>
        <w:adjustRightInd w:val="0"/>
        <w:snapToGrid w:val="0"/>
        <w:spacing w:line="360" w:lineRule="auto"/>
        <w:rPr>
          <w:rFonts w:ascii="宋体" w:eastAsia="宋体" w:cs="宋体" w:hint="eastAsia"/>
          <w:sz w:val="24"/>
          <w:szCs w:val="24"/>
        </w:rPr>
      </w:pPr>
      <w:r>
        <w:rPr>
          <w:rFonts w:ascii="宋体" w:eastAsia="宋体" w:cs="宋体" w:hint="eastAsia"/>
          <w:sz w:val="24"/>
          <w:szCs w:val="24"/>
        </w:rPr>
        <w:t>十二、其它事项</w:t>
      </w:r>
    </w:p>
    <w:p>
      <w:pPr>
        <w:adjustRightInd w:val="0"/>
        <w:snapToGrid w:val="0"/>
        <w:spacing w:line="360" w:lineRule="auto"/>
        <w:ind w:firstLineChars="200" w:firstLine="480"/>
        <w:rPr>
          <w:rFonts w:ascii="宋体" w:eastAsia="宋体" w:cs="宋体" w:hint="eastAsia"/>
          <w:sz w:val="24"/>
          <w:szCs w:val="24"/>
        </w:rPr>
      </w:pPr>
      <w:r>
        <w:rPr>
          <w:rFonts w:ascii="宋体" w:eastAsia="宋体" w:cs="宋体" w:hint="eastAsia"/>
          <w:sz w:val="24"/>
          <w:szCs w:val="24"/>
        </w:rPr>
        <w:t>（一）、招投标文件均作为合同不可分割的部分。解释顺序为招标文件、投标文件、合同、合同附件。</w:t>
      </w:r>
    </w:p>
    <w:p>
      <w:pPr>
        <w:adjustRightInd w:val="0"/>
        <w:snapToGrid w:val="0"/>
        <w:spacing w:line="360" w:lineRule="auto"/>
        <w:ind w:leftChars="171" w:left="359" w:firstLineChars="50" w:firstLine="120"/>
        <w:rPr>
          <w:rFonts w:ascii="宋体" w:eastAsia="宋体" w:cs="宋体" w:hint="eastAsia"/>
          <w:sz w:val="24"/>
          <w:szCs w:val="24"/>
        </w:rPr>
      </w:pPr>
      <w:r>
        <w:rPr>
          <w:rFonts w:ascii="宋体" w:eastAsia="宋体" w:cs="宋体" w:hint="eastAsia"/>
          <w:sz w:val="24"/>
          <w:szCs w:val="24"/>
        </w:rPr>
        <w:t>（二）、合同未尽事宜，由甲、乙双方协商，作为合同的补充与原合同具有同等法律效力。</w:t>
      </w:r>
    </w:p>
    <w:p>
      <w:pPr>
        <w:adjustRightInd w:val="0"/>
        <w:snapToGrid w:val="0"/>
        <w:spacing w:line="360" w:lineRule="auto"/>
        <w:ind w:leftChars="171" w:left="359" w:firstLineChars="50" w:firstLine="120"/>
        <w:rPr>
          <w:rFonts w:ascii="宋体" w:eastAsia="宋体" w:cs="宋体" w:hint="eastAsia"/>
          <w:sz w:val="24"/>
          <w:szCs w:val="24"/>
        </w:rPr>
      </w:pPr>
      <w:r>
        <w:rPr>
          <w:rFonts w:ascii="宋体" w:eastAsia="宋体" w:cs="宋体" w:hint="eastAsia"/>
          <w:sz w:val="24"/>
          <w:szCs w:val="24"/>
        </w:rPr>
        <w:t>（三）、双方如对履行合同发生争执，应友好协商解决，如协商不成，任何一方均可向甲方所在地法院提起诉讼。</w:t>
      </w:r>
    </w:p>
    <w:p>
      <w:pPr>
        <w:adjustRightInd w:val="0"/>
        <w:snapToGrid w:val="0"/>
        <w:spacing w:line="360" w:lineRule="auto"/>
        <w:rPr>
          <w:rFonts w:ascii="宋体" w:eastAsia="宋体" w:cs="宋体" w:hint="eastAsia"/>
          <w:sz w:val="24"/>
          <w:szCs w:val="24"/>
        </w:rPr>
      </w:pPr>
      <w:r>
        <w:rPr>
          <w:rFonts w:ascii="宋体" w:eastAsia="宋体" w:cs="宋体" w:hint="eastAsia"/>
          <w:sz w:val="24"/>
          <w:szCs w:val="24"/>
        </w:rPr>
        <w:t>十三、 通知和送达</w:t>
      </w:r>
    </w:p>
    <w:p>
      <w:pPr>
        <w:adjustRightInd w:val="0"/>
        <w:snapToGrid w:val="0"/>
        <w:spacing w:line="360" w:lineRule="auto"/>
        <w:rPr>
          <w:rFonts w:ascii="宋体" w:eastAsia="宋体" w:cs="宋体" w:hint="eastAsia"/>
          <w:sz w:val="24"/>
          <w:szCs w:val="24"/>
        </w:rPr>
      </w:pPr>
      <w:r>
        <w:rPr>
          <w:rFonts w:ascii="宋体" w:eastAsia="宋体" w:cs="宋体" w:hint="eastAsia"/>
          <w:sz w:val="24"/>
          <w:szCs w:val="24"/>
        </w:rPr>
        <w:t>甲、乙双方因履行本合同而相互发出或者提供的所有通知、文件、材料等均以本合同所列明的地址、电子邮箱、传真送达。一方迁址或者变更邮箱、传真电话的，应当五日内书面通知对方。</w:t>
      </w:r>
    </w:p>
    <w:p>
      <w:pPr>
        <w:adjustRightInd w:val="0"/>
        <w:snapToGrid w:val="0"/>
        <w:spacing w:line="360" w:lineRule="auto"/>
        <w:rPr>
          <w:rFonts w:ascii="宋体" w:eastAsia="宋体" w:cs="宋体" w:hint="eastAsia"/>
          <w:sz w:val="24"/>
          <w:szCs w:val="24"/>
        </w:rPr>
      </w:pPr>
      <w:r>
        <w:rPr>
          <w:rFonts w:ascii="宋体" w:eastAsia="宋体" w:cs="宋体" w:hint="eastAsia"/>
          <w:sz w:val="24"/>
          <w:szCs w:val="24"/>
        </w:rPr>
        <w:t>以当面交付文件方式送达的，交付之时视为送达；以电子邮件方式送达的，发出电子邮件时视为送达；以传真方式送达的，发出传真时视为送达；以邮寄方式送达的，邮件交邮当日视为送达。</w:t>
      </w:r>
    </w:p>
    <w:p>
      <w:pPr>
        <w:adjustRightInd w:val="0"/>
        <w:snapToGrid w:val="0"/>
        <w:spacing w:line="360" w:lineRule="auto"/>
        <w:rPr>
          <w:rFonts w:ascii="宋体" w:eastAsia="宋体" w:cs="宋体" w:hint="eastAsia"/>
          <w:sz w:val="24"/>
          <w:szCs w:val="24"/>
        </w:rPr>
      </w:pPr>
    </w:p>
    <w:p>
      <w:pPr>
        <w:adjustRightInd w:val="0"/>
        <w:snapToGrid w:val="0"/>
        <w:spacing w:line="360" w:lineRule="auto"/>
        <w:rPr>
          <w:rFonts w:ascii="宋体" w:eastAsia="宋体" w:cs="宋体" w:hint="eastAsia"/>
          <w:sz w:val="24"/>
          <w:szCs w:val="24"/>
        </w:rPr>
      </w:pPr>
      <w:r>
        <w:rPr>
          <w:rFonts w:ascii="宋体" w:eastAsia="宋体" w:cs="宋体" w:hint="eastAsia"/>
          <w:sz w:val="24"/>
          <w:szCs w:val="24"/>
        </w:rPr>
        <w:t>十四、本合同签订时间、地点、履行期限</w:t>
      </w:r>
    </w:p>
    <w:p>
      <w:pPr>
        <w:adjustRightInd w:val="0"/>
        <w:snapToGrid w:val="0"/>
        <w:spacing w:line="360" w:lineRule="auto"/>
        <w:rPr>
          <w:rFonts w:ascii="宋体" w:eastAsia="宋体" w:cs="宋体" w:hint="eastAsia"/>
          <w:sz w:val="24"/>
          <w:szCs w:val="24"/>
          <w:u w:val="single"/>
        </w:rPr>
      </w:pPr>
      <w:r>
        <w:rPr>
          <w:rFonts w:ascii="宋体" w:eastAsia="宋体" w:cs="宋体" w:hint="eastAsia"/>
          <w:sz w:val="24"/>
          <w:szCs w:val="24"/>
        </w:rPr>
        <w:t xml:space="preserve">      （一）签订时间：</w:t>
      </w:r>
      <w:r>
        <w:rPr>
          <w:rFonts w:ascii="宋体" w:eastAsia="宋体" w:cs="宋体" w:hint="eastAsia"/>
          <w:sz w:val="24"/>
          <w:szCs w:val="24"/>
          <w:u w:val="single"/>
        </w:rPr>
        <w:t xml:space="preserve">   2022年    月    日      </w:t>
      </w:r>
    </w:p>
    <w:p>
      <w:pPr>
        <w:adjustRightInd w:val="0"/>
        <w:snapToGrid w:val="0"/>
        <w:spacing w:line="360" w:lineRule="auto"/>
        <w:rPr>
          <w:rFonts w:ascii="宋体" w:eastAsia="宋体" w:cs="宋体" w:hint="eastAsia"/>
          <w:sz w:val="24"/>
          <w:szCs w:val="24"/>
        </w:rPr>
      </w:pPr>
      <w:r>
        <w:rPr>
          <w:rFonts w:ascii="宋体" w:eastAsia="宋体" w:cs="宋体" w:hint="eastAsia"/>
          <w:sz w:val="24"/>
          <w:szCs w:val="24"/>
        </w:rPr>
        <w:t xml:space="preserve">      （二）签订地点：甲方所在地。</w:t>
      </w:r>
    </w:p>
    <w:p>
      <w:pPr>
        <w:adjustRightInd w:val="0"/>
        <w:snapToGrid w:val="0"/>
        <w:spacing w:line="360" w:lineRule="auto"/>
        <w:rPr>
          <w:rFonts w:ascii="宋体" w:eastAsia="宋体" w:cs="宋体" w:hint="eastAsia"/>
          <w:sz w:val="24"/>
          <w:szCs w:val="24"/>
        </w:rPr>
      </w:pPr>
      <w:r>
        <w:rPr>
          <w:rFonts w:ascii="宋体" w:eastAsia="宋体" w:cs="宋体" w:hint="eastAsia"/>
          <w:sz w:val="24"/>
          <w:szCs w:val="24"/>
        </w:rPr>
        <w:t>十四、合同签订及生效：本合同一式四份，甲方执叁份、乙方执壹份，双方签字并盖章后生效。</w:t>
      </w:r>
    </w:p>
    <w:p>
      <w:pPr>
        <w:adjustRightInd w:val="0"/>
        <w:snapToGrid w:val="0"/>
        <w:spacing w:line="360" w:lineRule="auto"/>
        <w:rPr>
          <w:rFonts w:ascii="宋体" w:eastAsia="宋体" w:cs="宋体" w:hint="eastAsia"/>
          <w:sz w:val="24"/>
          <w:szCs w:val="24"/>
        </w:rPr>
      </w:pPr>
    </w:p>
    <w:p>
      <w:pPr>
        <w:adjustRightInd w:val="0"/>
        <w:snapToGrid w:val="0"/>
        <w:spacing w:line="360" w:lineRule="auto"/>
        <w:ind w:leftChars="-171" w:left="-359" w:firstLineChars="541" w:firstLine="1298"/>
        <w:rPr>
          <w:rFonts w:ascii="宋体" w:eastAsia="宋体" w:cs="宋体" w:hint="eastAsia"/>
          <w:sz w:val="24"/>
          <w:szCs w:val="24"/>
        </w:rPr>
      </w:pPr>
      <w:r>
        <w:rPr>
          <w:rFonts w:ascii="宋体" w:eastAsia="宋体" w:cs="宋体" w:hint="eastAsia"/>
          <w:sz w:val="24"/>
          <w:szCs w:val="24"/>
        </w:rPr>
        <w:t>甲    方                                      乙    方</w:t>
      </w:r>
    </w:p>
    <w:p>
      <w:pPr>
        <w:adjustRightInd w:val="0"/>
        <w:snapToGrid w:val="0"/>
        <w:spacing w:line="360" w:lineRule="auto"/>
        <w:rPr>
          <w:rFonts w:ascii="宋体" w:eastAsia="宋体" w:cs="宋体" w:hint="eastAsia"/>
          <w:sz w:val="24"/>
          <w:szCs w:val="24"/>
        </w:rPr>
      </w:pPr>
      <w:r>
        <w:rPr>
          <w:rFonts w:ascii="宋体" w:eastAsia="宋体" w:cs="宋体" w:hint="eastAsia"/>
          <w:sz w:val="24"/>
          <w:szCs w:val="24"/>
        </w:rPr>
        <w:t xml:space="preserve">单位名称：                                  单位名称： </w:t>
      </w:r>
    </w:p>
    <w:p>
      <w:pPr>
        <w:adjustRightInd w:val="0"/>
        <w:snapToGrid w:val="0"/>
        <w:spacing w:line="360" w:lineRule="auto"/>
        <w:ind w:rightChars="-241" w:right="-506" w:firstLineChars="550" w:firstLine="1320"/>
        <w:jc w:val="left"/>
        <w:rPr>
          <w:rFonts w:ascii="宋体" w:eastAsia="宋体" w:cs="宋体" w:hint="eastAsia"/>
          <w:sz w:val="24"/>
          <w:szCs w:val="24"/>
        </w:rPr>
      </w:pPr>
      <w:r>
        <w:rPr>
          <w:rFonts w:ascii="宋体" w:eastAsia="宋体" w:cs="宋体" w:hint="eastAsia"/>
          <w:sz w:val="24"/>
          <w:szCs w:val="24"/>
        </w:rPr>
        <w:t>（盖章）                                （盖章）</w:t>
      </w:r>
    </w:p>
    <w:p>
      <w:pPr>
        <w:adjustRightInd w:val="0"/>
        <w:snapToGrid w:val="0"/>
        <w:spacing w:line="360" w:lineRule="auto"/>
        <w:ind w:leftChars="-57" w:left="6960" w:rightChars="-241" w:right="-506" w:hangingChars="2950" w:hanging="7080"/>
        <w:rPr>
          <w:rFonts w:ascii="宋体" w:eastAsia="宋体" w:cs="宋体" w:hint="eastAsia"/>
          <w:sz w:val="24"/>
          <w:szCs w:val="24"/>
        </w:rPr>
      </w:pPr>
      <w:r>
        <w:rPr>
          <w:rFonts w:ascii="宋体" w:eastAsia="宋体" w:cs="宋体" w:hint="eastAsia"/>
          <w:sz w:val="24"/>
          <w:szCs w:val="24"/>
        </w:rPr>
        <w:t xml:space="preserve">地    址：                                   地  址： </w:t>
      </w:r>
    </w:p>
    <w:p>
      <w:pPr>
        <w:adjustRightInd w:val="0"/>
        <w:snapToGrid w:val="0"/>
        <w:spacing w:line="360" w:lineRule="auto"/>
        <w:ind w:leftChars="3078" w:left="6944" w:rightChars="-241" w:right="-506" w:hangingChars="200" w:hanging="480"/>
        <w:rPr>
          <w:rFonts w:ascii="宋体" w:eastAsia="宋体" w:cs="宋体" w:hint="eastAsia"/>
          <w:sz w:val="24"/>
          <w:szCs w:val="24"/>
        </w:rPr>
      </w:pPr>
    </w:p>
    <w:p>
      <w:pPr>
        <w:adjustRightInd w:val="0"/>
        <w:snapToGrid w:val="0"/>
        <w:spacing w:line="360" w:lineRule="auto"/>
        <w:ind w:leftChars="-171" w:left="-359" w:rightChars="-241" w:right="-506" w:firstLineChars="100" w:firstLine="240"/>
        <w:rPr>
          <w:rFonts w:ascii="宋体" w:eastAsia="宋体" w:cs="宋体" w:hint="eastAsia"/>
          <w:sz w:val="24"/>
          <w:szCs w:val="24"/>
        </w:rPr>
      </w:pPr>
      <w:r>
        <w:rPr>
          <w:rFonts w:ascii="宋体" w:eastAsia="宋体" w:cs="宋体" w:hint="eastAsia"/>
          <w:sz w:val="24"/>
          <w:szCs w:val="24"/>
        </w:rPr>
        <w:t xml:space="preserve">法定代表人：                                  法定代表人（签字）： </w:t>
      </w:r>
    </w:p>
    <w:p>
      <w:pPr>
        <w:adjustRightInd w:val="0"/>
        <w:snapToGrid w:val="0"/>
        <w:spacing w:line="360" w:lineRule="auto"/>
        <w:ind w:leftChars="-171" w:left="-359" w:rightChars="-241" w:right="-506" w:firstLineChars="100" w:firstLine="240"/>
        <w:rPr>
          <w:rFonts w:ascii="宋体" w:eastAsia="宋体" w:cs="宋体" w:hint="eastAsia"/>
          <w:sz w:val="24"/>
          <w:szCs w:val="24"/>
        </w:rPr>
      </w:pPr>
      <w:r>
        <w:rPr>
          <w:rFonts w:ascii="宋体" w:eastAsia="宋体" w:cs="宋体" w:hint="eastAsia"/>
          <w:sz w:val="24"/>
          <w:szCs w:val="24"/>
        </w:rPr>
        <w:t>代 理 人：                                    代 理 人（签字）：</w:t>
      </w:r>
    </w:p>
    <w:p>
      <w:pPr>
        <w:adjustRightInd w:val="0"/>
        <w:snapToGrid w:val="0"/>
        <w:spacing w:line="360" w:lineRule="auto"/>
        <w:ind w:leftChars="-171" w:left="-359" w:rightChars="-241" w:right="-506" w:firstLineChars="100" w:firstLine="240"/>
        <w:rPr>
          <w:rFonts w:ascii="宋体" w:eastAsia="宋体" w:cs="宋体" w:hint="eastAsia"/>
          <w:sz w:val="24"/>
          <w:szCs w:val="24"/>
        </w:rPr>
      </w:pPr>
      <w:r>
        <w:rPr>
          <w:rFonts w:ascii="宋体" w:eastAsia="宋体" w:cs="宋体" w:hint="eastAsia"/>
          <w:sz w:val="24"/>
          <w:szCs w:val="24"/>
        </w:rPr>
        <w:t xml:space="preserve">联系电话：                                   联系电话：            </w:t>
      </w:r>
    </w:p>
    <w:p>
      <w:pPr>
        <w:adjustRightInd w:val="0"/>
        <w:snapToGrid w:val="0"/>
        <w:spacing w:line="360" w:lineRule="auto"/>
        <w:ind w:leftChars="-171" w:left="-359" w:rightChars="-241" w:right="-506" w:firstLineChars="2900" w:firstLine="6960"/>
        <w:rPr>
          <w:rFonts w:ascii="宋体" w:eastAsia="宋体" w:cs="宋体" w:hint="eastAsia"/>
          <w:sz w:val="24"/>
          <w:szCs w:val="24"/>
        </w:rPr>
      </w:pPr>
      <w:r>
        <w:rPr>
          <w:rFonts w:ascii="宋体" w:eastAsia="宋体" w:cs="宋体" w:hint="eastAsia"/>
          <w:sz w:val="24"/>
          <w:szCs w:val="24"/>
        </w:rPr>
        <w:t xml:space="preserve">                                                                        </w:t>
      </w:r>
    </w:p>
    <w:p>
      <w:pPr>
        <w:tabs>
          <w:tab w:val="left" w:pos="6720"/>
        </w:tabs>
        <w:adjustRightInd w:val="0"/>
        <w:snapToGrid w:val="0"/>
        <w:spacing w:line="360" w:lineRule="auto"/>
        <w:ind w:leftChars="-171" w:left="-359" w:rightChars="-241" w:right="-506" w:firstLineChars="1200" w:firstLine="2880"/>
        <w:rPr>
          <w:rFonts w:ascii="宋体" w:eastAsia="宋体" w:cs="宋体" w:hint="eastAsia"/>
          <w:sz w:val="24"/>
          <w:szCs w:val="24"/>
        </w:rPr>
      </w:pPr>
      <w:r>
        <w:rPr>
          <w:rFonts w:ascii="宋体" w:eastAsia="宋体" w:cs="宋体" w:hint="eastAsia"/>
          <w:sz w:val="24"/>
          <w:szCs w:val="24"/>
        </w:rPr>
        <w:t xml:space="preserve">                                            </w:t>
      </w:r>
    </w:p>
    <w:p>
      <w:pPr>
        <w:widowControl/>
        <w:adjustRightInd w:val="0"/>
        <w:snapToGrid w:val="0"/>
        <w:spacing w:after="150" w:line="560" w:lineRule="exact"/>
        <w:jc w:val="left"/>
        <w:rPr>
          <w:rFonts w:ascii="宋体" w:eastAsia="宋体" w:cs="宋体" w:hint="eastAsia"/>
          <w:color w:val="666666"/>
          <w:kern w:val="0"/>
          <w:sz w:val="24"/>
          <w:szCs w:val="24"/>
        </w:rPr>
      </w:pPr>
    </w:p>
    <w:p>
      <w:pPr>
        <w:widowControl/>
        <w:adjustRightInd w:val="0"/>
        <w:snapToGrid w:val="0"/>
        <w:spacing w:after="150" w:line="560" w:lineRule="exact"/>
        <w:jc w:val="left"/>
        <w:rPr>
          <w:rFonts w:ascii="宋体" w:eastAsia="宋体" w:cs="宋体" w:hint="eastAsia"/>
          <w:color w:val="666666"/>
          <w:kern w:val="0"/>
          <w:sz w:val="24"/>
          <w:szCs w:val="24"/>
        </w:rPr>
      </w:pPr>
    </w:p>
    <w:p>
      <w:pPr>
        <w:widowControl/>
        <w:adjustRightInd w:val="0"/>
        <w:snapToGrid w:val="0"/>
        <w:spacing w:after="150" w:line="560" w:lineRule="exact"/>
        <w:jc w:val="left"/>
        <w:rPr>
          <w:rFonts w:ascii="宋体" w:eastAsia="宋体" w:cs="宋体" w:hint="eastAsia"/>
          <w:color w:val="666666"/>
          <w:kern w:val="0"/>
          <w:sz w:val="24"/>
          <w:szCs w:val="24"/>
        </w:rPr>
      </w:pPr>
    </w:p>
    <w:p>
      <w:pPr>
        <w:widowControl/>
        <w:adjustRightInd w:val="0"/>
        <w:snapToGrid w:val="0"/>
        <w:spacing w:after="150" w:line="560" w:lineRule="exact"/>
        <w:jc w:val="left"/>
        <w:rPr>
          <w:rFonts w:ascii="宋体" w:eastAsia="宋体" w:cs="宋体" w:hint="eastAsia"/>
          <w:kern w:val="0"/>
          <w:sz w:val="24"/>
          <w:szCs w:val="24"/>
        </w:rPr>
      </w:pPr>
    </w:p>
    <w:p>
      <w:pPr>
        <w:adjustRightInd w:val="0"/>
        <w:snapToGrid w:val="0"/>
        <w:spacing w:line="360" w:lineRule="auto"/>
        <w:rPr>
          <w:rFonts w:ascii="宋体" w:eastAsia="宋体" w:cs="宋体" w:hint="eastAsia"/>
          <w:kern w:val="0"/>
          <w:sz w:val="24"/>
          <w:szCs w:val="24"/>
        </w:rPr>
      </w:pPr>
    </w:p>
    <w:p>
      <w:pPr>
        <w:pageBreakBefore/>
        <w:widowControl w:val="0"/>
        <w:wordWrap/>
        <w:adjustRightInd w:val="0"/>
        <w:snapToGrid w:val="0"/>
        <w:spacing w:line="360" w:lineRule="auto"/>
        <w:textAlignment w:val="auto"/>
        <w:rPr>
          <w:rFonts w:ascii="宋体" w:eastAsia="宋体" w:cs="宋体" w:hint="eastAsia"/>
          <w:kern w:val="0"/>
          <w:sz w:val="24"/>
          <w:szCs w:val="24"/>
        </w:rPr>
      </w:pPr>
      <w:r>
        <w:rPr>
          <w:rFonts w:ascii="宋体" w:eastAsia="宋体" w:cs="宋体" w:hint="eastAsia"/>
          <w:kern w:val="0"/>
          <w:sz w:val="24"/>
          <w:szCs w:val="24"/>
        </w:rPr>
        <w:t>附件2：</w:t>
      </w:r>
    </w:p>
    <w:p>
      <w:pPr>
        <w:adjustRightInd w:val="0"/>
        <w:snapToGrid w:val="0"/>
        <w:spacing w:line="360" w:lineRule="auto"/>
        <w:rPr>
          <w:rFonts w:ascii="宋体" w:eastAsia="宋体" w:cs="宋体" w:hint="eastAsia"/>
          <w:bCs/>
          <w:sz w:val="24"/>
          <w:szCs w:val="24"/>
        </w:rPr>
      </w:pPr>
      <w:r>
        <w:rPr>
          <w:rFonts w:ascii="宋体" w:eastAsia="宋体" w:cs="宋体" w:hint="eastAsia"/>
          <w:kern w:val="0"/>
          <w:sz w:val="24"/>
          <w:szCs w:val="24"/>
        </w:rPr>
        <w:t xml:space="preserve"> </w:t>
      </w:r>
      <w:r>
        <w:rPr>
          <w:rFonts w:ascii="宋体" w:eastAsia="宋体" w:cs="宋体" w:hint="eastAsia"/>
          <w:bCs/>
          <w:sz w:val="24"/>
          <w:szCs w:val="24"/>
        </w:rPr>
        <w:t>技术参数和售后服务：</w:t>
      </w:r>
    </w:p>
    <w:p>
      <w:pPr>
        <w:adjustRightInd w:val="0"/>
        <w:snapToGrid w:val="0"/>
        <w:spacing w:line="360" w:lineRule="auto"/>
        <w:outlineLvl w:val="0"/>
        <w:rPr>
          <w:rFonts w:ascii="宋体" w:eastAsia="宋体" w:cs="宋体" w:hint="eastAsia"/>
          <w:sz w:val="24"/>
          <w:szCs w:val="24"/>
        </w:rPr>
      </w:pPr>
      <w:r>
        <w:rPr>
          <w:rFonts w:ascii="宋体" w:eastAsia="宋体" w:cs="宋体" w:hint="eastAsia"/>
          <w:sz w:val="24"/>
          <w:szCs w:val="24"/>
        </w:rPr>
        <w:t>一、乙方承诺</w:t>
      </w:r>
    </w:p>
    <w:p>
      <w:pPr>
        <w:adjustRightInd w:val="0"/>
        <w:snapToGrid w:val="0"/>
        <w:spacing w:line="360" w:lineRule="auto"/>
        <w:ind w:firstLineChars="200" w:firstLine="480"/>
        <w:rPr>
          <w:rFonts w:ascii="宋体" w:eastAsia="宋体" w:cs="宋体" w:hint="eastAsia"/>
          <w:sz w:val="24"/>
          <w:szCs w:val="24"/>
        </w:rPr>
      </w:pPr>
      <w:r>
        <w:rPr>
          <w:rFonts w:ascii="宋体" w:eastAsia="宋体" w:cs="宋体" w:hint="eastAsia"/>
          <w:sz w:val="24"/>
          <w:szCs w:val="24"/>
        </w:rPr>
        <w:t>鉴于国家</w:t>
      </w:r>
      <w:r>
        <w:rPr>
          <w:rFonts w:ascii="宋体" w:eastAsia="宋体" w:cs="宋体" w:hint="eastAsia"/>
          <w:bCs/>
          <w:sz w:val="24"/>
          <w:szCs w:val="24"/>
        </w:rPr>
        <w:t>、</w:t>
      </w:r>
      <w:r>
        <w:rPr>
          <w:rFonts w:ascii="宋体" w:eastAsia="宋体" w:cs="宋体" w:hint="eastAsia"/>
          <w:sz w:val="24"/>
          <w:szCs w:val="24"/>
        </w:rPr>
        <w:t>自治区、行业对</w:t>
      </w:r>
      <w:r>
        <w:rPr>
          <w:rFonts w:ascii="宋体" w:eastAsia="宋体" w:cs="宋体" w:hint="eastAsia"/>
          <w:sz w:val="24"/>
          <w:szCs w:val="24"/>
          <w:u w:val="single"/>
        </w:rPr>
        <w:t xml:space="preserve">                   </w:t>
      </w:r>
      <w:r>
        <w:rPr>
          <w:rFonts w:ascii="宋体" w:eastAsia="宋体" w:cs="宋体" w:hint="eastAsia"/>
          <w:sz w:val="24"/>
          <w:szCs w:val="24"/>
        </w:rPr>
        <w:t>产</w:t>
      </w:r>
      <w:r>
        <w:rPr>
          <w:rFonts w:ascii="宋体" w:eastAsia="宋体" w:cs="宋体" w:hint="eastAsia"/>
          <w:sz w:val="24"/>
          <w:szCs w:val="24"/>
          <w:u w:val="single"/>
        </w:rPr>
        <w:t>品</w:t>
      </w:r>
      <w:r>
        <w:rPr>
          <w:rFonts w:ascii="宋体" w:eastAsia="宋体" w:cs="宋体" w:hint="eastAsia"/>
          <w:sz w:val="24"/>
          <w:szCs w:val="24"/>
        </w:rPr>
        <w:t>的要求，乙方承诺按照要求标准组织供货，按时运到甲方指定的交货地点并确保所中标的产品各项指标符合招标技术要求；同时乙方根据产品的使用特性做好售后服务。</w:t>
      </w:r>
    </w:p>
    <w:p>
      <w:pPr>
        <w:adjustRightInd w:val="0"/>
        <w:snapToGrid w:val="0"/>
        <w:spacing w:line="360" w:lineRule="auto"/>
        <w:ind w:firstLineChars="200" w:firstLine="480"/>
        <w:rPr>
          <w:rFonts w:ascii="宋体" w:eastAsia="宋体" w:cs="宋体" w:hint="eastAsia"/>
          <w:sz w:val="24"/>
          <w:szCs w:val="24"/>
        </w:rPr>
      </w:pPr>
    </w:p>
    <w:p>
      <w:pPr>
        <w:adjustRightInd w:val="0"/>
        <w:snapToGrid w:val="0"/>
        <w:spacing w:line="360" w:lineRule="auto"/>
        <w:ind w:firstLineChars="200" w:firstLine="480"/>
        <w:rPr>
          <w:rFonts w:ascii="宋体" w:eastAsia="宋体" w:cs="宋体" w:hint="eastAsia"/>
          <w:sz w:val="24"/>
          <w:szCs w:val="24"/>
        </w:rPr>
      </w:pPr>
    </w:p>
    <w:p>
      <w:pPr>
        <w:adjustRightInd w:val="0"/>
        <w:snapToGrid w:val="0"/>
        <w:spacing w:line="360" w:lineRule="auto"/>
        <w:ind w:firstLineChars="200" w:firstLine="480"/>
        <w:rPr>
          <w:rFonts w:ascii="宋体" w:eastAsia="宋体" w:cs="宋体" w:hint="eastAsia"/>
          <w:sz w:val="24"/>
          <w:szCs w:val="24"/>
        </w:rPr>
      </w:pPr>
    </w:p>
    <w:p>
      <w:pPr>
        <w:adjustRightInd w:val="0"/>
        <w:snapToGrid w:val="0"/>
        <w:spacing w:line="360" w:lineRule="auto"/>
        <w:ind w:firstLineChars="200" w:firstLine="480"/>
        <w:rPr>
          <w:rFonts w:ascii="宋体" w:eastAsia="宋体" w:cs="宋体" w:hint="eastAsia"/>
          <w:sz w:val="24"/>
          <w:szCs w:val="24"/>
        </w:rPr>
      </w:pPr>
    </w:p>
    <w:p>
      <w:pPr>
        <w:adjustRightInd w:val="0"/>
        <w:snapToGrid w:val="0"/>
        <w:spacing w:line="360" w:lineRule="auto"/>
        <w:ind w:firstLineChars="200" w:firstLine="480"/>
        <w:rPr>
          <w:rFonts w:ascii="宋体" w:eastAsia="宋体" w:cs="宋体" w:hint="eastAsia"/>
          <w:sz w:val="24"/>
          <w:szCs w:val="24"/>
          <w:highlight w:val="yellow"/>
        </w:rPr>
      </w:pPr>
    </w:p>
    <w:p>
      <w:pPr>
        <w:numPr>
          <w:ilvl w:val="0"/>
          <w:numId w:val="16"/>
        </w:numPr>
        <w:adjustRightInd w:val="0"/>
        <w:snapToGrid w:val="0"/>
        <w:spacing w:line="360" w:lineRule="auto"/>
        <w:rPr>
          <w:rFonts w:ascii="宋体" w:eastAsia="宋体" w:cs="宋体" w:hint="eastAsia"/>
          <w:sz w:val="24"/>
          <w:szCs w:val="24"/>
        </w:rPr>
      </w:pPr>
      <w:r>
        <w:rPr>
          <w:rFonts w:ascii="宋体" w:eastAsia="宋体" w:cs="宋体" w:hint="eastAsia"/>
          <w:sz w:val="24"/>
          <w:szCs w:val="24"/>
        </w:rPr>
        <w:t>详细技术参数（不仅限于投标文件中的技术参数和图片）</w:t>
      </w:r>
    </w:p>
    <w:p>
      <w:pPr>
        <w:adjustRightInd w:val="0"/>
        <w:snapToGrid w:val="0"/>
        <w:spacing w:line="360" w:lineRule="auto"/>
        <w:rPr>
          <w:rFonts w:ascii="宋体" w:eastAsia="宋体" w:cs="宋体" w:hint="eastAsia"/>
          <w:sz w:val="24"/>
          <w:szCs w:val="24"/>
        </w:rPr>
      </w:pPr>
    </w:p>
    <w:p>
      <w:pPr>
        <w:adjustRightInd w:val="0"/>
        <w:snapToGrid w:val="0"/>
        <w:spacing w:line="360" w:lineRule="auto"/>
        <w:rPr>
          <w:rFonts w:ascii="宋体" w:eastAsia="宋体" w:cs="宋体" w:hint="eastAsia"/>
          <w:sz w:val="24"/>
          <w:szCs w:val="24"/>
        </w:rPr>
      </w:pPr>
    </w:p>
    <w:p>
      <w:pPr>
        <w:adjustRightInd w:val="0"/>
        <w:snapToGrid w:val="0"/>
        <w:spacing w:line="360" w:lineRule="auto"/>
        <w:rPr>
          <w:rFonts w:ascii="宋体" w:eastAsia="宋体" w:cs="宋体" w:hint="eastAsia"/>
          <w:sz w:val="24"/>
          <w:szCs w:val="24"/>
        </w:rPr>
      </w:pPr>
    </w:p>
    <w:p>
      <w:pPr>
        <w:adjustRightInd w:val="0"/>
        <w:snapToGrid w:val="0"/>
        <w:spacing w:line="360" w:lineRule="auto"/>
        <w:rPr>
          <w:rFonts w:ascii="宋体" w:eastAsia="宋体" w:cs="宋体" w:hint="eastAsia"/>
          <w:sz w:val="24"/>
          <w:szCs w:val="24"/>
        </w:rPr>
      </w:pPr>
    </w:p>
    <w:p>
      <w:pPr>
        <w:adjustRightInd w:val="0"/>
        <w:snapToGrid w:val="0"/>
        <w:spacing w:line="360" w:lineRule="auto"/>
        <w:rPr>
          <w:rFonts w:ascii="宋体" w:eastAsia="宋体" w:cs="宋体" w:hint="eastAsia"/>
          <w:sz w:val="24"/>
          <w:szCs w:val="24"/>
        </w:rPr>
      </w:pPr>
    </w:p>
    <w:p>
      <w:pPr>
        <w:adjustRightInd w:val="0"/>
        <w:snapToGrid w:val="0"/>
        <w:spacing w:line="360" w:lineRule="auto"/>
        <w:rPr>
          <w:rFonts w:ascii="宋体" w:eastAsia="宋体" w:cs="宋体" w:hint="eastAsia"/>
          <w:sz w:val="24"/>
          <w:szCs w:val="24"/>
        </w:rPr>
      </w:pPr>
    </w:p>
    <w:p>
      <w:pPr>
        <w:numPr>
          <w:ilvl w:val="0"/>
          <w:numId w:val="16"/>
        </w:numPr>
        <w:adjustRightInd w:val="0"/>
        <w:snapToGrid w:val="0"/>
        <w:spacing w:line="360" w:lineRule="auto"/>
        <w:rPr>
          <w:rFonts w:ascii="宋体" w:eastAsia="宋体" w:cs="宋体" w:hint="eastAsia"/>
          <w:sz w:val="24"/>
          <w:szCs w:val="24"/>
        </w:rPr>
      </w:pPr>
      <w:r>
        <w:rPr>
          <w:rFonts w:ascii="宋体" w:eastAsia="宋体" w:cs="宋体" w:hint="eastAsia"/>
          <w:sz w:val="24"/>
          <w:szCs w:val="24"/>
        </w:rPr>
        <w:t>售后服务（不仅限于投标文件中的售后服务）</w:t>
      </w:r>
    </w:p>
    <w:p>
      <w:pPr>
        <w:widowControl/>
        <w:adjustRightInd w:val="0"/>
        <w:snapToGrid w:val="0"/>
        <w:spacing w:after="150" w:line="560" w:lineRule="exact"/>
        <w:jc w:val="left"/>
        <w:rPr>
          <w:rFonts w:ascii="宋体" w:eastAsia="宋体" w:cs="宋体" w:hint="eastAsia"/>
          <w:b/>
          <w:bCs/>
          <w:sz w:val="24"/>
          <w:szCs w:val="24"/>
        </w:rPr>
      </w:pPr>
    </w:p>
    <w:p>
      <w:pPr>
        <w:spacing w:line="500" w:lineRule="exact"/>
        <w:jc w:val="center"/>
        <w:outlineLvl w:val="0"/>
        <w:rPr>
          <w:rFonts w:ascii="宋体" w:eastAsia="宋体" w:cs="宋体" w:hint="eastAsia"/>
          <w:b/>
          <w:sz w:val="24"/>
          <w:szCs w:val="24"/>
        </w:rPr>
      </w:pPr>
    </w:p>
    <w:p>
      <w:pPr>
        <w:pStyle w:val="29"/>
        <w:rPr>
          <w:rFonts w:ascii="宋体" w:eastAsia="宋体" w:cs="宋体" w:hint="eastAsia"/>
          <w:sz w:val="24"/>
          <w:szCs w:val="24"/>
        </w:rPr>
      </w:pPr>
    </w:p>
    <w:p>
      <w:pPr>
        <w:spacing w:line="480" w:lineRule="auto"/>
        <w:rPr>
          <w:rFonts w:ascii="宋体" w:eastAsia="宋体" w:cs="宋体" w:hint="eastAsia"/>
          <w:bCs/>
          <w:sz w:val="24"/>
          <w:szCs w:val="24"/>
        </w:rPr>
      </w:pPr>
    </w:p>
    <w:p>
      <w:pPr>
        <w:spacing w:line="480" w:lineRule="auto"/>
        <w:rPr>
          <w:rFonts w:ascii="宋体" w:eastAsia="宋体" w:cs="宋体" w:hint="eastAsia"/>
          <w:bCs/>
          <w:sz w:val="24"/>
          <w:szCs w:val="24"/>
        </w:rPr>
      </w:pPr>
    </w:p>
    <w:p>
      <w:pPr>
        <w:spacing w:line="480" w:lineRule="auto"/>
        <w:rPr>
          <w:rFonts w:ascii="宋体" w:eastAsia="宋体" w:cs="宋体" w:hint="eastAsia"/>
          <w:bCs/>
          <w:sz w:val="24"/>
          <w:szCs w:val="24"/>
        </w:rPr>
      </w:pPr>
    </w:p>
    <w:p>
      <w:pPr>
        <w:spacing w:line="480" w:lineRule="auto"/>
        <w:rPr>
          <w:rFonts w:ascii="宋体" w:eastAsia="宋体" w:cs="宋体" w:hint="eastAsia"/>
          <w:bCs/>
          <w:sz w:val="24"/>
          <w:szCs w:val="24"/>
        </w:rPr>
      </w:pPr>
    </w:p>
    <w:p>
      <w:pPr>
        <w:spacing w:line="480" w:lineRule="auto"/>
        <w:rPr>
          <w:rFonts w:ascii="宋体" w:eastAsia="宋体" w:cs="宋体" w:hint="eastAsia"/>
          <w:bCs/>
          <w:sz w:val="24"/>
          <w:szCs w:val="24"/>
        </w:rPr>
      </w:pPr>
    </w:p>
    <w:p>
      <w:pPr>
        <w:spacing w:line="480" w:lineRule="auto"/>
        <w:rPr>
          <w:rFonts w:ascii="宋体" w:eastAsia="宋体" w:cs="宋体" w:hint="eastAsia"/>
          <w:bCs/>
          <w:sz w:val="24"/>
          <w:szCs w:val="24"/>
        </w:rPr>
      </w:pPr>
    </w:p>
    <w:p>
      <w:pPr>
        <w:rPr>
          <w:rFonts w:ascii="宋体" w:eastAsia="宋体" w:cs="宋体" w:hint="eastAsia"/>
        </w:rPr>
      </w:pPr>
    </w:p>
    <w:p>
      <w:pPr>
        <w:pStyle w:val="16"/>
        <w:rPr>
          <w:rFonts w:ascii="宋体" w:eastAsia="宋体" w:cs="宋体" w:hint="eastAsia"/>
        </w:rPr>
      </w:pPr>
    </w:p>
    <w:p>
      <w:pPr>
        <w:pStyle w:val="1"/>
        <w:spacing w:before="0" w:after="0" w:line="360" w:lineRule="auto"/>
        <w:ind w:rightChars="-208" w:right="-439"/>
        <w:jc w:val="center"/>
        <w:rPr>
          <w:rFonts w:ascii="宋体" w:eastAsia="宋体" w:cs="宋体" w:hint="eastAsia"/>
          <w:kern w:val="2"/>
          <w:sz w:val="48"/>
          <w:szCs w:val="48"/>
        </w:rPr>
      </w:pPr>
      <w:r>
        <w:rPr>
          <w:rFonts w:ascii="宋体" w:eastAsia="宋体" w:cs="宋体" w:hint="eastAsia"/>
          <w:kern w:val="2"/>
          <w:sz w:val="48"/>
          <w:szCs w:val="48"/>
        </w:rPr>
        <w:t>第</w:t>
      </w:r>
      <w:r>
        <w:rPr>
          <w:rFonts w:ascii="宋体" w:cs="宋体" w:hint="eastAsia"/>
          <w:kern w:val="2"/>
          <w:sz w:val="48"/>
          <w:szCs w:val="48"/>
          <w:lang w:val="en-US" w:eastAsia="zh-CN"/>
        </w:rPr>
        <w:t>四</w:t>
      </w:r>
      <w:r>
        <w:rPr>
          <w:rFonts w:ascii="宋体" w:eastAsia="宋体" w:cs="宋体" w:hint="eastAsia"/>
          <w:kern w:val="2"/>
          <w:sz w:val="48"/>
          <w:szCs w:val="48"/>
        </w:rPr>
        <w:t>章  投标文件格式</w:t>
      </w:r>
      <w:bookmarkEnd w:id="119"/>
      <w:bookmarkEnd w:id="120"/>
      <w:bookmarkEnd w:id="121"/>
      <w:bookmarkEnd w:id="122"/>
    </w:p>
    <w:p>
      <w:pPr>
        <w:rPr>
          <w:rFonts w:ascii="宋体" w:eastAsia="宋体" w:cs="宋体" w:hint="eastAsia"/>
        </w:rPr>
      </w:pPr>
      <w:bookmarkStart w:id="123" w:name="_Toc243976061"/>
      <w:bookmarkStart w:id="124" w:name="_Toc32597"/>
      <w:bookmarkStart w:id="125" w:name="_Toc226860618"/>
      <w:r>
        <w:rPr>
          <w:rFonts w:ascii="宋体" w:eastAsia="宋体" w:cs="宋体" w:hint="eastAsia"/>
        </w:rPr>
        <w:t>投标文件封面示例</w:t>
      </w:r>
    </w:p>
    <w:p>
      <w:pPr>
        <w:rPr>
          <w:rFonts w:ascii="宋体" w:eastAsia="宋体" w:cs="宋体" w:hint="eastAsia"/>
          <w:b/>
        </w:rPr>
      </w:pPr>
    </w:p>
    <w:p>
      <w:pPr>
        <w:jc w:val="right"/>
        <w:rPr>
          <w:rFonts w:ascii="宋体" w:eastAsia="宋体" w:cs="宋体" w:hint="eastAsia"/>
          <w:b/>
          <w:bdr w:val="single" w:sz="4" w:space="0" w:color="auto"/>
        </w:rPr>
      </w:pPr>
      <w:r>
        <w:rPr>
          <w:rFonts w:ascii="宋体" w:eastAsia="宋体" w:cs="宋体" w:hint="eastAsia"/>
          <w:b/>
          <w:bdr w:val="single" w:sz="4" w:space="0" w:color="auto"/>
        </w:rPr>
        <w:t>正本</w:t>
      </w:r>
    </w:p>
    <w:p>
      <w:pPr>
        <w:jc w:val="right"/>
        <w:rPr>
          <w:rFonts w:ascii="宋体" w:eastAsia="宋体" w:cs="宋体" w:hint="eastAsia"/>
          <w:b/>
          <w:bdr w:val="single" w:sz="4" w:space="0" w:color="auto"/>
        </w:rPr>
      </w:pPr>
    </w:p>
    <w:p>
      <w:pPr>
        <w:rPr>
          <w:rFonts w:ascii="宋体" w:eastAsia="宋体" w:cs="宋体" w:hint="eastAsia"/>
          <w:b/>
        </w:rPr>
      </w:pPr>
    </w:p>
    <w:p>
      <w:pPr>
        <w:rPr>
          <w:rFonts w:ascii="宋体" w:eastAsia="宋体" w:cs="宋体" w:hint="eastAsia"/>
          <w:b/>
        </w:rPr>
      </w:pPr>
    </w:p>
    <w:p>
      <w:pPr>
        <w:rPr>
          <w:rFonts w:ascii="宋体" w:eastAsia="宋体" w:cs="宋体" w:hint="eastAsia"/>
          <w:b/>
        </w:rPr>
      </w:pPr>
    </w:p>
    <w:p>
      <w:pPr>
        <w:rPr>
          <w:rFonts w:ascii="宋体" w:eastAsia="宋体" w:cs="宋体" w:hint="eastAsia"/>
          <w:b/>
        </w:rPr>
      </w:pPr>
    </w:p>
    <w:p>
      <w:pPr>
        <w:rPr>
          <w:rFonts w:ascii="宋体" w:eastAsia="宋体" w:cs="宋体" w:hint="eastAsia"/>
          <w:b/>
        </w:rPr>
      </w:pPr>
    </w:p>
    <w:p>
      <w:pPr>
        <w:rPr>
          <w:rFonts w:ascii="宋体" w:eastAsia="宋体" w:cs="宋体" w:hint="eastAsia"/>
          <w:b/>
        </w:rPr>
      </w:pPr>
    </w:p>
    <w:p>
      <w:pPr>
        <w:jc w:val="center"/>
        <w:rPr>
          <w:rFonts w:ascii="宋体" w:eastAsia="宋体" w:cs="宋体" w:hint="eastAsia"/>
          <w:b/>
        </w:rPr>
      </w:pPr>
      <w:r>
        <w:rPr>
          <w:rFonts w:ascii="宋体" w:eastAsia="宋体" w:cs="宋体" w:hint="eastAsia"/>
          <w:b/>
        </w:rPr>
        <w:t>投标文件</w:t>
      </w:r>
    </w:p>
    <w:p>
      <w:pPr>
        <w:rPr>
          <w:rFonts w:ascii="宋体" w:eastAsia="宋体" w:cs="宋体" w:hint="eastAsia"/>
          <w:b/>
        </w:rPr>
      </w:pPr>
    </w:p>
    <w:p>
      <w:pPr>
        <w:rPr>
          <w:rFonts w:ascii="宋体" w:eastAsia="宋体" w:cs="宋体" w:hint="eastAsia"/>
          <w:b/>
        </w:rPr>
      </w:pPr>
    </w:p>
    <w:p>
      <w:pPr>
        <w:rPr>
          <w:rFonts w:ascii="宋体" w:eastAsia="宋体" w:cs="宋体" w:hint="eastAsia"/>
          <w:b/>
        </w:rPr>
      </w:pPr>
    </w:p>
    <w:p>
      <w:pPr>
        <w:rPr>
          <w:rFonts w:ascii="宋体" w:eastAsia="宋体" w:cs="宋体" w:hint="eastAsia"/>
          <w:b/>
        </w:rPr>
      </w:pPr>
    </w:p>
    <w:p>
      <w:pPr>
        <w:rPr>
          <w:rFonts w:ascii="宋体" w:eastAsia="宋体" w:cs="宋体" w:hint="eastAsia"/>
          <w:b/>
        </w:rPr>
      </w:pPr>
    </w:p>
    <w:p>
      <w:pPr>
        <w:rPr>
          <w:rFonts w:ascii="宋体" w:eastAsia="宋体" w:cs="宋体" w:hint="eastAsia"/>
          <w:b/>
        </w:rPr>
      </w:pPr>
      <w:r>
        <w:rPr>
          <w:rFonts w:ascii="宋体" w:eastAsia="宋体" w:cs="宋体" w:hint="eastAsia"/>
          <w:b/>
        </w:rPr>
        <w:t xml:space="preserve">项目名称：××× </w:t>
      </w:r>
    </w:p>
    <w:p>
      <w:pPr>
        <w:rPr>
          <w:rFonts w:ascii="宋体" w:eastAsia="宋体" w:cs="宋体" w:hint="eastAsia"/>
          <w:b/>
        </w:rPr>
      </w:pPr>
    </w:p>
    <w:p>
      <w:pPr>
        <w:rPr>
          <w:rFonts w:ascii="宋体" w:eastAsia="宋体" w:cs="宋体" w:hint="eastAsia"/>
          <w:b/>
        </w:rPr>
      </w:pPr>
    </w:p>
    <w:p>
      <w:pPr>
        <w:rPr>
          <w:rFonts w:ascii="宋体" w:eastAsia="宋体" w:cs="宋体" w:hint="eastAsia"/>
          <w:b/>
        </w:rPr>
      </w:pPr>
      <w:r>
        <w:rPr>
          <w:rFonts w:ascii="宋体" w:eastAsia="宋体" w:cs="宋体" w:hint="eastAsia"/>
          <w:b/>
        </w:rPr>
        <w:t>招标人名称：×××</w:t>
      </w:r>
    </w:p>
    <w:p>
      <w:pPr>
        <w:rPr>
          <w:rFonts w:ascii="宋体" w:eastAsia="宋体" w:cs="宋体" w:hint="eastAsia"/>
          <w:b/>
        </w:rPr>
      </w:pPr>
    </w:p>
    <w:p>
      <w:pPr>
        <w:rPr>
          <w:rFonts w:ascii="宋体" w:eastAsia="宋体" w:cs="宋体" w:hint="eastAsia"/>
          <w:b/>
        </w:rPr>
      </w:pPr>
    </w:p>
    <w:p>
      <w:pPr>
        <w:rPr>
          <w:rFonts w:ascii="宋体" w:eastAsia="宋体" w:cs="宋体" w:hint="eastAsia"/>
          <w:b/>
        </w:rPr>
      </w:pPr>
      <w:r>
        <w:rPr>
          <w:rFonts w:ascii="宋体" w:eastAsia="宋体" w:cs="宋体" w:hint="eastAsia"/>
          <w:b/>
        </w:rPr>
        <w:t>投标人名称：×××</w:t>
      </w:r>
    </w:p>
    <w:p>
      <w:pPr>
        <w:rPr>
          <w:rFonts w:ascii="宋体" w:eastAsia="宋体" w:cs="宋体" w:hint="eastAsia"/>
          <w:b/>
        </w:rPr>
      </w:pPr>
    </w:p>
    <w:p>
      <w:pPr>
        <w:rPr>
          <w:rFonts w:ascii="宋体" w:eastAsia="宋体" w:cs="宋体" w:hint="eastAsia"/>
          <w:b/>
        </w:rPr>
      </w:pPr>
    </w:p>
    <w:p>
      <w:pPr>
        <w:rPr>
          <w:rFonts w:ascii="宋体" w:eastAsia="宋体" w:cs="宋体" w:hint="eastAsia"/>
          <w:b/>
        </w:rPr>
      </w:pPr>
      <w:r>
        <w:rPr>
          <w:rFonts w:ascii="宋体" w:eastAsia="宋体" w:cs="宋体" w:hint="eastAsia"/>
          <w:b/>
        </w:rPr>
        <w:t xml:space="preserve">联系人：                   联系电话：                </w:t>
      </w:r>
    </w:p>
    <w:p>
      <w:pPr>
        <w:rPr>
          <w:rFonts w:ascii="宋体" w:eastAsia="宋体" w:cs="宋体" w:hint="eastAsia"/>
          <w:b/>
        </w:rPr>
      </w:pPr>
    </w:p>
    <w:p>
      <w:pPr>
        <w:rPr>
          <w:rFonts w:ascii="宋体" w:eastAsia="宋体" w:cs="宋体" w:hint="eastAsia"/>
          <w:b/>
        </w:rPr>
      </w:pPr>
    </w:p>
    <w:p>
      <w:pPr>
        <w:rPr>
          <w:rFonts w:ascii="宋体" w:eastAsia="宋体" w:cs="宋体" w:hint="eastAsia"/>
          <w:b/>
        </w:rPr>
      </w:pPr>
      <w:r>
        <w:rPr>
          <w:rFonts w:ascii="宋体" w:eastAsia="宋体" w:cs="宋体" w:hint="eastAsia"/>
          <w:b/>
        </w:rPr>
        <w:t xml:space="preserve">投标人地址：                      </w:t>
      </w:r>
    </w:p>
    <w:p>
      <w:pPr>
        <w:rPr>
          <w:rFonts w:ascii="宋体" w:eastAsia="宋体" w:cs="宋体" w:hint="eastAsia"/>
          <w:b/>
        </w:rPr>
      </w:pPr>
    </w:p>
    <w:p>
      <w:pPr>
        <w:jc w:val="center"/>
        <w:rPr>
          <w:rFonts w:ascii="宋体" w:eastAsia="宋体" w:cs="宋体" w:hint="eastAsia"/>
          <w:b/>
        </w:rPr>
      </w:pPr>
      <w:r>
        <w:rPr>
          <w:rFonts w:ascii="宋体" w:eastAsia="宋体" w:cs="宋体" w:hint="eastAsia"/>
          <w:b/>
        </w:rPr>
        <w:br w:type="page"/>
        <w:t>投标文件目录</w:t>
      </w:r>
    </w:p>
    <w:p>
      <w:pPr>
        <w:spacing w:line="280" w:lineRule="exact"/>
        <w:rPr>
          <w:rFonts w:ascii="宋体" w:eastAsia="宋体" w:cs="宋体" w:hint="eastAsia"/>
        </w:rPr>
      </w:pPr>
      <w:r>
        <w:rPr>
          <w:rFonts w:ascii="宋体" w:eastAsia="宋体" w:cs="宋体" w:hint="eastAsia"/>
        </w:rPr>
        <w:t>1、投标承诺书</w:t>
      </w:r>
    </w:p>
    <w:p>
      <w:pPr>
        <w:spacing w:line="280" w:lineRule="exact"/>
        <w:rPr>
          <w:rFonts w:ascii="宋体" w:eastAsia="宋体" w:cs="宋体" w:hint="eastAsia"/>
        </w:rPr>
      </w:pPr>
      <w:r>
        <w:rPr>
          <w:rFonts w:ascii="宋体" w:eastAsia="宋体" w:cs="宋体" w:hint="eastAsia"/>
        </w:rPr>
        <w:t>2、法定代表人身份证明书</w:t>
      </w:r>
    </w:p>
    <w:p>
      <w:pPr>
        <w:spacing w:line="280" w:lineRule="exact"/>
        <w:rPr>
          <w:rFonts w:ascii="宋体" w:eastAsia="宋体" w:cs="宋体" w:hint="eastAsia"/>
        </w:rPr>
      </w:pPr>
      <w:r>
        <w:rPr>
          <w:rFonts w:ascii="宋体" w:eastAsia="宋体" w:cs="宋体" w:hint="eastAsia"/>
        </w:rPr>
        <w:t>3、法定代表人授权委托书</w:t>
      </w:r>
    </w:p>
    <w:p>
      <w:pPr>
        <w:spacing w:line="280" w:lineRule="exact"/>
        <w:rPr>
          <w:rFonts w:ascii="宋体" w:eastAsia="宋体" w:cs="宋体" w:hint="eastAsia"/>
        </w:rPr>
      </w:pPr>
      <w:r>
        <w:rPr>
          <w:rFonts w:ascii="宋体" w:eastAsia="宋体" w:cs="宋体" w:hint="eastAsia"/>
        </w:rPr>
        <w:t>4、投标人概况</w:t>
      </w:r>
    </w:p>
    <w:p>
      <w:pPr>
        <w:spacing w:line="280" w:lineRule="exact"/>
        <w:rPr>
          <w:rFonts w:ascii="宋体" w:eastAsia="宋体" w:cs="宋体" w:hint="eastAsia"/>
        </w:rPr>
      </w:pPr>
      <w:r>
        <w:rPr>
          <w:rFonts w:ascii="宋体" w:eastAsia="宋体" w:cs="宋体" w:hint="eastAsia"/>
        </w:rPr>
        <w:t>5、项目负责人</w:t>
      </w:r>
    </w:p>
    <w:p>
      <w:pPr>
        <w:spacing w:line="280" w:lineRule="exact"/>
        <w:rPr>
          <w:rFonts w:ascii="宋体" w:eastAsia="宋体" w:cs="宋体" w:hint="eastAsia"/>
        </w:rPr>
      </w:pPr>
      <w:r>
        <w:rPr>
          <w:rFonts w:ascii="宋体" w:eastAsia="宋体" w:cs="宋体" w:hint="eastAsia"/>
        </w:rPr>
        <w:t>6、拟投入人员</w:t>
      </w:r>
    </w:p>
    <w:p>
      <w:pPr>
        <w:spacing w:line="280" w:lineRule="exact"/>
        <w:rPr>
          <w:rFonts w:ascii="宋体" w:eastAsia="宋体" w:cs="宋体" w:hint="eastAsia"/>
        </w:rPr>
      </w:pPr>
      <w:r>
        <w:rPr>
          <w:rFonts w:ascii="宋体" w:eastAsia="宋体" w:cs="宋体" w:hint="eastAsia"/>
        </w:rPr>
        <w:t>7、投标人近3年来类似项目</w:t>
      </w:r>
    </w:p>
    <w:p>
      <w:pPr>
        <w:spacing w:line="280" w:lineRule="exact"/>
        <w:rPr>
          <w:rFonts w:ascii="宋体" w:eastAsia="宋体" w:cs="宋体" w:hint="eastAsia"/>
        </w:rPr>
      </w:pPr>
      <w:r>
        <w:rPr>
          <w:rFonts w:ascii="宋体" w:eastAsia="宋体" w:cs="宋体" w:hint="eastAsia"/>
        </w:rPr>
        <w:t>8、拟投入设备</w:t>
      </w:r>
    </w:p>
    <w:p>
      <w:pPr>
        <w:spacing w:line="280" w:lineRule="exact"/>
        <w:rPr>
          <w:rFonts w:ascii="宋体" w:eastAsia="宋体" w:cs="宋体" w:hint="eastAsia"/>
        </w:rPr>
      </w:pPr>
      <w:r>
        <w:rPr>
          <w:rFonts w:ascii="宋体" w:eastAsia="宋体" w:cs="宋体" w:hint="eastAsia"/>
        </w:rPr>
        <w:t>9、其他材料</w:t>
      </w:r>
    </w:p>
    <w:p>
      <w:pPr>
        <w:rPr>
          <w:rFonts w:ascii="宋体" w:eastAsia="宋体" w:cs="宋体" w:hint="eastAsia"/>
        </w:rPr>
      </w:pPr>
      <w:r>
        <w:rPr>
          <w:rFonts w:ascii="宋体" w:eastAsia="宋体" w:cs="宋体" w:hint="eastAsia"/>
        </w:rPr>
        <w:t>注：为了便于查找，请按上述顺序编制投标文件内容，并在目录中标明每项内容的起始页码。</w:t>
      </w:r>
    </w:p>
    <w:p>
      <w:pPr>
        <w:jc w:val="center"/>
        <w:rPr>
          <w:rFonts w:ascii="宋体" w:eastAsia="宋体" w:cs="宋体" w:hint="eastAsia"/>
          <w:b/>
        </w:rPr>
      </w:pPr>
      <w:r>
        <w:rPr>
          <w:rFonts w:ascii="宋体" w:eastAsia="宋体" w:cs="宋体" w:hint="eastAsia"/>
          <w:b/>
        </w:rPr>
        <w:br w:type="page"/>
        <w:t>投标承诺书(一)</w:t>
      </w:r>
    </w:p>
    <w:p>
      <w:pPr>
        <w:spacing w:line="360" w:lineRule="auto"/>
        <w:jc w:val="center"/>
        <w:rPr>
          <w:rFonts w:ascii="宋体" w:eastAsia="宋体" w:cs="宋体" w:hint="eastAsia"/>
          <w:b/>
        </w:rPr>
      </w:pPr>
    </w:p>
    <w:p>
      <w:pPr>
        <w:spacing w:line="360" w:lineRule="auto"/>
        <w:rPr>
          <w:rFonts w:ascii="宋体" w:eastAsia="宋体" w:cs="宋体" w:hint="eastAsia"/>
        </w:rPr>
      </w:pPr>
      <w:r>
        <w:rPr>
          <w:rFonts w:ascii="宋体" w:eastAsia="宋体" w:cs="宋体" w:hint="eastAsia"/>
        </w:rPr>
        <w:t xml:space="preserve">招标人：                       </w:t>
      </w:r>
    </w:p>
    <w:p>
      <w:pPr>
        <w:spacing w:line="360" w:lineRule="auto"/>
        <w:rPr>
          <w:rFonts w:ascii="宋体" w:eastAsia="宋体" w:cs="宋体" w:hint="eastAsia"/>
        </w:rPr>
      </w:pPr>
    </w:p>
    <w:p>
      <w:pPr>
        <w:spacing w:line="360" w:lineRule="auto"/>
        <w:ind w:firstLine="420"/>
        <w:rPr>
          <w:rFonts w:ascii="宋体" w:eastAsia="宋体" w:cs="宋体" w:hint="eastAsia"/>
        </w:rPr>
      </w:pPr>
      <w:r>
        <w:rPr>
          <w:rFonts w:ascii="宋体" w:eastAsia="宋体" w:cs="宋体" w:hint="eastAsia"/>
        </w:rPr>
        <w:t>1、根据已收到的           的招标文件，遵照招标投标法律法规的规定，经考察现场和研究贵方的招标文件，投标报价为￥                 元（大写：              元），来承担本项目招标范围内的工作。</w:t>
      </w:r>
    </w:p>
    <w:p>
      <w:pPr>
        <w:spacing w:line="360" w:lineRule="auto"/>
        <w:ind w:firstLineChars="200" w:firstLine="420"/>
        <w:rPr>
          <w:rFonts w:ascii="宋体" w:eastAsia="宋体" w:cs="宋体" w:hint="eastAsia"/>
        </w:rPr>
      </w:pPr>
      <w:r>
        <w:rPr>
          <w:rFonts w:ascii="宋体" w:eastAsia="宋体" w:cs="宋体" w:hint="eastAsia"/>
        </w:rPr>
        <w:t>2、一旦我方中标，我方保证在与招标人签订合同后立即开始工作，并将在    年    月    日内完成。</w:t>
      </w:r>
    </w:p>
    <w:p>
      <w:pPr>
        <w:spacing w:line="360" w:lineRule="auto"/>
        <w:ind w:firstLine="420"/>
        <w:rPr>
          <w:rFonts w:ascii="宋体" w:eastAsia="宋体" w:cs="宋体" w:hint="eastAsia"/>
        </w:rPr>
      </w:pPr>
      <w:r>
        <w:rPr>
          <w:rFonts w:ascii="宋体" w:eastAsia="宋体" w:cs="宋体" w:hint="eastAsia"/>
        </w:rPr>
        <w:t>3、一旦我方中标，我方保证将按国家相关标准及质量要求完成相关工作。</w:t>
      </w:r>
    </w:p>
    <w:p>
      <w:pPr>
        <w:spacing w:line="360" w:lineRule="auto"/>
        <w:ind w:firstLine="420"/>
        <w:rPr>
          <w:rFonts w:ascii="宋体" w:eastAsia="宋体" w:cs="宋体" w:hint="eastAsia"/>
        </w:rPr>
      </w:pPr>
      <w:r>
        <w:rPr>
          <w:rFonts w:ascii="宋体" w:eastAsia="宋体" w:cs="宋体" w:hint="eastAsia"/>
        </w:rPr>
        <w:t>4、如果我方中标，我方将在招标文件规定的时间内签订合同。如果我方违约，除没收投标保证金外，贵方有权终止我方中标并选择其它中标人。</w:t>
      </w:r>
    </w:p>
    <w:p>
      <w:pPr>
        <w:spacing w:line="360" w:lineRule="auto"/>
        <w:ind w:firstLine="420"/>
        <w:rPr>
          <w:rFonts w:ascii="宋体" w:eastAsia="宋体" w:cs="宋体" w:hint="eastAsia"/>
        </w:rPr>
      </w:pPr>
      <w:r>
        <w:rPr>
          <w:rFonts w:ascii="宋体" w:eastAsia="宋体" w:cs="宋体" w:hint="eastAsia"/>
        </w:rPr>
        <w:t>5、贵方的中标通知书和本投标文件将构成约束双方的合同。</w:t>
      </w:r>
    </w:p>
    <w:p>
      <w:pPr>
        <w:spacing w:line="360" w:lineRule="auto"/>
        <w:ind w:firstLine="420"/>
        <w:rPr>
          <w:rFonts w:ascii="宋体" w:eastAsia="宋体" w:cs="宋体" w:hint="eastAsia"/>
        </w:rPr>
      </w:pPr>
      <w:r>
        <w:rPr>
          <w:rFonts w:ascii="宋体" w:eastAsia="宋体" w:cs="宋体" w:hint="eastAsia"/>
        </w:rPr>
        <w:t>6、如果我方未中标，贵方没有必要对我方做出任何解释和说明，我方将充分尊重和理解贵方的选择。</w:t>
      </w:r>
    </w:p>
    <w:p>
      <w:pPr>
        <w:rPr>
          <w:rFonts w:ascii="宋体" w:eastAsia="宋体" w:cs="宋体" w:hint="eastAsia"/>
        </w:rPr>
      </w:pPr>
    </w:p>
    <w:p>
      <w:pPr>
        <w:rPr>
          <w:rFonts w:ascii="宋体" w:eastAsia="宋体" w:cs="宋体" w:hint="eastAsia"/>
        </w:rPr>
      </w:pPr>
    </w:p>
    <w:p>
      <w:pPr>
        <w:rPr>
          <w:rFonts w:ascii="宋体" w:eastAsia="宋体" w:cs="宋体" w:hint="eastAsia"/>
        </w:rPr>
      </w:pPr>
    </w:p>
    <w:p>
      <w:pPr>
        <w:rPr>
          <w:rFonts w:ascii="宋体" w:eastAsia="宋体" w:cs="宋体" w:hint="eastAsia"/>
        </w:rPr>
      </w:pPr>
    </w:p>
    <w:p>
      <w:pPr>
        <w:rPr>
          <w:rFonts w:ascii="宋体" w:eastAsia="宋体" w:cs="宋体" w:hint="eastAsia"/>
        </w:rPr>
      </w:pPr>
    </w:p>
    <w:p>
      <w:pPr>
        <w:rPr>
          <w:rFonts w:ascii="宋体" w:eastAsia="宋体" w:cs="宋体" w:hint="eastAsia"/>
        </w:rPr>
      </w:pPr>
      <w:r>
        <w:rPr>
          <w:rFonts w:ascii="宋体" w:eastAsia="宋体" w:cs="宋体" w:hint="eastAsia"/>
        </w:rPr>
        <w:t>投标人：（盖章）</w:t>
      </w:r>
    </w:p>
    <w:p>
      <w:pPr>
        <w:spacing w:line="500" w:lineRule="exact"/>
        <w:rPr>
          <w:rFonts w:ascii="宋体" w:eastAsia="宋体" w:cs="宋体" w:hint="eastAsia"/>
        </w:rPr>
      </w:pPr>
    </w:p>
    <w:p>
      <w:pPr>
        <w:spacing w:line="500" w:lineRule="exact"/>
        <w:rPr>
          <w:rFonts w:ascii="宋体" w:eastAsia="宋体" w:cs="宋体" w:hint="eastAsia"/>
        </w:rPr>
      </w:pPr>
      <w:r>
        <w:rPr>
          <w:rFonts w:ascii="宋体" w:eastAsia="宋体" w:cs="宋体" w:hint="eastAsia"/>
        </w:rPr>
        <w:t>法定代表人或授权代理人：（签字）</w:t>
      </w:r>
    </w:p>
    <w:p>
      <w:pPr>
        <w:rPr>
          <w:rFonts w:ascii="宋体" w:eastAsia="宋体" w:cs="宋体" w:hint="eastAsia"/>
        </w:rPr>
      </w:pPr>
    </w:p>
    <w:p>
      <w:pPr>
        <w:rPr>
          <w:rFonts w:ascii="宋体" w:eastAsia="宋体" w:cs="宋体" w:hint="eastAsia"/>
        </w:rPr>
      </w:pPr>
    </w:p>
    <w:p>
      <w:pPr>
        <w:wordWrap w:val="0"/>
        <w:jc w:val="right"/>
        <w:rPr>
          <w:rFonts w:ascii="宋体" w:eastAsia="宋体" w:cs="宋体" w:hint="eastAsia"/>
        </w:rPr>
      </w:pPr>
      <w:r>
        <w:rPr>
          <w:rFonts w:ascii="宋体" w:eastAsia="宋体" w:cs="宋体" w:hint="eastAsia"/>
        </w:rPr>
        <w:t>日期：        年    月    日</w:t>
      </w:r>
    </w:p>
    <w:p>
      <w:pPr>
        <w:jc w:val="center"/>
        <w:rPr>
          <w:rFonts w:ascii="宋体" w:eastAsia="宋体" w:cs="宋体" w:hint="eastAsia"/>
          <w:b/>
          <w:bCs/>
        </w:rPr>
      </w:pPr>
      <w:r>
        <w:rPr>
          <w:rFonts w:ascii="宋体" w:eastAsia="宋体" w:cs="宋体" w:hint="eastAsia"/>
          <w:b/>
        </w:rPr>
        <w:br w:type="page"/>
      </w:r>
      <w:r>
        <w:rPr>
          <w:rFonts w:ascii="宋体" w:eastAsia="宋体" w:cs="宋体" w:hint="eastAsia"/>
          <w:b/>
          <w:bCs/>
        </w:rPr>
        <w:t>投标承诺书（二）</w:t>
      </w:r>
    </w:p>
    <w:p>
      <w:pPr>
        <w:ind w:leftChars="202" w:left="424"/>
        <w:rPr>
          <w:rFonts w:ascii="宋体" w:eastAsia="宋体" w:cs="宋体" w:hint="eastAsia"/>
          <w:b/>
        </w:rPr>
      </w:pPr>
    </w:p>
    <w:p>
      <w:pPr>
        <w:spacing w:line="360" w:lineRule="auto"/>
        <w:ind w:leftChars="202" w:left="424"/>
        <w:jc w:val="center"/>
        <w:rPr>
          <w:rFonts w:ascii="宋体" w:eastAsia="宋体" w:cs="宋体" w:hint="eastAsia"/>
          <w:b/>
        </w:rPr>
      </w:pPr>
    </w:p>
    <w:p>
      <w:pPr>
        <w:spacing w:line="360" w:lineRule="auto"/>
        <w:ind w:leftChars="202" w:left="424"/>
        <w:rPr>
          <w:rFonts w:ascii="宋体" w:eastAsia="宋体" w:cs="宋体" w:hint="eastAsia"/>
        </w:rPr>
      </w:pPr>
      <w:r>
        <w:rPr>
          <w:rFonts w:ascii="宋体" w:eastAsia="宋体" w:cs="宋体" w:hint="eastAsia"/>
        </w:rPr>
        <w:t xml:space="preserve">招标人：                 </w:t>
      </w:r>
    </w:p>
    <w:p>
      <w:pPr>
        <w:spacing w:line="360" w:lineRule="auto"/>
        <w:ind w:leftChars="202" w:left="424"/>
        <w:rPr>
          <w:rFonts w:ascii="宋体" w:eastAsia="宋体" w:cs="宋体" w:hint="eastAsia"/>
        </w:rPr>
      </w:pPr>
    </w:p>
    <w:p>
      <w:pPr>
        <w:spacing w:line="360" w:lineRule="auto"/>
        <w:ind w:leftChars="202" w:left="424"/>
        <w:rPr>
          <w:rFonts w:ascii="宋体" w:eastAsia="宋体" w:cs="宋体" w:hint="eastAsia"/>
        </w:rPr>
      </w:pPr>
      <w:r>
        <w:rPr>
          <w:rFonts w:ascii="宋体" w:eastAsia="宋体" w:cs="宋体" w:hint="eastAsia"/>
        </w:rPr>
        <w:t>若我公司中标后，项目负责人为：</w:t>
      </w:r>
    </w:p>
    <w:p>
      <w:pPr>
        <w:spacing w:line="360" w:lineRule="auto"/>
        <w:ind w:leftChars="202" w:left="424"/>
        <w:rPr>
          <w:rFonts w:ascii="宋体" w:eastAsia="宋体" w:cs="宋体" w:hint="eastAsia"/>
        </w:rPr>
      </w:pPr>
    </w:p>
    <w:tbl>
      <w:tblPr>
        <w:jc w:val="left"/>
        <w:tblInd w:w="0" w:type="dxa"/>
        <w:tblW w:w="9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407"/>
        <w:gridCol w:w="2404"/>
        <w:gridCol w:w="2409"/>
        <w:gridCol w:w="2404"/>
      </w:tblGrid>
      <w:tr>
        <w:tc>
          <w:tcPr>
            <w:tcW w:w="2407" w:type="dxa"/>
            <w:tcBorders>
              <w:top w:val="single" w:sz="4" w:space="0" w:color="auto"/>
              <w:left w:val="single" w:sz="4" w:space="0" w:color="auto"/>
              <w:bottom w:val="single" w:sz="4" w:space="0" w:color="auto"/>
              <w:right w:val="single" w:sz="4" w:space="0" w:color="auto"/>
            </w:tcBorders>
            <w:noWrap/>
          </w:tcPr>
          <w:p>
            <w:pPr>
              <w:rPr>
                <w:rFonts w:ascii="宋体" w:eastAsia="宋体" w:cs="宋体" w:hint="eastAsia"/>
              </w:rPr>
            </w:pPr>
            <w:r>
              <w:rPr>
                <w:rFonts w:ascii="宋体" w:eastAsia="宋体" w:cs="宋体" w:hint="eastAsia"/>
              </w:rPr>
              <w:t>姓名</w:t>
            </w:r>
          </w:p>
        </w:tc>
        <w:tc>
          <w:tcPr>
            <w:tcW w:w="2404" w:type="dxa"/>
            <w:tcBorders>
              <w:top w:val="single" w:sz="4" w:space="0" w:color="auto"/>
              <w:left w:val="single" w:sz="4" w:space="0" w:color="auto"/>
              <w:bottom w:val="single" w:sz="4" w:space="0" w:color="auto"/>
              <w:right w:val="single" w:sz="4" w:space="0" w:color="auto"/>
            </w:tcBorders>
            <w:noWrap/>
          </w:tcPr>
          <w:p>
            <w:pPr>
              <w:rPr>
                <w:rFonts w:ascii="宋体" w:eastAsia="宋体" w:cs="宋体" w:hint="eastAsia"/>
              </w:rPr>
            </w:pPr>
          </w:p>
        </w:tc>
        <w:tc>
          <w:tcPr>
            <w:tcW w:w="2409" w:type="dxa"/>
            <w:tcBorders>
              <w:top w:val="single" w:sz="4" w:space="0" w:color="auto"/>
              <w:left w:val="single" w:sz="4" w:space="0" w:color="auto"/>
              <w:bottom w:val="single" w:sz="4" w:space="0" w:color="auto"/>
              <w:right w:val="single" w:sz="4" w:space="0" w:color="auto"/>
            </w:tcBorders>
            <w:noWrap/>
          </w:tcPr>
          <w:p>
            <w:pPr>
              <w:rPr>
                <w:rFonts w:ascii="宋体" w:eastAsia="宋体" w:cs="宋体" w:hint="eastAsia"/>
              </w:rPr>
            </w:pPr>
            <w:r>
              <w:rPr>
                <w:rFonts w:ascii="宋体" w:eastAsia="宋体" w:cs="宋体" w:hint="eastAsia"/>
              </w:rPr>
              <w:t>职称</w:t>
            </w:r>
          </w:p>
        </w:tc>
        <w:tc>
          <w:tcPr>
            <w:tcW w:w="2404" w:type="dxa"/>
            <w:tcBorders>
              <w:top w:val="single" w:sz="4" w:space="0" w:color="auto"/>
              <w:left w:val="single" w:sz="4" w:space="0" w:color="auto"/>
              <w:bottom w:val="single" w:sz="4" w:space="0" w:color="auto"/>
              <w:right w:val="single" w:sz="4" w:space="0" w:color="auto"/>
            </w:tcBorders>
            <w:noWrap/>
          </w:tcPr>
          <w:p>
            <w:pPr>
              <w:rPr>
                <w:rFonts w:ascii="宋体" w:eastAsia="宋体" w:cs="宋体" w:hint="eastAsia"/>
              </w:rPr>
            </w:pPr>
          </w:p>
        </w:tc>
      </w:tr>
      <w:tr>
        <w:trPr>
          <w:cantSplit/>
        </w:trPr>
        <w:tc>
          <w:tcPr>
            <w:tcW w:w="2407" w:type="dxa"/>
            <w:tcBorders>
              <w:top w:val="single" w:sz="4" w:space="0" w:color="auto"/>
              <w:left w:val="single" w:sz="4" w:space="0" w:color="auto"/>
              <w:bottom w:val="single" w:sz="4" w:space="0" w:color="auto"/>
              <w:right w:val="single" w:sz="4" w:space="0" w:color="auto"/>
            </w:tcBorders>
            <w:noWrap/>
          </w:tcPr>
          <w:p>
            <w:pPr>
              <w:rPr>
                <w:rFonts w:ascii="宋体" w:eastAsia="宋体" w:cs="宋体" w:hint="eastAsia"/>
              </w:rPr>
            </w:pPr>
            <w:r>
              <w:rPr>
                <w:rFonts w:ascii="宋体" w:eastAsia="宋体" w:cs="宋体" w:hint="eastAsia"/>
              </w:rPr>
              <w:t>相关证件号</w:t>
            </w:r>
          </w:p>
        </w:tc>
        <w:tc>
          <w:tcPr>
            <w:tcW w:w="7217" w:type="dxa"/>
            <w:gridSpan w:val="3"/>
            <w:tcBorders>
              <w:top w:val="single" w:sz="4" w:space="0" w:color="auto"/>
              <w:left w:val="single" w:sz="4" w:space="0" w:color="auto"/>
              <w:bottom w:val="single" w:sz="4" w:space="0" w:color="auto"/>
              <w:right w:val="single" w:sz="4" w:space="0" w:color="auto"/>
            </w:tcBorders>
            <w:noWrap/>
          </w:tcPr>
          <w:p>
            <w:pPr>
              <w:rPr>
                <w:rFonts w:ascii="宋体" w:eastAsia="宋体" w:cs="宋体" w:hint="eastAsia"/>
              </w:rPr>
            </w:pPr>
          </w:p>
        </w:tc>
      </w:tr>
      <w:tr>
        <w:trPr>
          <w:cantSplit/>
        </w:trPr>
        <w:tc>
          <w:tcPr>
            <w:tcW w:w="2407" w:type="dxa"/>
            <w:tcBorders>
              <w:top w:val="single" w:sz="4" w:space="0" w:color="auto"/>
              <w:left w:val="single" w:sz="4" w:space="0" w:color="auto"/>
              <w:bottom w:val="single" w:sz="4" w:space="0" w:color="auto"/>
              <w:right w:val="single" w:sz="4" w:space="0" w:color="auto"/>
            </w:tcBorders>
            <w:noWrap/>
          </w:tcPr>
          <w:p>
            <w:pPr>
              <w:rPr>
                <w:rFonts w:ascii="宋体" w:eastAsia="宋体" w:cs="宋体" w:hint="eastAsia"/>
              </w:rPr>
            </w:pPr>
            <w:r>
              <w:rPr>
                <w:rFonts w:ascii="宋体" w:eastAsia="宋体" w:cs="宋体" w:hint="eastAsia"/>
              </w:rPr>
              <w:t>身份证号码</w:t>
            </w:r>
          </w:p>
        </w:tc>
        <w:tc>
          <w:tcPr>
            <w:tcW w:w="7217" w:type="dxa"/>
            <w:gridSpan w:val="3"/>
            <w:tcBorders>
              <w:top w:val="single" w:sz="4" w:space="0" w:color="auto"/>
              <w:left w:val="single" w:sz="4" w:space="0" w:color="auto"/>
              <w:bottom w:val="single" w:sz="4" w:space="0" w:color="auto"/>
              <w:right w:val="single" w:sz="4" w:space="0" w:color="auto"/>
            </w:tcBorders>
            <w:noWrap/>
          </w:tcPr>
          <w:p>
            <w:pPr>
              <w:rPr>
                <w:rFonts w:ascii="宋体" w:eastAsia="宋体" w:cs="宋体" w:hint="eastAsia"/>
              </w:rPr>
            </w:pPr>
          </w:p>
        </w:tc>
      </w:tr>
    </w:tbl>
    <w:p>
      <w:pPr>
        <w:rPr>
          <w:rFonts w:ascii="宋体" w:eastAsia="宋体" w:cs="宋体" w:hint="eastAsia"/>
        </w:rPr>
      </w:pPr>
    </w:p>
    <w:p>
      <w:pPr>
        <w:ind w:firstLineChars="200" w:firstLine="420"/>
        <w:rPr>
          <w:rFonts w:ascii="宋体" w:eastAsia="宋体" w:cs="宋体" w:hint="eastAsia"/>
        </w:rPr>
      </w:pPr>
      <w:r>
        <w:rPr>
          <w:rFonts w:ascii="宋体" w:eastAsia="宋体" w:cs="宋体" w:hint="eastAsia"/>
        </w:rPr>
        <w:t>中标后，若由于特殊原因须更换时，我方将以不低于此项目负责人信誉的人员替换，并报业主审查。经审查通过后，方可更换。若未经业主批准，我方擅自更换，我方愿以合同价的  5  %作为赔偿金。</w:t>
      </w:r>
    </w:p>
    <w:p>
      <w:pPr>
        <w:rPr>
          <w:rFonts w:ascii="宋体" w:eastAsia="宋体" w:cs="宋体" w:hint="eastAsia"/>
        </w:rPr>
      </w:pPr>
    </w:p>
    <w:p>
      <w:pPr>
        <w:rPr>
          <w:rFonts w:ascii="宋体" w:eastAsia="宋体" w:cs="宋体" w:hint="eastAsia"/>
        </w:rPr>
      </w:pPr>
    </w:p>
    <w:p>
      <w:pPr>
        <w:rPr>
          <w:rFonts w:ascii="宋体" w:eastAsia="宋体" w:cs="宋体" w:hint="eastAsia"/>
        </w:rPr>
      </w:pPr>
    </w:p>
    <w:p>
      <w:pPr>
        <w:rPr>
          <w:rFonts w:ascii="宋体" w:eastAsia="宋体" w:cs="宋体" w:hint="eastAsia"/>
        </w:rPr>
      </w:pPr>
    </w:p>
    <w:p>
      <w:pPr>
        <w:rPr>
          <w:rFonts w:ascii="宋体" w:eastAsia="宋体" w:cs="宋体" w:hint="eastAsia"/>
        </w:rPr>
      </w:pPr>
      <w:r>
        <w:rPr>
          <w:rFonts w:ascii="宋体" w:eastAsia="宋体" w:cs="宋体" w:hint="eastAsia"/>
        </w:rPr>
        <w:t>投标人：（盖章）</w:t>
      </w:r>
    </w:p>
    <w:p>
      <w:pPr>
        <w:spacing w:line="500" w:lineRule="exact"/>
        <w:rPr>
          <w:rFonts w:ascii="宋体" w:eastAsia="宋体" w:cs="宋体" w:hint="eastAsia"/>
        </w:rPr>
      </w:pPr>
    </w:p>
    <w:p>
      <w:pPr>
        <w:spacing w:line="500" w:lineRule="exact"/>
        <w:rPr>
          <w:rFonts w:ascii="宋体" w:eastAsia="宋体" w:cs="宋体" w:hint="eastAsia"/>
        </w:rPr>
      </w:pPr>
      <w:r>
        <w:rPr>
          <w:rFonts w:ascii="宋体" w:eastAsia="宋体" w:cs="宋体" w:hint="eastAsia"/>
        </w:rPr>
        <w:t>法定代表人或授权代理人：（签字）</w:t>
      </w:r>
    </w:p>
    <w:p>
      <w:pPr>
        <w:rPr>
          <w:rFonts w:ascii="宋体" w:eastAsia="宋体" w:cs="宋体" w:hint="eastAsia"/>
        </w:rPr>
      </w:pPr>
    </w:p>
    <w:p>
      <w:pPr>
        <w:rPr>
          <w:rFonts w:ascii="宋体" w:eastAsia="宋体" w:cs="宋体" w:hint="eastAsia"/>
        </w:rPr>
      </w:pPr>
    </w:p>
    <w:p>
      <w:pPr>
        <w:rPr>
          <w:rFonts w:ascii="宋体" w:eastAsia="宋体" w:cs="宋体" w:hint="eastAsia"/>
        </w:rPr>
      </w:pPr>
    </w:p>
    <w:p>
      <w:pPr>
        <w:wordWrap w:val="0"/>
        <w:jc w:val="right"/>
        <w:rPr>
          <w:rFonts w:ascii="宋体" w:eastAsia="宋体" w:cs="宋体" w:hint="eastAsia"/>
        </w:rPr>
      </w:pPr>
      <w:r>
        <w:rPr>
          <w:rFonts w:ascii="宋体" w:eastAsia="宋体" w:cs="宋体" w:hint="eastAsia"/>
        </w:rPr>
        <w:t>日期：        年    月    日</w:t>
      </w:r>
    </w:p>
    <w:p>
      <w:pPr>
        <w:rPr>
          <w:rFonts w:ascii="宋体" w:eastAsia="宋体" w:cs="宋体" w:hint="eastAsia"/>
        </w:rPr>
      </w:pPr>
      <w:r>
        <w:rPr>
          <w:rFonts w:ascii="宋体" w:eastAsia="宋体" w:cs="宋体" w:hint="eastAsia"/>
        </w:rPr>
        <w:t xml:space="preserve"> </w:t>
      </w:r>
    </w:p>
    <w:p>
      <w:pPr>
        <w:jc w:val="center"/>
        <w:rPr>
          <w:rFonts w:ascii="宋体" w:eastAsia="宋体" w:cs="宋体" w:hint="eastAsia"/>
          <w:b/>
          <w:bCs/>
        </w:rPr>
      </w:pPr>
      <w:r>
        <w:rPr>
          <w:rFonts w:ascii="宋体" w:eastAsia="宋体" w:cs="宋体" w:hint="eastAsia"/>
          <w:b/>
        </w:rPr>
        <w:br w:type="page"/>
      </w:r>
      <w:r>
        <w:rPr>
          <w:rFonts w:ascii="宋体" w:eastAsia="宋体" w:cs="宋体" w:hint="eastAsia"/>
          <w:b/>
          <w:bCs/>
        </w:rPr>
        <w:t>法定代表人身份证明书</w:t>
      </w:r>
    </w:p>
    <w:p>
      <w:pPr>
        <w:jc w:val="center"/>
        <w:rPr>
          <w:rFonts w:ascii="宋体" w:eastAsia="宋体" w:cs="宋体" w:hint="eastAsia"/>
          <w:b/>
          <w:bCs/>
        </w:rPr>
      </w:pPr>
    </w:p>
    <w:p>
      <w:pPr>
        <w:rPr>
          <w:rFonts w:ascii="宋体" w:eastAsia="宋体" w:cs="宋体" w:hint="eastAsia"/>
        </w:rPr>
      </w:pPr>
      <w:r>
        <w:rPr>
          <w:rFonts w:ascii="宋体" w:eastAsia="宋体" w:cs="宋体" w:hint="eastAsia"/>
        </w:rPr>
        <w:t xml:space="preserve">单位名称：                                                   </w:t>
      </w:r>
    </w:p>
    <w:p>
      <w:pPr>
        <w:rPr>
          <w:rFonts w:ascii="宋体" w:eastAsia="宋体" w:cs="宋体" w:hint="eastAsia"/>
        </w:rPr>
      </w:pPr>
    </w:p>
    <w:p>
      <w:pPr>
        <w:rPr>
          <w:rFonts w:ascii="宋体" w:eastAsia="宋体" w:cs="宋体" w:hint="eastAsia"/>
        </w:rPr>
      </w:pPr>
      <w:r>
        <w:rPr>
          <w:rFonts w:ascii="宋体" w:eastAsia="宋体" w:cs="宋体" w:hint="eastAsia"/>
        </w:rPr>
        <w:t xml:space="preserve">企业类型：                                                   </w:t>
      </w:r>
    </w:p>
    <w:p>
      <w:pPr>
        <w:rPr>
          <w:rFonts w:ascii="宋体" w:eastAsia="宋体" w:cs="宋体" w:hint="eastAsia"/>
        </w:rPr>
      </w:pPr>
    </w:p>
    <w:p>
      <w:pPr>
        <w:rPr>
          <w:rFonts w:ascii="宋体" w:eastAsia="宋体" w:cs="宋体" w:hint="eastAsia"/>
        </w:rPr>
      </w:pPr>
      <w:r>
        <w:rPr>
          <w:rFonts w:ascii="宋体" w:eastAsia="宋体" w:cs="宋体" w:hint="eastAsia"/>
        </w:rPr>
        <w:t xml:space="preserve">地    址：                                                   </w:t>
      </w:r>
    </w:p>
    <w:p>
      <w:pPr>
        <w:rPr>
          <w:rFonts w:ascii="宋体" w:eastAsia="宋体" w:cs="宋体" w:hint="eastAsia"/>
        </w:rPr>
      </w:pPr>
    </w:p>
    <w:p>
      <w:pPr>
        <w:rPr>
          <w:rFonts w:ascii="宋体" w:eastAsia="宋体" w:cs="宋体" w:hint="eastAsia"/>
        </w:rPr>
      </w:pPr>
      <w:r>
        <w:rPr>
          <w:rFonts w:ascii="宋体" w:eastAsia="宋体" w:cs="宋体" w:hint="eastAsia"/>
        </w:rPr>
        <w:t xml:space="preserve">营业期限：                                                   </w:t>
      </w:r>
    </w:p>
    <w:p>
      <w:pPr>
        <w:rPr>
          <w:rFonts w:ascii="宋体" w:eastAsia="宋体" w:cs="宋体" w:hint="eastAsia"/>
        </w:rPr>
      </w:pPr>
    </w:p>
    <w:p>
      <w:pPr>
        <w:rPr>
          <w:rFonts w:ascii="宋体" w:eastAsia="宋体" w:cs="宋体" w:hint="eastAsia"/>
        </w:rPr>
      </w:pPr>
      <w:r>
        <w:rPr>
          <w:rFonts w:ascii="宋体" w:eastAsia="宋体" w:cs="宋体" w:hint="eastAsia"/>
        </w:rPr>
        <w:t xml:space="preserve">成立时间：                                                   </w:t>
      </w:r>
    </w:p>
    <w:p>
      <w:pPr>
        <w:rPr>
          <w:rFonts w:ascii="宋体" w:eastAsia="宋体" w:cs="宋体" w:hint="eastAsia"/>
        </w:rPr>
      </w:pPr>
    </w:p>
    <w:p>
      <w:pPr>
        <w:rPr>
          <w:rFonts w:ascii="宋体" w:eastAsia="宋体" w:cs="宋体" w:hint="eastAsia"/>
        </w:rPr>
      </w:pPr>
    </w:p>
    <w:p>
      <w:pPr>
        <w:rPr>
          <w:rFonts w:ascii="宋体" w:eastAsia="宋体" w:cs="宋体" w:hint="eastAsia"/>
        </w:rPr>
      </w:pPr>
    </w:p>
    <w:p>
      <w:pPr>
        <w:rPr>
          <w:rFonts w:ascii="宋体" w:eastAsia="宋体" w:cs="宋体" w:hint="eastAsia"/>
        </w:rPr>
      </w:pPr>
      <w:r>
        <w:rPr>
          <w:rFonts w:ascii="宋体" w:eastAsia="宋体" w:cs="宋体" w:hint="eastAsia"/>
        </w:rPr>
        <w:t xml:space="preserve">姓名：                 性别：                 年龄：                职务：               </w:t>
      </w:r>
    </w:p>
    <w:p>
      <w:pPr>
        <w:rPr>
          <w:rFonts w:ascii="宋体" w:eastAsia="宋体" w:cs="宋体" w:hint="eastAsia"/>
        </w:rPr>
      </w:pPr>
      <w:r>
        <w:rPr>
          <w:rFonts w:ascii="宋体" w:eastAsia="宋体" w:cs="宋体" w:hint="eastAsia"/>
        </w:rPr>
        <w:t>系          （投标人名称）               的法定代表人。</w:t>
      </w:r>
    </w:p>
    <w:p>
      <w:pPr>
        <w:rPr>
          <w:rFonts w:ascii="宋体" w:eastAsia="宋体" w:cs="宋体" w:hint="eastAsia"/>
        </w:rPr>
      </w:pPr>
    </w:p>
    <w:tbl>
      <w:tblPr>
        <w:jc w:val="left"/>
        <w:tblInd w:w="108" w:type="dxa"/>
        <w:tblW w:w="88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8820"/>
      </w:tblGrid>
      <w:tr>
        <w:trPr>
          <w:trHeight w:val="3435"/>
        </w:trPr>
        <w:tc>
          <w:tcPr>
            <w:tcW w:w="8820" w:type="dxa"/>
            <w:tcBorders>
              <w:top w:val="single" w:sz="4" w:space="0" w:color="auto"/>
              <w:left w:val="single" w:sz="4" w:space="0" w:color="auto"/>
              <w:bottom w:val="single" w:sz="4" w:space="0" w:color="auto"/>
              <w:right w:val="single" w:sz="4" w:space="0" w:color="auto"/>
            </w:tcBorders>
            <w:noWrap/>
          </w:tcPr>
          <w:p>
            <w:pPr>
              <w:rPr>
                <w:rFonts w:ascii="宋体" w:eastAsia="宋体" w:cs="宋体" w:hint="eastAsia"/>
              </w:rPr>
            </w:pPr>
            <w:r>
              <w:rPr>
                <w:rFonts w:ascii="宋体" w:eastAsia="宋体" w:cs="宋体" w:hint="eastAsia"/>
              </w:rPr>
              <w:t>附身份证正反面</w:t>
            </w:r>
          </w:p>
          <w:p>
            <w:pPr>
              <w:rPr>
                <w:rFonts w:ascii="宋体" w:eastAsia="宋体" w:cs="宋体" w:hint="eastAsia"/>
              </w:rPr>
            </w:pPr>
          </w:p>
          <w:p>
            <w:pPr>
              <w:rPr>
                <w:rFonts w:ascii="宋体" w:eastAsia="宋体" w:cs="宋体" w:hint="eastAsia"/>
              </w:rPr>
            </w:pPr>
          </w:p>
          <w:p>
            <w:pPr>
              <w:rPr>
                <w:rFonts w:ascii="宋体" w:eastAsia="宋体" w:cs="宋体" w:hint="eastAsia"/>
              </w:rPr>
            </w:pPr>
          </w:p>
          <w:p>
            <w:pPr>
              <w:rPr>
                <w:rFonts w:ascii="宋体" w:eastAsia="宋体" w:cs="宋体" w:hint="eastAsia"/>
              </w:rPr>
            </w:pPr>
          </w:p>
          <w:p>
            <w:pPr>
              <w:rPr>
                <w:rFonts w:ascii="宋体" w:eastAsia="宋体" w:cs="宋体" w:hint="eastAsia"/>
              </w:rPr>
            </w:pPr>
          </w:p>
          <w:p>
            <w:pPr>
              <w:rPr>
                <w:rFonts w:ascii="宋体" w:eastAsia="宋体" w:cs="宋体" w:hint="eastAsia"/>
              </w:rPr>
            </w:pPr>
          </w:p>
          <w:p>
            <w:pPr>
              <w:rPr>
                <w:rFonts w:ascii="宋体" w:eastAsia="宋体" w:cs="宋体" w:hint="eastAsia"/>
              </w:rPr>
            </w:pPr>
          </w:p>
          <w:p>
            <w:pPr>
              <w:rPr>
                <w:rFonts w:ascii="宋体" w:eastAsia="宋体" w:cs="宋体" w:hint="eastAsia"/>
              </w:rPr>
            </w:pPr>
          </w:p>
          <w:p>
            <w:pPr>
              <w:rPr>
                <w:rFonts w:ascii="宋体" w:eastAsia="宋体" w:cs="宋体" w:hint="eastAsia"/>
              </w:rPr>
            </w:pPr>
          </w:p>
          <w:p>
            <w:pPr>
              <w:rPr>
                <w:rFonts w:ascii="宋体" w:eastAsia="宋体" w:cs="宋体" w:hint="eastAsia"/>
              </w:rPr>
            </w:pPr>
          </w:p>
        </w:tc>
      </w:tr>
    </w:tbl>
    <w:p>
      <w:pPr>
        <w:rPr>
          <w:rFonts w:ascii="宋体" w:eastAsia="宋体" w:cs="宋体" w:hint="eastAsia"/>
        </w:rPr>
      </w:pPr>
    </w:p>
    <w:p>
      <w:pPr>
        <w:rPr>
          <w:rFonts w:ascii="宋体" w:eastAsia="宋体" w:cs="宋体" w:hint="eastAsia"/>
        </w:rPr>
      </w:pPr>
      <w:r>
        <w:rPr>
          <w:rFonts w:ascii="宋体" w:eastAsia="宋体" w:cs="宋体" w:hint="eastAsia"/>
        </w:rPr>
        <w:t>特此证明。</w:t>
      </w:r>
    </w:p>
    <w:p>
      <w:pPr>
        <w:rPr>
          <w:rFonts w:ascii="宋体" w:eastAsia="宋体" w:cs="宋体" w:hint="eastAsia"/>
        </w:rPr>
      </w:pPr>
    </w:p>
    <w:p>
      <w:pPr>
        <w:rPr>
          <w:rFonts w:ascii="宋体" w:eastAsia="宋体" w:cs="宋体" w:hint="eastAsia"/>
        </w:rPr>
      </w:pPr>
    </w:p>
    <w:p>
      <w:pPr>
        <w:rPr>
          <w:rFonts w:ascii="宋体" w:eastAsia="宋体" w:cs="宋体" w:hint="eastAsia"/>
        </w:rPr>
      </w:pPr>
    </w:p>
    <w:p>
      <w:pPr>
        <w:rPr>
          <w:rFonts w:ascii="宋体" w:eastAsia="宋体" w:cs="宋体" w:hint="eastAsia"/>
        </w:rPr>
      </w:pPr>
    </w:p>
    <w:p>
      <w:pPr>
        <w:rPr>
          <w:rFonts w:ascii="宋体" w:eastAsia="宋体" w:cs="宋体" w:hint="eastAsia"/>
        </w:rPr>
      </w:pPr>
    </w:p>
    <w:p>
      <w:pPr>
        <w:rPr>
          <w:rFonts w:ascii="宋体" w:eastAsia="宋体" w:cs="宋体" w:hint="eastAsia"/>
        </w:rPr>
      </w:pPr>
    </w:p>
    <w:p>
      <w:pPr>
        <w:rPr>
          <w:rFonts w:ascii="宋体" w:eastAsia="宋体" w:cs="宋体" w:hint="eastAsia"/>
        </w:rPr>
      </w:pPr>
    </w:p>
    <w:p>
      <w:pPr>
        <w:rPr>
          <w:rFonts w:ascii="宋体" w:eastAsia="宋体" w:cs="宋体" w:hint="eastAsia"/>
        </w:rPr>
      </w:pPr>
    </w:p>
    <w:p>
      <w:pPr>
        <w:rPr>
          <w:rFonts w:ascii="宋体" w:eastAsia="宋体" w:cs="宋体" w:hint="eastAsia"/>
        </w:rPr>
      </w:pPr>
    </w:p>
    <w:p>
      <w:pPr>
        <w:wordWrap w:val="0"/>
        <w:jc w:val="right"/>
        <w:rPr>
          <w:rFonts w:ascii="宋体" w:eastAsia="宋体" w:cs="宋体" w:hint="eastAsia"/>
        </w:rPr>
      </w:pPr>
      <w:r>
        <w:rPr>
          <w:rFonts w:ascii="宋体" w:eastAsia="宋体" w:cs="宋体" w:hint="eastAsia"/>
        </w:rPr>
        <w:t>投标人：                      （盖章）</w:t>
      </w:r>
    </w:p>
    <w:p>
      <w:pPr>
        <w:jc w:val="right"/>
        <w:rPr>
          <w:rFonts w:ascii="宋体" w:eastAsia="宋体" w:cs="宋体" w:hint="eastAsia"/>
        </w:rPr>
      </w:pPr>
      <w:r>
        <w:rPr>
          <w:rFonts w:ascii="宋体" w:eastAsia="宋体" w:cs="宋体" w:hint="eastAsia"/>
        </w:rPr>
        <w:t>日  期：        年        月        日</w:t>
      </w:r>
    </w:p>
    <w:p>
      <w:pPr>
        <w:rPr>
          <w:rFonts w:ascii="宋体" w:eastAsia="宋体" w:cs="宋体" w:hint="eastAsia"/>
        </w:rPr>
      </w:pPr>
    </w:p>
    <w:p>
      <w:pPr>
        <w:jc w:val="center"/>
        <w:rPr>
          <w:rFonts w:ascii="宋体" w:eastAsia="宋体" w:cs="宋体" w:hint="eastAsia"/>
          <w:b/>
        </w:rPr>
      </w:pPr>
      <w:r>
        <w:rPr>
          <w:rFonts w:ascii="宋体" w:eastAsia="宋体" w:cs="宋体" w:hint="eastAsia"/>
          <w:b/>
        </w:rPr>
        <w:br w:type="page"/>
        <w:t>法定代表人授权委托书</w:t>
      </w:r>
    </w:p>
    <w:p>
      <w:pPr>
        <w:rPr>
          <w:rFonts w:ascii="宋体" w:eastAsia="宋体" w:cs="宋体" w:hint="eastAsia"/>
        </w:rPr>
      </w:pPr>
    </w:p>
    <w:p>
      <w:pPr>
        <w:spacing w:line="360" w:lineRule="auto"/>
        <w:ind w:firstLine="630"/>
        <w:rPr>
          <w:rFonts w:ascii="宋体" w:eastAsia="宋体" w:cs="宋体" w:hint="eastAsia"/>
        </w:rPr>
      </w:pPr>
      <w:r>
        <w:rPr>
          <w:rFonts w:ascii="宋体" w:eastAsia="宋体" w:cs="宋体" w:hint="eastAsia"/>
        </w:rPr>
        <w:t>本授权委托书声明：我         （姓名）系               （投标人名称）的法定代表人，现授权委托                                   （投标人名称）的            （姓名）为我的代理人，以本公司的名义参加          （招标人）的                 项目的投标活动。代理人在参加整个招标投标活动、合同谈判过程中所签署的一切文件和处理与之有关的一切事物，我均予以承认。</w:t>
      </w:r>
    </w:p>
    <w:p>
      <w:pPr>
        <w:spacing w:line="360" w:lineRule="auto"/>
        <w:rPr>
          <w:rFonts w:ascii="宋体" w:eastAsia="宋体" w:cs="宋体" w:hint="eastAsia"/>
        </w:rPr>
      </w:pPr>
      <w:r>
        <w:rPr>
          <w:rFonts w:ascii="宋体" w:eastAsia="宋体" w:cs="宋体" w:hint="eastAsia"/>
        </w:rPr>
        <w:t xml:space="preserve">代理人：              性别：             年龄：             </w:t>
      </w:r>
    </w:p>
    <w:p>
      <w:pPr>
        <w:spacing w:line="360" w:lineRule="auto"/>
        <w:rPr>
          <w:rFonts w:ascii="宋体" w:eastAsia="宋体" w:cs="宋体" w:hint="eastAsia"/>
        </w:rPr>
      </w:pPr>
      <w:r>
        <w:rPr>
          <w:rFonts w:ascii="宋体" w:eastAsia="宋体" w:cs="宋体" w:hint="eastAsia"/>
        </w:rPr>
        <w:t xml:space="preserve">单  位：              部门：             职务：             </w:t>
      </w:r>
    </w:p>
    <w:p>
      <w:pPr>
        <w:rPr>
          <w:rFonts w:ascii="宋体" w:eastAsia="宋体" w:cs="宋体" w:hint="eastAsia"/>
        </w:rPr>
      </w:pPr>
      <w:r>
        <w:rPr>
          <w:rFonts w:ascii="宋体" w:eastAsia="宋体" w:cs="宋体" w:hint="eastAsia"/>
        </w:rPr>
        <w:t>代理人无转委权。特此委托。</w:t>
      </w:r>
    </w:p>
    <w:p>
      <w:pPr>
        <w:rPr>
          <w:rFonts w:ascii="宋体" w:eastAsia="宋体" w:cs="宋体" w:hint="eastAsia"/>
        </w:rPr>
      </w:pPr>
    </w:p>
    <w:tbl>
      <w:tblPr>
        <w:jc w:val="left"/>
        <w:tblInd w:w="108" w:type="dxa"/>
        <w:tblW w:w="93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9391"/>
      </w:tblGrid>
      <w:tr>
        <w:trPr>
          <w:trHeight w:val="4216"/>
        </w:trPr>
        <w:tc>
          <w:tcPr>
            <w:tcW w:w="9391" w:type="dxa"/>
            <w:tcBorders>
              <w:top w:val="single" w:sz="4" w:space="0" w:color="auto"/>
              <w:left w:val="single" w:sz="4" w:space="0" w:color="auto"/>
              <w:bottom w:val="single" w:sz="4" w:space="0" w:color="auto"/>
              <w:right w:val="single" w:sz="4" w:space="0" w:color="auto"/>
            </w:tcBorders>
            <w:noWrap/>
          </w:tcPr>
          <w:p>
            <w:pPr>
              <w:rPr>
                <w:rFonts w:ascii="宋体" w:eastAsia="宋体" w:cs="宋体" w:hint="eastAsia"/>
              </w:rPr>
            </w:pPr>
            <w:r>
              <w:rPr>
                <w:rFonts w:ascii="宋体" w:eastAsia="宋体" w:cs="宋体" w:hint="eastAsia"/>
              </w:rPr>
              <w:t>附身份证正反面</w:t>
            </w:r>
          </w:p>
          <w:p>
            <w:pPr>
              <w:rPr>
                <w:rFonts w:ascii="宋体" w:eastAsia="宋体" w:cs="宋体" w:hint="eastAsia"/>
              </w:rPr>
            </w:pPr>
          </w:p>
        </w:tc>
      </w:tr>
    </w:tbl>
    <w:p>
      <w:pPr>
        <w:rPr>
          <w:rFonts w:ascii="宋体" w:eastAsia="宋体" w:cs="宋体" w:hint="eastAsia"/>
        </w:rPr>
      </w:pPr>
    </w:p>
    <w:p>
      <w:pPr>
        <w:rPr>
          <w:rFonts w:ascii="宋体" w:eastAsia="宋体" w:cs="宋体" w:hint="eastAsia"/>
        </w:rPr>
      </w:pPr>
    </w:p>
    <w:p>
      <w:pPr>
        <w:rPr>
          <w:rFonts w:ascii="宋体" w:eastAsia="宋体" w:cs="宋体" w:hint="eastAsia"/>
        </w:rPr>
      </w:pPr>
    </w:p>
    <w:p>
      <w:pPr>
        <w:rPr>
          <w:rFonts w:ascii="宋体" w:eastAsia="宋体" w:cs="宋体" w:hint="eastAsia"/>
        </w:rPr>
      </w:pPr>
      <w:r>
        <w:rPr>
          <w:rFonts w:ascii="宋体" w:eastAsia="宋体" w:cs="宋体" w:hint="eastAsia"/>
        </w:rPr>
        <w:t>投标人：（盖章）</w:t>
      </w:r>
    </w:p>
    <w:p>
      <w:pPr>
        <w:rPr>
          <w:rFonts w:ascii="宋体" w:eastAsia="宋体" w:cs="宋体" w:hint="eastAsia"/>
        </w:rPr>
      </w:pPr>
    </w:p>
    <w:p>
      <w:pPr>
        <w:rPr>
          <w:rFonts w:ascii="宋体" w:eastAsia="宋体" w:cs="宋体" w:hint="eastAsia"/>
        </w:rPr>
      </w:pPr>
    </w:p>
    <w:p>
      <w:pPr>
        <w:rPr>
          <w:rFonts w:ascii="宋体" w:eastAsia="宋体" w:cs="宋体" w:hint="eastAsia"/>
        </w:rPr>
      </w:pPr>
      <w:r>
        <w:rPr>
          <w:rFonts w:ascii="宋体" w:eastAsia="宋体" w:cs="宋体" w:hint="eastAsia"/>
        </w:rPr>
        <w:t>法定代表人：（签字）</w:t>
      </w:r>
    </w:p>
    <w:p>
      <w:pPr>
        <w:rPr>
          <w:rFonts w:ascii="宋体" w:eastAsia="宋体" w:cs="宋体" w:hint="eastAsia"/>
        </w:rPr>
      </w:pPr>
    </w:p>
    <w:p>
      <w:pPr>
        <w:jc w:val="center"/>
        <w:rPr>
          <w:rFonts w:ascii="宋体" w:eastAsia="宋体" w:cs="宋体" w:hint="eastAsia"/>
        </w:rPr>
      </w:pPr>
    </w:p>
    <w:p>
      <w:pPr>
        <w:jc w:val="center"/>
        <w:rPr>
          <w:rFonts w:ascii="宋体" w:eastAsia="宋体" w:cs="宋体" w:hint="eastAsia"/>
          <w:b/>
        </w:rPr>
      </w:pPr>
    </w:p>
    <w:p>
      <w:pPr>
        <w:jc w:val="right"/>
        <w:rPr>
          <w:rFonts w:ascii="宋体" w:eastAsia="宋体" w:cs="宋体" w:hint="eastAsia"/>
          <w:b/>
        </w:rPr>
      </w:pPr>
      <w:r>
        <w:rPr>
          <w:rFonts w:ascii="宋体" w:eastAsia="宋体" w:cs="宋体" w:hint="eastAsia"/>
        </w:rPr>
        <w:t>日期：        年    月    日</w:t>
      </w:r>
    </w:p>
    <w:p>
      <w:pPr>
        <w:rPr>
          <w:rFonts w:ascii="宋体" w:eastAsia="宋体" w:cs="宋体" w:hint="eastAsia"/>
        </w:rPr>
      </w:pPr>
    </w:p>
    <w:p>
      <w:pPr>
        <w:jc w:val="center"/>
        <w:rPr>
          <w:rFonts w:ascii="宋体" w:eastAsia="宋体" w:cs="宋体" w:hint="eastAsia"/>
          <w:b/>
        </w:rPr>
      </w:pPr>
      <w:r>
        <w:rPr>
          <w:rFonts w:ascii="宋体" w:eastAsia="宋体" w:cs="宋体" w:hint="eastAsia"/>
          <w:b/>
        </w:rPr>
        <w:br w:type="page"/>
        <w:t>投标人概况</w:t>
      </w:r>
    </w:p>
    <w:p>
      <w:pPr>
        <w:tabs>
          <w:tab w:val="left" w:pos="1660"/>
          <w:tab w:val="left" w:pos="9453"/>
        </w:tabs>
        <w:jc w:val="left"/>
        <w:rPr>
          <w:rFonts w:ascii="宋体" w:eastAsia="宋体" w:cs="宋体" w:hint="eastAsia"/>
        </w:rPr>
      </w:pPr>
      <w:r>
        <w:rPr>
          <w:rFonts w:ascii="宋体" w:eastAsia="宋体" w:cs="宋体" w:hint="eastAsia"/>
        </w:rPr>
        <w:t>1、投标人名称：</w:t>
        <w:tab/>
      </w:r>
    </w:p>
    <w:p>
      <w:pPr>
        <w:tabs>
          <w:tab w:val="left" w:pos="1660"/>
          <w:tab w:val="left" w:pos="9453"/>
        </w:tabs>
        <w:jc w:val="left"/>
        <w:rPr>
          <w:rFonts w:ascii="宋体" w:eastAsia="宋体" w:cs="宋体" w:hint="eastAsia"/>
        </w:rPr>
      </w:pPr>
      <w:r>
        <w:rPr>
          <w:rFonts w:ascii="宋体" w:eastAsia="宋体" w:cs="宋体" w:hint="eastAsia"/>
        </w:rPr>
        <w:t>2、资质等级：</w:t>
        <w:tab/>
      </w:r>
    </w:p>
    <w:p>
      <w:pPr>
        <w:tabs>
          <w:tab w:val="left" w:pos="1660"/>
          <w:tab w:val="left" w:pos="9453"/>
        </w:tabs>
        <w:jc w:val="left"/>
        <w:rPr>
          <w:rFonts w:ascii="宋体" w:eastAsia="宋体" w:cs="宋体" w:hint="eastAsia"/>
        </w:rPr>
      </w:pPr>
      <w:r>
        <w:rPr>
          <w:rFonts w:ascii="宋体" w:eastAsia="宋体" w:cs="宋体" w:hint="eastAsia"/>
        </w:rPr>
        <w:t>3、投标人地址：</w:t>
        <w:tab/>
      </w:r>
    </w:p>
    <w:p>
      <w:pPr>
        <w:tabs>
          <w:tab w:val="left" w:pos="1660"/>
          <w:tab w:val="left" w:pos="9453"/>
        </w:tabs>
        <w:jc w:val="left"/>
        <w:rPr>
          <w:rFonts w:ascii="宋体" w:eastAsia="宋体" w:cs="宋体" w:hint="eastAsia"/>
        </w:rPr>
      </w:pPr>
      <w:r>
        <w:rPr>
          <w:rFonts w:ascii="宋体" w:eastAsia="宋体" w:cs="宋体" w:hint="eastAsia"/>
        </w:rPr>
        <w:t>4、经营范围：</w:t>
        <w:tab/>
      </w:r>
    </w:p>
    <w:p>
      <w:pPr>
        <w:rPr>
          <w:rFonts w:ascii="宋体" w:eastAsia="宋体" w:cs="宋体" w:hint="eastAsia"/>
          <w:b/>
        </w:rPr>
      </w:pPr>
      <w:r>
        <w:rPr>
          <w:rFonts w:ascii="宋体" w:eastAsia="宋体" w:cs="宋体" w:hint="eastAsia"/>
        </w:rPr>
        <w:t>5、投标人自我介绍：</w:t>
      </w:r>
    </w:p>
    <w:p>
      <w:pPr>
        <w:jc w:val="center"/>
        <w:rPr>
          <w:rFonts w:ascii="宋体" w:eastAsia="宋体" w:cs="宋体" w:hint="eastAsia"/>
          <w:b/>
        </w:rPr>
      </w:pPr>
      <w:r>
        <w:rPr>
          <w:rFonts w:ascii="宋体" w:eastAsia="宋体" w:cs="宋体" w:hint="eastAsia"/>
          <w:b/>
        </w:rPr>
        <w:br w:type="page"/>
        <w:t>项目负责人</w:t>
      </w:r>
    </w:p>
    <w:p>
      <w:pPr>
        <w:rPr>
          <w:rFonts w:ascii="宋体" w:eastAsia="宋体" w:cs="宋体" w:hint="eastAsia"/>
        </w:rPr>
      </w:pPr>
    </w:p>
    <w:p>
      <w:pPr>
        <w:rPr>
          <w:rFonts w:ascii="宋体" w:eastAsia="宋体" w:cs="宋体" w:hint="eastAsia"/>
        </w:rPr>
      </w:pPr>
      <w:r>
        <w:rPr>
          <w:rFonts w:ascii="宋体" w:eastAsia="宋体" w:cs="宋体" w:hint="eastAsia"/>
        </w:rPr>
        <w:t>1、项目负责人介绍应包括：姓名、性别、年龄、职称、学历、参加工作时间、从事项目负责人年限和能反映该项目负责人情况的其他内容。</w:t>
      </w:r>
    </w:p>
    <w:p>
      <w:pPr>
        <w:rPr>
          <w:rFonts w:ascii="宋体" w:eastAsia="宋体" w:cs="宋体" w:hint="eastAsia"/>
        </w:rPr>
      </w:pPr>
      <w:r>
        <w:rPr>
          <w:rFonts w:ascii="宋体" w:eastAsia="宋体" w:cs="宋体" w:hint="eastAsia"/>
        </w:rPr>
        <w:t>2、项目负责人近3年内类似业绩应按下表提供</w:t>
      </w:r>
    </w:p>
    <w:p>
      <w:pPr>
        <w:rPr>
          <w:rFonts w:ascii="宋体" w:eastAsia="宋体" w:cs="宋体" w:hint="eastAsia"/>
        </w:rPr>
      </w:pPr>
      <w:r>
        <w:rPr>
          <w:rFonts w:ascii="宋体" w:eastAsia="宋体" w:cs="宋体" w:hint="eastAsia"/>
        </w:rPr>
        <w:t>项目负责人近3年内类似业绩一览表</w:t>
      </w:r>
    </w:p>
    <w:tbl>
      <w:tblPr>
        <w:jc w:val="left"/>
        <w:tblInd w:w="0" w:type="dxa"/>
        <w:tblW w:w="987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Pr>
      <w:tblGrid>
        <w:gridCol w:w="1472"/>
        <w:gridCol w:w="1574"/>
        <w:gridCol w:w="1470"/>
        <w:gridCol w:w="2099"/>
        <w:gridCol w:w="2106"/>
        <w:gridCol w:w="1152"/>
      </w:tblGrid>
      <w:tr>
        <w:trPr>
          <w:cantSplit/>
          <w:trHeight w:val="921"/>
        </w:trPr>
        <w:tc>
          <w:tcPr>
            <w:tcW w:w="1472" w:type="dxa"/>
            <w:tcBorders>
              <w:top w:val="single" w:sz="6" w:space="0" w:color="auto"/>
              <w:left w:val="single" w:sz="6" w:space="0" w:color="auto"/>
              <w:bottom w:val="single" w:sz="12" w:space="0" w:color="auto"/>
              <w:right w:val="single" w:sz="6" w:space="0" w:color="auto"/>
            </w:tcBorders>
            <w:noWrap/>
            <w:vAlign w:val="center"/>
          </w:tcPr>
          <w:p>
            <w:pPr>
              <w:jc w:val="center"/>
              <w:rPr>
                <w:rFonts w:ascii="宋体" w:eastAsia="宋体" w:cs="宋体" w:hint="eastAsia"/>
              </w:rPr>
            </w:pPr>
            <w:r>
              <w:rPr>
                <w:rFonts w:ascii="宋体" w:eastAsia="宋体" w:cs="宋体" w:hint="eastAsia"/>
              </w:rPr>
              <w:t>业主单位</w:t>
            </w:r>
          </w:p>
        </w:tc>
        <w:tc>
          <w:tcPr>
            <w:tcW w:w="1574" w:type="dxa"/>
            <w:tcBorders>
              <w:top w:val="single" w:sz="6" w:space="0" w:color="auto"/>
              <w:left w:val="single" w:sz="6" w:space="0" w:color="auto"/>
              <w:bottom w:val="single" w:sz="12" w:space="0" w:color="auto"/>
              <w:right w:val="single" w:sz="6" w:space="0" w:color="auto"/>
            </w:tcBorders>
            <w:noWrap/>
            <w:vAlign w:val="center"/>
          </w:tcPr>
          <w:p>
            <w:pPr>
              <w:jc w:val="center"/>
              <w:rPr>
                <w:rFonts w:ascii="宋体" w:eastAsia="宋体" w:cs="宋体" w:hint="eastAsia"/>
              </w:rPr>
            </w:pPr>
            <w:r>
              <w:rPr>
                <w:rFonts w:ascii="宋体" w:eastAsia="宋体" w:cs="宋体" w:hint="eastAsia"/>
              </w:rPr>
              <w:t>项目名称</w:t>
            </w:r>
          </w:p>
        </w:tc>
        <w:tc>
          <w:tcPr>
            <w:tcW w:w="1470" w:type="dxa"/>
            <w:tcBorders>
              <w:top w:val="single" w:sz="6" w:space="0" w:color="auto"/>
              <w:left w:val="single" w:sz="6" w:space="0" w:color="auto"/>
              <w:bottom w:val="single" w:sz="12" w:space="0" w:color="auto"/>
              <w:right w:val="single" w:sz="6" w:space="0" w:color="auto"/>
            </w:tcBorders>
            <w:noWrap/>
            <w:vAlign w:val="center"/>
          </w:tcPr>
          <w:p>
            <w:pPr>
              <w:jc w:val="center"/>
              <w:rPr>
                <w:rFonts w:ascii="宋体" w:eastAsia="宋体" w:cs="宋体" w:hint="eastAsia"/>
              </w:rPr>
            </w:pPr>
            <w:r>
              <w:rPr>
                <w:rFonts w:ascii="宋体" w:eastAsia="宋体" w:cs="宋体" w:hint="eastAsia"/>
              </w:rPr>
              <w:t>项目内容</w:t>
            </w:r>
          </w:p>
        </w:tc>
        <w:tc>
          <w:tcPr>
            <w:tcW w:w="2099" w:type="dxa"/>
            <w:tcBorders>
              <w:top w:val="single" w:sz="6" w:space="0" w:color="auto"/>
              <w:left w:val="single" w:sz="6" w:space="0" w:color="auto"/>
              <w:bottom w:val="single" w:sz="12" w:space="0" w:color="auto"/>
              <w:right w:val="single" w:sz="6" w:space="0" w:color="auto"/>
            </w:tcBorders>
            <w:noWrap/>
            <w:vAlign w:val="center"/>
          </w:tcPr>
          <w:p>
            <w:pPr>
              <w:jc w:val="center"/>
              <w:rPr>
                <w:rFonts w:ascii="宋体" w:eastAsia="宋体" w:cs="宋体" w:hint="eastAsia"/>
              </w:rPr>
            </w:pPr>
            <w:r>
              <w:rPr>
                <w:rFonts w:ascii="宋体" w:eastAsia="宋体" w:cs="宋体" w:hint="eastAsia"/>
              </w:rPr>
              <w:t>开竣工日期</w:t>
            </w:r>
          </w:p>
        </w:tc>
        <w:tc>
          <w:tcPr>
            <w:tcW w:w="2106" w:type="dxa"/>
            <w:tcBorders>
              <w:top w:val="single" w:sz="6" w:space="0" w:color="auto"/>
              <w:left w:val="single" w:sz="6" w:space="0" w:color="auto"/>
              <w:bottom w:val="single" w:sz="12" w:space="0" w:color="auto"/>
              <w:right w:val="single" w:sz="4" w:space="0" w:color="auto"/>
            </w:tcBorders>
            <w:noWrap/>
            <w:vAlign w:val="center"/>
          </w:tcPr>
          <w:p>
            <w:pPr>
              <w:jc w:val="center"/>
              <w:rPr>
                <w:rFonts w:ascii="宋体" w:eastAsia="宋体" w:cs="宋体" w:hint="eastAsia"/>
              </w:rPr>
            </w:pPr>
            <w:r>
              <w:rPr>
                <w:rFonts w:ascii="宋体" w:eastAsia="宋体" w:cs="宋体" w:hint="eastAsia"/>
              </w:rPr>
              <w:t>质量</w:t>
            </w:r>
          </w:p>
        </w:tc>
        <w:tc>
          <w:tcPr>
            <w:tcW w:w="1152" w:type="dxa"/>
            <w:tcBorders>
              <w:top w:val="single" w:sz="6" w:space="0" w:color="auto"/>
              <w:left w:val="single" w:sz="4" w:space="0" w:color="auto"/>
              <w:bottom w:val="single" w:sz="12" w:space="0" w:color="auto"/>
              <w:right w:val="single" w:sz="6" w:space="0" w:color="auto"/>
            </w:tcBorders>
            <w:noWrap/>
            <w:vAlign w:val="center"/>
          </w:tcPr>
          <w:p>
            <w:pPr>
              <w:jc w:val="center"/>
              <w:rPr>
                <w:rFonts w:ascii="宋体" w:eastAsia="宋体" w:cs="宋体" w:hint="eastAsia"/>
              </w:rPr>
            </w:pPr>
            <w:r>
              <w:rPr>
                <w:rFonts w:ascii="宋体" w:eastAsia="宋体" w:cs="宋体" w:hint="eastAsia"/>
              </w:rPr>
              <w:t>备注</w:t>
            </w:r>
          </w:p>
        </w:tc>
      </w:tr>
      <w:tr>
        <w:trPr>
          <w:cantSplit/>
          <w:trHeight w:val="756"/>
        </w:trPr>
        <w:tc>
          <w:tcPr>
            <w:tcW w:w="1472" w:type="dxa"/>
            <w:tcBorders>
              <w:top w:val="single" w:sz="6" w:space="0" w:color="auto"/>
              <w:left w:val="single" w:sz="6" w:space="0" w:color="auto"/>
              <w:bottom w:val="single" w:sz="12" w:space="0" w:color="auto"/>
              <w:right w:val="single" w:sz="6" w:space="0" w:color="auto"/>
            </w:tcBorders>
            <w:noWrap/>
            <w:vAlign w:val="center"/>
          </w:tcPr>
          <w:p>
            <w:pPr>
              <w:rPr>
                <w:rFonts w:ascii="宋体" w:eastAsia="宋体" w:cs="宋体" w:hint="eastAsia"/>
              </w:rPr>
            </w:pPr>
          </w:p>
        </w:tc>
        <w:tc>
          <w:tcPr>
            <w:tcW w:w="1574" w:type="dxa"/>
            <w:tcBorders>
              <w:top w:val="single" w:sz="6" w:space="0" w:color="auto"/>
              <w:left w:val="single" w:sz="6" w:space="0" w:color="auto"/>
              <w:bottom w:val="single" w:sz="12" w:space="0" w:color="auto"/>
              <w:right w:val="single" w:sz="6" w:space="0" w:color="auto"/>
            </w:tcBorders>
            <w:noWrap/>
            <w:vAlign w:val="center"/>
          </w:tcPr>
          <w:p>
            <w:pPr>
              <w:rPr>
                <w:rFonts w:ascii="宋体" w:eastAsia="宋体" w:cs="宋体" w:hint="eastAsia"/>
              </w:rPr>
            </w:pPr>
          </w:p>
        </w:tc>
        <w:tc>
          <w:tcPr>
            <w:tcW w:w="1470" w:type="dxa"/>
            <w:tcBorders>
              <w:top w:val="single" w:sz="6" w:space="0" w:color="auto"/>
              <w:left w:val="single" w:sz="6" w:space="0" w:color="auto"/>
              <w:bottom w:val="single" w:sz="12" w:space="0" w:color="auto"/>
              <w:right w:val="single" w:sz="6" w:space="0" w:color="auto"/>
            </w:tcBorders>
            <w:noWrap/>
            <w:vAlign w:val="center"/>
          </w:tcPr>
          <w:p>
            <w:pPr>
              <w:rPr>
                <w:rFonts w:ascii="宋体" w:eastAsia="宋体" w:cs="宋体" w:hint="eastAsia"/>
              </w:rPr>
            </w:pPr>
          </w:p>
        </w:tc>
        <w:tc>
          <w:tcPr>
            <w:tcW w:w="2099" w:type="dxa"/>
            <w:tcBorders>
              <w:top w:val="single" w:sz="6" w:space="0" w:color="auto"/>
              <w:left w:val="single" w:sz="6" w:space="0" w:color="auto"/>
              <w:bottom w:val="single" w:sz="12" w:space="0" w:color="auto"/>
              <w:right w:val="single" w:sz="6" w:space="0" w:color="auto"/>
            </w:tcBorders>
            <w:noWrap/>
            <w:vAlign w:val="center"/>
          </w:tcPr>
          <w:p>
            <w:pPr>
              <w:rPr>
                <w:rFonts w:ascii="宋体" w:eastAsia="宋体" w:cs="宋体" w:hint="eastAsia"/>
              </w:rPr>
            </w:pPr>
          </w:p>
        </w:tc>
        <w:tc>
          <w:tcPr>
            <w:tcW w:w="2106" w:type="dxa"/>
            <w:tcBorders>
              <w:top w:val="single" w:sz="6" w:space="0" w:color="auto"/>
              <w:left w:val="single" w:sz="6" w:space="0" w:color="auto"/>
              <w:bottom w:val="single" w:sz="12" w:space="0" w:color="auto"/>
              <w:right w:val="single" w:sz="4" w:space="0" w:color="auto"/>
            </w:tcBorders>
            <w:noWrap/>
            <w:vAlign w:val="center"/>
          </w:tcPr>
          <w:p>
            <w:pPr>
              <w:rPr>
                <w:rFonts w:ascii="宋体" w:eastAsia="宋体" w:cs="宋体" w:hint="eastAsia"/>
              </w:rPr>
            </w:pPr>
          </w:p>
        </w:tc>
        <w:tc>
          <w:tcPr>
            <w:tcW w:w="1152" w:type="dxa"/>
            <w:tcBorders>
              <w:top w:val="single" w:sz="6" w:space="0" w:color="auto"/>
              <w:left w:val="single" w:sz="4" w:space="0" w:color="auto"/>
              <w:bottom w:val="single" w:sz="12" w:space="0" w:color="auto"/>
              <w:right w:val="single" w:sz="6" w:space="0" w:color="auto"/>
            </w:tcBorders>
            <w:noWrap/>
            <w:vAlign w:val="center"/>
          </w:tcPr>
          <w:p>
            <w:pPr>
              <w:rPr>
                <w:rFonts w:ascii="宋体" w:eastAsia="宋体" w:cs="宋体" w:hint="eastAsia"/>
              </w:rPr>
            </w:pPr>
          </w:p>
        </w:tc>
      </w:tr>
    </w:tbl>
    <w:p>
      <w:pPr>
        <w:rPr>
          <w:rFonts w:ascii="宋体" w:eastAsia="宋体" w:cs="宋体" w:hint="eastAsia"/>
          <w:b/>
          <w:color w:val="FF0000"/>
          <w:highlight w:val="yellow"/>
        </w:rPr>
      </w:pPr>
    </w:p>
    <w:p>
      <w:pPr>
        <w:jc w:val="center"/>
        <w:rPr>
          <w:rFonts w:ascii="宋体" w:eastAsia="宋体" w:cs="宋体" w:hint="eastAsia"/>
          <w:b/>
        </w:rPr>
      </w:pPr>
      <w:r>
        <w:rPr>
          <w:rFonts w:ascii="宋体" w:eastAsia="宋体" w:cs="宋体" w:hint="eastAsia"/>
          <w:b/>
        </w:rPr>
        <w:br w:type="page"/>
      </w:r>
    </w:p>
    <w:p>
      <w:pPr>
        <w:jc w:val="center"/>
        <w:rPr>
          <w:rFonts w:ascii="宋体" w:eastAsia="宋体" w:cs="宋体" w:hint="eastAsia"/>
          <w:b/>
        </w:rPr>
      </w:pPr>
      <w:r>
        <w:rPr>
          <w:rFonts w:ascii="宋体" w:eastAsia="宋体" w:cs="宋体" w:hint="eastAsia"/>
          <w:b/>
        </w:rPr>
        <w:t>拟投入人员</w:t>
      </w:r>
    </w:p>
    <w:p>
      <w:pPr>
        <w:rPr>
          <w:rFonts w:ascii="宋体" w:eastAsia="宋体" w:cs="宋体" w:hint="eastAsia"/>
        </w:rPr>
      </w:pPr>
      <w:r>
        <w:rPr>
          <w:rFonts w:ascii="宋体" w:eastAsia="宋体" w:cs="宋体" w:hint="eastAsia"/>
        </w:rPr>
        <w:t>1、拟投入应包括：项目负责人认为需要配备的其他人员。</w:t>
      </w:r>
    </w:p>
    <w:p>
      <w:pPr>
        <w:rPr>
          <w:rFonts w:ascii="宋体" w:eastAsia="宋体" w:cs="宋体" w:hint="eastAsia"/>
        </w:rPr>
      </w:pPr>
      <w:r>
        <w:rPr>
          <w:rFonts w:ascii="宋体" w:eastAsia="宋体" w:cs="宋体" w:hint="eastAsia"/>
        </w:rPr>
        <w:t>2、上述人员介绍应包括姓名、职称、主要资历等基本信息。</w:t>
      </w:r>
    </w:p>
    <w:p>
      <w:pPr>
        <w:rPr>
          <w:rFonts w:ascii="宋体" w:eastAsia="宋体" w:cs="宋体" w:hint="eastAsia"/>
        </w:rPr>
      </w:pPr>
    </w:p>
    <w:p>
      <w:pPr>
        <w:rPr>
          <w:rFonts w:ascii="宋体" w:eastAsia="宋体" w:cs="宋体" w:hint="eastAsia"/>
        </w:rPr>
      </w:pPr>
    </w:p>
    <w:p>
      <w:pPr>
        <w:rPr>
          <w:rFonts w:ascii="宋体" w:eastAsia="宋体" w:cs="宋体" w:hint="eastAsia"/>
        </w:rPr>
      </w:pPr>
    </w:p>
    <w:p>
      <w:pPr>
        <w:rPr>
          <w:rFonts w:ascii="宋体" w:eastAsia="宋体" w:cs="宋体" w:hint="eastAsia"/>
        </w:rPr>
      </w:pPr>
    </w:p>
    <w:p>
      <w:pPr>
        <w:rPr>
          <w:rFonts w:ascii="宋体" w:eastAsia="宋体" w:cs="宋体" w:hint="eastAsia"/>
        </w:rPr>
      </w:pPr>
    </w:p>
    <w:p>
      <w:pPr>
        <w:jc w:val="center"/>
        <w:rPr>
          <w:rFonts w:ascii="宋体" w:eastAsia="宋体" w:cs="宋体" w:hint="eastAsia"/>
          <w:b/>
        </w:rPr>
      </w:pPr>
      <w:r>
        <w:rPr>
          <w:rFonts w:ascii="宋体" w:eastAsia="宋体" w:cs="宋体" w:hint="eastAsia"/>
          <w:b/>
        </w:rPr>
        <w:br w:type="page"/>
        <w:t>投标人近3年来类似业绩</w:t>
      </w:r>
    </w:p>
    <w:p>
      <w:pPr>
        <w:rPr>
          <w:rFonts w:ascii="宋体" w:eastAsia="宋体" w:cs="宋体" w:hint="eastAsia"/>
        </w:rPr>
      </w:pPr>
    </w:p>
    <w:tbl>
      <w:tblPr>
        <w:jc w:val="center"/>
        <w:tblW w:w="909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Pr>
      <w:tblGrid>
        <w:gridCol w:w="1037"/>
        <w:gridCol w:w="1276"/>
        <w:gridCol w:w="630"/>
        <w:gridCol w:w="1470"/>
        <w:gridCol w:w="1158"/>
        <w:gridCol w:w="840"/>
        <w:gridCol w:w="855"/>
        <w:gridCol w:w="1833"/>
      </w:tblGrid>
      <w:tr>
        <w:trPr>
          <w:trHeight w:val="552"/>
        </w:trPr>
        <w:tc>
          <w:tcPr>
            <w:tcW w:w="1037" w:type="dxa"/>
            <w:tcBorders>
              <w:top w:val="single" w:sz="6" w:space="0" w:color="auto"/>
              <w:left w:val="single" w:sz="6" w:space="0" w:color="auto"/>
              <w:bottom w:val="single" w:sz="12" w:space="0" w:color="auto"/>
              <w:right w:val="single" w:sz="6" w:space="0" w:color="auto"/>
            </w:tcBorders>
            <w:noWrap/>
            <w:vAlign w:val="center"/>
          </w:tcPr>
          <w:p>
            <w:pPr>
              <w:jc w:val="center"/>
              <w:rPr>
                <w:rFonts w:ascii="宋体" w:eastAsia="宋体" w:cs="宋体" w:hint="eastAsia"/>
              </w:rPr>
            </w:pPr>
            <w:r>
              <w:rPr>
                <w:rFonts w:ascii="宋体" w:eastAsia="宋体" w:cs="宋体" w:hint="eastAsia"/>
              </w:rPr>
              <w:t>业主</w:t>
            </w:r>
          </w:p>
          <w:p>
            <w:pPr>
              <w:jc w:val="center"/>
              <w:rPr>
                <w:rFonts w:ascii="宋体" w:eastAsia="宋体" w:cs="宋体" w:hint="eastAsia"/>
              </w:rPr>
            </w:pPr>
            <w:r>
              <w:rPr>
                <w:rFonts w:ascii="宋体" w:eastAsia="宋体" w:cs="宋体" w:hint="eastAsia"/>
              </w:rPr>
              <w:t>单位</w:t>
            </w:r>
          </w:p>
        </w:tc>
        <w:tc>
          <w:tcPr>
            <w:tcW w:w="1276" w:type="dxa"/>
            <w:tcBorders>
              <w:top w:val="single" w:sz="6" w:space="0" w:color="auto"/>
              <w:left w:val="single" w:sz="6" w:space="0" w:color="auto"/>
              <w:bottom w:val="single" w:sz="12" w:space="0" w:color="auto"/>
              <w:right w:val="single" w:sz="6" w:space="0" w:color="auto"/>
            </w:tcBorders>
            <w:noWrap/>
            <w:vAlign w:val="center"/>
          </w:tcPr>
          <w:p>
            <w:pPr>
              <w:jc w:val="center"/>
              <w:rPr>
                <w:rFonts w:ascii="宋体" w:eastAsia="宋体" w:cs="宋体" w:hint="eastAsia"/>
              </w:rPr>
            </w:pPr>
            <w:r>
              <w:rPr>
                <w:rFonts w:ascii="宋体" w:eastAsia="宋体" w:cs="宋体" w:hint="eastAsia"/>
              </w:rPr>
              <w:t>项目名称地点</w:t>
            </w:r>
          </w:p>
        </w:tc>
        <w:tc>
          <w:tcPr>
            <w:tcW w:w="630" w:type="dxa"/>
            <w:tcBorders>
              <w:top w:val="single" w:sz="6" w:space="0" w:color="auto"/>
              <w:left w:val="single" w:sz="6" w:space="0" w:color="auto"/>
              <w:bottom w:val="single" w:sz="12" w:space="0" w:color="auto"/>
              <w:right w:val="single" w:sz="6" w:space="0" w:color="auto"/>
            </w:tcBorders>
            <w:noWrap/>
            <w:vAlign w:val="center"/>
          </w:tcPr>
          <w:p>
            <w:pPr>
              <w:jc w:val="center"/>
              <w:rPr>
                <w:rFonts w:ascii="宋体" w:eastAsia="宋体" w:cs="宋体" w:hint="eastAsia"/>
              </w:rPr>
            </w:pPr>
            <w:r>
              <w:rPr>
                <w:rFonts w:ascii="宋体" w:eastAsia="宋体" w:cs="宋体" w:hint="eastAsia"/>
              </w:rPr>
              <w:t>时间</w:t>
            </w:r>
          </w:p>
        </w:tc>
        <w:tc>
          <w:tcPr>
            <w:tcW w:w="1470" w:type="dxa"/>
            <w:tcBorders>
              <w:top w:val="single" w:sz="6" w:space="0" w:color="auto"/>
              <w:left w:val="single" w:sz="6" w:space="0" w:color="auto"/>
              <w:bottom w:val="single" w:sz="12" w:space="0" w:color="auto"/>
              <w:right w:val="single" w:sz="6" w:space="0" w:color="auto"/>
            </w:tcBorders>
            <w:noWrap/>
            <w:vAlign w:val="center"/>
          </w:tcPr>
          <w:p>
            <w:pPr>
              <w:jc w:val="center"/>
              <w:rPr>
                <w:rFonts w:ascii="宋体" w:eastAsia="宋体" w:cs="宋体" w:hint="eastAsia"/>
              </w:rPr>
            </w:pPr>
            <w:r>
              <w:rPr>
                <w:rFonts w:ascii="宋体" w:eastAsia="宋体" w:cs="宋体" w:hint="eastAsia"/>
              </w:rPr>
              <w:t>项目内容</w:t>
            </w:r>
          </w:p>
        </w:tc>
        <w:tc>
          <w:tcPr>
            <w:tcW w:w="1158" w:type="dxa"/>
            <w:tcBorders>
              <w:top w:val="single" w:sz="6" w:space="0" w:color="auto"/>
              <w:left w:val="single" w:sz="6" w:space="0" w:color="auto"/>
              <w:bottom w:val="single" w:sz="12" w:space="0" w:color="auto"/>
              <w:right w:val="single" w:sz="6" w:space="0" w:color="auto"/>
            </w:tcBorders>
            <w:noWrap/>
            <w:vAlign w:val="center"/>
          </w:tcPr>
          <w:p>
            <w:pPr>
              <w:jc w:val="center"/>
              <w:rPr>
                <w:rFonts w:ascii="宋体" w:eastAsia="宋体" w:cs="宋体" w:hint="eastAsia"/>
              </w:rPr>
            </w:pPr>
            <w:r>
              <w:rPr>
                <w:rFonts w:ascii="宋体" w:eastAsia="宋体" w:cs="宋体" w:hint="eastAsia"/>
              </w:rPr>
              <w:t>开竣工</w:t>
            </w:r>
          </w:p>
          <w:p>
            <w:pPr>
              <w:jc w:val="center"/>
              <w:rPr>
                <w:rFonts w:ascii="宋体" w:eastAsia="宋体" w:cs="宋体" w:hint="eastAsia"/>
              </w:rPr>
            </w:pPr>
            <w:r>
              <w:rPr>
                <w:rFonts w:ascii="宋体" w:eastAsia="宋体" w:cs="宋体" w:hint="eastAsia"/>
              </w:rPr>
              <w:t>日  期</w:t>
            </w:r>
          </w:p>
        </w:tc>
        <w:tc>
          <w:tcPr>
            <w:tcW w:w="840" w:type="dxa"/>
            <w:tcBorders>
              <w:top w:val="single" w:sz="6" w:space="0" w:color="auto"/>
              <w:left w:val="single" w:sz="6" w:space="0" w:color="auto"/>
              <w:bottom w:val="single" w:sz="12" w:space="0" w:color="auto"/>
              <w:right w:val="single" w:sz="6" w:space="0" w:color="auto"/>
            </w:tcBorders>
            <w:noWrap/>
            <w:vAlign w:val="center"/>
          </w:tcPr>
          <w:p>
            <w:pPr>
              <w:jc w:val="center"/>
              <w:rPr>
                <w:rFonts w:ascii="宋体" w:eastAsia="宋体" w:cs="宋体" w:hint="eastAsia"/>
              </w:rPr>
            </w:pPr>
            <w:r>
              <w:rPr>
                <w:rFonts w:ascii="宋体" w:eastAsia="宋体" w:cs="宋体" w:hint="eastAsia"/>
              </w:rPr>
              <w:t>合同</w:t>
            </w:r>
          </w:p>
          <w:p>
            <w:pPr>
              <w:jc w:val="center"/>
              <w:rPr>
                <w:rFonts w:ascii="宋体" w:eastAsia="宋体" w:cs="宋体" w:hint="eastAsia"/>
              </w:rPr>
            </w:pPr>
            <w:r>
              <w:rPr>
                <w:rFonts w:ascii="宋体" w:eastAsia="宋体" w:cs="宋体" w:hint="eastAsia"/>
              </w:rPr>
              <w:t>价款</w:t>
            </w:r>
          </w:p>
        </w:tc>
        <w:tc>
          <w:tcPr>
            <w:tcW w:w="855" w:type="dxa"/>
            <w:tcBorders>
              <w:top w:val="single" w:sz="6" w:space="0" w:color="auto"/>
              <w:left w:val="single" w:sz="6" w:space="0" w:color="auto"/>
              <w:bottom w:val="single" w:sz="12" w:space="0" w:color="auto"/>
              <w:right w:val="single" w:sz="6" w:space="0" w:color="auto"/>
            </w:tcBorders>
            <w:noWrap/>
            <w:vAlign w:val="center"/>
          </w:tcPr>
          <w:p>
            <w:pPr>
              <w:jc w:val="center"/>
              <w:rPr>
                <w:rFonts w:ascii="宋体" w:eastAsia="宋体" w:cs="宋体" w:hint="eastAsia"/>
              </w:rPr>
            </w:pPr>
            <w:r>
              <w:rPr>
                <w:rFonts w:ascii="宋体" w:eastAsia="宋体" w:cs="宋体" w:hint="eastAsia"/>
              </w:rPr>
              <w:t>质量达到标准</w:t>
            </w:r>
          </w:p>
        </w:tc>
        <w:tc>
          <w:tcPr>
            <w:tcW w:w="1833" w:type="dxa"/>
            <w:tcBorders>
              <w:top w:val="single" w:sz="6" w:space="0" w:color="auto"/>
              <w:left w:val="single" w:sz="6" w:space="0" w:color="auto"/>
              <w:bottom w:val="single" w:sz="12" w:space="0" w:color="auto"/>
              <w:right w:val="single" w:sz="6" w:space="0" w:color="auto"/>
            </w:tcBorders>
            <w:noWrap/>
            <w:vAlign w:val="center"/>
          </w:tcPr>
          <w:p>
            <w:pPr>
              <w:jc w:val="center"/>
              <w:rPr>
                <w:rFonts w:ascii="宋体" w:eastAsia="宋体" w:cs="宋体" w:hint="eastAsia"/>
              </w:rPr>
            </w:pPr>
            <w:r>
              <w:rPr>
                <w:rFonts w:ascii="宋体" w:eastAsia="宋体" w:cs="宋体" w:hint="eastAsia"/>
              </w:rPr>
              <w:t>备注</w:t>
            </w:r>
          </w:p>
        </w:tc>
      </w:tr>
      <w:tr>
        <w:trPr>
          <w:trHeight w:val="351"/>
        </w:trPr>
        <w:tc>
          <w:tcPr>
            <w:tcW w:w="1037"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c>
          <w:tcPr>
            <w:tcW w:w="1276"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c>
          <w:tcPr>
            <w:tcW w:w="630"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c>
          <w:tcPr>
            <w:tcW w:w="1470"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c>
          <w:tcPr>
            <w:tcW w:w="1158"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c>
          <w:tcPr>
            <w:tcW w:w="840"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c>
          <w:tcPr>
            <w:tcW w:w="855"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c>
          <w:tcPr>
            <w:tcW w:w="1833"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r>
      <w:tr>
        <w:trPr>
          <w:trHeight w:val="352"/>
        </w:trPr>
        <w:tc>
          <w:tcPr>
            <w:tcW w:w="1037"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c>
          <w:tcPr>
            <w:tcW w:w="1276"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c>
          <w:tcPr>
            <w:tcW w:w="630"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c>
          <w:tcPr>
            <w:tcW w:w="1470"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c>
          <w:tcPr>
            <w:tcW w:w="1158"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c>
          <w:tcPr>
            <w:tcW w:w="840"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c>
          <w:tcPr>
            <w:tcW w:w="855"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c>
          <w:tcPr>
            <w:tcW w:w="1833"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r>
      <w:tr>
        <w:trPr>
          <w:trHeight w:val="351"/>
        </w:trPr>
        <w:tc>
          <w:tcPr>
            <w:tcW w:w="1037"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c>
          <w:tcPr>
            <w:tcW w:w="1276"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c>
          <w:tcPr>
            <w:tcW w:w="630"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c>
          <w:tcPr>
            <w:tcW w:w="1470"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c>
          <w:tcPr>
            <w:tcW w:w="1158"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c>
          <w:tcPr>
            <w:tcW w:w="840"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c>
          <w:tcPr>
            <w:tcW w:w="855"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c>
          <w:tcPr>
            <w:tcW w:w="1833"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r>
      <w:tr>
        <w:trPr>
          <w:trHeight w:val="352"/>
        </w:trPr>
        <w:tc>
          <w:tcPr>
            <w:tcW w:w="1037"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c>
          <w:tcPr>
            <w:tcW w:w="1276"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c>
          <w:tcPr>
            <w:tcW w:w="630"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c>
          <w:tcPr>
            <w:tcW w:w="1470"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c>
          <w:tcPr>
            <w:tcW w:w="1158"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c>
          <w:tcPr>
            <w:tcW w:w="840"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c>
          <w:tcPr>
            <w:tcW w:w="855"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c>
          <w:tcPr>
            <w:tcW w:w="1833"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r>
      <w:tr>
        <w:trPr>
          <w:trHeight w:val="352"/>
        </w:trPr>
        <w:tc>
          <w:tcPr>
            <w:tcW w:w="1037"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c>
          <w:tcPr>
            <w:tcW w:w="1276"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c>
          <w:tcPr>
            <w:tcW w:w="630"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c>
          <w:tcPr>
            <w:tcW w:w="1470"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c>
          <w:tcPr>
            <w:tcW w:w="1158"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c>
          <w:tcPr>
            <w:tcW w:w="840"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c>
          <w:tcPr>
            <w:tcW w:w="855"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c>
          <w:tcPr>
            <w:tcW w:w="1833"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r>
      <w:tr>
        <w:trPr>
          <w:trHeight w:val="351"/>
        </w:trPr>
        <w:tc>
          <w:tcPr>
            <w:tcW w:w="1037"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c>
          <w:tcPr>
            <w:tcW w:w="1276"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c>
          <w:tcPr>
            <w:tcW w:w="630"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c>
          <w:tcPr>
            <w:tcW w:w="1470"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c>
          <w:tcPr>
            <w:tcW w:w="1158"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c>
          <w:tcPr>
            <w:tcW w:w="840"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c>
          <w:tcPr>
            <w:tcW w:w="855"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c>
          <w:tcPr>
            <w:tcW w:w="1833" w:type="dxa"/>
            <w:tcBorders>
              <w:top w:val="single" w:sz="6" w:space="0" w:color="auto"/>
              <w:left w:val="single" w:sz="6" w:space="0" w:color="auto"/>
              <w:bottom w:val="single" w:sz="12" w:space="0" w:color="auto"/>
              <w:right w:val="single" w:sz="6" w:space="0" w:color="auto"/>
            </w:tcBorders>
            <w:noWrap/>
          </w:tcPr>
          <w:p>
            <w:pPr>
              <w:rPr>
                <w:rFonts w:ascii="宋体" w:eastAsia="宋体" w:cs="宋体" w:hint="eastAsia"/>
              </w:rPr>
            </w:pPr>
          </w:p>
        </w:tc>
      </w:tr>
    </w:tbl>
    <w:p>
      <w:pPr>
        <w:rPr>
          <w:rFonts w:ascii="宋体" w:eastAsia="宋体" w:cs="宋体" w:hint="eastAsia"/>
          <w:b/>
          <w:color w:val="FF0000"/>
          <w:highlight w:val="yellow"/>
        </w:rPr>
      </w:pPr>
    </w:p>
    <w:p>
      <w:pPr>
        <w:rPr>
          <w:rFonts w:ascii="宋体" w:eastAsia="宋体" w:cs="宋体" w:hint="eastAsia"/>
          <w:b/>
        </w:rPr>
      </w:pPr>
    </w:p>
    <w:p>
      <w:pPr>
        <w:spacing w:line="440" w:lineRule="exact"/>
        <w:ind w:firstLineChars="200" w:firstLine="420"/>
        <w:jc w:val="center"/>
        <w:rPr>
          <w:rFonts w:ascii="宋体" w:eastAsia="宋体" w:cs="宋体" w:hint="eastAsia"/>
          <w:b/>
        </w:rPr>
      </w:pPr>
      <w:r>
        <w:rPr>
          <w:rFonts w:ascii="宋体" w:eastAsia="宋体" w:cs="宋体" w:hint="eastAsia"/>
          <w:b/>
        </w:rPr>
        <w:br w:type="page"/>
        <w:t>拟投入设备</w:t>
      </w:r>
    </w:p>
    <w:p>
      <w:pPr>
        <w:spacing w:line="440" w:lineRule="exact"/>
        <w:ind w:firstLineChars="200" w:firstLine="420"/>
        <w:rPr>
          <w:rFonts w:ascii="宋体" w:eastAsia="宋体" w:cs="宋体" w:hint="eastAsia"/>
          <w:b/>
        </w:rPr>
      </w:pPr>
    </w:p>
    <w:tbl>
      <w:tblPr>
        <w:jc w:val="center"/>
        <w:tblW w:w="928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648"/>
        <w:gridCol w:w="2159"/>
        <w:gridCol w:w="2160"/>
        <w:gridCol w:w="2159"/>
        <w:gridCol w:w="2160"/>
      </w:tblGrid>
      <w:tr>
        <w:tc>
          <w:tcPr>
            <w:tcW w:w="648" w:type="dxa"/>
            <w:tcBorders>
              <w:top w:val="single" w:sz="4" w:space="0" w:color="auto"/>
              <w:left w:val="single" w:sz="4" w:space="0" w:color="auto"/>
              <w:bottom w:val="single" w:sz="12" w:space="0" w:color="auto"/>
              <w:right w:val="single" w:sz="4" w:space="0" w:color="auto"/>
            </w:tcBorders>
            <w:noWrap/>
          </w:tcPr>
          <w:p>
            <w:pPr>
              <w:spacing w:line="440" w:lineRule="exact"/>
              <w:rPr>
                <w:rFonts w:ascii="宋体" w:eastAsia="宋体" w:cs="宋体" w:hint="eastAsia"/>
              </w:rPr>
            </w:pPr>
            <w:r>
              <w:rPr>
                <w:rFonts w:ascii="宋体" w:eastAsia="宋体" w:cs="宋体" w:hint="eastAsia"/>
              </w:rPr>
              <w:t>项号</w:t>
            </w:r>
          </w:p>
        </w:tc>
        <w:tc>
          <w:tcPr>
            <w:tcW w:w="2159" w:type="dxa"/>
            <w:tcBorders>
              <w:top w:val="single" w:sz="4" w:space="0" w:color="auto"/>
              <w:left w:val="single" w:sz="4" w:space="0" w:color="auto"/>
              <w:bottom w:val="single" w:sz="12" w:space="0" w:color="auto"/>
              <w:right w:val="single" w:sz="4" w:space="0" w:color="auto"/>
            </w:tcBorders>
            <w:noWrap/>
          </w:tcPr>
          <w:p>
            <w:pPr>
              <w:spacing w:line="440" w:lineRule="exact"/>
              <w:rPr>
                <w:rFonts w:ascii="宋体" w:eastAsia="宋体" w:cs="宋体" w:hint="eastAsia"/>
              </w:rPr>
            </w:pPr>
            <w:r>
              <w:rPr>
                <w:rFonts w:ascii="宋体" w:eastAsia="宋体" w:cs="宋体" w:hint="eastAsia"/>
              </w:rPr>
              <w:t>设备名称</w:t>
            </w:r>
          </w:p>
        </w:tc>
        <w:tc>
          <w:tcPr>
            <w:tcW w:w="2160" w:type="dxa"/>
            <w:tcBorders>
              <w:top w:val="single" w:sz="4" w:space="0" w:color="auto"/>
              <w:left w:val="single" w:sz="4" w:space="0" w:color="auto"/>
              <w:bottom w:val="single" w:sz="12" w:space="0" w:color="auto"/>
              <w:right w:val="single" w:sz="4" w:space="0" w:color="auto"/>
            </w:tcBorders>
            <w:noWrap/>
          </w:tcPr>
          <w:p>
            <w:pPr>
              <w:spacing w:line="440" w:lineRule="exact"/>
              <w:rPr>
                <w:rFonts w:ascii="宋体" w:eastAsia="宋体" w:cs="宋体" w:hint="eastAsia"/>
              </w:rPr>
            </w:pPr>
            <w:r>
              <w:rPr>
                <w:rFonts w:ascii="宋体" w:eastAsia="宋体" w:cs="宋体" w:hint="eastAsia"/>
              </w:rPr>
              <w:t>型号</w:t>
            </w:r>
          </w:p>
        </w:tc>
        <w:tc>
          <w:tcPr>
            <w:tcW w:w="2159" w:type="dxa"/>
            <w:tcBorders>
              <w:top w:val="single" w:sz="4" w:space="0" w:color="auto"/>
              <w:left w:val="single" w:sz="4" w:space="0" w:color="auto"/>
              <w:bottom w:val="single" w:sz="12" w:space="0" w:color="auto"/>
              <w:right w:val="single" w:sz="4" w:space="0" w:color="auto"/>
            </w:tcBorders>
            <w:noWrap/>
          </w:tcPr>
          <w:p>
            <w:pPr>
              <w:spacing w:line="440" w:lineRule="exact"/>
              <w:rPr>
                <w:rFonts w:ascii="宋体" w:eastAsia="宋体" w:cs="宋体" w:hint="eastAsia"/>
              </w:rPr>
            </w:pPr>
            <w:r>
              <w:rPr>
                <w:rFonts w:ascii="宋体" w:eastAsia="宋体" w:cs="宋体" w:hint="eastAsia"/>
              </w:rPr>
              <w:t>数量</w:t>
            </w:r>
          </w:p>
        </w:tc>
        <w:tc>
          <w:tcPr>
            <w:tcW w:w="2160" w:type="dxa"/>
            <w:tcBorders>
              <w:top w:val="single" w:sz="4" w:space="0" w:color="auto"/>
              <w:left w:val="single" w:sz="4" w:space="0" w:color="auto"/>
              <w:bottom w:val="single" w:sz="12" w:space="0" w:color="auto"/>
              <w:right w:val="single" w:sz="4" w:space="0" w:color="auto"/>
            </w:tcBorders>
            <w:noWrap/>
          </w:tcPr>
          <w:p>
            <w:pPr>
              <w:spacing w:line="440" w:lineRule="exact"/>
              <w:rPr>
                <w:rFonts w:ascii="宋体" w:eastAsia="宋体" w:cs="宋体" w:hint="eastAsia"/>
              </w:rPr>
            </w:pPr>
            <w:r>
              <w:rPr>
                <w:rFonts w:ascii="宋体" w:eastAsia="宋体" w:cs="宋体" w:hint="eastAsia"/>
              </w:rPr>
              <w:t>用途</w:t>
            </w:r>
          </w:p>
        </w:tc>
      </w:tr>
      <w:tr>
        <w:tc>
          <w:tcPr>
            <w:tcW w:w="648" w:type="dxa"/>
            <w:tcBorders>
              <w:top w:val="single" w:sz="4" w:space="0" w:color="auto"/>
              <w:left w:val="single" w:sz="4" w:space="0" w:color="auto"/>
              <w:bottom w:val="single" w:sz="12" w:space="0" w:color="auto"/>
              <w:right w:val="single" w:sz="4" w:space="0" w:color="auto"/>
            </w:tcBorders>
            <w:noWrap/>
          </w:tcPr>
          <w:p>
            <w:pPr>
              <w:spacing w:line="440" w:lineRule="exact"/>
              <w:rPr>
                <w:rFonts w:ascii="宋体" w:eastAsia="宋体" w:cs="宋体" w:hint="eastAsia"/>
              </w:rPr>
            </w:pPr>
          </w:p>
        </w:tc>
        <w:tc>
          <w:tcPr>
            <w:tcW w:w="2159" w:type="dxa"/>
            <w:tcBorders>
              <w:top w:val="single" w:sz="4" w:space="0" w:color="auto"/>
              <w:left w:val="single" w:sz="4" w:space="0" w:color="auto"/>
              <w:bottom w:val="single" w:sz="12" w:space="0" w:color="auto"/>
              <w:right w:val="single" w:sz="4" w:space="0" w:color="auto"/>
            </w:tcBorders>
            <w:noWrap/>
          </w:tcPr>
          <w:p>
            <w:pPr>
              <w:spacing w:line="440" w:lineRule="exact"/>
              <w:rPr>
                <w:rFonts w:ascii="宋体" w:eastAsia="宋体" w:cs="宋体" w:hint="eastAsia"/>
              </w:rPr>
            </w:pPr>
          </w:p>
        </w:tc>
        <w:tc>
          <w:tcPr>
            <w:tcW w:w="2160" w:type="dxa"/>
            <w:tcBorders>
              <w:top w:val="single" w:sz="4" w:space="0" w:color="auto"/>
              <w:left w:val="single" w:sz="4" w:space="0" w:color="auto"/>
              <w:bottom w:val="single" w:sz="12" w:space="0" w:color="auto"/>
              <w:right w:val="single" w:sz="4" w:space="0" w:color="auto"/>
            </w:tcBorders>
            <w:noWrap/>
          </w:tcPr>
          <w:p>
            <w:pPr>
              <w:spacing w:line="440" w:lineRule="exact"/>
              <w:rPr>
                <w:rFonts w:ascii="宋体" w:eastAsia="宋体" w:cs="宋体" w:hint="eastAsia"/>
              </w:rPr>
            </w:pPr>
          </w:p>
        </w:tc>
        <w:tc>
          <w:tcPr>
            <w:tcW w:w="2159" w:type="dxa"/>
            <w:tcBorders>
              <w:top w:val="single" w:sz="4" w:space="0" w:color="auto"/>
              <w:left w:val="single" w:sz="4" w:space="0" w:color="auto"/>
              <w:bottom w:val="single" w:sz="12" w:space="0" w:color="auto"/>
              <w:right w:val="single" w:sz="4" w:space="0" w:color="auto"/>
            </w:tcBorders>
            <w:noWrap/>
          </w:tcPr>
          <w:p>
            <w:pPr>
              <w:spacing w:line="440" w:lineRule="exact"/>
              <w:rPr>
                <w:rFonts w:ascii="宋体" w:eastAsia="宋体" w:cs="宋体" w:hint="eastAsia"/>
              </w:rPr>
            </w:pPr>
          </w:p>
        </w:tc>
        <w:tc>
          <w:tcPr>
            <w:tcW w:w="2160" w:type="dxa"/>
            <w:tcBorders>
              <w:top w:val="single" w:sz="4" w:space="0" w:color="auto"/>
              <w:left w:val="single" w:sz="4" w:space="0" w:color="auto"/>
              <w:bottom w:val="single" w:sz="12" w:space="0" w:color="auto"/>
              <w:right w:val="single" w:sz="4" w:space="0" w:color="auto"/>
            </w:tcBorders>
            <w:noWrap/>
          </w:tcPr>
          <w:p>
            <w:pPr>
              <w:spacing w:line="440" w:lineRule="exact"/>
              <w:rPr>
                <w:rFonts w:ascii="宋体" w:eastAsia="宋体" w:cs="宋体" w:hint="eastAsia"/>
              </w:rPr>
            </w:pPr>
          </w:p>
        </w:tc>
      </w:tr>
      <w:tr>
        <w:tc>
          <w:tcPr>
            <w:tcW w:w="648" w:type="dxa"/>
            <w:tcBorders>
              <w:top w:val="single" w:sz="4" w:space="0" w:color="auto"/>
              <w:left w:val="single" w:sz="4" w:space="0" w:color="auto"/>
              <w:bottom w:val="single" w:sz="12" w:space="0" w:color="auto"/>
              <w:right w:val="single" w:sz="4" w:space="0" w:color="auto"/>
            </w:tcBorders>
            <w:noWrap/>
          </w:tcPr>
          <w:p>
            <w:pPr>
              <w:spacing w:line="440" w:lineRule="exact"/>
              <w:rPr>
                <w:rFonts w:ascii="宋体" w:eastAsia="宋体" w:cs="宋体" w:hint="eastAsia"/>
              </w:rPr>
            </w:pPr>
          </w:p>
        </w:tc>
        <w:tc>
          <w:tcPr>
            <w:tcW w:w="2159" w:type="dxa"/>
            <w:tcBorders>
              <w:top w:val="single" w:sz="4" w:space="0" w:color="auto"/>
              <w:left w:val="single" w:sz="4" w:space="0" w:color="auto"/>
              <w:bottom w:val="single" w:sz="12" w:space="0" w:color="auto"/>
              <w:right w:val="single" w:sz="4" w:space="0" w:color="auto"/>
            </w:tcBorders>
            <w:noWrap/>
          </w:tcPr>
          <w:p>
            <w:pPr>
              <w:spacing w:line="440" w:lineRule="exact"/>
              <w:rPr>
                <w:rFonts w:ascii="宋体" w:eastAsia="宋体" w:cs="宋体" w:hint="eastAsia"/>
              </w:rPr>
            </w:pPr>
          </w:p>
        </w:tc>
        <w:tc>
          <w:tcPr>
            <w:tcW w:w="2160" w:type="dxa"/>
            <w:tcBorders>
              <w:top w:val="single" w:sz="4" w:space="0" w:color="auto"/>
              <w:left w:val="single" w:sz="4" w:space="0" w:color="auto"/>
              <w:bottom w:val="single" w:sz="12" w:space="0" w:color="auto"/>
              <w:right w:val="single" w:sz="4" w:space="0" w:color="auto"/>
            </w:tcBorders>
            <w:noWrap/>
          </w:tcPr>
          <w:p>
            <w:pPr>
              <w:spacing w:line="440" w:lineRule="exact"/>
              <w:rPr>
                <w:rFonts w:ascii="宋体" w:eastAsia="宋体" w:cs="宋体" w:hint="eastAsia"/>
              </w:rPr>
            </w:pPr>
          </w:p>
        </w:tc>
        <w:tc>
          <w:tcPr>
            <w:tcW w:w="2159" w:type="dxa"/>
            <w:tcBorders>
              <w:top w:val="single" w:sz="4" w:space="0" w:color="auto"/>
              <w:left w:val="single" w:sz="4" w:space="0" w:color="auto"/>
              <w:bottom w:val="single" w:sz="12" w:space="0" w:color="auto"/>
              <w:right w:val="single" w:sz="4" w:space="0" w:color="auto"/>
            </w:tcBorders>
            <w:noWrap/>
          </w:tcPr>
          <w:p>
            <w:pPr>
              <w:spacing w:line="440" w:lineRule="exact"/>
              <w:rPr>
                <w:rFonts w:ascii="宋体" w:eastAsia="宋体" w:cs="宋体" w:hint="eastAsia"/>
              </w:rPr>
            </w:pPr>
          </w:p>
        </w:tc>
        <w:tc>
          <w:tcPr>
            <w:tcW w:w="2160" w:type="dxa"/>
            <w:tcBorders>
              <w:top w:val="single" w:sz="4" w:space="0" w:color="auto"/>
              <w:left w:val="single" w:sz="4" w:space="0" w:color="auto"/>
              <w:bottom w:val="single" w:sz="12" w:space="0" w:color="auto"/>
              <w:right w:val="single" w:sz="4" w:space="0" w:color="auto"/>
            </w:tcBorders>
            <w:noWrap/>
          </w:tcPr>
          <w:p>
            <w:pPr>
              <w:spacing w:line="440" w:lineRule="exact"/>
              <w:rPr>
                <w:rFonts w:ascii="宋体" w:eastAsia="宋体" w:cs="宋体" w:hint="eastAsia"/>
              </w:rPr>
            </w:pPr>
          </w:p>
        </w:tc>
      </w:tr>
      <w:tr>
        <w:tc>
          <w:tcPr>
            <w:tcW w:w="648" w:type="dxa"/>
            <w:tcBorders>
              <w:top w:val="single" w:sz="4" w:space="0" w:color="auto"/>
              <w:left w:val="single" w:sz="4" w:space="0" w:color="auto"/>
              <w:bottom w:val="single" w:sz="12" w:space="0" w:color="auto"/>
              <w:right w:val="single" w:sz="4" w:space="0" w:color="auto"/>
            </w:tcBorders>
            <w:noWrap/>
          </w:tcPr>
          <w:p>
            <w:pPr>
              <w:spacing w:line="440" w:lineRule="exact"/>
              <w:rPr>
                <w:rFonts w:ascii="宋体" w:eastAsia="宋体" w:cs="宋体" w:hint="eastAsia"/>
              </w:rPr>
            </w:pPr>
          </w:p>
        </w:tc>
        <w:tc>
          <w:tcPr>
            <w:tcW w:w="2159" w:type="dxa"/>
            <w:tcBorders>
              <w:top w:val="single" w:sz="4" w:space="0" w:color="auto"/>
              <w:left w:val="single" w:sz="4" w:space="0" w:color="auto"/>
              <w:bottom w:val="single" w:sz="12" w:space="0" w:color="auto"/>
              <w:right w:val="single" w:sz="4" w:space="0" w:color="auto"/>
            </w:tcBorders>
            <w:noWrap/>
          </w:tcPr>
          <w:p>
            <w:pPr>
              <w:spacing w:line="440" w:lineRule="exact"/>
              <w:rPr>
                <w:rFonts w:ascii="宋体" w:eastAsia="宋体" w:cs="宋体" w:hint="eastAsia"/>
              </w:rPr>
            </w:pPr>
          </w:p>
        </w:tc>
        <w:tc>
          <w:tcPr>
            <w:tcW w:w="2160" w:type="dxa"/>
            <w:tcBorders>
              <w:top w:val="single" w:sz="4" w:space="0" w:color="auto"/>
              <w:left w:val="single" w:sz="4" w:space="0" w:color="auto"/>
              <w:bottom w:val="single" w:sz="12" w:space="0" w:color="auto"/>
              <w:right w:val="single" w:sz="4" w:space="0" w:color="auto"/>
            </w:tcBorders>
            <w:noWrap/>
          </w:tcPr>
          <w:p>
            <w:pPr>
              <w:spacing w:line="440" w:lineRule="exact"/>
              <w:rPr>
                <w:rFonts w:ascii="宋体" w:eastAsia="宋体" w:cs="宋体" w:hint="eastAsia"/>
              </w:rPr>
            </w:pPr>
          </w:p>
        </w:tc>
        <w:tc>
          <w:tcPr>
            <w:tcW w:w="2159" w:type="dxa"/>
            <w:tcBorders>
              <w:top w:val="single" w:sz="4" w:space="0" w:color="auto"/>
              <w:left w:val="single" w:sz="4" w:space="0" w:color="auto"/>
              <w:bottom w:val="single" w:sz="12" w:space="0" w:color="auto"/>
              <w:right w:val="single" w:sz="4" w:space="0" w:color="auto"/>
            </w:tcBorders>
            <w:noWrap/>
          </w:tcPr>
          <w:p>
            <w:pPr>
              <w:spacing w:line="440" w:lineRule="exact"/>
              <w:rPr>
                <w:rFonts w:ascii="宋体" w:eastAsia="宋体" w:cs="宋体" w:hint="eastAsia"/>
              </w:rPr>
            </w:pPr>
          </w:p>
        </w:tc>
        <w:tc>
          <w:tcPr>
            <w:tcW w:w="2160" w:type="dxa"/>
            <w:tcBorders>
              <w:top w:val="single" w:sz="4" w:space="0" w:color="auto"/>
              <w:left w:val="single" w:sz="4" w:space="0" w:color="auto"/>
              <w:bottom w:val="single" w:sz="12" w:space="0" w:color="auto"/>
              <w:right w:val="single" w:sz="4" w:space="0" w:color="auto"/>
            </w:tcBorders>
            <w:noWrap/>
          </w:tcPr>
          <w:p>
            <w:pPr>
              <w:spacing w:line="440" w:lineRule="exact"/>
              <w:rPr>
                <w:rFonts w:ascii="宋体" w:eastAsia="宋体" w:cs="宋体" w:hint="eastAsia"/>
              </w:rPr>
            </w:pPr>
          </w:p>
        </w:tc>
      </w:tr>
      <w:tr>
        <w:tc>
          <w:tcPr>
            <w:tcW w:w="648" w:type="dxa"/>
            <w:tcBorders>
              <w:top w:val="single" w:sz="4" w:space="0" w:color="auto"/>
              <w:left w:val="single" w:sz="4" w:space="0" w:color="auto"/>
              <w:bottom w:val="single" w:sz="12" w:space="0" w:color="auto"/>
              <w:right w:val="single" w:sz="4" w:space="0" w:color="auto"/>
            </w:tcBorders>
            <w:noWrap/>
          </w:tcPr>
          <w:p>
            <w:pPr>
              <w:spacing w:line="440" w:lineRule="exact"/>
              <w:rPr>
                <w:rFonts w:ascii="宋体" w:eastAsia="宋体" w:cs="宋体" w:hint="eastAsia"/>
              </w:rPr>
            </w:pPr>
          </w:p>
        </w:tc>
        <w:tc>
          <w:tcPr>
            <w:tcW w:w="2159" w:type="dxa"/>
            <w:tcBorders>
              <w:top w:val="single" w:sz="4" w:space="0" w:color="auto"/>
              <w:left w:val="single" w:sz="4" w:space="0" w:color="auto"/>
              <w:bottom w:val="single" w:sz="12" w:space="0" w:color="auto"/>
              <w:right w:val="single" w:sz="4" w:space="0" w:color="auto"/>
            </w:tcBorders>
            <w:noWrap/>
          </w:tcPr>
          <w:p>
            <w:pPr>
              <w:spacing w:line="440" w:lineRule="exact"/>
              <w:rPr>
                <w:rFonts w:ascii="宋体" w:eastAsia="宋体" w:cs="宋体" w:hint="eastAsia"/>
              </w:rPr>
            </w:pPr>
          </w:p>
        </w:tc>
        <w:tc>
          <w:tcPr>
            <w:tcW w:w="2160" w:type="dxa"/>
            <w:tcBorders>
              <w:top w:val="single" w:sz="4" w:space="0" w:color="auto"/>
              <w:left w:val="single" w:sz="4" w:space="0" w:color="auto"/>
              <w:bottom w:val="single" w:sz="12" w:space="0" w:color="auto"/>
              <w:right w:val="single" w:sz="4" w:space="0" w:color="auto"/>
            </w:tcBorders>
            <w:noWrap/>
          </w:tcPr>
          <w:p>
            <w:pPr>
              <w:spacing w:line="440" w:lineRule="exact"/>
              <w:rPr>
                <w:rFonts w:ascii="宋体" w:eastAsia="宋体" w:cs="宋体" w:hint="eastAsia"/>
              </w:rPr>
            </w:pPr>
          </w:p>
        </w:tc>
        <w:tc>
          <w:tcPr>
            <w:tcW w:w="2159" w:type="dxa"/>
            <w:tcBorders>
              <w:top w:val="single" w:sz="4" w:space="0" w:color="auto"/>
              <w:left w:val="single" w:sz="4" w:space="0" w:color="auto"/>
              <w:bottom w:val="single" w:sz="12" w:space="0" w:color="auto"/>
              <w:right w:val="single" w:sz="4" w:space="0" w:color="auto"/>
            </w:tcBorders>
            <w:noWrap/>
          </w:tcPr>
          <w:p>
            <w:pPr>
              <w:spacing w:line="440" w:lineRule="exact"/>
              <w:rPr>
                <w:rFonts w:ascii="宋体" w:eastAsia="宋体" w:cs="宋体" w:hint="eastAsia"/>
              </w:rPr>
            </w:pPr>
          </w:p>
        </w:tc>
        <w:tc>
          <w:tcPr>
            <w:tcW w:w="2160" w:type="dxa"/>
            <w:tcBorders>
              <w:top w:val="single" w:sz="4" w:space="0" w:color="auto"/>
              <w:left w:val="single" w:sz="4" w:space="0" w:color="auto"/>
              <w:bottom w:val="single" w:sz="12" w:space="0" w:color="auto"/>
              <w:right w:val="single" w:sz="4" w:space="0" w:color="auto"/>
            </w:tcBorders>
            <w:noWrap/>
          </w:tcPr>
          <w:p>
            <w:pPr>
              <w:spacing w:line="440" w:lineRule="exact"/>
              <w:rPr>
                <w:rFonts w:ascii="宋体" w:eastAsia="宋体" w:cs="宋体" w:hint="eastAsia"/>
              </w:rPr>
            </w:pPr>
          </w:p>
        </w:tc>
      </w:tr>
      <w:tr>
        <w:tc>
          <w:tcPr>
            <w:tcW w:w="648" w:type="dxa"/>
            <w:tcBorders>
              <w:top w:val="single" w:sz="4" w:space="0" w:color="auto"/>
              <w:left w:val="single" w:sz="4" w:space="0" w:color="auto"/>
              <w:bottom w:val="single" w:sz="12" w:space="0" w:color="auto"/>
              <w:right w:val="single" w:sz="4" w:space="0" w:color="auto"/>
            </w:tcBorders>
            <w:noWrap/>
          </w:tcPr>
          <w:p>
            <w:pPr>
              <w:spacing w:line="440" w:lineRule="exact"/>
              <w:rPr>
                <w:rFonts w:ascii="宋体" w:eastAsia="宋体" w:cs="宋体" w:hint="eastAsia"/>
              </w:rPr>
            </w:pPr>
          </w:p>
        </w:tc>
        <w:tc>
          <w:tcPr>
            <w:tcW w:w="2159" w:type="dxa"/>
            <w:tcBorders>
              <w:top w:val="single" w:sz="4" w:space="0" w:color="auto"/>
              <w:left w:val="single" w:sz="4" w:space="0" w:color="auto"/>
              <w:bottom w:val="single" w:sz="12" w:space="0" w:color="auto"/>
              <w:right w:val="single" w:sz="4" w:space="0" w:color="auto"/>
            </w:tcBorders>
            <w:noWrap/>
          </w:tcPr>
          <w:p>
            <w:pPr>
              <w:spacing w:line="440" w:lineRule="exact"/>
              <w:rPr>
                <w:rFonts w:ascii="宋体" w:eastAsia="宋体" w:cs="宋体" w:hint="eastAsia"/>
              </w:rPr>
            </w:pPr>
          </w:p>
        </w:tc>
        <w:tc>
          <w:tcPr>
            <w:tcW w:w="2160" w:type="dxa"/>
            <w:tcBorders>
              <w:top w:val="single" w:sz="4" w:space="0" w:color="auto"/>
              <w:left w:val="single" w:sz="4" w:space="0" w:color="auto"/>
              <w:bottom w:val="single" w:sz="12" w:space="0" w:color="auto"/>
              <w:right w:val="single" w:sz="4" w:space="0" w:color="auto"/>
            </w:tcBorders>
            <w:noWrap/>
          </w:tcPr>
          <w:p>
            <w:pPr>
              <w:spacing w:line="440" w:lineRule="exact"/>
              <w:rPr>
                <w:rFonts w:ascii="宋体" w:eastAsia="宋体" w:cs="宋体" w:hint="eastAsia"/>
              </w:rPr>
            </w:pPr>
          </w:p>
        </w:tc>
        <w:tc>
          <w:tcPr>
            <w:tcW w:w="2159" w:type="dxa"/>
            <w:tcBorders>
              <w:top w:val="single" w:sz="4" w:space="0" w:color="auto"/>
              <w:left w:val="single" w:sz="4" w:space="0" w:color="auto"/>
              <w:bottom w:val="single" w:sz="12" w:space="0" w:color="auto"/>
              <w:right w:val="single" w:sz="4" w:space="0" w:color="auto"/>
            </w:tcBorders>
            <w:noWrap/>
          </w:tcPr>
          <w:p>
            <w:pPr>
              <w:spacing w:line="440" w:lineRule="exact"/>
              <w:rPr>
                <w:rFonts w:ascii="宋体" w:eastAsia="宋体" w:cs="宋体" w:hint="eastAsia"/>
              </w:rPr>
            </w:pPr>
          </w:p>
        </w:tc>
        <w:tc>
          <w:tcPr>
            <w:tcW w:w="2160" w:type="dxa"/>
            <w:tcBorders>
              <w:top w:val="single" w:sz="4" w:space="0" w:color="auto"/>
              <w:left w:val="single" w:sz="4" w:space="0" w:color="auto"/>
              <w:bottom w:val="single" w:sz="12" w:space="0" w:color="auto"/>
              <w:right w:val="single" w:sz="4" w:space="0" w:color="auto"/>
            </w:tcBorders>
            <w:noWrap/>
          </w:tcPr>
          <w:p>
            <w:pPr>
              <w:spacing w:line="440" w:lineRule="exact"/>
              <w:rPr>
                <w:rFonts w:ascii="宋体" w:eastAsia="宋体" w:cs="宋体" w:hint="eastAsia"/>
              </w:rPr>
            </w:pPr>
          </w:p>
        </w:tc>
      </w:tr>
    </w:tbl>
    <w:p>
      <w:pPr>
        <w:rPr>
          <w:rFonts w:ascii="宋体" w:eastAsia="宋体" w:cs="宋体" w:hint="eastAsia"/>
          <w:b/>
        </w:rPr>
      </w:pPr>
    </w:p>
    <w:p>
      <w:pPr>
        <w:rPr>
          <w:rFonts w:ascii="宋体" w:eastAsia="宋体" w:cs="宋体" w:hint="eastAsia"/>
          <w:b/>
        </w:rPr>
      </w:pPr>
    </w:p>
    <w:p>
      <w:pPr>
        <w:pStyle w:val="2"/>
        <w:spacing w:before="0" w:after="0" w:line="360" w:lineRule="auto"/>
        <w:rPr>
          <w:rFonts w:ascii="宋体" w:eastAsia="宋体" w:cs="宋体" w:hint="eastAsia"/>
        </w:rPr>
      </w:pPr>
      <w:r>
        <w:rPr>
          <w:rFonts w:ascii="宋体" w:eastAsia="宋体" w:cs="宋体" w:hint="eastAsia"/>
          <w:b w:val="0"/>
        </w:rPr>
        <w:br w:type="page"/>
      </w:r>
      <w:r>
        <w:rPr>
          <w:rFonts w:ascii="宋体" w:eastAsia="宋体" w:cs="宋体" w:hint="eastAsia"/>
          <w:sz w:val="28"/>
          <w:szCs w:val="28"/>
        </w:rPr>
        <w:t>附件一、投标人资格声明函</w:t>
      </w:r>
      <w:bookmarkEnd w:id="123"/>
      <w:bookmarkEnd w:id="124"/>
    </w:p>
    <w:p>
      <w:pPr>
        <w:jc w:val="center"/>
        <w:rPr>
          <w:rFonts w:ascii="宋体" w:eastAsia="宋体" w:cs="宋体" w:hint="eastAsia"/>
          <w:b/>
          <w:sz w:val="24"/>
        </w:rPr>
      </w:pPr>
    </w:p>
    <w:p>
      <w:pPr>
        <w:jc w:val="center"/>
        <w:rPr>
          <w:rFonts w:ascii="宋体" w:eastAsia="宋体" w:cs="宋体" w:hint="eastAsia"/>
          <w:b/>
          <w:sz w:val="28"/>
          <w:szCs w:val="28"/>
        </w:rPr>
      </w:pPr>
      <w:r>
        <w:rPr>
          <w:rFonts w:ascii="宋体" w:eastAsia="宋体" w:cs="宋体" w:hint="eastAsia"/>
          <w:b/>
          <w:sz w:val="28"/>
          <w:szCs w:val="28"/>
        </w:rPr>
        <w:t>投标人资格声明函</w:t>
      </w:r>
      <w:bookmarkEnd w:id="125"/>
    </w:p>
    <w:p>
      <w:pPr>
        <w:jc w:val="center"/>
        <w:rPr>
          <w:rFonts w:ascii="宋体" w:eastAsia="宋体" w:cs="宋体" w:hint="eastAsia"/>
        </w:rPr>
      </w:pPr>
    </w:p>
    <w:p>
      <w:pPr>
        <w:rPr>
          <w:rFonts w:ascii="宋体" w:eastAsia="宋体" w:cs="宋体" w:hint="eastAsia"/>
          <w:sz w:val="24"/>
        </w:rPr>
      </w:pPr>
      <w:r>
        <w:rPr>
          <w:rFonts w:ascii="宋体" w:eastAsia="宋体" w:cs="宋体" w:hint="eastAsia"/>
          <w:sz w:val="24"/>
          <w:lang w:eastAsia="zh-CN"/>
        </w:rPr>
        <w:t>新疆天之源项目管理集团有限公司</w:t>
      </w:r>
      <w:r>
        <w:rPr>
          <w:rFonts w:ascii="宋体" w:eastAsia="宋体" w:cs="宋体" w:hint="eastAsia"/>
          <w:sz w:val="24"/>
        </w:rPr>
        <w:t xml:space="preserve"> ：</w:t>
      </w:r>
    </w:p>
    <w:p>
      <w:pPr>
        <w:rPr>
          <w:rFonts w:ascii="宋体" w:eastAsia="宋体" w:cs="宋体" w:hint="eastAsia"/>
          <w:sz w:val="24"/>
        </w:rPr>
      </w:pPr>
    </w:p>
    <w:p>
      <w:pPr>
        <w:snapToGrid w:val="0"/>
        <w:spacing w:beforeLines="50" w:before="120" w:line="360" w:lineRule="auto"/>
        <w:ind w:firstLineChars="250" w:firstLine="600"/>
        <w:rPr>
          <w:rFonts w:ascii="宋体" w:eastAsia="宋体" w:cs="宋体" w:hint="eastAsia"/>
          <w:sz w:val="24"/>
        </w:rPr>
      </w:pPr>
      <w:r>
        <w:rPr>
          <w:rFonts w:ascii="宋体" w:eastAsia="宋体" w:cs="宋体" w:hint="eastAsia"/>
          <w:sz w:val="24"/>
        </w:rPr>
        <w:t>关于贵公司</w:t>
      </w:r>
      <w:r>
        <w:rPr>
          <w:rFonts w:ascii="宋体" w:eastAsia="宋体" w:cs="宋体" w:hint="eastAsia"/>
          <w:sz w:val="24"/>
          <w:u w:val="single"/>
        </w:rPr>
        <w:t>　　　</w:t>
      </w:r>
      <w:r>
        <w:rPr>
          <w:rFonts w:ascii="宋体" w:eastAsia="宋体" w:cs="宋体" w:hint="eastAsia"/>
          <w:sz w:val="24"/>
        </w:rPr>
        <w:t>年</w:t>
      </w:r>
      <w:r>
        <w:rPr>
          <w:rFonts w:ascii="宋体" w:eastAsia="宋体" w:cs="宋体" w:hint="eastAsia"/>
          <w:sz w:val="24"/>
          <w:u w:val="single"/>
        </w:rPr>
        <w:t>　　</w:t>
      </w:r>
      <w:r>
        <w:rPr>
          <w:rFonts w:ascii="宋体" w:eastAsia="宋体" w:cs="宋体" w:hint="eastAsia"/>
          <w:sz w:val="24"/>
        </w:rPr>
        <w:t>月</w:t>
      </w:r>
      <w:r>
        <w:rPr>
          <w:rFonts w:ascii="宋体" w:eastAsia="宋体" w:cs="宋体" w:hint="eastAsia"/>
          <w:sz w:val="24"/>
          <w:u w:val="single"/>
        </w:rPr>
        <w:t>　　</w:t>
      </w:r>
      <w:r>
        <w:rPr>
          <w:rFonts w:ascii="宋体" w:eastAsia="宋体" w:cs="宋体" w:hint="eastAsia"/>
          <w:sz w:val="24"/>
        </w:rPr>
        <w:t>日发布</w:t>
      </w:r>
      <w:r>
        <w:rPr>
          <w:rFonts w:ascii="宋体" w:cs="宋体" w:hint="eastAsia"/>
          <w:sz w:val="24"/>
          <w:u w:val="single"/>
          <w:lang w:val="en-US" w:eastAsia="zh-CN"/>
        </w:rPr>
        <w:t xml:space="preserve">      </w:t>
      </w:r>
      <w:r>
        <w:rPr>
          <w:rFonts w:ascii="宋体" w:eastAsia="宋体" w:cs="宋体" w:hint="eastAsia"/>
          <w:sz w:val="24"/>
          <w:u w:val="single"/>
        </w:rPr>
        <w:t>项目</w:t>
      </w:r>
      <w:r>
        <w:rPr>
          <w:rFonts w:ascii="宋体" w:eastAsia="宋体" w:cs="宋体" w:hint="eastAsia"/>
          <w:color w:val="auto"/>
          <w:sz w:val="24"/>
        </w:rPr>
        <w:t>（招标编号：号）的</w:t>
      </w:r>
      <w:r>
        <w:rPr>
          <w:rFonts w:ascii="宋体" w:eastAsia="宋体" w:cs="宋体" w:hint="eastAsia"/>
          <w:sz w:val="24"/>
        </w:rPr>
        <w:t>采购公告，我公司愿意参加投标，并声明：本公司具有符合招标要求的良好商业信誉和健全的财务会计制度、参加政府采购活动前三年内，在经营活动中没有重大违法记录，三年内无因自身原因违约或不恰当履行合同引起的终止、纠纷、争议、仲裁和诉讼记录，无被责令停业或暂停投标记录，无经济方面的犯罪或严重违法记录，无发生过重大安全事故或责任事故。提交的相关证明文件是准确真实、完整有效的，并已清楚招标文件的要求及有关文件规定。并承诺在本次招标采购活动中，如有违法、违规、弄虚作假行为，所造成的损失、不良后果及法律责任，一律由我公司（企业）承担。</w:t>
      </w:r>
    </w:p>
    <w:p>
      <w:pPr>
        <w:spacing w:line="360" w:lineRule="auto"/>
        <w:ind w:firstLine="420"/>
        <w:rPr>
          <w:rFonts w:ascii="宋体" w:eastAsia="宋体" w:cs="宋体" w:hint="eastAsia"/>
          <w:sz w:val="24"/>
        </w:rPr>
      </w:pPr>
    </w:p>
    <w:p>
      <w:pPr>
        <w:spacing w:line="360" w:lineRule="auto"/>
        <w:ind w:firstLine="420"/>
        <w:rPr>
          <w:rFonts w:ascii="宋体" w:eastAsia="宋体" w:cs="宋体" w:hint="eastAsia"/>
          <w:sz w:val="24"/>
        </w:rPr>
      </w:pPr>
    </w:p>
    <w:p>
      <w:pPr>
        <w:spacing w:line="360" w:lineRule="auto"/>
        <w:ind w:firstLine="420"/>
        <w:rPr>
          <w:rFonts w:ascii="宋体" w:eastAsia="宋体" w:cs="宋体" w:hint="eastAsia"/>
          <w:sz w:val="24"/>
        </w:rPr>
      </w:pPr>
      <w:r>
        <w:rPr>
          <w:rFonts w:ascii="宋体" w:eastAsia="宋体" w:cs="宋体" w:hint="eastAsia"/>
          <w:sz w:val="24"/>
        </w:rPr>
        <w:t>特此声明！</w:t>
      </w:r>
    </w:p>
    <w:p>
      <w:pPr>
        <w:spacing w:line="360" w:lineRule="auto"/>
        <w:ind w:firstLine="420"/>
        <w:rPr>
          <w:rFonts w:ascii="宋体" w:eastAsia="宋体" w:cs="宋体" w:hint="eastAsia"/>
          <w:sz w:val="24"/>
        </w:rPr>
      </w:pPr>
    </w:p>
    <w:p>
      <w:pPr>
        <w:spacing w:line="360" w:lineRule="auto"/>
        <w:ind w:firstLine="420"/>
        <w:rPr>
          <w:rFonts w:ascii="宋体" w:eastAsia="宋体" w:cs="宋体" w:hint="eastAsia"/>
          <w:sz w:val="24"/>
        </w:rPr>
      </w:pPr>
    </w:p>
    <w:p>
      <w:pPr>
        <w:spacing w:line="480" w:lineRule="auto"/>
        <w:ind w:firstLine="420"/>
        <w:rPr>
          <w:rFonts w:ascii="宋体" w:eastAsia="宋体" w:cs="宋体" w:hint="eastAsia"/>
          <w:sz w:val="24"/>
        </w:rPr>
      </w:pPr>
      <w:r>
        <w:rPr>
          <w:rFonts w:ascii="宋体" w:eastAsia="宋体" w:cs="宋体" w:hint="eastAsia"/>
          <w:sz w:val="24"/>
        </w:rPr>
        <w:t>单位名称：　　　　　　　　　　　　　　　　　　公司（企业）法定代表人签字：</w:t>
      </w:r>
    </w:p>
    <w:p>
      <w:pPr>
        <w:spacing w:line="480" w:lineRule="auto"/>
        <w:ind w:firstLine="420"/>
        <w:rPr>
          <w:rFonts w:ascii="宋体" w:eastAsia="宋体" w:cs="宋体" w:hint="eastAsia"/>
          <w:sz w:val="24"/>
        </w:rPr>
      </w:pPr>
      <w:r>
        <w:rPr>
          <w:rFonts w:ascii="宋体" w:eastAsia="宋体" w:cs="宋体" w:hint="eastAsia"/>
          <w:sz w:val="24"/>
        </w:rPr>
        <w:t>单位地址：　　　　　　　　　　　　　　　　　　单位公章：</w:t>
      </w:r>
    </w:p>
    <w:p>
      <w:pPr>
        <w:spacing w:line="480" w:lineRule="auto"/>
        <w:ind w:firstLine="420"/>
        <w:rPr>
          <w:rFonts w:ascii="宋体" w:eastAsia="宋体" w:cs="宋体" w:hint="eastAsia"/>
          <w:sz w:val="24"/>
        </w:rPr>
      </w:pPr>
      <w:r>
        <w:rPr>
          <w:rFonts w:ascii="宋体" w:eastAsia="宋体" w:cs="宋体" w:hint="eastAsia"/>
          <w:sz w:val="24"/>
        </w:rPr>
        <w:t>邮政编码：　　　　　　　　　　　　　　　　　　日期：</w:t>
      </w:r>
    </w:p>
    <w:p>
      <w:pPr>
        <w:spacing w:line="480" w:lineRule="auto"/>
        <w:ind w:firstLineChars="175" w:firstLine="420"/>
        <w:rPr>
          <w:rFonts w:ascii="宋体" w:eastAsia="宋体" w:cs="宋体" w:hint="eastAsia"/>
          <w:sz w:val="24"/>
        </w:rPr>
      </w:pPr>
      <w:r>
        <w:rPr>
          <w:rFonts w:ascii="宋体" w:eastAsia="宋体" w:cs="宋体" w:hint="eastAsia"/>
          <w:sz w:val="24"/>
        </w:rPr>
        <w:t>联系电话：</w:t>
      </w:r>
    </w:p>
    <w:p>
      <w:pPr>
        <w:pStyle w:val="2"/>
        <w:spacing w:before="0" w:after="0" w:line="360" w:lineRule="auto"/>
        <w:rPr>
          <w:rFonts w:ascii="宋体" w:eastAsia="宋体" w:cs="宋体" w:hint="eastAsia"/>
          <w:sz w:val="28"/>
          <w:szCs w:val="28"/>
        </w:rPr>
      </w:pPr>
      <w:r>
        <w:rPr>
          <w:rFonts w:ascii="宋体" w:eastAsia="宋体" w:cs="宋体" w:hint="eastAsia"/>
        </w:rPr>
        <w:br w:type="page"/>
      </w:r>
      <w:bookmarkStart w:id="126" w:name="_Toc6977"/>
      <w:bookmarkStart w:id="127" w:name="_Toc130139098"/>
      <w:r>
        <w:rPr>
          <w:rFonts w:ascii="宋体" w:eastAsia="宋体" w:cs="宋体" w:hint="eastAsia"/>
        </w:rPr>
        <w:t>附件二、</w:t>
      </w:r>
      <w:r>
        <w:rPr>
          <w:rFonts w:ascii="宋体" w:eastAsia="宋体" w:cs="宋体" w:hint="eastAsia"/>
          <w:sz w:val="28"/>
          <w:szCs w:val="28"/>
        </w:rPr>
        <w:t>资格文件</w:t>
      </w:r>
      <w:bookmarkEnd w:id="126"/>
      <w:bookmarkEnd w:id="127"/>
    </w:p>
    <w:p>
      <w:pPr>
        <w:rPr>
          <w:rFonts w:ascii="宋体" w:eastAsia="宋体" w:cs="宋体" w:hint="eastAsia"/>
          <w:sz w:val="24"/>
        </w:rPr>
      </w:pPr>
    </w:p>
    <w:p>
      <w:pPr>
        <w:spacing w:line="360" w:lineRule="auto"/>
        <w:rPr>
          <w:rFonts w:ascii="宋体" w:eastAsia="宋体" w:cs="宋体" w:hint="eastAsia"/>
          <w:sz w:val="24"/>
        </w:rPr>
      </w:pPr>
      <w:r>
        <w:rPr>
          <w:rFonts w:ascii="宋体" w:eastAsia="宋体" w:cs="宋体" w:hint="eastAsia"/>
          <w:sz w:val="24"/>
        </w:rPr>
        <w:t>投标人必须按下列要求提交资格文件：</w:t>
      </w:r>
    </w:p>
    <w:p>
      <w:pPr>
        <w:spacing w:line="420" w:lineRule="exact"/>
        <w:rPr>
          <w:rFonts w:ascii="宋体" w:eastAsia="宋体" w:cs="宋体" w:hint="eastAsia"/>
          <w:sz w:val="24"/>
          <w:lang w:eastAsia="zh-CN"/>
        </w:rPr>
      </w:pPr>
      <w:r>
        <w:rPr>
          <w:rFonts w:ascii="宋体" w:eastAsia="宋体" w:cs="宋体" w:hint="eastAsia"/>
          <w:sz w:val="24"/>
        </w:rPr>
        <w:t>1、企业营业执照副本</w:t>
      </w:r>
    </w:p>
    <w:p>
      <w:pPr>
        <w:spacing w:line="420" w:lineRule="exact"/>
        <w:rPr>
          <w:rFonts w:ascii="宋体" w:eastAsia="宋体" w:cs="宋体" w:hint="eastAsia"/>
          <w:sz w:val="24"/>
        </w:rPr>
      </w:pPr>
      <w:r>
        <w:rPr>
          <w:rFonts w:ascii="宋体" w:eastAsia="宋体" w:cs="宋体" w:hint="eastAsia"/>
          <w:sz w:val="24"/>
        </w:rPr>
        <w:t>2、“信用中国”（www.creditchina.gov.cn）和“中国政府采购网”（www.ccgp.gov.cn）网站上未被列入失信被执行人、重大税收违法案件当事人名单以及政府采购严重违法失信行为记录名单的网页打印件（网页打印件须自招标文件发布之日起至投标截止时间从上述网站中打印）（加盖公章）；</w:t>
      </w:r>
    </w:p>
    <w:p>
      <w:pPr>
        <w:spacing w:line="420" w:lineRule="exact"/>
        <w:rPr>
          <w:rFonts w:ascii="宋体" w:eastAsia="宋体" w:cs="宋体" w:hint="eastAsia"/>
          <w:sz w:val="24"/>
        </w:rPr>
      </w:pPr>
      <w:r>
        <w:rPr>
          <w:rFonts w:ascii="宋体" w:eastAsia="宋体" w:cs="宋体" w:hint="eastAsia"/>
          <w:sz w:val="24"/>
        </w:rPr>
        <w:t>3、法定代表人参加时提供：身份证原件，或委托代理人参加时提供：身份证原件、法定代表人身份证明、授权委托书；</w:t>
      </w:r>
    </w:p>
    <w:p>
      <w:pPr>
        <w:spacing w:line="420" w:lineRule="exact"/>
        <w:rPr>
          <w:rFonts w:ascii="宋体" w:eastAsia="宋体" w:cs="宋体" w:hint="eastAsia"/>
          <w:sz w:val="24"/>
        </w:rPr>
      </w:pPr>
      <w:r>
        <w:rPr>
          <w:rFonts w:ascii="宋体" w:eastAsia="宋体" w:cs="宋体" w:hint="eastAsia"/>
          <w:sz w:val="24"/>
        </w:rPr>
        <w:t>4、投标保证金汇款凭证。</w:t>
      </w:r>
    </w:p>
    <w:p>
      <w:pPr>
        <w:spacing w:line="420" w:lineRule="exact"/>
        <w:rPr>
          <w:rFonts w:ascii="宋体" w:eastAsia="宋体" w:cs="宋体" w:hint="eastAsia"/>
          <w:sz w:val="24"/>
        </w:rPr>
      </w:pPr>
      <w:r>
        <w:rPr>
          <w:rFonts w:ascii="宋体" w:eastAsia="宋体" w:cs="宋体" w:hint="eastAsia"/>
          <w:sz w:val="24"/>
        </w:rPr>
        <w:t>6、其他投标人认为有必要的资质文件。</w:t>
      </w:r>
    </w:p>
    <w:p>
      <w:pPr>
        <w:spacing w:line="360" w:lineRule="auto"/>
        <w:ind w:firstLineChars="219" w:firstLine="526"/>
        <w:rPr>
          <w:rFonts w:ascii="宋体" w:eastAsia="宋体" w:cs="宋体" w:hint="eastAsia"/>
          <w:sz w:val="24"/>
        </w:rPr>
      </w:pPr>
    </w:p>
    <w:p>
      <w:pPr>
        <w:spacing w:line="360" w:lineRule="auto"/>
        <w:rPr>
          <w:rFonts w:ascii="宋体" w:eastAsia="宋体" w:cs="宋体" w:hint="eastAsia"/>
          <w:sz w:val="28"/>
          <w:szCs w:val="28"/>
        </w:rPr>
      </w:pPr>
      <w:r>
        <w:rPr>
          <w:rFonts w:ascii="宋体" w:eastAsia="宋体" w:cs="宋体" w:hint="eastAsia"/>
          <w:b/>
          <w:bCs/>
          <w:sz w:val="22"/>
          <w:szCs w:val="28"/>
        </w:rPr>
        <w:t>注：投标人应自行承担所提供上述资料任何错漏而导致的一切后</w:t>
      </w:r>
      <w:bookmarkStart w:id="128" w:name="附表1"/>
      <w:bookmarkEnd w:id="128"/>
    </w:p>
    <w:sectPr>
      <w:headerReference w:type="default" r:id="rId4"/>
      <w:headerReference w:type="first" r:id="rId5"/>
      <w:footerReference w:type="default" r:id="rId6"/>
      <w:type w:val="nextColumn"/>
      <w:pgSz w:w="11906" w:h="16838"/>
      <w:pgMar w:top="1418" w:right="1191" w:bottom="1418" w:left="1191" w:header="468" w:footer="590" w:gutter="0"/>
      <w:pgNumType/>
      <w:docGrid w:linePitch="312" w:charSpace="0"/>
    </w:sectPr>
  </w:body>
</w:document>
</file>

<file path=word/fontTable.xml><?xml version="1.0" encoding="utf-8"?>
<w:fonts xmlns:w="http://schemas.openxmlformats.org/wordprocessingml/2006/main" xmlns:r="http://schemas.openxmlformats.org/officeDocument/2006/relationships">
  <w:font w:name="宋体">
    <w:panose1 w:val="02010600030101010101"/>
    <w:charset w:val="86"/>
    <w:family w:val="auto"/>
    <w:pitch w:val="variable"/>
    <w:sig w:usb0="00000003" w:usb1="288F0000" w:usb2="00000006" w:usb3="00000000" w:csb0="00040001" w:csb1="00000000"/>
  </w:font>
  <w:font w:name="Times New Roman">
    <w:panose1 w:val="02020603050405020304"/>
    <w:charset w:val="00"/>
    <w:family w:val="roman"/>
    <w:pitch w:val="variable"/>
    <w:sig w:usb0="20007A87" w:usb1="80000000" w:usb2="00000008" w:usb3="00000000" w:csb0="000001FF" w:csb1="00000000"/>
  </w:font>
  <w:font w:name="仿宋">
    <w:panose1 w:val="02010609060101010101"/>
    <w:charset w:val="86"/>
    <w:family w:val="auto"/>
    <w:pitch w:val="variable"/>
    <w:sig w:usb0="800002BF" w:usb1="38CF7CFA" w:usb2="00000016" w:usb3="00000000" w:csb0="00040001" w:csb1="00000000"/>
  </w:font>
  <w:font w:name="Arial">
    <w:panose1 w:val="020B0604020202020204"/>
    <w:charset w:val="01"/>
    <w:family w:val="swiss"/>
    <w:pitch w:val="variable"/>
    <w:sig w:usb0="E0002EFF" w:usb1="C000785B" w:usb2="00000009" w:usb3="00000000" w:csb0="400001FF" w:csb1="FFFF0000"/>
  </w:font>
  <w:font w:name="黑体">
    <w:panose1 w:val="02010609060101010101"/>
    <w:charset w:val="86"/>
    <w:family w:val="auto"/>
    <w:pitch w:val="variable"/>
    <w:sig w:usb0="800002BF" w:usb1="38CF7CFA" w:usb2="00000016" w:usb3="00000000" w:csb0="00040001" w:csb1="00000000"/>
  </w:font>
  <w:font w:name="微软雅黑">
    <w:panose1 w:val="020B0503020204020204"/>
    <w:charset w:val="86"/>
    <w:family w:val="auto"/>
    <w:pitch w:val="variable"/>
    <w:sig w:usb0="80000287" w:usb1="2ACF3C50" w:usb2="00000016" w:usb3="00000000" w:csb0="0004001F" w:csb1="00000000"/>
  </w:font>
  <w:font w:name="Tahoma">
    <w:panose1 w:val="020B0604030504040204"/>
    <w:charset w:val="00"/>
    <w:family w:val="auto"/>
    <w:pitch w:val="variable"/>
    <w:sig w:usb0="E1002EFF" w:usb1="C000605B" w:usb2="00000029" w:usb3="00000000" w:csb0="200101FF" w:csb1="20280000"/>
  </w:font>
  <w:font w:name="仿宋_GB2312">
    <w:altName w:val="仿宋"/>
    <w:panose1 w:val="02010609030101010101"/>
    <w:charset w:val="86"/>
    <w:family w:val="auto"/>
    <w:pitch w:val="variable"/>
    <w:sig w:usb0="00000000" w:usb1="00000000" w:usb2="00000000" w:usb3="00000000" w:csb0="00040000" w:csb1="00000000"/>
  </w:font>
  <w:font w:name="楷体_GB2312">
    <w:altName w:val="楷体"/>
    <w:panose1 w:val="00000000000000000000"/>
    <w:charset w:val="86"/>
    <w:family w:val="auto"/>
    <w:pitch w:val="variable"/>
    <w:sig w:usb0="00000000" w:usb1="00000000" w:usb2="00000000" w:usb3="00000000" w:csb0="00040000" w:csb1="0000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pStyle w:val="42"/>
      <w:wordWrap w:val="0"/>
    </w:pPr>
    <w:r>
      <w:rPr>
        <w:rFonts w:ascii="宋体" w:eastAsia="宋体" w:cs="Times New Roman"/>
        <w:kern w:val="2"/>
        <w:sz w:val="18"/>
        <w:szCs w:val="18"/>
        <w:lang w:val="en-US" w:eastAsia="zh-CN" w:bidi="ar-SA"/>
      </w:rPr>
      <mc:AlternateContent>
        <mc:Choice Requires="wps">
          <w:drawing>
            <wp:anchor distT="0" distB="0" distL="114298" distR="114298" simplePos="0" relativeHeight="12" behindDoc="0" locked="0" layoutInCell="1" hidden="0" allowOverlap="1">
              <wp:simplePos x="0" y="0"/>
              <wp:positionH relativeFrom="margin">
                <wp:align>center</wp:align>
              </wp:positionH>
              <wp:positionV relativeFrom="paragraph">
                <wp:posOffset>17780</wp:posOffset>
              </wp:positionV>
              <wp:extent cx="114300" cy="148018"/>
              <wp:effectExtent l="0" t="0" r="0" b="0"/>
              <wp:wrapNone/>
              <wp:docPr id="1" name="文本框 1"/>
              <wp:cNvGraphicFramePr>
                <a:graphicFrameLocks noChangeAspect="0"/>
              </wp:cNvGraphicFramePr>
              <a:graphic>
                <a:graphicData uri="http://schemas.microsoft.com/office/word/2010/wordprocessingShape">
                  <wps:wsp>
                    <wps:cNvSpPr/>
                    <wps:spPr>
                      <a:xfrm rot="0">
                        <a:off x="0" y="0"/>
                        <a:ext cx="114300" cy="148018"/>
                      </a:xfrm>
                      <a:prstGeom prst="rect"/>
                      <a:noFill/>
                      <a:ln w="9525" cmpd="sng" cap="flat">
                        <a:noFill/>
                        <a:prstDash val="solid"/>
                        <a:miter/>
                      </a:ln>
                    </wps:spPr>
                    <wps:txbx id="2">
                      <w:txbxContent>
                        <w:p>
                          <w:pPr>
                            <w:pStyle w:val="25"/>
                            <w:pBdr>
                              <w:top w:val="none" w:sz="0" w:space="0" w:color="auto"/>
                            </w:pBdr>
                            <w:tabs>
                              <w:tab w:val="center" w:pos="4153"/>
                              <w:tab w:val="right" w:pos="8306"/>
                            </w:tabs>
                            <w:rPr>
                              <w:rStyle w:val="32"/>
                              <w:rFonts w:eastAsia="宋体"/>
                            </w:rPr>
                          </w:pPr>
                          <w:r>
                            <w:rPr>
                              <w:rStyle w:val="32"/>
                              <w:rFonts w:eastAsia="宋体"/>
                            </w:rPr>
                            <w:fldChar w:fldCharType="begin"/>
                          </w:r>
                          <w:r>
                            <w:rPr>
                              <w:rStyle w:val="32"/>
                              <w:rFonts w:eastAsia="宋体"/>
                            </w:rPr>
                            <w:instrText xml:space="preserve">PAGE  </w:instrText>
                          </w:r>
                          <w:r>
                            <w:fldChar w:fldCharType="separate"/>
                          </w:r>
                          <w:r>
                            <w:rPr>
                              <w:rStyle w:val="32"/>
                              <w:rFonts w:eastAsia="宋体"/>
                            </w:rPr>
                            <w:t>22</w:t>
                          </w:r>
                          <w:r>
                            <w:fldChar w:fldCharType="end"/>
                          </w:r>
                        </w:p>
                      </w:txbxContent>
                    </wps:txbx>
                    <wps:bodyPr vert="horz" wrap="none" lIns="0" tIns="0" rIns="0" bIns="0" anchor="t" anchorCtr="0" upright="1">
                      <a:spAutoFit/>
                    </wps:bodyPr>
                  </wps:wsp>
                </a:graphicData>
              </a:graphic>
            </wp:anchor>
          </w:drawing>
        </mc:Choice>
        <mc:Fallback>
          <w:pict>
            <v:rect type="#_x0000_t1" id="文本框 1 3" o:spid="_x0000_s3" filled="f" stroked="f" style="position:absolute;margin-left:0.0pt;margin-top:1.4000031pt;width:9.0pt;height:11.655035pt;z-index:12;mso-position-horizontal:center;mso-position-horizontal-relative:margin;mso-position-vertical:absolute;mso-wrap-distance-left:8.999863pt;mso-wrap-distance-right:8.999863pt;mso-wrap-style:none;">
              <v:stroke color="#000000"/>
              <v:textbox id="848" inset="0mm,0mm,0mm,0mm" o:insetmode="custom" style="layout-flow:horizontal;v-text-anchor:top;mso-fit-shape-to-text:t;">
                <w:txbxContent>
                  <w:p>
                    <w:pPr>
                      <w:pStyle w:val="25"/>
                      <w:pBdr>
                        <w:top w:val="none" w:sz="0" w:space="0" w:color="auto"/>
                      </w:pBdr>
                      <w:tabs>
                        <w:tab w:val="center" w:pos="4153"/>
                        <w:tab w:val="right" w:pos="8306"/>
                      </w:tabs>
                      <w:rPr>
                        <w:rStyle w:val="32"/>
                        <w:rFonts w:eastAsia="宋体"/>
                      </w:rPr>
                    </w:pPr>
                    <w:r>
                      <w:rPr>
                        <w:rStyle w:val="32"/>
                        <w:rFonts w:eastAsia="宋体"/>
                      </w:rPr>
                      <w:fldChar w:fldCharType="begin"/>
                    </w:r>
                    <w:r>
                      <w:rPr>
                        <w:rStyle w:val="32"/>
                        <w:rFonts w:eastAsia="宋体"/>
                      </w:rPr>
                      <w:instrText xml:space="preserve">PAGE  </w:instrText>
                    </w:r>
                    <w:r>
                      <w:fldChar w:fldCharType="separate"/>
                    </w:r>
                    <w:r>
                      <w:rPr>
                        <w:rStyle w:val="32"/>
                        <w:rFonts w:eastAsia="宋体"/>
                      </w:rPr>
                      <w:t>22</w:t>
                    </w:r>
                    <w:r>
                      <w:fldChar w:fldCharType="end"/>
                    </w:r>
                  </w:p>
                </w:txbxContent>
              </v:textbox>
            </v:rect>
          </w:pict>
        </mc:Fallback>
      </mc:AlternateContent>
    </w:r>
    <w:r>
      <w:t xml:space="preserve">        </w:t>
    </w:r>
    <w:r>
      <w:rPr>
        <w:rStyle w:val="53"/>
      </w:rPr>
      <w:t xml:space="preserve">                      </w:t>
    </w:r>
    <w:r>
      <w:rPr>
        <w:rFonts w:ascii="Times New Roman" w:hAnsi="Times New Roman" w:hint="eastAsia"/>
      </w:rPr>
      <w:t xml:space="preserve">   </w:t>
    </w:r>
    <w:r>
      <w:rPr>
        <w:rStyle w:val="53"/>
      </w:rPr>
      <w:t xml:space="preserve"> </w:t>
    </w:r>
    <w:r>
      <w:rPr>
        <w:rStyle w:val="53"/>
        <w:rFonts w:hint="eastAsia"/>
      </w:rPr>
      <w:t xml:space="preserve"> </w:t>
    </w:r>
    <w:r>
      <w:rPr>
        <w:rStyle w:val="53"/>
      </w:rPr>
      <w:t xml:space="preserve">     </w:t>
    </w:r>
  </w:p>
</w:ftr>
</file>

<file path=word/footer2.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pStyle w:val="42"/>
    </w:pPr>
    <w:r>
      <w:t xml:space="preserve">第二章 投标人须知           </w:t>
    </w:r>
    <w:r>
      <w:rPr>
        <w:rStyle w:val="53"/>
      </w:rPr>
      <w:t xml:space="preserve">                      </w:t>
    </w:r>
    <w:r>
      <w:rPr>
        <w:rFonts w:hint="eastAsia"/>
      </w:rPr>
      <w:t>2-</w:t>
    </w:r>
    <w:r>
      <w:rPr>
        <w:rStyle w:val="32"/>
        <w:rFonts w:eastAsia="宋体"/>
      </w:rPr>
      <w:fldChar w:fldCharType="begin"/>
    </w:r>
    <w:r>
      <w:rPr>
        <w:rStyle w:val="32"/>
        <w:rFonts w:eastAsia="宋体"/>
      </w:rPr>
      <w:instrText xml:space="preserve"> PAGE </w:instrText>
    </w:r>
    <w:r>
      <w:fldChar w:fldCharType="separate"/>
    </w:r>
    <w:r>
      <w:rPr>
        <w:rStyle w:val="32"/>
        <w:rFonts w:eastAsia="宋体"/>
      </w:rPr>
      <w:t>1</w:t>
    </w:r>
    <w:r>
      <w:fldChar w:fldCharType="end"/>
    </w:r>
    <w:r>
      <w:rPr>
        <w:rStyle w:val="53"/>
      </w:rPr>
      <w:t xml:space="preserve">                          </w:t>
    </w:r>
    <w:r>
      <w:rPr>
        <w:rFonts w:hint="eastAsia"/>
        <w:lang w:eastAsia="zh-CN"/>
      </w:rPr>
      <w:t>新疆天之源项目管理集团有限公司</w:t>
    </w:r>
    <w:r>
      <w:rPr>
        <w:rFonts w:hint="eastAsia"/>
      </w:rPr>
      <w:t xml:space="preserve"> </w:t>
    </w:r>
  </w:p>
</w:ftr>
</file>

<file path=word/footer3.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pStyle w:val="42"/>
      <w:wordWrap w:val="0"/>
    </w:pPr>
    <w:r>
      <w:t xml:space="preserve">            </w:t>
    </w:r>
    <w:r>
      <w:rPr>
        <w:rFonts w:hint="eastAsia"/>
      </w:rPr>
      <w:t xml:space="preserve">                         </w:t>
    </w:r>
    <w:r>
      <w:t xml:space="preserve">                                                           </w:t>
    </w:r>
    <w:r>
      <w:rPr>
        <w:rFonts w:hint="eastAsia"/>
      </w:rPr>
      <w:t xml:space="preserve">  </w:t>
    </w:r>
    <w:r>
      <w:t xml:space="preserve">  </w:t>
    </w:r>
  </w:p>
</w:ftr>
</file>

<file path=word/header1.xml><?xml version="1.0" encoding="utf-8"?>
<w:hd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pStyle w:val="26"/>
      <w:tabs>
        <w:tab w:val="center" w:pos="4153"/>
        <w:tab w:val="right" w:pos="8306"/>
      </w:tabs>
    </w:pPr>
  </w:p>
</w:hdr>
</file>

<file path=word/header2.xml><?xml version="1.0" encoding="utf-8"?>
<w:hd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pStyle w:val="26"/>
      <w:tabs>
        <w:tab w:val="center" w:pos="4153"/>
        <w:tab w:val="right" w:pos="8306"/>
      </w:tabs>
      <w:jc w:val="both"/>
      <w:rPr>
        <w:rFonts w:ascii="宋体"/>
      </w:rPr>
    </w:pPr>
    <w:r>
      <w:rPr>
        <w:rFonts w:ascii="宋体" w:hint="eastAsia"/>
      </w:rPr>
      <w:t>项目名称：</w:t>
    </w:r>
    <w:r>
      <w:rPr>
        <w:rFonts w:ascii="宋体"/>
        <w:bCs/>
        <w:color w:val="FF0000"/>
      </w:rPr>
      <w:t>项目名称名</w:t>
    </w:r>
    <w:r>
      <w:rPr>
        <w:rFonts w:ascii="宋体"/>
      </w:rPr>
      <w:t xml:space="preserve">              </w:t>
    </w:r>
    <w:r>
      <w:rPr>
        <w:rFonts w:ascii="宋体" w:hint="eastAsia"/>
      </w:rPr>
      <w:t xml:space="preserve">  </w:t>
    </w:r>
    <w:r>
      <w:rPr>
        <w:rFonts w:ascii="宋体"/>
      </w:rPr>
      <w:t xml:space="preserve">    </w:t>
    </w:r>
    <w:r>
      <w:rPr>
        <w:rFonts w:ascii="宋体" w:hint="eastAsia"/>
      </w:rPr>
      <w:t xml:space="preserve">                                                                                       </w:t>
    </w:r>
    <w:r>
      <w:rPr>
        <w:rFonts w:ascii="宋体" w:hint="eastAsia"/>
        <w:color w:val="FF0000"/>
      </w:rPr>
      <w:t>招标编号名</w:t>
    </w:r>
    <w:r>
      <w:rPr>
        <w:rFonts w:ascii="宋体" w:hint="eastAsia"/>
      </w:rPr>
      <w:t xml:space="preserve"> </w:t>
    </w:r>
  </w:p>
</w:hdr>
</file>

<file path=word/numbering.xml><?xml version="1.0" encoding="utf-8"?>
<w:numbering xmlns:w="http://schemas.openxmlformats.org/wordprocessingml/2006/main" xmlns:o="urn:schemas-microsoft-com:office:office" xmlns:r="http://schemas.openxmlformats.org/officeDocument/2006/relationships" xmlns:m="http://schemas.openxmlformats.org/officeDocument/2006/math" xmlns:v="urn:schemas-microsoft-com:vml" xmlns:mc="http://schemas.openxmlformats.org/markup-compatibility/2006" xmlns:w14="http://schemas.microsoft.com/office/word/2010/wordml">
  <w:abstractNum w:abstractNumId="0">
    <w:nsid w:val="198A01D0"/>
    <w:multiLevelType w:val="singleLevel"/>
    <w:tmpl w:val="198A01D0"/>
    <w:lvl w:ilvl="0">
      <w:start w:val="1"/>
      <w:numFmt w:val="decimal"/>
      <w:lvlRestart w:val="0"/>
      <w:suff w:val="nothing"/>
      <w:lvlText w:val="%1、"/>
      <w:lvlJc w:val="left"/>
      <w:pPr>
        <w:ind w:left="0" w:hanging="0"/>
      </w:pPr>
    </w:lvl>
  </w:abstractNum>
  <w:abstractNum w:abstractNumId="1">
    <w:nsid w:val="6B500E89"/>
    <w:multiLevelType w:val="singleLevel"/>
    <w:tmpl w:val="6B500E89"/>
    <w:lvl w:ilvl="0">
      <w:start w:val="1"/>
      <w:numFmt w:val="decimal"/>
      <w:lvlRestart w:val="0"/>
      <w:suff w:val="nothing"/>
      <w:lvlText w:val="%1、"/>
      <w:lvlJc w:val="left"/>
      <w:pPr>
        <w:ind w:left="0" w:hanging="0"/>
      </w:pPr>
    </w:lvl>
  </w:abstractNum>
  <w:abstractNum w:abstractNumId="2">
    <w:nsid w:val="0000002D"/>
    <w:multiLevelType w:val="multilevel"/>
    <w:tmpl w:val="0000002D"/>
    <w:lvl w:ilvl="0">
      <w:start w:val="1"/>
      <w:numFmt w:val="decimal"/>
      <w:lvlRestart w:val="0"/>
      <w:lvlText w:val="%1."/>
      <w:lvlJc w:val="left"/>
      <w:pPr>
        <w:ind w:left="992" w:hanging="425"/>
      </w:pPr>
      <w:rPr>
        <w:rFonts w:hint="eastAsia"/>
        <w:b/>
        <w:i w:val="0"/>
        <w:sz w:val="28"/>
        <w:szCs w:val="28"/>
      </w:rPr>
    </w:lvl>
    <w:lvl w:ilvl="1">
      <w:start w:val="1"/>
      <w:numFmt w:val="decimal"/>
      <w:lvlText w:val="%1.%2."/>
      <w:lvlJc w:val="left"/>
      <w:pPr>
        <w:ind w:left="567" w:hanging="567"/>
      </w:pPr>
      <w:rPr>
        <w:rFonts w:ascii="宋体" w:hAnsi="宋体" w:eastAsia="宋体" w:hint="eastAsia"/>
        <w:b/>
        <w:i w:val="0"/>
        <w:sz w:val="24"/>
        <w:szCs w:val="24"/>
      </w:rPr>
    </w:lvl>
    <w:lvl w:ilvl="2">
      <w:start w:val="1"/>
      <w:numFmt w:val="decimal"/>
      <w:lvlText w:val="%1.%2.%3."/>
      <w:lvlJc w:val="left"/>
      <w:pPr>
        <w:ind w:left="624" w:hanging="624"/>
      </w:pPr>
      <w:rPr>
        <w:rFonts w:ascii="宋体" w:hAnsi="宋体" w:eastAsia="宋体" w:hint="eastAsia"/>
        <w:b w:val="0"/>
        <w:i w:val="0"/>
        <w:sz w:val="24"/>
        <w:szCs w:val="24"/>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3">
    <w:nsid w:val="0000002E"/>
    <w:multiLevelType w:val="multilevel"/>
    <w:tmpl w:val="0000002E"/>
    <w:lvl w:ilvl="0">
      <w:start w:val="1"/>
      <w:numFmt w:val="decimal"/>
      <w:lvlRestart w:val="0"/>
      <w:lvlText w:val="（%1）"/>
      <w:lvlJc w:val="left"/>
      <w:pPr>
        <w:ind w:left="720" w:hanging="720"/>
      </w:pPr>
      <w:rPr>
        <w:rFonts w:hint="default"/>
      </w:rPr>
    </w:lvl>
    <w:lvl w:ilvl="1">
      <w:start w:val="1"/>
      <w:numFmt w:val="lowerLetter"/>
      <w:lvlText w:val="%2)"/>
      <w:lvlJc w:val="left"/>
      <w:pPr>
        <w:ind w:left="840" w:hanging="420"/>
      </w:pPr>
    </w:lvl>
    <w:lvl w:ilvl="2">
      <w:start w:val="1"/>
      <w:numFmt w:val="decimal"/>
      <w:lvlText w:val="%3、"/>
      <w:lvlJc w:val="left"/>
      <w:pPr>
        <w:ind w:left="1200" w:hanging="360"/>
      </w:pPr>
      <w:rPr>
        <w:rFonts w:hint="default"/>
      </w:r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0000001B"/>
    <w:multiLevelType w:val="multilevel"/>
    <w:tmpl w:val="0000001B"/>
    <w:lvl w:ilvl="0">
      <w:start w:val="1"/>
      <w:numFmt w:val="decimal"/>
      <w:lvlRestart w:val="0"/>
      <w:lvlText w:val="（%1）"/>
      <w:lvlJc w:val="left"/>
      <w:pPr>
        <w:ind w:left="718" w:hanging="7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5"/>
      <w:numFmt w:val="decimal"/>
      <w:lvlText w:val="%4、"/>
      <w:lvlJc w:val="left"/>
      <w:pPr>
        <w:ind w:left="1620" w:hanging="360"/>
      </w:pPr>
      <w:rPr>
        <w:rFonts w:hint="default"/>
      </w:r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00000009"/>
    <w:multiLevelType w:val="multilevel"/>
    <w:tmpl w:val="00000009"/>
    <w:lvl w:ilvl="0">
      <w:start w:val="1"/>
      <w:numFmt w:val="decimal"/>
      <w:lvlRestart w:val="0"/>
      <w:lvlText w:val="（%1）"/>
      <w:lvlJc w:val="left"/>
      <w:pPr>
        <w:ind w:left="720" w:hanging="720"/>
      </w:pPr>
      <w:rPr>
        <w:rFonts w:hint="eastAsia"/>
      </w:rPr>
    </w:lvl>
    <w:lvl w:ilvl="1">
      <w:start w:val="1"/>
      <w:numFmt w:val="decimal"/>
      <w:lvlText w:val="%2、"/>
      <w:lvlJc w:val="left"/>
      <w:pPr>
        <w:ind w:left="357" w:hanging="357"/>
      </w:pPr>
      <w:rPr>
        <w:rFonts w:hint="eastAsia"/>
      </w:rPr>
    </w:lvl>
    <w:lvl w:ilvl="2">
      <w:start w:val="1"/>
      <w:numFmt w:val="lowerRoman"/>
      <w:lvlText w:val="%3."/>
      <w:lvlJc w:val="right"/>
      <w:pPr>
        <w:ind w:left="1260" w:hanging="420"/>
      </w:pPr>
    </w:lvl>
    <w:lvl w:ilvl="3">
      <w:start w:val="1"/>
      <w:numFmt w:val="japaneseCounting"/>
      <w:lvlText w:val="%4、"/>
      <w:lvlJc w:val="left"/>
      <w:pPr>
        <w:ind w:left="1740" w:hanging="480"/>
      </w:pPr>
      <w:rPr>
        <w:rFonts w:hint="default"/>
      </w:r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00000004"/>
    <w:multiLevelType w:val="multilevel"/>
    <w:tmpl w:val="00000004"/>
    <w:lvl w:ilvl="0">
      <w:start w:val="1"/>
      <w:numFmt w:val="decimal"/>
      <w:lvlRestart w:val="0"/>
      <w:lvlText w:val="（%1）"/>
      <w:lvlJc w:val="left"/>
      <w:pPr>
        <w:ind w:left="718" w:hanging="720"/>
      </w:pPr>
      <w:rPr>
        <w:rFonts w:hint="eastAsia"/>
      </w:rPr>
    </w:lvl>
    <w:lvl w:ilvl="1">
      <w:start w:val="6"/>
      <w:numFmt w:val="japaneseCounting"/>
      <w:lvlText w:val="%2、"/>
      <w:lvlJc w:val="left"/>
      <w:pPr>
        <w:ind w:left="1138" w:hanging="720"/>
      </w:pPr>
      <w:rPr>
        <w:rFonts w:hint="eastAsia"/>
      </w:rPr>
    </w:lvl>
    <w:lvl w:ilvl="2">
      <w:start w:val="3"/>
      <w:numFmt w:val="decimal"/>
      <w:lvlText w:val="%3．"/>
      <w:lvlJc w:val="left"/>
      <w:pPr>
        <w:ind w:left="1558" w:hanging="720"/>
      </w:pPr>
      <w:rPr>
        <w:rFonts w:hint="eastAsia"/>
      </w:rPr>
    </w:lvl>
    <w:lvl w:ilvl="3">
      <w:start w:val="12"/>
      <w:numFmt w:val="decimal"/>
      <w:lvlText w:val="%4、"/>
      <w:lvlJc w:val="left"/>
      <w:pPr>
        <w:ind w:left="1738" w:hanging="480"/>
      </w:pPr>
      <w:rPr>
        <w:rFonts w:hint="eastAsia"/>
      </w:rPr>
    </w:lvl>
    <w:lvl w:ilvl="4">
      <w:start w:val="1"/>
      <w:numFmt w:val="japaneseCounting"/>
      <w:lvlText w:val="（%5）"/>
      <w:lvlJc w:val="left"/>
      <w:pPr>
        <w:ind w:left="2398" w:hanging="720"/>
      </w:pPr>
      <w:rPr>
        <w:rFonts w:hint="eastAsia"/>
      </w:rPr>
    </w:lvl>
    <w:lvl w:ilvl="5">
      <w:start w:val="1"/>
      <w:numFmt w:val="lowerRoman"/>
      <w:lvlText w:val="%6."/>
      <w:lvlJc w:val="right"/>
      <w:pPr>
        <w:ind w:left="2518" w:hanging="420"/>
      </w:pPr>
    </w:lvl>
    <w:lvl w:ilvl="6">
      <w:start w:val="1"/>
      <w:numFmt w:val="decimal"/>
      <w:lvlText w:val="%7."/>
      <w:lvlJc w:val="left"/>
      <w:pPr>
        <w:ind w:left="2938" w:hanging="420"/>
      </w:pPr>
    </w:lvl>
    <w:lvl w:ilvl="7">
      <w:start w:val="1"/>
      <w:numFmt w:val="lowerLetter"/>
      <w:lvlText w:val="%8)"/>
      <w:lvlJc w:val="left"/>
      <w:pPr>
        <w:ind w:left="3358" w:hanging="420"/>
      </w:pPr>
    </w:lvl>
    <w:lvl w:ilvl="8">
      <w:start w:val="1"/>
      <w:numFmt w:val="lowerRoman"/>
      <w:lvlText w:val="%9."/>
      <w:lvlJc w:val="right"/>
      <w:pPr>
        <w:ind w:left="3778" w:hanging="420"/>
      </w:pPr>
    </w:lvl>
  </w:abstractNum>
  <w:abstractNum w:abstractNumId="7">
    <w:nsid w:val="0000003C"/>
    <w:multiLevelType w:val="multilevel"/>
    <w:tmpl w:val="0000003C"/>
    <w:lvl w:ilvl="0">
      <w:start w:val="1"/>
      <w:numFmt w:val="decimal"/>
      <w:lvlRestart w:val="0"/>
      <w:lvlText w:val="（%1）"/>
      <w:lvlJc w:val="left"/>
      <w:pPr>
        <w:ind w:left="1003" w:hanging="720"/>
      </w:pPr>
      <w:rPr>
        <w:rFonts w:hint="eastAsia"/>
      </w:rPr>
    </w:lvl>
    <w:lvl w:ilvl="1">
      <w:start w:val="1"/>
      <w:numFmt w:val="lowerLetter"/>
      <w:lvlText w:val="%2）"/>
      <w:lvlJc w:val="left"/>
      <w:pPr>
        <w:ind w:left="1138" w:hanging="571"/>
      </w:pPr>
      <w:rPr>
        <w:rFonts w:hint="default"/>
      </w:rPr>
    </w:lvl>
    <w:lvl w:ilvl="2">
      <w:start w:val="1"/>
      <w:numFmt w:val="lowerRoman"/>
      <w:lvlText w:val="%3."/>
      <w:lvlJc w:val="right"/>
      <w:pPr>
        <w:ind w:left="1258" w:hanging="420"/>
      </w:pPr>
    </w:lvl>
    <w:lvl w:ilvl="3">
      <w:start w:val="1"/>
      <w:numFmt w:val="decimal"/>
      <w:lvlText w:val="%4."/>
      <w:lvlJc w:val="left"/>
      <w:pPr>
        <w:ind w:left="1678" w:hanging="420"/>
      </w:pPr>
    </w:lvl>
    <w:lvl w:ilvl="4">
      <w:start w:val="1"/>
      <w:numFmt w:val="lowerLetter"/>
      <w:lvlText w:val="%5)"/>
      <w:lvlJc w:val="left"/>
      <w:pPr>
        <w:ind w:left="2098" w:hanging="420"/>
      </w:pPr>
    </w:lvl>
    <w:lvl w:ilvl="5">
      <w:start w:val="1"/>
      <w:numFmt w:val="lowerRoman"/>
      <w:lvlText w:val="%6."/>
      <w:lvlJc w:val="right"/>
      <w:pPr>
        <w:ind w:left="2518" w:hanging="420"/>
      </w:pPr>
    </w:lvl>
    <w:lvl w:ilvl="6">
      <w:start w:val="1"/>
      <w:numFmt w:val="decimal"/>
      <w:lvlText w:val="%7."/>
      <w:lvlJc w:val="left"/>
      <w:pPr>
        <w:ind w:left="2938" w:hanging="420"/>
      </w:pPr>
    </w:lvl>
    <w:lvl w:ilvl="7">
      <w:start w:val="1"/>
      <w:numFmt w:val="lowerLetter"/>
      <w:lvlText w:val="%8)"/>
      <w:lvlJc w:val="left"/>
      <w:pPr>
        <w:ind w:left="3358" w:hanging="420"/>
      </w:pPr>
    </w:lvl>
    <w:lvl w:ilvl="8">
      <w:start w:val="1"/>
      <w:numFmt w:val="lowerRoman"/>
      <w:lvlText w:val="%9."/>
      <w:lvlJc w:val="right"/>
      <w:pPr>
        <w:ind w:left="3778" w:hanging="420"/>
      </w:pPr>
    </w:lvl>
  </w:abstractNum>
  <w:abstractNum w:abstractNumId="8">
    <w:nsid w:val="7D3AC28A"/>
    <w:multiLevelType w:val="singleLevel"/>
    <w:tmpl w:val="7D3AC28A"/>
    <w:lvl w:ilvl="0">
      <w:start w:val="1"/>
      <w:numFmt w:val="decimal"/>
      <w:lvlRestart w:val="0"/>
      <w:suff w:val="nothing"/>
      <w:lvlText w:val="（%1）"/>
      <w:lvlJc w:val="left"/>
      <w:pPr>
        <w:ind w:left="0" w:hanging="0"/>
      </w:pPr>
    </w:lvl>
  </w:abstractNum>
  <w:abstractNum w:abstractNumId="9">
    <w:nsid w:val="75FD2BA9"/>
    <w:multiLevelType w:val="multilevel"/>
    <w:tmpl w:val="75FD2BA9"/>
    <w:lvl w:ilvl="0">
      <w:start w:val="1"/>
      <w:numFmt w:val="decimal"/>
      <w:lvlRestart w:val="0"/>
      <w:lvlText w:val="（%1）"/>
      <w:lvlJc w:val="left"/>
      <w:pPr>
        <w:ind w:left="1145" w:hanging="720"/>
      </w:pPr>
      <w:rPr>
        <w:rFonts w:hint="default"/>
      </w:rPr>
    </w:lvl>
    <w:lvl w:ilvl="1">
      <w:start w:val="1"/>
      <w:numFmt w:val="lowerLetter"/>
      <w:lvlText w:val="%2)"/>
      <w:lvlJc w:val="left"/>
      <w:pPr>
        <w:ind w:left="1265" w:hanging="420"/>
      </w:pPr>
    </w:lvl>
    <w:lvl w:ilvl="2">
      <w:start w:val="1"/>
      <w:numFmt w:val="lowerRoman"/>
      <w:lvlText w:val="%3."/>
      <w:lvlJc w:val="right"/>
      <w:pPr>
        <w:ind w:left="1685" w:hanging="420"/>
      </w:pPr>
    </w:lvl>
    <w:lvl w:ilvl="3">
      <w:start w:val="1"/>
      <w:numFmt w:val="decimal"/>
      <w:lvlText w:val="%4."/>
      <w:lvlJc w:val="left"/>
      <w:pPr>
        <w:ind w:left="2105" w:hanging="420"/>
      </w:pPr>
    </w:lvl>
    <w:lvl w:ilvl="4">
      <w:start w:val="1"/>
      <w:numFmt w:val="lowerLetter"/>
      <w:lvlText w:val="%5)"/>
      <w:lvlJc w:val="left"/>
      <w:pPr>
        <w:ind w:left="2525" w:hanging="420"/>
      </w:pPr>
    </w:lvl>
    <w:lvl w:ilvl="5">
      <w:start w:val="1"/>
      <w:numFmt w:val="lowerRoman"/>
      <w:lvlText w:val="%6."/>
      <w:lvlJc w:val="right"/>
      <w:pPr>
        <w:ind w:left="2945" w:hanging="420"/>
      </w:pPr>
    </w:lvl>
    <w:lvl w:ilvl="6">
      <w:start w:val="1"/>
      <w:numFmt w:val="decimal"/>
      <w:lvlText w:val="%7."/>
      <w:lvlJc w:val="left"/>
      <w:pPr>
        <w:ind w:left="3365" w:hanging="420"/>
      </w:pPr>
    </w:lvl>
    <w:lvl w:ilvl="7">
      <w:start w:val="1"/>
      <w:numFmt w:val="lowerLetter"/>
      <w:lvlText w:val="%8)"/>
      <w:lvlJc w:val="left"/>
      <w:pPr>
        <w:ind w:left="3785" w:hanging="420"/>
      </w:pPr>
    </w:lvl>
    <w:lvl w:ilvl="8">
      <w:start w:val="1"/>
      <w:numFmt w:val="lowerRoman"/>
      <w:lvlText w:val="%9."/>
      <w:lvlJc w:val="right"/>
      <w:pPr>
        <w:ind w:left="4205" w:hanging="420"/>
      </w:pPr>
    </w:lvl>
  </w:abstractNum>
  <w:abstractNum w:abstractNumId="10">
    <w:nsid w:val="0000000A"/>
    <w:multiLevelType w:val="multilevel"/>
    <w:tmpl w:val="0000000A"/>
    <w:lvl w:ilvl="0">
      <w:start w:val="1"/>
      <w:numFmt w:val="decimal"/>
      <w:lvlRestart w:val="0"/>
      <w:lvlText w:val="（%1）"/>
      <w:lvlJc w:val="left"/>
      <w:pPr>
        <w:ind w:left="1182" w:hanging="720"/>
      </w:pPr>
      <w:rPr>
        <w:rFonts w:hint="default"/>
        <w:b w:val="0"/>
        <w:bCs w:val="0"/>
      </w:rPr>
    </w:lvl>
    <w:lvl w:ilvl="1">
      <w:start w:val="1"/>
      <w:numFmt w:val="lowerLetter"/>
      <w:lvlText w:val="%2)"/>
      <w:lvlJc w:val="left"/>
      <w:pPr>
        <w:ind w:left="1302" w:hanging="420"/>
      </w:pPr>
    </w:lvl>
    <w:lvl w:ilvl="2">
      <w:start w:val="1"/>
      <w:numFmt w:val="lowerRoman"/>
      <w:lvlText w:val="%3."/>
      <w:lvlJc w:val="right"/>
      <w:pPr>
        <w:ind w:left="1722" w:hanging="420"/>
      </w:pPr>
    </w:lvl>
    <w:lvl w:ilvl="3">
      <w:start w:val="1"/>
      <w:numFmt w:val="decimal"/>
      <w:lvlText w:val="%4."/>
      <w:lvlJc w:val="left"/>
      <w:pPr>
        <w:ind w:left="2142" w:hanging="420"/>
      </w:pPr>
    </w:lvl>
    <w:lvl w:ilvl="4">
      <w:start w:val="1"/>
      <w:numFmt w:val="lowerLetter"/>
      <w:lvlText w:val="%5)"/>
      <w:lvlJc w:val="left"/>
      <w:pPr>
        <w:ind w:left="2562" w:hanging="420"/>
      </w:pPr>
    </w:lvl>
    <w:lvl w:ilvl="5">
      <w:start w:val="1"/>
      <w:numFmt w:val="lowerRoman"/>
      <w:lvlText w:val="%6."/>
      <w:lvlJc w:val="right"/>
      <w:pPr>
        <w:ind w:left="2982" w:hanging="420"/>
      </w:pPr>
    </w:lvl>
    <w:lvl w:ilvl="6">
      <w:start w:val="1"/>
      <w:numFmt w:val="decimal"/>
      <w:lvlText w:val="%7."/>
      <w:lvlJc w:val="left"/>
      <w:pPr>
        <w:ind w:left="3402" w:hanging="420"/>
      </w:pPr>
    </w:lvl>
    <w:lvl w:ilvl="7">
      <w:start w:val="1"/>
      <w:numFmt w:val="lowerLetter"/>
      <w:lvlText w:val="%8)"/>
      <w:lvlJc w:val="left"/>
      <w:pPr>
        <w:ind w:left="3822" w:hanging="420"/>
      </w:pPr>
    </w:lvl>
    <w:lvl w:ilvl="8">
      <w:start w:val="1"/>
      <w:numFmt w:val="lowerRoman"/>
      <w:lvlText w:val="%9."/>
      <w:lvlJc w:val="right"/>
      <w:pPr>
        <w:ind w:left="4242" w:hanging="420"/>
      </w:pPr>
    </w:lvl>
  </w:abstractNum>
  <w:abstractNum w:abstractNumId="11">
    <w:nsid w:val="00000403"/>
    <w:multiLevelType w:val="multilevel"/>
    <w:tmpl w:val="00000403"/>
    <w:lvl w:ilvl="0">
      <w:start w:val="1"/>
      <w:numFmt w:val="decimal"/>
      <w:lvlRestart w:val="0"/>
      <w:lvlText w:val="（%1）"/>
      <w:lvlJc w:val="left"/>
      <w:pPr>
        <w:ind w:left="122" w:hanging="447"/>
      </w:pPr>
      <w:rPr>
        <w:rFonts w:ascii="仿宋" w:hAnsi="仿宋" w:eastAsia="仿宋" w:hint="eastAsia"/>
        <w:color w:val="16191C"/>
        <w:spacing w:val="-15"/>
        <w:sz w:val="15"/>
        <w:u w:val="none" w:color="16191C"/>
      </w:rPr>
    </w:lvl>
    <w:lvl w:ilvl="1">
      <w:start w:val="1"/>
      <w:numFmt w:val="bullet"/>
      <w:lvlText w:val="•"/>
      <w:lvlJc w:val="left"/>
      <w:pPr>
        <w:ind w:left="1068" w:hanging="447"/>
      </w:pPr>
      <w:rPr>
        <w:rFonts w:hint="default"/>
        <w:u w:val="none" w:color="auto"/>
      </w:rPr>
    </w:lvl>
    <w:lvl w:ilvl="2">
      <w:start w:val="1"/>
      <w:numFmt w:val="bullet"/>
      <w:lvlText w:val="•"/>
      <w:lvlJc w:val="left"/>
      <w:pPr>
        <w:ind w:left="2016" w:hanging="447"/>
      </w:pPr>
      <w:rPr>
        <w:rFonts w:hint="default"/>
        <w:u w:val="none" w:color="auto"/>
      </w:rPr>
    </w:lvl>
    <w:lvl w:ilvl="3">
      <w:start w:val="1"/>
      <w:numFmt w:val="bullet"/>
      <w:lvlText w:val="•"/>
      <w:lvlJc w:val="left"/>
      <w:pPr>
        <w:ind w:left="2964" w:hanging="447"/>
      </w:pPr>
      <w:rPr>
        <w:rFonts w:hint="default"/>
        <w:u w:val="none" w:color="auto"/>
      </w:rPr>
    </w:lvl>
    <w:lvl w:ilvl="4">
      <w:start w:val="1"/>
      <w:numFmt w:val="bullet"/>
      <w:lvlText w:val="•"/>
      <w:lvlJc w:val="left"/>
      <w:pPr>
        <w:ind w:left="3912" w:hanging="447"/>
      </w:pPr>
      <w:rPr>
        <w:rFonts w:hint="default"/>
        <w:u w:val="none" w:color="auto"/>
      </w:rPr>
    </w:lvl>
    <w:lvl w:ilvl="5">
      <w:start w:val="1"/>
      <w:numFmt w:val="bullet"/>
      <w:lvlText w:val="•"/>
      <w:lvlJc w:val="left"/>
      <w:pPr>
        <w:ind w:left="4860" w:hanging="447"/>
      </w:pPr>
      <w:rPr>
        <w:rFonts w:hint="default"/>
        <w:u w:val="none" w:color="auto"/>
      </w:rPr>
    </w:lvl>
    <w:lvl w:ilvl="6">
      <w:start w:val="1"/>
      <w:numFmt w:val="bullet"/>
      <w:lvlText w:val="•"/>
      <w:lvlJc w:val="left"/>
      <w:pPr>
        <w:ind w:left="5808" w:hanging="447"/>
      </w:pPr>
      <w:rPr>
        <w:rFonts w:hint="default"/>
        <w:u w:val="none" w:color="auto"/>
      </w:rPr>
    </w:lvl>
    <w:lvl w:ilvl="7">
      <w:start w:val="1"/>
      <w:numFmt w:val="bullet"/>
      <w:lvlText w:val="•"/>
      <w:lvlJc w:val="left"/>
      <w:pPr>
        <w:ind w:left="6756" w:hanging="447"/>
      </w:pPr>
      <w:rPr>
        <w:rFonts w:hint="default"/>
        <w:u w:val="none" w:color="auto"/>
      </w:rPr>
    </w:lvl>
    <w:lvl w:ilvl="8">
      <w:start w:val="1"/>
      <w:numFmt w:val="bullet"/>
      <w:lvlText w:val="•"/>
      <w:lvlJc w:val="left"/>
      <w:pPr>
        <w:ind w:left="7704" w:hanging="447"/>
      </w:pPr>
      <w:rPr>
        <w:rFonts w:hint="default"/>
        <w:u w:val="none" w:color="auto"/>
      </w:rPr>
    </w:lvl>
  </w:abstractNum>
  <w:abstractNum w:abstractNumId="12">
    <w:nsid w:val="E38A0821"/>
    <w:multiLevelType w:val="singleLevel"/>
    <w:tmpl w:val="E38A0821"/>
    <w:lvl w:ilvl="0">
      <w:start w:val="4"/>
      <w:numFmt w:val="chineseCounting"/>
      <w:lvlRestart w:val="0"/>
      <w:suff w:val="nothing"/>
      <w:lvlText w:val="%1、"/>
      <w:lvlJc w:val="left"/>
      <w:pPr>
        <w:ind w:left="0" w:hanging="0"/>
      </w:pPr>
      <w:rPr>
        <w:rFonts w:hint="eastAsia"/>
      </w:rPr>
    </w:lvl>
  </w:abstractNum>
  <w:abstractNum w:abstractNumId="13">
    <w:nsid w:val="C371B8C9"/>
    <w:multiLevelType w:val="singleLevel"/>
    <w:tmpl w:val="C371B8C9"/>
    <w:lvl w:ilvl="0">
      <w:start w:val="1"/>
      <w:numFmt w:val="chineseCounting"/>
      <w:lvlRestart w:val="0"/>
      <w:suff w:val="nothing"/>
      <w:lvlText w:val="（%1）"/>
      <w:lvlJc w:val="left"/>
      <w:pPr>
        <w:ind w:left="0" w:hanging="0"/>
      </w:pPr>
      <w:rPr>
        <w:rFonts w:hint="eastAsia"/>
      </w:rPr>
    </w:lvl>
  </w:abstractNum>
  <w:abstractNum w:abstractNumId="14">
    <w:nsid w:val="BBCCB3CA"/>
    <w:multiLevelType w:val="singleLevel"/>
    <w:tmpl w:val="BBCCB3CA"/>
    <w:lvl w:ilvl="0">
      <w:start w:val="1"/>
      <w:numFmt w:val="decimal"/>
      <w:lvlRestart w:val="0"/>
      <w:suff w:val="nothing"/>
      <w:lvlText w:val="（%1）"/>
      <w:lvlJc w:val="left"/>
      <w:pPr>
        <w:ind w:left="0" w:hanging="0"/>
      </w:pPr>
    </w:lvl>
  </w:abstractNum>
  <w:abstractNum w:abstractNumId="15">
    <w:nsid w:val="BAB12EB4"/>
    <w:multiLevelType w:val="singleLevel"/>
    <w:tmpl w:val="BAB12EB4"/>
    <w:lvl w:ilvl="0">
      <w:start w:val="2"/>
      <w:numFmt w:val="chineseCounting"/>
      <w:lvlRestart w:val="0"/>
      <w:suff w:val="nothing"/>
      <w:lvlText w:val="%1、"/>
      <w:lvlJc w:val="left"/>
      <w:pPr>
        <w:ind w:left="0" w:hanging="0"/>
      </w:pPr>
      <w:rPr>
        <w:rFonts w:hint="eastAsia"/>
      </w:rPr>
    </w:lvl>
  </w:abstractNum>
  <w:abstractNum w:abstractNumId="16">
    <w:nsid w:val="3EBB3C91"/>
    <w:multiLevelType w:val="multilevel"/>
    <w:tmpl w:val="3EBB3C91"/>
    <w:lvl w:ilvl="0">
      <w:start w:val="1"/>
      <w:numFmt w:val="chineseCountingThousand"/>
      <w:lvlRestart w:val="0"/>
      <w:suff w:val="space"/>
      <w:lvlText w:val="%1. "/>
      <w:lvlJc w:val="left"/>
      <w:pPr>
        <w:ind w:left="907" w:hanging="907"/>
      </w:pPr>
      <w:rPr>
        <w:rFonts w:hint="eastAsia"/>
      </w:rPr>
    </w:lvl>
    <w:lvl w:ilvl="1">
      <w:start w:val="1"/>
      <w:numFmt w:val="decimal"/>
      <w:isLgl/>
      <w:suff w:val="space"/>
      <w:lvlText w:val="%1.%2 "/>
      <w:legacy w:legacy="1" w:legacySpace="0" w:legacyIndent="794"/>
      <w:lvlJc w:val="left"/>
      <w:pPr>
        <w:ind w:left="794" w:hanging="794"/>
      </w:pPr>
    </w:lvl>
    <w:lvl w:ilvl="2">
      <w:start w:val="1"/>
      <w:numFmt w:val="decimal"/>
      <w:isLgl/>
      <w:suff w:val="space"/>
      <w:lvlText w:val="%1.%2.%3 "/>
      <w:legacy w:legacy="1" w:legacySpace="0" w:legacyIndent="907"/>
      <w:lvlJc w:val="left"/>
      <w:pPr>
        <w:ind w:left="907" w:hanging="907"/>
      </w:pPr>
      <w:rPr>
        <w:rFonts w:hint="eastAsia"/>
      </w:rPr>
    </w:lvl>
    <w:lvl w:ilvl="3">
      <w:start w:val="1"/>
      <w:numFmt w:val="decimal"/>
      <w:isLgl/>
      <w:suff w:val="space"/>
      <w:lvlText w:val="%1.%2.%3.%4 "/>
      <w:legacy w:legacy="1" w:legacySpace="0" w:legacyIndent="1021"/>
      <w:lvlJc w:val="left"/>
      <w:pPr>
        <w:ind w:left="1021" w:hanging="1021"/>
      </w:pPr>
      <w:rPr>
        <w:rFonts w:hint="eastAsia"/>
      </w:rPr>
    </w:lvl>
    <w:lvl w:ilvl="4">
      <w:start w:val="1"/>
      <w:numFmt w:val="decimal"/>
      <w:pStyle w:val="15"/>
      <w:isLgl/>
      <w:suff w:val="space"/>
      <w:lvlText w:val="%1.%2.%3.%4.%5 "/>
      <w:legacy w:legacy="1" w:legacySpace="0" w:legacyIndent="1134"/>
      <w:lvlJc w:val="left"/>
      <w:pPr>
        <w:ind w:left="1134" w:hanging="1134"/>
      </w:pPr>
      <w:rPr>
        <w:rFonts w:hint="eastAsia"/>
      </w:rPr>
    </w:lvl>
    <w:lvl w:ilvl="5">
      <w:start w:val="1"/>
      <w:numFmt w:val="decimal"/>
      <w:isLgl/>
      <w:suff w:val="space"/>
      <w:lvlText w:val="%1.%2.%3.%4.%5.%6 "/>
      <w:legacy w:legacy="1" w:legacySpace="0" w:legacyIndent="1247"/>
      <w:lvlJc w:val="left"/>
      <w:pPr>
        <w:ind w:left="1247" w:hanging="1247"/>
      </w:pPr>
      <w:rPr>
        <w:rFonts w:hint="eastAsia"/>
      </w:rPr>
    </w:lvl>
    <w:lvl w:ilvl="6">
      <w:start w:val="1"/>
      <w:numFmt w:val="decimal"/>
      <w:lvlRestart w:val="1"/>
      <w:isLgl/>
      <w:suff w:val="space"/>
      <w:lvlText w:val="图 %1.%7 "/>
      <w:legacy w:legacy="1" w:legacySpace="0" w:legacyIndent="0"/>
      <w:lvlJc w:val="left"/>
      <w:pPr>
        <w:ind w:left="0" w:hanging="0"/>
      </w:pPr>
      <w:rPr>
        <w:rFonts w:hint="eastAsia"/>
      </w:rPr>
    </w:lvl>
    <w:lvl w:ilvl="7">
      <w:start w:val="1"/>
      <w:numFmt w:val="decimal"/>
      <w:lvlRestart w:val="1"/>
      <w:isLgl/>
      <w:suff w:val="space"/>
      <w:lvlText w:val="表 %1.%8 "/>
      <w:legacy w:legacy="1" w:legacySpace="0" w:legacyIndent="0"/>
      <w:lvlJc w:val="left"/>
      <w:pPr>
        <w:ind w:left="0" w:hanging="0"/>
      </w:pPr>
      <w:rPr>
        <w:rFonts w:hint="eastAsia"/>
      </w:rPr>
    </w:lvl>
    <w:lvl w:ilvl="8">
      <w:start w:val="1"/>
      <w:numFmt w:val="none"/>
      <w:suff w:val="nothing"/>
      <w:lvlJc w:val="left"/>
      <w:pPr>
        <w:ind w:left="0" w:hanging="0"/>
      </w:pPr>
      <w:rPr>
        <w:rFonts w:hint="eastAsia"/>
      </w:rPr>
    </w:lvl>
  </w:abstractNum>
  <w:abstractNum w:abstractNumId="17">
    <w:nsid w:val="24E409BB"/>
    <w:multiLevelType w:val="multilevel"/>
    <w:tmpl w:val="24E409BB"/>
    <w:lvl w:ilvl="0">
      <w:start w:val="1"/>
      <w:numFmt w:val="decimal"/>
      <w:lvlRestart w:val="0"/>
      <w:pStyle w:val="36"/>
      <w:lvlText w:val="表%1："/>
      <w:lvlJc w:val="left"/>
      <w:pPr>
        <w:ind w:left="900" w:hanging="420"/>
      </w:pPr>
      <w:rPr>
        <w:rFonts w:hint="eastAsia"/>
        <w:b w:val="0"/>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10"/>
  <w:bordersDoNotSurroundHeader w:val="0"/>
  <w:bordersDoNotSurroundFooter w:val="0"/>
  <w:defaultTabStop w:val="420"/>
  <w:drawingGridHorizontalSpacing w:val="105"/>
  <w:drawingGridVerticalSpacing w:val="156"/>
  <w:displayHorizontalDrawingGridEvery w:val="1"/>
  <w:displayVerticalDrawingGridEvery w:val="1"/>
  <w:noPunctuationKerning/>
  <w:characterSpacingControl w:val="compressPunctuation"/>
  <w:compat>
    <w:spaceForUL/>
    <w:balanceSingleByteDoubleByteWidth/>
    <w:ulTrailSpace/>
    <w:doNotExpandShiftReturn/>
    <w:adjustLineHeightInTable/>
    <w:doNotUseIndentAsNumberingTabStop/>
    <w:compatSetting w:name="compatibilityMode" w:uri="http://schemas.microsoft.com/office/word" w:val="12"/>
  </w:compat>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qFormat/>
    <w:next w:val="15"/>
    <w:pPr>
      <w:widowControl w:val="0"/>
      <w:jc w:val="both"/>
    </w:pPr>
    <w:rPr>
      <w:rFonts w:ascii="Times New Roman" w:eastAsia="宋体" w:cs="Times New Roman" w:hAnsi="Times New Roman"/>
      <w:kern w:val="2"/>
      <w:sz w:val="21"/>
      <w:szCs w:val="24"/>
      <w:lang w:val="en-US" w:eastAsia="zh-CN" w:bidi="ar-SA"/>
    </w:rPr>
  </w:style>
  <w:style w:type="paragraph" w:styleId="1">
    <w:name w:val="heading 1"/>
    <w:qFormat/>
    <w:basedOn w:val="0"/>
    <w:next w:val="0"/>
    <w:pPr>
      <w:keepNext/>
      <w:keepLines/>
      <w:widowControl w:val="0"/>
      <w:spacing w:before="340" w:after="330" w:line="576" w:lineRule="auto"/>
      <w:outlineLvl w:val="0"/>
    </w:pPr>
    <w:rPr>
      <w:b/>
      <w:bCs/>
      <w:kern w:val="44"/>
      <w:sz w:val="44"/>
      <w:szCs w:val="44"/>
    </w:rPr>
  </w:style>
  <w:style w:type="paragraph" w:styleId="2">
    <w:name w:val="heading 2"/>
    <w:qFormat/>
    <w:basedOn w:val="0"/>
    <w:next w:val="0"/>
    <w:pPr>
      <w:keepNext/>
      <w:keepLines/>
      <w:widowControl w:val="0"/>
      <w:spacing w:before="260" w:after="260" w:line="413" w:lineRule="auto"/>
      <w:outlineLvl w:val="1"/>
    </w:pPr>
    <w:rPr>
      <w:rFonts w:ascii="Arial" w:eastAsia="黑体" w:hAnsi="Arial"/>
      <w:b/>
      <w:bCs/>
      <w:sz w:val="32"/>
      <w:szCs w:val="32"/>
    </w:rPr>
  </w:style>
  <w:style w:type="paragraph" w:styleId="3">
    <w:name w:val="heading 3"/>
    <w:qFormat/>
    <w:basedOn w:val="0"/>
    <w:next w:val="0"/>
    <w:pPr>
      <w:keepNext/>
      <w:widowControl w:val="0"/>
      <w:spacing w:line="460" w:lineRule="exact"/>
      <w:outlineLvl w:val="2"/>
    </w:pPr>
    <w:rPr>
      <w:rFonts w:ascii="宋体"/>
      <w:b/>
      <w:bCs/>
      <w:sz w:val="30"/>
    </w:rPr>
  </w:style>
  <w:style w:type="paragraph" w:styleId="4">
    <w:name w:val="heading 4"/>
    <w:qFormat/>
    <w:basedOn w:val="0"/>
    <w:next w:val="0"/>
    <w:pPr>
      <w:keepNext/>
      <w:widowControl w:val="0"/>
      <w:tabs>
        <w:tab w:val="left" w:pos="435"/>
      </w:tabs>
      <w:ind w:left="435" w:hanging="435"/>
      <w:outlineLvl w:val="3"/>
    </w:pPr>
    <w:rPr>
      <w:b/>
      <w:color w:val="000000"/>
      <w:sz w:val="28"/>
      <w:u w:val="single"/>
    </w:rPr>
  </w:style>
  <w:style w:type="character" w:default="1" w:styleId="10">
    <w:name w:val="Default Paragraph Font"/>
    <w:qFormat/>
  </w:style>
  <w:style w:type="paragraph" w:customStyle="1" w:styleId="15">
    <w:name w:val="标题 5（有编号）（绿盟科技）"/>
    <w:qFormat/>
    <w:basedOn w:val="0"/>
    <w:next w:val="16"/>
    <w:pPr>
      <w:keepNext/>
      <w:keepLines/>
      <w:widowControl w:val="0"/>
      <w:numPr>
        <w:ilvl w:val="4"/>
        <w:numId w:val="17"/>
      </w:numPr>
      <w:spacing w:before="280" w:after="156" w:line="377" w:lineRule="auto"/>
      <w:outlineLvl w:val="4"/>
    </w:pPr>
    <w:rPr>
      <w:rFonts w:ascii="Arial" w:eastAsia="黑体" w:hAnsi="Arial"/>
      <w:b/>
      <w:sz w:val="24"/>
      <w:szCs w:val="28"/>
    </w:rPr>
  </w:style>
  <w:style w:type="paragraph" w:customStyle="1" w:styleId="16">
    <w:name w:val="正文（绿盟科技）"/>
    <w:qFormat/>
    <w:pPr>
      <w:spacing w:line="300" w:lineRule="auto"/>
    </w:pPr>
    <w:rPr>
      <w:rFonts w:ascii="Arial" w:eastAsia="微软雅黑" w:cs="黑体" w:hAnsi="Arial"/>
      <w:sz w:val="21"/>
      <w:szCs w:val="21"/>
      <w:lang w:val="en-US" w:eastAsia="zh-CN" w:bidi="ar-SA"/>
    </w:rPr>
  </w:style>
  <w:style w:type="paragraph" w:styleId="17">
    <w:name w:val="Normal Indent"/>
    <w:qFormat/>
    <w:basedOn w:val="0"/>
    <w:pPr>
      <w:widowControl/>
      <w:spacing w:line="360" w:lineRule="auto"/>
      <w:ind w:firstLine="420"/>
      <w:jc w:val="left"/>
    </w:pPr>
    <w:rPr>
      <w:rFonts w:ascii="宋体"/>
    </w:rPr>
  </w:style>
  <w:style w:type="paragraph" w:styleId="18">
    <w:name w:val="toa heading"/>
    <w:qFormat/>
    <w:basedOn w:val="0"/>
    <w:next w:val="0"/>
    <w:pPr>
      <w:widowControl/>
      <w:spacing w:before="120"/>
      <w:ind w:firstLine="3584"/>
    </w:pPr>
  </w:style>
  <w:style w:type="paragraph" w:styleId="19">
    <w:name w:val="annotation text"/>
    <w:qFormat/>
    <w:basedOn w:val="0"/>
    <w:pPr>
      <w:jc w:val="left"/>
    </w:pPr>
  </w:style>
  <w:style w:type="paragraph" w:styleId="20">
    <w:name w:val="Body Text"/>
    <w:qFormat/>
    <w:basedOn w:val="0"/>
    <w:pPr>
      <w:spacing w:before="100" w:beforeAutospacing="1" w:after="100" w:afterAutospacing="1"/>
      <w:ind w:left="102"/>
    </w:pPr>
    <w:rPr>
      <w:rFonts w:ascii="宋体" w:cs="宋体"/>
      <w:szCs w:val="21"/>
    </w:rPr>
  </w:style>
  <w:style w:type="paragraph" w:styleId="21">
    <w:name w:val="Body Text Indent"/>
    <w:qFormat/>
    <w:basedOn w:val="0"/>
    <w:next w:val="4"/>
    <w:pPr>
      <w:ind w:firstLine="570"/>
    </w:pPr>
    <w:rPr>
      <w:rFonts w:ascii="宋体"/>
      <w:sz w:val="28"/>
      <w:szCs w:val="20"/>
    </w:rPr>
  </w:style>
  <w:style w:type="paragraph" w:styleId="22">
    <w:name w:val="toc 3"/>
    <w:qFormat/>
    <w:basedOn w:val="0"/>
    <w:next w:val="0"/>
    <w:pPr>
      <w:ind w:left="420"/>
      <w:jc w:val="left"/>
    </w:pPr>
    <w:rPr>
      <w:i/>
      <w:iCs/>
    </w:rPr>
  </w:style>
  <w:style w:type="paragraph" w:styleId="23">
    <w:name w:val="Plain Text"/>
    <w:qFormat/>
    <w:basedOn w:val="0"/>
    <w:pPr>
      <w:spacing w:line="360" w:lineRule="auto"/>
      <w:ind w:firstLine="510"/>
    </w:pPr>
    <w:rPr>
      <w:rFonts w:ascii="宋体"/>
      <w:sz w:val="24"/>
    </w:rPr>
  </w:style>
  <w:style w:type="paragraph" w:styleId="24">
    <w:name w:val="Date"/>
    <w:qFormat/>
    <w:basedOn w:val="0"/>
    <w:next w:val="0"/>
    <w:rPr>
      <w:color w:val="000000"/>
      <w:kern w:val="0"/>
      <w:sz w:val="30"/>
    </w:rPr>
  </w:style>
  <w:style w:type="paragraph" w:styleId="25">
    <w:name w:val="footer"/>
    <w:qFormat/>
    <w:basedOn w:val="0"/>
    <w:next w:val="0"/>
    <w:pPr>
      <w:pBdr>
        <w:top w:val="single" w:sz="4" w:space="1" w:color="auto"/>
      </w:pBdr>
      <w:tabs>
        <w:tab w:val="center" w:pos="4153"/>
        <w:tab w:val="right" w:pos="8306"/>
      </w:tabs>
      <w:snapToGrid w:val="0"/>
      <w:jc w:val="left"/>
    </w:pPr>
    <w:rPr>
      <w:sz w:val="18"/>
      <w:szCs w:val="18"/>
    </w:rPr>
  </w:style>
  <w:style w:type="paragraph" w:styleId="26">
    <w:name w:val="header"/>
    <w:qFormat/>
    <w:basedOn w:val="0"/>
    <w:pPr>
      <w:pBdr>
        <w:bottom w:val="thinThickLargeGap" w:sz="6" w:space="1" w:color="auto"/>
      </w:pBdr>
      <w:tabs>
        <w:tab w:val="center" w:pos="4153"/>
        <w:tab w:val="right" w:pos="8306"/>
      </w:tabs>
      <w:snapToGrid w:val="0"/>
      <w:jc w:val="center"/>
    </w:pPr>
    <w:rPr>
      <w:sz w:val="18"/>
      <w:szCs w:val="18"/>
    </w:rPr>
  </w:style>
  <w:style w:type="paragraph" w:styleId="27">
    <w:name w:val="footnote text"/>
    <w:qFormat/>
    <w:basedOn w:val="0"/>
    <w:pPr>
      <w:snapToGrid w:val="0"/>
      <w:jc w:val="left"/>
    </w:pPr>
    <w:rPr>
      <w:sz w:val="18"/>
    </w:rPr>
  </w:style>
  <w:style w:type="paragraph" w:styleId="28">
    <w:name w:val="Normal (Web)"/>
    <w:qFormat/>
    <w:basedOn w:val="0"/>
    <w:pPr>
      <w:spacing w:before="75" w:after="75"/>
      <w:jc w:val="left"/>
    </w:pPr>
    <w:rPr>
      <w:kern w:val="0"/>
      <w:sz w:val="24"/>
    </w:rPr>
  </w:style>
  <w:style w:type="paragraph" w:styleId="29">
    <w:name w:val="Body Text First Indent"/>
    <w:qFormat/>
    <w:basedOn w:val="20"/>
    <w:pPr>
      <w:autoSpaceDE w:val="0"/>
      <w:autoSpaceDN w:val="0"/>
      <w:adjustRightInd w:val="0"/>
      <w:spacing w:after="120" w:line="312" w:lineRule="atLeast"/>
      <w:ind w:firstLine="420"/>
    </w:pPr>
    <w:rPr>
      <w:kern w:val="0"/>
    </w:rPr>
  </w:style>
  <w:style w:type="paragraph" w:styleId="30">
    <w:name w:val="Body Text First Indent 2"/>
    <w:qFormat/>
    <w:basedOn w:val="21"/>
    <w:next w:val="0"/>
    <w:pPr>
      <w:spacing w:after="120" w:line="312" w:lineRule="auto"/>
      <w:ind w:leftChars="200" w:left="200" w:firstLine="420"/>
    </w:pPr>
    <w:rPr>
      <w:sz w:val="24"/>
    </w:rPr>
  </w:style>
  <w:style w:type="character" w:styleId="31">
    <w:name w:val="Strong"/>
    <w:qFormat/>
    <w:basedOn w:val="10"/>
    <w:rPr>
      <w:b/>
    </w:rPr>
  </w:style>
  <w:style w:type="character" w:styleId="32">
    <w:name w:val="page number"/>
    <w:qFormat/>
    <w:basedOn w:val="10"/>
    <w:rPr>
      <w:rFonts w:ascii="宋体" w:eastAsia="Times New Roman" w:hAnsi="宋体"/>
      <w:spacing w:val="0"/>
      <w:kern w:val="18"/>
      <w:position w:val="0"/>
      <w:sz w:val="18"/>
      <w:szCs w:val="18"/>
    </w:rPr>
  </w:style>
  <w:style w:type="character" w:styleId="33">
    <w:name w:val="Hyperlink"/>
    <w:qFormat/>
    <w:basedOn w:val="10"/>
    <w:rPr>
      <w:color w:val="0000FF"/>
      <w:u w:val="single"/>
    </w:rPr>
  </w:style>
  <w:style w:type="paragraph" w:customStyle="1" w:styleId="34">
    <w:name w:val="Char"/>
    <w:qFormat/>
    <w:basedOn w:val="0"/>
    <w:rPr>
      <w:rFonts w:ascii="Tahoma" w:cs="仿宋_GB2312" w:hAnsi="Tahoma"/>
      <w:sz w:val="24"/>
      <w:szCs w:val="28"/>
    </w:rPr>
  </w:style>
  <w:style w:type="paragraph" w:customStyle="1" w:styleId="35">
    <w:name w:val="段"/>
    <w:qFormat/>
    <w:next w:val="0"/>
    <w:pPr>
      <w:autoSpaceDE w:val="0"/>
      <w:autoSpaceDN w:val="0"/>
      <w:ind w:firstLineChars="200" w:firstLine="200"/>
      <w:jc w:val="both"/>
    </w:pPr>
    <w:rPr>
      <w:rFonts w:ascii="宋体" w:eastAsia="宋体" w:cs="Times New Roman"/>
      <w:sz w:val="21"/>
      <w:szCs w:val="22"/>
      <w:lang w:val="en-US" w:eastAsia="zh-CN" w:bidi="ar-SA"/>
    </w:rPr>
  </w:style>
  <w:style w:type="paragraph" w:customStyle="1" w:styleId="36">
    <w:name w:val="表名称"/>
    <w:qFormat/>
    <w:basedOn w:val="17"/>
    <w:pPr>
      <w:numPr>
        <w:ilvl w:val="0"/>
        <w:numId w:val="18"/>
      </w:numPr>
      <w:ind w:left="900" w:firstLine="0"/>
      <w:jc w:val="center"/>
    </w:pPr>
  </w:style>
  <w:style w:type="paragraph" w:customStyle="1" w:styleId="37">
    <w:name w:val="List Paragraph"/>
    <w:qFormat/>
    <w:basedOn w:val="0"/>
    <w:pPr>
      <w:ind w:firstLineChars="200" w:firstLine="200"/>
    </w:pPr>
  </w:style>
  <w:style w:type="paragraph" w:customStyle="1" w:styleId="38">
    <w:name w:val="图"/>
    <w:qFormat/>
    <w:basedOn w:val="0"/>
    <w:pPr>
      <w:keepNext/>
      <w:widowControl w:val="0"/>
      <w:adjustRightInd w:val="0"/>
      <w:spacing w:before="60" w:after="60" w:line="300" w:lineRule="auto"/>
      <w:jc w:val="center"/>
      <w:textAlignment w:val="center"/>
    </w:pPr>
    <w:rPr>
      <w:snapToGrid w:val="0"/>
      <w:spacing w:val="20"/>
      <w:kern w:val="0"/>
      <w:sz w:val="24"/>
      <w:szCs w:val="20"/>
    </w:rPr>
  </w:style>
  <w:style w:type="paragraph" w:customStyle="1" w:styleId="39">
    <w:name w:val="样式 小四 段前: 5 磅 段后: 5 磅 首行缩进:  2 字符"/>
    <w:qFormat/>
    <w:basedOn w:val="0"/>
    <w:pPr>
      <w:spacing w:line="400" w:lineRule="exact"/>
    </w:pPr>
    <w:rPr>
      <w:rFonts w:ascii="宋体"/>
      <w:sz w:val="24"/>
    </w:rPr>
  </w:style>
  <w:style w:type="paragraph" w:customStyle="1" w:styleId="40">
    <w:name w:val="xl24"/>
    <w:qFormat/>
    <w:basedOn w:val="0"/>
    <w:pPr>
      <w:widowControl/>
      <w:pBdr>
        <w:bottom w:val="single" w:sz="4" w:space="0" w:color="auto"/>
        <w:right w:val="single" w:sz="4" w:space="0" w:color="auto"/>
      </w:pBdr>
      <w:spacing w:before="100" w:beforeAutospacing="1" w:after="100" w:afterAutospacing="1"/>
      <w:jc w:val="center"/>
      <w:textAlignment w:val="center"/>
    </w:pPr>
    <w:rPr>
      <w:rFonts w:ascii="楷体_GB2312" w:eastAsia="楷体_GB2312"/>
      <w:kern w:val="0"/>
      <w:sz w:val="24"/>
    </w:rPr>
  </w:style>
  <w:style w:type="paragraph" w:customStyle="1" w:styleId="41">
    <w:name w:val="xl25"/>
    <w:qFormat/>
    <w:basedOn w:val="0"/>
    <w:pPr>
      <w:widowControl/>
      <w:pBdr>
        <w:bottom w:val="single" w:sz="4" w:space="0" w:color="auto"/>
        <w:right w:val="single" w:sz="4" w:space="0" w:color="auto"/>
      </w:pBdr>
      <w:spacing w:before="100" w:beforeAutospacing="1" w:after="100" w:afterAutospacing="1"/>
      <w:jc w:val="center"/>
    </w:pPr>
    <w:rPr>
      <w:rFonts w:ascii="宋体"/>
      <w:kern w:val="0"/>
      <w:szCs w:val="21"/>
    </w:rPr>
  </w:style>
  <w:style w:type="paragraph" w:customStyle="1" w:styleId="42">
    <w:name w:val="页脚2"/>
    <w:qFormat/>
    <w:basedOn w:val="0"/>
    <w:pPr>
      <w:widowControl/>
      <w:pBdr>
        <w:top w:val="single" w:sz="6" w:space="0" w:color="auto"/>
      </w:pBdr>
      <w:jc w:val="right"/>
      <w:textAlignment w:val="center"/>
    </w:pPr>
    <w:rPr>
      <w:rFonts w:ascii="宋体"/>
      <w:sz w:val="18"/>
      <w:szCs w:val="18"/>
    </w:rPr>
  </w:style>
  <w:style w:type="paragraph" w:customStyle="1" w:styleId="43">
    <w:name w:val="列表段落2"/>
    <w:qFormat/>
    <w:basedOn w:val="0"/>
    <w:pPr>
      <w:ind w:firstLineChars="200" w:firstLine="200"/>
    </w:pPr>
  </w:style>
  <w:style w:type="paragraph" w:customStyle="1" w:styleId="44">
    <w:name w:val="Style1"/>
    <w:qFormat/>
    <w:basedOn w:val="0"/>
    <w:pPr>
      <w:widowControl/>
      <w:tabs>
        <w:tab w:val="left" w:pos="-720"/>
      </w:tabs>
      <w:spacing w:after="120"/>
    </w:pPr>
    <w:rPr>
      <w:spacing w:val="-3"/>
      <w:kern w:val="0"/>
      <w:sz w:val="24"/>
      <w:szCs w:val="20"/>
    </w:rPr>
  </w:style>
  <w:style w:type="paragraph" w:customStyle="1" w:styleId="45">
    <w:name w:val="列表段落1"/>
    <w:qFormat/>
    <w:basedOn w:val="0"/>
    <w:pPr>
      <w:ind w:firstLineChars="200" w:firstLine="200"/>
    </w:pPr>
  </w:style>
  <w:style w:type="paragraph" w:customStyle="1" w:styleId="46">
    <w:name w:val="Table Paragraph"/>
    <w:qFormat/>
    <w:basedOn w:val="0"/>
    <w:pPr>
      <w:autoSpaceDE w:val="0"/>
      <w:autoSpaceDN w:val="0"/>
      <w:adjustRightInd w:val="0"/>
      <w:jc w:val="left"/>
    </w:pPr>
    <w:rPr>
      <w:kern w:val="0"/>
      <w:sz w:val="24"/>
    </w:rPr>
  </w:style>
  <w:style w:type="paragraph" w:customStyle="1" w:styleId="47">
    <w:name w:val="Default Text"/>
    <w:qFormat/>
    <w:pPr>
      <w:widowControl w:val="0"/>
      <w:autoSpaceDE w:val="0"/>
      <w:autoSpaceDN w:val="0"/>
      <w:adjustRightInd w:val="0"/>
    </w:pPr>
    <w:rPr>
      <w:rFonts w:ascii="Times New Roman" w:eastAsia="宋体" w:cs="Times New Roman" w:hAnsi="Times New Roman"/>
      <w:color w:val="000000"/>
      <w:sz w:val="24"/>
      <w:szCs w:val="24"/>
      <w:lang w:val="en-US" w:eastAsia="zh-CN" w:bidi="ar-SA"/>
    </w:rPr>
  </w:style>
  <w:style w:type="paragraph" w:customStyle="1" w:styleId="48">
    <w:name w:val="首行缩进"/>
    <w:qFormat/>
    <w:basedOn w:val="0"/>
    <w:pPr>
      <w:ind w:firstLineChars="200" w:firstLine="200"/>
    </w:pPr>
    <w:rPr>
      <w:lang w:val="zh-CN"/>
    </w:rPr>
  </w:style>
  <w:style w:type="paragraph" w:customStyle="1" w:styleId="49">
    <w:name w:val="È±Ê¡ÎÄ±¾"/>
    <w:qFormat/>
    <w:basedOn w:val="0"/>
    <w:pPr>
      <w:widowControl/>
      <w:overflowPunct w:val="0"/>
      <w:autoSpaceDE w:val="0"/>
      <w:autoSpaceDN w:val="0"/>
      <w:adjustRightInd w:val="0"/>
      <w:jc w:val="left"/>
    </w:pPr>
    <w:rPr>
      <w:kern w:val="0"/>
      <w:sz w:val="24"/>
    </w:rPr>
  </w:style>
  <w:style w:type="paragraph" w:customStyle="1" w:styleId="50">
    <w:name w:val="标书正文"/>
    <w:qFormat/>
    <w:basedOn w:val="0"/>
    <w:pPr>
      <w:spacing w:line="560" w:lineRule="exact"/>
      <w:ind w:firstLineChars="200" w:firstLine="200"/>
      <w:jc w:val="center"/>
    </w:pPr>
    <w:rPr>
      <w:rFonts w:ascii="仿宋_GB2312" w:eastAsia="仿宋_GB2312"/>
      <w:b/>
      <w:sz w:val="36"/>
    </w:rPr>
  </w:style>
  <w:style w:type="character" w:customStyle="1" w:styleId="51">
    <w:name w:val="font131"/>
    <w:qFormat/>
    <w:basedOn w:val="10"/>
    <w:rPr>
      <w:rFonts w:ascii="宋体" w:eastAsia="宋体" w:cs="宋体"/>
      <w:color w:val="000000"/>
      <w:sz w:val="20"/>
      <w:szCs w:val="20"/>
      <w:u w:val="none"/>
    </w:rPr>
  </w:style>
  <w:style w:type="character" w:customStyle="1" w:styleId="52">
    <w:name w:val="font181"/>
    <w:qFormat/>
    <w:basedOn w:val="10"/>
    <w:rPr>
      <w:rFonts w:ascii="宋体" w:eastAsia="宋体" w:cs="宋体"/>
      <w:color w:val="000000"/>
      <w:sz w:val="18"/>
      <w:szCs w:val="18"/>
      <w:u w:val="none"/>
    </w:rPr>
  </w:style>
  <w:style w:type="character" w:customStyle="1" w:styleId="53">
    <w:name w:val="页脚2 Char"/>
    <w:qFormat/>
    <w:basedOn w:val="10"/>
    <w:rPr>
      <w:rFonts w:ascii="宋体" w:eastAsia="宋体"/>
      <w:sz w:val="18"/>
      <w:szCs w:val="18"/>
      <w:lang w:val="en-US" w:eastAsia="zh-CN" w:bidi="ar-SA"/>
    </w:rPr>
  </w:style>
  <w:style w:type="character" w:customStyle="1" w:styleId="54">
    <w:name w:val="font41"/>
    <w:qFormat/>
    <w:basedOn w:val="10"/>
    <w:rPr>
      <w:rFonts w:ascii="宋体" w:eastAsia="宋体" w:cs="宋体"/>
      <w:color w:val="000000"/>
      <w:sz w:val="22"/>
      <w:szCs w:val="22"/>
      <w:u w:val="none"/>
    </w:rPr>
  </w:style>
  <w:style w:type="character" w:customStyle="1" w:styleId="55">
    <w:name w:val="font51"/>
    <w:qFormat/>
    <w:basedOn w:val="10"/>
    <w:rPr>
      <w:rFonts w:ascii="宋体" w:eastAsia="宋体" w:cs="宋体"/>
      <w:color w:val="000000"/>
      <w:sz w:val="20"/>
      <w:szCs w:val="20"/>
      <w:u w:val="none"/>
    </w:rPr>
  </w:style>
  <w:style w:type="character" w:customStyle="1" w:styleId="56">
    <w:name w:val="font21"/>
    <w:qFormat/>
    <w:basedOn w:val="10"/>
    <w:rPr>
      <w:rFonts w:ascii="Times New Roman" w:cs="Times New Roman" w:hAnsi="Times New Roman"/>
      <w:color w:val="000000"/>
      <w:sz w:val="20"/>
      <w:szCs w:val="20"/>
      <w:u w:val="none"/>
    </w:rPr>
  </w:style>
  <w:style w:type="character" w:customStyle="1" w:styleId="57">
    <w:name w:val="font11"/>
    <w:qFormat/>
    <w:basedOn w:val="10"/>
    <w:rPr>
      <w:rFonts w:ascii="宋体" w:eastAsia="宋体" w:cs="宋体"/>
      <w:color w:val="000000"/>
      <w:sz w:val="20"/>
      <w:szCs w:val="20"/>
      <w:u w:val="none"/>
    </w:rPr>
  </w:style>
  <w:style w:type="character" w:customStyle="1" w:styleId="58">
    <w:name w:val="font71"/>
    <w:qFormat/>
    <w:basedOn w:val="10"/>
    <w:rPr>
      <w:rFonts w:ascii="Arial" w:cs="Arial" w:hAnsi="Arial"/>
      <w:color w:val="000000"/>
      <w:sz w:val="20"/>
      <w:szCs w:val="20"/>
      <w:u w:val="none"/>
    </w:rPr>
  </w:style>
  <w:style w:type="character" w:customStyle="1" w:styleId="59">
    <w:name w:val="NormalCharacter"/>
    <w:qFormat/>
  </w:style>
  <w:style w:type="character" w:customStyle="1" w:styleId="60">
    <w:name w:val="font61"/>
    <w:qFormat/>
    <w:basedOn w:val="10"/>
    <w:rPr>
      <w:rFonts w:ascii="宋体" w:eastAsia="宋体" w:cs="宋体"/>
      <w:color w:val="000000"/>
      <w:sz w:val="20"/>
      <w:szCs w:val="20"/>
      <w:u w:val="none"/>
    </w:rPr>
  </w:style>
  <w:style w:type="character" w:customStyle="1" w:styleId="61">
    <w:name w:val="font31"/>
    <w:qFormat/>
    <w:basedOn w:val="10"/>
    <w:rPr>
      <w:rFonts w:ascii="Times New Roman" w:cs="Times New Roman" w:hAnsi="Times New Roman"/>
      <w:color w:val="000000"/>
      <w:sz w:val="20"/>
      <w:szCs w:val="20"/>
      <w:u w:val="none"/>
    </w:rPr>
  </w:style>
  <w:style w:type="character" w:customStyle="1" w:styleId="62">
    <w:name w:val="font01"/>
    <w:qFormat/>
    <w:basedOn w:val="10"/>
    <w:rPr>
      <w:rFonts w:ascii="宋体" w:eastAsia="宋体" w:cs="宋体"/>
      <w:color w:val="000000"/>
      <w:sz w:val="20"/>
      <w:szCs w:val="20"/>
      <w:u w:val="none"/>
    </w:rPr>
  </w:style>
  <w:style w:type="character" w:customStyle="1" w:styleId="63">
    <w:name w:val="text4"/>
    <w:qFormat/>
    <w:basedOn w:val="10"/>
    <w:rPr>
      <w:color w:val="333333"/>
    </w:rPr>
  </w:style>
  <w:style w:type="character" w:customStyle="1" w:styleId="64">
    <w:name w:val="font81"/>
    <w:qFormat/>
    <w:basedOn w:val="10"/>
    <w:rPr>
      <w:rFonts w:ascii="Times New Roman" w:cs="Times New Roman" w:hAnsi="Times New Roman"/>
      <w:color w:val="000000"/>
      <w:sz w:val="28"/>
      <w:szCs w:val="28"/>
      <w:u w:val="none"/>
    </w:rPr>
  </w:style>
  <w:style w:type="character" w:customStyle="1" w:styleId="65">
    <w:name w:val="font91"/>
    <w:qFormat/>
    <w:basedOn w:val="10"/>
    <w:rPr>
      <w:rFonts w:ascii="Times New Roman" w:cs="Times New Roman" w:hAnsi="Times New Roman"/>
      <w:color w:val="000000"/>
      <w:sz w:val="20"/>
      <w:szCs w:val="20"/>
      <w:u w:val="none"/>
    </w:rPr>
  </w:style>
  <w:style w:type="character" w:customStyle="1" w:styleId="66">
    <w:name w:val="font101"/>
    <w:qFormat/>
    <w:basedOn w:val="10"/>
    <w:rPr>
      <w:rFonts w:ascii="宋体" w:eastAsia="宋体" w:cs="宋体"/>
      <w:color w:val="000000"/>
      <w:sz w:val="20"/>
      <w:szCs w:val="20"/>
      <w:u w:val="none"/>
    </w:rPr>
  </w:style>
  <w:style w:type="character" w:customStyle="1" w:styleId="67">
    <w:name w:val="font112"/>
    <w:qFormat/>
    <w:basedOn w:val="10"/>
    <w:rPr>
      <w:rFonts w:ascii="Arial" w:cs="Arial" w:hAnsi="Arial"/>
      <w:color w:val="000000"/>
      <w:sz w:val="18"/>
      <w:szCs w:val="18"/>
      <w:u w:val="none"/>
    </w:rPr>
  </w:style>
  <w:style w:type="character" w:customStyle="1" w:styleId="68">
    <w:name w:val="font121"/>
    <w:qFormat/>
    <w:basedOn w:val="10"/>
    <w:rPr>
      <w:rFonts w:ascii="宋体" w:eastAsia="宋体" w:cs="宋体"/>
      <w:color w:val="000000"/>
      <w:sz w:val="18"/>
      <w:szCs w:val="18"/>
      <w:u w:val="none"/>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footer" Target="footer3.xml"/><Relationship Id="rId7" Type="http://schemas.openxmlformats.org/officeDocument/2006/relationships/styles" Target="styles.xml"/><Relationship Id="rId8" Type="http://schemas.openxmlformats.org/officeDocument/2006/relationships/numbering" Target="numbering.xml"/><Relationship Id="rId9" Type="http://schemas.openxmlformats.org/officeDocument/2006/relationships/fontTable" Target="fontTable.xml"/></Relationships>
</file>

<file path=docProps/app.xml><?xml version="1.0" encoding="utf-8"?>
<Properties xmlns="http://schemas.openxmlformats.org/officeDocument/2006/extended-properties">
  <Template>Normal.eit</Template>
  <TotalTime>79</TotalTime>
  <Application>Yozo_Office27021597764231180</Application>
  <Pages>46</Pages>
  <Words>0</Words>
  <Characters>22569</Characters>
  <Lines>0</Lines>
  <Paragraphs>582</Paragraphs>
  <CharactersWithSpaces>30093</CharactersWithSpaces>
  <Company>MS</Company>
</Properties>
</file>

<file path=docProps/core.xml><?xml version="1.0" encoding="utf-8"?>
<cp:coreProperties xmlns:cp="http://schemas.openxmlformats.org/package/2006/metadata/core-properties" xmlns:dc="http://purl.org/dc/elements/1.1/" xmlns:dcterms="http://purl.org/dc/terms/" xmlns:xsi="http://www.w3.org/2001/XMLSchema-instance">
  <dc:title>新疆维吾尔自治区药品检验研究院标准物质、生物试剂耗材、普通实验试剂耗材采购项目（三包：普通实验试剂耗材）</dc:title>
  <dc:creator>黄明旺</dc:creator>
  <cp:lastModifiedBy>Administrator</cp:lastModifiedBy>
  <cp:revision>0</cp:revision>
  <cp:lastPrinted>2022-04-13T05:30:00Z</cp:lastPrinted>
  <dcterms:created xsi:type="dcterms:W3CDTF">2019-07-30T05:52:00Z</dcterms:created>
  <dcterms:modified xsi:type="dcterms:W3CDTF">2022-05-12T03:24:32Z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KSOProductBuildVer">
    <vt:lpwstr>2052-11.1.0.11365</vt:lpwstr>
  </property>
  <property fmtid="{D5CDD505-2E9C-101B-9397-08002B2CF9AE}" pid="3" name="ICV">
    <vt:lpwstr>1EBAA892B93746C1B72B9C8EFBE17CE9</vt:lpwstr>
  </property>
</Properties>
</file>