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pageBreakBefore w:val="0"/>
        <w:widowControl w:val="0"/>
        <w:tabs>
          <w:tab w:val="left" w:pos="0"/>
        </w:tabs>
        <w:kinsoku/>
        <w:wordWrap/>
        <w:overflowPunct/>
        <w:topLinePunct w:val="0"/>
        <w:autoSpaceDE w:val="0"/>
        <w:autoSpaceDN w:val="0"/>
        <w:bidi w:val="0"/>
        <w:adjustRightInd/>
        <w:snapToGrid w:val="0"/>
        <w:spacing w:before="0" w:after="0" w:line="240" w:lineRule="auto"/>
        <w:jc w:val="right"/>
        <w:textAlignment w:val="auto"/>
        <w:rPr>
          <w:rFonts w:hint="eastAsia" w:ascii="仿宋" w:hAnsi="仿宋" w:eastAsia="仿宋" w:cs="仿宋"/>
          <w:b/>
          <w:bCs/>
          <w:color w:val="auto"/>
          <w:kern w:val="2"/>
          <w:sz w:val="24"/>
          <w:szCs w:val="24"/>
          <w:highlight w:val="none"/>
          <w:lang w:val="en-US" w:eastAsia="zh-CN" w:bidi="ar-SA"/>
        </w:rPr>
      </w:pPr>
      <w:bookmarkStart w:id="0" w:name="_Toc9033"/>
      <w:r>
        <w:rPr>
          <w:rFonts w:hint="eastAsia" w:ascii="仿宋" w:hAnsi="仿宋" w:eastAsia="仿宋" w:cs="仿宋"/>
          <w:b/>
          <w:bCs/>
          <w:color w:val="auto"/>
          <w:kern w:val="2"/>
          <w:sz w:val="24"/>
          <w:szCs w:val="24"/>
          <w:highlight w:val="none"/>
          <w:lang w:val="en-US" w:eastAsia="zh-CN" w:bidi="ar-SA"/>
        </w:rPr>
        <w:t xml:space="preserve">             采购备案处</w:t>
      </w:r>
    </w:p>
    <w:p>
      <w:pPr>
        <w:pStyle w:val="5"/>
        <w:keepNext/>
        <w:keepLines/>
        <w:pageBreakBefore w:val="0"/>
        <w:widowControl w:val="0"/>
        <w:tabs>
          <w:tab w:val="left" w:pos="0"/>
        </w:tabs>
        <w:kinsoku/>
        <w:wordWrap/>
        <w:overflowPunct/>
        <w:topLinePunct w:val="0"/>
        <w:autoSpaceDE w:val="0"/>
        <w:autoSpaceDN w:val="0"/>
        <w:bidi w:val="0"/>
        <w:adjustRightInd/>
        <w:snapToGrid w:val="0"/>
        <w:spacing w:before="0" w:after="0" w:line="240" w:lineRule="auto"/>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于田县技工学校电子电工、心理咨询设备采购项目竞争性磋商公告</w:t>
      </w:r>
      <w:bookmarkEnd w:id="0"/>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adjustRightInd/>
        <w:snapToGrid w:val="0"/>
        <w:spacing w:line="240" w:lineRule="auto"/>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u w:val="single"/>
          <w:lang w:eastAsia="zh-CN"/>
        </w:rPr>
        <w:t>于田县技工学校电子电工、心理咨询设备采购项目</w:t>
      </w:r>
      <w:r>
        <w:rPr>
          <w:rFonts w:hint="eastAsia" w:ascii="仿宋" w:hAnsi="仿宋" w:eastAsia="仿宋" w:cs="仿宋"/>
          <w:color w:val="auto"/>
          <w:sz w:val="24"/>
          <w:szCs w:val="24"/>
          <w:highlight w:val="none"/>
          <w:u w:val="single"/>
        </w:rPr>
        <w:t>的潜在供应商应在</w:t>
      </w:r>
      <w:r>
        <w:rPr>
          <w:rFonts w:hint="eastAsia" w:ascii="仿宋" w:hAnsi="仿宋" w:eastAsia="仿宋" w:cs="仿宋"/>
          <w:color w:val="auto"/>
          <w:sz w:val="24"/>
          <w:szCs w:val="24"/>
          <w:highlight w:val="none"/>
          <w:u w:val="single"/>
          <w:lang w:eastAsia="zh-CN"/>
        </w:rPr>
        <w:t>线下</w:t>
      </w:r>
      <w:r>
        <w:rPr>
          <w:rFonts w:hint="eastAsia" w:ascii="仿宋" w:hAnsi="仿宋" w:eastAsia="仿宋" w:cs="仿宋"/>
          <w:color w:val="auto"/>
          <w:sz w:val="24"/>
          <w:szCs w:val="24"/>
          <w:highlight w:val="none"/>
          <w:u w:val="single"/>
        </w:rPr>
        <w:t>获取招标文件，并于</w:t>
      </w:r>
      <w:r>
        <w:rPr>
          <w:rFonts w:hint="eastAsia" w:ascii="仿宋" w:hAnsi="仿宋" w:eastAsia="仿宋" w:cs="仿宋"/>
          <w:color w:val="auto"/>
          <w:sz w:val="24"/>
          <w:szCs w:val="24"/>
          <w:highlight w:val="none"/>
          <w:u w:val="single"/>
          <w:lang w:eastAsia="zh-CN"/>
        </w:rPr>
        <w:t>202</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lang w:eastAsia="zh-CN"/>
        </w:rPr>
        <w:t>年</w:t>
      </w:r>
      <w:r>
        <w:rPr>
          <w:rFonts w:hint="eastAsia" w:ascii="仿宋" w:hAnsi="仿宋" w:eastAsia="仿宋" w:cs="仿宋"/>
          <w:color w:val="auto"/>
          <w:sz w:val="24"/>
          <w:szCs w:val="24"/>
          <w:highlight w:val="none"/>
          <w:u w:val="single"/>
          <w:lang w:val="en-US" w:eastAsia="zh-CN"/>
        </w:rPr>
        <w:t>06</w:t>
      </w:r>
      <w:r>
        <w:rPr>
          <w:rFonts w:hint="eastAsia" w:ascii="仿宋" w:hAnsi="仿宋" w:eastAsia="仿宋" w:cs="仿宋"/>
          <w:color w:val="auto"/>
          <w:sz w:val="24"/>
          <w:szCs w:val="24"/>
          <w:highlight w:val="none"/>
          <w:u w:val="single"/>
          <w:lang w:eastAsia="zh-CN"/>
        </w:rPr>
        <w:t>月</w:t>
      </w:r>
      <w:r>
        <w:rPr>
          <w:rFonts w:hint="eastAsia" w:ascii="仿宋" w:hAnsi="仿宋" w:eastAsia="仿宋" w:cs="仿宋"/>
          <w:color w:val="auto"/>
          <w:sz w:val="24"/>
          <w:szCs w:val="24"/>
          <w:highlight w:val="none"/>
          <w:u w:val="single"/>
          <w:lang w:val="en-US" w:eastAsia="zh-CN"/>
        </w:rPr>
        <w:t>02</w:t>
      </w:r>
      <w:r>
        <w:rPr>
          <w:rFonts w:hint="eastAsia" w:ascii="仿宋" w:hAnsi="仿宋" w:eastAsia="仿宋" w:cs="仿宋"/>
          <w:color w:val="auto"/>
          <w:sz w:val="24"/>
          <w:szCs w:val="24"/>
          <w:highlight w:val="none"/>
          <w:u w:val="single"/>
          <w:lang w:eastAsia="zh-CN"/>
        </w:rPr>
        <w:t xml:space="preserve">日 </w:t>
      </w:r>
      <w:r>
        <w:rPr>
          <w:rFonts w:hint="eastAsia" w:ascii="仿宋" w:hAnsi="仿宋" w:eastAsia="仿宋" w:cs="仿宋"/>
          <w:color w:val="auto"/>
          <w:sz w:val="24"/>
          <w:szCs w:val="24"/>
          <w:highlight w:val="none"/>
          <w:u w:val="single"/>
          <w:lang w:val="en-US" w:eastAsia="zh-CN"/>
        </w:rPr>
        <w:t>11</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3</w:t>
      </w:r>
      <w:r>
        <w:rPr>
          <w:rFonts w:hint="eastAsia" w:ascii="仿宋" w:hAnsi="仿宋" w:eastAsia="仿宋" w:cs="仿宋"/>
          <w:color w:val="auto"/>
          <w:sz w:val="24"/>
          <w:szCs w:val="24"/>
          <w:highlight w:val="none"/>
          <w:u w:val="single"/>
          <w:lang w:eastAsia="zh-CN"/>
        </w:rPr>
        <w:t>0</w:t>
      </w:r>
      <w:r>
        <w:rPr>
          <w:rFonts w:hint="eastAsia" w:ascii="仿宋" w:hAnsi="仿宋" w:eastAsia="仿宋" w:cs="仿宋"/>
          <w:color w:val="auto"/>
          <w:sz w:val="24"/>
          <w:szCs w:val="24"/>
          <w:highlight w:val="none"/>
          <w:u w:val="single"/>
        </w:rPr>
        <w:t xml:space="preserve"> （北京时间）前提交（上传）响应文件。</w:t>
      </w:r>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b w:val="0"/>
          <w:color w:val="auto"/>
          <w:sz w:val="24"/>
          <w:szCs w:val="24"/>
          <w:highlight w:val="none"/>
        </w:rPr>
      </w:pPr>
      <w:bookmarkStart w:id="1" w:name="_Toc11674"/>
      <w:bookmarkStart w:id="2" w:name="_Toc14464"/>
      <w:bookmarkStart w:id="3" w:name="_Toc28359012"/>
      <w:bookmarkStart w:id="4" w:name="_Toc35393798"/>
      <w:bookmarkStart w:id="5" w:name="_Toc28359089"/>
      <w:bookmarkStart w:id="6" w:name="_Toc35393629"/>
      <w:r>
        <w:rPr>
          <w:rFonts w:hint="eastAsia" w:ascii="仿宋" w:hAnsi="仿宋" w:eastAsia="仿宋" w:cs="仿宋"/>
          <w:b w:val="0"/>
          <w:color w:val="auto"/>
          <w:sz w:val="24"/>
          <w:szCs w:val="24"/>
          <w:highlight w:val="none"/>
        </w:rPr>
        <w:t>一、项目基本情况</w:t>
      </w:r>
      <w:bookmarkEnd w:id="1"/>
      <w:bookmarkEnd w:id="2"/>
      <w:bookmarkEnd w:id="3"/>
      <w:bookmarkEnd w:id="4"/>
      <w:bookmarkEnd w:id="5"/>
      <w:bookmarkEnd w:id="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项目编号：</w:t>
      </w:r>
      <w:r>
        <w:rPr>
          <w:rFonts w:hint="eastAsia" w:ascii="仿宋" w:hAnsi="仿宋" w:eastAsia="仿宋" w:cs="仿宋"/>
          <w:color w:val="auto"/>
          <w:sz w:val="24"/>
          <w:szCs w:val="24"/>
          <w:highlight w:val="none"/>
          <w:lang w:val="en-US" w:eastAsia="zh-CN"/>
        </w:rPr>
        <w:t>YTCGD-CS-2022-061</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lang w:eastAsia="zh-CN"/>
        </w:rPr>
        <w:t>于田县技工学校电子电工、心理咨询设备采购项目</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竞争性磋商 □询价</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预算金额：</w:t>
      </w:r>
      <w:r>
        <w:rPr>
          <w:rFonts w:hint="eastAsia" w:ascii="仿宋" w:hAnsi="仿宋" w:eastAsia="仿宋" w:cs="仿宋"/>
          <w:color w:val="auto"/>
          <w:sz w:val="24"/>
          <w:szCs w:val="24"/>
          <w:highlight w:val="none"/>
          <w:lang w:val="en-US" w:eastAsia="zh-CN"/>
        </w:rPr>
        <w:t>1985000.00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最高限价：</w:t>
      </w:r>
      <w:r>
        <w:rPr>
          <w:rFonts w:hint="eastAsia" w:ascii="仿宋" w:hAnsi="仿宋" w:eastAsia="仿宋" w:cs="仿宋"/>
          <w:color w:val="auto"/>
          <w:sz w:val="24"/>
          <w:szCs w:val="24"/>
          <w:highlight w:val="none"/>
          <w:lang w:val="en-US" w:eastAsia="zh-CN"/>
        </w:rPr>
        <w:t>1985000.00</w:t>
      </w:r>
      <w:r>
        <w:rPr>
          <w:rFonts w:hint="eastAsia" w:ascii="仿宋" w:hAnsi="仿宋" w:eastAsia="仿宋" w:cs="仿宋"/>
          <w:color w:val="auto"/>
          <w:sz w:val="24"/>
          <w:szCs w:val="24"/>
          <w:highlight w:val="none"/>
        </w:rPr>
        <w:t>元</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采购需求：电子电工实训设备、心理咨询室设备及电焊工实训部分设备</w:t>
      </w:r>
      <w:r>
        <w:rPr>
          <w:rFonts w:hint="eastAsia" w:ascii="仿宋" w:hAnsi="仿宋" w:eastAsia="仿宋" w:cs="仿宋"/>
          <w:color w:val="auto"/>
          <w:sz w:val="24"/>
          <w:szCs w:val="24"/>
          <w:highlight w:val="none"/>
          <w:lang w:eastAsia="zh-CN"/>
        </w:rPr>
        <w:t>采购一批；</w:t>
      </w:r>
      <w:r>
        <w:rPr>
          <w:rFonts w:hint="eastAsia" w:ascii="仿宋" w:hAnsi="仿宋" w:eastAsia="仿宋" w:cs="仿宋"/>
          <w:color w:val="auto"/>
          <w:sz w:val="24"/>
          <w:szCs w:val="24"/>
          <w:highlight w:val="none"/>
        </w:rPr>
        <w:t xml:space="preserve">      </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合同履行期限：</w:t>
      </w:r>
      <w:r>
        <w:rPr>
          <w:rFonts w:hint="eastAsia" w:ascii="仿宋" w:hAnsi="仿宋" w:eastAsia="仿宋" w:cs="仿宋"/>
          <w:color w:val="auto"/>
          <w:sz w:val="24"/>
          <w:szCs w:val="24"/>
          <w:highlight w:val="none"/>
          <w:lang w:val="en-US" w:eastAsia="zh-CN"/>
        </w:rPr>
        <w:t>/</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资金来源：自筹资金</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w:t>
      </w:r>
      <w:r>
        <w:rPr>
          <w:rFonts w:hint="eastAsia" w:ascii="仿宋" w:hAnsi="仿宋" w:eastAsia="仿宋" w:cs="仿宋"/>
          <w:color w:val="auto"/>
          <w:sz w:val="24"/>
          <w:szCs w:val="24"/>
          <w:highlight w:val="none"/>
          <w:lang w:val="en-US" w:eastAsia="zh-CN"/>
        </w:rPr>
        <w:t>否</w:t>
      </w:r>
      <w:r>
        <w:rPr>
          <w:rFonts w:hint="eastAsia" w:ascii="仿宋" w:hAnsi="仿宋" w:eastAsia="仿宋" w:cs="仿宋"/>
          <w:color w:val="auto"/>
          <w:sz w:val="24"/>
          <w:szCs w:val="24"/>
          <w:highlight w:val="none"/>
          <w:lang w:eastAsia="zh-CN"/>
        </w:rPr>
        <w:t>）接受联合体。</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rPr>
      </w:pPr>
      <w:bookmarkStart w:id="7" w:name="_Toc35393630"/>
      <w:bookmarkStart w:id="8" w:name="_Toc35393799"/>
      <w:bookmarkStart w:id="9" w:name="_Toc28359013"/>
      <w:bookmarkStart w:id="10" w:name="_Toc3275"/>
      <w:bookmarkStart w:id="11" w:name="_Toc10197"/>
      <w:bookmarkStart w:id="12" w:name="_Toc28359090"/>
      <w:r>
        <w:rPr>
          <w:rFonts w:hint="eastAsia" w:ascii="仿宋" w:hAnsi="仿宋" w:eastAsia="仿宋" w:cs="仿宋"/>
          <w:color w:val="auto"/>
          <w:sz w:val="24"/>
          <w:szCs w:val="24"/>
          <w:highlight w:val="none"/>
        </w:rPr>
        <w:t>二、申请人的资格要求：</w:t>
      </w:r>
      <w:bookmarkEnd w:id="7"/>
      <w:bookmarkEnd w:id="8"/>
      <w:bookmarkEnd w:id="9"/>
      <w:bookmarkEnd w:id="10"/>
      <w:bookmarkEnd w:id="11"/>
      <w:bookmarkEnd w:id="12"/>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bookmarkStart w:id="13" w:name="_Toc20889"/>
      <w:bookmarkStart w:id="14" w:name="_Toc28359091"/>
      <w:bookmarkStart w:id="15" w:name="_Toc28359014"/>
      <w:bookmarkStart w:id="16" w:name="_Toc17402"/>
      <w:bookmarkStart w:id="17" w:name="_Toc35393631"/>
      <w:bookmarkStart w:id="18" w:name="_Toc35393800"/>
      <w:r>
        <w:rPr>
          <w:rFonts w:hint="eastAsia" w:ascii="仿宋" w:hAnsi="仿宋" w:eastAsia="仿宋" w:cs="仿宋"/>
          <w:b/>
          <w:bCs w:val="0"/>
          <w:color w:val="auto"/>
          <w:sz w:val="24"/>
          <w:szCs w:val="24"/>
          <w:highlight w:val="none"/>
        </w:rPr>
        <w:t>1.满足《中华人民共和国政府采购法》第二十二条规定；</w:t>
      </w:r>
    </w:p>
    <w:p>
      <w:pPr>
        <w:pStyle w:val="10"/>
        <w:keepNext w:val="0"/>
        <w:keepLines w:val="0"/>
        <w:pageBreakBefore w:val="0"/>
        <w:widowControl/>
        <w:suppressLineNumbers w:val="0"/>
        <w:kinsoku/>
        <w:wordWrap/>
        <w:overflowPunct/>
        <w:topLinePunct w:val="0"/>
        <w:autoSpaceDE/>
        <w:autoSpaceDN/>
        <w:bidi w:val="0"/>
        <w:adjustRightInd/>
        <w:snapToGrid/>
        <w:spacing w:before="60" w:beforeAutospacing="0" w:after="60" w:afterAutospacing="0" w:line="240" w:lineRule="auto"/>
        <w:ind w:right="0" w:firstLine="482" w:firstLineChars="200"/>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2.落实政府采购政策需满足的资格要求：</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
        </w:rPr>
        <w:t>（1）《政府采购促进中小企业发展管理办法》（财库〔2020〕46号）；（2）《财政部民政部中国残疾人联合会关于促进残疾人就业政府采购政策的通知》财库〔2017〕141号；（3）《关于环境标志产品政府采购实施的意见》（财库[2006]90 号、《节能产品政府采购实施意见》的通知（财库[2004]185 号）。</w:t>
      </w:r>
    </w:p>
    <w:p>
      <w:pPr>
        <w:pageBreakBefore w:val="0"/>
        <w:widowControl w:val="0"/>
        <w:kinsoku/>
        <w:wordWrap/>
        <w:overflowPunct/>
        <w:topLinePunct w:val="0"/>
        <w:autoSpaceDE/>
        <w:autoSpaceDN/>
        <w:bidi w:val="0"/>
        <w:adjustRightInd/>
        <w:snapToGrid w:val="0"/>
        <w:spacing w:line="240" w:lineRule="auto"/>
        <w:ind w:firstLine="482" w:firstLineChars="200"/>
        <w:textAlignment w:val="auto"/>
        <w:outlineLvl w:val="0"/>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投标人须具备在中华人民共和国依法注册的独立法人，具备有效的营业执照（三证合一）；</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定代表人的需携带法定代表人证明书及法定代表人身份证及法定代表人近三个月的社保缴费凭证及个人明细；委托代理人需携带法定代表人授权委托书及委托代理人身份证及委托人近三个月的社保缴费凭证及个人明细；</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（3）具有良好的商业信誉和健全的财务会计制度（提供2021年的财务审计报告，2021年10月以后新成立公司可不提供）；</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r>
        <w:rPr>
          <w:rFonts w:hint="eastAsia" w:ascii="仿宋" w:hAnsi="仿宋" w:eastAsia="仿宋" w:cs="仿宋"/>
          <w:b w:val="0"/>
          <w:bCs w:val="0"/>
          <w:color w:val="auto"/>
          <w:kern w:val="0"/>
          <w:sz w:val="24"/>
          <w:szCs w:val="24"/>
          <w:highlight w:val="none"/>
          <w:lang w:val="en-US" w:eastAsia="zh-CN"/>
        </w:rPr>
        <w:t>提供税务部门出具近3个月依法缴纳税收的完税证明或报税材料（依法免缴的，应提供依法免缴的相关证明文件）;</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凡拟参加本次招标项目的投标人，如在“信用中国”网站（</w:t>
      </w:r>
      <w:r>
        <w:rPr>
          <w:rFonts w:hint="eastAsia" w:ascii="仿宋" w:hAnsi="仿宋" w:eastAsia="仿宋" w:cs="仿宋"/>
          <w:color w:val="auto"/>
          <w:sz w:val="24"/>
          <w:szCs w:val="24"/>
          <w:highlight w:val="none"/>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www.creditchina.gov.cn）、中国政府采购网（</w:t>
      </w:r>
      <w:r>
        <w:rPr>
          <w:rFonts w:hint="eastAsia" w:ascii="仿宋" w:hAnsi="仿宋" w:eastAsia="仿宋" w:cs="仿宋"/>
          <w:color w:val="auto"/>
          <w:sz w:val="24"/>
          <w:szCs w:val="24"/>
          <w:highlight w:val="none"/>
        </w:rPr>
        <w:drawing>
          <wp:inline distT="0" distB="0" distL="114300" distR="114300">
            <wp:extent cx="190500" cy="142875"/>
            <wp:effectExtent l="0" t="0" r="0"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www.ccgp.gov.cn）、国家企业信用信息公示系统（</w:t>
      </w:r>
      <w:r>
        <w:rPr>
          <w:rFonts w:hint="eastAsia" w:ascii="仿宋" w:hAnsi="仿宋" w:eastAsia="仿宋" w:cs="仿宋"/>
          <w:color w:val="auto"/>
          <w:sz w:val="24"/>
          <w:szCs w:val="24"/>
          <w:highlight w:val="none"/>
        </w:rPr>
        <w:drawing>
          <wp:inline distT="0" distB="0" distL="114300" distR="114300">
            <wp:extent cx="190500" cy="142875"/>
            <wp:effectExtent l="0" t="0" r="0" b="9525"/>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4"/>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http://www.gsxt.gov.cn）、中国裁判文书网（</w:t>
      </w:r>
      <w:r>
        <w:rPr>
          <w:rFonts w:hint="eastAsia" w:ascii="仿宋" w:hAnsi="仿宋" w:eastAsia="仿宋" w:cs="仿宋"/>
          <w:color w:val="auto"/>
          <w:sz w:val="24"/>
          <w:szCs w:val="24"/>
          <w:highlight w:val="none"/>
        </w:rPr>
        <w:drawing>
          <wp:inline distT="0" distB="0" distL="114300" distR="114300">
            <wp:extent cx="190500" cy="142875"/>
            <wp:effectExtent l="0" t="0" r="0" b="9525"/>
            <wp:docPr id="4"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9"/>
                    <pic:cNvPicPr>
                      <a:picLocks noChangeAspect="1"/>
                    </pic:cNvPicPr>
                  </pic:nvPicPr>
                  <pic:blipFill>
                    <a:blip r:embed="rId5"/>
                    <a:stretch>
                      <a:fillRect/>
                    </a:stretch>
                  </pic:blipFill>
                  <pic:spPr>
                    <a:xfrm>
                      <a:off x="0" y="0"/>
                      <a:ext cx="190500" cy="142875"/>
                    </a:xfrm>
                    <a:prstGeom prst="rect">
                      <a:avLst/>
                    </a:prstGeom>
                    <a:noFill/>
                    <a:ln w="9525">
                      <a:noFill/>
                    </a:ln>
                  </pic:spPr>
                </pic:pic>
              </a:graphicData>
            </a:graphic>
          </wp:inline>
        </w:drawing>
      </w:r>
      <w:r>
        <w:rPr>
          <w:rFonts w:hint="eastAsia" w:ascii="仿宋" w:hAnsi="仿宋" w:eastAsia="仿宋" w:cs="仿宋"/>
          <w:color w:val="auto"/>
          <w:sz w:val="24"/>
          <w:szCs w:val="24"/>
          <w:highlight w:val="none"/>
        </w:rPr>
        <w:t>http://wenshu.court.gov.cn/）被列入失信被执行人、重大税收违法案件当事人名单、政府采购严重违法失信行为记录名单的、经营异常名录的、有行贿受贿犯罪记录，经开标现场查询尚在处罚期内的投标企业将拒绝其参与本次政府采购活动；</w:t>
      </w:r>
    </w:p>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仿宋" w:hAnsi="仿宋" w:eastAsia="仿宋" w:cs="仿宋"/>
          <w:b w:val="0"/>
          <w:bCs w:val="0"/>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（6）</w:t>
      </w:r>
      <w:r>
        <w:rPr>
          <w:rFonts w:hint="eastAsia" w:ascii="仿宋" w:hAnsi="仿宋" w:eastAsia="仿宋" w:cs="仿宋"/>
          <w:b w:val="0"/>
          <w:bCs w:val="0"/>
          <w:color w:val="auto"/>
          <w:kern w:val="0"/>
          <w:sz w:val="24"/>
          <w:szCs w:val="24"/>
          <w:highlight w:val="none"/>
          <w:lang w:val="en-US" w:eastAsia="zh-CN"/>
        </w:rPr>
        <w:t>企业负责人为同一人或者存在直接控股、管理关系的不同投标人，不得参加同一合同项下的政府采购活动。否则，皆取消投标资格；</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sz w:val="24"/>
          <w:szCs w:val="24"/>
          <w:highlight w:val="none"/>
          <w:lang w:val="en-US" w:eastAsia="zh-CN"/>
        </w:rPr>
        <w:t>（7）</w:t>
      </w:r>
      <w:r>
        <w:rPr>
          <w:rFonts w:hint="eastAsia" w:ascii="仿宋" w:hAnsi="仿宋" w:eastAsia="仿宋" w:cs="仿宋"/>
          <w:b w:val="0"/>
          <w:bCs w:val="0"/>
          <w:color w:val="auto"/>
          <w:kern w:val="0"/>
          <w:sz w:val="24"/>
          <w:szCs w:val="24"/>
          <w:highlight w:val="none"/>
          <w:lang w:val="en-US" w:eastAsia="zh-CN"/>
        </w:rPr>
        <w:t>在本地区有完善的售后服务机构，能提供本次采购设备的备件紧急服务</w:t>
      </w:r>
      <w:r>
        <w:rPr>
          <w:rFonts w:hint="eastAsia" w:ascii="仿宋" w:hAnsi="仿宋" w:eastAsia="仿宋" w:cs="仿宋"/>
          <w:color w:val="auto"/>
          <w:kern w:val="0"/>
          <w:sz w:val="24"/>
          <w:szCs w:val="24"/>
          <w:highlight w:val="none"/>
          <w:lang w:val="en-US" w:eastAsia="zh-CN" w:bidi="ar"/>
        </w:rPr>
        <w:t>和本地化技术服务；</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（8）本项目不接受联合体投标；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三、获取采购文件</w:t>
      </w:r>
      <w:bookmarkEnd w:id="13"/>
      <w:bookmarkEnd w:id="14"/>
      <w:bookmarkEnd w:id="15"/>
      <w:bookmarkEnd w:id="16"/>
      <w:bookmarkEnd w:id="17"/>
      <w:bookmarkEnd w:id="18"/>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kern w:val="0"/>
          <w:sz w:val="24"/>
          <w:szCs w:val="24"/>
          <w:highlight w:val="none"/>
          <w:lang w:val="en-US" w:eastAsia="zh-CN" w:bidi="ar"/>
        </w:rPr>
      </w:pPr>
      <w:bookmarkStart w:id="19" w:name="_Toc28359015"/>
      <w:bookmarkStart w:id="20" w:name="_Toc28359092"/>
      <w:bookmarkStart w:id="21" w:name="_Toc35393801"/>
      <w:bookmarkStart w:id="22" w:name="_Toc35393632"/>
      <w:bookmarkStart w:id="23" w:name="_Toc7922"/>
      <w:bookmarkStart w:id="24" w:name="_Toc22996"/>
      <w:r>
        <w:rPr>
          <w:rFonts w:hint="eastAsia" w:ascii="仿宋" w:hAnsi="仿宋" w:eastAsia="仿宋" w:cs="仿宋"/>
          <w:color w:val="auto"/>
          <w:kern w:val="0"/>
          <w:sz w:val="24"/>
          <w:szCs w:val="24"/>
          <w:highlight w:val="none"/>
          <w:lang w:val="en-US" w:eastAsia="zh-CN" w:bidi="ar"/>
        </w:rPr>
        <w:t>时间：2022年05月20日至2022年05月27日（提供期限自本公告发布之日起不得少于5个工作日），每天上午10:30至14:00，下午16:00至19:30（北京时间，法定节假日除外）</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bidi="ar"/>
        </w:rPr>
        <w:t>地点：新疆庆信达项目管理有限公司（和田市人民街18号玉都国际广场金</w:t>
      </w:r>
      <w:r>
        <w:rPr>
          <w:rFonts w:hint="eastAsia" w:ascii="仿宋" w:hAnsi="仿宋" w:eastAsia="仿宋" w:cs="仿宋"/>
          <w:color w:val="auto"/>
          <w:sz w:val="24"/>
          <w:szCs w:val="24"/>
          <w:highlight w:val="none"/>
          <w:lang w:val="en-US" w:eastAsia="zh-CN"/>
        </w:rPr>
        <w:t>座703室）</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方式：满足上述投标资质的投标人，携带第二条申请人的资格要求的相关证件（原件及加盖单位鲜公章的复印件各一套核对），审查合格后现场获取招标文件。</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售价：200元/份（售后不退）</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四、响应文件提交</w:t>
      </w:r>
      <w:bookmarkEnd w:id="19"/>
      <w:bookmarkEnd w:id="20"/>
      <w:bookmarkEnd w:id="21"/>
      <w:bookmarkEnd w:id="22"/>
      <w:bookmarkEnd w:id="23"/>
      <w:bookmarkEnd w:id="24"/>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截止时间： 2022年06月02日11点 30分（北京时间）</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地点：腾讯会议不见面开标</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default" w:ascii="仿宋" w:hAnsi="仿宋" w:eastAsia="仿宋" w:cs="仿宋"/>
          <w:color w:val="auto"/>
          <w:sz w:val="24"/>
          <w:szCs w:val="24"/>
          <w:highlight w:val="none"/>
          <w:lang w:val="en-US" w:eastAsia="zh-CN"/>
        </w:rPr>
      </w:pPr>
      <w:bookmarkStart w:id="25" w:name="_Toc35393633"/>
      <w:bookmarkStart w:id="26" w:name="_Toc35393802"/>
      <w:bookmarkStart w:id="27" w:name="_Toc297"/>
      <w:bookmarkStart w:id="28" w:name="_Toc30975"/>
      <w:bookmarkStart w:id="29" w:name="_Toc28359093"/>
      <w:bookmarkStart w:id="30" w:name="_Toc28359016"/>
      <w:bookmarkStart w:id="47" w:name="_GoBack"/>
      <w:bookmarkEnd w:id="47"/>
      <w:r>
        <w:rPr>
          <w:rFonts w:hint="eastAsia" w:ascii="仿宋" w:hAnsi="仿宋" w:eastAsia="仿宋" w:cs="仿宋"/>
          <w:color w:val="auto"/>
          <w:sz w:val="24"/>
          <w:szCs w:val="24"/>
          <w:highlight w:val="none"/>
          <w:lang w:val="en-US" w:eastAsia="zh-CN"/>
        </w:rPr>
        <w:t>五、开启</w:t>
      </w:r>
      <w:bookmarkEnd w:id="25"/>
      <w:bookmarkEnd w:id="26"/>
      <w:bookmarkEnd w:id="27"/>
      <w:bookmarkEnd w:id="28"/>
      <w:bookmarkEnd w:id="29"/>
      <w:bookmarkEnd w:id="30"/>
      <w:r>
        <w:rPr>
          <w:rFonts w:hint="eastAsia" w:ascii="仿宋" w:hAnsi="仿宋" w:eastAsia="仿宋" w:cs="仿宋"/>
          <w:color w:val="auto"/>
          <w:sz w:val="24"/>
          <w:szCs w:val="24"/>
          <w:highlight w:val="none"/>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val="0"/>
        <w:snapToGrid w:val="0"/>
        <w:spacing w:before="75" w:beforeAutospacing="0" w:after="75" w:afterAutospacing="0" w:line="240" w:lineRule="auto"/>
        <w:ind w:left="0" w:right="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lang w:val="en-US" w:eastAsia="zh-CN"/>
        </w:rPr>
        <w:t>时间： 2022年06月02</w:t>
      </w:r>
      <w:r>
        <w:rPr>
          <w:rFonts w:hint="eastAsia" w:ascii="仿宋" w:hAnsi="仿宋" w:eastAsia="仿宋" w:cs="仿宋"/>
          <w:bCs/>
          <w:color w:val="auto"/>
          <w:sz w:val="24"/>
          <w:szCs w:val="24"/>
          <w:highlight w:val="none"/>
          <w:u w:val="single"/>
        </w:rPr>
        <w:t>日</w:t>
      </w:r>
      <w:r>
        <w:rPr>
          <w:rFonts w:hint="eastAsia" w:ascii="仿宋" w:hAnsi="仿宋" w:eastAsia="仿宋" w:cs="仿宋"/>
          <w:bCs/>
          <w:color w:val="auto"/>
          <w:sz w:val="24"/>
          <w:szCs w:val="24"/>
          <w:highlight w:val="none"/>
          <w:u w:val="single"/>
          <w:lang w:val="en-US" w:eastAsia="zh-CN"/>
        </w:rPr>
        <w:t>11</w:t>
      </w:r>
      <w:r>
        <w:rPr>
          <w:rFonts w:hint="eastAsia" w:ascii="仿宋" w:hAnsi="仿宋" w:eastAsia="仿宋" w:cs="仿宋"/>
          <w:bCs/>
          <w:color w:val="auto"/>
          <w:sz w:val="24"/>
          <w:szCs w:val="24"/>
          <w:highlight w:val="none"/>
          <w:u w:val="single"/>
        </w:rPr>
        <w:t xml:space="preserve">点 </w:t>
      </w:r>
      <w:r>
        <w:rPr>
          <w:rFonts w:hint="eastAsia" w:ascii="仿宋" w:hAnsi="仿宋" w:eastAsia="仿宋" w:cs="仿宋"/>
          <w:bCs/>
          <w:color w:val="auto"/>
          <w:sz w:val="24"/>
          <w:szCs w:val="24"/>
          <w:highlight w:val="none"/>
          <w:u w:val="single"/>
          <w:lang w:val="en-US" w:eastAsia="zh-CN"/>
        </w:rPr>
        <w:t>3</w:t>
      </w:r>
      <w:r>
        <w:rPr>
          <w:rFonts w:hint="eastAsia" w:ascii="仿宋" w:hAnsi="仿宋" w:eastAsia="仿宋" w:cs="仿宋"/>
          <w:bCs/>
          <w:color w:val="auto"/>
          <w:sz w:val="24"/>
          <w:szCs w:val="24"/>
          <w:highlight w:val="none"/>
          <w:u w:val="single"/>
        </w:rPr>
        <w:t>0分</w:t>
      </w:r>
      <w:r>
        <w:rPr>
          <w:rFonts w:hint="eastAsia" w:ascii="仿宋" w:hAnsi="仿宋" w:eastAsia="仿宋" w:cs="仿宋"/>
          <w:bCs/>
          <w:color w:val="auto"/>
          <w:sz w:val="24"/>
          <w:szCs w:val="24"/>
          <w:highlight w:val="none"/>
        </w:rPr>
        <w:t>（北京时间）</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sz w:val="24"/>
          <w:szCs w:val="24"/>
          <w:highlight w:val="none"/>
          <w:lang w:eastAsia="zh-CN"/>
        </w:rPr>
      </w:pPr>
      <w:bookmarkStart w:id="31" w:name="_Toc135"/>
      <w:bookmarkStart w:id="32" w:name="_Toc15664"/>
      <w:bookmarkStart w:id="33" w:name="_Toc35393803"/>
      <w:bookmarkStart w:id="34" w:name="_Toc28359094"/>
      <w:bookmarkStart w:id="35" w:name="_Toc28359017"/>
      <w:bookmarkStart w:id="36" w:name="_Toc35393634"/>
      <w:r>
        <w:rPr>
          <w:rFonts w:hint="eastAsia" w:ascii="仿宋" w:hAnsi="仿宋" w:eastAsia="仿宋" w:cs="仿宋"/>
          <w:color w:val="auto"/>
          <w:sz w:val="24"/>
          <w:szCs w:val="24"/>
          <w:highlight w:val="none"/>
        </w:rPr>
        <w:t>地点：腾讯会议不见面开标</w:t>
      </w:r>
    </w:p>
    <w:p>
      <w:pPr>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六、公告期限</w:t>
      </w:r>
      <w:bookmarkEnd w:id="31"/>
      <w:bookmarkEnd w:id="32"/>
      <w:bookmarkEnd w:id="33"/>
      <w:bookmarkEnd w:id="34"/>
      <w:bookmarkEnd w:id="35"/>
      <w:bookmarkEnd w:id="36"/>
    </w:p>
    <w:p>
      <w:pPr>
        <w:pageBreakBefore w:val="0"/>
        <w:widowControl w:val="0"/>
        <w:kinsoku/>
        <w:wordWrap/>
        <w:overflowPunct/>
        <w:topLinePunct w:val="0"/>
        <w:autoSpaceDE/>
        <w:autoSpaceDN/>
        <w:bidi w:val="0"/>
        <w:adjustRightInd/>
        <w:snapToGrid w:val="0"/>
        <w:spacing w:line="240" w:lineRule="auto"/>
        <w:ind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自本公告发布之日起</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个工作日。</w:t>
      </w:r>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color w:val="auto"/>
          <w:sz w:val="24"/>
          <w:szCs w:val="24"/>
          <w:highlight w:val="none"/>
          <w:lang w:val="en-US" w:eastAsia="zh-CN"/>
        </w:rPr>
      </w:pPr>
      <w:bookmarkStart w:id="37" w:name="_Toc35393804"/>
      <w:bookmarkStart w:id="38" w:name="_Toc35393635"/>
      <w:bookmarkStart w:id="39" w:name="_Toc25927"/>
      <w:bookmarkStart w:id="40" w:name="_Toc23752"/>
      <w:r>
        <w:rPr>
          <w:rFonts w:hint="eastAsia" w:ascii="仿宋" w:hAnsi="仿宋" w:eastAsia="仿宋" w:cs="仿宋"/>
          <w:b w:val="0"/>
          <w:color w:val="auto"/>
          <w:sz w:val="24"/>
          <w:szCs w:val="24"/>
          <w:highlight w:val="none"/>
        </w:rPr>
        <w:t>七、其他补充事宜</w:t>
      </w:r>
      <w:bookmarkEnd w:id="37"/>
      <w:bookmarkEnd w:id="38"/>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lang w:val="en-US" w:eastAsia="zh-CN"/>
        </w:rPr>
        <w:t>无</w:t>
      </w:r>
      <w:bookmarkEnd w:id="39"/>
      <w:bookmarkEnd w:id="40"/>
    </w:p>
    <w:p>
      <w:pPr>
        <w:pStyle w:val="6"/>
        <w:keepNext/>
        <w:keepLines/>
        <w:pageBreakBefore w:val="0"/>
        <w:widowControl w:val="0"/>
        <w:kinsoku/>
        <w:wordWrap/>
        <w:overflowPunct/>
        <w:topLinePunct w:val="0"/>
        <w:autoSpaceDE/>
        <w:autoSpaceDN/>
        <w:bidi w:val="0"/>
        <w:adjustRightInd/>
        <w:snapToGrid w:val="0"/>
        <w:spacing w:line="240" w:lineRule="auto"/>
        <w:ind w:firstLine="480" w:firstLineChars="200"/>
        <w:textAlignment w:val="auto"/>
        <w:outlineLvl w:val="0"/>
        <w:rPr>
          <w:rFonts w:hint="eastAsia" w:ascii="仿宋" w:hAnsi="仿宋" w:eastAsia="仿宋" w:cs="仿宋"/>
          <w:b w:val="0"/>
          <w:color w:val="auto"/>
          <w:sz w:val="24"/>
          <w:szCs w:val="24"/>
          <w:highlight w:val="none"/>
        </w:rPr>
      </w:pPr>
      <w:bookmarkStart w:id="41" w:name="_Toc28359018"/>
      <w:bookmarkStart w:id="42" w:name="_Toc20454"/>
      <w:bookmarkStart w:id="43" w:name="_Toc28359095"/>
      <w:bookmarkStart w:id="44" w:name="_Toc1455"/>
      <w:bookmarkStart w:id="45" w:name="_Toc35393636"/>
      <w:bookmarkStart w:id="46" w:name="_Toc35393805"/>
      <w:r>
        <w:rPr>
          <w:rFonts w:hint="eastAsia" w:ascii="仿宋" w:hAnsi="仿宋" w:eastAsia="仿宋" w:cs="仿宋"/>
          <w:b w:val="0"/>
          <w:color w:val="auto"/>
          <w:sz w:val="24"/>
          <w:szCs w:val="24"/>
          <w:highlight w:val="none"/>
        </w:rPr>
        <w:t>八、凡对本次采购提出询问，请按以下方式联系。</w:t>
      </w:r>
      <w:bookmarkEnd w:id="41"/>
      <w:bookmarkEnd w:id="42"/>
      <w:bookmarkEnd w:id="43"/>
      <w:bookmarkEnd w:id="44"/>
      <w:bookmarkEnd w:id="45"/>
      <w:bookmarkEnd w:id="46"/>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1.采购人信息</w:t>
      </w:r>
    </w:p>
    <w:p>
      <w:pPr>
        <w:keepNext w:val="0"/>
        <w:keepLines w:val="0"/>
        <w:pageBreakBefore w:val="0"/>
        <w:widowControl w:val="0"/>
        <w:kinsoku/>
        <w:wordWrap/>
        <w:overflowPunct/>
        <w:topLinePunct w:val="0"/>
        <w:autoSpaceDE/>
        <w:autoSpaceDN/>
        <w:bidi w:val="0"/>
        <w:adjustRightInd/>
        <w:snapToGrid w:val="0"/>
        <w:spacing w:line="216" w:lineRule="auto"/>
        <w:ind w:left="480" w:leftChars="200" w:firstLine="0" w:firstLineChars="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称：于田县技工学校（新疆农业广播电视学校于田县分校，于田县农业机械化技术学校）</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址：于田县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default"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联系方式：0903-6811015</w:t>
      </w:r>
    </w:p>
    <w:p>
      <w:pPr>
        <w:pStyle w:val="7"/>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2.采购代理机构信息</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名    称：新疆庆信达项目管理有限公司　</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地    址：和田市人民街18号玉都国际广场金座703室</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联系方式：0903-7820626　　</w:t>
      </w:r>
    </w:p>
    <w:p>
      <w:pPr>
        <w:pStyle w:val="7"/>
        <w:rPr>
          <w:rFonts w:hint="eastAsia"/>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3.项目联系方式</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b w:val="0"/>
          <w:color w:val="auto"/>
          <w:kern w:val="2"/>
          <w:sz w:val="24"/>
          <w:szCs w:val="24"/>
          <w:highlight w:val="none"/>
          <w:lang w:val="en-US" w:eastAsia="zh-CN" w:bidi="ar-SA"/>
        </w:rPr>
      </w:pPr>
      <w:r>
        <w:rPr>
          <w:rFonts w:hint="eastAsia" w:ascii="仿宋" w:hAnsi="仿宋" w:eastAsia="仿宋" w:cs="仿宋"/>
          <w:b w:val="0"/>
          <w:color w:val="auto"/>
          <w:kern w:val="2"/>
          <w:sz w:val="24"/>
          <w:szCs w:val="24"/>
          <w:highlight w:val="none"/>
          <w:lang w:val="en-US" w:eastAsia="zh-CN" w:bidi="ar-SA"/>
        </w:rPr>
        <w:t>项目联系人：葛小收</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color w:val="auto"/>
          <w:sz w:val="24"/>
          <w:szCs w:val="24"/>
          <w:highlight w:val="none"/>
        </w:rPr>
      </w:pPr>
      <w:r>
        <w:rPr>
          <w:rFonts w:hint="eastAsia" w:ascii="仿宋" w:hAnsi="仿宋" w:eastAsia="仿宋" w:cs="仿宋"/>
          <w:b w:val="0"/>
          <w:color w:val="auto"/>
          <w:kern w:val="2"/>
          <w:sz w:val="24"/>
          <w:szCs w:val="24"/>
          <w:highlight w:val="none"/>
          <w:lang w:val="en-US" w:eastAsia="zh-CN" w:bidi="ar-SA"/>
        </w:rPr>
        <w:t>电　　  话：0903-7820626</w:t>
      </w:r>
    </w:p>
    <w:p>
      <w:pPr>
        <w:keepNext w:val="0"/>
        <w:keepLines w:val="0"/>
        <w:pageBreakBefore w:val="0"/>
        <w:widowControl w:val="0"/>
        <w:kinsoku/>
        <w:wordWrap/>
        <w:overflowPunct/>
        <w:topLinePunct w:val="0"/>
        <w:autoSpaceDE/>
        <w:autoSpaceDN/>
        <w:bidi w:val="0"/>
        <w:adjustRightInd/>
        <w:snapToGrid w:val="0"/>
        <w:spacing w:line="216" w:lineRule="auto"/>
        <w:ind w:firstLine="480" w:firstLineChars="200"/>
        <w:jc w:val="both"/>
        <w:textAlignment w:val="auto"/>
        <w:rPr>
          <w:rFonts w:hint="eastAsia" w:ascii="仿宋" w:hAnsi="仿宋" w:eastAsia="仿宋" w:cs="仿宋"/>
          <w:color w:val="auto"/>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1ZDViNmVkOGRjNTM1NjMyZmUzZDA4YzRjMDJiMWMifQ=="/>
  </w:docVars>
  <w:rsids>
    <w:rsidRoot w:val="00000000"/>
    <w:rsid w:val="009F7630"/>
    <w:rsid w:val="01E17E23"/>
    <w:rsid w:val="06045CEC"/>
    <w:rsid w:val="06CE5F5E"/>
    <w:rsid w:val="06EF2FA2"/>
    <w:rsid w:val="071E655A"/>
    <w:rsid w:val="0A2D03DC"/>
    <w:rsid w:val="0B8C32E1"/>
    <w:rsid w:val="0D1D1F35"/>
    <w:rsid w:val="105826E5"/>
    <w:rsid w:val="10C87EA7"/>
    <w:rsid w:val="123C6D39"/>
    <w:rsid w:val="129E586A"/>
    <w:rsid w:val="16A44F1B"/>
    <w:rsid w:val="17DF7699"/>
    <w:rsid w:val="1B556D3A"/>
    <w:rsid w:val="1E5336A7"/>
    <w:rsid w:val="1E58477B"/>
    <w:rsid w:val="1F2F00CB"/>
    <w:rsid w:val="20473132"/>
    <w:rsid w:val="20815C2F"/>
    <w:rsid w:val="20CF6BF6"/>
    <w:rsid w:val="22561326"/>
    <w:rsid w:val="22937B65"/>
    <w:rsid w:val="22C62B5D"/>
    <w:rsid w:val="23F60736"/>
    <w:rsid w:val="25E67079"/>
    <w:rsid w:val="29262592"/>
    <w:rsid w:val="29E3121F"/>
    <w:rsid w:val="2AC848F7"/>
    <w:rsid w:val="2AF44FC1"/>
    <w:rsid w:val="2BBC3306"/>
    <w:rsid w:val="2D003A0D"/>
    <w:rsid w:val="2D067E31"/>
    <w:rsid w:val="2D145DF0"/>
    <w:rsid w:val="2E9077CD"/>
    <w:rsid w:val="32206981"/>
    <w:rsid w:val="32964A93"/>
    <w:rsid w:val="331832EF"/>
    <w:rsid w:val="37AC1E25"/>
    <w:rsid w:val="383851E4"/>
    <w:rsid w:val="389E4A6F"/>
    <w:rsid w:val="3D18027B"/>
    <w:rsid w:val="3E550ABE"/>
    <w:rsid w:val="41006CBB"/>
    <w:rsid w:val="4244039E"/>
    <w:rsid w:val="43252EEA"/>
    <w:rsid w:val="44D83D5B"/>
    <w:rsid w:val="471C0F0D"/>
    <w:rsid w:val="4ADE0D1B"/>
    <w:rsid w:val="4AE651F9"/>
    <w:rsid w:val="4B125410"/>
    <w:rsid w:val="4CEA10A3"/>
    <w:rsid w:val="4DFD5FE8"/>
    <w:rsid w:val="54195E0D"/>
    <w:rsid w:val="54A76DD9"/>
    <w:rsid w:val="54DF2178"/>
    <w:rsid w:val="55A2018D"/>
    <w:rsid w:val="56B42E1E"/>
    <w:rsid w:val="56CB4CD8"/>
    <w:rsid w:val="570A1298"/>
    <w:rsid w:val="57352285"/>
    <w:rsid w:val="5A692400"/>
    <w:rsid w:val="5E2F481F"/>
    <w:rsid w:val="5FB16742"/>
    <w:rsid w:val="626F29D3"/>
    <w:rsid w:val="628752D0"/>
    <w:rsid w:val="638C6FD1"/>
    <w:rsid w:val="63F20A61"/>
    <w:rsid w:val="65C227A9"/>
    <w:rsid w:val="6A00253D"/>
    <w:rsid w:val="6C821710"/>
    <w:rsid w:val="6D387DFB"/>
    <w:rsid w:val="6D3A39AF"/>
    <w:rsid w:val="6D9C44AE"/>
    <w:rsid w:val="6FFB0FE3"/>
    <w:rsid w:val="72DC365F"/>
    <w:rsid w:val="744946A8"/>
    <w:rsid w:val="752A6A53"/>
    <w:rsid w:val="76834321"/>
    <w:rsid w:val="7AF460F1"/>
    <w:rsid w:val="7B051C57"/>
    <w:rsid w:val="7B9B180B"/>
    <w:rsid w:val="7BDE63FE"/>
    <w:rsid w:val="7CA13F21"/>
    <w:rsid w:val="7E7D089E"/>
    <w:rsid w:val="7EFF5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5">
    <w:name w:val="heading 1"/>
    <w:basedOn w:val="1"/>
    <w:next w:val="1"/>
    <w:qFormat/>
    <w:uiPriority w:val="0"/>
    <w:pPr>
      <w:keepNext/>
      <w:keepLines/>
      <w:spacing w:before="100" w:after="90" w:line="576" w:lineRule="auto"/>
      <w:jc w:val="center"/>
      <w:outlineLvl w:val="0"/>
    </w:pPr>
    <w:rPr>
      <w:b/>
      <w:kern w:val="44"/>
      <w:sz w:val="36"/>
      <w:szCs w:val="44"/>
    </w:rPr>
  </w:style>
  <w:style w:type="paragraph" w:styleId="6">
    <w:name w:val="heading 2"/>
    <w:basedOn w:val="1"/>
    <w:next w:val="1"/>
    <w:unhideWhenUsed/>
    <w:qFormat/>
    <w:uiPriority w:val="0"/>
    <w:pPr>
      <w:keepNext/>
      <w:keepLines/>
      <w:spacing w:before="240" w:after="240"/>
      <w:outlineLvl w:val="1"/>
    </w:pPr>
    <w:rPr>
      <w:rFonts w:ascii="Arial" w:hAnsi="Arial"/>
      <w:b/>
    </w:rPr>
  </w:style>
  <w:style w:type="paragraph" w:styleId="7">
    <w:name w:val="heading 3"/>
    <w:basedOn w:val="1"/>
    <w:next w:val="1"/>
    <w:semiHidden/>
    <w:unhideWhenUsed/>
    <w:qFormat/>
    <w:uiPriority w:val="0"/>
    <w:pPr>
      <w:keepNext/>
      <w:keepLines/>
      <w:jc w:val="left"/>
      <w:outlineLvl w:val="2"/>
    </w:pPr>
    <w:rPr>
      <w:b/>
      <w:bCs/>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adjustRightInd/>
      <w:snapToGrid/>
      <w:spacing w:line="360" w:lineRule="auto"/>
      <w:ind w:firstLine="420" w:firstLineChars="200"/>
      <w:jc w:val="both"/>
    </w:pPr>
    <w:rPr>
      <w:rFonts w:ascii="Times New Roman" w:hAnsi="Times New Roman" w:eastAsia="仿宋_GB2312" w:cs="Times New Roman"/>
      <w:spacing w:val="15"/>
      <w:kern w:val="10"/>
      <w:sz w:val="24"/>
      <w:szCs w:val="24"/>
    </w:rPr>
  </w:style>
  <w:style w:type="paragraph" w:styleId="3">
    <w:name w:val="Body Text Indent"/>
    <w:basedOn w:val="1"/>
    <w:next w:val="4"/>
    <w:qFormat/>
    <w:uiPriority w:val="0"/>
    <w:pPr>
      <w:spacing w:line="360" w:lineRule="auto"/>
      <w:ind w:firstLine="560" w:firstLineChars="200"/>
    </w:pPr>
    <w:rPr>
      <w:sz w:val="28"/>
    </w:r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8">
    <w:name w:val="Normal Indent"/>
    <w:basedOn w:val="1"/>
    <w:next w:val="1"/>
    <w:qFormat/>
    <w:uiPriority w:val="0"/>
    <w:pPr>
      <w:adjustRightInd w:val="0"/>
      <w:ind w:firstLine="420"/>
    </w:pPr>
    <w:rPr>
      <w:rFonts w:ascii="Times New Roman" w:eastAsia="楷体_GB2312"/>
      <w:sz w:val="24"/>
    </w:rPr>
  </w:style>
  <w:style w:type="paragraph" w:styleId="9">
    <w:name w:val="Plain Text"/>
    <w:basedOn w:val="1"/>
    <w:qFormat/>
    <w:uiPriority w:val="0"/>
    <w:rPr>
      <w:rFonts w:ascii="宋体" w:hAnsi="Courier New"/>
      <w:sz w:val="11"/>
      <w:szCs w:val="20"/>
    </w:rPr>
  </w:style>
  <w:style w:type="paragraph" w:styleId="10">
    <w:name w:val="Normal (Web)"/>
    <w:basedOn w:val="1"/>
    <w:qFormat/>
    <w:uiPriority w:val="0"/>
    <w:pPr>
      <w:spacing w:before="100" w:beforeLines="0" w:beforeAutospacing="1" w:after="100" w:afterLines="0" w:afterAutospacing="1"/>
    </w:pPr>
    <w:rPr>
      <w:rFonts w:ascii="宋体" w:hAnsi="宋体" w:cs="宋体"/>
      <w:sz w:val="24"/>
      <w:szCs w:val="24"/>
    </w:rPr>
  </w:style>
  <w:style w:type="character" w:styleId="13">
    <w:name w:val="Strong"/>
    <w:basedOn w:val="12"/>
    <w:qFormat/>
    <w:uiPriority w:val="0"/>
  </w:style>
  <w:style w:type="character" w:styleId="14">
    <w:name w:val="FollowedHyperlink"/>
    <w:basedOn w:val="12"/>
    <w:qFormat/>
    <w:uiPriority w:val="0"/>
    <w:rPr>
      <w:color w:val="800080"/>
      <w:u w:val="none"/>
    </w:rPr>
  </w:style>
  <w:style w:type="character" w:styleId="15">
    <w:name w:val="Emphasis"/>
    <w:basedOn w:val="12"/>
    <w:qFormat/>
    <w:uiPriority w:val="0"/>
  </w:style>
  <w:style w:type="character" w:styleId="16">
    <w:name w:val="HTML Definition"/>
    <w:basedOn w:val="12"/>
    <w:qFormat/>
    <w:uiPriority w:val="0"/>
  </w:style>
  <w:style w:type="character" w:styleId="17">
    <w:name w:val="HTML Typewriter"/>
    <w:basedOn w:val="12"/>
    <w:qFormat/>
    <w:uiPriority w:val="0"/>
    <w:rPr>
      <w:rFonts w:hint="default" w:ascii="monospace" w:hAnsi="monospace" w:eastAsia="monospace" w:cs="monospace"/>
      <w:sz w:val="20"/>
    </w:rPr>
  </w:style>
  <w:style w:type="character" w:styleId="18">
    <w:name w:val="HTML Acronym"/>
    <w:basedOn w:val="12"/>
    <w:qFormat/>
    <w:uiPriority w:val="0"/>
  </w:style>
  <w:style w:type="character" w:styleId="19">
    <w:name w:val="HTML Variable"/>
    <w:basedOn w:val="12"/>
    <w:qFormat/>
    <w:uiPriority w:val="0"/>
  </w:style>
  <w:style w:type="character" w:styleId="20">
    <w:name w:val="Hyperlink"/>
    <w:basedOn w:val="12"/>
    <w:qFormat/>
    <w:uiPriority w:val="0"/>
    <w:rPr>
      <w:color w:val="0000FF"/>
      <w:u w:val="none"/>
    </w:rPr>
  </w:style>
  <w:style w:type="character" w:styleId="21">
    <w:name w:val="HTML Code"/>
    <w:basedOn w:val="12"/>
    <w:qFormat/>
    <w:uiPriority w:val="0"/>
    <w:rPr>
      <w:rFonts w:hint="default" w:ascii="monospace" w:hAnsi="monospace" w:eastAsia="monospace" w:cs="monospace"/>
      <w:sz w:val="20"/>
    </w:rPr>
  </w:style>
  <w:style w:type="character" w:styleId="22">
    <w:name w:val="HTML Cite"/>
    <w:basedOn w:val="12"/>
    <w:qFormat/>
    <w:uiPriority w:val="0"/>
  </w:style>
  <w:style w:type="character" w:styleId="23">
    <w:name w:val="HTML Keyboard"/>
    <w:basedOn w:val="12"/>
    <w:qFormat/>
    <w:uiPriority w:val="0"/>
    <w:rPr>
      <w:rFonts w:ascii="monospace" w:hAnsi="monospace" w:eastAsia="monospace" w:cs="monospace"/>
      <w:sz w:val="20"/>
    </w:rPr>
  </w:style>
  <w:style w:type="character" w:styleId="24">
    <w:name w:val="HTML Sample"/>
    <w:basedOn w:val="12"/>
    <w:qFormat/>
    <w:uiPriority w:val="0"/>
    <w:rPr>
      <w:rFonts w:hint="default" w:ascii="monospace" w:hAnsi="monospace" w:eastAsia="monospace" w:cs="monospace"/>
    </w:rPr>
  </w:style>
  <w:style w:type="paragraph" w:customStyle="1" w:styleId="25">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缺省文本"/>
    <w:qFormat/>
    <w:uiPriority w:val="0"/>
    <w:pPr>
      <w:widowControl w:val="0"/>
      <w:autoSpaceDE w:val="0"/>
      <w:autoSpaceDN w:val="0"/>
      <w:adjustRightInd w:val="0"/>
    </w:pPr>
    <w:rPr>
      <w:rFonts w:ascii="Calibri" w:hAnsi="Calibri" w:eastAsia="宋体" w:cs="Times New Roman"/>
      <w:color w:val="000000"/>
      <w:sz w:val="21"/>
      <w:szCs w:val="24"/>
      <w:lang w:val="en-US" w:eastAsia="zh-CN" w:bidi="ar-SA"/>
    </w:rPr>
  </w:style>
  <w:style w:type="character" w:customStyle="1" w:styleId="27">
    <w:name w:val="NormalCharacter"/>
    <w:link w:val="28"/>
    <w:qFormat/>
    <w:uiPriority w:val="0"/>
    <w:rPr>
      <w:rFonts w:ascii="Times New Roman" w:hAnsi="Times New Roman" w:eastAsia="宋体"/>
      <w:kern w:val="2"/>
      <w:sz w:val="21"/>
      <w:szCs w:val="24"/>
      <w:lang w:val="en-US" w:eastAsia="zh-CN" w:bidi="ar-SA"/>
    </w:rPr>
  </w:style>
  <w:style w:type="paragraph" w:customStyle="1" w:styleId="28">
    <w:name w:val="UserStyle_2"/>
    <w:basedOn w:val="1"/>
    <w:link w:val="27"/>
    <w:qFormat/>
    <w:uiPriority w:val="0"/>
    <w:pPr>
      <w:jc w:val="both"/>
      <w:textAlignment w:val="baseline"/>
    </w:pPr>
    <w:rPr>
      <w:rFonts w:ascii="Times New Roman" w:hAnsi="Times New Roman"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1422</Words>
  <Characters>1665</Characters>
  <Lines>0</Lines>
  <Paragraphs>0</Paragraphs>
  <TotalTime>40</TotalTime>
  <ScaleCrop>false</ScaleCrop>
  <LinksUpToDate>false</LinksUpToDate>
  <CharactersWithSpaces>1725</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dc:creator>
  <cp:lastModifiedBy>z</cp:lastModifiedBy>
  <cp:lastPrinted>2022-04-19T11:53:00Z</cp:lastPrinted>
  <dcterms:modified xsi:type="dcterms:W3CDTF">2022-05-19T10:34:10Z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CD5202B28BA44A0EBA9BFB4A65052210</vt:lpwstr>
  </property>
</Properties>
</file>