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rPr>
          <w:rFonts w:ascii="Times New Roman"/>
          <w:sz w:val="20"/>
        </w:rPr>
      </w:pPr>
    </w:p>
    <w:p>
      <w:pPr>
        <w:pStyle w:val="7"/>
        <w:ind w:left="0"/>
        <w:rPr>
          <w:rFonts w:ascii="Times New Roman"/>
          <w:sz w:val="20"/>
        </w:rPr>
      </w:pPr>
    </w:p>
    <w:p>
      <w:pPr>
        <w:pStyle w:val="7"/>
        <w:ind w:left="0"/>
        <w:rPr>
          <w:rFonts w:ascii="Times New Roman"/>
          <w:sz w:val="20"/>
        </w:rPr>
      </w:pPr>
    </w:p>
    <w:p>
      <w:pPr>
        <w:pStyle w:val="7"/>
        <w:ind w:left="0"/>
        <w:rPr>
          <w:rFonts w:ascii="Times New Roman"/>
          <w:sz w:val="20"/>
        </w:rPr>
      </w:pPr>
    </w:p>
    <w:p>
      <w:pPr>
        <w:pStyle w:val="7"/>
        <w:ind w:left="0"/>
        <w:rPr>
          <w:rFonts w:ascii="Times New Roman"/>
          <w:sz w:val="20"/>
        </w:rPr>
      </w:pPr>
    </w:p>
    <w:p>
      <w:pPr>
        <w:pStyle w:val="7"/>
        <w:ind w:left="0"/>
        <w:rPr>
          <w:rFonts w:ascii="Times New Roman"/>
          <w:sz w:val="20"/>
        </w:rPr>
      </w:pPr>
    </w:p>
    <w:p>
      <w:pPr>
        <w:pStyle w:val="7"/>
        <w:ind w:left="0"/>
        <w:rPr>
          <w:rFonts w:ascii="Times New Roman"/>
          <w:sz w:val="20"/>
        </w:rPr>
      </w:pPr>
    </w:p>
    <w:p>
      <w:pPr>
        <w:pStyle w:val="7"/>
        <w:ind w:left="0"/>
        <w:jc w:val="center"/>
        <w:rPr>
          <w:rFonts w:ascii="Times New Roman"/>
          <w:sz w:val="28"/>
          <w:szCs w:val="28"/>
        </w:rPr>
      </w:pPr>
      <w:r>
        <w:rPr>
          <w:rFonts w:hint="eastAsia" w:ascii="Times New Roman"/>
          <w:sz w:val="28"/>
          <w:szCs w:val="28"/>
        </w:rPr>
        <w:t>公开招标</w:t>
      </w:r>
    </w:p>
    <w:p>
      <w:pPr>
        <w:pStyle w:val="7"/>
        <w:ind w:left="0"/>
        <w:rPr>
          <w:rFonts w:ascii="Times New Roman"/>
          <w:sz w:val="20"/>
        </w:rPr>
      </w:pPr>
    </w:p>
    <w:p>
      <w:pPr>
        <w:pStyle w:val="7"/>
        <w:ind w:left="0"/>
        <w:rPr>
          <w:rFonts w:ascii="Times New Roman"/>
          <w:sz w:val="20"/>
        </w:rPr>
      </w:pPr>
    </w:p>
    <w:p>
      <w:pPr>
        <w:tabs>
          <w:tab w:val="left" w:pos="3868"/>
          <w:tab w:val="left" w:pos="5555"/>
          <w:tab w:val="left" w:pos="7242"/>
        </w:tabs>
        <w:spacing w:before="121"/>
        <w:ind w:left="2180"/>
        <w:rPr>
          <w:b/>
          <w:sz w:val="84"/>
        </w:rPr>
      </w:pPr>
      <w:r>
        <w:rPr>
          <w:b/>
          <w:sz w:val="84"/>
        </w:rPr>
        <w:t>采</w:t>
      </w:r>
      <w:r>
        <w:rPr>
          <w:b/>
          <w:sz w:val="84"/>
        </w:rPr>
        <w:tab/>
      </w:r>
      <w:r>
        <w:rPr>
          <w:b/>
          <w:sz w:val="84"/>
        </w:rPr>
        <w:t>购</w:t>
      </w:r>
      <w:r>
        <w:rPr>
          <w:b/>
          <w:sz w:val="84"/>
        </w:rPr>
        <w:tab/>
      </w:r>
      <w:r>
        <w:rPr>
          <w:b/>
          <w:sz w:val="84"/>
        </w:rPr>
        <w:t>文</w:t>
      </w:r>
      <w:r>
        <w:rPr>
          <w:b/>
          <w:sz w:val="84"/>
        </w:rPr>
        <w:tab/>
      </w:r>
      <w:r>
        <w:rPr>
          <w:b/>
          <w:sz w:val="84"/>
        </w:rPr>
        <w:t>件</w:t>
      </w:r>
    </w:p>
    <w:p>
      <w:pPr>
        <w:pStyle w:val="7"/>
        <w:ind w:left="0"/>
        <w:rPr>
          <w:b/>
          <w:sz w:val="84"/>
        </w:rPr>
      </w:pPr>
    </w:p>
    <w:p>
      <w:pPr>
        <w:pStyle w:val="7"/>
        <w:ind w:left="0"/>
        <w:rPr>
          <w:b/>
          <w:sz w:val="84"/>
        </w:rPr>
      </w:pPr>
    </w:p>
    <w:p>
      <w:pPr>
        <w:pStyle w:val="7"/>
        <w:ind w:left="0"/>
        <w:rPr>
          <w:b/>
          <w:sz w:val="84"/>
        </w:rPr>
      </w:pPr>
    </w:p>
    <w:p>
      <w:pPr>
        <w:pStyle w:val="7"/>
        <w:spacing w:before="10"/>
        <w:ind w:left="0"/>
        <w:rPr>
          <w:b/>
          <w:sz w:val="86"/>
        </w:rPr>
      </w:pPr>
    </w:p>
    <w:p>
      <w:pPr>
        <w:spacing w:before="1"/>
        <w:ind w:firstLine="723" w:firstLineChars="200"/>
        <w:rPr>
          <w:rFonts w:hint="default" w:ascii="Arial" w:eastAsia="宋体"/>
          <w:b/>
          <w:color w:val="FF0000"/>
          <w:sz w:val="36"/>
          <w:lang w:val="en-US" w:eastAsia="zh-CN"/>
        </w:rPr>
      </w:pPr>
      <w:r>
        <w:rPr>
          <w:b/>
          <w:sz w:val="36"/>
        </w:rPr>
        <w:t>项目编</w:t>
      </w:r>
      <w:r>
        <w:rPr>
          <w:b/>
          <w:color w:val="auto"/>
          <w:sz w:val="36"/>
        </w:rPr>
        <w:t>号：</w:t>
      </w:r>
      <w:r>
        <w:rPr>
          <w:rFonts w:hint="eastAsia"/>
          <w:b/>
          <w:color w:val="auto"/>
          <w:sz w:val="36"/>
          <w:lang w:val="en-US" w:eastAsia="zh-CN"/>
        </w:rPr>
        <w:t>FZYL202212</w:t>
      </w:r>
    </w:p>
    <w:p>
      <w:pPr>
        <w:spacing w:before="357" w:line="424" w:lineRule="auto"/>
        <w:ind w:left="2524" w:leftChars="326" w:right="234" w:hanging="1807" w:hangingChars="500"/>
        <w:rPr>
          <w:rFonts w:hint="eastAsia" w:eastAsia="宋体"/>
          <w:b/>
          <w:sz w:val="36"/>
          <w:lang w:val="en-US" w:eastAsia="zh-CN"/>
        </w:rPr>
      </w:pPr>
      <w:r>
        <w:rPr>
          <w:b/>
          <w:sz w:val="36"/>
        </w:rPr>
        <w:t>项目名称：</w:t>
      </w:r>
      <w:r>
        <w:rPr>
          <w:rFonts w:hint="eastAsia"/>
          <w:b/>
          <w:sz w:val="36"/>
          <w:lang w:eastAsia="zh-CN"/>
        </w:rPr>
        <w:t>尼勒克县人民医院医疗服务与保障能力提升项目（包二）</w:t>
      </w:r>
      <w:r>
        <w:rPr>
          <w:rFonts w:hint="eastAsia"/>
          <w:b/>
          <w:sz w:val="36"/>
          <w:lang w:val="en-US" w:eastAsia="zh-CN"/>
        </w:rPr>
        <w:t xml:space="preserve"> </w:t>
      </w:r>
    </w:p>
    <w:p>
      <w:pPr>
        <w:spacing w:before="357" w:line="424" w:lineRule="auto"/>
        <w:ind w:left="2524" w:leftChars="326" w:right="234" w:hanging="1807" w:hangingChars="500"/>
        <w:rPr>
          <w:rFonts w:hint="eastAsia" w:eastAsia="宋体"/>
          <w:b/>
          <w:sz w:val="36"/>
          <w:lang w:eastAsia="zh-CN"/>
        </w:rPr>
      </w:pPr>
      <w:r>
        <w:rPr>
          <w:b/>
          <w:sz w:val="36"/>
        </w:rPr>
        <w:t>委托单位：</w:t>
      </w:r>
      <w:r>
        <w:rPr>
          <w:rFonts w:hint="eastAsia"/>
          <w:b/>
          <w:sz w:val="36"/>
          <w:lang w:eastAsia="zh-CN"/>
        </w:rPr>
        <w:t>尼勒克县人民医院</w:t>
      </w:r>
    </w:p>
    <w:p>
      <w:pPr>
        <w:spacing w:before="4" w:line="424" w:lineRule="auto"/>
        <w:ind w:right="1710" w:firstLine="723" w:firstLineChars="200"/>
        <w:jc w:val="both"/>
        <w:rPr>
          <w:b/>
          <w:sz w:val="36"/>
        </w:rPr>
      </w:pPr>
      <w:r>
        <w:rPr>
          <w:rFonts w:hint="eastAsia"/>
          <w:b/>
          <w:sz w:val="36"/>
        </w:rPr>
        <w:t>采购代理：法正项目管理集团有限公司</w:t>
      </w:r>
    </w:p>
    <w:p>
      <w:pPr>
        <w:pStyle w:val="5"/>
        <w:rPr>
          <w:sz w:val="36"/>
        </w:rPr>
      </w:pPr>
    </w:p>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pStyle w:val="5"/>
      </w:pPr>
    </w:p>
    <w:p>
      <w:pPr>
        <w:tabs>
          <w:tab w:val="left" w:pos="1267"/>
        </w:tabs>
        <w:spacing w:before="37"/>
        <w:ind w:right="18"/>
        <w:jc w:val="center"/>
        <w:rPr>
          <w:b/>
          <w:sz w:val="36"/>
        </w:rPr>
      </w:pPr>
      <w:bookmarkStart w:id="0" w:name="_bookmark0"/>
      <w:bookmarkEnd w:id="0"/>
      <w:r>
        <w:rPr>
          <w:b/>
          <w:sz w:val="36"/>
        </w:rPr>
        <w:t>目</w:t>
      </w:r>
      <w:r>
        <w:rPr>
          <w:b/>
          <w:sz w:val="36"/>
        </w:rPr>
        <w:tab/>
      </w:r>
      <w:r>
        <w:rPr>
          <w:b/>
          <w:sz w:val="36"/>
        </w:rPr>
        <w:t>录</w:t>
      </w:r>
    </w:p>
    <w:p>
      <w:pPr>
        <w:pStyle w:val="14"/>
        <w:tabs>
          <w:tab w:val="right" w:leader="dot" w:pos="9998"/>
        </w:tabs>
        <w:spacing w:before="250"/>
        <w:rPr>
          <w:rFonts w:ascii="Times New Roman" w:eastAsia="Times New Roman"/>
        </w:rPr>
      </w:pPr>
      <w:r>
        <w:fldChar w:fldCharType="begin"/>
      </w:r>
      <w:r>
        <w:instrText xml:space="preserve"> HYPERLINK \l "_bookmark0" </w:instrText>
      </w:r>
      <w:r>
        <w:fldChar w:fldCharType="separate"/>
      </w:r>
      <w:r>
        <w:t>第一</w:t>
      </w:r>
      <w:r>
        <w:rPr>
          <w:spacing w:val="-3"/>
        </w:rPr>
        <w:t>部</w:t>
      </w:r>
      <w:r>
        <w:t>分</w:t>
      </w:r>
      <w:r>
        <w:rPr>
          <w:rFonts w:hint="eastAsia"/>
          <w:lang w:val="en-US"/>
        </w:rPr>
        <w:t xml:space="preserve">  </w:t>
      </w:r>
      <w:r>
        <w:rPr>
          <w:rFonts w:hint="eastAsia"/>
        </w:rPr>
        <w:t>招标公告</w:t>
      </w:r>
      <w:r>
        <w:tab/>
      </w:r>
      <w:r>
        <w:rPr>
          <w:rFonts w:hint="eastAsia" w:ascii="Times New Roman"/>
          <w:lang w:val="en-US" w:eastAsia="zh-CN"/>
        </w:rPr>
        <w:t>3</w:t>
      </w:r>
      <w:r>
        <w:rPr>
          <w:rFonts w:hint="eastAsia" w:ascii="Times New Roman"/>
          <w:lang w:val="en-US"/>
        </w:rPr>
        <w:fldChar w:fldCharType="end"/>
      </w:r>
    </w:p>
    <w:p>
      <w:pPr>
        <w:pStyle w:val="14"/>
        <w:tabs>
          <w:tab w:val="left" w:pos="1309"/>
          <w:tab w:val="right" w:leader="dot" w:pos="9998"/>
        </w:tabs>
        <w:rPr>
          <w:rFonts w:ascii="Times New Roman" w:eastAsia="Times New Roman"/>
        </w:rPr>
      </w:pPr>
      <w:r>
        <w:fldChar w:fldCharType="begin"/>
      </w:r>
      <w:r>
        <w:instrText xml:space="preserve"> HYPERLINK \l "_bookmark1" </w:instrText>
      </w:r>
      <w:r>
        <w:fldChar w:fldCharType="separate"/>
      </w:r>
      <w:r>
        <w:t>第二</w:t>
      </w:r>
      <w:r>
        <w:rPr>
          <w:spacing w:val="-3"/>
        </w:rPr>
        <w:t>部</w:t>
      </w:r>
      <w:r>
        <w:t>分</w:t>
      </w:r>
      <w:r>
        <w:tab/>
      </w:r>
      <w:r>
        <w:t>供应商</w:t>
      </w:r>
      <w:r>
        <w:rPr>
          <w:spacing w:val="-3"/>
        </w:rPr>
        <w:t>须知</w:t>
      </w:r>
      <w:r>
        <w:rPr>
          <w:spacing w:val="-3"/>
        </w:rPr>
        <w:tab/>
      </w:r>
      <w:r>
        <w:rPr>
          <w:rFonts w:hint="eastAsia" w:ascii="Times New Roman"/>
          <w:lang w:val="en-US" w:eastAsia="zh-CN"/>
        </w:rPr>
        <w:t>4</w:t>
      </w:r>
      <w:r>
        <w:rPr>
          <w:rFonts w:hint="eastAsia" w:ascii="Times New Roman"/>
          <w:lang w:val="en-US"/>
        </w:rPr>
        <w:fldChar w:fldCharType="end"/>
      </w:r>
    </w:p>
    <w:p>
      <w:pPr>
        <w:pStyle w:val="16"/>
        <w:numPr>
          <w:ilvl w:val="0"/>
          <w:numId w:val="1"/>
        </w:numPr>
        <w:tabs>
          <w:tab w:val="left" w:pos="1031"/>
          <w:tab w:val="right" w:leader="dot" w:pos="9998"/>
        </w:tabs>
        <w:spacing w:before="142"/>
        <w:ind w:hanging="350"/>
        <w:rPr>
          <w:rFonts w:ascii="Times New Roman" w:eastAsia="Times New Roman"/>
        </w:rPr>
      </w:pPr>
      <w:r>
        <w:fldChar w:fldCharType="begin"/>
      </w:r>
      <w:r>
        <w:instrText xml:space="preserve"> HYPERLINK \l "_bookmark2" </w:instrText>
      </w:r>
      <w:r>
        <w:fldChar w:fldCharType="separate"/>
      </w:r>
      <w:r>
        <w:t>说明</w:t>
      </w:r>
      <w:r>
        <w:tab/>
      </w:r>
      <w:r>
        <w:rPr>
          <w:rFonts w:hint="eastAsia" w:ascii="Times New Roman"/>
          <w:lang w:val="en-US"/>
        </w:rPr>
        <w:t>1</w:t>
      </w:r>
      <w:r>
        <w:rPr>
          <w:rFonts w:hint="eastAsia" w:ascii="Times New Roman"/>
          <w:lang w:val="en-US"/>
        </w:rPr>
        <w:fldChar w:fldCharType="end"/>
      </w:r>
      <w:r>
        <w:rPr>
          <w:rFonts w:hint="eastAsia" w:ascii="Times New Roman"/>
          <w:lang w:val="en-US" w:eastAsia="zh-CN"/>
        </w:rPr>
        <w:t>0</w:t>
      </w:r>
    </w:p>
    <w:p>
      <w:pPr>
        <w:pStyle w:val="16"/>
        <w:numPr>
          <w:ilvl w:val="0"/>
          <w:numId w:val="1"/>
        </w:numPr>
        <w:tabs>
          <w:tab w:val="left" w:pos="1030"/>
          <w:tab w:val="left" w:pos="1031"/>
          <w:tab w:val="right" w:leader="dot" w:pos="9998"/>
        </w:tabs>
        <w:spacing w:before="138"/>
        <w:ind w:hanging="350"/>
        <w:rPr>
          <w:rFonts w:ascii="Times New Roman" w:eastAsia="Times New Roman"/>
        </w:rPr>
      </w:pPr>
      <w:r>
        <w:fldChar w:fldCharType="begin"/>
      </w:r>
      <w:r>
        <w:instrText xml:space="preserve"> HYPERLINK \l "_bookmark3" </w:instrText>
      </w:r>
      <w:r>
        <w:fldChar w:fldCharType="separate"/>
      </w:r>
      <w:r>
        <w:t>采</w:t>
      </w:r>
      <w:r>
        <w:rPr>
          <w:spacing w:val="-3"/>
        </w:rPr>
        <w:t>购</w:t>
      </w:r>
      <w:r>
        <w:t>文件</w:t>
      </w:r>
      <w:r>
        <w:tab/>
      </w:r>
      <w:r>
        <w:rPr>
          <w:rFonts w:hint="eastAsia" w:ascii="Times New Roman"/>
          <w:lang w:val="en-US"/>
        </w:rPr>
        <w:t>1</w:t>
      </w:r>
      <w:r>
        <w:rPr>
          <w:rFonts w:hint="eastAsia" w:ascii="Times New Roman"/>
          <w:lang w:val="en-US"/>
        </w:rPr>
        <w:fldChar w:fldCharType="end"/>
      </w:r>
      <w:r>
        <w:rPr>
          <w:rFonts w:hint="eastAsia" w:ascii="Times New Roman"/>
          <w:lang w:val="en-US" w:eastAsia="zh-CN"/>
        </w:rPr>
        <w:t>0</w:t>
      </w:r>
    </w:p>
    <w:p>
      <w:pPr>
        <w:pStyle w:val="16"/>
        <w:numPr>
          <w:ilvl w:val="0"/>
          <w:numId w:val="1"/>
        </w:numPr>
        <w:tabs>
          <w:tab w:val="left" w:pos="1030"/>
          <w:tab w:val="left" w:pos="1031"/>
          <w:tab w:val="right" w:leader="dot" w:pos="9993"/>
        </w:tabs>
        <w:ind w:hanging="350"/>
        <w:rPr>
          <w:rFonts w:ascii="Times New Roman" w:eastAsia="Times New Roman"/>
        </w:rPr>
      </w:pPr>
      <w:r>
        <w:fldChar w:fldCharType="begin"/>
      </w:r>
      <w:r>
        <w:instrText xml:space="preserve"> HYPERLINK \l "_bookmark4" </w:instrText>
      </w:r>
      <w:r>
        <w:fldChar w:fldCharType="separate"/>
      </w:r>
      <w:r>
        <w:t>投</w:t>
      </w:r>
      <w:r>
        <w:rPr>
          <w:spacing w:val="-3"/>
        </w:rPr>
        <w:t>标</w:t>
      </w:r>
      <w:r>
        <w:t>文</w:t>
      </w:r>
      <w:r>
        <w:rPr>
          <w:spacing w:val="-3"/>
        </w:rPr>
        <w:t>件</w:t>
      </w:r>
      <w:r>
        <w:t>的</w:t>
      </w:r>
      <w:r>
        <w:rPr>
          <w:spacing w:val="-3"/>
        </w:rPr>
        <w:t>编</w:t>
      </w:r>
      <w:r>
        <w:t>写</w:t>
      </w:r>
      <w:r>
        <w:tab/>
      </w:r>
      <w:r>
        <w:rPr>
          <w:rFonts w:hint="eastAsia" w:ascii="Times New Roman"/>
          <w:spacing w:val="-8"/>
          <w:lang w:val="en-US"/>
        </w:rPr>
        <w:t>1</w:t>
      </w:r>
      <w:r>
        <w:rPr>
          <w:rFonts w:hint="eastAsia" w:ascii="Times New Roman"/>
          <w:spacing w:val="-8"/>
          <w:lang w:val="en-US"/>
        </w:rPr>
        <w:fldChar w:fldCharType="end"/>
      </w:r>
      <w:r>
        <w:rPr>
          <w:rFonts w:hint="eastAsia" w:ascii="Times New Roman"/>
          <w:spacing w:val="-8"/>
          <w:lang w:val="en-US" w:eastAsia="zh-CN"/>
        </w:rPr>
        <w:t>1</w:t>
      </w:r>
    </w:p>
    <w:p>
      <w:pPr>
        <w:pStyle w:val="16"/>
        <w:numPr>
          <w:ilvl w:val="0"/>
          <w:numId w:val="1"/>
        </w:numPr>
        <w:tabs>
          <w:tab w:val="left" w:pos="1042"/>
          <w:tab w:val="left" w:pos="1043"/>
          <w:tab w:val="right" w:leader="dot" w:pos="9998"/>
        </w:tabs>
        <w:spacing w:before="142"/>
        <w:ind w:left="1042" w:hanging="362"/>
        <w:rPr>
          <w:rFonts w:ascii="Times New Roman" w:eastAsia="Times New Roman"/>
        </w:rPr>
      </w:pPr>
      <w:r>
        <w:fldChar w:fldCharType="begin"/>
      </w:r>
      <w:r>
        <w:instrText xml:space="preserve"> HYPERLINK \l "_bookmark5" </w:instrText>
      </w:r>
      <w:r>
        <w:fldChar w:fldCharType="separate"/>
      </w:r>
      <w:r>
        <w:t>投</w:t>
      </w:r>
      <w:r>
        <w:rPr>
          <w:spacing w:val="-3"/>
        </w:rPr>
        <w:t>标</w:t>
      </w:r>
      <w:r>
        <w:t>文</w:t>
      </w:r>
      <w:r>
        <w:rPr>
          <w:spacing w:val="-3"/>
        </w:rPr>
        <w:t>件</w:t>
      </w:r>
      <w:r>
        <w:t>的</w:t>
      </w:r>
      <w:r>
        <w:rPr>
          <w:spacing w:val="-3"/>
        </w:rPr>
        <w:t>递</w:t>
      </w:r>
      <w:r>
        <w:t>交</w:t>
      </w:r>
      <w:r>
        <w:tab/>
      </w:r>
      <w:r>
        <w:rPr>
          <w:rFonts w:hint="eastAsia" w:ascii="Times New Roman"/>
          <w:lang w:val="en-US"/>
        </w:rPr>
        <w:t>1</w:t>
      </w:r>
      <w:r>
        <w:rPr>
          <w:rFonts w:hint="eastAsia" w:ascii="Times New Roman"/>
          <w:lang w:val="en-US"/>
        </w:rPr>
        <w:fldChar w:fldCharType="end"/>
      </w:r>
      <w:r>
        <w:rPr>
          <w:rFonts w:hint="eastAsia" w:ascii="Times New Roman"/>
          <w:lang w:val="en-US" w:eastAsia="zh-CN"/>
        </w:rPr>
        <w:t>4</w:t>
      </w:r>
    </w:p>
    <w:p>
      <w:pPr>
        <w:pStyle w:val="16"/>
        <w:numPr>
          <w:ilvl w:val="0"/>
          <w:numId w:val="1"/>
        </w:numPr>
        <w:tabs>
          <w:tab w:val="left" w:pos="1018"/>
          <w:tab w:val="left" w:pos="1019"/>
          <w:tab w:val="right" w:leader="dot" w:pos="9998"/>
        </w:tabs>
        <w:ind w:left="1018" w:hanging="338"/>
        <w:rPr>
          <w:rFonts w:ascii="Times New Roman" w:eastAsia="Times New Roman"/>
        </w:rPr>
      </w:pPr>
      <w:r>
        <w:fldChar w:fldCharType="begin"/>
      </w:r>
      <w:r>
        <w:instrText xml:space="preserve"> HYPERLINK \l "_bookmark6" </w:instrText>
      </w:r>
      <w:r>
        <w:fldChar w:fldCharType="separate"/>
      </w:r>
      <w:r>
        <w:t>评</w:t>
      </w:r>
      <w:r>
        <w:rPr>
          <w:spacing w:val="-3"/>
        </w:rPr>
        <w:t>标</w:t>
      </w:r>
      <w:r>
        <w:t>程序</w:t>
      </w:r>
      <w:r>
        <w:tab/>
      </w:r>
      <w:r>
        <w:rPr>
          <w:rFonts w:hint="eastAsia" w:ascii="Times New Roman"/>
          <w:lang w:val="en-US"/>
        </w:rPr>
        <w:t>1</w:t>
      </w:r>
      <w:r>
        <w:rPr>
          <w:rFonts w:hint="eastAsia" w:ascii="Times New Roman"/>
          <w:lang w:val="en-US"/>
        </w:rPr>
        <w:fldChar w:fldCharType="end"/>
      </w:r>
      <w:r>
        <w:rPr>
          <w:rFonts w:hint="eastAsia" w:ascii="Times New Roman"/>
          <w:lang w:val="en-US" w:eastAsia="zh-CN"/>
        </w:rPr>
        <w:t>5</w:t>
      </w:r>
    </w:p>
    <w:p>
      <w:pPr>
        <w:pStyle w:val="16"/>
        <w:numPr>
          <w:ilvl w:val="0"/>
          <w:numId w:val="1"/>
        </w:numPr>
        <w:tabs>
          <w:tab w:val="left" w:pos="1004"/>
          <w:tab w:val="left" w:pos="1005"/>
          <w:tab w:val="right" w:leader="dot" w:pos="9998"/>
        </w:tabs>
        <w:spacing w:before="141"/>
        <w:ind w:left="1004" w:hanging="324"/>
        <w:rPr>
          <w:rFonts w:ascii="Times New Roman" w:eastAsia="Times New Roman"/>
        </w:rPr>
      </w:pPr>
      <w:r>
        <w:fldChar w:fldCharType="begin"/>
      </w:r>
      <w:r>
        <w:instrText xml:space="preserve"> HYPERLINK \l "_bookmark7" </w:instrText>
      </w:r>
      <w:r>
        <w:fldChar w:fldCharType="separate"/>
      </w:r>
      <w:r>
        <w:t>授予合同</w:t>
      </w:r>
      <w:r>
        <w:tab/>
      </w:r>
      <w:r>
        <w:rPr>
          <w:rFonts w:hint="eastAsia" w:ascii="Times New Roman"/>
          <w:lang w:val="en-US" w:eastAsia="zh-CN"/>
        </w:rPr>
        <w:t>1</w:t>
      </w:r>
      <w:r>
        <w:rPr>
          <w:rFonts w:hint="eastAsia" w:ascii="Times New Roman"/>
          <w:lang w:val="en-US"/>
        </w:rPr>
        <w:fldChar w:fldCharType="end"/>
      </w:r>
      <w:r>
        <w:rPr>
          <w:rFonts w:hint="eastAsia" w:ascii="Times New Roman"/>
          <w:lang w:val="en-US" w:eastAsia="zh-CN"/>
        </w:rPr>
        <w:t>9</w:t>
      </w:r>
    </w:p>
    <w:p>
      <w:pPr>
        <w:pStyle w:val="16"/>
        <w:numPr>
          <w:ilvl w:val="0"/>
          <w:numId w:val="1"/>
        </w:numPr>
        <w:tabs>
          <w:tab w:val="left" w:pos="1042"/>
          <w:tab w:val="left" w:pos="1043"/>
          <w:tab w:val="right" w:leader="dot" w:pos="9998"/>
        </w:tabs>
        <w:spacing w:before="140"/>
        <w:ind w:left="1042" w:hanging="362"/>
        <w:rPr>
          <w:rFonts w:ascii="Times New Roman" w:eastAsia="Times New Roman"/>
        </w:rPr>
      </w:pPr>
      <w:r>
        <w:fldChar w:fldCharType="begin"/>
      </w:r>
      <w:r>
        <w:instrText xml:space="preserve"> HYPERLINK \l "_bookmark8" </w:instrText>
      </w:r>
      <w:r>
        <w:fldChar w:fldCharType="separate"/>
      </w:r>
      <w:r>
        <w:t>招</w:t>
      </w:r>
      <w:r>
        <w:rPr>
          <w:spacing w:val="-3"/>
        </w:rPr>
        <w:t>标</w:t>
      </w:r>
      <w:r>
        <w:t>失</w:t>
      </w:r>
      <w:r>
        <w:rPr>
          <w:spacing w:val="-3"/>
        </w:rPr>
        <w:t>败</w:t>
      </w:r>
      <w:r>
        <w:t>条件</w:t>
      </w:r>
      <w:r>
        <w:tab/>
      </w:r>
      <w:r>
        <w:rPr>
          <w:rFonts w:hint="eastAsia" w:ascii="Times New Roman"/>
          <w:lang w:val="en-US" w:eastAsia="zh-CN"/>
        </w:rPr>
        <w:t>1</w:t>
      </w:r>
      <w:r>
        <w:rPr>
          <w:rFonts w:hint="eastAsia" w:ascii="Times New Roman"/>
          <w:lang w:val="en-US"/>
        </w:rPr>
        <w:fldChar w:fldCharType="end"/>
      </w:r>
      <w:r>
        <w:rPr>
          <w:rFonts w:hint="eastAsia" w:ascii="Times New Roman"/>
          <w:lang w:val="en-US" w:eastAsia="zh-CN"/>
        </w:rPr>
        <w:t>9</w:t>
      </w:r>
    </w:p>
    <w:p>
      <w:pPr>
        <w:pStyle w:val="14"/>
        <w:tabs>
          <w:tab w:val="left" w:pos="1309"/>
          <w:tab w:val="right" w:leader="dot" w:pos="9998"/>
        </w:tabs>
        <w:spacing w:before="141"/>
        <w:rPr>
          <w:rFonts w:hint="eastAsia" w:ascii="Times New Roman" w:eastAsia="宋体"/>
          <w:lang w:val="en-US" w:eastAsia="zh-CN"/>
        </w:rPr>
      </w:pPr>
      <w:r>
        <w:fldChar w:fldCharType="begin"/>
      </w:r>
      <w:r>
        <w:instrText xml:space="preserve"> HYPERLINK \l "_bookmark9" </w:instrText>
      </w:r>
      <w:r>
        <w:fldChar w:fldCharType="separate"/>
      </w:r>
      <w:r>
        <w:t>第三</w:t>
      </w:r>
      <w:r>
        <w:rPr>
          <w:spacing w:val="-3"/>
        </w:rPr>
        <w:t>部</w:t>
      </w:r>
      <w:r>
        <w:t>分</w:t>
      </w:r>
      <w:r>
        <w:tab/>
      </w:r>
      <w:r>
        <w:t>货物需</w:t>
      </w:r>
      <w:r>
        <w:rPr>
          <w:spacing w:val="-3"/>
        </w:rPr>
        <w:t>求</w:t>
      </w:r>
      <w:r>
        <w:t>及</w:t>
      </w:r>
      <w:r>
        <w:rPr>
          <w:spacing w:val="-3"/>
        </w:rPr>
        <w:t>技</w:t>
      </w:r>
      <w:r>
        <w:t>术要求</w:t>
      </w:r>
      <w:r>
        <w:tab/>
      </w:r>
      <w:r>
        <w:rPr>
          <w:rFonts w:hint="eastAsia" w:ascii="Times New Roman"/>
          <w:lang w:val="en-US"/>
        </w:rPr>
        <w:t>2</w:t>
      </w:r>
      <w:r>
        <w:rPr>
          <w:rFonts w:hint="eastAsia" w:ascii="Times New Roman"/>
          <w:lang w:val="en-US"/>
        </w:rPr>
        <w:fldChar w:fldCharType="end"/>
      </w:r>
      <w:r>
        <w:rPr>
          <w:rFonts w:hint="eastAsia" w:ascii="Times New Roman"/>
          <w:lang w:val="en-US" w:eastAsia="zh-CN"/>
        </w:rPr>
        <w:t>0</w:t>
      </w:r>
    </w:p>
    <w:p>
      <w:pPr>
        <w:pStyle w:val="14"/>
        <w:tabs>
          <w:tab w:val="left" w:pos="1309"/>
          <w:tab w:val="right" w:leader="dot" w:pos="9998"/>
        </w:tabs>
        <w:rPr>
          <w:rFonts w:hint="eastAsia" w:ascii="Times New Roman" w:eastAsia="宋体"/>
          <w:lang w:val="en-US" w:eastAsia="zh-CN"/>
        </w:rPr>
      </w:pPr>
      <w:r>
        <w:fldChar w:fldCharType="begin"/>
      </w:r>
      <w:r>
        <w:instrText xml:space="preserve"> HYPERLINK \l "_bookmark10" </w:instrText>
      </w:r>
      <w:r>
        <w:fldChar w:fldCharType="separate"/>
      </w:r>
      <w:r>
        <w:t>第四</w:t>
      </w:r>
      <w:r>
        <w:rPr>
          <w:spacing w:val="-3"/>
        </w:rPr>
        <w:t>部</w:t>
      </w:r>
      <w:r>
        <w:t>分</w:t>
      </w:r>
      <w:r>
        <w:tab/>
      </w:r>
      <w:r>
        <w:t>合同一</w:t>
      </w:r>
      <w:r>
        <w:rPr>
          <w:spacing w:val="-3"/>
        </w:rPr>
        <w:t>般</w:t>
      </w:r>
      <w:r>
        <w:t>条款</w:t>
      </w:r>
      <w:r>
        <w:tab/>
      </w:r>
      <w:r>
        <w:rPr>
          <w:rFonts w:hint="eastAsia" w:ascii="Times New Roman"/>
          <w:lang w:val="en-US"/>
        </w:rPr>
        <w:t>2</w:t>
      </w:r>
      <w:r>
        <w:rPr>
          <w:rFonts w:hint="eastAsia" w:ascii="Times New Roman"/>
          <w:lang w:val="en-US"/>
        </w:rPr>
        <w:fldChar w:fldCharType="end"/>
      </w:r>
      <w:r>
        <w:rPr>
          <w:rFonts w:hint="eastAsia" w:ascii="Times New Roman"/>
          <w:lang w:val="en-US" w:eastAsia="zh-CN"/>
        </w:rPr>
        <w:t>3</w:t>
      </w:r>
    </w:p>
    <w:p>
      <w:pPr>
        <w:pStyle w:val="14"/>
        <w:tabs>
          <w:tab w:val="left" w:pos="1309"/>
          <w:tab w:val="right" w:leader="dot" w:pos="9998"/>
        </w:tabs>
        <w:rPr>
          <w:rFonts w:hint="eastAsia" w:ascii="Times New Roman" w:eastAsia="宋体"/>
          <w:lang w:val="en-US" w:eastAsia="zh-CN"/>
        </w:rPr>
      </w:pPr>
      <w:r>
        <w:fldChar w:fldCharType="begin"/>
      </w:r>
      <w:r>
        <w:instrText xml:space="preserve"> HYPERLINK \l "_bookmark11" </w:instrText>
      </w:r>
      <w:r>
        <w:fldChar w:fldCharType="separate"/>
      </w:r>
      <w:r>
        <w:t>第五</w:t>
      </w:r>
      <w:r>
        <w:rPr>
          <w:spacing w:val="-3"/>
        </w:rPr>
        <w:t>部</w:t>
      </w:r>
      <w:r>
        <w:t>分</w:t>
      </w:r>
      <w:r>
        <w:tab/>
      </w:r>
      <w:r>
        <w:t>合同特</w:t>
      </w:r>
      <w:r>
        <w:rPr>
          <w:spacing w:val="-3"/>
        </w:rPr>
        <w:t>殊</w:t>
      </w:r>
      <w:r>
        <w:t>条款</w:t>
      </w:r>
      <w:r>
        <w:tab/>
      </w:r>
      <w:r>
        <w:rPr>
          <w:rFonts w:hint="eastAsia" w:ascii="Times New Roman"/>
          <w:lang w:val="en-US" w:eastAsia="zh-CN"/>
        </w:rPr>
        <w:t>2</w:t>
      </w:r>
      <w:r>
        <w:rPr>
          <w:rFonts w:hint="eastAsia" w:ascii="Times New Roman"/>
          <w:lang w:val="en-US"/>
        </w:rPr>
        <w:fldChar w:fldCharType="end"/>
      </w:r>
      <w:r>
        <w:rPr>
          <w:rFonts w:hint="eastAsia" w:ascii="Times New Roman"/>
          <w:lang w:val="en-US" w:eastAsia="zh-CN"/>
        </w:rPr>
        <w:t>9</w:t>
      </w:r>
    </w:p>
    <w:p>
      <w:pPr>
        <w:pStyle w:val="14"/>
        <w:tabs>
          <w:tab w:val="right" w:leader="dot" w:pos="9998"/>
        </w:tabs>
        <w:spacing w:before="141"/>
        <w:rPr>
          <w:rFonts w:hint="eastAsia" w:ascii="Times New Roman" w:eastAsia="宋体"/>
          <w:lang w:eastAsia="zh-CN"/>
        </w:rPr>
      </w:pPr>
      <w:r>
        <w:fldChar w:fldCharType="begin"/>
      </w:r>
      <w:r>
        <w:instrText xml:space="preserve"> HYPERLINK \l "_bookmark12" </w:instrText>
      </w:r>
      <w:r>
        <w:fldChar w:fldCharType="separate"/>
      </w:r>
      <w:r>
        <w:t>第六</w:t>
      </w:r>
      <w:r>
        <w:rPr>
          <w:spacing w:val="-3"/>
        </w:rPr>
        <w:t>部</w:t>
      </w:r>
      <w:r>
        <w:t>分范</w:t>
      </w:r>
      <w:r>
        <w:rPr>
          <w:spacing w:val="-3"/>
        </w:rPr>
        <w:t>本</w:t>
      </w:r>
      <w:r>
        <w:t>格式</w:t>
      </w:r>
      <w:r>
        <w:tab/>
      </w:r>
      <w:r>
        <w:rPr>
          <w:rFonts w:hint="eastAsia" w:ascii="Times New Roman"/>
          <w:lang w:val="en-US"/>
        </w:rPr>
        <w:t>3</w:t>
      </w:r>
      <w:r>
        <w:rPr>
          <w:rFonts w:hint="eastAsia" w:ascii="Times New Roman"/>
          <w:lang w:val="en-US"/>
        </w:rPr>
        <w:fldChar w:fldCharType="end"/>
      </w:r>
      <w:r>
        <w:rPr>
          <w:rFonts w:hint="eastAsia" w:ascii="Times New Roman"/>
          <w:lang w:val="en-US" w:eastAsia="zh-CN"/>
        </w:rPr>
        <w:t>1</w:t>
      </w: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p>
    <w:p>
      <w:pPr>
        <w:pStyle w:val="3"/>
        <w:spacing w:before="38"/>
        <w:ind w:left="3767" w:firstLine="643" w:firstLineChars="200"/>
        <w:jc w:val="both"/>
      </w:pPr>
      <w:r>
        <w:t>第一部分</w:t>
      </w:r>
    </w:p>
    <w:p>
      <w:pPr>
        <w:pStyle w:val="3"/>
        <w:spacing w:before="38"/>
        <w:jc w:val="center"/>
      </w:pPr>
      <w:r>
        <w:rPr>
          <w:rFonts w:hint="eastAsia"/>
          <w:lang w:eastAsia="zh-CN"/>
        </w:rPr>
        <w:t xml:space="preserve">尼勒克县人民医院医疗服务与保障能力提升项目（包二） </w:t>
      </w:r>
    </w:p>
    <w:p>
      <w:pPr>
        <w:pStyle w:val="3"/>
        <w:spacing w:before="38"/>
        <w:jc w:val="center"/>
      </w:pPr>
      <w:r>
        <w:rPr>
          <w:rFonts w:hint="eastAsia"/>
        </w:rPr>
        <w:t>招标公告</w:t>
      </w:r>
    </w:p>
    <w:p>
      <w:pPr>
        <w:spacing w:line="560" w:lineRule="exact"/>
        <w:rPr>
          <w:color w:val="FF0000"/>
          <w:sz w:val="24"/>
          <w:szCs w:val="24"/>
          <w:lang w:val="en-US"/>
        </w:rPr>
      </w:pPr>
      <w:bookmarkStart w:id="1" w:name="_bookmark1"/>
      <w:bookmarkEnd w:id="1"/>
      <w:r>
        <w:rPr>
          <w:rFonts w:hint="eastAsia"/>
          <w:sz w:val="24"/>
          <w:szCs w:val="24"/>
          <w:lang w:val="en-US"/>
        </w:rPr>
        <w:t>一、 招标项目编号：</w:t>
      </w:r>
      <w:r>
        <w:rPr>
          <w:rFonts w:hint="eastAsia"/>
          <w:color w:val="auto"/>
          <w:sz w:val="24"/>
          <w:szCs w:val="24"/>
          <w:lang w:val="en-US" w:eastAsia="zh-CN"/>
        </w:rPr>
        <w:t>FZYL202212</w:t>
      </w:r>
      <w:r>
        <w:rPr>
          <w:rFonts w:hint="eastAsia"/>
          <w:color w:val="FF0000"/>
          <w:sz w:val="24"/>
          <w:szCs w:val="24"/>
          <w:lang w:val="en-US"/>
        </w:rPr>
        <w:t> </w:t>
      </w:r>
    </w:p>
    <w:p>
      <w:pPr>
        <w:spacing w:line="560" w:lineRule="exact"/>
        <w:rPr>
          <w:sz w:val="24"/>
          <w:szCs w:val="24"/>
          <w:lang w:val="en-US"/>
        </w:rPr>
      </w:pPr>
      <w:r>
        <w:rPr>
          <w:rFonts w:hint="eastAsia"/>
          <w:sz w:val="24"/>
          <w:szCs w:val="24"/>
          <w:lang w:val="en-US"/>
        </w:rPr>
        <w:t>二、 采购组织类型：</w:t>
      </w:r>
      <w:r>
        <w:rPr>
          <w:rFonts w:hint="eastAsia"/>
          <w:sz w:val="24"/>
          <w:szCs w:val="24"/>
          <w:lang w:val="en-US" w:eastAsia="zh-CN"/>
        </w:rPr>
        <w:t>分散</w:t>
      </w:r>
      <w:r>
        <w:rPr>
          <w:rFonts w:hint="eastAsia"/>
          <w:sz w:val="24"/>
          <w:szCs w:val="24"/>
          <w:lang w:val="en-US"/>
        </w:rPr>
        <w:t>采购-委托中介机构 </w:t>
      </w:r>
    </w:p>
    <w:p>
      <w:pPr>
        <w:spacing w:line="560" w:lineRule="exact"/>
        <w:rPr>
          <w:sz w:val="24"/>
          <w:szCs w:val="24"/>
          <w:lang w:val="en-US"/>
        </w:rPr>
      </w:pPr>
      <w:r>
        <w:rPr>
          <w:rFonts w:hint="eastAsia"/>
          <w:sz w:val="24"/>
          <w:szCs w:val="24"/>
          <w:lang w:val="en-US"/>
        </w:rPr>
        <w:t>三、 招标项目概况</w:t>
      </w:r>
    </w:p>
    <w:tbl>
      <w:tblPr>
        <w:tblStyle w:val="19"/>
        <w:tblpPr w:leftFromText="180" w:rightFromText="180" w:vertAnchor="text" w:horzAnchor="page" w:tblpX="863" w:tblpY="36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07"/>
        <w:gridCol w:w="2961"/>
        <w:gridCol w:w="2216"/>
        <w:gridCol w:w="1726"/>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1307"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序号</w:t>
            </w:r>
          </w:p>
        </w:tc>
        <w:tc>
          <w:tcPr>
            <w:tcW w:w="2961"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eastAsia="zh-CN"/>
              </w:rPr>
              <w:t>标项</w:t>
            </w:r>
            <w:r>
              <w:rPr>
                <w:rFonts w:hint="eastAsia"/>
                <w:sz w:val="24"/>
                <w:szCs w:val="24"/>
                <w:lang w:val="en-US"/>
              </w:rPr>
              <w:t>名称</w:t>
            </w:r>
          </w:p>
        </w:tc>
        <w:tc>
          <w:tcPr>
            <w:tcW w:w="2216" w:type="dxa"/>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预算金额（</w:t>
            </w:r>
            <w:r>
              <w:rPr>
                <w:rFonts w:hint="eastAsia"/>
                <w:sz w:val="24"/>
                <w:szCs w:val="24"/>
                <w:lang w:val="en-US" w:eastAsia="zh-CN"/>
              </w:rPr>
              <w:t>万</w:t>
            </w:r>
            <w:r>
              <w:rPr>
                <w:rFonts w:hint="eastAsia"/>
                <w:sz w:val="24"/>
                <w:szCs w:val="24"/>
                <w:lang w:val="en-US"/>
              </w:rPr>
              <w:t>元）</w:t>
            </w:r>
          </w:p>
        </w:tc>
        <w:tc>
          <w:tcPr>
            <w:tcW w:w="1726" w:type="dxa"/>
            <w:tcMar>
              <w:top w:w="0" w:type="dxa"/>
              <w:left w:w="105" w:type="dxa"/>
              <w:bottom w:w="0" w:type="dxa"/>
              <w:right w:w="105" w:type="dxa"/>
            </w:tcMar>
            <w:vAlign w:val="center"/>
          </w:tcPr>
          <w:p>
            <w:pPr>
              <w:spacing w:line="560" w:lineRule="exact"/>
              <w:jc w:val="center"/>
              <w:rPr>
                <w:rFonts w:hint="eastAsia" w:eastAsia="宋体"/>
                <w:sz w:val="24"/>
                <w:szCs w:val="24"/>
                <w:lang w:val="en-US" w:eastAsia="zh-CN"/>
              </w:rPr>
            </w:pPr>
            <w:r>
              <w:rPr>
                <w:rFonts w:hint="eastAsia"/>
                <w:sz w:val="24"/>
                <w:szCs w:val="24"/>
                <w:lang w:val="en-US" w:eastAsia="zh-CN"/>
              </w:rPr>
              <w:t>服务期</w:t>
            </w:r>
          </w:p>
        </w:tc>
        <w:tc>
          <w:tcPr>
            <w:tcW w:w="1930" w:type="dxa"/>
            <w:tcMar>
              <w:top w:w="0" w:type="dxa"/>
              <w:left w:w="105" w:type="dxa"/>
              <w:bottom w:w="0" w:type="dxa"/>
              <w:right w:w="105" w:type="dxa"/>
            </w:tcMar>
            <w:vAlign w:val="center"/>
          </w:tcPr>
          <w:p>
            <w:pPr>
              <w:spacing w:line="560" w:lineRule="exact"/>
              <w:jc w:val="center"/>
            </w:pPr>
            <w:r>
              <w:rPr>
                <w:rFonts w:hint="eastAsia"/>
                <w:sz w:val="24"/>
                <w:szCs w:val="24"/>
                <w:lang w:val="en-US"/>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6" w:hRule="atLeast"/>
        </w:trPr>
        <w:tc>
          <w:tcPr>
            <w:tcW w:w="1307" w:type="dxa"/>
            <w:tcMar>
              <w:top w:w="0" w:type="dxa"/>
              <w:left w:w="105" w:type="dxa"/>
              <w:bottom w:w="0" w:type="dxa"/>
              <w:right w:w="105" w:type="dxa"/>
            </w:tcMar>
            <w:vAlign w:val="center"/>
          </w:tcPr>
          <w:p>
            <w:pPr>
              <w:spacing w:line="560" w:lineRule="exact"/>
              <w:jc w:val="center"/>
              <w:rPr>
                <w:rFonts w:hint="eastAsia" w:eastAsia="宋体"/>
                <w:i/>
                <w:iCs/>
                <w:sz w:val="24"/>
                <w:szCs w:val="24"/>
                <w:lang w:val="en-US" w:eastAsia="zh-CN"/>
              </w:rPr>
            </w:pPr>
            <w:r>
              <w:rPr>
                <w:rFonts w:hint="eastAsia"/>
                <w:sz w:val="24"/>
                <w:szCs w:val="24"/>
                <w:lang w:val="en-US" w:eastAsia="zh-CN"/>
              </w:rPr>
              <w:t>包二</w:t>
            </w:r>
          </w:p>
        </w:tc>
        <w:tc>
          <w:tcPr>
            <w:tcW w:w="2961" w:type="dxa"/>
            <w:tcMar>
              <w:top w:w="0" w:type="dxa"/>
              <w:left w:w="105" w:type="dxa"/>
              <w:bottom w:w="0" w:type="dxa"/>
              <w:right w:w="105" w:type="dxa"/>
            </w:tcMar>
            <w:vAlign w:val="center"/>
          </w:tcPr>
          <w:p>
            <w:pPr>
              <w:spacing w:line="560" w:lineRule="exact"/>
              <w:jc w:val="center"/>
              <w:rPr>
                <w:rFonts w:hint="default" w:eastAsia="宋体"/>
                <w:sz w:val="24"/>
                <w:szCs w:val="24"/>
                <w:lang w:val="en-US" w:eastAsia="zh-CN"/>
              </w:rPr>
            </w:pPr>
            <w:r>
              <w:rPr>
                <w:rFonts w:hint="default" w:eastAsia="宋体"/>
                <w:sz w:val="24"/>
                <w:szCs w:val="24"/>
                <w:lang w:val="en-US" w:eastAsia="zh-CN"/>
              </w:rPr>
              <w:t>尼勒克县人民医院医疗服务与保障能力提升项目</w:t>
            </w:r>
          </w:p>
        </w:tc>
        <w:tc>
          <w:tcPr>
            <w:tcW w:w="2216" w:type="dxa"/>
            <w:tcMar>
              <w:top w:w="0" w:type="dxa"/>
              <w:left w:w="105" w:type="dxa"/>
              <w:bottom w:w="0" w:type="dxa"/>
              <w:right w:w="105" w:type="dxa"/>
            </w:tcMar>
            <w:vAlign w:val="center"/>
          </w:tcPr>
          <w:p>
            <w:pPr>
              <w:spacing w:line="560" w:lineRule="exact"/>
              <w:jc w:val="center"/>
              <w:rPr>
                <w:rFonts w:hint="default"/>
                <w:color w:val="auto"/>
                <w:sz w:val="24"/>
                <w:szCs w:val="24"/>
                <w:lang w:val="en-US" w:eastAsia="zh-CN"/>
              </w:rPr>
            </w:pPr>
            <w:r>
              <w:rPr>
                <w:rFonts w:hint="eastAsia"/>
                <w:color w:val="auto"/>
                <w:sz w:val="24"/>
                <w:szCs w:val="24"/>
                <w:lang w:val="en-US" w:eastAsia="zh-CN"/>
              </w:rPr>
              <w:t>210</w:t>
            </w:r>
          </w:p>
        </w:tc>
        <w:tc>
          <w:tcPr>
            <w:tcW w:w="1726" w:type="dxa"/>
            <w:tcMar>
              <w:top w:w="0" w:type="dxa"/>
              <w:left w:w="105" w:type="dxa"/>
              <w:bottom w:w="0" w:type="dxa"/>
              <w:right w:w="105" w:type="dxa"/>
            </w:tcMar>
            <w:vAlign w:val="center"/>
          </w:tcPr>
          <w:p>
            <w:pPr>
              <w:spacing w:line="560" w:lineRule="exact"/>
              <w:jc w:val="center"/>
              <w:rPr>
                <w:rFonts w:hint="eastAsia"/>
                <w:color w:val="auto"/>
                <w:sz w:val="24"/>
                <w:szCs w:val="24"/>
                <w:lang w:val="en-US" w:eastAsia="zh-CN"/>
              </w:rPr>
            </w:pPr>
            <w:r>
              <w:rPr>
                <w:rFonts w:hint="eastAsia"/>
                <w:color w:val="auto"/>
                <w:sz w:val="24"/>
                <w:szCs w:val="24"/>
                <w:lang w:val="en-US" w:eastAsia="zh-CN"/>
              </w:rPr>
              <w:t>1年</w:t>
            </w:r>
          </w:p>
        </w:tc>
        <w:tc>
          <w:tcPr>
            <w:tcW w:w="1930" w:type="dxa"/>
            <w:tcMar>
              <w:top w:w="0" w:type="dxa"/>
              <w:left w:w="105" w:type="dxa"/>
              <w:bottom w:w="0" w:type="dxa"/>
              <w:right w:w="105" w:type="dxa"/>
            </w:tcMar>
            <w:vAlign w:val="center"/>
          </w:tcPr>
          <w:p>
            <w:pPr>
              <w:spacing w:line="560" w:lineRule="exact"/>
              <w:jc w:val="center"/>
            </w:pPr>
            <w:r>
              <w:rPr>
                <w:rFonts w:hint="eastAsia"/>
                <w:sz w:val="24"/>
                <w:szCs w:val="24"/>
                <w:lang w:val="en-US" w:eastAsia="zh-CN"/>
              </w:rPr>
              <w:t>详见招标文件</w:t>
            </w:r>
          </w:p>
        </w:tc>
      </w:tr>
    </w:tbl>
    <w:p>
      <w:pPr>
        <w:spacing w:line="560" w:lineRule="exact"/>
        <w:jc w:val="both"/>
        <w:rPr>
          <w:sz w:val="24"/>
          <w:szCs w:val="24"/>
          <w:lang w:val="en-US"/>
        </w:rPr>
      </w:pPr>
      <w:r>
        <w:rPr>
          <w:rFonts w:hint="eastAsia"/>
          <w:sz w:val="24"/>
          <w:szCs w:val="24"/>
          <w:lang w:val="en-US"/>
        </w:rPr>
        <w:t>四、投标供应商资格要求:</w:t>
      </w:r>
    </w:p>
    <w:p>
      <w:pPr>
        <w:spacing w:line="560" w:lineRule="exact"/>
        <w:jc w:val="both"/>
        <w:rPr>
          <w:rFonts w:hint="eastAsia"/>
          <w:sz w:val="24"/>
          <w:szCs w:val="24"/>
          <w:lang w:val="en-US"/>
        </w:rPr>
      </w:pPr>
      <w:r>
        <w:rPr>
          <w:rFonts w:hint="eastAsia"/>
          <w:sz w:val="24"/>
          <w:szCs w:val="24"/>
          <w:lang w:val="en-US"/>
        </w:rPr>
        <w:t xml:space="preserve">1.符合《中华人民共和国政府采购法》第二十二条的相关规定；  </w:t>
      </w:r>
    </w:p>
    <w:p>
      <w:pPr>
        <w:spacing w:line="560" w:lineRule="exact"/>
        <w:jc w:val="both"/>
        <w:rPr>
          <w:rFonts w:hint="eastAsia"/>
          <w:sz w:val="24"/>
          <w:szCs w:val="24"/>
          <w:lang w:val="en-US" w:eastAsia="zh-CN"/>
        </w:rPr>
      </w:pPr>
      <w:r>
        <w:rPr>
          <w:rFonts w:hint="eastAsia"/>
          <w:sz w:val="24"/>
          <w:szCs w:val="24"/>
          <w:lang w:val="en-US"/>
        </w:rPr>
        <w:t>2.参加采购活动前三年内，在经营活动中没有重大违法记录(受行政主管部门的处罚不能参加投标)</w:t>
      </w:r>
      <w:r>
        <w:rPr>
          <w:rFonts w:hint="eastAsia"/>
          <w:sz w:val="24"/>
          <w:szCs w:val="24"/>
          <w:lang w:val="en-US" w:eastAsia="zh-CN"/>
        </w:rPr>
        <w:t>;</w:t>
      </w:r>
    </w:p>
    <w:p>
      <w:pPr>
        <w:spacing w:line="560" w:lineRule="exact"/>
        <w:jc w:val="both"/>
        <w:rPr>
          <w:rFonts w:hint="eastAsia" w:eastAsia="宋体"/>
          <w:sz w:val="24"/>
          <w:szCs w:val="24"/>
          <w:lang w:val="en-US" w:eastAsia="zh-CN"/>
        </w:rPr>
      </w:pPr>
      <w:r>
        <w:rPr>
          <w:rFonts w:hint="eastAsia"/>
          <w:sz w:val="24"/>
          <w:szCs w:val="24"/>
          <w:lang w:val="en-US"/>
        </w:rPr>
        <w:t>3.</w:t>
      </w:r>
      <w:r>
        <w:rPr>
          <w:rFonts w:hint="eastAsia"/>
          <w:sz w:val="24"/>
          <w:szCs w:val="24"/>
          <w:lang w:val="en-US" w:eastAsia="zh-CN"/>
        </w:rPr>
        <w:t>落实的政府采购政策：</w:t>
      </w:r>
      <w:r>
        <w:rPr>
          <w:rFonts w:hint="eastAsia"/>
          <w:sz w:val="24"/>
          <w:szCs w:val="24"/>
          <w:lang w:val="en-US"/>
        </w:rPr>
        <w:t>《政府采购促进中小企业发展管理办法》（财库〔2020〕46号）；《财政部民政部中国残疾人联合会关于促进残疾人就业政府采购政策的通知》财库〔2017〕141号</w:t>
      </w:r>
      <w:r>
        <w:rPr>
          <w:rFonts w:hint="eastAsia"/>
          <w:sz w:val="24"/>
          <w:szCs w:val="24"/>
          <w:lang w:val="en-US" w:eastAsia="zh-CN"/>
        </w:rPr>
        <w:t>。</w:t>
      </w:r>
    </w:p>
    <w:p>
      <w:pPr>
        <w:spacing w:line="560" w:lineRule="exact"/>
        <w:jc w:val="both"/>
        <w:rPr>
          <w:sz w:val="24"/>
          <w:szCs w:val="24"/>
          <w:lang w:val="en-US"/>
        </w:rPr>
      </w:pPr>
      <w:r>
        <w:rPr>
          <w:rFonts w:hint="eastAsia"/>
          <w:sz w:val="24"/>
          <w:szCs w:val="24"/>
          <w:lang w:val="en-US"/>
        </w:rPr>
        <w:t>五、</w:t>
      </w:r>
      <w:r>
        <w:rPr>
          <w:rFonts w:hint="eastAsia"/>
          <w:sz w:val="24"/>
          <w:szCs w:val="24"/>
          <w:lang w:val="en-US" w:eastAsia="zh-CN"/>
        </w:rPr>
        <w:t>采购</w:t>
      </w:r>
      <w:r>
        <w:rPr>
          <w:rFonts w:hint="eastAsia"/>
          <w:sz w:val="24"/>
          <w:szCs w:val="24"/>
          <w:lang w:val="en-US"/>
        </w:rPr>
        <w:t>文件的报名/发售时间、地址、售价:</w:t>
      </w:r>
    </w:p>
    <w:p>
      <w:pPr>
        <w:spacing w:line="560" w:lineRule="exact"/>
        <w:jc w:val="both"/>
        <w:rPr>
          <w:sz w:val="24"/>
          <w:szCs w:val="24"/>
          <w:lang w:val="en-US"/>
        </w:rPr>
      </w:pPr>
      <w:r>
        <w:rPr>
          <w:rFonts w:hint="eastAsia"/>
          <w:sz w:val="24"/>
          <w:szCs w:val="24"/>
          <w:lang w:val="en-US"/>
        </w:rPr>
        <w:t>1．报名（发售／获取）时间：202</w:t>
      </w:r>
      <w:r>
        <w:rPr>
          <w:rFonts w:hint="eastAsia"/>
          <w:sz w:val="24"/>
          <w:szCs w:val="24"/>
          <w:lang w:val="en-US" w:eastAsia="zh-CN"/>
        </w:rPr>
        <w:t>2</w:t>
      </w:r>
      <w:r>
        <w:rPr>
          <w:rFonts w:hint="eastAsia"/>
          <w:sz w:val="24"/>
          <w:szCs w:val="24"/>
          <w:lang w:val="en-US"/>
        </w:rPr>
        <w:t>-</w:t>
      </w:r>
      <w:r>
        <w:rPr>
          <w:rFonts w:hint="eastAsia"/>
          <w:sz w:val="24"/>
          <w:szCs w:val="24"/>
          <w:lang w:val="en-US" w:eastAsia="zh-CN"/>
        </w:rPr>
        <w:t>5</w:t>
      </w:r>
      <w:r>
        <w:rPr>
          <w:rFonts w:hint="eastAsia"/>
          <w:sz w:val="24"/>
          <w:szCs w:val="24"/>
          <w:lang w:val="en-US"/>
        </w:rPr>
        <w:t>-</w:t>
      </w:r>
      <w:r>
        <w:rPr>
          <w:rFonts w:hint="eastAsia"/>
          <w:sz w:val="24"/>
          <w:szCs w:val="24"/>
          <w:lang w:val="en-US" w:eastAsia="zh-CN"/>
        </w:rPr>
        <w:t>9</w:t>
      </w:r>
      <w:r>
        <w:rPr>
          <w:rFonts w:hint="eastAsia"/>
          <w:sz w:val="24"/>
          <w:szCs w:val="24"/>
          <w:lang w:val="en-US"/>
        </w:rPr>
        <w:t>至202</w:t>
      </w:r>
      <w:r>
        <w:rPr>
          <w:rFonts w:hint="eastAsia"/>
          <w:sz w:val="24"/>
          <w:szCs w:val="24"/>
          <w:lang w:val="en-US" w:eastAsia="zh-CN"/>
        </w:rPr>
        <w:t>2</w:t>
      </w:r>
      <w:r>
        <w:rPr>
          <w:rFonts w:hint="eastAsia"/>
          <w:sz w:val="24"/>
          <w:szCs w:val="24"/>
          <w:lang w:val="en-US"/>
        </w:rPr>
        <w:t>-</w:t>
      </w:r>
      <w:r>
        <w:rPr>
          <w:rFonts w:hint="eastAsia"/>
          <w:sz w:val="24"/>
          <w:szCs w:val="24"/>
          <w:lang w:val="en-US" w:eastAsia="zh-CN"/>
        </w:rPr>
        <w:t>05</w:t>
      </w:r>
      <w:r>
        <w:rPr>
          <w:rFonts w:hint="eastAsia"/>
          <w:sz w:val="24"/>
          <w:szCs w:val="24"/>
          <w:lang w:val="en-US"/>
        </w:rPr>
        <w:t>-</w:t>
      </w:r>
      <w:r>
        <w:rPr>
          <w:rFonts w:hint="eastAsia"/>
          <w:sz w:val="24"/>
          <w:szCs w:val="24"/>
          <w:lang w:val="en-US" w:eastAsia="zh-CN"/>
        </w:rPr>
        <w:t>16</w:t>
      </w:r>
      <w:r>
        <w:rPr>
          <w:rFonts w:hint="eastAsia"/>
          <w:sz w:val="24"/>
          <w:szCs w:val="24"/>
          <w:lang w:val="en-US"/>
        </w:rPr>
        <w:t>（北京时间）</w:t>
      </w:r>
    </w:p>
    <w:p>
      <w:pPr>
        <w:spacing w:line="560" w:lineRule="exact"/>
        <w:jc w:val="both"/>
        <w:rPr>
          <w:sz w:val="24"/>
          <w:szCs w:val="24"/>
          <w:lang w:val="en-US"/>
        </w:rPr>
      </w:pPr>
      <w:r>
        <w:rPr>
          <w:rFonts w:hint="eastAsia"/>
          <w:sz w:val="24"/>
          <w:szCs w:val="24"/>
          <w:lang w:val="en-US"/>
        </w:rPr>
        <w:t>上午：10:00-14:00   下午：1</w:t>
      </w:r>
      <w:r>
        <w:rPr>
          <w:rFonts w:hint="eastAsia"/>
          <w:sz w:val="24"/>
          <w:szCs w:val="24"/>
          <w:lang w:val="en-US" w:eastAsia="zh-CN"/>
        </w:rPr>
        <w:t>6</w:t>
      </w:r>
      <w:r>
        <w:rPr>
          <w:rFonts w:hint="eastAsia"/>
          <w:sz w:val="24"/>
          <w:szCs w:val="24"/>
          <w:lang w:val="en-US"/>
        </w:rPr>
        <w:t>:</w:t>
      </w:r>
      <w:r>
        <w:rPr>
          <w:rFonts w:hint="eastAsia"/>
          <w:sz w:val="24"/>
          <w:szCs w:val="24"/>
          <w:lang w:val="en-US" w:eastAsia="zh-CN"/>
        </w:rPr>
        <w:t>00</w:t>
      </w:r>
      <w:r>
        <w:rPr>
          <w:rFonts w:hint="eastAsia"/>
          <w:sz w:val="24"/>
          <w:szCs w:val="24"/>
          <w:lang w:val="en-US"/>
        </w:rPr>
        <w:t>-</w:t>
      </w:r>
      <w:r>
        <w:rPr>
          <w:rFonts w:hint="eastAsia"/>
          <w:sz w:val="24"/>
          <w:szCs w:val="24"/>
          <w:lang w:val="en-US" w:eastAsia="zh-CN"/>
        </w:rPr>
        <w:t>20</w:t>
      </w:r>
      <w:r>
        <w:rPr>
          <w:rFonts w:hint="eastAsia"/>
          <w:sz w:val="24"/>
          <w:szCs w:val="24"/>
          <w:lang w:val="en-US"/>
        </w:rPr>
        <w:t>:</w:t>
      </w:r>
      <w:r>
        <w:rPr>
          <w:rFonts w:hint="eastAsia"/>
          <w:sz w:val="24"/>
          <w:szCs w:val="24"/>
          <w:lang w:val="en-US" w:eastAsia="zh-CN"/>
        </w:rPr>
        <w:t>0</w:t>
      </w:r>
      <w:r>
        <w:rPr>
          <w:rFonts w:hint="eastAsia"/>
          <w:sz w:val="24"/>
          <w:szCs w:val="24"/>
          <w:lang w:val="en-US"/>
        </w:rPr>
        <w:t>0 </w:t>
      </w:r>
    </w:p>
    <w:p>
      <w:pPr>
        <w:spacing w:line="560" w:lineRule="exact"/>
        <w:jc w:val="both"/>
        <w:rPr>
          <w:sz w:val="24"/>
          <w:szCs w:val="24"/>
          <w:lang w:val="en-US"/>
        </w:rPr>
      </w:pPr>
      <w:r>
        <w:rPr>
          <w:rFonts w:hint="eastAsia"/>
          <w:sz w:val="24"/>
          <w:szCs w:val="24"/>
          <w:lang w:val="en-US"/>
        </w:rPr>
        <w:t>2．报名（发售／获取）地址：伊宁市新华西路58号（呼勒佳宾馆院内3楼） </w:t>
      </w:r>
    </w:p>
    <w:p>
      <w:pPr>
        <w:spacing w:line="560" w:lineRule="exact"/>
        <w:jc w:val="both"/>
        <w:rPr>
          <w:sz w:val="24"/>
          <w:szCs w:val="24"/>
          <w:lang w:val="en-US"/>
        </w:rPr>
      </w:pPr>
      <w:r>
        <w:rPr>
          <w:rFonts w:hint="eastAsia"/>
          <w:sz w:val="24"/>
          <w:szCs w:val="24"/>
          <w:lang w:val="en-US"/>
        </w:rPr>
        <w:t>3．标书售价(元)：200/份</w:t>
      </w:r>
    </w:p>
    <w:p>
      <w:pPr>
        <w:spacing w:line="560" w:lineRule="exact"/>
        <w:jc w:val="both"/>
        <w:rPr>
          <w:sz w:val="24"/>
          <w:szCs w:val="24"/>
          <w:lang w:val="en-US"/>
        </w:rPr>
      </w:pPr>
      <w:r>
        <w:rPr>
          <w:rFonts w:hint="eastAsia"/>
          <w:sz w:val="24"/>
          <w:szCs w:val="24"/>
          <w:lang w:val="en-US"/>
        </w:rPr>
        <w:t>4．投标人购买标书时应提交的资料：法人代表授权书原件、被授权人身份证原件、营业执照副本原件</w:t>
      </w:r>
      <w:r>
        <w:rPr>
          <w:rFonts w:hint="eastAsia"/>
          <w:sz w:val="24"/>
          <w:szCs w:val="24"/>
          <w:lang w:val="en-US" w:eastAsia="zh-CN"/>
        </w:rPr>
        <w:t>、</w:t>
      </w:r>
      <w:r>
        <w:rPr>
          <w:rFonts w:hint="eastAsia"/>
          <w:sz w:val="24"/>
          <w:szCs w:val="24"/>
          <w:lang w:val="en-US"/>
        </w:rPr>
        <w:t>计算机软件著作权登记证书原件或复印件加盖投标企业公章</w:t>
      </w:r>
      <w:r>
        <w:rPr>
          <w:rFonts w:hint="eastAsia"/>
          <w:sz w:val="24"/>
          <w:szCs w:val="24"/>
          <w:lang w:val="en-US" w:eastAsia="zh-CN"/>
        </w:rPr>
        <w:t>、</w:t>
      </w:r>
      <w:r>
        <w:rPr>
          <w:rFonts w:hint="eastAsia" w:hAnsi="宋体"/>
          <w:sz w:val="24"/>
          <w:lang w:eastAsia="zh-CN"/>
        </w:rPr>
        <w:t>提供会计师事务所出具的2021年的年度财务审计报告书原件或复印件加盖企业公章（2022年1月以后新办企业需提供银行资信证明原件）、</w:t>
      </w:r>
      <w:r>
        <w:rPr>
          <w:rFonts w:hint="eastAsia"/>
          <w:sz w:val="24"/>
          <w:szCs w:val="24"/>
          <w:lang w:val="en-US"/>
        </w:rPr>
        <w:t>“信用中国”网站（www.creditchina.gov.cn）信用信息查询记录（加盖公章）。（以上证件须携带加盖公章的复印件一套） </w:t>
      </w:r>
    </w:p>
    <w:p>
      <w:pPr>
        <w:spacing w:line="560" w:lineRule="exact"/>
        <w:rPr>
          <w:sz w:val="24"/>
          <w:szCs w:val="24"/>
          <w:lang w:val="en-US"/>
        </w:rPr>
      </w:pPr>
      <w:r>
        <w:rPr>
          <w:rFonts w:hint="eastAsia"/>
          <w:sz w:val="24"/>
          <w:szCs w:val="24"/>
          <w:lang w:val="en-US"/>
        </w:rPr>
        <w:t>六、 投标截止时间：202</w:t>
      </w:r>
      <w:r>
        <w:rPr>
          <w:rFonts w:hint="eastAsia"/>
          <w:sz w:val="24"/>
          <w:szCs w:val="24"/>
          <w:lang w:val="en-US" w:eastAsia="zh-CN"/>
        </w:rPr>
        <w:t>2</w:t>
      </w:r>
      <w:r>
        <w:rPr>
          <w:rFonts w:hint="eastAsia"/>
          <w:sz w:val="24"/>
          <w:szCs w:val="24"/>
          <w:lang w:val="en-US"/>
        </w:rPr>
        <w:t>-</w:t>
      </w:r>
      <w:r>
        <w:rPr>
          <w:rFonts w:hint="eastAsia"/>
          <w:sz w:val="24"/>
          <w:szCs w:val="24"/>
          <w:lang w:val="en-US" w:eastAsia="zh-CN"/>
        </w:rPr>
        <w:t>05</w:t>
      </w:r>
      <w:r>
        <w:rPr>
          <w:rFonts w:hint="eastAsia"/>
          <w:sz w:val="24"/>
          <w:szCs w:val="24"/>
          <w:lang w:val="en-US"/>
        </w:rPr>
        <w:t>-</w:t>
      </w:r>
      <w:r>
        <w:rPr>
          <w:rFonts w:hint="eastAsia"/>
          <w:sz w:val="24"/>
          <w:szCs w:val="24"/>
          <w:lang w:val="en-US" w:eastAsia="zh-CN"/>
        </w:rPr>
        <w:t>30</w:t>
      </w:r>
      <w:r>
        <w:rPr>
          <w:rFonts w:hint="eastAsia"/>
          <w:sz w:val="24"/>
          <w:szCs w:val="24"/>
          <w:lang w:val="en-US"/>
        </w:rPr>
        <w:t xml:space="preserve"> </w:t>
      </w:r>
      <w:r>
        <w:rPr>
          <w:rFonts w:hint="eastAsia"/>
          <w:sz w:val="24"/>
          <w:szCs w:val="24"/>
          <w:lang w:val="en-US" w:eastAsia="zh-CN"/>
        </w:rPr>
        <w:t>16</w:t>
      </w:r>
      <w:r>
        <w:rPr>
          <w:rFonts w:hint="eastAsia"/>
          <w:sz w:val="24"/>
          <w:szCs w:val="24"/>
          <w:lang w:val="en-US"/>
        </w:rPr>
        <w:t>:</w:t>
      </w:r>
      <w:r>
        <w:rPr>
          <w:rFonts w:hint="eastAsia"/>
          <w:sz w:val="24"/>
          <w:szCs w:val="24"/>
          <w:lang w:val="en-US" w:eastAsia="zh-CN"/>
        </w:rPr>
        <w:t>3</w:t>
      </w:r>
      <w:r>
        <w:rPr>
          <w:rFonts w:hint="eastAsia"/>
          <w:sz w:val="24"/>
          <w:szCs w:val="24"/>
          <w:lang w:val="en-US"/>
        </w:rPr>
        <w:t>0:00 </w:t>
      </w:r>
    </w:p>
    <w:p>
      <w:pPr>
        <w:spacing w:line="560" w:lineRule="exact"/>
        <w:rPr>
          <w:sz w:val="24"/>
          <w:szCs w:val="24"/>
          <w:lang w:val="en-US"/>
        </w:rPr>
      </w:pPr>
      <w:r>
        <w:rPr>
          <w:rFonts w:hint="eastAsia"/>
          <w:sz w:val="24"/>
          <w:szCs w:val="24"/>
          <w:lang w:val="en-US"/>
        </w:rPr>
        <w:t>七、 投标地址：</w:t>
      </w:r>
      <w:r>
        <w:rPr>
          <w:rFonts w:hint="eastAsia"/>
          <w:sz w:val="24"/>
          <w:szCs w:val="24"/>
          <w:lang w:val="en-US" w:eastAsia="zh-CN"/>
        </w:rPr>
        <w:t>伊宁市海棠路铂科瑞特酒店三楼会议室</w:t>
      </w:r>
      <w:r>
        <w:rPr>
          <w:rFonts w:hint="eastAsia"/>
          <w:sz w:val="24"/>
          <w:szCs w:val="24"/>
          <w:lang w:val="en-US"/>
        </w:rPr>
        <w:t>  </w:t>
      </w:r>
    </w:p>
    <w:p>
      <w:pPr>
        <w:spacing w:line="560" w:lineRule="exact"/>
        <w:rPr>
          <w:sz w:val="24"/>
          <w:szCs w:val="24"/>
          <w:lang w:val="en-US"/>
        </w:rPr>
      </w:pPr>
      <w:r>
        <w:rPr>
          <w:rFonts w:hint="eastAsia"/>
          <w:sz w:val="24"/>
          <w:szCs w:val="24"/>
          <w:lang w:val="en-US"/>
        </w:rPr>
        <w:t>八、 开标时间：202</w:t>
      </w:r>
      <w:r>
        <w:rPr>
          <w:rFonts w:hint="eastAsia"/>
          <w:sz w:val="24"/>
          <w:szCs w:val="24"/>
          <w:lang w:val="en-US" w:eastAsia="zh-CN"/>
        </w:rPr>
        <w:t>2</w:t>
      </w:r>
      <w:r>
        <w:rPr>
          <w:rFonts w:hint="eastAsia"/>
          <w:sz w:val="24"/>
          <w:szCs w:val="24"/>
          <w:lang w:val="en-US"/>
        </w:rPr>
        <w:t>-</w:t>
      </w:r>
      <w:r>
        <w:rPr>
          <w:rFonts w:hint="eastAsia"/>
          <w:sz w:val="24"/>
          <w:szCs w:val="24"/>
          <w:lang w:val="en-US" w:eastAsia="zh-CN"/>
        </w:rPr>
        <w:t>05</w:t>
      </w:r>
      <w:r>
        <w:rPr>
          <w:rFonts w:hint="eastAsia"/>
          <w:sz w:val="24"/>
          <w:szCs w:val="24"/>
          <w:lang w:val="en-US"/>
        </w:rPr>
        <w:t>-</w:t>
      </w:r>
      <w:r>
        <w:rPr>
          <w:rFonts w:hint="eastAsia"/>
          <w:sz w:val="24"/>
          <w:szCs w:val="24"/>
          <w:lang w:val="en-US" w:eastAsia="zh-CN"/>
        </w:rPr>
        <w:t>30</w:t>
      </w:r>
      <w:r>
        <w:rPr>
          <w:rFonts w:hint="eastAsia"/>
          <w:sz w:val="24"/>
          <w:szCs w:val="24"/>
          <w:lang w:val="en-US"/>
        </w:rPr>
        <w:t xml:space="preserve">  1</w:t>
      </w:r>
      <w:r>
        <w:rPr>
          <w:rFonts w:hint="eastAsia"/>
          <w:sz w:val="24"/>
          <w:szCs w:val="24"/>
          <w:lang w:val="en-US" w:eastAsia="zh-CN"/>
        </w:rPr>
        <w:t>6</w:t>
      </w:r>
      <w:r>
        <w:rPr>
          <w:rFonts w:hint="eastAsia"/>
          <w:sz w:val="24"/>
          <w:szCs w:val="24"/>
          <w:lang w:val="en-US"/>
        </w:rPr>
        <w:t>:</w:t>
      </w:r>
      <w:r>
        <w:rPr>
          <w:rFonts w:hint="eastAsia"/>
          <w:sz w:val="24"/>
          <w:szCs w:val="24"/>
          <w:lang w:val="en-US" w:eastAsia="zh-CN"/>
        </w:rPr>
        <w:t>3</w:t>
      </w:r>
      <w:r>
        <w:rPr>
          <w:rFonts w:hint="eastAsia"/>
          <w:sz w:val="24"/>
          <w:szCs w:val="24"/>
          <w:lang w:val="en-US"/>
        </w:rPr>
        <w:t>0:00 </w:t>
      </w:r>
    </w:p>
    <w:p>
      <w:pPr>
        <w:spacing w:line="560" w:lineRule="exact"/>
        <w:rPr>
          <w:rFonts w:hint="eastAsia" w:eastAsia="宋体"/>
          <w:lang w:val="en-US" w:eastAsia="zh-CN"/>
        </w:rPr>
      </w:pPr>
      <w:r>
        <w:rPr>
          <w:rFonts w:hint="eastAsia"/>
          <w:sz w:val="24"/>
          <w:szCs w:val="24"/>
          <w:lang w:val="en-US"/>
        </w:rPr>
        <w:t>九、 开标地址：</w:t>
      </w:r>
      <w:r>
        <w:rPr>
          <w:rFonts w:hint="eastAsia" w:ascii="Times New Roman" w:cs="Times New Roman"/>
          <w:kern w:val="2"/>
          <w:sz w:val="24"/>
          <w:szCs w:val="24"/>
          <w:lang w:val="en-US" w:eastAsia="zh-CN" w:bidi="ar-SA"/>
        </w:rPr>
        <w:t>伊宁市海棠路铂科瑞特酒店三楼会议室</w:t>
      </w:r>
    </w:p>
    <w:p>
      <w:pPr>
        <w:spacing w:line="560" w:lineRule="exact"/>
        <w:rPr>
          <w:sz w:val="24"/>
          <w:szCs w:val="24"/>
          <w:lang w:val="en-US"/>
        </w:rPr>
      </w:pPr>
      <w:r>
        <w:rPr>
          <w:rFonts w:hint="eastAsia"/>
          <w:sz w:val="24"/>
          <w:szCs w:val="24"/>
          <w:lang w:val="en-US"/>
        </w:rPr>
        <w:t>十、 投标保证金：     </w:t>
      </w:r>
    </w:p>
    <w:tbl>
      <w:tblPr>
        <w:tblStyle w:val="19"/>
        <w:tblW w:w="10358" w:type="dxa"/>
        <w:tblInd w:w="0" w:type="dxa"/>
        <w:tblLayout w:type="fixed"/>
        <w:tblCellMar>
          <w:top w:w="15" w:type="dxa"/>
          <w:left w:w="15" w:type="dxa"/>
          <w:bottom w:w="15" w:type="dxa"/>
          <w:right w:w="15" w:type="dxa"/>
        </w:tblCellMar>
      </w:tblPr>
      <w:tblGrid>
        <w:gridCol w:w="816"/>
        <w:gridCol w:w="2276"/>
        <w:gridCol w:w="1604"/>
        <w:gridCol w:w="2735"/>
        <w:gridCol w:w="1548"/>
        <w:gridCol w:w="1379"/>
      </w:tblGrid>
      <w:tr>
        <w:tblPrEx>
          <w:tblCellMar>
            <w:top w:w="15" w:type="dxa"/>
            <w:left w:w="15" w:type="dxa"/>
            <w:bottom w:w="15" w:type="dxa"/>
            <w:right w:w="15" w:type="dxa"/>
          </w:tblCellMar>
        </w:tblPrEx>
        <w:trPr>
          <w:trHeight w:val="1013" w:hRule="atLeast"/>
        </w:trPr>
        <w:tc>
          <w:tcPr>
            <w:tcW w:w="816"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序号</w:t>
            </w:r>
          </w:p>
        </w:tc>
        <w:tc>
          <w:tcPr>
            <w:tcW w:w="2276"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标项名称</w:t>
            </w:r>
          </w:p>
        </w:tc>
        <w:tc>
          <w:tcPr>
            <w:tcW w:w="1604" w:type="dxa"/>
            <w:tcBorders>
              <w:top w:val="nil"/>
              <w:left w:val="nil"/>
              <w:bottom w:val="nil"/>
              <w:right w:val="nil"/>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val="en-US"/>
              </w:rPr>
            </w:pPr>
            <w:r>
              <w:rPr>
                <w:rFonts w:hint="eastAsia"/>
                <w:sz w:val="24"/>
                <w:szCs w:val="24"/>
                <w:lang w:val="en-US"/>
              </w:rPr>
              <w:t>投标保证金金额（元）</w:t>
            </w:r>
          </w:p>
        </w:tc>
        <w:tc>
          <w:tcPr>
            <w:tcW w:w="2735"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开户银行</w:t>
            </w:r>
          </w:p>
        </w:tc>
        <w:tc>
          <w:tcPr>
            <w:tcW w:w="1548"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收款账号</w:t>
            </w:r>
          </w:p>
        </w:tc>
        <w:tc>
          <w:tcPr>
            <w:tcW w:w="1379" w:type="dxa"/>
            <w:tcBorders>
              <w:top w:val="nil"/>
              <w:left w:val="nil"/>
              <w:bottom w:val="nil"/>
              <w:right w:val="nil"/>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val="en-US"/>
              </w:rPr>
            </w:pPr>
            <w:r>
              <w:rPr>
                <w:rFonts w:hint="eastAsia"/>
                <w:sz w:val="24"/>
                <w:szCs w:val="24"/>
                <w:lang w:val="en-US"/>
              </w:rPr>
              <w:t>交付</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val="en-US"/>
              </w:rPr>
            </w:pPr>
            <w:r>
              <w:rPr>
                <w:rFonts w:hint="eastAsia"/>
                <w:sz w:val="24"/>
                <w:szCs w:val="24"/>
                <w:lang w:val="en-US"/>
              </w:rPr>
              <w:t>方式</w:t>
            </w:r>
          </w:p>
        </w:tc>
      </w:tr>
      <w:tr>
        <w:tblPrEx>
          <w:tblCellMar>
            <w:top w:w="15" w:type="dxa"/>
            <w:left w:w="15" w:type="dxa"/>
            <w:bottom w:w="15" w:type="dxa"/>
            <w:right w:w="15" w:type="dxa"/>
          </w:tblCellMar>
        </w:tblPrEx>
        <w:trPr>
          <w:trHeight w:val="639" w:hRule="atLeast"/>
        </w:trPr>
        <w:tc>
          <w:tcPr>
            <w:tcW w:w="816" w:type="dxa"/>
            <w:tcBorders>
              <w:top w:val="nil"/>
              <w:left w:val="nil"/>
              <w:bottom w:val="nil"/>
              <w:right w:val="nil"/>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包二</w:t>
            </w:r>
          </w:p>
        </w:tc>
        <w:tc>
          <w:tcPr>
            <w:tcW w:w="2276"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default" w:eastAsia="宋体"/>
                <w:sz w:val="24"/>
                <w:szCs w:val="24"/>
                <w:lang w:val="en-US" w:eastAsia="zh-CN"/>
              </w:rPr>
              <w:t>尼勒克县人民医院医疗服务与保障能力提升项目</w:t>
            </w:r>
          </w:p>
        </w:tc>
        <w:tc>
          <w:tcPr>
            <w:tcW w:w="1604" w:type="dxa"/>
            <w:tcBorders>
              <w:top w:val="nil"/>
              <w:left w:val="nil"/>
              <w:bottom w:val="nil"/>
              <w:right w:val="nil"/>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40000</w:t>
            </w:r>
          </w:p>
        </w:tc>
        <w:tc>
          <w:tcPr>
            <w:tcW w:w="2735"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中国农业银行股份有限公司伊宁新华支行</w:t>
            </w:r>
          </w:p>
        </w:tc>
        <w:tc>
          <w:tcPr>
            <w:tcW w:w="1548" w:type="dxa"/>
            <w:tcBorders>
              <w:top w:val="nil"/>
              <w:left w:val="nil"/>
              <w:bottom w:val="nil"/>
              <w:right w:val="nil"/>
            </w:tcBorders>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30101001040003044</w:t>
            </w:r>
          </w:p>
        </w:tc>
        <w:tc>
          <w:tcPr>
            <w:tcW w:w="1379" w:type="dxa"/>
            <w:tcBorders>
              <w:top w:val="nil"/>
              <w:left w:val="nil"/>
              <w:bottom w:val="nil"/>
              <w:right w:val="nil"/>
            </w:tcBorders>
            <w:tcMar>
              <w:top w:w="75" w:type="dxa"/>
              <w:left w:w="150" w:type="dxa"/>
              <w:bottom w:w="75" w:type="dxa"/>
              <w:right w:w="150" w:type="dxa"/>
            </w:tcMar>
            <w:vAlign w:val="center"/>
          </w:tcPr>
          <w:p>
            <w:pPr>
              <w:spacing w:line="560" w:lineRule="exact"/>
              <w:jc w:val="center"/>
              <w:rPr>
                <w:rFonts w:hint="eastAsia"/>
                <w:sz w:val="24"/>
                <w:szCs w:val="24"/>
                <w:lang w:val="en-US" w:eastAsia="zh-CN"/>
              </w:rPr>
            </w:pPr>
            <w:r>
              <w:rPr>
                <w:rFonts w:hint="eastAsia"/>
                <w:sz w:val="24"/>
                <w:szCs w:val="24"/>
                <w:lang w:val="en-US" w:eastAsia="zh-CN"/>
              </w:rPr>
              <w:t>电汇或</w:t>
            </w:r>
          </w:p>
          <w:p>
            <w:pPr>
              <w:spacing w:line="560" w:lineRule="exact"/>
              <w:jc w:val="center"/>
              <w:rPr>
                <w:rFonts w:hint="eastAsia" w:eastAsia="宋体"/>
                <w:sz w:val="24"/>
                <w:szCs w:val="24"/>
                <w:lang w:val="en-US" w:eastAsia="zh-CN"/>
              </w:rPr>
            </w:pPr>
            <w:r>
              <w:rPr>
                <w:rFonts w:hint="eastAsia"/>
                <w:sz w:val="24"/>
                <w:szCs w:val="24"/>
                <w:lang w:val="en-US" w:eastAsia="zh-CN"/>
              </w:rPr>
              <w:t>保函</w:t>
            </w:r>
          </w:p>
        </w:tc>
      </w:tr>
    </w:tbl>
    <w:p>
      <w:pPr>
        <w:spacing w:line="560" w:lineRule="exact"/>
        <w:rPr>
          <w:sz w:val="24"/>
          <w:szCs w:val="24"/>
          <w:lang w:val="en-US"/>
        </w:rPr>
      </w:pPr>
      <w:r>
        <w:rPr>
          <w:rFonts w:hint="eastAsia"/>
          <w:sz w:val="24"/>
          <w:szCs w:val="24"/>
          <w:lang w:val="en-US"/>
        </w:rPr>
        <w:t>十一、 其他事项：</w:t>
      </w:r>
    </w:p>
    <w:p>
      <w:pPr>
        <w:spacing w:line="560" w:lineRule="exact"/>
        <w:rPr>
          <w:sz w:val="24"/>
          <w:szCs w:val="24"/>
          <w:lang w:val="en-US"/>
        </w:rPr>
      </w:pPr>
      <w:r>
        <w:rPr>
          <w:rFonts w:hint="eastAsia"/>
          <w:sz w:val="24"/>
          <w:szCs w:val="24"/>
          <w:lang w:val="en-US"/>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560" w:lineRule="exact"/>
        <w:rPr>
          <w:sz w:val="24"/>
          <w:szCs w:val="24"/>
          <w:lang w:val="en-US"/>
        </w:rPr>
      </w:pPr>
      <w:r>
        <w:rPr>
          <w:rFonts w:hint="eastAsia"/>
          <w:sz w:val="24"/>
          <w:szCs w:val="24"/>
          <w:lang w:val="en-US"/>
        </w:rPr>
        <w:t>十二、 联系方式</w:t>
      </w:r>
    </w:p>
    <w:p>
      <w:pPr>
        <w:spacing w:line="560" w:lineRule="exact"/>
        <w:rPr>
          <w:sz w:val="24"/>
          <w:szCs w:val="24"/>
          <w:lang w:val="en-US"/>
        </w:rPr>
      </w:pPr>
      <w:r>
        <w:rPr>
          <w:rFonts w:hint="eastAsia"/>
          <w:sz w:val="24"/>
          <w:szCs w:val="24"/>
          <w:lang w:val="en-US"/>
        </w:rPr>
        <w:t>1、采购代理机构名称：法正项目管理集团有限公司伊犁分公司 </w:t>
      </w:r>
    </w:p>
    <w:p>
      <w:pPr>
        <w:spacing w:line="560" w:lineRule="exact"/>
        <w:rPr>
          <w:sz w:val="24"/>
          <w:szCs w:val="24"/>
          <w:lang w:val="en-US"/>
        </w:rPr>
      </w:pPr>
      <w:r>
        <w:rPr>
          <w:rFonts w:hint="eastAsia"/>
          <w:sz w:val="24"/>
          <w:szCs w:val="24"/>
          <w:lang w:val="en-US"/>
        </w:rPr>
        <w:t>联系人：刘婷 </w:t>
      </w:r>
    </w:p>
    <w:p>
      <w:pPr>
        <w:spacing w:line="560" w:lineRule="exact"/>
        <w:rPr>
          <w:sz w:val="24"/>
          <w:szCs w:val="24"/>
          <w:lang w:val="en-US"/>
        </w:rPr>
      </w:pPr>
      <w:r>
        <w:rPr>
          <w:rFonts w:hint="eastAsia"/>
          <w:sz w:val="24"/>
          <w:szCs w:val="24"/>
          <w:lang w:val="en-US"/>
        </w:rPr>
        <w:t>联系电话：15276327404</w:t>
      </w:r>
    </w:p>
    <w:p>
      <w:pPr>
        <w:spacing w:line="560" w:lineRule="exact"/>
        <w:rPr>
          <w:sz w:val="24"/>
          <w:szCs w:val="24"/>
          <w:lang w:val="en-US"/>
        </w:rPr>
      </w:pPr>
      <w:r>
        <w:rPr>
          <w:rFonts w:hint="eastAsia"/>
          <w:sz w:val="24"/>
          <w:szCs w:val="24"/>
          <w:lang w:val="en-US"/>
        </w:rPr>
        <w:t>地址：新疆维吾尔自治区伊犁哈萨克自治州伊宁市新华西路58号3层 </w:t>
      </w:r>
    </w:p>
    <w:p>
      <w:pPr>
        <w:spacing w:line="560" w:lineRule="exact"/>
        <w:rPr>
          <w:sz w:val="24"/>
          <w:szCs w:val="24"/>
          <w:lang w:val="en-US"/>
        </w:rPr>
      </w:pPr>
      <w:r>
        <w:rPr>
          <w:rFonts w:hint="eastAsia"/>
          <w:sz w:val="24"/>
          <w:szCs w:val="24"/>
          <w:lang w:val="en-US"/>
        </w:rPr>
        <w:t>2、采购人名称：</w:t>
      </w:r>
      <w:r>
        <w:rPr>
          <w:rFonts w:hint="eastAsia"/>
          <w:sz w:val="24"/>
          <w:szCs w:val="24"/>
          <w:lang w:val="en-US" w:eastAsia="zh-CN"/>
        </w:rPr>
        <w:t>尼勒克县人民医院</w:t>
      </w:r>
      <w:r>
        <w:rPr>
          <w:rFonts w:hint="eastAsia"/>
          <w:sz w:val="24"/>
          <w:szCs w:val="24"/>
          <w:lang w:val="en-US"/>
        </w:rPr>
        <w:t> </w:t>
      </w:r>
    </w:p>
    <w:p>
      <w:pPr>
        <w:spacing w:line="560" w:lineRule="exac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14:textFill>
            <w14:solidFill>
              <w14:schemeClr w14:val="tx1"/>
            </w14:solidFill>
          </w14:textFill>
        </w:rPr>
        <w:t>联系电话：</w:t>
      </w:r>
      <w:r>
        <w:rPr>
          <w:rFonts w:hint="eastAsia"/>
          <w:color w:val="000000" w:themeColor="text1"/>
          <w:sz w:val="24"/>
          <w:szCs w:val="24"/>
          <w:lang w:val="en-US" w:eastAsia="zh-CN"/>
          <w14:textFill>
            <w14:solidFill>
              <w14:schemeClr w14:val="tx1"/>
            </w14:solidFill>
          </w14:textFill>
        </w:rPr>
        <w:t>0999-4626155</w:t>
      </w:r>
    </w:p>
    <w:p>
      <w:pPr>
        <w:spacing w:line="560" w:lineRule="exact"/>
        <w:rPr>
          <w:rFonts w:hint="eastAsia"/>
          <w:sz w:val="24"/>
          <w:szCs w:val="24"/>
          <w:lang w:val="en-US"/>
        </w:rPr>
      </w:pPr>
      <w:r>
        <w:rPr>
          <w:rFonts w:hint="eastAsia"/>
          <w:sz w:val="24"/>
          <w:szCs w:val="24"/>
          <w:lang w:val="en-US"/>
        </w:rPr>
        <w:t>3、同级政府采购监督管理部门名称：</w:t>
      </w:r>
      <w:r>
        <w:rPr>
          <w:rFonts w:hint="eastAsia"/>
          <w:sz w:val="24"/>
          <w:szCs w:val="24"/>
          <w:lang w:val="en-US" w:eastAsia="zh-CN"/>
        </w:rPr>
        <w:t>尼勒克县采购办</w:t>
      </w:r>
      <w:r>
        <w:rPr>
          <w:rFonts w:hint="eastAsia"/>
          <w:sz w:val="24"/>
          <w:szCs w:val="24"/>
          <w:lang w:val="en-US"/>
        </w:rPr>
        <w:t> </w:t>
      </w:r>
    </w:p>
    <w:p>
      <w:pPr>
        <w:spacing w:line="560" w:lineRule="exact"/>
        <w:rPr>
          <w:rFonts w:hint="eastAsia"/>
          <w:sz w:val="24"/>
          <w:szCs w:val="24"/>
          <w:lang w:val="en-US"/>
        </w:rPr>
      </w:pPr>
      <w:r>
        <w:rPr>
          <w:rFonts w:hint="eastAsia"/>
          <w:sz w:val="24"/>
          <w:szCs w:val="24"/>
          <w:lang w:val="en-US"/>
        </w:rPr>
        <w:t>联系人：</w:t>
      </w:r>
      <w:r>
        <w:rPr>
          <w:rFonts w:hint="eastAsia"/>
          <w:sz w:val="24"/>
          <w:szCs w:val="24"/>
          <w:lang w:val="en-US" w:eastAsia="zh-CN"/>
        </w:rPr>
        <w:t>周江梅</w:t>
      </w:r>
      <w:r>
        <w:rPr>
          <w:rFonts w:hint="eastAsia"/>
          <w:sz w:val="24"/>
          <w:szCs w:val="24"/>
          <w:lang w:val="en-US"/>
        </w:rPr>
        <w:t> </w:t>
      </w:r>
    </w:p>
    <w:p>
      <w:pPr>
        <w:spacing w:line="560" w:lineRule="exact"/>
        <w:rPr>
          <w:rFonts w:hint="eastAsia"/>
          <w:sz w:val="24"/>
          <w:szCs w:val="24"/>
          <w:lang w:val="en-US"/>
        </w:rPr>
      </w:pPr>
      <w:r>
        <w:rPr>
          <w:rFonts w:hint="eastAsia"/>
          <w:sz w:val="24"/>
          <w:szCs w:val="24"/>
          <w:lang w:val="en-US"/>
        </w:rPr>
        <w:t>监督投诉电话：0999-7798078 </w:t>
      </w: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both"/>
      </w:pPr>
    </w:p>
    <w:p/>
    <w:p>
      <w:pPr>
        <w:pStyle w:val="5"/>
      </w:pPr>
    </w:p>
    <w:p/>
    <w:p>
      <w:pPr>
        <w:pStyle w:val="5"/>
      </w:pPr>
    </w:p>
    <w:p/>
    <w:p>
      <w:pPr>
        <w:pStyle w:val="5"/>
      </w:pPr>
    </w:p>
    <w:p/>
    <w:p>
      <w:pPr>
        <w:pStyle w:val="5"/>
      </w:pPr>
    </w:p>
    <w:p/>
    <w:p>
      <w:pPr>
        <w:pStyle w:val="5"/>
      </w:pPr>
    </w:p>
    <w:p/>
    <w:p>
      <w:pPr>
        <w:pStyle w:val="5"/>
      </w:pPr>
    </w:p>
    <w:p/>
    <w:p>
      <w:pPr>
        <w:pStyle w:val="5"/>
      </w:pPr>
    </w:p>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p>
    <w:p>
      <w:pPr>
        <w:pStyle w:val="3"/>
        <w:tabs>
          <w:tab w:val="left" w:pos="1607"/>
        </w:tabs>
        <w:ind w:right="15"/>
        <w:jc w:val="center"/>
      </w:pPr>
      <w:r>
        <w:t>第二部分</w:t>
      </w:r>
      <w:r>
        <w:tab/>
      </w:r>
      <w:r>
        <w:t>供应商须知</w:t>
      </w:r>
    </w:p>
    <w:p>
      <w:pPr>
        <w:pStyle w:val="7"/>
        <w:ind w:left="0"/>
        <w:rPr>
          <w:b/>
          <w:sz w:val="20"/>
        </w:rPr>
      </w:pPr>
    </w:p>
    <w:p>
      <w:pPr>
        <w:pStyle w:val="7"/>
        <w:spacing w:before="7"/>
        <w:ind w:left="0"/>
        <w:rPr>
          <w:b/>
          <w:sz w:val="26"/>
        </w:rPr>
      </w:pPr>
    </w:p>
    <w:p>
      <w:pPr>
        <w:pStyle w:val="7"/>
        <w:tabs>
          <w:tab w:val="left" w:pos="980"/>
        </w:tabs>
        <w:spacing w:before="67"/>
      </w:pPr>
      <w:r>
        <w:rPr>
          <w:u w:val="single"/>
        </w:rPr>
        <w:t>目</w:t>
      </w:r>
      <w:r>
        <w:rPr>
          <w:u w:val="single"/>
        </w:rPr>
        <w:tab/>
      </w:r>
      <w:r>
        <w:rPr>
          <w:u w:val="single"/>
        </w:rPr>
        <w:t>录</w:t>
      </w:r>
    </w:p>
    <w:p>
      <w:pPr>
        <w:pStyle w:val="7"/>
        <w:ind w:left="0"/>
        <w:rPr>
          <w:sz w:val="20"/>
        </w:rPr>
      </w:pPr>
    </w:p>
    <w:p>
      <w:pPr>
        <w:pStyle w:val="7"/>
        <w:spacing w:before="11"/>
        <w:ind w:left="0"/>
        <w:rPr>
          <w:sz w:val="19"/>
        </w:rPr>
      </w:pPr>
    </w:p>
    <w:p>
      <w:pPr>
        <w:pStyle w:val="23"/>
        <w:numPr>
          <w:ilvl w:val="0"/>
          <w:numId w:val="2"/>
        </w:numPr>
        <w:tabs>
          <w:tab w:val="left" w:pos="621"/>
        </w:tabs>
        <w:spacing w:before="0"/>
        <w:ind w:hanging="360"/>
        <w:rPr>
          <w:sz w:val="24"/>
        </w:rPr>
      </w:pPr>
      <w:r>
        <w:rPr>
          <w:sz w:val="24"/>
        </w:rPr>
        <w:t>说明</w:t>
      </w:r>
    </w:p>
    <w:p>
      <w:pPr>
        <w:pStyle w:val="23"/>
        <w:numPr>
          <w:ilvl w:val="0"/>
          <w:numId w:val="3"/>
        </w:numPr>
        <w:tabs>
          <w:tab w:val="left" w:pos="463"/>
        </w:tabs>
        <w:spacing w:before="100"/>
        <w:ind w:hanging="202"/>
        <w:rPr>
          <w:sz w:val="24"/>
        </w:rPr>
      </w:pPr>
      <w:r>
        <w:rPr>
          <w:sz w:val="24"/>
        </w:rPr>
        <w:t>适用范围</w:t>
      </w:r>
    </w:p>
    <w:p>
      <w:pPr>
        <w:pStyle w:val="23"/>
        <w:numPr>
          <w:ilvl w:val="0"/>
          <w:numId w:val="3"/>
        </w:numPr>
        <w:tabs>
          <w:tab w:val="left" w:pos="463"/>
        </w:tabs>
        <w:spacing w:before="103"/>
        <w:ind w:hanging="202"/>
        <w:rPr>
          <w:sz w:val="24"/>
        </w:rPr>
      </w:pPr>
      <w:r>
        <w:rPr>
          <w:sz w:val="24"/>
        </w:rPr>
        <w:t>定义</w:t>
      </w:r>
    </w:p>
    <w:p>
      <w:pPr>
        <w:pStyle w:val="23"/>
        <w:numPr>
          <w:ilvl w:val="0"/>
          <w:numId w:val="3"/>
        </w:numPr>
        <w:tabs>
          <w:tab w:val="left" w:pos="463"/>
        </w:tabs>
        <w:ind w:hanging="202"/>
        <w:rPr>
          <w:sz w:val="24"/>
        </w:rPr>
      </w:pPr>
      <w:r>
        <w:rPr>
          <w:sz w:val="24"/>
        </w:rPr>
        <w:t>合格的供应商</w:t>
      </w:r>
    </w:p>
    <w:p>
      <w:pPr>
        <w:pStyle w:val="23"/>
        <w:numPr>
          <w:ilvl w:val="0"/>
          <w:numId w:val="3"/>
        </w:numPr>
        <w:tabs>
          <w:tab w:val="left" w:pos="463"/>
        </w:tabs>
        <w:spacing w:before="103"/>
        <w:ind w:hanging="202"/>
        <w:rPr>
          <w:sz w:val="24"/>
        </w:rPr>
      </w:pPr>
      <w:r>
        <w:rPr>
          <w:sz w:val="24"/>
        </w:rPr>
        <w:t>供应商资格</w:t>
      </w:r>
    </w:p>
    <w:p>
      <w:pPr>
        <w:pStyle w:val="23"/>
        <w:numPr>
          <w:ilvl w:val="0"/>
          <w:numId w:val="3"/>
        </w:numPr>
        <w:tabs>
          <w:tab w:val="left" w:pos="463"/>
        </w:tabs>
        <w:ind w:hanging="202"/>
        <w:rPr>
          <w:sz w:val="24"/>
        </w:rPr>
      </w:pPr>
      <w:r>
        <w:rPr>
          <w:sz w:val="24"/>
        </w:rPr>
        <w:t>投标费用</w:t>
      </w:r>
    </w:p>
    <w:p>
      <w:pPr>
        <w:pStyle w:val="23"/>
        <w:numPr>
          <w:ilvl w:val="0"/>
          <w:numId w:val="2"/>
        </w:numPr>
        <w:tabs>
          <w:tab w:val="left" w:pos="621"/>
        </w:tabs>
        <w:spacing w:before="103"/>
        <w:ind w:hanging="360"/>
        <w:rPr>
          <w:sz w:val="24"/>
        </w:rPr>
      </w:pPr>
      <w:r>
        <w:rPr>
          <w:sz w:val="24"/>
        </w:rPr>
        <w:t>采购文件</w:t>
      </w:r>
    </w:p>
    <w:p>
      <w:pPr>
        <w:pStyle w:val="23"/>
        <w:numPr>
          <w:ilvl w:val="0"/>
          <w:numId w:val="3"/>
        </w:numPr>
        <w:tabs>
          <w:tab w:val="left" w:pos="463"/>
        </w:tabs>
        <w:spacing w:before="100"/>
        <w:ind w:hanging="202"/>
        <w:rPr>
          <w:sz w:val="24"/>
        </w:rPr>
      </w:pPr>
      <w:r>
        <w:rPr>
          <w:sz w:val="24"/>
        </w:rPr>
        <w:t>采购文件构成</w:t>
      </w:r>
    </w:p>
    <w:p>
      <w:pPr>
        <w:pStyle w:val="23"/>
        <w:numPr>
          <w:ilvl w:val="0"/>
          <w:numId w:val="3"/>
        </w:numPr>
        <w:tabs>
          <w:tab w:val="left" w:pos="463"/>
        </w:tabs>
        <w:ind w:hanging="202"/>
        <w:rPr>
          <w:sz w:val="24"/>
        </w:rPr>
      </w:pPr>
      <w:r>
        <w:rPr>
          <w:sz w:val="24"/>
        </w:rPr>
        <w:t>采购文件澄清</w:t>
      </w:r>
    </w:p>
    <w:p>
      <w:pPr>
        <w:pStyle w:val="23"/>
        <w:numPr>
          <w:ilvl w:val="0"/>
          <w:numId w:val="3"/>
        </w:numPr>
        <w:tabs>
          <w:tab w:val="left" w:pos="463"/>
        </w:tabs>
        <w:spacing w:before="103"/>
        <w:ind w:hanging="202"/>
        <w:rPr>
          <w:sz w:val="24"/>
        </w:rPr>
      </w:pPr>
      <w:r>
        <w:rPr>
          <w:sz w:val="24"/>
        </w:rPr>
        <w:t>采购文件的修改</w:t>
      </w:r>
    </w:p>
    <w:p>
      <w:pPr>
        <w:pStyle w:val="23"/>
        <w:numPr>
          <w:ilvl w:val="0"/>
          <w:numId w:val="2"/>
        </w:numPr>
        <w:tabs>
          <w:tab w:val="left" w:pos="621"/>
        </w:tabs>
        <w:spacing w:before="100"/>
        <w:ind w:hanging="360"/>
        <w:rPr>
          <w:sz w:val="24"/>
        </w:rPr>
      </w:pPr>
      <w:r>
        <w:rPr>
          <w:sz w:val="24"/>
        </w:rPr>
        <w:t>投标文件的编写</w:t>
      </w:r>
    </w:p>
    <w:p>
      <w:pPr>
        <w:pStyle w:val="23"/>
        <w:numPr>
          <w:ilvl w:val="0"/>
          <w:numId w:val="3"/>
        </w:numPr>
        <w:tabs>
          <w:tab w:val="left" w:pos="463"/>
        </w:tabs>
        <w:spacing w:before="103"/>
        <w:ind w:hanging="202"/>
        <w:rPr>
          <w:sz w:val="24"/>
        </w:rPr>
      </w:pPr>
      <w:r>
        <w:rPr>
          <w:sz w:val="24"/>
        </w:rPr>
        <w:t>要求</w:t>
      </w:r>
    </w:p>
    <w:p>
      <w:pPr>
        <w:pStyle w:val="23"/>
        <w:numPr>
          <w:ilvl w:val="0"/>
          <w:numId w:val="3"/>
        </w:numPr>
        <w:tabs>
          <w:tab w:val="left" w:pos="597"/>
        </w:tabs>
        <w:ind w:left="596" w:hanging="336"/>
        <w:rPr>
          <w:sz w:val="24"/>
        </w:rPr>
      </w:pPr>
      <w:r>
        <w:rPr>
          <w:sz w:val="24"/>
        </w:rPr>
        <w:t>投标语言</w:t>
      </w:r>
    </w:p>
    <w:p>
      <w:pPr>
        <w:pStyle w:val="23"/>
        <w:numPr>
          <w:ilvl w:val="0"/>
          <w:numId w:val="3"/>
        </w:numPr>
        <w:tabs>
          <w:tab w:val="left" w:pos="597"/>
        </w:tabs>
        <w:spacing w:before="100"/>
        <w:ind w:left="596" w:hanging="336"/>
        <w:rPr>
          <w:sz w:val="24"/>
        </w:rPr>
      </w:pPr>
      <w:r>
        <w:rPr>
          <w:sz w:val="24"/>
        </w:rPr>
        <w:t>投标文件的构成</w:t>
      </w:r>
    </w:p>
    <w:p>
      <w:pPr>
        <w:pStyle w:val="23"/>
        <w:numPr>
          <w:ilvl w:val="0"/>
          <w:numId w:val="3"/>
        </w:numPr>
        <w:tabs>
          <w:tab w:val="left" w:pos="597"/>
        </w:tabs>
        <w:spacing w:before="103"/>
        <w:ind w:left="596" w:hanging="336"/>
        <w:rPr>
          <w:sz w:val="24"/>
        </w:rPr>
      </w:pPr>
      <w:r>
        <w:rPr>
          <w:sz w:val="24"/>
        </w:rPr>
        <w:t>投标文件格式</w:t>
      </w:r>
    </w:p>
    <w:p>
      <w:pPr>
        <w:pStyle w:val="23"/>
        <w:numPr>
          <w:ilvl w:val="0"/>
          <w:numId w:val="3"/>
        </w:numPr>
        <w:tabs>
          <w:tab w:val="left" w:pos="597"/>
        </w:tabs>
        <w:ind w:left="596" w:hanging="336"/>
        <w:rPr>
          <w:sz w:val="24"/>
        </w:rPr>
      </w:pPr>
      <w:r>
        <w:rPr>
          <w:sz w:val="24"/>
        </w:rPr>
        <w:t>投标报价</w:t>
      </w:r>
    </w:p>
    <w:p>
      <w:pPr>
        <w:pStyle w:val="23"/>
        <w:numPr>
          <w:ilvl w:val="0"/>
          <w:numId w:val="3"/>
        </w:numPr>
        <w:tabs>
          <w:tab w:val="left" w:pos="597"/>
        </w:tabs>
        <w:spacing w:before="103"/>
        <w:ind w:left="596" w:hanging="336"/>
        <w:rPr>
          <w:sz w:val="24"/>
        </w:rPr>
      </w:pPr>
      <w:r>
        <w:rPr>
          <w:sz w:val="24"/>
        </w:rPr>
        <w:t>投标货币</w:t>
      </w:r>
    </w:p>
    <w:p>
      <w:pPr>
        <w:pStyle w:val="23"/>
        <w:numPr>
          <w:ilvl w:val="0"/>
          <w:numId w:val="3"/>
        </w:numPr>
        <w:tabs>
          <w:tab w:val="left" w:pos="597"/>
        </w:tabs>
        <w:spacing w:before="100"/>
        <w:ind w:left="596" w:hanging="336"/>
        <w:rPr>
          <w:sz w:val="24"/>
        </w:rPr>
      </w:pPr>
      <w:r>
        <w:rPr>
          <w:spacing w:val="-1"/>
          <w:sz w:val="24"/>
        </w:rPr>
        <w:t>供应商资格的证明文件</w:t>
      </w:r>
    </w:p>
    <w:p>
      <w:pPr>
        <w:pStyle w:val="23"/>
        <w:numPr>
          <w:ilvl w:val="0"/>
          <w:numId w:val="3"/>
        </w:numPr>
        <w:tabs>
          <w:tab w:val="left" w:pos="597"/>
        </w:tabs>
        <w:spacing w:before="103"/>
        <w:ind w:left="596" w:hanging="336"/>
        <w:rPr>
          <w:sz w:val="24"/>
        </w:rPr>
      </w:pPr>
      <w:r>
        <w:rPr>
          <w:spacing w:val="-1"/>
          <w:sz w:val="24"/>
        </w:rPr>
        <w:t>投标货物符合采购文件规定的技术响应文件</w:t>
      </w:r>
    </w:p>
    <w:p>
      <w:pPr>
        <w:pStyle w:val="23"/>
        <w:numPr>
          <w:ilvl w:val="0"/>
          <w:numId w:val="3"/>
        </w:numPr>
        <w:tabs>
          <w:tab w:val="left" w:pos="597"/>
        </w:tabs>
        <w:ind w:left="596" w:hanging="336"/>
        <w:rPr>
          <w:sz w:val="24"/>
        </w:rPr>
      </w:pPr>
      <w:r>
        <w:rPr>
          <w:sz w:val="24"/>
        </w:rPr>
        <w:t>投标有效期</w:t>
      </w:r>
    </w:p>
    <w:p>
      <w:pPr>
        <w:pStyle w:val="23"/>
        <w:numPr>
          <w:ilvl w:val="0"/>
          <w:numId w:val="3"/>
        </w:numPr>
        <w:tabs>
          <w:tab w:val="left" w:pos="597"/>
        </w:tabs>
        <w:spacing w:before="100"/>
        <w:ind w:left="596" w:hanging="336"/>
        <w:rPr>
          <w:sz w:val="24"/>
        </w:rPr>
      </w:pPr>
      <w:r>
        <w:rPr>
          <w:spacing w:val="-1"/>
          <w:sz w:val="24"/>
        </w:rPr>
        <w:t>投标文件的书写要求</w:t>
      </w:r>
    </w:p>
    <w:p>
      <w:pPr>
        <w:pStyle w:val="23"/>
        <w:numPr>
          <w:ilvl w:val="0"/>
          <w:numId w:val="3"/>
        </w:numPr>
        <w:tabs>
          <w:tab w:val="left" w:pos="597"/>
        </w:tabs>
        <w:spacing w:before="103"/>
        <w:ind w:left="596" w:hanging="336"/>
        <w:rPr>
          <w:sz w:val="24"/>
        </w:rPr>
      </w:pPr>
      <w:r>
        <w:rPr>
          <w:sz w:val="24"/>
        </w:rPr>
        <w:t>投标保证金</w:t>
      </w:r>
    </w:p>
    <w:p>
      <w:pPr>
        <w:pStyle w:val="23"/>
        <w:numPr>
          <w:ilvl w:val="0"/>
          <w:numId w:val="2"/>
        </w:numPr>
        <w:tabs>
          <w:tab w:val="left" w:pos="621"/>
        </w:tabs>
        <w:ind w:hanging="360"/>
        <w:rPr>
          <w:sz w:val="24"/>
        </w:rPr>
      </w:pPr>
      <w:r>
        <w:rPr>
          <w:sz w:val="24"/>
        </w:rPr>
        <w:t>投标文件的递交</w:t>
      </w:r>
    </w:p>
    <w:p>
      <w:pPr>
        <w:pStyle w:val="23"/>
        <w:numPr>
          <w:ilvl w:val="0"/>
          <w:numId w:val="3"/>
        </w:numPr>
        <w:tabs>
          <w:tab w:val="left" w:pos="597"/>
        </w:tabs>
        <w:spacing w:before="102"/>
        <w:ind w:left="596" w:hanging="336"/>
        <w:rPr>
          <w:sz w:val="24"/>
        </w:rPr>
      </w:pPr>
      <w:r>
        <w:rPr>
          <w:spacing w:val="-1"/>
          <w:sz w:val="24"/>
        </w:rPr>
        <w:t>投标文件的密封与标记</w:t>
      </w:r>
    </w:p>
    <w:p>
      <w:pPr>
        <w:pStyle w:val="23"/>
        <w:numPr>
          <w:ilvl w:val="0"/>
          <w:numId w:val="3"/>
        </w:numPr>
        <w:tabs>
          <w:tab w:val="left" w:pos="597"/>
        </w:tabs>
        <w:spacing w:before="102"/>
        <w:ind w:left="596" w:hanging="336"/>
        <w:rPr>
          <w:sz w:val="24"/>
        </w:rPr>
      </w:pPr>
      <w:r>
        <w:rPr>
          <w:sz w:val="24"/>
        </w:rPr>
        <w:t>投标截止时间</w:t>
      </w:r>
    </w:p>
    <w:p>
      <w:pPr>
        <w:pStyle w:val="23"/>
        <w:numPr>
          <w:ilvl w:val="0"/>
          <w:numId w:val="3"/>
        </w:numPr>
        <w:tabs>
          <w:tab w:val="left" w:pos="597"/>
        </w:tabs>
        <w:spacing w:before="100"/>
        <w:ind w:left="596" w:hanging="336"/>
        <w:rPr>
          <w:sz w:val="24"/>
        </w:rPr>
      </w:pPr>
      <w:r>
        <w:rPr>
          <w:spacing w:val="-1"/>
          <w:sz w:val="24"/>
        </w:rPr>
        <w:t>投标文件的修改和撤销</w:t>
      </w:r>
    </w:p>
    <w:p>
      <w:pPr>
        <w:pStyle w:val="23"/>
        <w:numPr>
          <w:ilvl w:val="0"/>
          <w:numId w:val="2"/>
        </w:numPr>
        <w:tabs>
          <w:tab w:val="left" w:pos="621"/>
        </w:tabs>
        <w:spacing w:before="103"/>
        <w:ind w:hanging="360"/>
        <w:rPr>
          <w:sz w:val="24"/>
        </w:rPr>
      </w:pPr>
      <w:r>
        <w:rPr>
          <w:sz w:val="24"/>
        </w:rPr>
        <w:t>评标程序</w:t>
      </w:r>
    </w:p>
    <w:p>
      <w:pPr>
        <w:pStyle w:val="23"/>
        <w:numPr>
          <w:ilvl w:val="0"/>
          <w:numId w:val="3"/>
        </w:numPr>
        <w:tabs>
          <w:tab w:val="left" w:pos="597"/>
        </w:tabs>
        <w:spacing w:before="100"/>
        <w:ind w:left="596" w:hanging="336"/>
        <w:rPr>
          <w:sz w:val="24"/>
        </w:rPr>
      </w:pPr>
      <w:r>
        <w:rPr>
          <w:sz w:val="24"/>
        </w:rPr>
        <w:t>开标</w:t>
      </w:r>
    </w:p>
    <w:p>
      <w:pPr>
        <w:pStyle w:val="23"/>
        <w:numPr>
          <w:ilvl w:val="0"/>
          <w:numId w:val="3"/>
        </w:numPr>
        <w:tabs>
          <w:tab w:val="left" w:pos="597"/>
        </w:tabs>
        <w:spacing w:before="103"/>
        <w:ind w:left="596" w:hanging="336"/>
        <w:rPr>
          <w:sz w:val="24"/>
        </w:rPr>
      </w:pPr>
      <w:r>
        <w:rPr>
          <w:sz w:val="24"/>
        </w:rPr>
        <w:t>评标过程</w:t>
      </w:r>
    </w:p>
    <w:p>
      <w:pPr>
        <w:rPr>
          <w:sz w:val="24"/>
        </w:rPr>
        <w:sectPr>
          <w:footerReference r:id="rId3" w:type="default"/>
          <w:pgSz w:w="11910" w:h="16850"/>
          <w:pgMar w:top="1600" w:right="800" w:bottom="460" w:left="820" w:header="0" w:footer="191" w:gutter="0"/>
          <w:cols w:space="720" w:num="1"/>
        </w:sectPr>
      </w:pPr>
    </w:p>
    <w:p>
      <w:pPr>
        <w:pStyle w:val="23"/>
        <w:numPr>
          <w:ilvl w:val="0"/>
          <w:numId w:val="3"/>
        </w:numPr>
        <w:tabs>
          <w:tab w:val="left" w:pos="597"/>
        </w:tabs>
        <w:spacing w:before="49"/>
        <w:ind w:left="596" w:hanging="336"/>
        <w:rPr>
          <w:sz w:val="24"/>
        </w:rPr>
      </w:pPr>
      <w:r>
        <w:rPr>
          <w:sz w:val="24"/>
        </w:rPr>
        <w:t>投标文件的澄清</w:t>
      </w:r>
    </w:p>
    <w:p>
      <w:pPr>
        <w:pStyle w:val="23"/>
        <w:numPr>
          <w:ilvl w:val="0"/>
          <w:numId w:val="3"/>
        </w:numPr>
        <w:tabs>
          <w:tab w:val="left" w:pos="597"/>
        </w:tabs>
        <w:ind w:left="596" w:hanging="336"/>
        <w:rPr>
          <w:sz w:val="24"/>
        </w:rPr>
      </w:pPr>
      <w:r>
        <w:rPr>
          <w:sz w:val="24"/>
        </w:rPr>
        <w:t>对投标文件的评标</w:t>
      </w:r>
    </w:p>
    <w:p>
      <w:pPr>
        <w:pStyle w:val="23"/>
        <w:numPr>
          <w:ilvl w:val="0"/>
          <w:numId w:val="3"/>
        </w:numPr>
        <w:tabs>
          <w:tab w:val="left" w:pos="597"/>
        </w:tabs>
        <w:spacing w:before="103"/>
        <w:ind w:left="596" w:hanging="336"/>
        <w:rPr>
          <w:sz w:val="24"/>
        </w:rPr>
      </w:pPr>
      <w:r>
        <w:rPr>
          <w:sz w:val="24"/>
        </w:rPr>
        <w:t>评标过程的保密性</w:t>
      </w:r>
    </w:p>
    <w:p>
      <w:pPr>
        <w:pStyle w:val="23"/>
        <w:numPr>
          <w:ilvl w:val="0"/>
          <w:numId w:val="2"/>
        </w:numPr>
        <w:tabs>
          <w:tab w:val="left" w:pos="621"/>
        </w:tabs>
        <w:ind w:hanging="360"/>
        <w:rPr>
          <w:sz w:val="24"/>
        </w:rPr>
      </w:pPr>
      <w:r>
        <w:rPr>
          <w:sz w:val="24"/>
        </w:rPr>
        <w:t>授予合同</w:t>
      </w:r>
    </w:p>
    <w:p>
      <w:pPr>
        <w:pStyle w:val="23"/>
        <w:numPr>
          <w:ilvl w:val="0"/>
          <w:numId w:val="3"/>
        </w:numPr>
        <w:tabs>
          <w:tab w:val="left" w:pos="597"/>
        </w:tabs>
        <w:spacing w:before="103"/>
        <w:ind w:left="596" w:hanging="336"/>
        <w:rPr>
          <w:sz w:val="24"/>
        </w:rPr>
      </w:pPr>
      <w:r>
        <w:rPr>
          <w:sz w:val="24"/>
        </w:rPr>
        <w:t>合同授予标准</w:t>
      </w:r>
    </w:p>
    <w:p>
      <w:pPr>
        <w:pStyle w:val="23"/>
        <w:numPr>
          <w:ilvl w:val="0"/>
          <w:numId w:val="3"/>
        </w:numPr>
        <w:tabs>
          <w:tab w:val="left" w:pos="597"/>
        </w:tabs>
        <w:spacing w:before="100"/>
        <w:ind w:left="596" w:hanging="336"/>
        <w:rPr>
          <w:sz w:val="24"/>
        </w:rPr>
      </w:pPr>
      <w:r>
        <w:rPr>
          <w:spacing w:val="-1"/>
          <w:sz w:val="24"/>
        </w:rPr>
        <w:t>接受和拒绝任何或所有投标的权力</w:t>
      </w:r>
    </w:p>
    <w:p>
      <w:pPr>
        <w:pStyle w:val="23"/>
        <w:numPr>
          <w:ilvl w:val="0"/>
          <w:numId w:val="3"/>
        </w:numPr>
        <w:tabs>
          <w:tab w:val="left" w:pos="597"/>
        </w:tabs>
        <w:ind w:left="596" w:hanging="336"/>
        <w:rPr>
          <w:sz w:val="24"/>
        </w:rPr>
      </w:pPr>
      <w:r>
        <w:rPr>
          <w:sz w:val="24"/>
        </w:rPr>
        <w:t>中标通知书</w:t>
      </w:r>
    </w:p>
    <w:p>
      <w:pPr>
        <w:pStyle w:val="23"/>
        <w:numPr>
          <w:ilvl w:val="0"/>
          <w:numId w:val="3"/>
        </w:numPr>
        <w:tabs>
          <w:tab w:val="left" w:pos="597"/>
        </w:tabs>
        <w:spacing w:before="102"/>
        <w:ind w:left="596" w:hanging="336"/>
        <w:rPr>
          <w:sz w:val="24"/>
        </w:rPr>
      </w:pPr>
      <w:r>
        <w:rPr>
          <w:sz w:val="24"/>
        </w:rPr>
        <w:t>签订合同</w:t>
      </w:r>
    </w:p>
    <w:p>
      <w:pPr>
        <w:pStyle w:val="23"/>
        <w:numPr>
          <w:ilvl w:val="0"/>
          <w:numId w:val="3"/>
        </w:numPr>
        <w:tabs>
          <w:tab w:val="left" w:pos="597"/>
        </w:tabs>
        <w:ind w:left="596" w:hanging="336"/>
        <w:rPr>
          <w:sz w:val="24"/>
        </w:rPr>
      </w:pPr>
      <w:r>
        <w:rPr>
          <w:sz w:val="24"/>
        </w:rPr>
        <w:t>招标代理标服务费</w:t>
      </w:r>
    </w:p>
    <w:p>
      <w:pPr>
        <w:pStyle w:val="23"/>
        <w:numPr>
          <w:ilvl w:val="0"/>
          <w:numId w:val="2"/>
        </w:numPr>
        <w:tabs>
          <w:tab w:val="left" w:pos="621"/>
        </w:tabs>
        <w:spacing w:before="103"/>
        <w:ind w:hanging="360"/>
        <w:rPr>
          <w:sz w:val="24"/>
        </w:rPr>
      </w:pPr>
      <w:r>
        <w:rPr>
          <w:sz w:val="24"/>
        </w:rPr>
        <w:t>招标失败条件</w:t>
      </w:r>
    </w:p>
    <w:p>
      <w:pPr>
        <w:rPr>
          <w:sz w:val="24"/>
        </w:rPr>
        <w:sectPr>
          <w:pgSz w:w="11910" w:h="16850"/>
          <w:pgMar w:top="1440" w:right="800" w:bottom="460" w:left="820" w:header="0" w:footer="191" w:gutter="0"/>
          <w:cols w:space="720" w:num="1"/>
        </w:sectPr>
      </w:pPr>
    </w:p>
    <w:p>
      <w:pPr>
        <w:spacing w:before="46"/>
        <w:ind w:right="18"/>
        <w:jc w:val="center"/>
        <w:rPr>
          <w:b/>
          <w:sz w:val="28"/>
        </w:rPr>
      </w:pPr>
      <w:r>
        <w:rPr>
          <w:b/>
          <w:sz w:val="28"/>
        </w:rPr>
        <w:t>供应商须知附表</w:t>
      </w:r>
    </w:p>
    <w:p>
      <w:pPr>
        <w:pStyle w:val="7"/>
        <w:spacing w:before="8" w:after="1"/>
        <w:ind w:left="0"/>
        <w:rPr>
          <w:b/>
          <w:sz w:val="23"/>
        </w:rPr>
      </w:pPr>
    </w:p>
    <w:tbl>
      <w:tblPr>
        <w:tblStyle w:val="19"/>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4"/>
              <w:spacing w:before="50"/>
              <w:ind w:left="222"/>
              <w:rPr>
                <w:sz w:val="24"/>
              </w:rPr>
            </w:pPr>
            <w:r>
              <w:rPr>
                <w:sz w:val="24"/>
              </w:rPr>
              <w:t>序</w:t>
            </w:r>
          </w:p>
          <w:p>
            <w:pPr>
              <w:pStyle w:val="24"/>
              <w:spacing w:before="103"/>
              <w:ind w:left="222"/>
              <w:rPr>
                <w:sz w:val="24"/>
              </w:rPr>
            </w:pPr>
            <w:r>
              <w:rPr>
                <w:sz w:val="24"/>
              </w:rPr>
              <w:t>号</w:t>
            </w:r>
          </w:p>
        </w:tc>
        <w:tc>
          <w:tcPr>
            <w:tcW w:w="9278" w:type="dxa"/>
          </w:tcPr>
          <w:p>
            <w:pPr>
              <w:pStyle w:val="24"/>
              <w:spacing w:before="10"/>
              <w:rPr>
                <w:b/>
                <w:sz w:val="19"/>
              </w:rPr>
            </w:pPr>
          </w:p>
          <w:p>
            <w:pPr>
              <w:pStyle w:val="24"/>
              <w:tabs>
                <w:tab w:val="left" w:pos="966"/>
              </w:tabs>
              <w:ind w:left="6"/>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7" w:type="dxa"/>
            <w:vAlign w:val="center"/>
          </w:tcPr>
          <w:p>
            <w:pPr>
              <w:pStyle w:val="24"/>
              <w:spacing w:before="1"/>
              <w:ind w:left="9"/>
              <w:jc w:val="center"/>
              <w:rPr>
                <w:rFonts w:ascii="Arial"/>
                <w:sz w:val="24"/>
              </w:rPr>
            </w:pPr>
            <w:r>
              <w:rPr>
                <w:rFonts w:ascii="Arial"/>
                <w:w w:val="99"/>
                <w:sz w:val="24"/>
              </w:rPr>
              <w:t>1</w:t>
            </w:r>
          </w:p>
        </w:tc>
        <w:tc>
          <w:tcPr>
            <w:tcW w:w="9278" w:type="dxa"/>
          </w:tcPr>
          <w:p>
            <w:pPr>
              <w:pStyle w:val="24"/>
              <w:spacing w:before="50"/>
              <w:ind w:left="1306" w:leftChars="48" w:hanging="1200" w:hangingChars="500"/>
              <w:rPr>
                <w:rFonts w:hint="eastAsia" w:eastAsia="宋体"/>
                <w:color w:val="auto"/>
                <w:sz w:val="24"/>
                <w:lang w:eastAsia="zh-CN"/>
              </w:rPr>
            </w:pPr>
            <w:r>
              <w:rPr>
                <w:sz w:val="24"/>
              </w:rPr>
              <w:t>项</w:t>
            </w:r>
            <w:r>
              <w:rPr>
                <w:color w:val="auto"/>
                <w:sz w:val="24"/>
              </w:rPr>
              <w:t>目名称：</w:t>
            </w:r>
            <w:r>
              <w:rPr>
                <w:rFonts w:hint="eastAsia"/>
                <w:color w:val="auto"/>
                <w:sz w:val="24"/>
                <w:lang w:eastAsia="zh-CN"/>
              </w:rPr>
              <w:t>尼勒克县人民医院医疗服务与保障能力提升项目（包二）</w:t>
            </w:r>
            <w:r>
              <w:rPr>
                <w:rFonts w:hint="eastAsia"/>
                <w:color w:val="auto"/>
                <w:sz w:val="24"/>
                <w:lang w:val="en-US" w:eastAsia="zh-CN"/>
              </w:rPr>
              <w:t xml:space="preserve"> </w:t>
            </w:r>
          </w:p>
          <w:p>
            <w:pPr>
              <w:pStyle w:val="24"/>
              <w:spacing w:before="50"/>
              <w:ind w:left="107"/>
              <w:rPr>
                <w:rFonts w:hint="default" w:ascii="Arial" w:eastAsia="宋体"/>
                <w:sz w:val="24"/>
                <w:lang w:val="en-US" w:eastAsia="zh-CN"/>
              </w:rPr>
            </w:pPr>
            <w:r>
              <w:rPr>
                <w:color w:val="auto"/>
                <w:sz w:val="24"/>
              </w:rPr>
              <w:t>项目编号：</w:t>
            </w:r>
            <w:r>
              <w:rPr>
                <w:rFonts w:hint="eastAsia"/>
                <w:color w:val="auto"/>
                <w:sz w:val="24"/>
                <w:lang w:val="en-US" w:eastAsia="zh-CN"/>
              </w:rPr>
              <w:t>FZYL202212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dxa"/>
            <w:vAlign w:val="center"/>
          </w:tcPr>
          <w:p>
            <w:pPr>
              <w:pStyle w:val="24"/>
              <w:spacing w:before="50"/>
              <w:ind w:left="107"/>
              <w:jc w:val="center"/>
              <w:rPr>
                <w:sz w:val="24"/>
              </w:rPr>
            </w:pPr>
            <w:r>
              <w:rPr>
                <w:sz w:val="24"/>
              </w:rPr>
              <w:t>2</w:t>
            </w:r>
          </w:p>
        </w:tc>
        <w:tc>
          <w:tcPr>
            <w:tcW w:w="9278" w:type="dxa"/>
            <w:vAlign w:val="center"/>
          </w:tcPr>
          <w:p>
            <w:pPr>
              <w:pStyle w:val="24"/>
              <w:spacing w:before="50"/>
              <w:ind w:left="107"/>
              <w:rPr>
                <w:rFonts w:hint="eastAsia" w:eastAsia="宋体"/>
                <w:sz w:val="24"/>
                <w:lang w:eastAsia="zh-CN"/>
              </w:rPr>
            </w:pPr>
            <w:r>
              <w:rPr>
                <w:rFonts w:hint="eastAsia"/>
                <w:sz w:val="24"/>
                <w:lang w:val="en-US"/>
              </w:rPr>
              <w:t>招标人名称：</w:t>
            </w:r>
            <w:r>
              <w:rPr>
                <w:rFonts w:hint="eastAsia"/>
                <w:sz w:val="24"/>
                <w:lang w:val="en-US" w:eastAsia="zh-CN"/>
              </w:rPr>
              <w:t>尼勒克县人民医院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687" w:type="dxa"/>
          </w:tcPr>
          <w:p>
            <w:pPr>
              <w:pStyle w:val="24"/>
              <w:rPr>
                <w:b/>
                <w:sz w:val="26"/>
              </w:rPr>
            </w:pPr>
          </w:p>
          <w:p>
            <w:pPr>
              <w:pStyle w:val="24"/>
              <w:rPr>
                <w:b/>
                <w:sz w:val="26"/>
              </w:rPr>
            </w:pPr>
          </w:p>
          <w:p>
            <w:pPr>
              <w:pStyle w:val="24"/>
              <w:spacing w:before="218"/>
              <w:ind w:left="9"/>
              <w:jc w:val="center"/>
              <w:rPr>
                <w:rFonts w:ascii="Arial"/>
                <w:sz w:val="24"/>
              </w:rPr>
            </w:pPr>
            <w:r>
              <w:rPr>
                <w:rFonts w:ascii="Arial"/>
                <w:w w:val="99"/>
                <w:sz w:val="24"/>
              </w:rPr>
              <w:t>3</w:t>
            </w:r>
          </w:p>
        </w:tc>
        <w:tc>
          <w:tcPr>
            <w:tcW w:w="9278" w:type="dxa"/>
          </w:tcPr>
          <w:p>
            <w:pPr>
              <w:pStyle w:val="24"/>
              <w:spacing w:before="100"/>
              <w:jc w:val="both"/>
              <w:rPr>
                <w:color w:val="000000"/>
                <w:sz w:val="24"/>
                <w:szCs w:val="24"/>
              </w:rPr>
            </w:pPr>
            <w:r>
              <w:rPr>
                <w:rFonts w:hint="eastAsia"/>
                <w:sz w:val="24"/>
                <w:lang w:val="en-US"/>
              </w:rPr>
              <w:t xml:space="preserve"> 招标代理公司：</w:t>
            </w:r>
            <w:r>
              <w:rPr>
                <w:rFonts w:hint="eastAsia"/>
                <w:color w:val="000000"/>
                <w:sz w:val="24"/>
                <w:szCs w:val="24"/>
              </w:rPr>
              <w:t>法正项目管理集团有限公司</w:t>
            </w:r>
          </w:p>
          <w:p>
            <w:pPr>
              <w:pStyle w:val="24"/>
              <w:spacing w:before="100"/>
              <w:jc w:val="both"/>
              <w:rPr>
                <w:color w:val="000000"/>
                <w:sz w:val="24"/>
                <w:szCs w:val="24"/>
                <w:lang w:val="en-US"/>
              </w:rPr>
            </w:pPr>
            <w:r>
              <w:rPr>
                <w:rFonts w:hint="eastAsia"/>
                <w:color w:val="000000"/>
                <w:sz w:val="24"/>
                <w:szCs w:val="24"/>
                <w:lang w:val="en-US"/>
              </w:rPr>
              <w:t xml:space="preserve"> 单位地址：伊宁市新华西路58号3楼（呼勒佳宾馆院内）</w:t>
            </w:r>
          </w:p>
          <w:p>
            <w:pPr>
              <w:pStyle w:val="24"/>
              <w:spacing w:before="100"/>
              <w:jc w:val="both"/>
              <w:rPr>
                <w:sz w:val="24"/>
                <w:szCs w:val="24"/>
                <w:lang w:val="en-US"/>
              </w:rPr>
            </w:pPr>
            <w:r>
              <w:rPr>
                <w:rFonts w:hint="eastAsia"/>
                <w:color w:val="000000"/>
                <w:sz w:val="24"/>
                <w:szCs w:val="24"/>
                <w:lang w:val="en-US"/>
              </w:rPr>
              <w:t xml:space="preserve"> 联 系 人：刘婷           联系电话：</w:t>
            </w:r>
            <w:r>
              <w:rPr>
                <w:rFonts w:hint="eastAsia"/>
                <w:sz w:val="24"/>
                <w:szCs w:val="24"/>
                <w:lang w:val="en-US"/>
              </w:rPr>
              <w:t>15276327404</w:t>
            </w:r>
          </w:p>
          <w:p>
            <w:pPr>
              <w:pStyle w:val="24"/>
              <w:spacing w:before="100"/>
              <w:jc w:val="both"/>
              <w:rPr>
                <w:sz w:val="24"/>
                <w:szCs w:val="24"/>
                <w:lang w:val="en-US"/>
              </w:rPr>
            </w:pPr>
            <w:r>
              <w:rPr>
                <w:rFonts w:hint="eastAsia"/>
                <w:sz w:val="24"/>
                <w:szCs w:val="24"/>
                <w:lang w:val="en-US"/>
              </w:rPr>
              <w:t xml:space="preserve">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687" w:type="dxa"/>
          </w:tcPr>
          <w:p>
            <w:pPr>
              <w:pStyle w:val="24"/>
              <w:rPr>
                <w:b/>
                <w:sz w:val="26"/>
              </w:rPr>
            </w:pPr>
          </w:p>
          <w:p>
            <w:pPr>
              <w:pStyle w:val="24"/>
              <w:rPr>
                <w:b/>
                <w:sz w:val="26"/>
              </w:rPr>
            </w:pPr>
          </w:p>
          <w:p>
            <w:pPr>
              <w:pStyle w:val="24"/>
              <w:spacing w:before="11"/>
              <w:rPr>
                <w:b/>
                <w:sz w:val="32"/>
              </w:rPr>
            </w:pPr>
          </w:p>
          <w:p>
            <w:pPr>
              <w:pStyle w:val="24"/>
              <w:ind w:left="9"/>
              <w:jc w:val="center"/>
              <w:rPr>
                <w:rFonts w:ascii="Arial"/>
                <w:sz w:val="24"/>
              </w:rPr>
            </w:pPr>
            <w:r>
              <w:rPr>
                <w:rFonts w:ascii="Arial"/>
                <w:w w:val="99"/>
                <w:sz w:val="24"/>
              </w:rPr>
              <w:t>4</w:t>
            </w:r>
          </w:p>
        </w:tc>
        <w:tc>
          <w:tcPr>
            <w:tcW w:w="9278" w:type="dxa"/>
          </w:tcPr>
          <w:p>
            <w:pPr>
              <w:pStyle w:val="24"/>
              <w:spacing w:before="103"/>
              <w:ind w:left="107"/>
              <w:rPr>
                <w:rFonts w:hint="eastAsia" w:eastAsia="宋体"/>
                <w:sz w:val="24"/>
                <w:lang w:eastAsia="zh-CN"/>
              </w:rPr>
            </w:pPr>
            <w:r>
              <w:rPr>
                <w:rFonts w:hint="eastAsia"/>
                <w:sz w:val="24"/>
              </w:rPr>
              <w:t>投标保证金的形式：</w:t>
            </w:r>
            <w:r>
              <w:rPr>
                <w:rFonts w:hint="eastAsia"/>
                <w:sz w:val="24"/>
                <w:lang w:eastAsia="zh-CN"/>
              </w:rPr>
              <w:t>电汇或保函</w:t>
            </w:r>
          </w:p>
          <w:p>
            <w:pPr>
              <w:pStyle w:val="24"/>
              <w:spacing w:before="103"/>
              <w:ind w:left="107"/>
              <w:rPr>
                <w:rFonts w:hint="eastAsia" w:eastAsia="宋体"/>
                <w:sz w:val="24"/>
                <w:lang w:val="en-US" w:eastAsia="zh-CN"/>
              </w:rPr>
            </w:pPr>
            <w:r>
              <w:rPr>
                <w:rFonts w:hint="eastAsia"/>
                <w:sz w:val="24"/>
              </w:rPr>
              <w:t>投标保证金的金额：</w:t>
            </w:r>
            <w:r>
              <w:rPr>
                <w:rFonts w:hint="eastAsia"/>
                <w:sz w:val="24"/>
                <w:lang w:val="en-US" w:eastAsia="zh-CN"/>
              </w:rPr>
              <w:t>40000元</w:t>
            </w:r>
            <w:r>
              <w:rPr>
                <w:rFonts w:hint="eastAsia"/>
                <w:sz w:val="24"/>
                <w:lang w:eastAsia="zh-CN"/>
              </w:rPr>
              <w:t>。</w:t>
            </w:r>
          </w:p>
          <w:p>
            <w:pPr>
              <w:pStyle w:val="24"/>
              <w:spacing w:before="103"/>
              <w:ind w:left="107"/>
              <w:rPr>
                <w:sz w:val="24"/>
              </w:rPr>
            </w:pPr>
            <w:r>
              <w:rPr>
                <w:rFonts w:hint="eastAsia"/>
                <w:sz w:val="24"/>
              </w:rPr>
              <w:t>递交方式： 投标人将投标保证金从企业基本帐户汇至以下账户</w:t>
            </w:r>
          </w:p>
          <w:p>
            <w:pPr>
              <w:pStyle w:val="24"/>
              <w:spacing w:before="103"/>
              <w:ind w:left="107"/>
              <w:rPr>
                <w:sz w:val="24"/>
              </w:rPr>
            </w:pPr>
            <w:r>
              <w:rPr>
                <w:rFonts w:hint="eastAsia"/>
                <w:sz w:val="24"/>
              </w:rPr>
              <w:t>账户名称：法正项目管理集团有限公司伊犁分公司</w:t>
            </w:r>
          </w:p>
          <w:p>
            <w:pPr>
              <w:pStyle w:val="24"/>
              <w:spacing w:before="103"/>
              <w:ind w:left="107"/>
              <w:rPr>
                <w:sz w:val="24"/>
                <w:lang w:val="en-US"/>
              </w:rPr>
            </w:pPr>
            <w:r>
              <w:rPr>
                <w:rFonts w:hint="eastAsia"/>
                <w:sz w:val="24"/>
              </w:rPr>
              <w:t>开户银行</w:t>
            </w:r>
            <w:r>
              <w:rPr>
                <w:rFonts w:hint="eastAsia"/>
                <w:sz w:val="24"/>
                <w:lang w:val="en-US"/>
              </w:rPr>
              <w:t>: 中国农业银行股份有限公司伊宁新华支行</w:t>
            </w:r>
          </w:p>
          <w:p>
            <w:pPr>
              <w:pStyle w:val="24"/>
              <w:spacing w:before="103"/>
              <w:ind w:left="107"/>
              <w:rPr>
                <w:sz w:val="24"/>
                <w:lang w:val="en-US"/>
              </w:rPr>
            </w:pPr>
            <w:r>
              <w:rPr>
                <w:rFonts w:hint="eastAsia"/>
                <w:sz w:val="24"/>
              </w:rPr>
              <w:t>账号：</w:t>
            </w:r>
            <w:r>
              <w:rPr>
                <w:rFonts w:hint="eastAsia"/>
                <w:sz w:val="24"/>
                <w:lang w:val="en-US"/>
              </w:rPr>
              <w:t xml:space="preserve">30101001040003044 </w:t>
            </w:r>
          </w:p>
          <w:p>
            <w:pPr>
              <w:pStyle w:val="24"/>
              <w:spacing w:before="103"/>
              <w:ind w:left="107"/>
              <w:rPr>
                <w:sz w:val="24"/>
              </w:rPr>
            </w:pPr>
            <w:r>
              <w:rPr>
                <w:rFonts w:hint="eastAsia"/>
                <w:sz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tcPr>
          <w:p>
            <w:pPr>
              <w:pStyle w:val="24"/>
              <w:spacing w:before="86"/>
              <w:ind w:left="9"/>
              <w:jc w:val="center"/>
              <w:rPr>
                <w:rFonts w:ascii="Arial"/>
                <w:sz w:val="24"/>
              </w:rPr>
            </w:pPr>
            <w:r>
              <w:rPr>
                <w:rFonts w:ascii="Arial"/>
                <w:w w:val="99"/>
                <w:sz w:val="24"/>
              </w:rPr>
              <w:t>5</w:t>
            </w:r>
          </w:p>
        </w:tc>
        <w:tc>
          <w:tcPr>
            <w:tcW w:w="9278" w:type="dxa"/>
          </w:tcPr>
          <w:p>
            <w:pPr>
              <w:pStyle w:val="24"/>
              <w:spacing w:before="103"/>
              <w:ind w:left="107"/>
              <w:rPr>
                <w:sz w:val="24"/>
              </w:rPr>
            </w:pPr>
            <w:r>
              <w:rPr>
                <w:rFonts w:hint="eastAsia"/>
                <w:sz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4"/>
              <w:spacing w:before="86"/>
              <w:ind w:left="9"/>
              <w:jc w:val="center"/>
              <w:rPr>
                <w:rFonts w:ascii="Arial"/>
                <w:sz w:val="24"/>
              </w:rPr>
            </w:pPr>
            <w:r>
              <w:rPr>
                <w:rFonts w:ascii="Arial"/>
                <w:w w:val="99"/>
                <w:sz w:val="24"/>
              </w:rPr>
              <w:t>6</w:t>
            </w:r>
          </w:p>
        </w:tc>
        <w:tc>
          <w:tcPr>
            <w:tcW w:w="9278" w:type="dxa"/>
          </w:tcPr>
          <w:p>
            <w:pPr>
              <w:pStyle w:val="24"/>
              <w:spacing w:before="72"/>
              <w:ind w:left="107"/>
              <w:rPr>
                <w:sz w:val="24"/>
              </w:rPr>
            </w:pPr>
            <w:r>
              <w:rPr>
                <w:sz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87" w:type="dxa"/>
          </w:tcPr>
          <w:p>
            <w:pPr>
              <w:pStyle w:val="24"/>
              <w:rPr>
                <w:b/>
                <w:sz w:val="26"/>
              </w:rPr>
            </w:pPr>
          </w:p>
          <w:p>
            <w:pPr>
              <w:pStyle w:val="24"/>
              <w:rPr>
                <w:b/>
                <w:sz w:val="26"/>
              </w:rPr>
            </w:pPr>
          </w:p>
          <w:p>
            <w:pPr>
              <w:pStyle w:val="24"/>
              <w:rPr>
                <w:b/>
                <w:sz w:val="26"/>
              </w:rPr>
            </w:pPr>
          </w:p>
          <w:p>
            <w:pPr>
              <w:pStyle w:val="24"/>
              <w:rPr>
                <w:b/>
                <w:sz w:val="26"/>
              </w:rPr>
            </w:pPr>
          </w:p>
          <w:p>
            <w:pPr>
              <w:pStyle w:val="24"/>
              <w:spacing w:before="11"/>
              <w:rPr>
                <w:b/>
                <w:sz w:val="28"/>
              </w:rPr>
            </w:pPr>
          </w:p>
          <w:p>
            <w:pPr>
              <w:pStyle w:val="24"/>
              <w:jc w:val="center"/>
              <w:rPr>
                <w:rFonts w:ascii="Arial"/>
                <w:sz w:val="24"/>
              </w:rPr>
            </w:pPr>
            <w:r>
              <w:rPr>
                <w:rFonts w:hint="eastAsia" w:ascii="Arial"/>
                <w:w w:val="99"/>
                <w:sz w:val="24"/>
                <w:lang w:val="en-US"/>
              </w:rPr>
              <w:t>7</w:t>
            </w:r>
          </w:p>
        </w:tc>
        <w:tc>
          <w:tcPr>
            <w:tcW w:w="9278" w:type="dxa"/>
          </w:tcPr>
          <w:p>
            <w:pPr>
              <w:pStyle w:val="24"/>
              <w:spacing w:before="50"/>
              <w:ind w:left="107"/>
              <w:rPr>
                <w:b/>
                <w:sz w:val="24"/>
              </w:rPr>
            </w:pPr>
            <w:r>
              <w:rPr>
                <w:b/>
                <w:sz w:val="24"/>
              </w:rPr>
              <w:t>供应商资格标准：</w:t>
            </w:r>
          </w:p>
          <w:p>
            <w:pPr>
              <w:pStyle w:val="24"/>
              <w:spacing w:before="103"/>
              <w:ind w:left="107"/>
              <w:rPr>
                <w:rFonts w:hint="eastAsia"/>
                <w:sz w:val="24"/>
              </w:rPr>
            </w:pPr>
            <w:r>
              <w:rPr>
                <w:rFonts w:hint="eastAsia"/>
                <w:sz w:val="24"/>
              </w:rPr>
              <w:t xml:space="preserve">1.符合《中华人民共和国政府采购法》第二十二条的相关规定；  </w:t>
            </w:r>
          </w:p>
          <w:p>
            <w:pPr>
              <w:pStyle w:val="24"/>
              <w:spacing w:before="103"/>
              <w:ind w:left="107"/>
              <w:rPr>
                <w:rFonts w:hint="eastAsia"/>
                <w:sz w:val="24"/>
              </w:rPr>
            </w:pPr>
            <w:r>
              <w:rPr>
                <w:rFonts w:hint="eastAsia"/>
                <w:sz w:val="24"/>
              </w:rPr>
              <w:t>2.参加采购活动前三年内，在经营活动中没有重大违法记录(受行政主管部门的处罚不能参加投标);</w:t>
            </w:r>
          </w:p>
          <w:p>
            <w:pPr>
              <w:pStyle w:val="24"/>
              <w:spacing w:before="103"/>
              <w:ind w:left="107"/>
              <w:rPr>
                <w:sz w:val="24"/>
              </w:rPr>
            </w:pPr>
            <w:r>
              <w:rPr>
                <w:rFonts w:hint="eastAsia"/>
                <w:sz w:val="24"/>
              </w:rPr>
              <w:t>3.落实的政府采购政策：《政府采购促进中小企</w:t>
            </w:r>
            <w:bookmarkStart w:id="29" w:name="_GoBack"/>
            <w:bookmarkEnd w:id="29"/>
            <w:r>
              <w:rPr>
                <w:rFonts w:hint="eastAsia"/>
                <w:sz w:val="24"/>
              </w:rPr>
              <w:t>业发展管理办法》（财库〔2020〕46号）；《财政部 民政部 中国残疾人联合会关于促进残疾人就业政府采购政策的通知》财库〔2017〕141号。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tcPr>
          <w:p>
            <w:pPr>
              <w:pStyle w:val="24"/>
              <w:spacing w:before="89"/>
              <w:ind w:left="9"/>
              <w:jc w:val="center"/>
              <w:rPr>
                <w:rFonts w:ascii="Arial"/>
                <w:sz w:val="24"/>
              </w:rPr>
            </w:pPr>
            <w:r>
              <w:rPr>
                <w:rFonts w:hint="eastAsia" w:ascii="Arial"/>
                <w:w w:val="99"/>
                <w:sz w:val="24"/>
                <w:lang w:val="en-US"/>
              </w:rPr>
              <w:t>8</w:t>
            </w:r>
          </w:p>
        </w:tc>
        <w:tc>
          <w:tcPr>
            <w:tcW w:w="9278" w:type="dxa"/>
          </w:tcPr>
          <w:p>
            <w:pPr>
              <w:pStyle w:val="24"/>
              <w:spacing w:before="74"/>
              <w:ind w:left="107"/>
              <w:rPr>
                <w:b/>
                <w:sz w:val="24"/>
              </w:rPr>
            </w:pPr>
            <w:r>
              <w:rPr>
                <w:b/>
                <w:sz w:val="24"/>
              </w:rPr>
              <w:t>投标有效期：</w:t>
            </w:r>
            <w:r>
              <w:rPr>
                <w:rFonts w:ascii="Arial" w:eastAsia="Arial"/>
                <w:b/>
                <w:sz w:val="24"/>
                <w:u w:val="thick"/>
              </w:rPr>
              <w:t>90</w:t>
            </w:r>
            <w:r>
              <w:rPr>
                <w:b/>
                <w:sz w:val="24"/>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4"/>
              <w:spacing w:before="86"/>
              <w:ind w:left="183" w:right="174"/>
              <w:jc w:val="center"/>
              <w:rPr>
                <w:rFonts w:ascii="Arial"/>
                <w:sz w:val="24"/>
              </w:rPr>
            </w:pPr>
            <w:r>
              <w:rPr>
                <w:rFonts w:hint="eastAsia" w:ascii="Arial"/>
                <w:sz w:val="24"/>
                <w:lang w:val="en-US"/>
              </w:rPr>
              <w:t>9</w:t>
            </w:r>
          </w:p>
        </w:tc>
        <w:tc>
          <w:tcPr>
            <w:tcW w:w="9278" w:type="dxa"/>
          </w:tcPr>
          <w:p>
            <w:pPr>
              <w:pStyle w:val="24"/>
              <w:spacing w:before="72"/>
              <w:ind w:left="107"/>
              <w:rPr>
                <w:rFonts w:hint="eastAsia" w:eastAsia="宋体"/>
                <w:sz w:val="24"/>
                <w:lang w:eastAsia="zh-CN"/>
              </w:rPr>
            </w:pPr>
            <w:r>
              <w:rPr>
                <w:sz w:val="24"/>
              </w:rPr>
              <w:t>投标文件：一套正本，</w:t>
            </w:r>
            <w:r>
              <w:rPr>
                <w:rFonts w:hint="eastAsia"/>
                <w:sz w:val="24"/>
                <w:lang w:eastAsia="zh-CN"/>
              </w:rPr>
              <w:t>肆</w:t>
            </w:r>
            <w:r>
              <w:rPr>
                <w:sz w:val="24"/>
              </w:rPr>
              <w:t>套副本</w:t>
            </w:r>
            <w:r>
              <w:rPr>
                <w:rFonts w:hint="eastAsia"/>
                <w:sz w:val="24"/>
              </w:rPr>
              <w:t>、电子版一套单独封装（</w:t>
            </w:r>
            <w:r>
              <w:rPr>
                <w:rFonts w:hint="eastAsia"/>
                <w:sz w:val="24"/>
                <w:lang w:val="en-US"/>
              </w:rPr>
              <w:t>U盘及光盘各一个）、开标一览表单独密封一份</w:t>
            </w:r>
            <w:r>
              <w:rPr>
                <w:rFonts w:hint="eastAsia"/>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87" w:type="dxa"/>
          </w:tcPr>
          <w:p>
            <w:pPr>
              <w:pStyle w:val="24"/>
              <w:spacing w:before="3"/>
              <w:rPr>
                <w:b/>
                <w:sz w:val="21"/>
              </w:rPr>
            </w:pPr>
          </w:p>
          <w:p>
            <w:pPr>
              <w:pStyle w:val="24"/>
              <w:ind w:left="177" w:right="180"/>
              <w:jc w:val="center"/>
              <w:rPr>
                <w:rFonts w:ascii="Arial"/>
                <w:sz w:val="24"/>
                <w:lang w:val="en-US"/>
              </w:rPr>
            </w:pPr>
            <w:r>
              <w:rPr>
                <w:rFonts w:hint="eastAsia" w:ascii="Arial"/>
                <w:sz w:val="24"/>
                <w:lang w:val="en-US"/>
              </w:rPr>
              <w:t>10</w:t>
            </w:r>
          </w:p>
        </w:tc>
        <w:tc>
          <w:tcPr>
            <w:tcW w:w="9278" w:type="dxa"/>
          </w:tcPr>
          <w:p>
            <w:pPr>
              <w:pStyle w:val="24"/>
              <w:spacing w:before="50"/>
              <w:ind w:left="107"/>
              <w:rPr>
                <w:sz w:val="24"/>
              </w:rPr>
            </w:pPr>
            <w:r>
              <w:rPr>
                <w:sz w:val="24"/>
              </w:rPr>
              <w:t>投标文件以密封形式递交至：开标现场</w:t>
            </w:r>
          </w:p>
          <w:p>
            <w:pPr>
              <w:pStyle w:val="24"/>
              <w:spacing w:before="103"/>
              <w:ind w:left="107"/>
              <w:rPr>
                <w:sz w:val="24"/>
              </w:rPr>
            </w:pPr>
            <w:r>
              <w:rPr>
                <w:sz w:val="24"/>
              </w:rPr>
              <w:t>投标文件递交截止时间：20</w:t>
            </w:r>
            <w:r>
              <w:rPr>
                <w:rFonts w:hint="eastAsia"/>
                <w:sz w:val="24"/>
                <w:lang w:val="en-US"/>
              </w:rPr>
              <w:t>2</w:t>
            </w:r>
            <w:r>
              <w:rPr>
                <w:rFonts w:hint="eastAsia"/>
                <w:sz w:val="24"/>
                <w:lang w:val="en-US" w:eastAsia="zh-CN"/>
              </w:rPr>
              <w:t>2</w:t>
            </w:r>
            <w:r>
              <w:rPr>
                <w:sz w:val="24"/>
              </w:rPr>
              <w:t>年</w:t>
            </w:r>
            <w:r>
              <w:rPr>
                <w:rFonts w:hint="eastAsia"/>
                <w:sz w:val="24"/>
                <w:lang w:val="en-US" w:eastAsia="zh-CN"/>
              </w:rPr>
              <w:t>05</w:t>
            </w:r>
            <w:r>
              <w:rPr>
                <w:sz w:val="24"/>
              </w:rPr>
              <w:t>月</w:t>
            </w:r>
            <w:r>
              <w:rPr>
                <w:rFonts w:hint="eastAsia"/>
                <w:sz w:val="24"/>
                <w:lang w:val="en-US" w:eastAsia="zh-CN"/>
              </w:rPr>
              <w:t>30</w:t>
            </w:r>
            <w:r>
              <w:rPr>
                <w:sz w:val="24"/>
              </w:rPr>
              <w:t>日</w:t>
            </w:r>
            <w:r>
              <w:rPr>
                <w:rFonts w:hint="eastAsia"/>
                <w:sz w:val="24"/>
                <w:lang w:val="en-US"/>
              </w:rPr>
              <w:t xml:space="preserve">   1</w:t>
            </w:r>
            <w:r>
              <w:rPr>
                <w:rFonts w:hint="eastAsia"/>
                <w:sz w:val="24"/>
                <w:lang w:val="en-US" w:eastAsia="zh-CN"/>
              </w:rPr>
              <w:t>6</w:t>
            </w:r>
            <w:r>
              <w:rPr>
                <w:rFonts w:hint="eastAsia"/>
                <w:sz w:val="24"/>
                <w:lang w:val="en-US"/>
              </w:rPr>
              <w:t>：</w:t>
            </w:r>
            <w:r>
              <w:rPr>
                <w:rFonts w:hint="eastAsia"/>
                <w:sz w:val="24"/>
                <w:lang w:val="en-US" w:eastAsia="zh-CN"/>
              </w:rPr>
              <w:t>3</w:t>
            </w:r>
            <w:r>
              <w:rPr>
                <w:rFonts w:hint="eastAsia"/>
                <w:sz w:val="24"/>
                <w:lang w:val="en-US"/>
              </w:rPr>
              <w:t>0</w:t>
            </w:r>
            <w:r>
              <w:rPr>
                <w:sz w:val="24"/>
              </w:rPr>
              <w:t xml:space="preserve"> 时（北京时间）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4"/>
              <w:spacing w:before="2"/>
              <w:rPr>
                <w:b/>
                <w:sz w:val="21"/>
              </w:rPr>
            </w:pPr>
          </w:p>
          <w:p>
            <w:pPr>
              <w:pStyle w:val="24"/>
              <w:ind w:left="183" w:right="174"/>
              <w:jc w:val="center"/>
              <w:rPr>
                <w:rFonts w:ascii="Arial"/>
                <w:sz w:val="24"/>
                <w:lang w:val="en-US"/>
              </w:rPr>
            </w:pPr>
            <w:r>
              <w:rPr>
                <w:rFonts w:hint="eastAsia" w:ascii="Arial"/>
                <w:sz w:val="24"/>
                <w:lang w:val="en-US"/>
              </w:rPr>
              <w:t>11</w:t>
            </w:r>
          </w:p>
        </w:tc>
        <w:tc>
          <w:tcPr>
            <w:tcW w:w="9278" w:type="dxa"/>
          </w:tcPr>
          <w:p>
            <w:pPr>
              <w:pStyle w:val="24"/>
              <w:spacing w:before="50"/>
              <w:ind w:left="107"/>
              <w:rPr>
                <w:sz w:val="24"/>
              </w:rPr>
            </w:pPr>
            <w:r>
              <w:rPr>
                <w:sz w:val="24"/>
              </w:rPr>
              <w:t>开标日期：20</w:t>
            </w:r>
            <w:r>
              <w:rPr>
                <w:rFonts w:hint="eastAsia"/>
                <w:sz w:val="24"/>
                <w:lang w:val="en-US"/>
              </w:rPr>
              <w:t>2</w:t>
            </w:r>
            <w:r>
              <w:rPr>
                <w:rFonts w:hint="eastAsia"/>
                <w:sz w:val="24"/>
                <w:lang w:val="en-US" w:eastAsia="zh-CN"/>
              </w:rPr>
              <w:t>2</w:t>
            </w:r>
            <w:r>
              <w:rPr>
                <w:sz w:val="24"/>
              </w:rPr>
              <w:t>年</w:t>
            </w:r>
            <w:r>
              <w:rPr>
                <w:rFonts w:hint="eastAsia"/>
                <w:sz w:val="24"/>
                <w:lang w:val="en-US" w:eastAsia="zh-CN"/>
              </w:rPr>
              <w:t>05</w:t>
            </w:r>
            <w:r>
              <w:rPr>
                <w:sz w:val="24"/>
              </w:rPr>
              <w:t>月</w:t>
            </w:r>
            <w:r>
              <w:rPr>
                <w:rFonts w:hint="eastAsia"/>
                <w:sz w:val="24"/>
                <w:lang w:val="en-US" w:eastAsia="zh-CN"/>
              </w:rPr>
              <w:t>30</w:t>
            </w:r>
            <w:r>
              <w:rPr>
                <w:sz w:val="24"/>
              </w:rPr>
              <w:t>日</w:t>
            </w:r>
            <w:r>
              <w:rPr>
                <w:rFonts w:hint="eastAsia"/>
                <w:sz w:val="24"/>
                <w:lang w:val="en-US"/>
              </w:rPr>
              <w:t xml:space="preserve">   1</w:t>
            </w:r>
            <w:r>
              <w:rPr>
                <w:rFonts w:hint="eastAsia"/>
                <w:sz w:val="24"/>
                <w:lang w:val="en-US" w:eastAsia="zh-CN"/>
              </w:rPr>
              <w:t>6</w:t>
            </w:r>
            <w:r>
              <w:rPr>
                <w:sz w:val="24"/>
              </w:rPr>
              <w:t>：</w:t>
            </w:r>
            <w:r>
              <w:rPr>
                <w:rFonts w:hint="eastAsia"/>
                <w:sz w:val="24"/>
                <w:lang w:val="en-US" w:eastAsia="zh-CN"/>
              </w:rPr>
              <w:t>3</w:t>
            </w:r>
            <w:r>
              <w:rPr>
                <w:rFonts w:hint="eastAsia"/>
                <w:sz w:val="24"/>
                <w:lang w:val="en-US"/>
              </w:rPr>
              <w:t>0</w:t>
            </w:r>
            <w:r>
              <w:rPr>
                <w:sz w:val="24"/>
              </w:rPr>
              <w:t xml:space="preserve"> 时（北京时间）</w:t>
            </w:r>
          </w:p>
          <w:p>
            <w:pPr>
              <w:pStyle w:val="24"/>
              <w:spacing w:before="103"/>
              <w:ind w:left="107"/>
              <w:rPr>
                <w:rFonts w:hint="eastAsia" w:eastAsia="宋体"/>
                <w:sz w:val="24"/>
                <w:lang w:eastAsia="zh-CN"/>
              </w:rPr>
            </w:pPr>
            <w:r>
              <w:rPr>
                <w:sz w:val="24"/>
              </w:rPr>
              <w:t>开标地点：</w:t>
            </w:r>
            <w:r>
              <w:rPr>
                <w:rFonts w:hint="eastAsia" w:ascii="Times New Roman" w:cs="Times New Roman"/>
                <w:kern w:val="2"/>
                <w:sz w:val="24"/>
                <w:szCs w:val="24"/>
                <w:lang w:val="en-US" w:eastAsia="zh-CN" w:bidi="ar-SA"/>
              </w:rPr>
              <w:t>伊宁市海棠路铂科瑞特酒店三楼会议室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4"/>
              <w:spacing w:before="50"/>
              <w:ind w:left="7"/>
              <w:jc w:val="center"/>
              <w:rPr>
                <w:sz w:val="24"/>
              </w:rPr>
            </w:pPr>
            <w:r>
              <w:rPr>
                <w:sz w:val="24"/>
              </w:rPr>
              <w:t>授  予  合  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965" w:type="dxa"/>
            <w:gridSpan w:val="2"/>
          </w:tcPr>
          <w:p>
            <w:pPr>
              <w:pStyle w:val="24"/>
              <w:spacing w:before="50" w:line="319" w:lineRule="auto"/>
              <w:ind w:left="107" w:right="4"/>
              <w:rPr>
                <w:sz w:val="24"/>
              </w:rPr>
            </w:pPr>
            <w:r>
              <w:rPr>
                <w:sz w:val="24"/>
              </w:rPr>
              <w:t>适用于本供应商须知的额外增加的变动：招标代理服务费由中标方向</w:t>
            </w:r>
            <w:r>
              <w:rPr>
                <w:rFonts w:hint="eastAsia"/>
                <w:sz w:val="24"/>
              </w:rPr>
              <w:t>法正项目管理集团有限公司</w:t>
            </w:r>
            <w:r>
              <w:rPr>
                <w:sz w:val="24"/>
              </w:rPr>
              <w:t>支付， 招标代理服务费</w:t>
            </w:r>
            <w:r>
              <w:rPr>
                <w:rFonts w:hint="eastAsia"/>
                <w:sz w:val="24"/>
              </w:rPr>
              <w:t>参考</w:t>
            </w:r>
            <w:r>
              <w:rPr>
                <w:sz w:val="24"/>
              </w:rPr>
              <w:t>国家计委计价格【</w:t>
            </w:r>
            <w:r>
              <w:rPr>
                <w:rFonts w:ascii="Arial" w:eastAsia="Arial"/>
                <w:sz w:val="24"/>
              </w:rPr>
              <w:t>2002</w:t>
            </w:r>
            <w:r>
              <w:rPr>
                <w:sz w:val="24"/>
              </w:rPr>
              <w:t>】</w:t>
            </w:r>
            <w:r>
              <w:rPr>
                <w:rFonts w:ascii="Arial" w:eastAsia="Arial"/>
                <w:sz w:val="24"/>
              </w:rPr>
              <w:t xml:space="preserve">1980 </w:t>
            </w:r>
            <w:r>
              <w:rPr>
                <w:sz w:val="24"/>
              </w:rPr>
              <w:t>号文件和发改委【</w:t>
            </w:r>
            <w:r>
              <w:rPr>
                <w:rFonts w:ascii="Arial" w:eastAsia="Arial"/>
                <w:sz w:val="24"/>
              </w:rPr>
              <w:t>2003</w:t>
            </w:r>
            <w:r>
              <w:rPr>
                <w:sz w:val="24"/>
              </w:rPr>
              <w:t>】</w:t>
            </w:r>
            <w:r>
              <w:rPr>
                <w:rFonts w:ascii="Arial" w:eastAsia="Arial"/>
                <w:sz w:val="24"/>
              </w:rPr>
              <w:t xml:space="preserve">857 </w:t>
            </w:r>
            <w:r>
              <w:rPr>
                <w:sz w:val="24"/>
              </w:rPr>
              <w:t>号文件规定的收费标准。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965" w:type="dxa"/>
            <w:gridSpan w:val="2"/>
          </w:tcPr>
          <w:p>
            <w:pPr>
              <w:pStyle w:val="24"/>
              <w:spacing w:before="96" w:line="304" w:lineRule="exact"/>
              <w:ind w:left="6"/>
              <w:jc w:val="center"/>
              <w:rPr>
                <w:sz w:val="24"/>
              </w:rPr>
            </w:pP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687" w:type="dxa"/>
          </w:tcPr>
          <w:p>
            <w:pPr>
              <w:pStyle w:val="24"/>
              <w:rPr>
                <w:b/>
                <w:sz w:val="26"/>
              </w:rPr>
            </w:pPr>
          </w:p>
          <w:p>
            <w:pPr>
              <w:pStyle w:val="24"/>
              <w:rPr>
                <w:b/>
                <w:sz w:val="27"/>
              </w:rPr>
            </w:pPr>
          </w:p>
          <w:p>
            <w:pPr>
              <w:pStyle w:val="24"/>
              <w:spacing w:before="1"/>
              <w:ind w:left="183" w:right="175"/>
              <w:jc w:val="center"/>
              <w:rPr>
                <w:rFonts w:ascii="Arial"/>
                <w:sz w:val="24"/>
                <w:lang w:val="en-US"/>
              </w:rPr>
            </w:pPr>
            <w:r>
              <w:rPr>
                <w:rFonts w:hint="eastAsia" w:ascii="Arial"/>
                <w:sz w:val="24"/>
                <w:lang w:val="en-US"/>
              </w:rPr>
              <w:t>12</w:t>
            </w:r>
          </w:p>
        </w:tc>
        <w:tc>
          <w:tcPr>
            <w:tcW w:w="9278" w:type="dxa"/>
          </w:tcPr>
          <w:p>
            <w:pPr>
              <w:pStyle w:val="24"/>
              <w:spacing w:before="50"/>
              <w:ind w:left="107"/>
              <w:rPr>
                <w:sz w:val="24"/>
              </w:rPr>
            </w:pPr>
            <w:r>
              <w:rPr>
                <w:sz w:val="24"/>
              </w:rPr>
              <w:t>采购代理机构名称：</w:t>
            </w:r>
            <w:r>
              <w:rPr>
                <w:rFonts w:hint="eastAsia"/>
                <w:sz w:val="24"/>
              </w:rPr>
              <w:t>法正项目管理集团有限公司</w:t>
            </w:r>
          </w:p>
          <w:p>
            <w:pPr>
              <w:pStyle w:val="24"/>
              <w:spacing w:before="103"/>
              <w:ind w:left="107"/>
              <w:rPr>
                <w:sz w:val="24"/>
              </w:rPr>
            </w:pPr>
            <w:r>
              <w:rPr>
                <w:sz w:val="24"/>
              </w:rPr>
              <w:t>详细地址：</w:t>
            </w:r>
            <w:r>
              <w:rPr>
                <w:rFonts w:hint="eastAsia"/>
                <w:sz w:val="24"/>
              </w:rPr>
              <w:t>伊宁市新华西路58号3楼（呼勒佳宾馆院内）</w:t>
            </w:r>
          </w:p>
          <w:p>
            <w:pPr>
              <w:pStyle w:val="24"/>
              <w:tabs>
                <w:tab w:val="left" w:pos="3828"/>
              </w:tabs>
              <w:spacing w:before="13" w:line="410" w:lineRule="exact"/>
              <w:ind w:left="107" w:right="3168"/>
              <w:rPr>
                <w:rFonts w:ascii="Arial"/>
                <w:sz w:val="24"/>
                <w:lang w:val="en-US"/>
              </w:rPr>
            </w:pPr>
            <w:r>
              <w:rPr>
                <w:sz w:val="24"/>
              </w:rPr>
              <w:t>联系 人：</w:t>
            </w:r>
            <w:r>
              <w:rPr>
                <w:rFonts w:hint="eastAsia"/>
                <w:sz w:val="24"/>
              </w:rPr>
              <w:t>刘婷</w:t>
            </w:r>
            <w:r>
              <w:rPr>
                <w:sz w:val="24"/>
              </w:rPr>
              <w:tab/>
            </w:r>
            <w:r>
              <w:rPr>
                <w:sz w:val="24"/>
              </w:rPr>
              <w:t>电话：</w:t>
            </w:r>
            <w:r>
              <w:rPr>
                <w:rFonts w:hint="eastAsia"/>
                <w:sz w:val="24"/>
                <w:lang w:val="en-US"/>
              </w:rPr>
              <w:t>15276327404</w:t>
            </w:r>
          </w:p>
        </w:tc>
      </w:tr>
    </w:tbl>
    <w:p>
      <w:pPr>
        <w:spacing w:line="410" w:lineRule="exact"/>
        <w:rPr>
          <w:rFonts w:ascii="Arial" w:eastAsia="Arial"/>
          <w:sz w:val="24"/>
        </w:rPr>
        <w:sectPr>
          <w:pgSz w:w="11910" w:h="16850"/>
          <w:pgMar w:top="1440" w:right="800" w:bottom="380" w:left="820" w:header="0" w:footer="191" w:gutter="0"/>
          <w:cols w:space="720" w:num="1"/>
        </w:sectPr>
      </w:pPr>
    </w:p>
    <w:p>
      <w:pPr>
        <w:pStyle w:val="4"/>
        <w:tabs>
          <w:tab w:val="left" w:pos="479"/>
        </w:tabs>
        <w:spacing w:before="145"/>
        <w:ind w:right="15"/>
      </w:pPr>
      <w:bookmarkStart w:id="2" w:name="_bookmark2"/>
      <w:bookmarkEnd w:id="2"/>
      <w:r>
        <w:rPr>
          <w:rFonts w:ascii="Arial" w:eastAsia="Arial"/>
        </w:rPr>
        <w:t>A</w:t>
      </w:r>
      <w:r>
        <w:rPr>
          <w:rFonts w:ascii="Arial" w:eastAsia="Arial"/>
        </w:rPr>
        <w:tab/>
      </w:r>
      <w:r>
        <w:t>说  明</w:t>
      </w:r>
    </w:p>
    <w:p>
      <w:pPr>
        <w:pStyle w:val="7"/>
        <w:spacing w:before="9"/>
        <w:ind w:left="0"/>
        <w:rPr>
          <w:b/>
          <w:sz w:val="27"/>
        </w:rPr>
      </w:pPr>
    </w:p>
    <w:p>
      <w:pPr>
        <w:pStyle w:val="23"/>
        <w:numPr>
          <w:ilvl w:val="1"/>
          <w:numId w:val="2"/>
        </w:numPr>
        <w:tabs>
          <w:tab w:val="left" w:pos="583"/>
        </w:tabs>
        <w:spacing w:before="1"/>
        <w:ind w:hanging="322"/>
        <w:rPr>
          <w:sz w:val="24"/>
        </w:rPr>
      </w:pPr>
      <w:r>
        <w:rPr>
          <w:sz w:val="24"/>
        </w:rPr>
        <w:t>适用范围</w:t>
      </w:r>
    </w:p>
    <w:p>
      <w:pPr>
        <w:pStyle w:val="23"/>
        <w:numPr>
          <w:ilvl w:val="2"/>
          <w:numId w:val="2"/>
        </w:numPr>
        <w:tabs>
          <w:tab w:val="left" w:pos="741"/>
        </w:tabs>
        <w:spacing w:before="100"/>
        <w:ind w:hanging="480"/>
        <w:rPr>
          <w:sz w:val="24"/>
        </w:rPr>
      </w:pPr>
      <w:r>
        <w:rPr>
          <w:sz w:val="24"/>
        </w:rPr>
        <w:t>本采购文件仅适用于本次投标邀请中所叙述项目的货物及服务采购。</w:t>
      </w:r>
    </w:p>
    <w:p>
      <w:pPr>
        <w:pStyle w:val="23"/>
        <w:numPr>
          <w:ilvl w:val="1"/>
          <w:numId w:val="2"/>
        </w:numPr>
        <w:tabs>
          <w:tab w:val="left" w:pos="636"/>
        </w:tabs>
        <w:spacing w:before="103"/>
        <w:ind w:left="635" w:hanging="375"/>
        <w:rPr>
          <w:sz w:val="24"/>
        </w:rPr>
      </w:pPr>
      <w:r>
        <w:rPr>
          <w:sz w:val="24"/>
        </w:rPr>
        <w:t>定义</w:t>
      </w:r>
    </w:p>
    <w:p>
      <w:pPr>
        <w:pStyle w:val="23"/>
        <w:numPr>
          <w:ilvl w:val="2"/>
          <w:numId w:val="2"/>
        </w:numPr>
        <w:tabs>
          <w:tab w:val="left" w:pos="663"/>
        </w:tabs>
        <w:ind w:left="662" w:hanging="402"/>
        <w:rPr>
          <w:sz w:val="24"/>
        </w:rPr>
      </w:pPr>
      <w:r>
        <w:rPr>
          <w:rFonts w:ascii="Arial" w:hAnsi="Arial" w:eastAsia="Arial"/>
          <w:sz w:val="24"/>
        </w:rPr>
        <w:t>“</w:t>
      </w:r>
      <w:r>
        <w:rPr>
          <w:sz w:val="24"/>
        </w:rPr>
        <w:t>招标代理机构</w:t>
      </w:r>
      <w:r>
        <w:rPr>
          <w:rFonts w:ascii="Arial" w:hAnsi="Arial" w:eastAsia="Arial"/>
          <w:sz w:val="24"/>
        </w:rPr>
        <w:t>”</w:t>
      </w:r>
      <w:r>
        <w:rPr>
          <w:spacing w:val="-2"/>
          <w:sz w:val="24"/>
        </w:rPr>
        <w:t>系指</w:t>
      </w:r>
      <w:r>
        <w:rPr>
          <w:rFonts w:hint="eastAsia"/>
          <w:spacing w:val="-2"/>
          <w:sz w:val="24"/>
        </w:rPr>
        <w:t>法正项目管理集团有限公司</w:t>
      </w:r>
      <w:r>
        <w:rPr>
          <w:spacing w:val="-2"/>
          <w:sz w:val="24"/>
        </w:rPr>
        <w:t>；</w:t>
      </w:r>
    </w:p>
    <w:p>
      <w:pPr>
        <w:pStyle w:val="23"/>
        <w:numPr>
          <w:ilvl w:val="2"/>
          <w:numId w:val="2"/>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spacing w:val="-1"/>
          <w:sz w:val="24"/>
          <w:lang w:eastAsia="zh-CN"/>
        </w:rPr>
        <w:t>尼勒克县人民医院</w:t>
      </w:r>
      <w:r>
        <w:rPr>
          <w:sz w:val="24"/>
        </w:rPr>
        <w:t>；</w:t>
      </w:r>
    </w:p>
    <w:p>
      <w:pPr>
        <w:pStyle w:val="23"/>
        <w:numPr>
          <w:ilvl w:val="2"/>
          <w:numId w:val="2"/>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系指向招标代理机构提交投标文件的制造商或代理商；</w:t>
      </w:r>
    </w:p>
    <w:p>
      <w:pPr>
        <w:pStyle w:val="23"/>
        <w:numPr>
          <w:ilvl w:val="2"/>
          <w:numId w:val="2"/>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23"/>
        <w:numPr>
          <w:ilvl w:val="1"/>
          <w:numId w:val="2"/>
        </w:numPr>
        <w:tabs>
          <w:tab w:val="left" w:pos="636"/>
        </w:tabs>
        <w:spacing w:before="103"/>
        <w:ind w:left="635" w:hanging="375"/>
        <w:rPr>
          <w:sz w:val="24"/>
        </w:rPr>
      </w:pPr>
      <w:r>
        <w:rPr>
          <w:sz w:val="24"/>
        </w:rPr>
        <w:t>合格的供应商</w:t>
      </w:r>
    </w:p>
    <w:p>
      <w:pPr>
        <w:pStyle w:val="23"/>
        <w:numPr>
          <w:ilvl w:val="2"/>
          <w:numId w:val="2"/>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23"/>
        <w:numPr>
          <w:ilvl w:val="2"/>
          <w:numId w:val="2"/>
        </w:numPr>
        <w:tabs>
          <w:tab w:val="left" w:pos="717"/>
        </w:tabs>
        <w:spacing w:before="1"/>
        <w:ind w:left="716" w:hanging="456"/>
        <w:rPr>
          <w:sz w:val="24"/>
        </w:rPr>
      </w:pPr>
      <w:r>
        <w:rPr>
          <w:spacing w:val="-1"/>
          <w:sz w:val="24"/>
        </w:rPr>
        <w:t>供应商必须遵守有关的国内法律和规章条例。</w:t>
      </w:r>
    </w:p>
    <w:p>
      <w:pPr>
        <w:pStyle w:val="23"/>
        <w:numPr>
          <w:ilvl w:val="1"/>
          <w:numId w:val="2"/>
        </w:numPr>
        <w:tabs>
          <w:tab w:val="left" w:pos="636"/>
        </w:tabs>
        <w:spacing w:before="100"/>
        <w:ind w:left="635" w:hanging="375"/>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23"/>
        <w:numPr>
          <w:ilvl w:val="1"/>
          <w:numId w:val="2"/>
        </w:numPr>
        <w:tabs>
          <w:tab w:val="left" w:pos="636"/>
        </w:tabs>
        <w:spacing w:before="103"/>
        <w:ind w:left="635" w:hanging="375"/>
        <w:rPr>
          <w:sz w:val="24"/>
        </w:rPr>
      </w:pPr>
      <w:r>
        <w:rPr>
          <w:sz w:val="24"/>
        </w:rPr>
        <w:t>投标费用</w:t>
      </w:r>
    </w:p>
    <w:p>
      <w:pPr>
        <w:pStyle w:val="23"/>
        <w:numPr>
          <w:ilvl w:val="2"/>
          <w:numId w:val="2"/>
        </w:numPr>
        <w:tabs>
          <w:tab w:val="left" w:pos="717"/>
        </w:tabs>
        <w:ind w:left="716" w:hanging="456"/>
        <w:rPr>
          <w:sz w:val="24"/>
        </w:rPr>
      </w:pPr>
      <w:r>
        <w:rPr>
          <w:spacing w:val="-1"/>
          <w:sz w:val="24"/>
        </w:rPr>
        <w:t>无论投标过程中的作法和结果如何，供应商将自行承担所有与参加投标有关的全部费用。</w:t>
      </w:r>
    </w:p>
    <w:p>
      <w:pPr>
        <w:pStyle w:val="7"/>
        <w:spacing w:before="12"/>
        <w:ind w:left="0"/>
        <w:rPr>
          <w:sz w:val="27"/>
        </w:rPr>
      </w:pPr>
    </w:p>
    <w:p>
      <w:pPr>
        <w:pStyle w:val="4"/>
        <w:tabs>
          <w:tab w:val="left" w:pos="484"/>
        </w:tabs>
        <w:ind w:right="18"/>
      </w:pPr>
      <w:bookmarkStart w:id="3" w:name="_bookmark3"/>
      <w:bookmarkEnd w:id="3"/>
      <w:r>
        <w:rPr>
          <w:rFonts w:ascii="Arial" w:eastAsia="Arial"/>
        </w:rPr>
        <w:t>B</w:t>
      </w:r>
      <w:r>
        <w:rPr>
          <w:rFonts w:ascii="Arial" w:eastAsia="Arial"/>
        </w:rPr>
        <w:tab/>
      </w:r>
      <w:r>
        <w:t>采购文件</w:t>
      </w:r>
    </w:p>
    <w:p>
      <w:pPr>
        <w:pStyle w:val="23"/>
        <w:numPr>
          <w:ilvl w:val="1"/>
          <w:numId w:val="2"/>
        </w:numPr>
        <w:tabs>
          <w:tab w:val="left" w:pos="636"/>
        </w:tabs>
        <w:spacing w:before="0"/>
        <w:ind w:left="635" w:hanging="375"/>
        <w:rPr>
          <w:sz w:val="24"/>
        </w:rPr>
      </w:pPr>
      <w:r>
        <w:rPr>
          <w:sz w:val="24"/>
        </w:rPr>
        <w:t>采购文件构成</w:t>
      </w:r>
    </w:p>
    <w:p>
      <w:pPr>
        <w:pStyle w:val="23"/>
        <w:numPr>
          <w:ilvl w:val="2"/>
          <w:numId w:val="2"/>
        </w:numPr>
        <w:tabs>
          <w:tab w:val="left" w:pos="657"/>
        </w:tabs>
        <w:spacing w:before="104"/>
        <w:ind w:left="656" w:hanging="396"/>
        <w:rPr>
          <w:sz w:val="24"/>
        </w:rPr>
      </w:pPr>
      <w:r>
        <w:rPr>
          <w:sz w:val="24"/>
        </w:rPr>
        <w:t>采购文件包括：</w:t>
      </w:r>
    </w:p>
    <w:p>
      <w:pPr>
        <w:pStyle w:val="7"/>
        <w:spacing w:before="100"/>
        <w:ind w:left="500"/>
      </w:pPr>
      <w:r>
        <w:t>⑴投标</w:t>
      </w:r>
      <w:r>
        <w:rPr>
          <w:rFonts w:hint="eastAsia"/>
        </w:rPr>
        <w:t>书</w:t>
      </w:r>
      <w:r>
        <w:t xml:space="preserve">； </w:t>
      </w:r>
    </w:p>
    <w:p>
      <w:pPr>
        <w:pStyle w:val="7"/>
        <w:spacing w:before="103"/>
        <w:ind w:left="500"/>
      </w:pPr>
      <w:r>
        <w:t xml:space="preserve">⑵供应商须知； </w:t>
      </w:r>
    </w:p>
    <w:p>
      <w:pPr>
        <w:pStyle w:val="7"/>
        <w:spacing w:before="100"/>
        <w:ind w:left="500"/>
      </w:pPr>
      <w:r>
        <w:t xml:space="preserve">⑶货物需求一览表及技术规格； </w:t>
      </w:r>
    </w:p>
    <w:p>
      <w:pPr>
        <w:pStyle w:val="7"/>
        <w:spacing w:before="101"/>
        <w:ind w:left="500"/>
      </w:pPr>
      <w:r>
        <w:rPr>
          <w:spacing w:val="-1"/>
        </w:rPr>
        <w:t xml:space="preserve">⑷合同一般条款； </w:t>
      </w:r>
    </w:p>
    <w:p>
      <w:pPr>
        <w:pStyle w:val="7"/>
        <w:spacing w:before="103"/>
        <w:ind w:left="500"/>
      </w:pPr>
      <w:r>
        <w:rPr>
          <w:spacing w:val="-1"/>
        </w:rPr>
        <w:t xml:space="preserve">⑸合同特殊条款； </w:t>
      </w:r>
    </w:p>
    <w:p>
      <w:pPr>
        <w:pStyle w:val="7"/>
        <w:spacing w:before="100"/>
        <w:ind w:left="500"/>
      </w:pPr>
      <w:r>
        <w:t xml:space="preserve">⑹范本格式。 </w:t>
      </w:r>
    </w:p>
    <w:p>
      <w:pPr>
        <w:pStyle w:val="23"/>
        <w:numPr>
          <w:ilvl w:val="2"/>
          <w:numId w:val="2"/>
        </w:numPr>
        <w:tabs>
          <w:tab w:val="left" w:pos="717"/>
        </w:tabs>
        <w:spacing w:before="103"/>
        <w:ind w:left="716" w:hanging="456"/>
        <w:rPr>
          <w:sz w:val="24"/>
        </w:rPr>
      </w:pPr>
      <w:r>
        <w:rPr>
          <w:spacing w:val="-1"/>
          <w:sz w:val="24"/>
        </w:rPr>
        <w:t>采购文件以中文编写。</w:t>
      </w:r>
    </w:p>
    <w:p>
      <w:pPr>
        <w:pStyle w:val="23"/>
        <w:numPr>
          <w:ilvl w:val="2"/>
          <w:numId w:val="2"/>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23"/>
        <w:numPr>
          <w:ilvl w:val="1"/>
          <w:numId w:val="2"/>
        </w:numPr>
        <w:tabs>
          <w:tab w:val="left" w:pos="636"/>
        </w:tabs>
        <w:spacing w:before="0"/>
        <w:ind w:left="635" w:hanging="375"/>
        <w:rPr>
          <w:sz w:val="24"/>
        </w:rPr>
      </w:pPr>
      <w:r>
        <w:rPr>
          <w:sz w:val="24"/>
        </w:rPr>
        <w:t>采购文件澄清</w:t>
      </w:r>
    </w:p>
    <w:p>
      <w:pPr>
        <w:pStyle w:val="23"/>
        <w:numPr>
          <w:ilvl w:val="2"/>
          <w:numId w:val="2"/>
        </w:numPr>
        <w:tabs>
          <w:tab w:val="left" w:pos="686"/>
        </w:tabs>
        <w:spacing w:before="103" w:line="319" w:lineRule="auto"/>
        <w:ind w:right="268" w:hanging="480"/>
      </w:pPr>
      <w:r>
        <w:rPr>
          <w:spacing w:val="-3"/>
          <w:sz w:val="24"/>
        </w:rPr>
        <w:t xml:space="preserve">供应商对采购文件有疑问的，须在投标截止时间 </w:t>
      </w:r>
      <w:r>
        <w:rPr>
          <w:rFonts w:ascii="Arial" w:eastAsia="Arial"/>
          <w:sz w:val="24"/>
        </w:rPr>
        <w:t>15</w:t>
      </w:r>
      <w:r>
        <w:rPr>
          <w:spacing w:val="-1"/>
          <w:sz w:val="24"/>
        </w:rPr>
        <w:t>日前以书面形式向招标机构提出；招</w:t>
      </w:r>
      <w:r>
        <w:rPr>
          <w:sz w:val="24"/>
        </w:rPr>
        <w:t>标机构在收到书面疑问后尽快做出答复，并以书面形式通知疑问供应商和其他有关供应</w:t>
      </w:r>
      <w:r>
        <w:t>商。</w:t>
      </w:r>
    </w:p>
    <w:p>
      <w:pPr>
        <w:pStyle w:val="23"/>
        <w:numPr>
          <w:ilvl w:val="2"/>
          <w:numId w:val="2"/>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个工作日内，以书面形式向招标</w:t>
      </w:r>
      <w:r>
        <w:rPr>
          <w:spacing w:val="-10"/>
          <w:sz w:val="24"/>
        </w:rPr>
        <w:t xml:space="preserve">机构提出质疑；招标机构在收到书面质疑后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23"/>
        <w:numPr>
          <w:ilvl w:val="1"/>
          <w:numId w:val="2"/>
        </w:numPr>
        <w:tabs>
          <w:tab w:val="left" w:pos="701"/>
          <w:tab w:val="left" w:pos="703"/>
        </w:tabs>
        <w:spacing w:before="2"/>
        <w:ind w:left="702" w:hanging="442"/>
        <w:rPr>
          <w:sz w:val="24"/>
        </w:rPr>
      </w:pPr>
      <w:r>
        <w:rPr>
          <w:sz w:val="24"/>
        </w:rPr>
        <w:t>采购文件的修改</w:t>
      </w:r>
    </w:p>
    <w:p>
      <w:pPr>
        <w:pStyle w:val="23"/>
        <w:numPr>
          <w:ilvl w:val="2"/>
          <w:numId w:val="2"/>
        </w:numPr>
        <w:tabs>
          <w:tab w:val="left" w:pos="717"/>
        </w:tabs>
        <w:spacing w:line="319" w:lineRule="auto"/>
        <w:ind w:right="276" w:hanging="480"/>
        <w:rPr>
          <w:sz w:val="24"/>
        </w:rPr>
      </w:pPr>
      <w:r>
        <w:rPr>
          <w:spacing w:val="-3"/>
          <w:sz w:val="24"/>
        </w:rPr>
        <w:t xml:space="preserve">对采购文件进行必要的修改，招标代理机构将在投标截止时间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23"/>
        <w:numPr>
          <w:ilvl w:val="2"/>
          <w:numId w:val="2"/>
        </w:numPr>
        <w:tabs>
          <w:tab w:val="left" w:pos="717"/>
        </w:tabs>
        <w:spacing w:line="319" w:lineRule="auto"/>
        <w:ind w:right="276" w:hanging="480"/>
        <w:rPr>
          <w:spacing w:val="-3"/>
          <w:sz w:val="24"/>
        </w:rPr>
      </w:pPr>
      <w:r>
        <w:rPr>
          <w:spacing w:val="-3"/>
          <w:sz w:val="24"/>
        </w:rPr>
        <w:t>在投标截止时间前，招标机构可视具体情况延长投标截止时间，并将变更时间书面通知所有购买采购文件的供应商。</w:t>
      </w:r>
    </w:p>
    <w:p>
      <w:pPr>
        <w:pStyle w:val="7"/>
        <w:ind w:left="0"/>
        <w:rPr>
          <w:sz w:val="20"/>
        </w:rPr>
      </w:pPr>
    </w:p>
    <w:p>
      <w:pPr>
        <w:pStyle w:val="4"/>
        <w:tabs>
          <w:tab w:val="left" w:pos="484"/>
        </w:tabs>
      </w:pPr>
      <w:bookmarkStart w:id="4" w:name="_bookmark4"/>
      <w:bookmarkEnd w:id="4"/>
      <w:r>
        <w:rPr>
          <w:rFonts w:ascii="Arial" w:eastAsia="Arial"/>
        </w:rPr>
        <w:t>C</w:t>
      </w:r>
      <w:r>
        <w:rPr>
          <w:rFonts w:ascii="Arial" w:eastAsia="Arial"/>
        </w:rPr>
        <w:tab/>
      </w:r>
      <w:r>
        <w:t>投标文件的编写</w:t>
      </w:r>
    </w:p>
    <w:p>
      <w:pPr>
        <w:pStyle w:val="7"/>
        <w:spacing w:before="7"/>
        <w:ind w:left="0"/>
        <w:rPr>
          <w:b/>
          <w:sz w:val="27"/>
        </w:rPr>
      </w:pPr>
    </w:p>
    <w:p>
      <w:pPr>
        <w:pStyle w:val="23"/>
        <w:numPr>
          <w:ilvl w:val="1"/>
          <w:numId w:val="2"/>
        </w:numPr>
        <w:tabs>
          <w:tab w:val="left" w:pos="636"/>
        </w:tabs>
        <w:spacing w:before="0"/>
        <w:ind w:left="635" w:hanging="375"/>
        <w:rPr>
          <w:sz w:val="24"/>
        </w:rPr>
      </w:pPr>
      <w:r>
        <w:rPr>
          <w:sz w:val="24"/>
        </w:rPr>
        <w:t>要求</w:t>
      </w:r>
    </w:p>
    <w:p>
      <w:pPr>
        <w:pStyle w:val="23"/>
        <w:numPr>
          <w:ilvl w:val="2"/>
          <w:numId w:val="2"/>
        </w:numPr>
        <w:tabs>
          <w:tab w:val="left" w:pos="717"/>
        </w:tabs>
        <w:spacing w:line="319" w:lineRule="auto"/>
        <w:ind w:right="276" w:hanging="480"/>
        <w:rPr>
          <w:spacing w:val="-3"/>
          <w:sz w:val="24"/>
        </w:rPr>
      </w:pPr>
      <w:r>
        <w:rPr>
          <w:spacing w:val="-3"/>
          <w:sz w:val="24"/>
        </w:rPr>
        <w:t>供应商应仔细阅读采购文件的所有内容，按采购文件的要求提供投标文件，并保证所提供的全部资料的真实性，以使其投标对采购文件作出实质性响应，否则，其投标可能被拒绝。</w:t>
      </w:r>
    </w:p>
    <w:p>
      <w:pPr>
        <w:pStyle w:val="23"/>
        <w:numPr>
          <w:ilvl w:val="1"/>
          <w:numId w:val="2"/>
        </w:numPr>
        <w:tabs>
          <w:tab w:val="left" w:pos="771"/>
        </w:tabs>
        <w:spacing w:before="1"/>
        <w:ind w:left="770" w:hanging="510"/>
        <w:rPr>
          <w:sz w:val="24"/>
        </w:rPr>
      </w:pPr>
      <w:r>
        <w:rPr>
          <w:sz w:val="24"/>
        </w:rPr>
        <w:t>投标语言</w:t>
      </w:r>
    </w:p>
    <w:p>
      <w:pPr>
        <w:pStyle w:val="23"/>
        <w:numPr>
          <w:ilvl w:val="2"/>
          <w:numId w:val="2"/>
        </w:numPr>
        <w:tabs>
          <w:tab w:val="left" w:pos="791"/>
        </w:tabs>
        <w:spacing w:before="100"/>
        <w:ind w:left="790" w:hanging="530"/>
        <w:rPr>
          <w:sz w:val="24"/>
        </w:rPr>
      </w:pPr>
      <w:r>
        <w:rPr>
          <w:spacing w:val="-1"/>
          <w:sz w:val="24"/>
        </w:rPr>
        <w:t>投标文件及供应商与招标代理机构就投标交换的文件和来往信件，应以中文书写。</w:t>
      </w:r>
    </w:p>
    <w:p>
      <w:pPr>
        <w:pStyle w:val="23"/>
        <w:numPr>
          <w:ilvl w:val="1"/>
          <w:numId w:val="2"/>
        </w:numPr>
        <w:tabs>
          <w:tab w:val="left" w:pos="754"/>
        </w:tabs>
        <w:spacing w:before="103"/>
        <w:ind w:left="753" w:hanging="493"/>
        <w:rPr>
          <w:sz w:val="24"/>
        </w:rPr>
      </w:pPr>
      <w:r>
        <w:rPr>
          <w:sz w:val="24"/>
        </w:rPr>
        <w:t>投标文件的构成</w:t>
      </w:r>
    </w:p>
    <w:p>
      <w:pPr>
        <w:pStyle w:val="23"/>
        <w:numPr>
          <w:ilvl w:val="2"/>
          <w:numId w:val="2"/>
        </w:numPr>
        <w:tabs>
          <w:tab w:val="left" w:pos="832"/>
        </w:tabs>
        <w:ind w:left="831" w:hanging="571"/>
        <w:rPr>
          <w:sz w:val="24"/>
        </w:rPr>
      </w:pPr>
      <w:r>
        <w:rPr>
          <w:spacing w:val="-1"/>
          <w:sz w:val="24"/>
        </w:rPr>
        <w:t>供应商编写的投标文件应包括下列内容：</w:t>
      </w:r>
    </w:p>
    <w:p>
      <w:pPr>
        <w:pStyle w:val="23"/>
        <w:numPr>
          <w:ilvl w:val="3"/>
          <w:numId w:val="2"/>
        </w:numPr>
        <w:tabs>
          <w:tab w:val="left" w:pos="1341"/>
        </w:tabs>
        <w:spacing w:before="100"/>
        <w:rPr>
          <w:color w:val="auto"/>
          <w:sz w:val="24"/>
        </w:rPr>
      </w:pPr>
      <w:r>
        <w:rPr>
          <w:color w:val="auto"/>
          <w:sz w:val="24"/>
        </w:rPr>
        <w:t>投标书、开标一览表、投标分项报价表；</w:t>
      </w:r>
    </w:p>
    <w:p>
      <w:pPr>
        <w:pStyle w:val="23"/>
        <w:numPr>
          <w:ilvl w:val="3"/>
          <w:numId w:val="2"/>
        </w:numPr>
        <w:tabs>
          <w:tab w:val="left" w:pos="1341"/>
        </w:tabs>
        <w:spacing w:before="103"/>
        <w:rPr>
          <w:color w:val="auto"/>
          <w:sz w:val="24"/>
        </w:rPr>
      </w:pPr>
      <w:r>
        <w:rPr>
          <w:color w:val="auto"/>
          <w:sz w:val="24"/>
        </w:rPr>
        <w:t>资格证明文件；</w:t>
      </w:r>
    </w:p>
    <w:p>
      <w:pPr>
        <w:pStyle w:val="23"/>
        <w:numPr>
          <w:ilvl w:val="3"/>
          <w:numId w:val="2"/>
        </w:numPr>
        <w:tabs>
          <w:tab w:val="left" w:pos="1341"/>
        </w:tabs>
        <w:rPr>
          <w:color w:val="auto"/>
          <w:sz w:val="24"/>
          <w:shd w:val="clear" w:color="auto" w:fill="auto"/>
        </w:rPr>
      </w:pPr>
      <w:r>
        <w:rPr>
          <w:color w:val="auto"/>
          <w:sz w:val="24"/>
          <w:shd w:val="clear" w:color="auto" w:fill="auto"/>
        </w:rPr>
        <w:t>所投</w:t>
      </w:r>
      <w:r>
        <w:rPr>
          <w:rFonts w:hint="eastAsia"/>
          <w:color w:val="auto"/>
          <w:sz w:val="24"/>
          <w:shd w:val="clear" w:color="auto" w:fill="auto"/>
          <w:lang w:eastAsia="zh-CN"/>
        </w:rPr>
        <w:t>软件产品</w:t>
      </w:r>
      <w:r>
        <w:rPr>
          <w:color w:val="auto"/>
          <w:sz w:val="24"/>
          <w:shd w:val="clear" w:color="auto" w:fill="auto"/>
        </w:rPr>
        <w:t>生产厂家针对本项目的授权书；</w:t>
      </w:r>
    </w:p>
    <w:p>
      <w:pPr>
        <w:pStyle w:val="23"/>
        <w:numPr>
          <w:ilvl w:val="3"/>
          <w:numId w:val="2"/>
        </w:numPr>
        <w:tabs>
          <w:tab w:val="left" w:pos="1341"/>
        </w:tabs>
        <w:spacing w:before="103"/>
        <w:rPr>
          <w:color w:val="auto"/>
          <w:sz w:val="24"/>
          <w:shd w:val="clear" w:color="auto" w:fill="auto"/>
        </w:rPr>
      </w:pPr>
      <w:r>
        <w:rPr>
          <w:color w:val="auto"/>
          <w:sz w:val="24"/>
          <w:shd w:val="clear" w:color="auto" w:fill="auto"/>
        </w:rPr>
        <w:t>所投</w:t>
      </w:r>
      <w:r>
        <w:rPr>
          <w:rFonts w:hint="eastAsia"/>
          <w:color w:val="auto"/>
          <w:sz w:val="24"/>
          <w:shd w:val="clear" w:color="auto" w:fill="auto"/>
          <w:lang w:eastAsia="zh-CN"/>
        </w:rPr>
        <w:t>软件</w:t>
      </w:r>
      <w:r>
        <w:rPr>
          <w:color w:val="auto"/>
          <w:sz w:val="24"/>
          <w:shd w:val="clear" w:color="auto" w:fill="auto"/>
        </w:rPr>
        <w:t>的相关技术</w:t>
      </w:r>
      <w:r>
        <w:rPr>
          <w:rFonts w:ascii="Arial" w:eastAsia="Arial"/>
          <w:color w:val="auto"/>
          <w:sz w:val="24"/>
          <w:shd w:val="clear" w:color="auto" w:fill="auto"/>
        </w:rPr>
        <w:t>/</w:t>
      </w:r>
      <w:r>
        <w:rPr>
          <w:color w:val="auto"/>
          <w:sz w:val="24"/>
          <w:shd w:val="clear" w:color="auto" w:fill="auto"/>
        </w:rPr>
        <w:t>证明资料；</w:t>
      </w:r>
      <w:r>
        <w:rPr>
          <w:rFonts w:hint="eastAsia"/>
          <w:color w:val="auto"/>
          <w:sz w:val="24"/>
          <w:shd w:val="clear" w:color="auto" w:fill="auto"/>
        </w:rPr>
        <w:t>所投</w:t>
      </w:r>
      <w:r>
        <w:rPr>
          <w:rFonts w:hint="eastAsia"/>
          <w:color w:val="auto"/>
          <w:sz w:val="24"/>
          <w:shd w:val="clear" w:color="auto" w:fill="auto"/>
          <w:lang w:eastAsia="zh-CN"/>
        </w:rPr>
        <w:t>软件</w:t>
      </w:r>
      <w:r>
        <w:rPr>
          <w:rFonts w:hint="eastAsia"/>
          <w:color w:val="auto"/>
          <w:sz w:val="24"/>
          <w:shd w:val="clear" w:color="auto" w:fill="auto"/>
        </w:rPr>
        <w:t>产品的有效的检测报告、质量管理体系认证（国家法定检测部门出具有效） ；</w:t>
      </w:r>
    </w:p>
    <w:p>
      <w:pPr>
        <w:pStyle w:val="23"/>
        <w:numPr>
          <w:ilvl w:val="3"/>
          <w:numId w:val="2"/>
        </w:numPr>
        <w:tabs>
          <w:tab w:val="left" w:pos="1341"/>
        </w:tabs>
        <w:spacing w:before="100"/>
        <w:rPr>
          <w:sz w:val="24"/>
          <w:shd w:val="clear" w:color="auto" w:fill="auto"/>
        </w:rPr>
      </w:pPr>
      <w:r>
        <w:rPr>
          <w:sz w:val="24"/>
          <w:shd w:val="clear" w:color="auto" w:fill="auto"/>
        </w:rPr>
        <w:t>投标保证金</w:t>
      </w:r>
      <w:r>
        <w:rPr>
          <w:rFonts w:hint="eastAsia"/>
          <w:sz w:val="24"/>
          <w:shd w:val="clear" w:color="auto" w:fill="auto"/>
          <w:lang w:eastAsia="zh-CN"/>
        </w:rPr>
        <w:t>或保函</w:t>
      </w:r>
      <w:r>
        <w:rPr>
          <w:sz w:val="24"/>
          <w:shd w:val="clear" w:color="auto" w:fill="auto"/>
        </w:rPr>
        <w:t>；</w:t>
      </w:r>
    </w:p>
    <w:p>
      <w:pPr>
        <w:pStyle w:val="23"/>
        <w:numPr>
          <w:ilvl w:val="3"/>
          <w:numId w:val="2"/>
        </w:numPr>
        <w:tabs>
          <w:tab w:val="left" w:pos="1341"/>
        </w:tabs>
        <w:rPr>
          <w:sz w:val="24"/>
          <w:shd w:val="clear" w:color="auto" w:fill="auto"/>
        </w:rPr>
      </w:pPr>
      <w:r>
        <w:rPr>
          <w:sz w:val="24"/>
          <w:shd w:val="clear" w:color="auto" w:fill="auto"/>
        </w:rPr>
        <w:t>采购文件货物需求及技术规格、合同特殊条款中要求提交的文件资料。</w:t>
      </w:r>
    </w:p>
    <w:p>
      <w:pPr>
        <w:pStyle w:val="23"/>
        <w:numPr>
          <w:ilvl w:val="3"/>
          <w:numId w:val="2"/>
        </w:numPr>
        <w:tabs>
          <w:tab w:val="left" w:pos="1341"/>
        </w:tabs>
        <w:spacing w:before="103"/>
        <w:rPr>
          <w:sz w:val="24"/>
          <w:shd w:val="clear" w:color="auto" w:fill="auto"/>
        </w:rPr>
      </w:pPr>
      <w:r>
        <w:rPr>
          <w:sz w:val="24"/>
          <w:shd w:val="clear" w:color="auto" w:fill="auto"/>
        </w:rPr>
        <w:t>所投</w:t>
      </w:r>
      <w:r>
        <w:rPr>
          <w:rFonts w:hint="eastAsia"/>
          <w:sz w:val="24"/>
          <w:shd w:val="clear" w:color="auto" w:fill="auto"/>
          <w:lang w:eastAsia="zh-CN"/>
        </w:rPr>
        <w:t>软件及硬件</w:t>
      </w:r>
      <w:r>
        <w:rPr>
          <w:sz w:val="24"/>
          <w:shd w:val="clear" w:color="auto" w:fill="auto"/>
        </w:rPr>
        <w:t>彩页。</w:t>
      </w:r>
    </w:p>
    <w:p>
      <w:pPr>
        <w:pStyle w:val="23"/>
        <w:numPr>
          <w:ilvl w:val="2"/>
          <w:numId w:val="2"/>
        </w:numPr>
        <w:tabs>
          <w:tab w:val="left" w:pos="832"/>
        </w:tabs>
        <w:spacing w:before="100"/>
        <w:ind w:left="831" w:hanging="571"/>
        <w:rPr>
          <w:sz w:val="24"/>
        </w:rPr>
      </w:pPr>
      <w:r>
        <w:rPr>
          <w:spacing w:val="-1"/>
          <w:sz w:val="24"/>
        </w:rPr>
        <w:t>供应商应将投标文件装订成册，并填写文件资料清单。</w:t>
      </w:r>
    </w:p>
    <w:p>
      <w:pPr>
        <w:pStyle w:val="23"/>
        <w:numPr>
          <w:ilvl w:val="1"/>
          <w:numId w:val="2"/>
        </w:numPr>
        <w:tabs>
          <w:tab w:val="left" w:pos="771"/>
        </w:tabs>
        <w:spacing w:before="103"/>
        <w:ind w:left="770" w:hanging="510"/>
        <w:rPr>
          <w:sz w:val="24"/>
        </w:rPr>
      </w:pPr>
      <w:r>
        <w:rPr>
          <w:sz w:val="24"/>
        </w:rPr>
        <w:t>投标文件格式</w:t>
      </w:r>
    </w:p>
    <w:p>
      <w:pPr>
        <w:pStyle w:val="23"/>
        <w:numPr>
          <w:ilvl w:val="2"/>
          <w:numId w:val="2"/>
        </w:numPr>
        <w:tabs>
          <w:tab w:val="left" w:pos="851"/>
        </w:tabs>
        <w:spacing w:line="321" w:lineRule="auto"/>
        <w:ind w:left="860" w:right="283" w:hanging="600"/>
        <w:rPr>
          <w:sz w:val="24"/>
        </w:rPr>
      </w:pPr>
      <w:r>
        <w:rPr>
          <w:spacing w:val="-1"/>
          <w:sz w:val="24"/>
        </w:rPr>
        <w:t>供应商应按采购文件的范本格式中提供的投标文件格式填写投标书、开标一览表、投标</w:t>
      </w:r>
      <w:r>
        <w:rPr>
          <w:sz w:val="24"/>
        </w:rPr>
        <w:t>分项报价表，注明提供的货物名称、货物简介、原产地、数量和价格等。</w:t>
      </w:r>
    </w:p>
    <w:p>
      <w:pPr>
        <w:pStyle w:val="23"/>
        <w:numPr>
          <w:ilvl w:val="1"/>
          <w:numId w:val="2"/>
        </w:numPr>
        <w:tabs>
          <w:tab w:val="left" w:pos="771"/>
        </w:tabs>
        <w:spacing w:before="0" w:line="302" w:lineRule="exact"/>
        <w:ind w:left="770" w:hanging="510"/>
        <w:rPr>
          <w:sz w:val="24"/>
        </w:rPr>
      </w:pPr>
      <w:r>
        <w:rPr>
          <w:sz w:val="24"/>
        </w:rPr>
        <w:t>投标报价</w:t>
      </w:r>
    </w:p>
    <w:p>
      <w:pPr>
        <w:pStyle w:val="23"/>
        <w:numPr>
          <w:ilvl w:val="2"/>
          <w:numId w:val="2"/>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pStyle w:val="23"/>
        <w:numPr>
          <w:ilvl w:val="2"/>
          <w:numId w:val="2"/>
        </w:numPr>
        <w:tabs>
          <w:tab w:val="left" w:pos="851"/>
        </w:tabs>
        <w:spacing w:before="49"/>
        <w:ind w:left="850" w:hanging="590"/>
        <w:rPr>
          <w:sz w:val="24"/>
        </w:rPr>
      </w:pPr>
      <w:r>
        <w:rPr>
          <w:spacing w:val="-1"/>
          <w:sz w:val="24"/>
        </w:rPr>
        <w:t>投标报价应注意下列要求：</w:t>
      </w:r>
    </w:p>
    <w:p>
      <w:pPr>
        <w:pStyle w:val="23"/>
        <w:numPr>
          <w:ilvl w:val="2"/>
          <w:numId w:val="4"/>
        </w:numPr>
        <w:tabs>
          <w:tab w:val="left" w:pos="1051"/>
        </w:tabs>
        <w:ind w:hanging="790"/>
        <w:rPr>
          <w:sz w:val="24"/>
        </w:rPr>
      </w:pPr>
      <w:r>
        <w:rPr>
          <w:spacing w:val="-1"/>
          <w:sz w:val="24"/>
        </w:rPr>
        <w:t>采购文件中特别要求的备品备件、易损件和专用工具的费用；</w:t>
      </w:r>
    </w:p>
    <w:p>
      <w:pPr>
        <w:pStyle w:val="23"/>
        <w:numPr>
          <w:ilvl w:val="2"/>
          <w:numId w:val="4"/>
        </w:numPr>
        <w:tabs>
          <w:tab w:val="left" w:pos="1051"/>
        </w:tabs>
        <w:spacing w:before="103"/>
        <w:ind w:hanging="790"/>
        <w:rPr>
          <w:sz w:val="24"/>
        </w:rPr>
      </w:pPr>
      <w:r>
        <w:rPr>
          <w:spacing w:val="-1"/>
          <w:sz w:val="24"/>
        </w:rPr>
        <w:t>采购文件中特别要求的安装、调试、培训及其它附带服务的费用；</w:t>
      </w:r>
    </w:p>
    <w:p>
      <w:pPr>
        <w:pStyle w:val="23"/>
        <w:numPr>
          <w:ilvl w:val="2"/>
          <w:numId w:val="2"/>
        </w:numPr>
        <w:tabs>
          <w:tab w:val="left" w:pos="851"/>
        </w:tabs>
        <w:spacing w:before="100" w:line="319" w:lineRule="auto"/>
        <w:ind w:left="860" w:right="278" w:hanging="600"/>
        <w:jc w:val="both"/>
        <w:rPr>
          <w:spacing w:val="-1"/>
          <w:sz w:val="24"/>
        </w:rPr>
      </w:pPr>
      <w:r>
        <w:rPr>
          <w:spacing w:val="-1"/>
          <w:sz w:val="24"/>
        </w:rPr>
        <w:t>货物的交货价，包括制造、组装该货物所使用的零部件及原材料已付的全部关税、销售税和其他税（其关税和其他税不分别填写，计入货价内即可）。</w:t>
      </w:r>
    </w:p>
    <w:p>
      <w:pPr>
        <w:pStyle w:val="23"/>
        <w:numPr>
          <w:ilvl w:val="1"/>
          <w:numId w:val="5"/>
        </w:numPr>
        <w:tabs>
          <w:tab w:val="left" w:pos="851"/>
        </w:tabs>
        <w:spacing w:before="0" w:line="319" w:lineRule="auto"/>
        <w:ind w:right="283" w:hanging="629"/>
        <w:rPr>
          <w:sz w:val="24"/>
        </w:rPr>
      </w:pPr>
      <w:r>
        <w:rPr>
          <w:spacing w:val="-1"/>
          <w:sz w:val="24"/>
        </w:rPr>
        <w:t>算术性修正。算术性修正是指对投标文件的报价明细进行校核，并对其算术上和运算上</w:t>
      </w:r>
      <w:r>
        <w:rPr>
          <w:sz w:val="24"/>
        </w:rPr>
        <w:t>的差错给予修正。修正的原则如下：</w:t>
      </w:r>
    </w:p>
    <w:p>
      <w:pPr>
        <w:pStyle w:val="23"/>
        <w:numPr>
          <w:ilvl w:val="2"/>
          <w:numId w:val="5"/>
        </w:numPr>
        <w:tabs>
          <w:tab w:val="left" w:pos="1051"/>
        </w:tabs>
        <w:spacing w:before="0"/>
        <w:ind w:hanging="790"/>
        <w:rPr>
          <w:sz w:val="24"/>
        </w:rPr>
      </w:pPr>
      <w:r>
        <w:rPr>
          <w:spacing w:val="-1"/>
          <w:sz w:val="24"/>
        </w:rPr>
        <w:t>当以数字表示的金额与文字表示的金额有差异时，以文字表示的金额为准；</w:t>
      </w:r>
    </w:p>
    <w:p>
      <w:pPr>
        <w:pStyle w:val="23"/>
        <w:numPr>
          <w:ilvl w:val="2"/>
          <w:numId w:val="5"/>
        </w:numPr>
        <w:tabs>
          <w:tab w:val="left" w:pos="1053"/>
        </w:tabs>
        <w:spacing w:line="319" w:lineRule="auto"/>
        <w:ind w:left="980" w:right="284" w:hanging="720"/>
        <w:rPr>
          <w:sz w:val="24"/>
        </w:rPr>
      </w:pPr>
      <w:r>
        <w:rPr>
          <w:sz w:val="24"/>
        </w:rPr>
        <w:t>当单价与数量相乘不等于合价时，以单价计算为准。如果单价有明显的小数点位置差错，应以标出的合价为准，同时对单价予以修正；</w:t>
      </w:r>
    </w:p>
    <w:p>
      <w:pPr>
        <w:pStyle w:val="23"/>
        <w:numPr>
          <w:ilvl w:val="2"/>
          <w:numId w:val="5"/>
        </w:numPr>
        <w:tabs>
          <w:tab w:val="left" w:pos="1051"/>
        </w:tabs>
        <w:spacing w:before="1"/>
        <w:ind w:hanging="790"/>
        <w:rPr>
          <w:sz w:val="24"/>
        </w:rPr>
      </w:pPr>
      <w:r>
        <w:rPr>
          <w:spacing w:val="-1"/>
          <w:sz w:val="24"/>
        </w:rPr>
        <w:t>当各明细部分的价格累计不等于合价时，应以各明细的累计计数为准，修正合价。</w:t>
      </w:r>
    </w:p>
    <w:p>
      <w:pPr>
        <w:pStyle w:val="23"/>
        <w:numPr>
          <w:ilvl w:val="2"/>
          <w:numId w:val="5"/>
        </w:numPr>
        <w:tabs>
          <w:tab w:val="left" w:pos="1053"/>
        </w:tabs>
        <w:spacing w:before="103" w:line="319" w:lineRule="auto"/>
        <w:ind w:left="980" w:right="279" w:hanging="720"/>
        <w:rPr>
          <w:sz w:val="24"/>
        </w:rPr>
      </w:pPr>
      <w:r>
        <w:rPr>
          <w:sz w:val="24"/>
        </w:rPr>
        <w:t>按以上原则对算术性差错修正，应取得供应商的同意，并确认修正后最终投标价。如果供应商拒绝确认，则其投标文件将不予以评审并按废标处理，没收其投标担保。</w:t>
      </w:r>
    </w:p>
    <w:p>
      <w:pPr>
        <w:pStyle w:val="23"/>
        <w:numPr>
          <w:ilvl w:val="1"/>
          <w:numId w:val="2"/>
        </w:numPr>
        <w:tabs>
          <w:tab w:val="left" w:pos="771"/>
        </w:tabs>
        <w:spacing w:before="0" w:line="306" w:lineRule="exact"/>
        <w:ind w:left="770" w:hanging="510"/>
        <w:rPr>
          <w:sz w:val="24"/>
        </w:rPr>
      </w:pPr>
      <w:r>
        <w:rPr>
          <w:sz w:val="24"/>
        </w:rPr>
        <w:t>投标货币</w:t>
      </w:r>
    </w:p>
    <w:p>
      <w:pPr>
        <w:pStyle w:val="23"/>
        <w:numPr>
          <w:ilvl w:val="2"/>
          <w:numId w:val="2"/>
        </w:numPr>
        <w:tabs>
          <w:tab w:val="left" w:pos="791"/>
        </w:tabs>
        <w:spacing w:before="103"/>
        <w:ind w:left="790" w:hanging="530"/>
        <w:rPr>
          <w:sz w:val="24"/>
        </w:rPr>
      </w:pPr>
      <w:r>
        <w:rPr>
          <w:sz w:val="24"/>
        </w:rPr>
        <w:t>人民币报价。</w:t>
      </w:r>
    </w:p>
    <w:p>
      <w:pPr>
        <w:pStyle w:val="5"/>
        <w:numPr>
          <w:ilvl w:val="1"/>
          <w:numId w:val="2"/>
        </w:numPr>
        <w:tabs>
          <w:tab w:val="left" w:pos="771"/>
        </w:tabs>
        <w:spacing w:before="100"/>
        <w:ind w:left="770" w:hanging="510"/>
      </w:pPr>
      <w:r>
        <w:t>供应商的证明文件：</w:t>
      </w:r>
    </w:p>
    <w:p>
      <w:pPr>
        <w:pStyle w:val="5"/>
        <w:spacing w:before="132" w:line="312" w:lineRule="auto"/>
        <w:ind w:left="786" w:right="278"/>
      </w:pPr>
      <w:r>
        <w:rPr>
          <w:spacing w:val="-1"/>
        </w:rPr>
        <w:t>供应商必须提交证明其有资格进行投标和有能力履行合同的文件</w:t>
      </w:r>
      <w:r>
        <w:t>（范本格式</w:t>
      </w:r>
      <w:r>
        <w:rPr>
          <w:spacing w:val="-73"/>
        </w:rPr>
        <w:t>）</w:t>
      </w:r>
      <w:r>
        <w:rPr>
          <w:spacing w:val="-18"/>
        </w:rPr>
        <w:t>，作为投标文件的一部分。</w:t>
      </w:r>
      <w:r>
        <w:rPr>
          <w:spacing w:val="3"/>
        </w:rPr>
        <w:t>（</w:t>
      </w:r>
      <w:r>
        <w:rPr>
          <w:spacing w:val="15"/>
        </w:rPr>
        <w:t>如不满足以下条款将导致废标</w:t>
      </w:r>
      <w:r>
        <w:t>）</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1.参加采购活动前三年内，在经营活动中没有重大违法记录(受行政主管部门的处罚不能参加投标)，供应商须提供 “信用中国”网站（打印件加盖公章）（http://www.creditchina.gov.cn/）无违法违规行为的查询纪录； </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2.法人代表授权书原件、被授权人身份证原件；</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3、营业执照副本原件或加盖公章复印件；</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4、计算机软件著作权登记证书原件或复印件加盖投标企业公章；</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5、提供会计师事务所出具的2021年的年度财务审计报告书原件或复印件加盖企业公章（2022年1月以后新办企业需提供银行资信证明原件）；</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6、服务承诺书原件；</w:t>
      </w:r>
    </w:p>
    <w:p>
      <w:pPr>
        <w:pStyle w:val="24"/>
        <w:spacing w:before="103"/>
        <w:ind w:left="10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7、投标保证金收据原件或保函原件。 </w:t>
      </w:r>
    </w:p>
    <w:p>
      <w:pPr>
        <w:pStyle w:val="23"/>
        <w:tabs>
          <w:tab w:val="left" w:pos="907"/>
        </w:tabs>
        <w:spacing w:before="103"/>
        <w:ind w:firstLine="0"/>
        <w:rPr>
          <w:rFonts w:hint="eastAsia" w:ascii="宋体" w:hAnsi="宋体" w:eastAsia="宋体" w:cs="宋体"/>
          <w:b/>
          <w:bCs/>
          <w:spacing w:val="-1"/>
          <w:sz w:val="24"/>
          <w:szCs w:val="22"/>
          <w:lang w:val="zh-CN" w:eastAsia="zh-CN" w:bidi="zh-CN"/>
        </w:rPr>
      </w:pPr>
      <w:r>
        <w:rPr>
          <w:rFonts w:hint="eastAsia" w:ascii="宋体" w:hAnsi="宋体" w:eastAsia="宋体" w:cs="宋体"/>
          <w:b/>
          <w:bCs/>
          <w:spacing w:val="-1"/>
          <w:sz w:val="24"/>
          <w:szCs w:val="22"/>
          <w:lang w:val="zh-CN" w:eastAsia="zh-CN" w:bidi="zh-CN"/>
        </w:rPr>
        <w:t>（以上证明文件</w:t>
      </w:r>
      <w:r>
        <w:rPr>
          <w:rFonts w:hint="eastAsia" w:ascii="宋体" w:hAnsi="宋体" w:eastAsia="宋体" w:cs="宋体"/>
          <w:b/>
          <w:bCs/>
          <w:spacing w:val="-1"/>
          <w:sz w:val="24"/>
          <w:szCs w:val="22"/>
          <w:lang w:val="en-US" w:eastAsia="zh-CN" w:bidi="zh-CN"/>
        </w:rPr>
        <w:t>1-7项标注</w:t>
      </w:r>
      <w:r>
        <w:rPr>
          <w:rFonts w:hint="eastAsia" w:ascii="宋体" w:hAnsi="宋体" w:eastAsia="宋体" w:cs="宋体"/>
          <w:b/>
          <w:bCs/>
          <w:spacing w:val="-1"/>
          <w:sz w:val="24"/>
          <w:szCs w:val="22"/>
          <w:lang w:val="zh-CN" w:eastAsia="zh-CN" w:bidi="zh-CN"/>
        </w:rPr>
        <w:t>为原件的须现场提供原件，未标注原件的携带复印件加盖公章，不接受公证件，</w:t>
      </w:r>
      <w:r>
        <w:rPr>
          <w:rFonts w:hint="eastAsia" w:ascii="宋体" w:hAnsi="宋体" w:eastAsia="宋体" w:cs="宋体"/>
          <w:b/>
          <w:bCs/>
          <w:spacing w:val="-1"/>
          <w:sz w:val="24"/>
          <w:szCs w:val="22"/>
          <w:lang w:val="en-US" w:eastAsia="zh-CN" w:bidi="zh-CN"/>
        </w:rPr>
        <w:t>不接受二次提供）</w:t>
      </w:r>
    </w:p>
    <w:p>
      <w:pPr>
        <w:pStyle w:val="5"/>
        <w:spacing w:before="101"/>
      </w:pPr>
      <w:r>
        <w:rPr>
          <w:rFonts w:hint="eastAsia"/>
          <w:spacing w:val="-1"/>
          <w:szCs w:val="22"/>
        </w:rPr>
        <w:t>注：（1）投标文件中，所有供应商签字、法人代表签字、法人代表授权人签字和其它签</w:t>
      </w:r>
      <w:r>
        <w:t>字处须同时加盖有关有法律效力的印章方为有效；</w:t>
      </w:r>
    </w:p>
    <w:p>
      <w:pPr>
        <w:pStyle w:val="5"/>
        <w:numPr>
          <w:ilvl w:val="0"/>
          <w:numId w:val="6"/>
        </w:numPr>
        <w:tabs>
          <w:tab w:val="left" w:pos="1360"/>
        </w:tabs>
        <w:spacing w:before="101"/>
      </w:pPr>
      <w:r>
        <w:t>所有资格证明文件必须满足采购文件要求，否则将导致废标。</w:t>
      </w:r>
    </w:p>
    <w:p>
      <w:pPr>
        <w:pStyle w:val="5"/>
        <w:numPr>
          <w:ilvl w:val="0"/>
          <w:numId w:val="6"/>
        </w:numPr>
        <w:tabs>
          <w:tab w:val="left" w:pos="1360"/>
        </w:tabs>
        <w:spacing w:before="101"/>
      </w:pPr>
      <w:r>
        <w:t>在投标文件中，所有相关资料及证明文件的有效期必须明确，并以阿拉伯数字为准。</w:t>
      </w:r>
    </w:p>
    <w:p>
      <w:pPr>
        <w:pStyle w:val="23"/>
        <w:numPr>
          <w:ilvl w:val="0"/>
          <w:numId w:val="7"/>
        </w:numPr>
        <w:tabs>
          <w:tab w:val="left" w:pos="650"/>
        </w:tabs>
        <w:spacing w:before="0" w:line="306" w:lineRule="exact"/>
        <w:ind w:hanging="389"/>
        <w:rPr>
          <w:sz w:val="24"/>
        </w:rPr>
      </w:pPr>
      <w:r>
        <w:rPr>
          <w:spacing w:val="-1"/>
          <w:sz w:val="24"/>
        </w:rPr>
        <w:t>投标货物符合采购文件规定的技术响应文件</w:t>
      </w:r>
    </w:p>
    <w:p>
      <w:pPr>
        <w:pStyle w:val="23"/>
        <w:numPr>
          <w:ilvl w:val="1"/>
          <w:numId w:val="7"/>
        </w:numPr>
        <w:tabs>
          <w:tab w:val="left" w:pos="851"/>
        </w:tabs>
        <w:spacing w:before="102" w:line="319" w:lineRule="auto"/>
        <w:ind w:right="283" w:hanging="600"/>
        <w:rPr>
          <w:sz w:val="24"/>
        </w:rPr>
      </w:pPr>
      <w:r>
        <w:rPr>
          <w:spacing w:val="-1"/>
          <w:sz w:val="24"/>
        </w:rPr>
        <w:t>供应商须提交证明拟供货物和服务符合采购文件规定的技术响应文件，作为投标文件的</w:t>
      </w:r>
      <w:r>
        <w:rPr>
          <w:sz w:val="24"/>
        </w:rPr>
        <w:t>一部分。</w:t>
      </w:r>
    </w:p>
    <w:p>
      <w:pPr>
        <w:pStyle w:val="23"/>
        <w:numPr>
          <w:ilvl w:val="1"/>
          <w:numId w:val="7"/>
        </w:numPr>
        <w:tabs>
          <w:tab w:val="left" w:pos="791"/>
        </w:tabs>
        <w:spacing w:before="1"/>
        <w:ind w:left="790" w:hanging="530"/>
        <w:rPr>
          <w:sz w:val="24"/>
        </w:rPr>
      </w:pPr>
      <w:r>
        <w:rPr>
          <w:spacing w:val="-1"/>
          <w:sz w:val="24"/>
        </w:rPr>
        <w:t>上述文件为文字资料、产品彩页和数据，并提供：</w:t>
      </w:r>
    </w:p>
    <w:p>
      <w:pPr>
        <w:pStyle w:val="23"/>
        <w:numPr>
          <w:ilvl w:val="2"/>
          <w:numId w:val="7"/>
        </w:numPr>
        <w:tabs>
          <w:tab w:val="left" w:pos="1356"/>
        </w:tabs>
        <w:ind w:hanging="615"/>
        <w:rPr>
          <w:sz w:val="24"/>
        </w:rPr>
      </w:pPr>
      <w:r>
        <w:rPr>
          <w:sz w:val="24"/>
        </w:rPr>
        <w:t>主要技术及性能特点的详细描述；</w:t>
      </w:r>
    </w:p>
    <w:p>
      <w:pPr>
        <w:pStyle w:val="23"/>
        <w:numPr>
          <w:ilvl w:val="2"/>
          <w:numId w:val="7"/>
        </w:numPr>
        <w:tabs>
          <w:tab w:val="left" w:pos="1356"/>
        </w:tabs>
        <w:spacing w:before="103"/>
        <w:ind w:hanging="615"/>
        <w:rPr>
          <w:sz w:val="24"/>
        </w:rPr>
      </w:pPr>
      <w:r>
        <w:rPr>
          <w:sz w:val="24"/>
        </w:rPr>
        <w:t>主要部件的详细资料；</w:t>
      </w:r>
    </w:p>
    <w:p>
      <w:pPr>
        <w:pStyle w:val="23"/>
        <w:numPr>
          <w:ilvl w:val="1"/>
          <w:numId w:val="7"/>
        </w:numPr>
        <w:tabs>
          <w:tab w:val="left" w:pos="851"/>
        </w:tabs>
        <w:spacing w:before="102" w:line="319" w:lineRule="auto"/>
        <w:ind w:right="283" w:hanging="600"/>
        <w:rPr>
          <w:spacing w:val="-1"/>
          <w:sz w:val="24"/>
        </w:rPr>
      </w:pPr>
      <w:r>
        <w:rPr>
          <w:spacing w:val="-1"/>
          <w:sz w:val="24"/>
        </w:rPr>
        <w:t>一份在技术规格中规定的保证货物正常和连续运转期间所需要的所有备件和专业工</w:t>
      </w:r>
      <w:r>
        <w:rPr>
          <w:sz w:val="24"/>
        </w:rPr>
        <w:t>具的详细清单包括价格及</w:t>
      </w:r>
      <w:r>
        <w:rPr>
          <w:spacing w:val="-1"/>
          <w:sz w:val="24"/>
        </w:rPr>
        <w:t>供货来源信息；</w:t>
      </w:r>
    </w:p>
    <w:p>
      <w:pPr>
        <w:pStyle w:val="23"/>
        <w:numPr>
          <w:ilvl w:val="1"/>
          <w:numId w:val="7"/>
        </w:numPr>
        <w:tabs>
          <w:tab w:val="left" w:pos="851"/>
        </w:tabs>
        <w:spacing w:before="102" w:line="319" w:lineRule="auto"/>
        <w:ind w:right="283" w:hanging="600"/>
        <w:rPr>
          <w:spacing w:val="-1"/>
          <w:sz w:val="24"/>
        </w:rPr>
      </w:pPr>
      <w:r>
        <w:rPr>
          <w:spacing w:val="-1"/>
          <w:sz w:val="24"/>
        </w:rPr>
        <w:t>规格、技术参数偏离表（见附件）。</w:t>
      </w:r>
    </w:p>
    <w:p>
      <w:pPr>
        <w:pStyle w:val="23"/>
        <w:numPr>
          <w:ilvl w:val="2"/>
          <w:numId w:val="7"/>
        </w:numPr>
        <w:tabs>
          <w:tab w:val="left" w:pos="1356"/>
        </w:tabs>
        <w:spacing w:before="100"/>
        <w:ind w:hanging="615"/>
        <w:rPr>
          <w:sz w:val="24"/>
        </w:rPr>
      </w:pPr>
      <w:r>
        <w:rPr>
          <w:sz w:val="24"/>
        </w:rPr>
        <w:t>所投产品彩页。</w:t>
      </w:r>
    </w:p>
    <w:p>
      <w:pPr>
        <w:pStyle w:val="23"/>
        <w:numPr>
          <w:ilvl w:val="0"/>
          <w:numId w:val="8"/>
        </w:numPr>
        <w:tabs>
          <w:tab w:val="left" w:pos="771"/>
        </w:tabs>
        <w:spacing w:line="300" w:lineRule="exact"/>
        <w:ind w:hanging="510"/>
        <w:rPr>
          <w:sz w:val="24"/>
        </w:rPr>
      </w:pPr>
      <w:r>
        <w:rPr>
          <w:sz w:val="24"/>
        </w:rPr>
        <w:t>投标的有效期</w:t>
      </w:r>
    </w:p>
    <w:p>
      <w:pPr>
        <w:pStyle w:val="5"/>
        <w:tabs>
          <w:tab w:val="left" w:pos="849"/>
        </w:tabs>
        <w:spacing w:before="100" w:line="300" w:lineRule="exact"/>
      </w:pPr>
      <w:r>
        <w:rPr>
          <w:rFonts w:hint="eastAsia"/>
          <w:b w:val="0"/>
          <w:bCs w:val="0"/>
          <w:spacing w:val="-4"/>
          <w:lang w:val="en-US"/>
        </w:rPr>
        <w:t xml:space="preserve">17.1 </w:t>
      </w:r>
      <w:r>
        <w:rPr>
          <w:spacing w:val="-4"/>
        </w:rPr>
        <w:t xml:space="preserve">投标文件从开标之日起，投标有效期为 </w:t>
      </w:r>
      <w:r>
        <w:rPr>
          <w:rFonts w:ascii="Arial" w:eastAsia="Arial"/>
          <w:u w:val="thick"/>
        </w:rPr>
        <w:t>90</w:t>
      </w:r>
      <w:r>
        <w:rPr>
          <w:spacing w:val="-59"/>
        </w:rPr>
        <w:t>天。</w:t>
      </w:r>
      <w:r>
        <w:t>（如不满足将导致废标）</w:t>
      </w:r>
    </w:p>
    <w:p>
      <w:pPr>
        <w:pStyle w:val="23"/>
        <w:tabs>
          <w:tab w:val="left" w:pos="851"/>
        </w:tabs>
        <w:spacing w:before="104" w:line="300" w:lineRule="exact"/>
        <w:ind w:firstLine="0"/>
        <w:rPr>
          <w:sz w:val="24"/>
        </w:rPr>
      </w:pPr>
      <w:r>
        <w:rPr>
          <w:rFonts w:hint="eastAsia"/>
          <w:spacing w:val="-1"/>
          <w:sz w:val="24"/>
          <w:lang w:val="en-US"/>
        </w:rPr>
        <w:t xml:space="preserve">17.2 </w:t>
      </w:r>
      <w:r>
        <w:rPr>
          <w:spacing w:val="-1"/>
          <w:sz w:val="24"/>
        </w:rPr>
        <w:t>在特殊情况下，招标代理机构可与供应商商量延长投标文件的有效期。</w:t>
      </w:r>
    </w:p>
    <w:p>
      <w:pPr>
        <w:pStyle w:val="23"/>
        <w:numPr>
          <w:ilvl w:val="0"/>
          <w:numId w:val="8"/>
        </w:numPr>
        <w:tabs>
          <w:tab w:val="left" w:pos="771"/>
        </w:tabs>
        <w:spacing w:before="100" w:line="300" w:lineRule="exact"/>
        <w:ind w:hanging="510"/>
        <w:rPr>
          <w:sz w:val="24"/>
        </w:rPr>
      </w:pPr>
      <w:r>
        <w:rPr>
          <w:spacing w:val="-1"/>
          <w:sz w:val="24"/>
        </w:rPr>
        <w:t>投标文件的书写要求。</w:t>
      </w:r>
    </w:p>
    <w:p>
      <w:pPr>
        <w:pStyle w:val="23"/>
        <w:tabs>
          <w:tab w:val="left" w:pos="851"/>
        </w:tabs>
        <w:spacing w:before="103" w:line="300" w:lineRule="exact"/>
        <w:ind w:firstLine="0"/>
        <w:rPr>
          <w:sz w:val="24"/>
        </w:rPr>
      </w:pPr>
      <w:r>
        <w:rPr>
          <w:rFonts w:hint="eastAsia"/>
          <w:spacing w:val="-1"/>
          <w:sz w:val="24"/>
          <w:lang w:val="en-US"/>
        </w:rPr>
        <w:t xml:space="preserve">18.1 </w:t>
      </w:r>
      <w:r>
        <w:rPr>
          <w:spacing w:val="-1"/>
          <w:sz w:val="24"/>
        </w:rPr>
        <w:t>投标文件须打印胶装，活页装订不予评审。</w:t>
      </w:r>
    </w:p>
    <w:p>
      <w:pPr>
        <w:pStyle w:val="23"/>
        <w:tabs>
          <w:tab w:val="left" w:pos="851"/>
        </w:tabs>
        <w:spacing w:before="100" w:line="300" w:lineRule="exact"/>
        <w:ind w:firstLine="0"/>
        <w:rPr>
          <w:sz w:val="24"/>
        </w:rPr>
      </w:pPr>
      <w:r>
        <w:rPr>
          <w:rFonts w:hint="eastAsia"/>
          <w:spacing w:val="-1"/>
          <w:sz w:val="24"/>
          <w:lang w:val="en-US"/>
        </w:rPr>
        <w:t xml:space="preserve">18.2 </w:t>
      </w:r>
      <w:r>
        <w:rPr>
          <w:spacing w:val="-1"/>
          <w:sz w:val="24"/>
        </w:rPr>
        <w:t>投标文件应清楚工整，修改处应由投标全权代表签章。</w:t>
      </w:r>
    </w:p>
    <w:p>
      <w:pPr>
        <w:pStyle w:val="23"/>
        <w:tabs>
          <w:tab w:val="left" w:pos="791"/>
        </w:tabs>
        <w:spacing w:before="103" w:line="300" w:lineRule="exact"/>
        <w:ind w:firstLine="0"/>
        <w:rPr>
          <w:sz w:val="24"/>
        </w:rPr>
      </w:pPr>
      <w:r>
        <w:rPr>
          <w:rFonts w:hint="eastAsia"/>
          <w:spacing w:val="-1"/>
          <w:sz w:val="24"/>
          <w:lang w:val="en-US"/>
        </w:rPr>
        <w:t xml:space="preserve">18.3 </w:t>
      </w:r>
      <w:r>
        <w:rPr>
          <w:spacing w:val="-1"/>
          <w:sz w:val="24"/>
        </w:rPr>
        <w:t>投标文件应由法人代表或法人授权代表在凡规定签章处逐一签署及加盖单位的公章。</w:t>
      </w:r>
    </w:p>
    <w:p>
      <w:pPr>
        <w:pStyle w:val="23"/>
        <w:tabs>
          <w:tab w:val="left" w:pos="851"/>
        </w:tabs>
        <w:spacing w:before="100" w:line="300" w:lineRule="exact"/>
        <w:ind w:firstLine="0"/>
        <w:rPr>
          <w:spacing w:val="-1"/>
          <w:sz w:val="24"/>
        </w:rPr>
      </w:pPr>
      <w:r>
        <w:rPr>
          <w:rFonts w:hint="eastAsia"/>
          <w:spacing w:val="-1"/>
          <w:sz w:val="24"/>
          <w:lang w:val="en-US"/>
        </w:rPr>
        <w:t xml:space="preserve">18.4 </w:t>
      </w:r>
      <w:r>
        <w:rPr>
          <w:spacing w:val="-1"/>
          <w:sz w:val="24"/>
        </w:rPr>
        <w:t>电报、电话、传真形式的投标概不接受。</w:t>
      </w:r>
    </w:p>
    <w:p>
      <w:pPr>
        <w:pStyle w:val="23"/>
        <w:tabs>
          <w:tab w:val="left" w:pos="851"/>
        </w:tabs>
        <w:spacing w:before="100" w:line="300" w:lineRule="exact"/>
        <w:ind w:firstLine="0"/>
        <w:rPr>
          <w:spacing w:val="-1"/>
          <w:sz w:val="24"/>
        </w:rPr>
      </w:pPr>
      <w:r>
        <w:rPr>
          <w:rFonts w:hint="eastAsia"/>
          <w:spacing w:val="-1"/>
          <w:sz w:val="24"/>
          <w:lang w:val="en-US"/>
        </w:rPr>
        <w:t xml:space="preserve">18.5 </w:t>
      </w:r>
      <w:r>
        <w:rPr>
          <w:spacing w:val="-1"/>
          <w:sz w:val="24"/>
        </w:rPr>
        <w:t>投标文件的份数：一式</w:t>
      </w:r>
      <w:r>
        <w:rPr>
          <w:rFonts w:hint="eastAsia"/>
          <w:spacing w:val="-1"/>
          <w:sz w:val="24"/>
          <w:lang w:val="en-US" w:eastAsia="zh-CN"/>
        </w:rPr>
        <w:t>5</w:t>
      </w:r>
      <w:r>
        <w:rPr>
          <w:spacing w:val="-1"/>
          <w:sz w:val="24"/>
        </w:rPr>
        <w:t xml:space="preserve">份。正本 1份，副本 </w:t>
      </w:r>
      <w:r>
        <w:rPr>
          <w:rFonts w:hint="eastAsia"/>
          <w:spacing w:val="-1"/>
          <w:sz w:val="24"/>
          <w:lang w:val="en-US" w:eastAsia="zh-CN"/>
        </w:rPr>
        <w:t>4</w:t>
      </w:r>
      <w:r>
        <w:rPr>
          <w:spacing w:val="-1"/>
          <w:sz w:val="24"/>
        </w:rPr>
        <w:t>份</w:t>
      </w:r>
      <w:r>
        <w:rPr>
          <w:rFonts w:hint="eastAsia"/>
          <w:spacing w:val="-1"/>
          <w:sz w:val="24"/>
        </w:rPr>
        <w:t>，电子版一套（</w:t>
      </w:r>
      <w:r>
        <w:rPr>
          <w:rFonts w:hint="eastAsia"/>
          <w:spacing w:val="-1"/>
          <w:sz w:val="24"/>
          <w:lang w:val="en-US"/>
        </w:rPr>
        <w:t>U盘及光盘各一个），开标一览表单独密封一份</w:t>
      </w:r>
      <w:r>
        <w:rPr>
          <w:spacing w:val="-1"/>
          <w:sz w:val="24"/>
        </w:rPr>
        <w:t>。</w:t>
      </w:r>
    </w:p>
    <w:p>
      <w:pPr>
        <w:pStyle w:val="23"/>
        <w:tabs>
          <w:tab w:val="left" w:pos="851"/>
        </w:tabs>
        <w:spacing w:before="100" w:line="300" w:lineRule="exact"/>
        <w:ind w:firstLine="0"/>
        <w:rPr>
          <w:spacing w:val="-1"/>
          <w:sz w:val="24"/>
        </w:rPr>
      </w:pPr>
      <w:r>
        <w:rPr>
          <w:rFonts w:hint="eastAsia"/>
          <w:spacing w:val="-1"/>
          <w:sz w:val="24"/>
          <w:lang w:val="en-US" w:eastAsia="zh-CN"/>
        </w:rPr>
        <w:t>19.</w:t>
      </w:r>
      <w:r>
        <w:rPr>
          <w:spacing w:val="-1"/>
          <w:sz w:val="24"/>
        </w:rPr>
        <w:t>投标保证金</w:t>
      </w:r>
    </w:p>
    <w:p>
      <w:pPr>
        <w:pStyle w:val="23"/>
        <w:tabs>
          <w:tab w:val="left" w:pos="851"/>
        </w:tabs>
        <w:spacing w:before="100" w:line="300" w:lineRule="exact"/>
        <w:ind w:firstLine="0"/>
        <w:rPr>
          <w:spacing w:val="-1"/>
          <w:sz w:val="24"/>
        </w:rPr>
      </w:pPr>
      <w:r>
        <w:rPr>
          <w:rFonts w:hint="eastAsia"/>
          <w:spacing w:val="-1"/>
          <w:sz w:val="24"/>
          <w:lang w:val="en-US"/>
        </w:rPr>
        <w:t xml:space="preserve">19.1 </w:t>
      </w:r>
      <w:r>
        <w:rPr>
          <w:spacing w:val="-1"/>
          <w:sz w:val="24"/>
          <w:lang w:val="zh-CN" w:eastAsia="zh-CN"/>
        </w:rPr>
        <w:t>投标保证金金额：</w:t>
      </w:r>
      <w:r>
        <w:rPr>
          <w:rFonts w:hint="eastAsia"/>
          <w:spacing w:val="-1"/>
          <w:sz w:val="24"/>
          <w:lang w:val="en-US" w:eastAsia="zh-CN"/>
        </w:rPr>
        <w:t>40000元。</w:t>
      </w:r>
      <w:r>
        <w:rPr>
          <w:spacing w:val="-1"/>
          <w:sz w:val="24"/>
        </w:rPr>
        <w:t>于20</w:t>
      </w:r>
      <w:r>
        <w:rPr>
          <w:rFonts w:hint="eastAsia"/>
          <w:spacing w:val="-1"/>
          <w:sz w:val="24"/>
          <w:lang w:val="en-US"/>
        </w:rPr>
        <w:t>2</w:t>
      </w:r>
      <w:r>
        <w:rPr>
          <w:rFonts w:hint="eastAsia"/>
          <w:spacing w:val="-1"/>
          <w:sz w:val="24"/>
          <w:lang w:val="en-US" w:eastAsia="zh-CN"/>
        </w:rPr>
        <w:t>2</w:t>
      </w:r>
      <w:r>
        <w:rPr>
          <w:spacing w:val="-1"/>
          <w:sz w:val="24"/>
        </w:rPr>
        <w:t>年</w:t>
      </w:r>
      <w:r>
        <w:rPr>
          <w:rFonts w:hint="eastAsia"/>
          <w:spacing w:val="-1"/>
          <w:sz w:val="24"/>
          <w:lang w:val="en-US" w:eastAsia="zh-CN"/>
        </w:rPr>
        <w:t>05</w:t>
      </w:r>
      <w:r>
        <w:rPr>
          <w:spacing w:val="-1"/>
          <w:sz w:val="24"/>
        </w:rPr>
        <w:t>月</w:t>
      </w:r>
      <w:r>
        <w:rPr>
          <w:rFonts w:hint="eastAsia"/>
          <w:spacing w:val="-1"/>
          <w:sz w:val="24"/>
          <w:lang w:val="en-US" w:eastAsia="zh-CN"/>
        </w:rPr>
        <w:t>30</w:t>
      </w:r>
      <w:r>
        <w:rPr>
          <w:spacing w:val="-1"/>
          <w:sz w:val="24"/>
        </w:rPr>
        <w:t>日</w:t>
      </w:r>
      <w:r>
        <w:rPr>
          <w:rFonts w:hint="eastAsia"/>
          <w:spacing w:val="-1"/>
          <w:sz w:val="24"/>
          <w:lang w:val="en-US" w:eastAsia="zh-CN"/>
        </w:rPr>
        <w:t>16</w:t>
      </w:r>
      <w:r>
        <w:rPr>
          <w:spacing w:val="-1"/>
          <w:sz w:val="24"/>
        </w:rPr>
        <w:t>:</w:t>
      </w:r>
      <w:r>
        <w:rPr>
          <w:rFonts w:hint="eastAsia"/>
          <w:spacing w:val="-1"/>
          <w:sz w:val="24"/>
          <w:lang w:val="en-US" w:eastAsia="zh-CN"/>
        </w:rPr>
        <w:t>3</w:t>
      </w:r>
      <w:r>
        <w:rPr>
          <w:spacing w:val="-1"/>
          <w:sz w:val="24"/>
        </w:rPr>
        <w:t>0 时（北京时间）前到达招标代理机构指定账户。</w:t>
      </w:r>
    </w:p>
    <w:p>
      <w:pPr>
        <w:pStyle w:val="23"/>
        <w:tabs>
          <w:tab w:val="left" w:pos="771"/>
        </w:tabs>
        <w:spacing w:before="100" w:line="300" w:lineRule="exact"/>
        <w:ind w:firstLine="0"/>
        <w:rPr>
          <w:spacing w:val="-1"/>
          <w:sz w:val="24"/>
        </w:rPr>
      </w:pPr>
      <w:r>
        <w:rPr>
          <w:rFonts w:hint="eastAsia"/>
          <w:spacing w:val="-1"/>
          <w:sz w:val="24"/>
          <w:lang w:val="en-US"/>
        </w:rPr>
        <w:t xml:space="preserve">19.2 </w:t>
      </w:r>
      <w:r>
        <w:rPr>
          <w:spacing w:val="-1"/>
          <w:sz w:val="24"/>
        </w:rPr>
        <w:t>本次招标可接受电汇</w:t>
      </w:r>
      <w:r>
        <w:rPr>
          <w:rFonts w:hint="eastAsia"/>
          <w:spacing w:val="-1"/>
          <w:sz w:val="24"/>
          <w:lang w:eastAsia="zh-CN"/>
        </w:rPr>
        <w:t>、保函</w:t>
      </w:r>
      <w:r>
        <w:rPr>
          <w:spacing w:val="-1"/>
          <w:sz w:val="24"/>
        </w:rPr>
        <w:t>等作为投标保证金，投标保证金有效期应当与投标有效期一致。</w:t>
      </w:r>
    </w:p>
    <w:p>
      <w:pPr>
        <w:pStyle w:val="23"/>
        <w:tabs>
          <w:tab w:val="left" w:pos="771"/>
        </w:tabs>
        <w:spacing w:before="100" w:line="300" w:lineRule="exact"/>
        <w:ind w:firstLine="0"/>
        <w:rPr>
          <w:spacing w:val="-1"/>
          <w:sz w:val="24"/>
        </w:rPr>
      </w:pPr>
      <w:r>
        <w:rPr>
          <w:rFonts w:hint="eastAsia"/>
          <w:spacing w:val="-1"/>
          <w:sz w:val="24"/>
          <w:lang w:val="en-US"/>
        </w:rPr>
        <w:t xml:space="preserve">19.3 </w:t>
      </w:r>
      <w:r>
        <w:rPr>
          <w:spacing w:val="-1"/>
          <w:sz w:val="24"/>
        </w:rPr>
        <w:t>投标保证金的退还时间：</w:t>
      </w:r>
    </w:p>
    <w:p>
      <w:pPr>
        <w:pStyle w:val="23"/>
        <w:tabs>
          <w:tab w:val="left" w:pos="771"/>
        </w:tabs>
        <w:spacing w:before="100" w:line="300" w:lineRule="exact"/>
        <w:ind w:firstLine="0"/>
        <w:rPr>
          <w:spacing w:val="-1"/>
          <w:sz w:val="24"/>
        </w:rPr>
      </w:pPr>
      <w:r>
        <w:rPr>
          <w:rFonts w:hint="eastAsia"/>
          <w:spacing w:val="-1"/>
          <w:sz w:val="24"/>
          <w:lang w:val="en-US"/>
        </w:rPr>
        <w:t xml:space="preserve">19.3.1 </w:t>
      </w:r>
      <w:r>
        <w:rPr>
          <w:spacing w:val="-1"/>
          <w:sz w:val="24"/>
        </w:rPr>
        <w:t>在中标通知书发出后 5 个工作日内退还未中标供应商的投标保证金，在采购合同签订后 5 个工作日内退还中标供应商的投标保证金。未按规定提交投标保证金的投标，将被视为投标无效。</w:t>
      </w:r>
    </w:p>
    <w:p>
      <w:pPr>
        <w:pStyle w:val="23"/>
        <w:numPr>
          <w:ilvl w:val="1"/>
          <w:numId w:val="9"/>
        </w:numPr>
        <w:tabs>
          <w:tab w:val="left" w:pos="791"/>
        </w:tabs>
        <w:spacing w:before="49"/>
        <w:ind w:left="790" w:hanging="530"/>
        <w:rPr>
          <w:sz w:val="24"/>
        </w:rPr>
      </w:pPr>
      <w:r>
        <w:rPr>
          <w:spacing w:val="-1"/>
          <w:sz w:val="24"/>
        </w:rPr>
        <w:t>下列任何情况发生时，投标保证金将被没收：</w:t>
      </w:r>
    </w:p>
    <w:p>
      <w:pPr>
        <w:pStyle w:val="23"/>
        <w:numPr>
          <w:ilvl w:val="2"/>
          <w:numId w:val="9"/>
        </w:numPr>
        <w:tabs>
          <w:tab w:val="left" w:pos="991"/>
        </w:tabs>
        <w:ind w:hanging="730"/>
        <w:rPr>
          <w:sz w:val="24"/>
        </w:rPr>
      </w:pPr>
      <w:r>
        <w:rPr>
          <w:spacing w:val="-1"/>
          <w:sz w:val="24"/>
        </w:rPr>
        <w:t>供应商在采购文件规定的投标有效期内撤回其投标；</w:t>
      </w:r>
    </w:p>
    <w:p>
      <w:pPr>
        <w:pStyle w:val="23"/>
        <w:numPr>
          <w:ilvl w:val="2"/>
          <w:numId w:val="9"/>
        </w:numPr>
        <w:tabs>
          <w:tab w:val="left" w:pos="991"/>
        </w:tabs>
        <w:spacing w:before="103"/>
        <w:ind w:hanging="730"/>
        <w:rPr>
          <w:sz w:val="24"/>
        </w:rPr>
      </w:pPr>
      <w:r>
        <w:rPr>
          <w:spacing w:val="-1"/>
          <w:sz w:val="24"/>
        </w:rPr>
        <w:t>中标方在规定期限内未能：</w:t>
      </w:r>
    </w:p>
    <w:p>
      <w:pPr>
        <w:pStyle w:val="23"/>
        <w:numPr>
          <w:ilvl w:val="3"/>
          <w:numId w:val="9"/>
        </w:numPr>
        <w:tabs>
          <w:tab w:val="left" w:pos="1190"/>
        </w:tabs>
        <w:ind w:hanging="929"/>
        <w:rPr>
          <w:sz w:val="24"/>
        </w:rPr>
      </w:pPr>
      <w:r>
        <w:rPr>
          <w:sz w:val="24"/>
        </w:rPr>
        <w:t>按本须知规定签订合同；</w:t>
      </w:r>
    </w:p>
    <w:p>
      <w:pPr>
        <w:pStyle w:val="23"/>
        <w:numPr>
          <w:ilvl w:val="3"/>
          <w:numId w:val="9"/>
        </w:numPr>
        <w:tabs>
          <w:tab w:val="left" w:pos="1190"/>
        </w:tabs>
        <w:spacing w:before="103"/>
        <w:ind w:hanging="929"/>
        <w:rPr>
          <w:sz w:val="24"/>
        </w:rPr>
      </w:pPr>
      <w:r>
        <w:rPr>
          <w:sz w:val="24"/>
        </w:rPr>
        <w:t>按本须知规定向招标代理机构交纳招标代理服务费。</w:t>
      </w:r>
    </w:p>
    <w:p>
      <w:pPr>
        <w:pStyle w:val="7"/>
        <w:ind w:left="0"/>
        <w:rPr>
          <w:sz w:val="26"/>
        </w:rPr>
      </w:pPr>
    </w:p>
    <w:p>
      <w:pPr>
        <w:pStyle w:val="4"/>
        <w:tabs>
          <w:tab w:val="left" w:pos="484"/>
        </w:tabs>
      </w:pPr>
      <w:bookmarkStart w:id="5" w:name="_bookmark5"/>
      <w:bookmarkEnd w:id="5"/>
      <w:r>
        <w:rPr>
          <w:rFonts w:ascii="Arial" w:eastAsia="Arial"/>
        </w:rPr>
        <w:t>D</w:t>
      </w:r>
      <w:r>
        <w:rPr>
          <w:rFonts w:ascii="Arial" w:eastAsia="Arial"/>
        </w:rPr>
        <w:tab/>
      </w:r>
      <w:r>
        <w:t>投标文件的递交</w:t>
      </w:r>
    </w:p>
    <w:p>
      <w:pPr>
        <w:pStyle w:val="23"/>
        <w:numPr>
          <w:ilvl w:val="0"/>
          <w:numId w:val="8"/>
        </w:numPr>
        <w:tabs>
          <w:tab w:val="left" w:pos="717"/>
        </w:tabs>
        <w:spacing w:before="0"/>
        <w:ind w:left="716" w:hanging="456"/>
        <w:rPr>
          <w:sz w:val="24"/>
        </w:rPr>
      </w:pPr>
      <w:r>
        <w:rPr>
          <w:spacing w:val="-1"/>
          <w:sz w:val="24"/>
        </w:rPr>
        <w:t>投标文件的密封与标记</w:t>
      </w:r>
    </w:p>
    <w:p>
      <w:pPr>
        <w:pStyle w:val="23"/>
        <w:tabs>
          <w:tab w:val="left" w:pos="851"/>
        </w:tabs>
        <w:spacing w:before="103" w:line="319" w:lineRule="auto"/>
        <w:ind w:right="278" w:firstLine="0"/>
        <w:rPr>
          <w:sz w:val="24"/>
        </w:rPr>
      </w:pPr>
      <w:r>
        <w:rPr>
          <w:rFonts w:hint="eastAsia"/>
          <w:spacing w:val="-1"/>
          <w:sz w:val="24"/>
          <w:lang w:val="en-US"/>
        </w:rPr>
        <w:t xml:space="preserve">20.1 </w:t>
      </w:r>
      <w:r>
        <w:rPr>
          <w:spacing w:val="-1"/>
          <w:sz w:val="24"/>
        </w:rPr>
        <w:t>供应商应将投标文件正、副本分别密封，在每个密封件的封面上标明供应商名称、法定</w:t>
      </w:r>
      <w:r>
        <w:rPr>
          <w:sz w:val="24"/>
        </w:rPr>
        <w:t>代表人、单位公章、正本或副本。</w:t>
      </w:r>
    </w:p>
    <w:p>
      <w:pPr>
        <w:pStyle w:val="23"/>
        <w:tabs>
          <w:tab w:val="left" w:pos="851"/>
        </w:tabs>
        <w:spacing w:before="0" w:line="306" w:lineRule="exact"/>
        <w:ind w:firstLine="0"/>
        <w:rPr>
          <w:sz w:val="24"/>
        </w:rPr>
      </w:pPr>
      <w:r>
        <w:rPr>
          <w:rFonts w:hint="eastAsia"/>
          <w:spacing w:val="-1"/>
          <w:sz w:val="24"/>
          <w:lang w:val="en-US"/>
        </w:rPr>
        <w:t xml:space="preserve">20.2 </w:t>
      </w:r>
      <w:r>
        <w:rPr>
          <w:spacing w:val="-1"/>
          <w:sz w:val="24"/>
        </w:rPr>
        <w:t>投标文件袋上应写明：</w:t>
      </w:r>
    </w:p>
    <w:p>
      <w:pPr>
        <w:pStyle w:val="23"/>
        <w:numPr>
          <w:ilvl w:val="2"/>
          <w:numId w:val="8"/>
        </w:numPr>
        <w:tabs>
          <w:tab w:val="left" w:pos="1341"/>
        </w:tabs>
        <w:spacing w:before="103"/>
        <w:rPr>
          <w:sz w:val="24"/>
        </w:rPr>
      </w:pPr>
      <w:r>
        <w:rPr>
          <w:sz w:val="24"/>
        </w:rPr>
        <w:t>招标机构：</w:t>
      </w:r>
      <w:r>
        <w:rPr>
          <w:rFonts w:hint="eastAsia"/>
          <w:sz w:val="24"/>
        </w:rPr>
        <w:t>法正项目管理集团有限公司</w:t>
      </w:r>
    </w:p>
    <w:p>
      <w:pPr>
        <w:pStyle w:val="23"/>
        <w:numPr>
          <w:ilvl w:val="2"/>
          <w:numId w:val="8"/>
        </w:numPr>
        <w:tabs>
          <w:tab w:val="left" w:pos="1341"/>
          <w:tab w:val="left" w:pos="4155"/>
        </w:tabs>
        <w:spacing w:before="100"/>
        <w:rPr>
          <w:rFonts w:ascii="Times New Roman" w:eastAsia="Times New Roman"/>
          <w:sz w:val="24"/>
        </w:rPr>
      </w:pPr>
      <w:r>
        <w:rPr>
          <w:sz w:val="24"/>
        </w:rPr>
        <w:t>项目名称：</w:t>
      </w:r>
      <w:r>
        <w:rPr>
          <w:rFonts w:ascii="Times New Roman" w:eastAsia="Times New Roman"/>
          <w:sz w:val="24"/>
          <w:u w:val="single"/>
        </w:rPr>
        <w:tab/>
      </w:r>
    </w:p>
    <w:p>
      <w:pPr>
        <w:pStyle w:val="23"/>
        <w:numPr>
          <w:ilvl w:val="2"/>
          <w:numId w:val="8"/>
        </w:numPr>
        <w:tabs>
          <w:tab w:val="left" w:pos="1341"/>
          <w:tab w:val="left" w:pos="4155"/>
        </w:tabs>
        <w:spacing w:before="103"/>
        <w:rPr>
          <w:rFonts w:ascii="Times New Roman" w:eastAsia="Times New Roman"/>
          <w:sz w:val="24"/>
        </w:rPr>
      </w:pPr>
      <w:r>
        <w:rPr>
          <w:sz w:val="24"/>
        </w:rPr>
        <w:t>项目编号：</w:t>
      </w:r>
      <w:r>
        <w:rPr>
          <w:rFonts w:ascii="Times New Roman" w:eastAsia="Times New Roman"/>
          <w:sz w:val="24"/>
          <w:u w:val="single"/>
        </w:rPr>
        <w:tab/>
      </w:r>
    </w:p>
    <w:p>
      <w:pPr>
        <w:pStyle w:val="23"/>
        <w:numPr>
          <w:ilvl w:val="2"/>
          <w:numId w:val="8"/>
        </w:numPr>
        <w:tabs>
          <w:tab w:val="left" w:pos="1341"/>
          <w:tab w:val="left" w:pos="4155"/>
        </w:tabs>
        <w:rPr>
          <w:rFonts w:ascii="Times New Roman" w:eastAsia="Times New Roman"/>
          <w:sz w:val="24"/>
        </w:rPr>
      </w:pPr>
      <w:r>
        <w:rPr>
          <w:sz w:val="24"/>
        </w:rPr>
        <w:t>包号：</w:t>
      </w:r>
      <w:r>
        <w:rPr>
          <w:rFonts w:ascii="Times New Roman" w:eastAsia="Times New Roman"/>
          <w:sz w:val="24"/>
          <w:u w:val="single"/>
        </w:rPr>
        <w:tab/>
      </w:r>
    </w:p>
    <w:p>
      <w:pPr>
        <w:pStyle w:val="23"/>
        <w:numPr>
          <w:ilvl w:val="2"/>
          <w:numId w:val="8"/>
        </w:numPr>
        <w:tabs>
          <w:tab w:val="left" w:pos="1341"/>
        </w:tabs>
        <w:spacing w:before="103"/>
        <w:rPr>
          <w:rFonts w:ascii="Arial" w:hAnsi="Arial" w:eastAsia="Arial"/>
          <w:sz w:val="24"/>
        </w:rPr>
      </w:pPr>
      <w:r>
        <w:rPr>
          <w:sz w:val="24"/>
        </w:rPr>
        <w:t>注明</w:t>
      </w:r>
      <w:r>
        <w:rPr>
          <w:rFonts w:ascii="Arial" w:hAnsi="Arial" w:eastAsia="Arial"/>
          <w:sz w:val="24"/>
        </w:rPr>
        <w:t>“</w:t>
      </w:r>
      <w:r>
        <w:rPr>
          <w:sz w:val="24"/>
        </w:rPr>
        <w:t>开标时才能启封</w:t>
      </w:r>
      <w:r>
        <w:rPr>
          <w:rFonts w:ascii="Arial" w:hAnsi="Arial" w:eastAsia="Arial"/>
          <w:sz w:val="24"/>
        </w:rPr>
        <w:t>”</w:t>
      </w:r>
    </w:p>
    <w:p>
      <w:pPr>
        <w:pStyle w:val="23"/>
        <w:numPr>
          <w:ilvl w:val="2"/>
          <w:numId w:val="8"/>
        </w:numPr>
        <w:tabs>
          <w:tab w:val="left" w:pos="1341"/>
          <w:tab w:val="left" w:pos="4275"/>
        </w:tabs>
        <w:spacing w:before="100"/>
        <w:rPr>
          <w:rFonts w:ascii="Times New Roman" w:eastAsia="Times New Roman"/>
          <w:sz w:val="24"/>
        </w:rPr>
      </w:pPr>
      <w:r>
        <w:rPr>
          <w:sz w:val="24"/>
        </w:rPr>
        <w:t>供应商名称：</w:t>
      </w:r>
      <w:r>
        <w:rPr>
          <w:rFonts w:ascii="Times New Roman" w:eastAsia="Times New Roman"/>
          <w:sz w:val="24"/>
          <w:u w:val="single"/>
        </w:rPr>
        <w:tab/>
      </w:r>
    </w:p>
    <w:p>
      <w:pPr>
        <w:pStyle w:val="23"/>
        <w:tabs>
          <w:tab w:val="left" w:pos="851"/>
        </w:tabs>
        <w:spacing w:line="321" w:lineRule="auto"/>
        <w:ind w:right="282" w:firstLine="0"/>
        <w:rPr>
          <w:sz w:val="24"/>
        </w:rPr>
      </w:pPr>
      <w:r>
        <w:rPr>
          <w:rFonts w:hint="eastAsia"/>
          <w:spacing w:val="-1"/>
          <w:sz w:val="24"/>
          <w:lang w:val="en-US"/>
        </w:rPr>
        <w:t xml:space="preserve">20.3 </w:t>
      </w:r>
      <w:r>
        <w:rPr>
          <w:spacing w:val="-1"/>
          <w:sz w:val="24"/>
        </w:rPr>
        <w:t>为方便开标唱标，供应商须将开标一览表单独密封，并在</w:t>
      </w:r>
      <w:r>
        <w:rPr>
          <w:sz w:val="24"/>
        </w:rPr>
        <w:t>信封上标明</w:t>
      </w:r>
      <w:r>
        <w:rPr>
          <w:rFonts w:ascii="Arial" w:hAnsi="Arial" w:eastAsia="Arial"/>
          <w:sz w:val="24"/>
        </w:rPr>
        <w:t>“</w:t>
      </w:r>
      <w:r>
        <w:rPr>
          <w:sz w:val="24"/>
        </w:rPr>
        <w:t>开标一览表</w:t>
      </w:r>
      <w:r>
        <w:rPr>
          <w:rFonts w:ascii="Arial" w:hAnsi="Arial" w:eastAsia="Arial"/>
          <w:sz w:val="24"/>
        </w:rPr>
        <w:t>”</w:t>
      </w:r>
      <w:r>
        <w:rPr>
          <w:sz w:val="24"/>
        </w:rPr>
        <w:t>字样。</w:t>
      </w:r>
    </w:p>
    <w:p>
      <w:pPr>
        <w:pStyle w:val="23"/>
        <w:tabs>
          <w:tab w:val="left" w:pos="791"/>
        </w:tabs>
        <w:spacing w:before="0" w:line="302" w:lineRule="exact"/>
        <w:ind w:firstLine="0"/>
        <w:rPr>
          <w:sz w:val="24"/>
        </w:rPr>
      </w:pPr>
      <w:r>
        <w:rPr>
          <w:rFonts w:hint="eastAsia"/>
          <w:spacing w:val="-1"/>
          <w:sz w:val="24"/>
          <w:lang w:val="en-US"/>
        </w:rPr>
        <w:t xml:space="preserve">20.4 </w:t>
      </w:r>
      <w:r>
        <w:rPr>
          <w:spacing w:val="-1"/>
          <w:sz w:val="24"/>
        </w:rPr>
        <w:t>采购文件装订要求：投标文件要求不得活页装订。</w:t>
      </w:r>
    </w:p>
    <w:p>
      <w:pPr>
        <w:pStyle w:val="23"/>
        <w:numPr>
          <w:ilvl w:val="0"/>
          <w:numId w:val="8"/>
        </w:numPr>
        <w:tabs>
          <w:tab w:val="left" w:pos="717"/>
        </w:tabs>
        <w:spacing w:before="102"/>
        <w:ind w:left="716" w:hanging="456"/>
        <w:rPr>
          <w:sz w:val="24"/>
        </w:rPr>
      </w:pPr>
      <w:r>
        <w:rPr>
          <w:sz w:val="24"/>
        </w:rPr>
        <w:t>投标截止时间</w:t>
      </w:r>
    </w:p>
    <w:p>
      <w:pPr>
        <w:pStyle w:val="23"/>
        <w:tabs>
          <w:tab w:val="left" w:pos="851"/>
        </w:tabs>
        <w:spacing w:line="319" w:lineRule="auto"/>
        <w:ind w:left="716" w:leftChars="118" w:right="2104" w:hanging="456" w:hangingChars="200"/>
        <w:jc w:val="both"/>
        <w:rPr>
          <w:sz w:val="24"/>
        </w:rPr>
      </w:pPr>
      <w:r>
        <w:rPr>
          <w:rFonts w:hint="eastAsia"/>
          <w:spacing w:val="-6"/>
          <w:sz w:val="24"/>
          <w:lang w:val="en-US"/>
        </w:rPr>
        <w:t xml:space="preserve">21.1 </w:t>
      </w:r>
      <w:r>
        <w:rPr>
          <w:spacing w:val="-6"/>
          <w:sz w:val="24"/>
        </w:rPr>
        <w:t>投标文件的递交不得迟于 20</w:t>
      </w:r>
      <w:r>
        <w:rPr>
          <w:rFonts w:hint="eastAsia"/>
          <w:spacing w:val="-6"/>
          <w:sz w:val="24"/>
          <w:lang w:val="en-US"/>
        </w:rPr>
        <w:t>2</w:t>
      </w:r>
      <w:r>
        <w:rPr>
          <w:rFonts w:hint="eastAsia"/>
          <w:spacing w:val="-6"/>
          <w:sz w:val="24"/>
          <w:lang w:val="en-US" w:eastAsia="zh-CN"/>
        </w:rPr>
        <w:t>2</w:t>
      </w:r>
      <w:r>
        <w:rPr>
          <w:spacing w:val="-6"/>
          <w:sz w:val="24"/>
        </w:rPr>
        <w:t>年</w:t>
      </w:r>
      <w:r>
        <w:rPr>
          <w:rFonts w:hint="eastAsia"/>
          <w:spacing w:val="-6"/>
          <w:sz w:val="24"/>
          <w:lang w:val="en-US" w:eastAsia="zh-CN"/>
        </w:rPr>
        <w:t>05</w:t>
      </w:r>
      <w:r>
        <w:rPr>
          <w:spacing w:val="-6"/>
          <w:sz w:val="24"/>
        </w:rPr>
        <w:t>月</w:t>
      </w:r>
      <w:r>
        <w:rPr>
          <w:rFonts w:hint="eastAsia"/>
          <w:spacing w:val="-6"/>
          <w:sz w:val="24"/>
          <w:lang w:val="en-US" w:eastAsia="zh-CN"/>
        </w:rPr>
        <w:t>30</w:t>
      </w:r>
      <w:r>
        <w:rPr>
          <w:spacing w:val="-6"/>
          <w:sz w:val="24"/>
        </w:rPr>
        <w:t>日</w:t>
      </w:r>
      <w:r>
        <w:rPr>
          <w:rFonts w:hint="eastAsia"/>
          <w:spacing w:val="-6"/>
          <w:sz w:val="24"/>
          <w:lang w:val="en-US"/>
        </w:rPr>
        <w:t xml:space="preserve">  1</w:t>
      </w:r>
      <w:r>
        <w:rPr>
          <w:rFonts w:hint="eastAsia"/>
          <w:spacing w:val="-6"/>
          <w:sz w:val="24"/>
          <w:lang w:val="en-US" w:eastAsia="zh-CN"/>
        </w:rPr>
        <w:t>6</w:t>
      </w:r>
      <w:r>
        <w:rPr>
          <w:spacing w:val="-6"/>
          <w:sz w:val="24"/>
        </w:rPr>
        <w:t>：</w:t>
      </w:r>
      <w:r>
        <w:rPr>
          <w:rFonts w:hint="eastAsia"/>
          <w:spacing w:val="-6"/>
          <w:sz w:val="24"/>
          <w:lang w:val="en-US" w:eastAsia="zh-CN"/>
        </w:rPr>
        <w:t>3</w:t>
      </w:r>
      <w:r>
        <w:rPr>
          <w:rFonts w:hint="eastAsia"/>
          <w:spacing w:val="-6"/>
          <w:sz w:val="24"/>
          <w:lang w:val="en-US"/>
        </w:rPr>
        <w:t>0</w:t>
      </w:r>
      <w:r>
        <w:rPr>
          <w:spacing w:val="-6"/>
          <w:sz w:val="24"/>
        </w:rPr>
        <w:t xml:space="preserve"> 时（北京</w:t>
      </w:r>
      <w:r>
        <w:rPr>
          <w:spacing w:val="-2"/>
          <w:sz w:val="24"/>
        </w:rPr>
        <w:t>时间</w:t>
      </w:r>
      <w:r>
        <w:rPr>
          <w:spacing w:val="-120"/>
          <w:sz w:val="24"/>
        </w:rPr>
        <w:t>）</w:t>
      </w:r>
      <w:r>
        <w:rPr>
          <w:sz w:val="24"/>
        </w:rPr>
        <w:t>。投标文件以密封形式递交至：开标现场</w:t>
      </w:r>
    </w:p>
    <w:p>
      <w:pPr>
        <w:pStyle w:val="23"/>
        <w:tabs>
          <w:tab w:val="left" w:pos="851"/>
        </w:tabs>
        <w:spacing w:before="0" w:line="319" w:lineRule="auto"/>
        <w:ind w:right="283" w:firstLine="0"/>
        <w:rPr>
          <w:sz w:val="24"/>
        </w:rPr>
      </w:pPr>
      <w:r>
        <w:rPr>
          <w:rFonts w:hint="eastAsia"/>
          <w:spacing w:val="-1"/>
          <w:sz w:val="24"/>
          <w:lang w:val="en-US"/>
        </w:rPr>
        <w:t xml:space="preserve">21.2 </w:t>
      </w:r>
      <w:r>
        <w:rPr>
          <w:spacing w:val="-1"/>
          <w:sz w:val="24"/>
        </w:rPr>
        <w:t>所有投标文件不论派人送交还是通过邮寄递交，都必须按招标代理机构在投标邀请中规</w:t>
      </w:r>
      <w:r>
        <w:rPr>
          <w:sz w:val="24"/>
        </w:rPr>
        <w:t>定的投标截止时间之前送到采购文件规定的地点。</w:t>
      </w:r>
    </w:p>
    <w:p>
      <w:pPr>
        <w:pStyle w:val="23"/>
        <w:tabs>
          <w:tab w:val="left" w:pos="851"/>
        </w:tabs>
        <w:spacing w:before="1" w:line="319" w:lineRule="auto"/>
        <w:ind w:right="277" w:firstLine="0"/>
        <w:rPr>
          <w:sz w:val="24"/>
        </w:rPr>
      </w:pPr>
      <w:r>
        <w:rPr>
          <w:rFonts w:hint="eastAsia"/>
          <w:spacing w:val="-9"/>
          <w:sz w:val="24"/>
          <w:lang w:val="en-US"/>
        </w:rPr>
        <w:t xml:space="preserve">21.3 </w:t>
      </w:r>
      <w:r>
        <w:rPr>
          <w:spacing w:val="-9"/>
          <w:sz w:val="24"/>
        </w:rPr>
        <w:t xml:space="preserve">出现第 </w:t>
      </w:r>
      <w:r>
        <w:rPr>
          <w:rFonts w:ascii="Arial" w:eastAsia="Arial"/>
          <w:sz w:val="24"/>
        </w:rPr>
        <w:t>8.2</w:t>
      </w:r>
      <w:r>
        <w:rPr>
          <w:spacing w:val="-3"/>
          <w:sz w:val="24"/>
        </w:rPr>
        <w:t>款因采购文件的修改推迟投标截止时间时，则按招标代理机构修改通知规定</w:t>
      </w:r>
      <w:r>
        <w:rPr>
          <w:sz w:val="24"/>
        </w:rPr>
        <w:t>的时间递交。</w:t>
      </w:r>
    </w:p>
    <w:p>
      <w:pPr>
        <w:pStyle w:val="23"/>
        <w:numPr>
          <w:ilvl w:val="0"/>
          <w:numId w:val="8"/>
        </w:numPr>
        <w:tabs>
          <w:tab w:val="left" w:pos="771"/>
        </w:tabs>
        <w:spacing w:before="1"/>
        <w:ind w:hanging="510"/>
        <w:rPr>
          <w:sz w:val="24"/>
        </w:rPr>
      </w:pPr>
      <w:r>
        <w:rPr>
          <w:spacing w:val="-1"/>
          <w:sz w:val="24"/>
        </w:rPr>
        <w:t>投标文件的修改和撤销</w:t>
      </w:r>
    </w:p>
    <w:p>
      <w:pPr>
        <w:pStyle w:val="23"/>
        <w:tabs>
          <w:tab w:val="left" w:pos="851"/>
        </w:tabs>
        <w:spacing w:before="100" w:line="319" w:lineRule="auto"/>
        <w:ind w:right="283" w:firstLine="0"/>
        <w:rPr>
          <w:sz w:val="24"/>
        </w:rPr>
      </w:pPr>
      <w:r>
        <w:rPr>
          <w:rFonts w:hint="eastAsia"/>
          <w:spacing w:val="-1"/>
          <w:sz w:val="24"/>
          <w:lang w:val="en-US"/>
        </w:rPr>
        <w:t xml:space="preserve">22.1 </w:t>
      </w:r>
      <w:r>
        <w:rPr>
          <w:spacing w:val="-1"/>
          <w:sz w:val="24"/>
        </w:rPr>
        <w:t>供应商在提交投标文件后可对其投标文件进行修改或撤销，但招标代理机构须在投标截</w:t>
      </w:r>
      <w:r>
        <w:rPr>
          <w:sz w:val="24"/>
        </w:rPr>
        <w:t>止时间之前收到该修改或撤销的书面通知，该通知须有经正式授权的供应商代表签字。</w:t>
      </w:r>
    </w:p>
    <w:p>
      <w:pPr>
        <w:pStyle w:val="23"/>
        <w:tabs>
          <w:tab w:val="left" w:pos="851"/>
        </w:tabs>
        <w:spacing w:before="1"/>
        <w:ind w:firstLine="0"/>
        <w:rPr>
          <w:sz w:val="24"/>
        </w:rPr>
      </w:pPr>
      <w:r>
        <w:rPr>
          <w:rFonts w:hint="eastAsia"/>
          <w:spacing w:val="-1"/>
          <w:sz w:val="24"/>
          <w:lang w:val="en-US"/>
        </w:rPr>
        <w:t xml:space="preserve">22.2 </w:t>
      </w:r>
      <w:r>
        <w:rPr>
          <w:spacing w:val="-1"/>
          <w:sz w:val="24"/>
        </w:rPr>
        <w:t>投标截止时间以后不得修改投标文件。</w:t>
      </w:r>
    </w:p>
    <w:p>
      <w:pPr>
        <w:pStyle w:val="23"/>
        <w:tabs>
          <w:tab w:val="left" w:pos="851"/>
        </w:tabs>
        <w:spacing w:before="100"/>
        <w:ind w:firstLine="0"/>
      </w:pPr>
      <w:r>
        <w:rPr>
          <w:rFonts w:hint="eastAsia"/>
          <w:sz w:val="24"/>
          <w:lang w:val="en-US"/>
        </w:rPr>
        <w:t xml:space="preserve">22.3 </w:t>
      </w:r>
      <w:r>
        <w:rPr>
          <w:sz w:val="24"/>
        </w:rPr>
        <w:t>供应商不得在开标时间起至投标有效期期满前撤销投标文件。否则招标代理机构将没收</w:t>
      </w:r>
      <w:r>
        <w:t>其投标保证金。</w:t>
      </w:r>
    </w:p>
    <w:p>
      <w:pPr>
        <w:pStyle w:val="23"/>
        <w:tabs>
          <w:tab w:val="left" w:pos="851"/>
        </w:tabs>
        <w:spacing w:before="100"/>
        <w:ind w:firstLine="0"/>
      </w:pPr>
    </w:p>
    <w:p>
      <w:pPr>
        <w:pStyle w:val="23"/>
        <w:tabs>
          <w:tab w:val="left" w:pos="851"/>
        </w:tabs>
        <w:spacing w:before="100"/>
        <w:ind w:firstLine="0"/>
      </w:pPr>
    </w:p>
    <w:p>
      <w:pPr>
        <w:pStyle w:val="23"/>
        <w:tabs>
          <w:tab w:val="left" w:pos="851"/>
        </w:tabs>
        <w:spacing w:before="100"/>
        <w:ind w:firstLine="0"/>
      </w:pPr>
    </w:p>
    <w:p>
      <w:pPr>
        <w:pStyle w:val="4"/>
        <w:numPr>
          <w:ilvl w:val="0"/>
          <w:numId w:val="10"/>
        </w:numPr>
        <w:tabs>
          <w:tab w:val="left" w:pos="467"/>
          <w:tab w:val="left" w:pos="4807"/>
        </w:tabs>
        <w:spacing w:before="75"/>
        <w:jc w:val="left"/>
      </w:pPr>
      <w:bookmarkStart w:id="6" w:name="_bookmark6"/>
      <w:bookmarkEnd w:id="6"/>
      <w:r>
        <w:t>评标程序</w:t>
      </w:r>
    </w:p>
    <w:p>
      <w:pPr>
        <w:pStyle w:val="7"/>
        <w:spacing w:before="9"/>
        <w:ind w:left="0"/>
        <w:rPr>
          <w:b/>
          <w:sz w:val="27"/>
        </w:rPr>
      </w:pPr>
    </w:p>
    <w:p>
      <w:pPr>
        <w:pStyle w:val="23"/>
        <w:numPr>
          <w:ilvl w:val="0"/>
          <w:numId w:val="8"/>
        </w:numPr>
        <w:tabs>
          <w:tab w:val="left" w:pos="771"/>
        </w:tabs>
        <w:spacing w:before="0"/>
        <w:ind w:hanging="510"/>
        <w:rPr>
          <w:sz w:val="24"/>
        </w:rPr>
      </w:pPr>
      <w:r>
        <w:rPr>
          <w:sz w:val="24"/>
        </w:rPr>
        <w:t>开标</w:t>
      </w:r>
    </w:p>
    <w:p>
      <w:pPr>
        <w:pStyle w:val="23"/>
        <w:tabs>
          <w:tab w:val="left" w:pos="851"/>
        </w:tabs>
        <w:spacing w:before="103" w:line="319" w:lineRule="auto"/>
        <w:ind w:right="278" w:firstLine="0"/>
        <w:rPr>
          <w:sz w:val="24"/>
        </w:rPr>
      </w:pPr>
      <w:r>
        <w:rPr>
          <w:rFonts w:hint="eastAsia"/>
          <w:spacing w:val="-1"/>
          <w:sz w:val="24"/>
          <w:lang w:val="en-US"/>
        </w:rPr>
        <w:t xml:space="preserve">23.1 </w:t>
      </w:r>
      <w:r>
        <w:rPr>
          <w:spacing w:val="-1"/>
          <w:sz w:val="24"/>
        </w:rPr>
        <w:t>本次招标按采购文件中投标邀请规定的时间地点进行开标，将邀请供应商的法定代表人</w:t>
      </w:r>
      <w:r>
        <w:rPr>
          <w:sz w:val="24"/>
        </w:rPr>
        <w:t>或其授权委托人准时参加开标会。</w:t>
      </w:r>
    </w:p>
    <w:p>
      <w:pPr>
        <w:pStyle w:val="23"/>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sz w:val="30"/>
        </w:rPr>
        <w:t>。</w:t>
      </w:r>
    </w:p>
    <w:p>
      <w:pPr>
        <w:pStyle w:val="23"/>
        <w:tabs>
          <w:tab w:val="left" w:pos="851"/>
        </w:tabs>
        <w:spacing w:before="65" w:line="319" w:lineRule="auto"/>
        <w:ind w:right="273" w:firstLine="0"/>
        <w:rPr>
          <w:sz w:val="24"/>
        </w:rPr>
      </w:pPr>
      <w:r>
        <w:rPr>
          <w:rFonts w:hint="eastAsia"/>
          <w:spacing w:val="-6"/>
          <w:sz w:val="24"/>
          <w:lang w:val="en-US"/>
        </w:rPr>
        <w:t>23.3</w:t>
      </w:r>
      <w:r>
        <w:rPr>
          <w:spacing w:val="-6"/>
          <w:sz w:val="24"/>
        </w:rPr>
        <w:t>开标时检查投标文件密封情况，确认无误后拆封唱标，唱正本</w:t>
      </w:r>
      <w:r>
        <w:rPr>
          <w:rFonts w:ascii="Arial" w:hAnsi="Arial" w:eastAsia="Arial"/>
          <w:sz w:val="24"/>
        </w:rPr>
        <w:t>“</w:t>
      </w:r>
      <w:r>
        <w:rPr>
          <w:sz w:val="24"/>
        </w:rPr>
        <w:t>开标一览表</w:t>
      </w:r>
      <w:r>
        <w:rPr>
          <w:rFonts w:ascii="Arial" w:hAnsi="Arial" w:eastAsia="Arial"/>
          <w:sz w:val="24"/>
        </w:rPr>
        <w:t>”</w:t>
      </w:r>
      <w:r>
        <w:rPr>
          <w:spacing w:val="-10"/>
          <w:sz w:val="24"/>
        </w:rPr>
        <w:t>内容，以及招</w:t>
      </w:r>
      <w:r>
        <w:rPr>
          <w:sz w:val="24"/>
        </w:rPr>
        <w:t>标代理机构认为合适的其他内容并记录。</w:t>
      </w:r>
    </w:p>
    <w:p>
      <w:pPr>
        <w:pStyle w:val="23"/>
        <w:tabs>
          <w:tab w:val="left" w:pos="851"/>
        </w:tabs>
        <w:spacing w:before="0"/>
        <w:ind w:firstLine="0"/>
        <w:rPr>
          <w:sz w:val="24"/>
        </w:rPr>
      </w:pPr>
      <w:r>
        <w:rPr>
          <w:rFonts w:hint="eastAsia"/>
          <w:spacing w:val="-1"/>
          <w:sz w:val="24"/>
          <w:lang w:val="en-US"/>
        </w:rPr>
        <w:t xml:space="preserve">23.4 </w:t>
      </w:r>
      <w:r>
        <w:rPr>
          <w:spacing w:val="-1"/>
          <w:sz w:val="24"/>
        </w:rPr>
        <w:t>评标原则在开标会议上宣布。</w:t>
      </w:r>
    </w:p>
    <w:p>
      <w:pPr>
        <w:pStyle w:val="23"/>
        <w:tabs>
          <w:tab w:val="left" w:pos="851"/>
        </w:tabs>
        <w:ind w:firstLine="0"/>
        <w:rPr>
          <w:sz w:val="24"/>
        </w:rPr>
      </w:pPr>
      <w:r>
        <w:rPr>
          <w:rFonts w:hint="eastAsia"/>
          <w:spacing w:val="-1"/>
          <w:sz w:val="24"/>
          <w:lang w:val="en-US"/>
        </w:rPr>
        <w:t xml:space="preserve">23.5 </w:t>
      </w:r>
      <w:r>
        <w:rPr>
          <w:spacing w:val="-1"/>
          <w:sz w:val="24"/>
        </w:rPr>
        <w:t>对招标人的纪律要求</w:t>
      </w:r>
    </w:p>
    <w:p>
      <w:pPr>
        <w:pStyle w:val="7"/>
        <w:spacing w:before="101" w:line="319" w:lineRule="auto"/>
        <w:ind w:right="276"/>
      </w:pPr>
      <w:r>
        <w:rPr>
          <w:spacing w:val="-5"/>
        </w:rPr>
        <w:t>招标人不得泄露招标投标活动中应当保密的情况和资料，不得与供应商串通损害国家利</w:t>
      </w:r>
      <w:r>
        <w:t>益、社会公共利益或者他人合法权益。</w:t>
      </w:r>
    </w:p>
    <w:p>
      <w:pPr>
        <w:pStyle w:val="23"/>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7"/>
        <w:spacing w:before="103" w:line="319" w:lineRule="auto"/>
        <w:ind w:right="280" w:firstLine="480" w:firstLineChars="200"/>
        <w:jc w:val="both"/>
      </w:pPr>
      <w: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23"/>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7"/>
        <w:spacing w:before="100" w:line="319" w:lineRule="auto"/>
        <w:ind w:right="277" w:firstLine="460" w:firstLineChars="20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23"/>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23"/>
        <w:numPr>
          <w:ilvl w:val="2"/>
          <w:numId w:val="11"/>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的对投标文件提出评审意见。采购文件</w:t>
      </w:r>
      <w:r>
        <w:rPr>
          <w:rFonts w:hint="eastAsia"/>
          <w:sz w:val="24"/>
          <w:lang w:eastAsia="zh-CN"/>
        </w:rPr>
        <w:t>没</w:t>
      </w:r>
      <w:r>
        <w:rPr>
          <w:sz w:val="24"/>
        </w:rPr>
        <w:t>有规定的评标标准和方法不得作为评标依据。</w:t>
      </w:r>
    </w:p>
    <w:p>
      <w:pPr>
        <w:pStyle w:val="23"/>
        <w:numPr>
          <w:ilvl w:val="2"/>
          <w:numId w:val="11"/>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向招标人征询确定中标人意向。</w:t>
      </w:r>
    </w:p>
    <w:p>
      <w:pPr>
        <w:pStyle w:val="23"/>
        <w:numPr>
          <w:ilvl w:val="2"/>
          <w:numId w:val="11"/>
        </w:numPr>
        <w:tabs>
          <w:tab w:val="left" w:pos="991"/>
        </w:tabs>
        <w:spacing w:before="0"/>
        <w:ind w:left="990" w:hanging="730"/>
        <w:rPr>
          <w:sz w:val="24"/>
        </w:rPr>
      </w:pPr>
      <w:r>
        <w:rPr>
          <w:spacing w:val="-1"/>
          <w:sz w:val="24"/>
        </w:rPr>
        <w:t>不得接受任何单位或个人明示或暗示提出的倾向或排斥特定供应商的要求。</w:t>
      </w:r>
    </w:p>
    <w:p>
      <w:pPr>
        <w:pStyle w:val="23"/>
        <w:numPr>
          <w:ilvl w:val="2"/>
          <w:numId w:val="11"/>
        </w:numPr>
        <w:tabs>
          <w:tab w:val="left" w:pos="991"/>
        </w:tabs>
        <w:ind w:left="990" w:hanging="730"/>
        <w:rPr>
          <w:sz w:val="24"/>
        </w:rPr>
      </w:pPr>
      <w:r>
        <w:rPr>
          <w:spacing w:val="-1"/>
          <w:sz w:val="24"/>
        </w:rPr>
        <w:t>不得有其他不客观，不公正履行职务的行为。</w:t>
      </w:r>
    </w:p>
    <w:p>
      <w:pPr>
        <w:pStyle w:val="23"/>
        <w:numPr>
          <w:ilvl w:val="0"/>
          <w:numId w:val="8"/>
        </w:numPr>
        <w:tabs>
          <w:tab w:val="left" w:pos="771"/>
        </w:tabs>
        <w:spacing w:before="103"/>
        <w:ind w:hanging="510"/>
        <w:rPr>
          <w:sz w:val="24"/>
        </w:rPr>
      </w:pPr>
      <w:r>
        <w:rPr>
          <w:sz w:val="24"/>
        </w:rPr>
        <w:t>评标过程</w:t>
      </w:r>
    </w:p>
    <w:p>
      <w:pPr>
        <w:pStyle w:val="23"/>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23"/>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开标结束后，有关人员将对供应商进行资格审查，审查项目：提供“供应商须知附表” </w:t>
      </w:r>
      <w:r>
        <w:rPr>
          <w:spacing w:val="-30"/>
          <w:sz w:val="24"/>
        </w:rPr>
        <w:t xml:space="preserve">第 </w:t>
      </w:r>
      <w:r>
        <w:rPr>
          <w:rFonts w:ascii="Arial" w:hAnsi="Arial" w:eastAsia="Arial"/>
          <w:sz w:val="24"/>
        </w:rPr>
        <w:t>8</w:t>
      </w:r>
      <w:r>
        <w:rPr>
          <w:sz w:val="24"/>
        </w:rPr>
        <w:t>项内要求的资质文件。确认其是否已具备提交投标文件的资格。</w:t>
      </w:r>
    </w:p>
    <w:p>
      <w:pPr>
        <w:pStyle w:val="23"/>
        <w:tabs>
          <w:tab w:val="left" w:pos="851"/>
        </w:tabs>
        <w:spacing w:before="100" w:line="319" w:lineRule="auto"/>
        <w:ind w:right="278" w:firstLine="0"/>
        <w:rPr>
          <w:rFonts w:ascii="宋体" w:hAnsi="宋体" w:eastAsia="宋体" w:cs="宋体"/>
          <w:spacing w:val="-1"/>
          <w:sz w:val="24"/>
        </w:rPr>
      </w:pPr>
      <w:r>
        <w:rPr>
          <w:rFonts w:hint="eastAsia" w:ascii="宋体" w:hAnsi="宋体" w:eastAsia="宋体" w:cs="宋体"/>
          <w:spacing w:val="-1"/>
          <w:sz w:val="24"/>
          <w:lang w:val="en-US"/>
        </w:rPr>
        <w:t xml:space="preserve">24.3 </w:t>
      </w:r>
      <w:r>
        <w:rPr>
          <w:rFonts w:ascii="宋体" w:hAnsi="宋体" w:eastAsia="宋体" w:cs="宋体"/>
          <w:spacing w:val="-1"/>
          <w:sz w:val="24"/>
        </w:rPr>
        <w:t>开标后评委会将组织审查投标文件是否完整，是否有计算错误，要求的保证金是否提供，文件是否恰当地签署。</w:t>
      </w:r>
    </w:p>
    <w:p>
      <w:pPr>
        <w:pStyle w:val="23"/>
        <w:tabs>
          <w:tab w:val="left" w:pos="851"/>
        </w:tabs>
        <w:spacing w:before="100" w:line="319" w:lineRule="auto"/>
        <w:ind w:right="278" w:firstLine="0"/>
        <w:rPr>
          <w:sz w:val="24"/>
        </w:rPr>
      </w:pPr>
      <w:r>
        <w:rPr>
          <w:rFonts w:hint="eastAsia" w:ascii="宋体" w:hAnsi="宋体" w:eastAsia="宋体" w:cs="宋体"/>
          <w:spacing w:val="-1"/>
          <w:sz w:val="24"/>
          <w:lang w:val="en-US"/>
        </w:rPr>
        <w:t xml:space="preserve">24.4 </w:t>
      </w:r>
      <w:r>
        <w:rPr>
          <w:rFonts w:ascii="宋体" w:hAnsi="宋体" w:eastAsia="宋体" w:cs="宋体"/>
          <w:spacing w:val="-1"/>
          <w:sz w:val="24"/>
        </w:rPr>
        <w:t>在对投标文件进行详细评估之前，评委会将依据供应商提供的资格证明文件审查供应商的财务、技</w:t>
      </w:r>
      <w:r>
        <w:rPr>
          <w:sz w:val="24"/>
        </w:rPr>
        <w:t>术和生产能力。如果确定供应商无资格履行合同，其投标将被拒绝。</w:t>
      </w:r>
    </w:p>
    <w:p>
      <w:pPr>
        <w:pStyle w:val="23"/>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3"/>
        <w:numPr>
          <w:ilvl w:val="0"/>
          <w:numId w:val="8"/>
        </w:numPr>
        <w:tabs>
          <w:tab w:val="left" w:pos="771"/>
        </w:tabs>
        <w:spacing w:before="0"/>
        <w:ind w:hanging="510"/>
        <w:rPr>
          <w:sz w:val="24"/>
        </w:rPr>
      </w:pPr>
      <w:r>
        <w:rPr>
          <w:sz w:val="24"/>
        </w:rPr>
        <w:t>投标文件的澄清</w:t>
      </w:r>
    </w:p>
    <w:p>
      <w:pPr>
        <w:pStyle w:val="23"/>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的供应商进行询标，请供应商澄清其投标内容，供应商有责任按照招标代理机构通知的时间、地点指派专人进行答疑和澄清。询标时供应商代表应作书面记录。并对重要内容</w:t>
      </w:r>
      <w:r>
        <w:rPr>
          <w:sz w:val="24"/>
        </w:rPr>
        <w:t>作出书面答复。</w:t>
      </w:r>
    </w:p>
    <w:p>
      <w:pPr>
        <w:pStyle w:val="23"/>
        <w:tabs>
          <w:tab w:val="left" w:pos="851"/>
        </w:tabs>
        <w:spacing w:before="102" w:line="319" w:lineRule="auto"/>
        <w:ind w:right="279" w:firstLine="0"/>
        <w:jc w:val="both"/>
        <w:rPr>
          <w:spacing w:val="-1"/>
          <w:sz w:val="24"/>
        </w:rPr>
      </w:pPr>
      <w:r>
        <w:rPr>
          <w:rFonts w:hint="eastAsia"/>
          <w:spacing w:val="-1"/>
          <w:sz w:val="24"/>
          <w:lang w:val="en-US"/>
        </w:rPr>
        <w:t xml:space="preserve">25.2 </w:t>
      </w:r>
      <w:r>
        <w:rPr>
          <w:spacing w:val="-1"/>
          <w:sz w:val="24"/>
        </w:rPr>
        <w:t>要澄清的答复应是书面的，但不得对投标内容进行实质性修改。澄清文件须由供应商法人代表或法人授权代表签字和/或加盖公章并作为投标文件的组成部分。</w:t>
      </w:r>
    </w:p>
    <w:p>
      <w:pPr>
        <w:pStyle w:val="23"/>
        <w:tabs>
          <w:tab w:val="left" w:pos="851"/>
        </w:tabs>
        <w:spacing w:before="102" w:line="319" w:lineRule="auto"/>
        <w:ind w:right="279" w:firstLine="0"/>
        <w:jc w:val="both"/>
        <w:rPr>
          <w:spacing w:val="-1"/>
          <w:sz w:val="24"/>
        </w:rPr>
      </w:pPr>
      <w:r>
        <w:rPr>
          <w:rFonts w:hint="eastAsia"/>
          <w:spacing w:val="-1"/>
          <w:sz w:val="24"/>
          <w:lang w:val="en-US"/>
        </w:rPr>
        <w:t>25.3</w:t>
      </w:r>
      <w:r>
        <w:rPr>
          <w:spacing w:val="-1"/>
          <w:sz w:val="24"/>
        </w:rPr>
        <w:t>对投标文件的评估和比较</w:t>
      </w:r>
    </w:p>
    <w:p>
      <w:pPr>
        <w:pStyle w:val="23"/>
        <w:tabs>
          <w:tab w:val="left" w:pos="851"/>
        </w:tabs>
        <w:spacing w:before="102" w:line="319" w:lineRule="auto"/>
        <w:ind w:right="279" w:firstLine="0"/>
        <w:jc w:val="both"/>
        <w:rPr>
          <w:spacing w:val="-1"/>
          <w:sz w:val="24"/>
        </w:rPr>
      </w:pPr>
      <w:r>
        <w:rPr>
          <w:spacing w:val="-1"/>
          <w:sz w:val="24"/>
        </w:rPr>
        <w:t xml:space="preserve">对投标文件的评估和比较分为两步进行，评标委员会按照采购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w:t>
      </w:r>
      <w:r>
        <w:rPr>
          <w:rFonts w:hint="eastAsia"/>
          <w:spacing w:val="-1"/>
          <w:sz w:val="24"/>
          <w:lang w:val="en-US" w:eastAsia="zh-CN"/>
        </w:rPr>
        <w:t>20</w:t>
      </w:r>
      <w:r>
        <w:rPr>
          <w:spacing w:val="-1"/>
          <w:sz w:val="24"/>
        </w:rPr>
        <w:t>分，</w:t>
      </w:r>
    </w:p>
    <w:p>
      <w:pPr>
        <w:pStyle w:val="7"/>
        <w:spacing w:line="319" w:lineRule="auto"/>
        <w:ind w:left="740" w:right="204"/>
      </w:pPr>
      <w:r>
        <w:t xml:space="preserve">技术因素、商务因素占 </w:t>
      </w:r>
      <w:r>
        <w:rPr>
          <w:rFonts w:hint="eastAsia" w:ascii="Arial" w:eastAsia="宋体"/>
          <w:lang w:val="en-US" w:eastAsia="zh-CN"/>
        </w:rPr>
        <w:t>8</w:t>
      </w:r>
      <w:r>
        <w:rPr>
          <w:rFonts w:ascii="Arial" w:eastAsia="Arial"/>
        </w:rPr>
        <w:t xml:space="preserve">0 </w:t>
      </w:r>
      <w:r>
        <w:t>分。将每位供应商的价格得分、技术得分、商务得分相加即为该供应商的总得分。</w:t>
      </w:r>
    </w:p>
    <w:p>
      <w:pPr>
        <w:pStyle w:val="23"/>
        <w:tabs>
          <w:tab w:val="left" w:pos="791"/>
        </w:tabs>
        <w:spacing w:before="0" w:after="52"/>
        <w:ind w:firstLine="0"/>
        <w:rPr>
          <w:sz w:val="24"/>
        </w:rPr>
      </w:pPr>
      <w:r>
        <w:rPr>
          <w:rFonts w:hint="eastAsia"/>
          <w:spacing w:val="-5"/>
          <w:sz w:val="24"/>
          <w:lang w:val="en-US"/>
        </w:rPr>
        <w:t xml:space="preserve">26.1 </w:t>
      </w:r>
      <w:r>
        <w:rPr>
          <w:spacing w:val="-5"/>
          <w:sz w:val="24"/>
        </w:rPr>
        <w:t>符合性审查标准如下：</w:t>
      </w:r>
    </w:p>
    <w:tbl>
      <w:tblPr>
        <w:tblStyle w:val="19"/>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8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09" w:type="dxa"/>
          </w:tcPr>
          <w:p>
            <w:pPr>
              <w:pStyle w:val="24"/>
              <w:spacing w:before="153"/>
              <w:ind w:left="526" w:right="399"/>
              <w:jc w:val="center"/>
              <w:rPr>
                <w:sz w:val="24"/>
              </w:rPr>
            </w:pPr>
            <w:r>
              <w:rPr>
                <w:sz w:val="24"/>
              </w:rPr>
              <w:t xml:space="preserve">序号 </w:t>
            </w:r>
          </w:p>
        </w:tc>
        <w:tc>
          <w:tcPr>
            <w:tcW w:w="8456" w:type="dxa"/>
          </w:tcPr>
          <w:p>
            <w:pPr>
              <w:pStyle w:val="24"/>
              <w:spacing w:before="153"/>
              <w:ind w:right="3685"/>
              <w:jc w:val="center"/>
              <w:rPr>
                <w:sz w:val="24"/>
              </w:rPr>
            </w:pPr>
            <w:r>
              <w:rPr>
                <w:rFonts w:hint="eastAsia"/>
                <w:sz w:val="24"/>
                <w:lang w:val="en-US" w:eastAsia="zh-CN"/>
              </w:rPr>
              <w:t xml:space="preserve">            </w:t>
            </w:r>
            <w:r>
              <w:rPr>
                <w:sz w:val="24"/>
              </w:rPr>
              <w:t>评审内</w:t>
            </w:r>
            <w:r>
              <w:rPr>
                <w:rFonts w:hint="eastAsia"/>
                <w:sz w:val="24"/>
                <w:lang w:eastAsia="zh-CN"/>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09" w:type="dxa"/>
          </w:tcPr>
          <w:p>
            <w:pPr>
              <w:pStyle w:val="24"/>
              <w:spacing w:before="153"/>
              <w:ind w:left="526" w:right="399"/>
              <w:jc w:val="center"/>
              <w:rPr>
                <w:sz w:val="24"/>
              </w:rPr>
            </w:pPr>
            <w:r>
              <w:rPr>
                <w:sz w:val="24"/>
              </w:rPr>
              <w:t xml:space="preserve">1 </w:t>
            </w:r>
          </w:p>
        </w:tc>
        <w:tc>
          <w:tcPr>
            <w:tcW w:w="8456" w:type="dxa"/>
          </w:tcPr>
          <w:p>
            <w:pPr>
              <w:pStyle w:val="24"/>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09" w:type="dxa"/>
          </w:tcPr>
          <w:p>
            <w:pPr>
              <w:pStyle w:val="24"/>
              <w:spacing w:before="153"/>
              <w:ind w:left="526" w:right="399"/>
              <w:jc w:val="center"/>
              <w:rPr>
                <w:sz w:val="24"/>
              </w:rPr>
            </w:pPr>
            <w:r>
              <w:rPr>
                <w:sz w:val="24"/>
              </w:rPr>
              <w:t xml:space="preserve">2 </w:t>
            </w:r>
          </w:p>
        </w:tc>
        <w:tc>
          <w:tcPr>
            <w:tcW w:w="8456" w:type="dxa"/>
          </w:tcPr>
          <w:p>
            <w:pPr>
              <w:pStyle w:val="24"/>
              <w:spacing w:before="153"/>
              <w:ind w:left="107"/>
              <w:rPr>
                <w:sz w:val="24"/>
              </w:rPr>
            </w:pPr>
            <w:r>
              <w:rPr>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09" w:type="dxa"/>
          </w:tcPr>
          <w:p>
            <w:pPr>
              <w:pStyle w:val="24"/>
              <w:spacing w:before="153"/>
              <w:ind w:left="526" w:right="399"/>
              <w:jc w:val="center"/>
              <w:rPr>
                <w:sz w:val="24"/>
              </w:rPr>
            </w:pPr>
            <w:r>
              <w:rPr>
                <w:sz w:val="24"/>
              </w:rPr>
              <w:t xml:space="preserve">3 </w:t>
            </w:r>
          </w:p>
        </w:tc>
        <w:tc>
          <w:tcPr>
            <w:tcW w:w="8456" w:type="dxa"/>
          </w:tcPr>
          <w:p>
            <w:pPr>
              <w:pStyle w:val="24"/>
              <w:spacing w:before="153"/>
              <w:ind w:left="107"/>
              <w:rPr>
                <w:sz w:val="24"/>
              </w:rPr>
            </w:pPr>
            <w:r>
              <w:rPr>
                <w:sz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09" w:type="dxa"/>
          </w:tcPr>
          <w:p>
            <w:pPr>
              <w:pStyle w:val="24"/>
              <w:spacing w:before="153"/>
              <w:ind w:left="526" w:right="399"/>
              <w:jc w:val="center"/>
              <w:rPr>
                <w:sz w:val="24"/>
              </w:rPr>
            </w:pPr>
            <w:r>
              <w:rPr>
                <w:sz w:val="24"/>
              </w:rPr>
              <w:t xml:space="preserve">4 </w:t>
            </w:r>
          </w:p>
        </w:tc>
        <w:tc>
          <w:tcPr>
            <w:tcW w:w="8456" w:type="dxa"/>
          </w:tcPr>
          <w:p>
            <w:pPr>
              <w:pStyle w:val="24"/>
              <w:spacing w:before="153"/>
              <w:ind w:left="107"/>
              <w:rPr>
                <w:sz w:val="24"/>
              </w:rPr>
            </w:pPr>
            <w:r>
              <w:rPr>
                <w:sz w:val="24"/>
              </w:rPr>
              <w:t xml:space="preserve">合同特殊条款是否符合招标文件要求。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509" w:type="dxa"/>
          </w:tcPr>
          <w:p>
            <w:pPr>
              <w:pStyle w:val="24"/>
              <w:spacing w:before="153"/>
              <w:ind w:left="526" w:right="399"/>
              <w:jc w:val="center"/>
              <w:rPr>
                <w:sz w:val="24"/>
              </w:rPr>
            </w:pPr>
            <w:r>
              <w:rPr>
                <w:sz w:val="24"/>
              </w:rPr>
              <w:t xml:space="preserve">5 </w:t>
            </w:r>
          </w:p>
        </w:tc>
        <w:tc>
          <w:tcPr>
            <w:tcW w:w="8456" w:type="dxa"/>
          </w:tcPr>
          <w:p>
            <w:pPr>
              <w:pStyle w:val="24"/>
              <w:spacing w:before="153"/>
              <w:ind w:left="107"/>
              <w:rPr>
                <w:sz w:val="24"/>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509" w:type="dxa"/>
          </w:tcPr>
          <w:p>
            <w:pPr>
              <w:pStyle w:val="24"/>
              <w:spacing w:before="153"/>
              <w:ind w:left="526" w:right="399"/>
              <w:jc w:val="center"/>
              <w:rPr>
                <w:sz w:val="24"/>
              </w:rPr>
            </w:pPr>
            <w:r>
              <w:rPr>
                <w:sz w:val="24"/>
              </w:rPr>
              <w:t xml:space="preserve">6 </w:t>
            </w:r>
          </w:p>
        </w:tc>
        <w:tc>
          <w:tcPr>
            <w:tcW w:w="8456" w:type="dxa"/>
          </w:tcPr>
          <w:p>
            <w:pPr>
              <w:pStyle w:val="24"/>
              <w:spacing w:before="153"/>
              <w:ind w:left="107"/>
              <w:rPr>
                <w:sz w:val="24"/>
              </w:rPr>
            </w:pPr>
            <w:r>
              <w:rPr>
                <w:sz w:val="24"/>
              </w:rPr>
              <w:t xml:space="preserve">投标文件封面右上角必须注明“正本”或“副本”字样。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09" w:type="dxa"/>
          </w:tcPr>
          <w:p>
            <w:pPr>
              <w:pStyle w:val="24"/>
              <w:spacing w:before="153"/>
              <w:ind w:left="526" w:right="399"/>
              <w:jc w:val="center"/>
              <w:rPr>
                <w:sz w:val="24"/>
              </w:rPr>
            </w:pPr>
            <w:r>
              <w:rPr>
                <w:sz w:val="24"/>
              </w:rPr>
              <w:t xml:space="preserve">7 </w:t>
            </w:r>
          </w:p>
        </w:tc>
        <w:tc>
          <w:tcPr>
            <w:tcW w:w="8456" w:type="dxa"/>
          </w:tcPr>
          <w:p>
            <w:pPr>
              <w:pStyle w:val="24"/>
              <w:spacing w:before="153"/>
              <w:ind w:left="107"/>
              <w:rPr>
                <w:sz w:val="24"/>
              </w:rPr>
            </w:pPr>
            <w:r>
              <w:rPr>
                <w:sz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965" w:type="dxa"/>
            <w:gridSpan w:val="2"/>
          </w:tcPr>
          <w:p>
            <w:pPr>
              <w:pStyle w:val="24"/>
              <w:spacing w:before="153"/>
              <w:ind w:left="107"/>
              <w:rPr>
                <w:sz w:val="24"/>
              </w:rPr>
            </w:pPr>
            <w:r>
              <w:rPr>
                <w:sz w:val="24"/>
              </w:rPr>
              <w:t xml:space="preserve">注：投标文件有不符合上述情形之一的，作废标处理。出现重大偏差的标记“×”，没有出现重大偏差的标记“√” 。 </w:t>
            </w:r>
          </w:p>
        </w:tc>
      </w:tr>
    </w:tbl>
    <w:p>
      <w:pPr>
        <w:pStyle w:val="7"/>
        <w:spacing w:before="8"/>
        <w:ind w:left="0"/>
        <w:rPr>
          <w:sz w:val="29"/>
        </w:rPr>
      </w:pPr>
    </w:p>
    <w:p>
      <w:pPr>
        <w:pStyle w:val="23"/>
        <w:tabs>
          <w:tab w:val="left" w:pos="791"/>
        </w:tabs>
        <w:spacing w:before="78" w:line="319" w:lineRule="auto"/>
        <w:ind w:right="7045" w:firstLine="0"/>
        <w:rPr>
          <w:spacing w:val="-1"/>
          <w:sz w:val="24"/>
        </w:rPr>
      </w:pPr>
      <w:r>
        <w:rPr>
          <w:rFonts w:hint="eastAsia"/>
          <w:spacing w:val="-1"/>
          <w:sz w:val="24"/>
          <w:lang w:val="en-US"/>
        </w:rPr>
        <w:t xml:space="preserve">26.2 </w:t>
      </w:r>
      <w:r>
        <w:rPr>
          <w:spacing w:val="-1"/>
          <w:sz w:val="24"/>
        </w:rPr>
        <w:t>详细评分标准如下：</w:t>
      </w:r>
    </w:p>
    <w:p>
      <w:pPr>
        <w:pStyle w:val="23"/>
        <w:tabs>
          <w:tab w:val="left" w:pos="791"/>
        </w:tabs>
        <w:spacing w:before="78" w:line="319" w:lineRule="auto"/>
        <w:ind w:right="7045" w:firstLine="0"/>
        <w:rPr>
          <w:b/>
          <w:sz w:val="24"/>
        </w:rPr>
      </w:pPr>
      <w:r>
        <w:rPr>
          <w:b/>
          <w:bCs/>
          <w:spacing w:val="-1"/>
          <w:sz w:val="24"/>
        </w:rPr>
        <w:t>一</w:t>
      </w:r>
      <w:r>
        <w:rPr>
          <w:b/>
          <w:spacing w:val="-1"/>
          <w:sz w:val="24"/>
        </w:rPr>
        <w:t>、价格部分（</w:t>
      </w:r>
      <w:r>
        <w:rPr>
          <w:rFonts w:hint="eastAsia" w:ascii="Arial" w:eastAsia="宋体"/>
          <w:b/>
          <w:spacing w:val="-1"/>
          <w:sz w:val="24"/>
          <w:lang w:val="en-US" w:eastAsia="zh-CN"/>
        </w:rPr>
        <w:t>2</w:t>
      </w:r>
      <w:r>
        <w:rPr>
          <w:rFonts w:ascii="Arial" w:eastAsia="Arial"/>
          <w:b/>
          <w:spacing w:val="-1"/>
          <w:sz w:val="24"/>
        </w:rPr>
        <w:t>0</w:t>
      </w:r>
      <w:r>
        <w:rPr>
          <w:b/>
          <w:spacing w:val="-15"/>
          <w:sz w:val="24"/>
        </w:rPr>
        <w:t>）</w:t>
      </w:r>
    </w:p>
    <w:p>
      <w:pPr>
        <w:pStyle w:val="7"/>
        <w:spacing w:before="46" w:line="316" w:lineRule="auto"/>
        <w:ind w:right="156" w:firstLine="480"/>
        <w:jc w:val="both"/>
        <w:rPr>
          <w:szCs w:val="22"/>
        </w:rPr>
      </w:pPr>
      <w:r>
        <w:rPr>
          <w:rFonts w:hint="eastAsia"/>
          <w:szCs w:val="22"/>
        </w:rPr>
        <w:t>价格得分的评分方法：采用低价优先法计算，即满足采购文件要求且投标价格最低的投标报价为评标基准价，其价格得分为满分。其他供应商的价格得分统一按照下列公式计算：价格得分=（评标基准价/投标报价）×</w:t>
      </w:r>
      <w:r>
        <w:rPr>
          <w:rFonts w:hint="eastAsia"/>
          <w:szCs w:val="22"/>
          <w:lang w:val="en-US" w:eastAsia="zh-CN"/>
        </w:rPr>
        <w:t>2</w:t>
      </w:r>
      <w:r>
        <w:rPr>
          <w:rFonts w:hint="eastAsia"/>
          <w:szCs w:val="22"/>
        </w:rPr>
        <w:t>0%×100，如此类推，算出所有投标供应商的价格得分。注：（1）如供应商为残疾人福利性单位或</w:t>
      </w:r>
      <w:r>
        <w:rPr>
          <w:rFonts w:hint="eastAsia"/>
          <w:szCs w:val="22"/>
          <w:lang w:eastAsia="zh-CN"/>
        </w:rPr>
        <w:t>中</w:t>
      </w:r>
      <w:r>
        <w:rPr>
          <w:rFonts w:hint="eastAsia"/>
          <w:szCs w:val="22"/>
        </w:rPr>
        <w:t>小企业（含监狱企业），需提供《</w:t>
      </w:r>
      <w:r>
        <w:rPr>
          <w:rFonts w:hint="eastAsia"/>
          <w:szCs w:val="22"/>
          <w:lang w:eastAsia="zh-CN"/>
        </w:rPr>
        <w:t>中小</w:t>
      </w:r>
      <w:r>
        <w:rPr>
          <w:rFonts w:hint="eastAsia"/>
          <w:szCs w:val="22"/>
        </w:rPr>
        <w:t>企业声明函》</w:t>
      </w:r>
    </w:p>
    <w:p>
      <w:pPr>
        <w:pStyle w:val="7"/>
        <w:spacing w:line="319" w:lineRule="auto"/>
        <w:ind w:right="199"/>
        <w:rPr>
          <w:rFonts w:hint="eastAsia"/>
          <w:szCs w:val="22"/>
        </w:rPr>
      </w:pPr>
      <w:r>
        <w:rPr>
          <w:rFonts w:hint="eastAsia"/>
          <w:szCs w:val="22"/>
        </w:rPr>
        <w:t>及相关证明文件，对残疾人福利性单位及小型和微型企业产品的价格给予 6%的扣除，用扣除后的价格参与评审。残疾人福利性单位属于</w:t>
      </w:r>
      <w:r>
        <w:rPr>
          <w:rFonts w:hint="eastAsia"/>
          <w:szCs w:val="22"/>
          <w:lang w:eastAsia="zh-CN"/>
        </w:rPr>
        <w:t>中</w:t>
      </w:r>
      <w:r>
        <w:rPr>
          <w:rFonts w:hint="eastAsia"/>
          <w:szCs w:val="22"/>
        </w:rPr>
        <w:t>型小型、微型企业的，不重复享受政策。</w:t>
      </w:r>
    </w:p>
    <w:p>
      <w:pPr>
        <w:numPr>
          <w:ilvl w:val="0"/>
          <w:numId w:val="0"/>
        </w:numPr>
        <w:spacing w:before="45" w:line="292" w:lineRule="auto"/>
        <w:ind w:right="156" w:rightChars="0" w:firstLine="240" w:firstLineChars="10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加分项：供应商所投产品如涉及环保节能产品将在 2分之内（包括 2分）给予加分。</w:t>
      </w:r>
    </w:p>
    <w:p>
      <w:pPr>
        <w:numPr>
          <w:ilvl w:val="0"/>
          <w:numId w:val="0"/>
        </w:numPr>
        <w:spacing w:before="45" w:line="292" w:lineRule="auto"/>
        <w:ind w:right="156" w:rightChars="0"/>
        <w:rPr>
          <w:b/>
          <w:sz w:val="24"/>
        </w:rPr>
      </w:pPr>
      <w:r>
        <w:rPr>
          <w:rFonts w:hint="eastAsia"/>
          <w:b/>
          <w:sz w:val="24"/>
          <w:lang w:eastAsia="zh-CN"/>
        </w:rPr>
        <w:t>二、商务</w:t>
      </w:r>
      <w:r>
        <w:rPr>
          <w:b/>
          <w:sz w:val="24"/>
        </w:rPr>
        <w:t>技术部分（</w:t>
      </w:r>
      <w:r>
        <w:rPr>
          <w:rFonts w:hint="eastAsia"/>
          <w:b/>
          <w:sz w:val="24"/>
          <w:lang w:val="en-US" w:eastAsia="zh-CN"/>
        </w:rPr>
        <w:t>8</w:t>
      </w:r>
      <w:r>
        <w:rPr>
          <w:rFonts w:ascii="Arial" w:eastAsia="Arial"/>
          <w:b/>
          <w:sz w:val="24"/>
        </w:rPr>
        <w:t>0</w:t>
      </w:r>
      <w:r>
        <w:rPr>
          <w:b/>
          <w:sz w:val="24"/>
        </w:rPr>
        <w:t>分）</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776"/>
        <w:gridCol w:w="1386"/>
        <w:gridCol w:w="5501"/>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58" w:type="dxa"/>
            <w:shd w:val="clear" w:color="auto" w:fill="D9D9D9"/>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评分项</w:t>
            </w:r>
          </w:p>
        </w:tc>
        <w:tc>
          <w:tcPr>
            <w:tcW w:w="776" w:type="dxa"/>
            <w:shd w:val="clear" w:color="auto" w:fill="D9D9D9"/>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序号</w:t>
            </w:r>
          </w:p>
        </w:tc>
        <w:tc>
          <w:tcPr>
            <w:tcW w:w="1386" w:type="dxa"/>
            <w:shd w:val="clear" w:color="auto" w:fill="D9D9D9"/>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评比内容</w:t>
            </w:r>
          </w:p>
        </w:tc>
        <w:tc>
          <w:tcPr>
            <w:tcW w:w="5501" w:type="dxa"/>
            <w:tcBorders>
              <w:right w:val="single" w:color="auto" w:sz="4" w:space="0"/>
            </w:tcBorders>
            <w:shd w:val="clear" w:color="auto" w:fill="D9D9D9"/>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评分标准及分值</w:t>
            </w:r>
          </w:p>
        </w:tc>
        <w:tc>
          <w:tcPr>
            <w:tcW w:w="877" w:type="dxa"/>
            <w:tcBorders>
              <w:left w:val="single" w:color="auto" w:sz="4" w:space="0"/>
            </w:tcBorders>
            <w:shd w:val="clear" w:color="auto" w:fill="D9D9D9"/>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958" w:type="dxa"/>
            <w:vMerge w:val="restart"/>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技术分（</w:t>
            </w:r>
            <w:r>
              <w:rPr>
                <w:rFonts w:hint="eastAsia" w:cs="宋体"/>
                <w:sz w:val="24"/>
                <w:szCs w:val="22"/>
                <w:lang w:val="en-US" w:eastAsia="zh-CN" w:bidi="zh-CN"/>
              </w:rPr>
              <w:t>6</w:t>
            </w:r>
            <w:r>
              <w:rPr>
                <w:rFonts w:hint="eastAsia" w:ascii="宋体" w:hAnsi="宋体" w:eastAsia="宋体" w:cs="宋体"/>
                <w:sz w:val="24"/>
                <w:szCs w:val="22"/>
                <w:lang w:val="en-US" w:eastAsia="zh-CN" w:bidi="zh-CN"/>
              </w:rPr>
              <w:t>0</w:t>
            </w:r>
            <w:r>
              <w:rPr>
                <w:rFonts w:hint="eastAsia" w:ascii="宋体" w:hAnsi="宋体" w:eastAsia="宋体" w:cs="宋体"/>
                <w:sz w:val="24"/>
                <w:szCs w:val="22"/>
                <w:lang w:val="zh-CN" w:eastAsia="zh-CN" w:bidi="zh-CN"/>
              </w:rPr>
              <w:t>分）</w:t>
            </w:r>
          </w:p>
        </w:tc>
        <w:tc>
          <w:tcPr>
            <w:tcW w:w="776" w:type="dxa"/>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1</w:t>
            </w:r>
          </w:p>
        </w:tc>
        <w:tc>
          <w:tcPr>
            <w:tcW w:w="1386" w:type="dxa"/>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技术指标</w:t>
            </w:r>
          </w:p>
        </w:tc>
        <w:tc>
          <w:tcPr>
            <w:tcW w:w="5501" w:type="dxa"/>
            <w:tcBorders>
              <w:bottom w:val="single" w:color="auto" w:sz="4" w:space="0"/>
              <w:right w:val="single" w:color="auto" w:sz="4" w:space="0"/>
            </w:tcBorders>
            <w:vAlign w:val="center"/>
          </w:tcPr>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1、重要技术参数带（</w:t>
            </w:r>
            <w:r>
              <w:rPr>
                <w:rFonts w:hint="eastAsia" w:ascii="宋体" w:hAnsi="宋体" w:cs="宋体"/>
                <w:sz w:val="24"/>
                <w:szCs w:val="24"/>
              </w:rPr>
              <w:t>▲</w:t>
            </w:r>
            <w:r>
              <w:rPr>
                <w:rFonts w:hint="eastAsia" w:ascii="宋体" w:hAnsi="宋体" w:eastAsia="宋体" w:cs="宋体"/>
                <w:sz w:val="24"/>
                <w:szCs w:val="22"/>
                <w:lang w:val="zh-CN" w:eastAsia="zh-CN" w:bidi="zh-CN"/>
              </w:rPr>
              <w:t>）部分有一条达不到招标文件要求的，扣除</w:t>
            </w:r>
            <w:r>
              <w:rPr>
                <w:rFonts w:hint="eastAsia" w:ascii="宋体" w:hAnsi="宋体" w:eastAsia="宋体" w:cs="宋体"/>
                <w:sz w:val="24"/>
                <w:szCs w:val="22"/>
                <w:lang w:val="en-US" w:eastAsia="zh-CN" w:bidi="zh-CN"/>
              </w:rPr>
              <w:t>5</w:t>
            </w:r>
            <w:r>
              <w:rPr>
                <w:rFonts w:hint="eastAsia" w:ascii="宋体" w:hAnsi="宋体" w:eastAsia="宋体" w:cs="宋体"/>
                <w:sz w:val="24"/>
                <w:szCs w:val="22"/>
                <w:lang w:val="zh-CN" w:eastAsia="zh-CN" w:bidi="zh-CN"/>
              </w:rPr>
              <w:t>分。</w:t>
            </w:r>
          </w:p>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2、一般性技术参数（非（</w:t>
            </w:r>
            <w:r>
              <w:rPr>
                <w:rFonts w:hint="eastAsia" w:ascii="宋体" w:hAnsi="宋体" w:cs="宋体"/>
                <w:sz w:val="24"/>
                <w:szCs w:val="24"/>
              </w:rPr>
              <w:t>▲</w:t>
            </w:r>
            <w:r>
              <w:rPr>
                <w:rFonts w:hint="eastAsia" w:ascii="宋体" w:hAnsi="宋体" w:eastAsia="宋体" w:cs="宋体"/>
                <w:sz w:val="24"/>
                <w:szCs w:val="22"/>
                <w:lang w:val="zh-CN" w:eastAsia="zh-CN" w:bidi="zh-CN"/>
              </w:rPr>
              <w:t>）号标注的部分）达不到招标文件要求的,每负偏离一条从起评分中扣除3分；一般性技术参数负偏离累计达到4条的，技术部分得0分。</w:t>
            </w:r>
          </w:p>
        </w:tc>
        <w:tc>
          <w:tcPr>
            <w:tcW w:w="877" w:type="dxa"/>
            <w:tcBorders>
              <w:left w:val="single" w:color="auto" w:sz="4" w:space="0"/>
              <w:bottom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en-US" w:eastAsia="zh-CN" w:bidi="zh-CN"/>
              </w:rPr>
              <w:t>30</w:t>
            </w:r>
            <w:r>
              <w:rPr>
                <w:rFonts w:hint="eastAsia" w:ascii="宋体" w:hAnsi="宋体" w:eastAsia="宋体" w:cs="宋体"/>
                <w:sz w:val="24"/>
                <w:szCs w:val="22"/>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958" w:type="dxa"/>
            <w:vMerge w:val="continue"/>
            <w:vAlign w:val="center"/>
          </w:tcPr>
          <w:p>
            <w:pPr>
              <w:jc w:val="center"/>
              <w:rPr>
                <w:rFonts w:hint="eastAsia" w:ascii="宋体" w:hAnsi="宋体" w:eastAsia="宋体" w:cs="宋体"/>
                <w:sz w:val="24"/>
                <w:szCs w:val="22"/>
                <w:lang w:val="zh-CN" w:eastAsia="zh-CN" w:bidi="zh-CN"/>
              </w:rPr>
            </w:pPr>
          </w:p>
        </w:tc>
        <w:tc>
          <w:tcPr>
            <w:tcW w:w="776" w:type="dxa"/>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2</w:t>
            </w:r>
          </w:p>
        </w:tc>
        <w:tc>
          <w:tcPr>
            <w:tcW w:w="1386" w:type="dxa"/>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设计方案</w:t>
            </w:r>
          </w:p>
        </w:tc>
        <w:tc>
          <w:tcPr>
            <w:tcW w:w="5501" w:type="dxa"/>
            <w:tcBorders>
              <w:bottom w:val="single" w:color="auto" w:sz="4" w:space="0"/>
              <w:right w:val="single" w:color="auto" w:sz="4" w:space="0"/>
            </w:tcBorders>
            <w:vAlign w:val="center"/>
          </w:tcPr>
          <w:p>
            <w:pPr>
              <w:jc w:val="left"/>
              <w:rPr>
                <w:rFonts w:hint="eastAsia" w:ascii="宋体" w:hAnsi="宋体" w:eastAsia="宋体" w:cs="宋体"/>
                <w:sz w:val="24"/>
                <w:szCs w:val="22"/>
                <w:lang w:val="zh-CN" w:eastAsia="zh-CN" w:bidi="zh-CN"/>
              </w:rPr>
            </w:pPr>
            <w:r>
              <w:rPr>
                <w:rFonts w:hint="eastAsia" w:cs="宋体"/>
                <w:sz w:val="24"/>
                <w:szCs w:val="22"/>
                <w:lang w:val="en-US" w:eastAsia="zh-CN" w:bidi="zh-CN"/>
              </w:rPr>
              <w:t>1.</w:t>
            </w:r>
            <w:r>
              <w:rPr>
                <w:rFonts w:hint="eastAsia" w:ascii="宋体" w:hAnsi="宋体" w:eastAsia="宋体" w:cs="宋体"/>
                <w:sz w:val="24"/>
                <w:szCs w:val="22"/>
                <w:lang w:val="zh-CN" w:eastAsia="zh-CN" w:bidi="zh-CN"/>
              </w:rPr>
              <w:t>完全实现采购人要求的功能，包括对用户项目建设的要求满足，对项目需求分析合理，对项目业务流程理解透彻，实用性、易用性、针对性强；方案合理，得</w:t>
            </w:r>
            <w:r>
              <w:rPr>
                <w:rFonts w:hint="eastAsia" w:cs="宋体"/>
                <w:sz w:val="24"/>
                <w:szCs w:val="22"/>
                <w:lang w:val="en-US" w:eastAsia="zh-CN" w:bidi="zh-CN"/>
              </w:rPr>
              <w:t>6</w:t>
            </w:r>
            <w:r>
              <w:rPr>
                <w:rFonts w:hint="eastAsia" w:ascii="宋体" w:hAnsi="宋体" w:eastAsia="宋体" w:cs="宋体"/>
                <w:sz w:val="24"/>
                <w:szCs w:val="22"/>
                <w:lang w:val="zh-CN" w:eastAsia="zh-CN" w:bidi="zh-CN"/>
              </w:rPr>
              <w:t>分；</w:t>
            </w:r>
          </w:p>
          <w:p>
            <w:pPr>
              <w:jc w:val="left"/>
              <w:rPr>
                <w:rFonts w:hint="eastAsia" w:ascii="宋体" w:hAnsi="宋体" w:eastAsia="宋体" w:cs="宋体"/>
                <w:sz w:val="24"/>
                <w:szCs w:val="22"/>
                <w:lang w:val="zh-CN" w:eastAsia="zh-CN" w:bidi="zh-CN"/>
              </w:rPr>
            </w:pPr>
            <w:r>
              <w:rPr>
                <w:rFonts w:hint="eastAsia" w:cs="宋体"/>
                <w:sz w:val="24"/>
                <w:szCs w:val="22"/>
                <w:lang w:val="en-US" w:eastAsia="zh-CN" w:bidi="zh-CN"/>
              </w:rPr>
              <w:t>2.</w:t>
            </w:r>
            <w:r>
              <w:rPr>
                <w:rFonts w:hint="eastAsia" w:ascii="宋体" w:hAnsi="宋体" w:eastAsia="宋体" w:cs="宋体"/>
                <w:sz w:val="24"/>
                <w:szCs w:val="22"/>
                <w:lang w:val="zh-CN" w:eastAsia="zh-CN" w:bidi="zh-CN"/>
              </w:rPr>
              <w:t>实现采购人要求的功能，实用性、易用性、针对性较强；方案较合理，得</w:t>
            </w:r>
            <w:r>
              <w:rPr>
                <w:rFonts w:hint="eastAsia" w:cs="宋体"/>
                <w:sz w:val="24"/>
                <w:szCs w:val="22"/>
                <w:lang w:val="en-US" w:eastAsia="zh-CN" w:bidi="zh-CN"/>
              </w:rPr>
              <w:t>5</w:t>
            </w:r>
            <w:r>
              <w:rPr>
                <w:rFonts w:hint="eastAsia" w:ascii="宋体" w:hAnsi="宋体" w:eastAsia="宋体" w:cs="宋体"/>
                <w:sz w:val="24"/>
                <w:szCs w:val="22"/>
                <w:lang w:val="zh-CN" w:eastAsia="zh-CN" w:bidi="zh-CN"/>
              </w:rPr>
              <w:t>-3分；</w:t>
            </w:r>
          </w:p>
          <w:p>
            <w:pPr>
              <w:jc w:val="left"/>
              <w:rPr>
                <w:rFonts w:hint="eastAsia" w:ascii="宋体" w:hAnsi="宋体" w:eastAsia="宋体" w:cs="宋体"/>
                <w:sz w:val="24"/>
                <w:szCs w:val="22"/>
                <w:lang w:val="zh-CN" w:eastAsia="zh-CN" w:bidi="zh-CN"/>
              </w:rPr>
            </w:pPr>
            <w:r>
              <w:rPr>
                <w:rFonts w:hint="eastAsia" w:cs="宋体"/>
                <w:sz w:val="24"/>
                <w:szCs w:val="22"/>
                <w:lang w:val="en-US" w:eastAsia="zh-CN" w:bidi="zh-CN"/>
              </w:rPr>
              <w:t>3.</w:t>
            </w:r>
            <w:r>
              <w:rPr>
                <w:rFonts w:hint="eastAsia" w:ascii="宋体" w:hAnsi="宋体" w:eastAsia="宋体" w:cs="宋体"/>
                <w:sz w:val="24"/>
                <w:szCs w:val="22"/>
                <w:lang w:val="zh-CN" w:eastAsia="zh-CN" w:bidi="zh-CN"/>
              </w:rPr>
              <w:t>基本实现采购人要求的功能，实用性、易用性、针对性一般；方案一般，得2-1分；</w:t>
            </w:r>
          </w:p>
          <w:p>
            <w:pPr>
              <w:jc w:val="left"/>
              <w:rPr>
                <w:rFonts w:hint="eastAsia" w:ascii="宋体" w:hAnsi="宋体" w:eastAsia="宋体" w:cs="宋体"/>
                <w:sz w:val="24"/>
                <w:szCs w:val="22"/>
                <w:lang w:val="zh-CN" w:eastAsia="zh-CN" w:bidi="zh-CN"/>
              </w:rPr>
            </w:pPr>
            <w:r>
              <w:rPr>
                <w:rFonts w:hint="eastAsia" w:cs="宋体"/>
                <w:sz w:val="24"/>
                <w:szCs w:val="22"/>
                <w:lang w:val="en-US" w:eastAsia="zh-CN" w:bidi="zh-CN"/>
              </w:rPr>
              <w:t>4.</w:t>
            </w:r>
            <w:r>
              <w:rPr>
                <w:rFonts w:hint="eastAsia" w:ascii="宋体" w:hAnsi="宋体" w:eastAsia="宋体" w:cs="宋体"/>
                <w:sz w:val="24"/>
                <w:szCs w:val="22"/>
                <w:lang w:val="zh-CN" w:eastAsia="zh-CN" w:bidi="zh-CN"/>
              </w:rPr>
              <w:t>没有技术方案得</w:t>
            </w:r>
            <w:r>
              <w:rPr>
                <w:rFonts w:hint="eastAsia" w:cs="宋体"/>
                <w:sz w:val="24"/>
                <w:szCs w:val="22"/>
                <w:lang w:val="en-US" w:eastAsia="zh-CN" w:bidi="zh-CN"/>
              </w:rPr>
              <w:t>0</w:t>
            </w:r>
            <w:r>
              <w:rPr>
                <w:rFonts w:hint="eastAsia" w:ascii="宋体" w:hAnsi="宋体" w:eastAsia="宋体" w:cs="宋体"/>
                <w:sz w:val="24"/>
                <w:szCs w:val="22"/>
                <w:lang w:val="zh-CN" w:eastAsia="zh-CN" w:bidi="zh-CN"/>
              </w:rPr>
              <w:t>分</w:t>
            </w:r>
            <w:r>
              <w:rPr>
                <w:rFonts w:hint="eastAsia" w:cs="宋体"/>
                <w:sz w:val="24"/>
                <w:szCs w:val="22"/>
                <w:lang w:val="zh-CN" w:eastAsia="zh-CN" w:bidi="zh-CN"/>
              </w:rPr>
              <w:t>。</w:t>
            </w:r>
          </w:p>
        </w:tc>
        <w:tc>
          <w:tcPr>
            <w:tcW w:w="877" w:type="dxa"/>
            <w:tcBorders>
              <w:left w:val="single" w:color="auto" w:sz="4" w:space="0"/>
              <w:bottom w:val="single" w:color="auto" w:sz="4" w:space="0"/>
            </w:tcBorders>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58" w:type="dxa"/>
            <w:vMerge w:val="continue"/>
            <w:vAlign w:val="center"/>
          </w:tcPr>
          <w:p>
            <w:pPr>
              <w:jc w:val="center"/>
              <w:rPr>
                <w:rFonts w:hint="eastAsia" w:ascii="宋体" w:hAnsi="宋体" w:eastAsia="宋体" w:cs="宋体"/>
                <w:sz w:val="24"/>
                <w:szCs w:val="22"/>
                <w:lang w:val="zh-CN" w:eastAsia="zh-CN" w:bidi="zh-CN"/>
              </w:rPr>
            </w:pPr>
          </w:p>
        </w:tc>
        <w:tc>
          <w:tcPr>
            <w:tcW w:w="776" w:type="dxa"/>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3</w:t>
            </w:r>
          </w:p>
        </w:tc>
        <w:tc>
          <w:tcPr>
            <w:tcW w:w="1386" w:type="dxa"/>
            <w:vAlign w:val="center"/>
          </w:tcPr>
          <w:p>
            <w:pPr>
              <w:jc w:val="center"/>
              <w:rPr>
                <w:rFonts w:hint="eastAsia" w:ascii="宋体" w:hAnsi="宋体" w:eastAsia="宋体" w:cs="宋体"/>
                <w:sz w:val="24"/>
                <w:szCs w:val="22"/>
                <w:lang w:val="zh-CN" w:eastAsia="zh-CN" w:bidi="zh-CN"/>
              </w:rPr>
            </w:pPr>
            <w:r>
              <w:rPr>
                <w:rFonts w:hint="eastAsia" w:cs="宋体"/>
                <w:sz w:val="24"/>
                <w:szCs w:val="24"/>
                <w:lang w:val="en-US" w:eastAsia="zh-CN"/>
              </w:rPr>
              <w:t>实施</w:t>
            </w:r>
            <w:r>
              <w:rPr>
                <w:rFonts w:hint="eastAsia" w:ascii="宋体" w:hAnsi="宋体" w:eastAsia="宋体" w:cs="宋体"/>
                <w:sz w:val="24"/>
                <w:szCs w:val="24"/>
              </w:rPr>
              <w:t>方案</w:t>
            </w:r>
          </w:p>
        </w:tc>
        <w:tc>
          <w:tcPr>
            <w:tcW w:w="5501" w:type="dxa"/>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76" w:lineRule="auto"/>
              <w:ind w:firstLine="0" w:firstLineChars="0"/>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依据投标人的实施方案是否切实可行给分。</w:t>
            </w:r>
          </w:p>
          <w:p>
            <w:pPr>
              <w:keepNext w:val="0"/>
              <w:keepLines w:val="0"/>
              <w:pageBreakBefore w:val="0"/>
              <w:widowControl/>
              <w:kinsoku/>
              <w:wordWrap/>
              <w:overflowPunct/>
              <w:topLinePunct w:val="0"/>
              <w:autoSpaceDE/>
              <w:autoSpaceDN/>
              <w:bidi w:val="0"/>
              <w:adjustRightInd/>
              <w:spacing w:line="276" w:lineRule="auto"/>
              <w:ind w:firstLine="0" w:firstLineChars="0"/>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（1）项目实施方案安排针对性强、合理、切实可行，得</w:t>
            </w:r>
            <w:r>
              <w:rPr>
                <w:rFonts w:hint="eastAsia" w:cs="宋体"/>
                <w:kern w:val="0"/>
                <w:sz w:val="24"/>
                <w:szCs w:val="24"/>
                <w:lang w:val="en-US" w:eastAsia="zh-CN"/>
              </w:rPr>
              <w:t>10-7</w:t>
            </w:r>
            <w:r>
              <w:rPr>
                <w:rFonts w:hint="eastAsia" w:ascii="宋体" w:hAnsi="宋体" w:eastAsia="宋体" w:cs="宋体"/>
                <w:kern w:val="0"/>
                <w:sz w:val="24"/>
                <w:szCs w:val="24"/>
              </w:rPr>
              <w:t>分；</w:t>
            </w:r>
          </w:p>
          <w:p>
            <w:pPr>
              <w:keepNext w:val="0"/>
              <w:keepLines w:val="0"/>
              <w:pageBreakBefore w:val="0"/>
              <w:widowControl/>
              <w:kinsoku/>
              <w:wordWrap/>
              <w:overflowPunct/>
              <w:topLinePunct w:val="0"/>
              <w:autoSpaceDE/>
              <w:autoSpaceDN/>
              <w:bidi w:val="0"/>
              <w:adjustRightInd/>
              <w:spacing w:line="276" w:lineRule="auto"/>
              <w:ind w:firstLine="0" w:firstLineChars="0"/>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（2）项目实施方案安排针对性一般、较为合理、切实可行，得</w:t>
            </w:r>
            <w:r>
              <w:rPr>
                <w:rFonts w:hint="eastAsia" w:cs="宋体"/>
                <w:kern w:val="0"/>
                <w:sz w:val="24"/>
                <w:szCs w:val="24"/>
                <w:lang w:val="en-US" w:eastAsia="zh-CN"/>
              </w:rPr>
              <w:t>6</w:t>
            </w:r>
            <w:r>
              <w:rPr>
                <w:rFonts w:hint="default" w:ascii="宋体" w:hAnsi="宋体" w:eastAsia="宋体" w:cs="宋体"/>
                <w:kern w:val="0"/>
                <w:sz w:val="24"/>
                <w:szCs w:val="24"/>
              </w:rPr>
              <w:t>-</w:t>
            </w:r>
            <w:r>
              <w:rPr>
                <w:rFonts w:hint="eastAsia" w:cs="宋体"/>
                <w:kern w:val="0"/>
                <w:sz w:val="24"/>
                <w:szCs w:val="24"/>
                <w:lang w:val="en-US" w:eastAsia="zh-CN"/>
              </w:rPr>
              <w:t>4</w:t>
            </w:r>
            <w:r>
              <w:rPr>
                <w:rFonts w:hint="eastAsia" w:ascii="宋体" w:hAnsi="宋体" w:eastAsia="宋体" w:cs="宋体"/>
                <w:kern w:val="0"/>
                <w:sz w:val="24"/>
                <w:szCs w:val="24"/>
              </w:rPr>
              <w:t>分；</w:t>
            </w:r>
          </w:p>
          <w:p>
            <w:pPr>
              <w:keepNext w:val="0"/>
              <w:keepLines w:val="0"/>
              <w:pageBreakBefore w:val="0"/>
              <w:widowControl/>
              <w:kinsoku/>
              <w:wordWrap/>
              <w:overflowPunct/>
              <w:topLinePunct w:val="0"/>
              <w:autoSpaceDE/>
              <w:autoSpaceDN/>
              <w:bidi w:val="0"/>
              <w:adjustRightInd/>
              <w:spacing w:line="276" w:lineRule="auto"/>
              <w:ind w:firstLine="0" w:firstLineChars="0"/>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（3）项目实施方案安排针对性差、欠合理、基本可行，得</w:t>
            </w:r>
            <w:r>
              <w:rPr>
                <w:rFonts w:hint="eastAsia" w:cs="宋体"/>
                <w:kern w:val="0"/>
                <w:sz w:val="24"/>
                <w:szCs w:val="24"/>
                <w:lang w:val="en-US" w:eastAsia="zh-CN"/>
              </w:rPr>
              <w:t>3</w:t>
            </w:r>
            <w:r>
              <w:rPr>
                <w:rFonts w:hint="default" w:ascii="宋体" w:hAnsi="宋体" w:eastAsia="宋体" w:cs="宋体"/>
                <w:kern w:val="0"/>
                <w:sz w:val="24"/>
                <w:szCs w:val="24"/>
              </w:rPr>
              <w:t>-</w:t>
            </w:r>
            <w:r>
              <w:rPr>
                <w:rFonts w:hint="eastAsia" w:cs="宋体"/>
                <w:kern w:val="0"/>
                <w:sz w:val="24"/>
                <w:szCs w:val="24"/>
                <w:lang w:val="en-US" w:eastAsia="zh-CN"/>
              </w:rPr>
              <w:t>1</w:t>
            </w:r>
            <w:r>
              <w:rPr>
                <w:rFonts w:hint="eastAsia" w:ascii="宋体" w:hAnsi="宋体" w:eastAsia="宋体" w:cs="宋体"/>
                <w:kern w:val="0"/>
                <w:sz w:val="24"/>
                <w:szCs w:val="24"/>
              </w:rPr>
              <w:t>分；</w:t>
            </w:r>
          </w:p>
          <w:p>
            <w:pPr>
              <w:jc w:val="left"/>
              <w:rPr>
                <w:rFonts w:hint="eastAsia" w:ascii="宋体" w:hAnsi="宋体" w:eastAsia="宋体" w:cs="宋体"/>
                <w:sz w:val="24"/>
                <w:szCs w:val="22"/>
                <w:lang w:val="zh-CN" w:eastAsia="zh-CN" w:bidi="zh-CN"/>
              </w:rPr>
            </w:pPr>
            <w:r>
              <w:rPr>
                <w:rFonts w:hint="eastAsia" w:cs="宋体"/>
                <w:kern w:val="0"/>
                <w:sz w:val="24"/>
                <w:szCs w:val="24"/>
                <w:lang w:val="en-US" w:eastAsia="zh-CN"/>
              </w:rPr>
              <w:t>(4)</w:t>
            </w:r>
            <w:r>
              <w:rPr>
                <w:rFonts w:hint="eastAsia" w:ascii="宋体" w:hAnsi="宋体" w:eastAsia="宋体" w:cs="宋体"/>
                <w:kern w:val="0"/>
                <w:sz w:val="24"/>
                <w:szCs w:val="24"/>
              </w:rPr>
              <w:t>无该部分阐述得</w:t>
            </w:r>
            <w:r>
              <w:rPr>
                <w:rFonts w:hint="eastAsia" w:cs="宋体"/>
                <w:kern w:val="0"/>
                <w:sz w:val="24"/>
                <w:szCs w:val="24"/>
                <w:lang w:val="en-US" w:eastAsia="zh-CN"/>
              </w:rPr>
              <w:t>0</w:t>
            </w:r>
            <w:r>
              <w:rPr>
                <w:rFonts w:hint="eastAsia" w:ascii="宋体" w:hAnsi="宋体" w:eastAsia="宋体" w:cs="宋体"/>
                <w:kern w:val="0"/>
                <w:sz w:val="24"/>
                <w:szCs w:val="24"/>
              </w:rPr>
              <w:t>分。</w:t>
            </w:r>
          </w:p>
        </w:tc>
        <w:tc>
          <w:tcPr>
            <w:tcW w:w="877" w:type="dxa"/>
            <w:tcBorders>
              <w:left w:val="single" w:color="auto" w:sz="4" w:space="0"/>
              <w:bottom w:val="single" w:color="auto" w:sz="4" w:space="0"/>
            </w:tcBorders>
            <w:vAlign w:val="center"/>
          </w:tcPr>
          <w:p>
            <w:pPr>
              <w:jc w:val="center"/>
              <w:rPr>
                <w:rFonts w:hint="eastAsia" w:ascii="宋体" w:hAnsi="宋体" w:eastAsia="宋体" w:cs="宋体"/>
                <w:sz w:val="24"/>
                <w:szCs w:val="22"/>
                <w:lang w:val="en-US" w:eastAsia="zh-CN" w:bidi="zh-CN"/>
              </w:rPr>
            </w:pPr>
            <w:r>
              <w:rPr>
                <w:rFonts w:hint="eastAsia" w:cs="宋体"/>
                <w:sz w:val="24"/>
                <w:szCs w:val="22"/>
                <w:lang w:val="en-US" w:eastAsia="zh-CN" w:bidi="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58" w:type="dxa"/>
            <w:vMerge w:val="continue"/>
            <w:vAlign w:val="center"/>
          </w:tcPr>
          <w:p>
            <w:pPr>
              <w:jc w:val="center"/>
              <w:rPr>
                <w:rFonts w:hint="eastAsia" w:ascii="宋体" w:hAnsi="宋体" w:eastAsia="宋体" w:cs="宋体"/>
                <w:sz w:val="24"/>
                <w:szCs w:val="22"/>
                <w:lang w:val="zh-CN" w:eastAsia="zh-CN" w:bidi="zh-CN"/>
              </w:rPr>
            </w:pPr>
          </w:p>
        </w:tc>
        <w:tc>
          <w:tcPr>
            <w:tcW w:w="776" w:type="dxa"/>
            <w:vAlign w:val="center"/>
          </w:tcPr>
          <w:p>
            <w:pPr>
              <w:jc w:val="center"/>
              <w:rPr>
                <w:rFonts w:hint="eastAsia" w:ascii="宋体" w:hAnsi="宋体" w:eastAsia="宋体" w:cs="宋体"/>
                <w:sz w:val="24"/>
                <w:szCs w:val="22"/>
                <w:lang w:val="zh-CN" w:eastAsia="zh-CN" w:bidi="zh-CN"/>
              </w:rPr>
            </w:pPr>
            <w:r>
              <w:rPr>
                <w:rFonts w:hint="eastAsia" w:cs="宋体"/>
                <w:sz w:val="24"/>
                <w:szCs w:val="22"/>
                <w:lang w:val="en-US" w:eastAsia="zh-CN" w:bidi="zh-CN"/>
              </w:rPr>
              <w:t>4</w:t>
            </w:r>
          </w:p>
        </w:tc>
        <w:tc>
          <w:tcPr>
            <w:tcW w:w="1386" w:type="dxa"/>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kern w:val="0"/>
                <w:sz w:val="24"/>
                <w:szCs w:val="24"/>
                <w:lang w:val="en-US" w:eastAsia="zh-CN"/>
              </w:rPr>
              <w:t>软件产品质量</w:t>
            </w:r>
          </w:p>
        </w:tc>
        <w:tc>
          <w:tcPr>
            <w:tcW w:w="5501" w:type="dxa"/>
            <w:tcBorders>
              <w:bottom w:val="single" w:color="auto" w:sz="4" w:space="0"/>
              <w:right w:val="single" w:color="auto" w:sz="4" w:space="0"/>
            </w:tcBorders>
            <w:vAlign w:val="center"/>
          </w:tcPr>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提供软件生产厂商含急诊和急救字眼系统软件评测报告各1份，提供一份得</w:t>
            </w:r>
            <w:r>
              <w:rPr>
                <w:rFonts w:hint="eastAsia" w:cs="宋体"/>
                <w:sz w:val="24"/>
                <w:szCs w:val="22"/>
                <w:lang w:val="en-US" w:eastAsia="zh-CN" w:bidi="zh-CN"/>
              </w:rPr>
              <w:t>2</w:t>
            </w:r>
            <w:r>
              <w:rPr>
                <w:rFonts w:hint="eastAsia" w:ascii="宋体" w:hAnsi="宋体" w:eastAsia="宋体" w:cs="宋体"/>
                <w:sz w:val="24"/>
                <w:szCs w:val="22"/>
                <w:lang w:val="zh-CN" w:eastAsia="zh-CN" w:bidi="zh-CN"/>
              </w:rPr>
              <w:t>分，总共</w:t>
            </w:r>
            <w:r>
              <w:rPr>
                <w:rFonts w:hint="eastAsia" w:cs="宋体"/>
                <w:sz w:val="24"/>
                <w:szCs w:val="22"/>
                <w:lang w:val="en-US" w:eastAsia="zh-CN" w:bidi="zh-CN"/>
              </w:rPr>
              <w:t>4</w:t>
            </w:r>
            <w:r>
              <w:rPr>
                <w:rFonts w:hint="eastAsia" w:ascii="宋体" w:hAnsi="宋体" w:eastAsia="宋体" w:cs="宋体"/>
                <w:sz w:val="24"/>
                <w:szCs w:val="22"/>
                <w:lang w:val="zh-CN" w:eastAsia="zh-CN" w:bidi="zh-CN"/>
              </w:rPr>
              <w:t>分；（复印件加盖生产厂商公章</w:t>
            </w:r>
          </w:p>
        </w:tc>
        <w:tc>
          <w:tcPr>
            <w:tcW w:w="877" w:type="dxa"/>
            <w:tcBorders>
              <w:left w:val="single" w:color="auto" w:sz="4" w:space="0"/>
              <w:bottom w:val="single" w:color="auto" w:sz="4" w:space="0"/>
            </w:tcBorders>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958" w:type="dxa"/>
            <w:vMerge w:val="continue"/>
            <w:vAlign w:val="center"/>
          </w:tcPr>
          <w:p>
            <w:pPr>
              <w:jc w:val="center"/>
              <w:rPr>
                <w:rFonts w:hint="eastAsia" w:ascii="宋体" w:hAnsi="宋体" w:eastAsia="宋体" w:cs="宋体"/>
                <w:sz w:val="24"/>
                <w:szCs w:val="22"/>
                <w:lang w:val="zh-CN" w:eastAsia="zh-CN" w:bidi="zh-CN"/>
              </w:rPr>
            </w:pPr>
          </w:p>
        </w:tc>
        <w:tc>
          <w:tcPr>
            <w:tcW w:w="776" w:type="dxa"/>
            <w:vAlign w:val="center"/>
          </w:tcPr>
          <w:p>
            <w:pPr>
              <w:jc w:val="center"/>
              <w:rPr>
                <w:rFonts w:hint="eastAsia" w:ascii="宋体" w:hAnsi="宋体" w:eastAsia="宋体" w:cs="宋体"/>
                <w:sz w:val="24"/>
                <w:szCs w:val="22"/>
                <w:lang w:val="en-US" w:eastAsia="zh-CN" w:bidi="zh-CN"/>
              </w:rPr>
            </w:pPr>
            <w:r>
              <w:rPr>
                <w:rFonts w:hint="eastAsia" w:cs="宋体"/>
                <w:sz w:val="24"/>
                <w:szCs w:val="22"/>
                <w:lang w:val="en-US" w:eastAsia="zh-CN" w:bidi="zh-CN"/>
              </w:rPr>
              <w:t>5</w:t>
            </w:r>
          </w:p>
        </w:tc>
        <w:tc>
          <w:tcPr>
            <w:tcW w:w="1386" w:type="dxa"/>
            <w:vAlign w:val="center"/>
          </w:tcPr>
          <w:p>
            <w:pPr>
              <w:jc w:val="center"/>
              <w:rPr>
                <w:rFonts w:hint="eastAsia" w:ascii="宋体" w:hAnsi="宋体" w:eastAsia="宋体" w:cs="宋体"/>
                <w:sz w:val="24"/>
                <w:szCs w:val="22"/>
                <w:lang w:val="zh-CN" w:eastAsia="zh-CN" w:bidi="zh-CN"/>
              </w:rPr>
            </w:pPr>
            <w:r>
              <w:rPr>
                <w:rFonts w:hint="eastAsia" w:cs="宋体"/>
                <w:sz w:val="24"/>
                <w:szCs w:val="22"/>
                <w:lang w:val="zh-CN" w:eastAsia="zh-CN" w:bidi="zh-CN"/>
              </w:rPr>
              <w:t>团队成员</w:t>
            </w:r>
            <w:r>
              <w:rPr>
                <w:rFonts w:hint="eastAsia" w:ascii="宋体" w:hAnsi="宋体" w:eastAsia="宋体" w:cs="宋体"/>
                <w:sz w:val="24"/>
                <w:szCs w:val="22"/>
                <w:lang w:val="zh-CN" w:eastAsia="zh-CN" w:bidi="zh-CN"/>
              </w:rPr>
              <w:t>配置</w:t>
            </w:r>
          </w:p>
        </w:tc>
        <w:tc>
          <w:tcPr>
            <w:tcW w:w="5501" w:type="dxa"/>
            <w:tcBorders>
              <w:bottom w:val="single" w:color="auto" w:sz="4" w:space="0"/>
              <w:right w:val="single" w:color="auto" w:sz="4" w:space="0"/>
            </w:tcBorders>
            <w:vAlign w:val="center"/>
          </w:tcPr>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拟派团队成员：软件生产厂商拟派项目团队的人员中具有： </w:t>
            </w:r>
          </w:p>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①担任本项目经理人员具有信息系统集成及服务高级项目经理证书的得3分； </w:t>
            </w:r>
          </w:p>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②本项目实施人员具有</w:t>
            </w:r>
            <w:r>
              <w:rPr>
                <w:rFonts w:hint="eastAsia" w:cs="宋体"/>
                <w:sz w:val="24"/>
                <w:szCs w:val="22"/>
                <w:lang w:val="en-US" w:eastAsia="zh-CN" w:bidi="zh-CN"/>
              </w:rPr>
              <w:t>高级软件</w:t>
            </w:r>
            <w:r>
              <w:rPr>
                <w:rFonts w:hint="eastAsia" w:ascii="宋体" w:hAnsi="宋体" w:eastAsia="宋体" w:cs="宋体"/>
                <w:sz w:val="24"/>
                <w:szCs w:val="22"/>
                <w:lang w:val="zh-CN" w:eastAsia="zh-CN" w:bidi="zh-CN"/>
              </w:rPr>
              <w:t>工程师证书的得2分；</w:t>
            </w:r>
          </w:p>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须同时提供证书</w:t>
            </w:r>
            <w:r>
              <w:rPr>
                <w:rFonts w:hint="eastAsia" w:cs="宋体"/>
                <w:sz w:val="24"/>
                <w:szCs w:val="22"/>
                <w:lang w:val="en-US" w:eastAsia="zh-CN" w:bidi="zh-CN"/>
              </w:rPr>
              <w:t>复印件</w:t>
            </w:r>
            <w:r>
              <w:rPr>
                <w:rFonts w:hint="eastAsia" w:ascii="宋体" w:hAnsi="宋体" w:eastAsia="宋体" w:cs="宋体"/>
                <w:sz w:val="24"/>
                <w:szCs w:val="22"/>
                <w:lang w:val="zh-CN" w:eastAsia="zh-CN" w:bidi="zh-CN"/>
              </w:rPr>
              <w:t>、相关人员的社保证明</w:t>
            </w:r>
            <w:r>
              <w:rPr>
                <w:rFonts w:hint="eastAsia" w:cs="宋体"/>
                <w:sz w:val="24"/>
                <w:szCs w:val="22"/>
                <w:lang w:val="en-US" w:eastAsia="zh-CN" w:bidi="zh-CN"/>
              </w:rPr>
              <w:t>复印</w:t>
            </w:r>
            <w:r>
              <w:rPr>
                <w:rFonts w:hint="eastAsia" w:ascii="宋体" w:hAnsi="宋体" w:eastAsia="宋体" w:cs="宋体"/>
                <w:sz w:val="24"/>
                <w:szCs w:val="22"/>
                <w:lang w:val="zh-CN" w:eastAsia="zh-CN" w:bidi="zh-CN"/>
              </w:rPr>
              <w:t>件</w:t>
            </w:r>
            <w:r>
              <w:rPr>
                <w:rFonts w:hint="eastAsia" w:cs="宋体"/>
                <w:sz w:val="24"/>
                <w:szCs w:val="22"/>
                <w:lang w:val="en-US" w:eastAsia="zh-CN" w:bidi="zh-CN"/>
              </w:rPr>
              <w:t>并加盖厂商公章</w:t>
            </w:r>
            <w:r>
              <w:rPr>
                <w:rFonts w:hint="eastAsia" w:ascii="宋体" w:hAnsi="宋体" w:eastAsia="宋体" w:cs="宋体"/>
                <w:sz w:val="24"/>
                <w:szCs w:val="22"/>
                <w:lang w:val="zh-CN" w:eastAsia="zh-CN" w:bidi="zh-CN"/>
              </w:rPr>
              <w:t>，否则不得分。（若一个人同时具有两个以上证书只计取一项得分）</w:t>
            </w:r>
          </w:p>
        </w:tc>
        <w:tc>
          <w:tcPr>
            <w:tcW w:w="877" w:type="dxa"/>
            <w:tcBorders>
              <w:left w:val="single" w:color="auto" w:sz="4" w:space="0"/>
              <w:bottom w:val="single" w:color="auto" w:sz="4" w:space="0"/>
            </w:tcBorders>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958" w:type="dxa"/>
            <w:vMerge w:val="continue"/>
            <w:vAlign w:val="center"/>
          </w:tcPr>
          <w:p>
            <w:pPr>
              <w:jc w:val="center"/>
              <w:rPr>
                <w:rFonts w:hint="eastAsia" w:ascii="宋体" w:hAnsi="宋体" w:eastAsia="宋体" w:cs="宋体"/>
                <w:sz w:val="24"/>
                <w:szCs w:val="22"/>
                <w:lang w:val="zh-CN" w:eastAsia="zh-CN" w:bidi="zh-CN"/>
              </w:rPr>
            </w:pPr>
          </w:p>
        </w:tc>
        <w:tc>
          <w:tcPr>
            <w:tcW w:w="776" w:type="dxa"/>
            <w:vAlign w:val="center"/>
          </w:tcPr>
          <w:p>
            <w:pPr>
              <w:jc w:val="center"/>
              <w:rPr>
                <w:rFonts w:hint="eastAsia" w:cs="宋体"/>
                <w:sz w:val="24"/>
                <w:szCs w:val="22"/>
                <w:lang w:val="en-US" w:eastAsia="zh-CN" w:bidi="zh-CN"/>
              </w:rPr>
            </w:pPr>
            <w:r>
              <w:rPr>
                <w:rFonts w:hint="eastAsia" w:cs="宋体"/>
                <w:sz w:val="24"/>
                <w:szCs w:val="22"/>
                <w:lang w:val="en-US" w:eastAsia="zh-CN" w:bidi="zh-CN"/>
              </w:rPr>
              <w:t>6</w:t>
            </w:r>
          </w:p>
        </w:tc>
        <w:tc>
          <w:tcPr>
            <w:tcW w:w="1386" w:type="dxa"/>
            <w:vAlign w:val="center"/>
          </w:tcPr>
          <w:p>
            <w:pPr>
              <w:widowControl/>
              <w:jc w:val="center"/>
              <w:rPr>
                <w:rFonts w:hint="eastAsia" w:cs="宋体"/>
                <w:sz w:val="24"/>
                <w:szCs w:val="22"/>
                <w:lang w:val="zh-CN" w:eastAsia="zh-CN" w:bidi="zh-CN"/>
              </w:rPr>
            </w:pPr>
            <w:r>
              <w:rPr>
                <w:rFonts w:hint="eastAsia" w:ascii="宋体" w:hAnsi="宋体" w:eastAsia="宋体" w:cs="宋体"/>
                <w:sz w:val="24"/>
                <w:szCs w:val="24"/>
              </w:rPr>
              <w:t>培训方案</w:t>
            </w:r>
          </w:p>
        </w:tc>
        <w:tc>
          <w:tcPr>
            <w:tcW w:w="5501" w:type="dxa"/>
            <w:tcBorders>
              <w:bottom w:val="single" w:color="auto" w:sz="4" w:space="0"/>
              <w:right w:val="single" w:color="auto" w:sz="4" w:space="0"/>
            </w:tcBorders>
            <w:vAlign w:val="center"/>
          </w:tcPr>
          <w:p>
            <w:pPr>
              <w:widowControl/>
              <w:jc w:val="left"/>
              <w:rPr>
                <w:rFonts w:hint="eastAsia" w:ascii="宋体" w:hAnsi="宋体" w:eastAsia="宋体" w:cs="宋体"/>
                <w:sz w:val="24"/>
                <w:szCs w:val="22"/>
                <w:lang w:val="zh-CN" w:eastAsia="zh-CN" w:bidi="zh-CN"/>
              </w:rPr>
            </w:pPr>
            <w:r>
              <w:rPr>
                <w:rFonts w:hint="eastAsia" w:ascii="宋体" w:hAnsi="宋体" w:eastAsia="宋体" w:cs="宋体"/>
                <w:color w:val="000000"/>
                <w:kern w:val="0"/>
                <w:sz w:val="24"/>
                <w:szCs w:val="24"/>
              </w:rPr>
              <w:t>根据用户情况，分批、分层次、分人员提供培训计划和方案，周到详细，按完善程度打分，培训方案完善合理周到得</w:t>
            </w:r>
            <w:r>
              <w:rPr>
                <w:rFonts w:hint="eastAsia"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w:t>
            </w:r>
            <w:r>
              <w:rPr>
                <w:rFonts w:hint="eastAsia" w:cs="宋体"/>
                <w:color w:val="000000"/>
                <w:kern w:val="0"/>
                <w:sz w:val="24"/>
                <w:szCs w:val="24"/>
                <w:lang w:val="en-US" w:eastAsia="zh-CN"/>
              </w:rPr>
              <w:t>3</w:t>
            </w:r>
            <w:r>
              <w:rPr>
                <w:rFonts w:hint="eastAsia" w:ascii="宋体" w:hAnsi="宋体" w:eastAsia="宋体" w:cs="宋体"/>
                <w:color w:val="000000"/>
                <w:kern w:val="0"/>
                <w:sz w:val="24"/>
                <w:szCs w:val="24"/>
              </w:rPr>
              <w:t>分；培训方案有但不</w:t>
            </w:r>
            <w:r>
              <w:rPr>
                <w:rFonts w:hint="eastAsia" w:ascii="宋体" w:hAnsi="宋体" w:eastAsia="宋体" w:cs="宋体"/>
                <w:color w:val="000000"/>
                <w:kern w:val="0"/>
                <w:sz w:val="24"/>
                <w:szCs w:val="24"/>
                <w:lang w:val="en-US" w:eastAsia="zh-CN"/>
              </w:rPr>
              <w:t>够</w:t>
            </w:r>
            <w:r>
              <w:rPr>
                <w:rFonts w:hint="eastAsia" w:ascii="宋体" w:hAnsi="宋体" w:eastAsia="宋体" w:cs="宋体"/>
                <w:color w:val="000000"/>
                <w:kern w:val="0"/>
                <w:sz w:val="24"/>
                <w:szCs w:val="24"/>
              </w:rPr>
              <w:t>完善得</w:t>
            </w:r>
            <w:r>
              <w:rPr>
                <w:rFonts w:hint="eastAsia"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w:t>
            </w:r>
            <w:r>
              <w:rPr>
                <w:rFonts w:hint="eastAsia" w:cs="宋体"/>
                <w:color w:val="000000"/>
                <w:kern w:val="0"/>
                <w:sz w:val="24"/>
                <w:szCs w:val="24"/>
                <w:lang w:val="en-US" w:eastAsia="zh-CN"/>
              </w:rPr>
              <w:t>1</w:t>
            </w:r>
            <w:r>
              <w:rPr>
                <w:rFonts w:hint="eastAsia" w:ascii="宋体" w:hAnsi="宋体" w:eastAsia="宋体" w:cs="宋体"/>
                <w:color w:val="000000"/>
                <w:kern w:val="0"/>
                <w:sz w:val="24"/>
                <w:szCs w:val="24"/>
              </w:rPr>
              <w:t>分；无培训方案0分。（培训地点为用户工作地点）</w:t>
            </w:r>
          </w:p>
        </w:tc>
        <w:tc>
          <w:tcPr>
            <w:tcW w:w="877" w:type="dxa"/>
            <w:tcBorders>
              <w:left w:val="single" w:color="auto" w:sz="4" w:space="0"/>
              <w:bottom w:val="single" w:color="auto" w:sz="4" w:space="0"/>
            </w:tcBorders>
            <w:vAlign w:val="center"/>
          </w:tcPr>
          <w:p>
            <w:pPr>
              <w:jc w:val="center"/>
              <w:rPr>
                <w:rFonts w:hint="default" w:cs="宋体"/>
                <w:sz w:val="24"/>
                <w:szCs w:val="22"/>
                <w:lang w:val="en-US" w:eastAsia="zh-CN" w:bidi="zh-CN"/>
              </w:rPr>
            </w:pPr>
            <w:r>
              <w:rPr>
                <w:rFonts w:hint="eastAsia" w:cs="宋体"/>
                <w:sz w:val="24"/>
                <w:szCs w:val="22"/>
                <w:lang w:val="en-US" w:eastAsia="zh-CN" w:bidi="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8" w:type="dxa"/>
            <w:vMerge w:val="restart"/>
            <w:tcBorders>
              <w:righ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商务分（</w:t>
            </w:r>
            <w:r>
              <w:rPr>
                <w:rFonts w:hint="eastAsia" w:cs="宋体"/>
                <w:sz w:val="24"/>
                <w:szCs w:val="22"/>
                <w:lang w:val="en-US" w:eastAsia="zh-CN" w:bidi="zh-CN"/>
              </w:rPr>
              <w:t>2</w:t>
            </w:r>
            <w:r>
              <w:rPr>
                <w:rFonts w:hint="eastAsia" w:ascii="宋体" w:hAnsi="宋体" w:eastAsia="宋体" w:cs="宋体"/>
                <w:sz w:val="24"/>
                <w:szCs w:val="22"/>
                <w:lang w:val="en-US" w:eastAsia="zh-CN" w:bidi="zh-CN"/>
              </w:rPr>
              <w:t>0</w:t>
            </w:r>
            <w:r>
              <w:rPr>
                <w:rFonts w:hint="eastAsia" w:ascii="宋体" w:hAnsi="宋体" w:eastAsia="宋体" w:cs="宋体"/>
                <w:sz w:val="24"/>
                <w:szCs w:val="22"/>
                <w:lang w:val="zh-CN" w:eastAsia="zh-CN" w:bidi="zh-CN"/>
              </w:rPr>
              <w:t>分）</w:t>
            </w:r>
          </w:p>
        </w:tc>
        <w:tc>
          <w:tcPr>
            <w:tcW w:w="776" w:type="dxa"/>
            <w:tcBorders>
              <w:left w:val="single" w:color="auto" w:sz="4" w:space="0"/>
              <w:righ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1</w:t>
            </w:r>
          </w:p>
        </w:tc>
        <w:tc>
          <w:tcPr>
            <w:tcW w:w="1386" w:type="dxa"/>
            <w:tcBorders>
              <w:left w:val="single" w:color="auto" w:sz="4" w:space="0"/>
              <w:righ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近三年有类似业绩</w:t>
            </w:r>
          </w:p>
        </w:tc>
        <w:tc>
          <w:tcPr>
            <w:tcW w:w="5501" w:type="dxa"/>
            <w:tcBorders>
              <w:left w:val="single" w:color="auto" w:sz="4" w:space="0"/>
              <w:righ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每提供</w:t>
            </w:r>
            <w:r>
              <w:rPr>
                <w:rFonts w:hint="eastAsia" w:ascii="宋体" w:hAnsi="宋体" w:eastAsia="宋体" w:cs="宋体"/>
                <w:sz w:val="24"/>
                <w:szCs w:val="22"/>
                <w:lang w:val="en-US" w:eastAsia="zh-CN" w:bidi="zh-CN"/>
              </w:rPr>
              <w:t>1项业绩得1分</w:t>
            </w:r>
            <w:r>
              <w:rPr>
                <w:rFonts w:hint="eastAsia" w:ascii="宋体" w:hAnsi="宋体" w:eastAsia="宋体" w:cs="宋体"/>
                <w:sz w:val="24"/>
                <w:szCs w:val="22"/>
                <w:lang w:val="zh-CN" w:eastAsia="zh-CN" w:bidi="zh-CN"/>
              </w:rPr>
              <w:t>，最多得</w:t>
            </w:r>
            <w:r>
              <w:rPr>
                <w:rFonts w:hint="eastAsia" w:ascii="宋体" w:hAnsi="宋体" w:eastAsia="宋体" w:cs="宋体"/>
                <w:sz w:val="24"/>
                <w:szCs w:val="22"/>
                <w:lang w:val="en-US" w:eastAsia="zh-CN" w:bidi="zh-CN"/>
              </w:rPr>
              <w:t>5分</w:t>
            </w:r>
            <w:r>
              <w:rPr>
                <w:rFonts w:hint="eastAsia" w:ascii="宋体" w:hAnsi="宋体" w:eastAsia="宋体" w:cs="宋体"/>
                <w:sz w:val="24"/>
                <w:szCs w:val="22"/>
                <w:lang w:val="zh-CN" w:eastAsia="zh-CN" w:bidi="zh-CN"/>
              </w:rPr>
              <w:t>。</w:t>
            </w:r>
            <w:r>
              <w:rPr>
                <w:rFonts w:hint="eastAsia" w:ascii="宋体" w:hAnsi="宋体" w:eastAsia="宋体" w:cs="宋体"/>
                <w:sz w:val="24"/>
                <w:szCs w:val="22"/>
                <w:lang w:val="en-US" w:eastAsia="zh-CN" w:bidi="zh-CN"/>
              </w:rPr>
              <w:t>(提供中标通知书复印件或合同复印件</w:t>
            </w:r>
          </w:p>
        </w:tc>
        <w:tc>
          <w:tcPr>
            <w:tcW w:w="877"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en-US" w:eastAsia="zh-CN" w:bidi="zh-CN"/>
              </w:rPr>
              <w:t>5</w:t>
            </w:r>
            <w:r>
              <w:rPr>
                <w:rFonts w:hint="eastAsia" w:ascii="宋体" w:hAnsi="宋体" w:eastAsia="宋体" w:cs="宋体"/>
                <w:sz w:val="24"/>
                <w:szCs w:val="22"/>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58" w:type="dxa"/>
            <w:vMerge w:val="continue"/>
            <w:tcBorders>
              <w:right w:val="single" w:color="auto" w:sz="4" w:space="0"/>
            </w:tcBorders>
            <w:vAlign w:val="center"/>
          </w:tcPr>
          <w:p>
            <w:pPr>
              <w:jc w:val="center"/>
              <w:rPr>
                <w:rFonts w:hint="eastAsia" w:ascii="宋体" w:hAnsi="宋体" w:eastAsia="宋体" w:cs="宋体"/>
                <w:sz w:val="24"/>
                <w:szCs w:val="22"/>
                <w:lang w:val="zh-CN" w:eastAsia="zh-CN" w:bidi="zh-CN"/>
              </w:rPr>
            </w:pPr>
          </w:p>
        </w:tc>
        <w:tc>
          <w:tcPr>
            <w:tcW w:w="776" w:type="dxa"/>
            <w:vMerge w:val="restart"/>
            <w:tcBorders>
              <w:lef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en-US" w:eastAsia="zh-CN" w:bidi="zh-CN"/>
              </w:rPr>
              <w:t>2</w:t>
            </w:r>
          </w:p>
        </w:tc>
        <w:tc>
          <w:tcPr>
            <w:tcW w:w="1386" w:type="dxa"/>
            <w:vMerge w:val="restart"/>
            <w:vAlign w:val="center"/>
          </w:tcPr>
          <w:p>
            <w:pPr>
              <w:jc w:val="center"/>
              <w:rPr>
                <w:rFonts w:hint="default" w:ascii="宋体" w:hAnsi="宋体" w:eastAsia="宋体" w:cs="宋体"/>
                <w:sz w:val="24"/>
                <w:szCs w:val="22"/>
                <w:lang w:val="en-US" w:eastAsia="zh-CN" w:bidi="zh-CN"/>
              </w:rPr>
            </w:pPr>
            <w:r>
              <w:rPr>
                <w:rFonts w:hint="eastAsia" w:cs="宋体"/>
                <w:sz w:val="24"/>
                <w:szCs w:val="22"/>
                <w:lang w:val="en-US" w:eastAsia="zh-CN" w:bidi="zh-CN"/>
              </w:rPr>
              <w:t>软件产品厂商综合实力（提供证书复印件加盖厂商公章）</w:t>
            </w:r>
          </w:p>
        </w:tc>
        <w:tc>
          <w:tcPr>
            <w:tcW w:w="5501" w:type="dxa"/>
            <w:tcBorders>
              <w:right w:val="single" w:color="auto" w:sz="4" w:space="0"/>
            </w:tcBorders>
            <w:vAlign w:val="center"/>
          </w:tcPr>
          <w:p>
            <w:pPr>
              <w:jc w:val="both"/>
              <w:rPr>
                <w:rFonts w:hint="eastAsia" w:ascii="宋体" w:hAnsi="宋体" w:eastAsia="宋体" w:cs="宋体"/>
                <w:sz w:val="24"/>
                <w:szCs w:val="22"/>
                <w:lang w:val="zh-CN" w:eastAsia="zh-CN" w:bidi="zh-CN"/>
              </w:rPr>
            </w:pPr>
            <w:r>
              <w:rPr>
                <w:rFonts w:hint="eastAsia" w:ascii="宋体" w:hAnsi="宋体" w:eastAsia="宋体" w:cs="宋体"/>
                <w:sz w:val="24"/>
                <w:szCs w:val="24"/>
              </w:rPr>
              <w:t>具有</w:t>
            </w:r>
            <w:r>
              <w:rPr>
                <w:rFonts w:hint="eastAsia" w:ascii="宋体" w:hAnsi="宋体" w:eastAsia="宋体" w:cs="宋体"/>
                <w:sz w:val="24"/>
                <w:szCs w:val="24"/>
                <w:lang w:val="en-US" w:eastAsia="zh-CN"/>
              </w:rPr>
              <w:t>AAA级企业信用等级证书</w:t>
            </w:r>
            <w:r>
              <w:rPr>
                <w:rFonts w:hint="eastAsia" w:ascii="宋体" w:hAnsi="宋体" w:eastAsia="宋体" w:cs="宋体"/>
                <w:sz w:val="24"/>
                <w:szCs w:val="24"/>
              </w:rPr>
              <w:t>的得</w:t>
            </w:r>
            <w:r>
              <w:rPr>
                <w:rFonts w:hint="eastAsia" w:cs="宋体"/>
                <w:sz w:val="24"/>
                <w:szCs w:val="24"/>
                <w:lang w:val="en-US" w:eastAsia="zh-CN"/>
              </w:rPr>
              <w:t>2</w:t>
            </w:r>
            <w:r>
              <w:rPr>
                <w:rFonts w:hint="eastAsia" w:ascii="宋体" w:hAnsi="宋体" w:eastAsia="宋体" w:cs="宋体"/>
                <w:sz w:val="24"/>
                <w:szCs w:val="24"/>
              </w:rPr>
              <w:t>分</w:t>
            </w:r>
            <w:r>
              <w:rPr>
                <w:rFonts w:hint="eastAsia" w:cs="宋体"/>
                <w:sz w:val="24"/>
                <w:szCs w:val="24"/>
                <w:lang w:eastAsia="zh-CN"/>
              </w:rPr>
              <w:t>；</w:t>
            </w:r>
          </w:p>
        </w:tc>
        <w:tc>
          <w:tcPr>
            <w:tcW w:w="877" w:type="dxa"/>
            <w:vMerge w:val="restart"/>
            <w:tcBorders>
              <w:left w:val="single" w:color="auto" w:sz="4" w:space="0"/>
            </w:tcBorders>
            <w:vAlign w:val="center"/>
          </w:tcPr>
          <w:p>
            <w:pPr>
              <w:jc w:val="center"/>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58" w:type="dxa"/>
            <w:vMerge w:val="continue"/>
            <w:tcBorders>
              <w:right w:val="single" w:color="auto" w:sz="4" w:space="0"/>
            </w:tcBorders>
            <w:vAlign w:val="center"/>
          </w:tcPr>
          <w:p>
            <w:pPr>
              <w:jc w:val="center"/>
              <w:rPr>
                <w:rFonts w:hint="eastAsia" w:ascii="宋体" w:hAnsi="宋体" w:eastAsia="宋体" w:cs="宋体"/>
                <w:sz w:val="24"/>
                <w:szCs w:val="22"/>
                <w:lang w:val="zh-CN" w:eastAsia="zh-CN" w:bidi="zh-CN"/>
              </w:rPr>
            </w:pPr>
          </w:p>
        </w:tc>
        <w:tc>
          <w:tcPr>
            <w:tcW w:w="776" w:type="dxa"/>
            <w:vMerge w:val="continue"/>
            <w:tcBorders>
              <w:left w:val="single" w:color="auto" w:sz="4" w:space="0"/>
            </w:tcBorders>
            <w:vAlign w:val="center"/>
          </w:tcPr>
          <w:p>
            <w:pPr>
              <w:jc w:val="center"/>
              <w:rPr>
                <w:rFonts w:hint="eastAsia" w:ascii="宋体" w:hAnsi="宋体" w:eastAsia="宋体" w:cs="宋体"/>
                <w:sz w:val="24"/>
                <w:szCs w:val="22"/>
                <w:lang w:val="en-US" w:eastAsia="zh-CN" w:bidi="zh-CN"/>
              </w:rPr>
            </w:pPr>
          </w:p>
        </w:tc>
        <w:tc>
          <w:tcPr>
            <w:tcW w:w="1386" w:type="dxa"/>
            <w:vMerge w:val="continue"/>
            <w:vAlign w:val="center"/>
          </w:tcPr>
          <w:p>
            <w:pPr>
              <w:jc w:val="center"/>
              <w:rPr>
                <w:rFonts w:hint="eastAsia" w:cs="宋体"/>
                <w:sz w:val="24"/>
                <w:szCs w:val="22"/>
                <w:lang w:val="en-US" w:eastAsia="zh-CN" w:bidi="zh-CN"/>
              </w:rPr>
            </w:pPr>
          </w:p>
        </w:tc>
        <w:tc>
          <w:tcPr>
            <w:tcW w:w="5501" w:type="dxa"/>
            <w:tcBorders>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eastAsia="宋体" w:cs="宋体"/>
                <w:sz w:val="24"/>
                <w:szCs w:val="24"/>
              </w:rPr>
              <w:t>具有国家级高新技术企业证书得</w:t>
            </w:r>
            <w:r>
              <w:rPr>
                <w:rFonts w:hint="eastAsia" w:cs="宋体"/>
                <w:sz w:val="24"/>
                <w:szCs w:val="24"/>
                <w:lang w:val="en-US" w:eastAsia="zh-CN"/>
              </w:rPr>
              <w:t>2</w:t>
            </w:r>
            <w:r>
              <w:rPr>
                <w:rFonts w:hint="eastAsia" w:ascii="宋体" w:hAnsi="宋体" w:eastAsia="宋体" w:cs="宋体"/>
                <w:sz w:val="24"/>
                <w:szCs w:val="24"/>
              </w:rPr>
              <w:t>分</w:t>
            </w:r>
            <w:r>
              <w:rPr>
                <w:rFonts w:hint="eastAsia" w:cs="宋体"/>
                <w:sz w:val="24"/>
                <w:szCs w:val="24"/>
                <w:lang w:eastAsia="zh-CN"/>
              </w:rPr>
              <w:t>；</w:t>
            </w:r>
          </w:p>
        </w:tc>
        <w:tc>
          <w:tcPr>
            <w:tcW w:w="877" w:type="dxa"/>
            <w:vMerge w:val="continue"/>
            <w:tcBorders>
              <w:left w:val="single" w:color="auto" w:sz="4" w:space="0"/>
            </w:tcBorders>
            <w:vAlign w:val="center"/>
          </w:tcPr>
          <w:p>
            <w:pPr>
              <w:jc w:val="center"/>
              <w:rPr>
                <w:rFonts w:hint="eastAsia" w:ascii="宋体" w:hAnsi="宋体" w:eastAsia="宋体" w:cs="宋体"/>
                <w:sz w:val="24"/>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8" w:type="dxa"/>
            <w:vMerge w:val="continue"/>
            <w:tcBorders>
              <w:right w:val="single" w:color="auto" w:sz="4" w:space="0"/>
            </w:tcBorders>
            <w:vAlign w:val="center"/>
          </w:tcPr>
          <w:p>
            <w:pPr>
              <w:jc w:val="center"/>
              <w:rPr>
                <w:rFonts w:hint="eastAsia" w:ascii="宋体" w:hAnsi="宋体" w:eastAsia="宋体" w:cs="宋体"/>
                <w:sz w:val="24"/>
                <w:szCs w:val="22"/>
                <w:lang w:val="zh-CN" w:eastAsia="zh-CN" w:bidi="zh-CN"/>
              </w:rPr>
            </w:pPr>
          </w:p>
        </w:tc>
        <w:tc>
          <w:tcPr>
            <w:tcW w:w="776" w:type="dxa"/>
            <w:vMerge w:val="continue"/>
            <w:tcBorders>
              <w:left w:val="single" w:color="auto" w:sz="4" w:space="0"/>
            </w:tcBorders>
            <w:vAlign w:val="center"/>
          </w:tcPr>
          <w:p>
            <w:pPr>
              <w:jc w:val="center"/>
              <w:rPr>
                <w:rFonts w:hint="eastAsia" w:ascii="宋体" w:hAnsi="宋体" w:eastAsia="宋体" w:cs="宋体"/>
                <w:sz w:val="24"/>
                <w:szCs w:val="22"/>
                <w:lang w:val="en-US" w:eastAsia="zh-CN" w:bidi="zh-CN"/>
              </w:rPr>
            </w:pPr>
          </w:p>
        </w:tc>
        <w:tc>
          <w:tcPr>
            <w:tcW w:w="1386" w:type="dxa"/>
            <w:vMerge w:val="continue"/>
            <w:vAlign w:val="center"/>
          </w:tcPr>
          <w:p>
            <w:pPr>
              <w:jc w:val="center"/>
              <w:rPr>
                <w:rFonts w:hint="eastAsia" w:cs="宋体"/>
                <w:sz w:val="24"/>
                <w:szCs w:val="22"/>
                <w:lang w:val="en-US" w:eastAsia="zh-CN" w:bidi="zh-CN"/>
              </w:rPr>
            </w:pPr>
          </w:p>
        </w:tc>
        <w:tc>
          <w:tcPr>
            <w:tcW w:w="5501" w:type="dxa"/>
            <w:tcBorders>
              <w:right w:val="single" w:color="auto" w:sz="4" w:space="0"/>
            </w:tcBorders>
            <w:vAlign w:val="center"/>
          </w:tcPr>
          <w:p>
            <w:pPr>
              <w:pStyle w:val="10"/>
              <w:snapToGrid w:val="0"/>
              <w:spacing w:before="156" w:after="156" w:line="300" w:lineRule="exact"/>
              <w:jc w:val="left"/>
              <w:rPr>
                <w:rFonts w:hint="eastAsia" w:ascii="宋体" w:hAnsi="宋体" w:eastAsia="宋体" w:cs="宋体"/>
                <w:sz w:val="24"/>
                <w:szCs w:val="24"/>
                <w:lang w:eastAsia="zh-CN"/>
              </w:rPr>
            </w:pPr>
            <w:r>
              <w:rPr>
                <w:rFonts w:hint="eastAsia" w:ascii="宋体" w:hAnsi="宋体" w:eastAsia="宋体" w:cs="宋体"/>
                <w:sz w:val="24"/>
                <w:szCs w:val="24"/>
              </w:rPr>
              <w:t>具有ISO20000IT运维服务管理</w:t>
            </w:r>
            <w:r>
              <w:rPr>
                <w:rFonts w:hint="eastAsia" w:ascii="宋体" w:hAnsi="宋体" w:eastAsia="宋体" w:cs="宋体"/>
                <w:sz w:val="24"/>
                <w:szCs w:val="24"/>
                <w:lang w:val="en-US" w:eastAsia="zh-CN"/>
              </w:rPr>
              <w:t>体系</w:t>
            </w:r>
            <w:r>
              <w:rPr>
                <w:rFonts w:hint="eastAsia" w:ascii="宋体" w:hAnsi="宋体" w:eastAsia="宋体" w:cs="宋体"/>
                <w:sz w:val="24"/>
                <w:szCs w:val="24"/>
              </w:rPr>
              <w:t>认证证书的得</w:t>
            </w:r>
            <w:r>
              <w:rPr>
                <w:rFonts w:hint="eastAsia" w:hAnsi="宋体" w:cs="宋体"/>
                <w:sz w:val="24"/>
                <w:szCs w:val="24"/>
                <w:lang w:val="en-US" w:eastAsia="zh-CN"/>
              </w:rPr>
              <w:t>1</w:t>
            </w:r>
            <w:r>
              <w:rPr>
                <w:rFonts w:hint="eastAsia" w:ascii="宋体" w:hAnsi="宋体" w:eastAsia="宋体" w:cs="宋体"/>
                <w:sz w:val="24"/>
                <w:szCs w:val="24"/>
              </w:rPr>
              <w:t>分</w:t>
            </w:r>
            <w:r>
              <w:rPr>
                <w:rFonts w:hint="eastAsia" w:hAnsi="宋体" w:cs="宋体"/>
                <w:sz w:val="24"/>
                <w:szCs w:val="24"/>
                <w:lang w:eastAsia="zh-CN"/>
              </w:rPr>
              <w:t>；</w:t>
            </w:r>
          </w:p>
        </w:tc>
        <w:tc>
          <w:tcPr>
            <w:tcW w:w="877" w:type="dxa"/>
            <w:vMerge w:val="continue"/>
            <w:tcBorders>
              <w:left w:val="single" w:color="auto" w:sz="4" w:space="0"/>
            </w:tcBorders>
            <w:vAlign w:val="center"/>
          </w:tcPr>
          <w:p>
            <w:pPr>
              <w:jc w:val="center"/>
              <w:rPr>
                <w:rFonts w:hint="eastAsia" w:ascii="宋体" w:hAnsi="宋体" w:eastAsia="宋体" w:cs="宋体"/>
                <w:sz w:val="24"/>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58" w:type="dxa"/>
            <w:vMerge w:val="continue"/>
            <w:tcBorders>
              <w:right w:val="single" w:color="auto" w:sz="4" w:space="0"/>
            </w:tcBorders>
            <w:vAlign w:val="center"/>
          </w:tcPr>
          <w:p>
            <w:pPr>
              <w:jc w:val="center"/>
              <w:rPr>
                <w:rFonts w:hint="eastAsia" w:ascii="宋体" w:hAnsi="宋体" w:eastAsia="宋体" w:cs="宋体"/>
                <w:sz w:val="24"/>
                <w:szCs w:val="22"/>
                <w:lang w:val="zh-CN" w:eastAsia="zh-CN" w:bidi="zh-CN"/>
              </w:rPr>
            </w:pPr>
          </w:p>
        </w:tc>
        <w:tc>
          <w:tcPr>
            <w:tcW w:w="776" w:type="dxa"/>
            <w:tcBorders>
              <w:left w:val="single" w:color="auto" w:sz="4" w:space="0"/>
            </w:tcBorders>
            <w:vAlign w:val="center"/>
          </w:tcPr>
          <w:p>
            <w:pPr>
              <w:jc w:val="center"/>
              <w:rPr>
                <w:rFonts w:hint="eastAsia" w:ascii="宋体" w:hAnsi="宋体" w:eastAsia="宋体" w:cs="宋体"/>
                <w:sz w:val="24"/>
                <w:szCs w:val="22"/>
                <w:lang w:val="en-US" w:eastAsia="zh-CN" w:bidi="zh-CN"/>
              </w:rPr>
            </w:pPr>
            <w:r>
              <w:rPr>
                <w:rFonts w:hint="eastAsia" w:cs="宋体"/>
                <w:sz w:val="24"/>
                <w:szCs w:val="22"/>
                <w:lang w:val="en-US" w:eastAsia="zh-CN" w:bidi="zh-CN"/>
              </w:rPr>
              <w:t>3</w:t>
            </w:r>
          </w:p>
        </w:tc>
        <w:tc>
          <w:tcPr>
            <w:tcW w:w="1386" w:type="dxa"/>
            <w:vAlign w:val="center"/>
          </w:tcPr>
          <w:p>
            <w:pPr>
              <w:jc w:val="center"/>
              <w:rPr>
                <w:rFonts w:hint="eastAsia" w:ascii="宋体" w:hAnsi="宋体" w:eastAsia="宋体" w:cs="宋体"/>
                <w:sz w:val="24"/>
                <w:szCs w:val="22"/>
                <w:lang w:val="zh-CN" w:eastAsia="zh-CN" w:bidi="zh-CN"/>
              </w:rPr>
            </w:pPr>
            <w:r>
              <w:rPr>
                <w:rFonts w:hint="eastAsia" w:cs="宋体"/>
                <w:sz w:val="24"/>
                <w:szCs w:val="22"/>
                <w:lang w:val="en-US" w:eastAsia="zh-CN" w:bidi="zh-CN"/>
              </w:rPr>
              <w:t>售后</w:t>
            </w:r>
            <w:r>
              <w:rPr>
                <w:rFonts w:hint="eastAsia" w:ascii="宋体" w:hAnsi="宋体" w:eastAsia="宋体" w:cs="宋体"/>
                <w:sz w:val="24"/>
                <w:szCs w:val="22"/>
                <w:lang w:val="zh-CN" w:eastAsia="zh-CN" w:bidi="zh-CN"/>
              </w:rPr>
              <w:t>服务方案</w:t>
            </w:r>
          </w:p>
        </w:tc>
        <w:tc>
          <w:tcPr>
            <w:tcW w:w="5501" w:type="dxa"/>
            <w:tcBorders>
              <w:right w:val="single" w:color="auto" w:sz="4" w:space="0"/>
            </w:tcBorders>
            <w:vAlign w:val="center"/>
          </w:tcPr>
          <w:p>
            <w:pPr>
              <w:jc w:val="left"/>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根据投标人</w:t>
            </w:r>
            <w:r>
              <w:rPr>
                <w:rFonts w:hint="eastAsia" w:cs="宋体"/>
                <w:sz w:val="24"/>
                <w:szCs w:val="22"/>
                <w:lang w:val="zh-CN" w:eastAsia="zh-CN" w:bidi="zh-CN"/>
              </w:rPr>
              <w:t>售后</w:t>
            </w:r>
            <w:r>
              <w:rPr>
                <w:rFonts w:hint="eastAsia" w:ascii="宋体" w:hAnsi="宋体" w:eastAsia="宋体" w:cs="宋体"/>
                <w:sz w:val="24"/>
                <w:szCs w:val="22"/>
                <w:lang w:val="zh-CN" w:eastAsia="zh-CN" w:bidi="zh-CN"/>
              </w:rPr>
              <w:t>服务方案包括完整性</w:t>
            </w:r>
            <w:r>
              <w:rPr>
                <w:rFonts w:hint="eastAsia" w:cs="宋体"/>
                <w:sz w:val="24"/>
                <w:szCs w:val="22"/>
                <w:lang w:val="zh-CN" w:eastAsia="zh-CN" w:bidi="zh-CN"/>
              </w:rPr>
              <w:t>、</w:t>
            </w:r>
            <w:r>
              <w:rPr>
                <w:rFonts w:hint="eastAsia" w:ascii="宋体" w:hAnsi="宋体" w:eastAsia="宋体" w:cs="宋体"/>
                <w:sz w:val="24"/>
                <w:szCs w:val="22"/>
                <w:lang w:val="zh-CN" w:eastAsia="zh-CN" w:bidi="zh-CN"/>
              </w:rPr>
              <w:t>合理性</w:t>
            </w:r>
            <w:r>
              <w:rPr>
                <w:rFonts w:hint="eastAsia" w:cs="宋体"/>
                <w:sz w:val="24"/>
                <w:szCs w:val="22"/>
                <w:lang w:val="zh-CN" w:eastAsia="zh-CN" w:bidi="zh-CN"/>
              </w:rPr>
              <w:t>、针对性</w:t>
            </w:r>
            <w:r>
              <w:rPr>
                <w:rFonts w:hint="eastAsia" w:ascii="宋体" w:hAnsi="宋体" w:eastAsia="宋体" w:cs="宋体"/>
                <w:sz w:val="24"/>
                <w:szCs w:val="22"/>
                <w:lang w:val="zh-CN" w:eastAsia="zh-CN" w:bidi="zh-CN"/>
              </w:rPr>
              <w:t>进行横向比较。</w:t>
            </w:r>
          </w:p>
        </w:tc>
        <w:tc>
          <w:tcPr>
            <w:tcW w:w="877" w:type="dxa"/>
            <w:tcBorders>
              <w:left w:val="single" w:color="auto" w:sz="4" w:space="0"/>
            </w:tcBorders>
            <w:vAlign w:val="center"/>
          </w:tcPr>
          <w:p>
            <w:pPr>
              <w:jc w:val="center"/>
              <w:rPr>
                <w:rFonts w:hint="eastAsia" w:ascii="宋体" w:hAnsi="宋体" w:eastAsia="宋体" w:cs="宋体"/>
                <w:sz w:val="24"/>
                <w:szCs w:val="22"/>
                <w:lang w:val="zh-CN" w:eastAsia="zh-CN" w:bidi="zh-CN"/>
              </w:rPr>
            </w:pPr>
            <w:r>
              <w:rPr>
                <w:rFonts w:hint="eastAsia" w:cs="宋体"/>
                <w:sz w:val="24"/>
                <w:szCs w:val="22"/>
                <w:lang w:val="en-US" w:eastAsia="zh-CN" w:bidi="zh-CN"/>
              </w:rPr>
              <w:t>10</w:t>
            </w:r>
            <w:r>
              <w:rPr>
                <w:rFonts w:hint="eastAsia" w:ascii="宋体" w:hAnsi="宋体" w:eastAsia="宋体" w:cs="宋体"/>
                <w:sz w:val="24"/>
                <w:szCs w:val="22"/>
                <w:lang w:val="zh-CN" w:eastAsia="zh-CN" w:bidi="zh-CN"/>
              </w:rPr>
              <w:t>分</w:t>
            </w:r>
          </w:p>
        </w:tc>
      </w:tr>
    </w:tbl>
    <w:p>
      <w:pPr>
        <w:pStyle w:val="23"/>
        <w:widowControl w:val="0"/>
        <w:numPr>
          <w:ilvl w:val="0"/>
          <w:numId w:val="0"/>
        </w:numPr>
        <w:tabs>
          <w:tab w:val="left" w:pos="771"/>
        </w:tabs>
        <w:autoSpaceDE w:val="0"/>
        <w:autoSpaceDN w:val="0"/>
        <w:spacing w:before="49"/>
        <w:rPr>
          <w:rFonts w:hint="eastAsia" w:eastAsia="宋体"/>
          <w:b/>
          <w:bCs/>
          <w:sz w:val="24"/>
          <w:lang w:eastAsia="zh-CN"/>
        </w:rPr>
      </w:pPr>
    </w:p>
    <w:p>
      <w:pPr>
        <w:pStyle w:val="23"/>
        <w:numPr>
          <w:ilvl w:val="0"/>
          <w:numId w:val="0"/>
        </w:numPr>
        <w:tabs>
          <w:tab w:val="left" w:pos="771"/>
        </w:tabs>
        <w:spacing w:before="49"/>
        <w:ind w:left="260" w:leftChars="0"/>
        <w:rPr>
          <w:sz w:val="24"/>
        </w:rPr>
      </w:pPr>
      <w:r>
        <w:rPr>
          <w:rFonts w:hint="eastAsia"/>
          <w:sz w:val="24"/>
          <w:lang w:val="en-US" w:eastAsia="zh-CN"/>
        </w:rPr>
        <w:t>27.</w:t>
      </w:r>
      <w:r>
        <w:rPr>
          <w:sz w:val="24"/>
        </w:rPr>
        <w:t>评标过程的保密性</w:t>
      </w:r>
    </w:p>
    <w:p>
      <w:pPr>
        <w:pStyle w:val="23"/>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3"/>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供应商在评标过程中，所进行的力图影响评标结果的不符合《政府采购法》及本次招标</w:t>
      </w:r>
      <w:r>
        <w:rPr>
          <w:sz w:val="24"/>
        </w:rPr>
        <w:t>中有关规定的活动，将被取消其中标资格。</w:t>
      </w:r>
    </w:p>
    <w:p>
      <w:pPr>
        <w:pStyle w:val="23"/>
        <w:numPr>
          <w:ilvl w:val="0"/>
          <w:numId w:val="0"/>
        </w:numPr>
        <w:tabs>
          <w:tab w:val="left" w:pos="771"/>
        </w:tabs>
        <w:spacing w:before="0"/>
        <w:ind w:left="260" w:leftChars="0"/>
        <w:rPr>
          <w:sz w:val="24"/>
        </w:rPr>
      </w:pPr>
      <w:r>
        <w:rPr>
          <w:rFonts w:hint="eastAsia"/>
          <w:sz w:val="24"/>
          <w:lang w:val="en-US" w:eastAsia="zh-CN"/>
        </w:rPr>
        <w:t>28.</w:t>
      </w:r>
      <w:r>
        <w:rPr>
          <w:sz w:val="24"/>
        </w:rPr>
        <w:t>关于质疑</w:t>
      </w:r>
    </w:p>
    <w:p>
      <w:pPr>
        <w:pStyle w:val="23"/>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 xml:space="preserve">知道或者应知其权益受到损害之日起 </w:t>
      </w:r>
      <w:r>
        <w:rPr>
          <w:rFonts w:ascii="Arial" w:eastAsia="Arial"/>
          <w:sz w:val="24"/>
        </w:rPr>
        <w:t>7</w:t>
      </w:r>
      <w:r>
        <w:rPr>
          <w:spacing w:val="-3"/>
          <w:sz w:val="24"/>
        </w:rPr>
        <w:t>个工作日内，以书面形式向采购人、采购代理机</w:t>
      </w:r>
      <w:r>
        <w:rPr>
          <w:sz w:val="24"/>
        </w:rPr>
        <w:t>构提出质疑。</w:t>
      </w:r>
    </w:p>
    <w:p>
      <w:pPr>
        <w:pStyle w:val="23"/>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spacing w:line="319" w:lineRule="auto"/>
        <w:jc w:val="both"/>
        <w:rPr>
          <w:sz w:val="24"/>
        </w:rPr>
        <w:sectPr>
          <w:pgSz w:w="11910" w:h="16850"/>
          <w:pgMar w:top="1440" w:right="800" w:bottom="460" w:left="820" w:header="0" w:footer="191" w:gutter="0"/>
          <w:cols w:space="720" w:num="1"/>
        </w:sectPr>
      </w:pPr>
    </w:p>
    <w:p>
      <w:pPr>
        <w:pStyle w:val="4"/>
        <w:numPr>
          <w:ilvl w:val="0"/>
          <w:numId w:val="10"/>
        </w:numPr>
        <w:tabs>
          <w:tab w:val="left" w:pos="453"/>
          <w:tab w:val="left" w:pos="4800"/>
        </w:tabs>
        <w:spacing w:before="64"/>
        <w:ind w:left="4799" w:hanging="454"/>
        <w:jc w:val="left"/>
      </w:pPr>
      <w:bookmarkStart w:id="7" w:name="_bookmark7"/>
      <w:bookmarkEnd w:id="7"/>
      <w:bookmarkStart w:id="8" w:name="_bookmark9"/>
      <w:bookmarkEnd w:id="8"/>
      <w:r>
        <w:t>授予合同</w:t>
      </w:r>
    </w:p>
    <w:p>
      <w:pPr>
        <w:pStyle w:val="7"/>
        <w:spacing w:before="10"/>
        <w:ind w:left="0"/>
        <w:rPr>
          <w:b/>
          <w:sz w:val="27"/>
        </w:rPr>
      </w:pPr>
    </w:p>
    <w:p>
      <w:pPr>
        <w:pStyle w:val="23"/>
        <w:numPr>
          <w:ilvl w:val="0"/>
          <w:numId w:val="0"/>
        </w:numPr>
        <w:tabs>
          <w:tab w:val="left" w:pos="771"/>
        </w:tabs>
        <w:spacing w:before="0"/>
        <w:ind w:left="260" w:leftChars="0"/>
        <w:rPr>
          <w:sz w:val="24"/>
        </w:rPr>
      </w:pPr>
      <w:r>
        <w:rPr>
          <w:rFonts w:hint="eastAsia"/>
          <w:sz w:val="24"/>
          <w:lang w:val="en-US" w:eastAsia="zh-CN"/>
        </w:rPr>
        <w:t>29.</w:t>
      </w:r>
      <w:r>
        <w:rPr>
          <w:sz w:val="24"/>
        </w:rPr>
        <w:t>合同授予标准</w:t>
      </w:r>
    </w:p>
    <w:p>
      <w:pPr>
        <w:pStyle w:val="23"/>
        <w:tabs>
          <w:tab w:val="left" w:pos="851"/>
        </w:tabs>
        <w:spacing w:before="100" w:line="319" w:lineRule="auto"/>
        <w:ind w:right="283" w:firstLine="0"/>
        <w:rPr>
          <w:sz w:val="24"/>
        </w:rPr>
      </w:pPr>
      <w:r>
        <w:rPr>
          <w:rFonts w:hint="eastAsia"/>
          <w:spacing w:val="-1"/>
          <w:sz w:val="24"/>
          <w:lang w:val="en-US"/>
        </w:rPr>
        <w:t xml:space="preserve">29.1 </w:t>
      </w:r>
      <w:r>
        <w:rPr>
          <w:spacing w:val="-1"/>
          <w:sz w:val="24"/>
        </w:rPr>
        <w:t>合同将授予被确定为实质上响应采购文件要求，评标认为具备履行合同义务条件、报价</w:t>
      </w:r>
      <w:r>
        <w:rPr>
          <w:sz w:val="24"/>
        </w:rPr>
        <w:t>合理、技术和商务条件都符合条件基础上综合评分得分最高的供应商。</w:t>
      </w:r>
    </w:p>
    <w:p>
      <w:pPr>
        <w:pStyle w:val="23"/>
        <w:tabs>
          <w:tab w:val="left" w:pos="851"/>
        </w:tabs>
        <w:spacing w:before="1"/>
        <w:ind w:firstLine="0"/>
        <w:rPr>
          <w:sz w:val="24"/>
        </w:rPr>
      </w:pPr>
      <w:r>
        <w:rPr>
          <w:rFonts w:hint="eastAsia"/>
          <w:spacing w:val="-1"/>
          <w:sz w:val="24"/>
          <w:lang w:val="en-US"/>
        </w:rPr>
        <w:t xml:space="preserve">29.2 </w:t>
      </w:r>
      <w:r>
        <w:rPr>
          <w:spacing w:val="-1"/>
          <w:sz w:val="24"/>
        </w:rPr>
        <w:t>最低投标价不一定是被授予合同的保证。</w:t>
      </w:r>
    </w:p>
    <w:p>
      <w:pPr>
        <w:pStyle w:val="23"/>
        <w:numPr>
          <w:ilvl w:val="0"/>
          <w:numId w:val="0"/>
        </w:numPr>
        <w:tabs>
          <w:tab w:val="left" w:pos="771"/>
        </w:tabs>
        <w:spacing w:before="103"/>
        <w:ind w:left="260" w:leftChars="0"/>
        <w:rPr>
          <w:sz w:val="24"/>
        </w:rPr>
      </w:pPr>
      <w:r>
        <w:rPr>
          <w:rFonts w:hint="eastAsia"/>
          <w:spacing w:val="-1"/>
          <w:sz w:val="24"/>
          <w:lang w:val="en-US" w:eastAsia="zh-CN"/>
        </w:rPr>
        <w:t>30.</w:t>
      </w:r>
      <w:r>
        <w:rPr>
          <w:spacing w:val="-1"/>
          <w:sz w:val="24"/>
        </w:rPr>
        <w:t>接受和拒绝任何或所有投标的权力</w:t>
      </w:r>
    </w:p>
    <w:p>
      <w:pPr>
        <w:pStyle w:val="23"/>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为维护国家利益，招标方在授予合同之前仍有选择或拒绝任何全部投标的权力，并对所</w:t>
      </w:r>
      <w:r>
        <w:rPr>
          <w:sz w:val="24"/>
        </w:rPr>
        <w:t>采取的行为不作任何解释。</w:t>
      </w:r>
    </w:p>
    <w:p>
      <w:pPr>
        <w:pStyle w:val="23"/>
        <w:numPr>
          <w:ilvl w:val="0"/>
          <w:numId w:val="0"/>
        </w:numPr>
        <w:tabs>
          <w:tab w:val="left" w:pos="771"/>
        </w:tabs>
        <w:spacing w:before="1"/>
        <w:ind w:left="260" w:leftChars="0"/>
        <w:rPr>
          <w:sz w:val="24"/>
        </w:rPr>
      </w:pPr>
      <w:r>
        <w:rPr>
          <w:rFonts w:hint="eastAsia"/>
          <w:sz w:val="24"/>
          <w:lang w:val="en-US" w:eastAsia="zh-CN"/>
        </w:rPr>
        <w:t>31.</w:t>
      </w:r>
      <w:r>
        <w:rPr>
          <w:sz w:val="24"/>
        </w:rPr>
        <w:t>中标通知书</w:t>
      </w:r>
    </w:p>
    <w:p>
      <w:pPr>
        <w:pStyle w:val="23"/>
        <w:tabs>
          <w:tab w:val="left" w:pos="851"/>
        </w:tabs>
        <w:spacing w:line="319" w:lineRule="auto"/>
        <w:ind w:right="274" w:firstLine="0"/>
        <w:rPr>
          <w:spacing w:val="-1"/>
          <w:sz w:val="24"/>
        </w:rPr>
      </w:pPr>
      <w:r>
        <w:rPr>
          <w:rFonts w:hint="eastAsia"/>
          <w:spacing w:val="-12"/>
          <w:sz w:val="24"/>
          <w:lang w:val="en-US"/>
        </w:rPr>
        <w:t xml:space="preserve">31.1 </w:t>
      </w:r>
      <w:r>
        <w:rPr>
          <w:spacing w:val="-1"/>
          <w:sz w:val="24"/>
        </w:rPr>
        <w:t>中标公告期满后，招标代理机构将以书面形式发出《中标通知书》，但发出时间不超过投标有效期，《中标通知书》一经发出即发生法律效力。</w:t>
      </w:r>
    </w:p>
    <w:p>
      <w:pPr>
        <w:pStyle w:val="23"/>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23"/>
        <w:tabs>
          <w:tab w:val="left" w:pos="851"/>
        </w:tabs>
        <w:spacing w:before="103" w:line="319" w:lineRule="auto"/>
        <w:ind w:right="283" w:firstLine="0"/>
        <w:rPr>
          <w:sz w:val="24"/>
        </w:rPr>
      </w:pPr>
      <w:r>
        <w:rPr>
          <w:rFonts w:hint="eastAsia"/>
          <w:sz w:val="24"/>
          <w:lang w:val="en-US"/>
        </w:rPr>
        <w:t xml:space="preserve">31.3 </w:t>
      </w:r>
      <w:r>
        <w:rPr>
          <w:sz w:val="24"/>
        </w:rPr>
        <w:t>招标代理机构将在中标方按规定签订合同并提交履约保证金（如适用）</w:t>
      </w:r>
      <w:r>
        <w:rPr>
          <w:spacing w:val="-2"/>
          <w:sz w:val="24"/>
        </w:rPr>
        <w:t>后退还其投标保</w:t>
      </w:r>
      <w:r>
        <w:rPr>
          <w:sz w:val="24"/>
        </w:rPr>
        <w:t>证金。</w:t>
      </w:r>
    </w:p>
    <w:p>
      <w:pPr>
        <w:pStyle w:val="23"/>
        <w:numPr>
          <w:ilvl w:val="0"/>
          <w:numId w:val="0"/>
        </w:numPr>
        <w:tabs>
          <w:tab w:val="left" w:pos="771"/>
        </w:tabs>
        <w:spacing w:before="0" w:line="306" w:lineRule="exact"/>
        <w:ind w:left="260" w:leftChars="0"/>
        <w:rPr>
          <w:sz w:val="24"/>
        </w:rPr>
      </w:pPr>
      <w:r>
        <w:rPr>
          <w:rFonts w:hint="eastAsia"/>
          <w:sz w:val="24"/>
          <w:lang w:val="en-US" w:eastAsia="zh-CN"/>
        </w:rPr>
        <w:t>32.</w:t>
      </w:r>
      <w:r>
        <w:rPr>
          <w:sz w:val="24"/>
        </w:rPr>
        <w:t>签订合同</w:t>
      </w:r>
    </w:p>
    <w:p>
      <w:pPr>
        <w:pStyle w:val="23"/>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23"/>
        <w:tabs>
          <w:tab w:val="left" w:pos="791"/>
        </w:tabs>
        <w:spacing w:before="0"/>
        <w:ind w:firstLine="0"/>
        <w:rPr>
          <w:sz w:val="24"/>
        </w:rPr>
      </w:pPr>
      <w:r>
        <w:rPr>
          <w:rFonts w:hint="eastAsia"/>
          <w:spacing w:val="-1"/>
          <w:sz w:val="24"/>
          <w:lang w:val="en-US"/>
        </w:rPr>
        <w:t xml:space="preserve">32.2 </w:t>
      </w:r>
      <w:r>
        <w:rPr>
          <w:spacing w:val="-1"/>
          <w:sz w:val="24"/>
        </w:rPr>
        <w:t>如中标方拒签合同，则按违约处理。招标代理机构没收其投标保证金。</w:t>
      </w:r>
    </w:p>
    <w:p>
      <w:pPr>
        <w:pStyle w:val="23"/>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7"/>
        <w:ind w:left="0"/>
        <w:rPr>
          <w:sz w:val="26"/>
        </w:rPr>
      </w:pPr>
    </w:p>
    <w:p>
      <w:pPr>
        <w:pStyle w:val="7"/>
        <w:spacing w:before="10"/>
        <w:ind w:left="0"/>
        <w:rPr>
          <w:sz w:val="33"/>
        </w:rPr>
      </w:pPr>
    </w:p>
    <w:p>
      <w:pPr>
        <w:pStyle w:val="4"/>
        <w:numPr>
          <w:ilvl w:val="0"/>
          <w:numId w:val="10"/>
        </w:numPr>
        <w:tabs>
          <w:tab w:val="left" w:pos="499"/>
          <w:tab w:val="left" w:pos="4541"/>
        </w:tabs>
        <w:ind w:left="4540" w:hanging="499"/>
        <w:jc w:val="left"/>
      </w:pPr>
      <w:bookmarkStart w:id="9" w:name="_bookmark8"/>
      <w:bookmarkEnd w:id="9"/>
      <w:r>
        <w:t>招标失败条件</w:t>
      </w:r>
    </w:p>
    <w:p>
      <w:pPr>
        <w:pStyle w:val="7"/>
        <w:spacing w:before="10"/>
        <w:ind w:left="0"/>
        <w:rPr>
          <w:b/>
          <w:sz w:val="27"/>
        </w:rPr>
      </w:pPr>
    </w:p>
    <w:p>
      <w:pPr>
        <w:pStyle w:val="23"/>
        <w:numPr>
          <w:ilvl w:val="0"/>
          <w:numId w:val="8"/>
        </w:numPr>
        <w:tabs>
          <w:tab w:val="left" w:pos="597"/>
        </w:tabs>
        <w:spacing w:before="0"/>
        <w:ind w:left="596" w:hanging="336"/>
        <w:rPr>
          <w:sz w:val="24"/>
        </w:rPr>
      </w:pPr>
      <w:r>
        <w:rPr>
          <w:spacing w:val="-1"/>
          <w:sz w:val="24"/>
        </w:rPr>
        <w:t>出现影响采购公正的违法、违规行为的；</w:t>
      </w:r>
    </w:p>
    <w:p>
      <w:pPr>
        <w:pStyle w:val="23"/>
        <w:numPr>
          <w:ilvl w:val="0"/>
          <w:numId w:val="8"/>
        </w:numPr>
        <w:tabs>
          <w:tab w:val="left" w:pos="597"/>
        </w:tabs>
        <w:ind w:left="596" w:hanging="336"/>
        <w:rPr>
          <w:sz w:val="24"/>
        </w:rPr>
      </w:pPr>
      <w:r>
        <w:rPr>
          <w:spacing w:val="-1"/>
          <w:sz w:val="24"/>
        </w:rPr>
        <w:t>因重大变故，采购任务取消的；</w:t>
      </w:r>
    </w:p>
    <w:p>
      <w:pPr>
        <w:pStyle w:val="23"/>
        <w:numPr>
          <w:ilvl w:val="0"/>
          <w:numId w:val="8"/>
        </w:numPr>
        <w:tabs>
          <w:tab w:val="left" w:pos="597"/>
        </w:tabs>
        <w:spacing w:before="103"/>
        <w:ind w:left="596" w:hanging="336"/>
        <w:rPr>
          <w:sz w:val="24"/>
        </w:rPr>
      </w:pPr>
      <w:r>
        <w:rPr>
          <w:spacing w:val="-1"/>
          <w:sz w:val="24"/>
        </w:rPr>
        <w:t>采购文件截止时间后，实际参与的供应商不足法定家数的；</w:t>
      </w:r>
    </w:p>
    <w:p>
      <w:pPr>
        <w:pStyle w:val="23"/>
        <w:numPr>
          <w:ilvl w:val="0"/>
          <w:numId w:val="8"/>
        </w:numPr>
        <w:tabs>
          <w:tab w:val="left" w:pos="597"/>
        </w:tabs>
        <w:spacing w:before="100"/>
        <w:ind w:left="596" w:hanging="336"/>
        <w:rPr>
          <w:sz w:val="24"/>
        </w:rPr>
      </w:pPr>
      <w:r>
        <w:rPr>
          <w:spacing w:val="-1"/>
          <w:sz w:val="24"/>
        </w:rPr>
        <w:t>最终报价均超过采购预算的；</w:t>
      </w:r>
    </w:p>
    <w:p>
      <w:pPr>
        <w:pStyle w:val="23"/>
        <w:numPr>
          <w:ilvl w:val="0"/>
          <w:numId w:val="8"/>
        </w:numPr>
        <w:tabs>
          <w:tab w:val="left" w:pos="597"/>
        </w:tabs>
        <w:ind w:left="596" w:hanging="336"/>
        <w:rPr>
          <w:sz w:val="24"/>
        </w:rPr>
      </w:pPr>
      <w:r>
        <w:rPr>
          <w:spacing w:val="-1"/>
          <w:sz w:val="24"/>
        </w:rPr>
        <w:t>对采购文件作出实质性响应的供应商不足法定家数的；</w:t>
      </w:r>
    </w:p>
    <w:p>
      <w:pPr>
        <w:rPr>
          <w:sz w:val="24"/>
        </w:rPr>
        <w:sectPr>
          <w:pgSz w:w="11910" w:h="16850"/>
          <w:pgMar w:top="1400" w:right="800" w:bottom="460" w:left="820" w:header="0" w:footer="191" w:gutter="0"/>
          <w:cols w:space="720" w:num="1"/>
        </w:sectPr>
      </w:pPr>
    </w:p>
    <w:p>
      <w:pPr>
        <w:pStyle w:val="3"/>
        <w:tabs>
          <w:tab w:val="left" w:pos="1607"/>
        </w:tabs>
        <w:ind w:right="19"/>
        <w:jc w:val="center"/>
        <w:rPr>
          <w:rFonts w:hint="eastAsia"/>
          <w:lang w:val="en-US" w:eastAsia="zh-CN"/>
        </w:rPr>
      </w:pPr>
      <w:r>
        <w:rPr>
          <w:rFonts w:hint="eastAsia" w:ascii="宋体" w:hAnsi="宋体" w:eastAsia="宋体" w:cs="宋体"/>
          <w:b/>
          <w:bCs/>
          <w:sz w:val="32"/>
          <w:szCs w:val="32"/>
          <w:lang w:val="en-US" w:eastAsia="zh-CN" w:bidi="zh-CN"/>
        </w:rPr>
        <w:t>第三部分</w:t>
      </w:r>
      <w:r>
        <w:rPr>
          <w:rFonts w:hint="eastAsia" w:ascii="宋体" w:hAnsi="宋体" w:eastAsia="宋体" w:cs="宋体"/>
          <w:b/>
          <w:bCs/>
          <w:sz w:val="32"/>
          <w:szCs w:val="32"/>
          <w:lang w:val="en-US" w:eastAsia="zh-CN" w:bidi="zh-CN"/>
        </w:rPr>
        <w:tab/>
      </w:r>
      <w:r>
        <w:rPr>
          <w:rFonts w:hint="eastAsia" w:cs="宋体"/>
          <w:b/>
          <w:bCs/>
          <w:sz w:val="32"/>
          <w:szCs w:val="32"/>
          <w:lang w:val="en-US" w:eastAsia="zh-CN" w:bidi="zh-CN"/>
        </w:rPr>
        <w:t>服务要求</w:t>
      </w:r>
    </w:p>
    <w:p>
      <w:pPr>
        <w:pStyle w:val="4"/>
        <w:bidi w:val="0"/>
        <w:rPr>
          <w:rFonts w:hint="eastAsia"/>
        </w:rPr>
      </w:pPr>
    </w:p>
    <w:p>
      <w:pPr>
        <w:pStyle w:val="4"/>
        <w:bidi w:val="0"/>
      </w:pPr>
      <w:r>
        <w:rPr>
          <w:rFonts w:hint="eastAsia"/>
        </w:rPr>
        <w:t>整体技术要求</w:t>
      </w:r>
    </w:p>
    <w:p>
      <w:pPr>
        <w:numPr>
          <w:ilvl w:val="0"/>
          <w:numId w:val="12"/>
        </w:numPr>
        <w:spacing w:line="360" w:lineRule="auto"/>
        <w:rPr>
          <w:rFonts w:hint="eastAsia" w:ascii="宋体" w:hAnsi="宋体" w:eastAsia="宋体" w:cs="宋体"/>
          <w:sz w:val="24"/>
          <w:szCs w:val="24"/>
        </w:rPr>
      </w:pPr>
      <w:r>
        <w:rPr>
          <w:rFonts w:hint="eastAsia" w:ascii="宋体" w:hAnsi="宋体" w:eastAsia="宋体" w:cs="宋体"/>
          <w:sz w:val="24"/>
          <w:szCs w:val="24"/>
        </w:rPr>
        <w:t>本项目所有除接口和硬件外的软件产品要求有且仅有一家制造商，且要求具有完全的知识产权。</w:t>
      </w:r>
    </w:p>
    <w:p>
      <w:pPr>
        <w:numPr>
          <w:ilvl w:val="0"/>
          <w:numId w:val="12"/>
        </w:numPr>
        <w:spacing w:line="360" w:lineRule="auto"/>
        <w:rPr>
          <w:rFonts w:ascii="宋体" w:hAnsi="宋体" w:cs="宋体"/>
          <w:sz w:val="24"/>
          <w:szCs w:val="24"/>
        </w:rPr>
      </w:pPr>
      <w:r>
        <w:rPr>
          <w:rFonts w:hint="eastAsia" w:ascii="宋体" w:hAnsi="宋体" w:cs="宋体"/>
          <w:sz w:val="24"/>
          <w:szCs w:val="24"/>
        </w:rPr>
        <w:t>本项目所有配套硬件设备均要求投标人负责在甲方指定位置（含救护车）上安装完成。</w:t>
      </w:r>
    </w:p>
    <w:p>
      <w:pPr>
        <w:numPr>
          <w:ilvl w:val="0"/>
          <w:numId w:val="12"/>
        </w:numPr>
        <w:spacing w:line="360" w:lineRule="auto"/>
        <w:rPr>
          <w:rFonts w:ascii="宋体" w:hAnsi="宋体" w:cs="宋体"/>
          <w:sz w:val="24"/>
          <w:szCs w:val="24"/>
        </w:rPr>
      </w:pPr>
      <w:r>
        <w:rPr>
          <w:rFonts w:hint="eastAsia" w:ascii="宋体" w:hAnsi="宋体" w:cs="宋体"/>
          <w:sz w:val="24"/>
          <w:szCs w:val="24"/>
        </w:rPr>
        <w:t>整体设计应具有标准性、可用性、先进性、安全性、整合性等特点。</w:t>
      </w:r>
    </w:p>
    <w:p>
      <w:pPr>
        <w:numPr>
          <w:ilvl w:val="0"/>
          <w:numId w:val="12"/>
        </w:numPr>
        <w:spacing w:line="360" w:lineRule="auto"/>
        <w:rPr>
          <w:rFonts w:ascii="宋体" w:hAnsi="宋体" w:cs="宋体"/>
          <w:sz w:val="24"/>
          <w:szCs w:val="24"/>
        </w:rPr>
      </w:pPr>
      <w:r>
        <w:rPr>
          <w:rFonts w:hint="eastAsia" w:ascii="宋体" w:hAnsi="宋体" w:cs="宋体"/>
          <w:sz w:val="24"/>
          <w:szCs w:val="24"/>
        </w:rPr>
        <w:t>支持云服务器部署方案。</w:t>
      </w:r>
    </w:p>
    <w:p>
      <w:pPr>
        <w:numPr>
          <w:ilvl w:val="0"/>
          <w:numId w:val="12"/>
        </w:numPr>
        <w:spacing w:line="360" w:lineRule="auto"/>
        <w:rPr>
          <w:rFonts w:ascii="宋体" w:hAnsi="宋体" w:cs="宋体"/>
          <w:sz w:val="24"/>
          <w:szCs w:val="24"/>
        </w:rPr>
      </w:pPr>
      <w:r>
        <w:rPr>
          <w:rFonts w:hint="eastAsia" w:ascii="宋体" w:hAnsi="宋体" w:cs="宋体"/>
          <w:sz w:val="24"/>
          <w:szCs w:val="24"/>
        </w:rPr>
        <w:t>▲系统要求采用B/S（浏览器和服务器）架构，系统开发语言为Java。</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p>
      <w:pPr>
        <w:numPr>
          <w:ilvl w:val="0"/>
          <w:numId w:val="12"/>
        </w:numPr>
        <w:spacing w:line="360" w:lineRule="auto"/>
        <w:rPr>
          <w:rFonts w:ascii="宋体" w:hAnsi="宋体" w:cs="宋体"/>
          <w:sz w:val="24"/>
          <w:szCs w:val="24"/>
        </w:rPr>
      </w:pPr>
      <w:r>
        <w:rPr>
          <w:rFonts w:hint="eastAsia" w:ascii="宋体" w:hAnsi="宋体" w:cs="宋体"/>
          <w:sz w:val="24"/>
          <w:szCs w:val="24"/>
        </w:rPr>
        <w:t>系统性能应满足医院的要求，稳定、可靠、实用。人机界面友好，输出、输入方便，图表生成美观，检索、查询简单快捷。</w:t>
      </w:r>
    </w:p>
    <w:p>
      <w:pPr>
        <w:numPr>
          <w:ilvl w:val="0"/>
          <w:numId w:val="12"/>
        </w:numPr>
        <w:spacing w:line="360" w:lineRule="auto"/>
        <w:rPr>
          <w:rFonts w:ascii="宋体" w:hAnsi="宋体" w:cs="宋体"/>
          <w:sz w:val="24"/>
          <w:szCs w:val="24"/>
        </w:rPr>
      </w:pPr>
      <w:r>
        <w:rPr>
          <w:rFonts w:hint="eastAsia" w:ascii="宋体" w:hAnsi="宋体" w:cs="宋体"/>
          <w:sz w:val="24"/>
          <w:szCs w:val="24"/>
        </w:rPr>
        <w:t>根据不同工作需求，在业务逻辑层对不同应用系统进行集成，实现包括前台界面、体验操作、底层协议及接口规范的完全兼容对接。</w:t>
      </w:r>
    </w:p>
    <w:p>
      <w:pPr>
        <w:pStyle w:val="4"/>
        <w:bidi w:val="0"/>
      </w:pPr>
      <w:r>
        <w:rPr>
          <w:rFonts w:hint="eastAsia"/>
        </w:rPr>
        <w:t>软件功能</w:t>
      </w:r>
    </w:p>
    <w:p>
      <w:pPr>
        <w:spacing w:line="360" w:lineRule="auto"/>
        <w:ind w:firstLine="420"/>
        <w:rPr>
          <w:rFonts w:ascii="宋体" w:hAnsi="宋体" w:cs="宋体"/>
          <w:sz w:val="24"/>
          <w:szCs w:val="24"/>
        </w:rPr>
      </w:pPr>
      <w:r>
        <w:rPr>
          <w:rFonts w:hint="eastAsia" w:ascii="宋体" w:hAnsi="宋体" w:cs="宋体"/>
          <w:sz w:val="24"/>
          <w:szCs w:val="24"/>
        </w:rPr>
        <w:t>本项目要求院前急救一体化全流程管理，是提高急救服务水平和医疗质量安全的重要途径。</w:t>
      </w:r>
    </w:p>
    <w:p>
      <w:pPr>
        <w:spacing w:line="360" w:lineRule="auto"/>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系统通过对院前急救的数据采集，将整个院前急救数据进行抽取，筛选形成质控统计分析报表，为急救中心主任、急诊护士长和各级领导的科学决策以及相关科研人员的科研分析提供数字依据。</w:t>
      </w:r>
    </w:p>
    <w:p>
      <w:pPr>
        <w:spacing w:line="360" w:lineRule="auto"/>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具有连接有输出协议及接口的车载医疗设备的数据，服务器同步数据存储，支持根据业务需要自定义采样频率，支持接入主流厂商的监护设备，如迈瑞、科曼、伟伦、欧姆龙、飞利浦、GE、德尔格等。</w:t>
      </w:r>
    </w:p>
    <w:p>
      <w:pPr>
        <w:bidi w:val="0"/>
        <w:rPr>
          <w:rFonts w:hint="default"/>
          <w:lang w:val="en-US" w:eastAsia="zh-CN"/>
        </w:rPr>
      </w:pPr>
      <w:r>
        <w:rPr>
          <w:rFonts w:hint="eastAsia" w:ascii="宋体" w:hAnsi="宋体" w:cs="宋体"/>
          <w:sz w:val="24"/>
          <w:szCs w:val="24"/>
        </w:rPr>
        <w:tab/>
      </w:r>
      <w:r>
        <w:rPr>
          <w:rFonts w:hint="eastAsia" w:ascii="宋体" w:hAnsi="宋体" w:cs="宋体"/>
          <w:sz w:val="24"/>
          <w:szCs w:val="24"/>
        </w:rPr>
        <w:t>通过院前急救的建设与急救流程再造，最终实现院前院内信息一体化、抢救流程规范、操作简单高效、数据完整真实、管理简单直观，在系统和流程互相促进中，形成正向循环，不断提升我院急救的急救水平，以达到</w:t>
      </w:r>
      <w:r>
        <w:rPr>
          <w:rFonts w:hint="eastAsia" w:ascii="宋体" w:hAnsi="宋体" w:cs="宋体"/>
          <w:sz w:val="24"/>
          <w:szCs w:val="24"/>
          <w:lang w:val="en-US" w:eastAsia="zh-CN"/>
        </w:rPr>
        <w:t>伊犁</w:t>
      </w:r>
      <w:r>
        <w:rPr>
          <w:rFonts w:hint="eastAsia" w:ascii="宋体" w:hAnsi="宋体" w:cs="宋体"/>
          <w:sz w:val="24"/>
          <w:szCs w:val="24"/>
        </w:rPr>
        <w:t>直至全疆一流。</w:t>
      </w:r>
    </w:p>
    <w:p>
      <w:pPr>
        <w:pStyle w:val="4"/>
        <w:bidi w:val="0"/>
        <w:rPr>
          <w:rFonts w:hint="eastAsia"/>
        </w:rPr>
      </w:pPr>
    </w:p>
    <w:p>
      <w:pPr>
        <w:pStyle w:val="4"/>
        <w:bidi w:val="0"/>
        <w:rPr>
          <w:rFonts w:hint="eastAsia" w:ascii="宋体" w:hAnsi="宋体"/>
          <w:color w:val="000000"/>
          <w:szCs w:val="21"/>
        </w:rPr>
      </w:pPr>
      <w:r>
        <w:rPr>
          <w:rFonts w:hint="eastAsia"/>
        </w:rPr>
        <w:t>软</w:t>
      </w:r>
      <w:r>
        <w:rPr>
          <w:rFonts w:hint="eastAsia"/>
          <w:lang w:val="en-US" w:eastAsia="zh-CN"/>
        </w:rPr>
        <w:t>件产品清单（软件功能要求详见附件一）</w:t>
      </w:r>
    </w:p>
    <w:tbl>
      <w:tblPr>
        <w:tblStyle w:val="19"/>
        <w:tblpPr w:leftFromText="180" w:rightFromText="180" w:vertAnchor="page" w:horzAnchor="page" w:tblpX="988" w:tblpY="12371"/>
        <w:tblW w:w="10437" w:type="dxa"/>
        <w:tblInd w:w="0" w:type="dxa"/>
        <w:tblLayout w:type="fixed"/>
        <w:tblCellMar>
          <w:top w:w="0" w:type="dxa"/>
          <w:left w:w="108" w:type="dxa"/>
          <w:bottom w:w="0" w:type="dxa"/>
          <w:right w:w="108" w:type="dxa"/>
        </w:tblCellMar>
      </w:tblPr>
      <w:tblGrid>
        <w:gridCol w:w="1375"/>
        <w:gridCol w:w="7270"/>
        <w:gridCol w:w="1792"/>
      </w:tblGrid>
      <w:tr>
        <w:tblPrEx>
          <w:tblCellMar>
            <w:top w:w="0" w:type="dxa"/>
            <w:left w:w="108" w:type="dxa"/>
            <w:bottom w:w="0" w:type="dxa"/>
            <w:right w:w="108" w:type="dxa"/>
          </w:tblCellMar>
        </w:tblPrEx>
        <w:trPr>
          <w:trHeight w:val="410" w:hRule="atLeast"/>
        </w:trPr>
        <w:tc>
          <w:tcPr>
            <w:tcW w:w="1375" w:type="dxa"/>
            <w:tcBorders>
              <w:top w:val="single" w:color="auto" w:sz="4" w:space="0"/>
              <w:left w:val="single" w:color="auto" w:sz="4" w:space="0"/>
              <w:bottom w:val="single" w:color="auto" w:sz="4" w:space="0"/>
              <w:right w:val="single" w:color="auto" w:sz="4" w:space="0"/>
            </w:tcBorders>
            <w:shd w:val="clear" w:color="auto" w:fill="4F81BD"/>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w:t>
            </w:r>
          </w:p>
        </w:tc>
        <w:tc>
          <w:tcPr>
            <w:tcW w:w="7270" w:type="dxa"/>
            <w:tcBorders>
              <w:top w:val="single" w:color="auto" w:sz="4" w:space="0"/>
              <w:left w:val="single" w:color="auto" w:sz="4" w:space="0"/>
              <w:bottom w:val="single" w:color="auto" w:sz="4" w:space="0"/>
              <w:right w:val="single" w:color="auto" w:sz="4" w:space="0"/>
            </w:tcBorders>
            <w:shd w:val="clear" w:color="auto" w:fill="4F81BD"/>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w:t>
            </w:r>
          </w:p>
        </w:tc>
        <w:tc>
          <w:tcPr>
            <w:tcW w:w="1792" w:type="dxa"/>
            <w:tcBorders>
              <w:top w:val="single" w:color="auto" w:sz="4" w:space="0"/>
              <w:left w:val="single" w:color="auto" w:sz="4" w:space="0"/>
              <w:bottom w:val="single" w:color="auto" w:sz="4" w:space="0"/>
              <w:right w:val="single" w:color="auto" w:sz="4" w:space="0"/>
            </w:tcBorders>
            <w:shd w:val="clear" w:color="auto" w:fill="4F81BD"/>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数量（套）</w:t>
            </w:r>
          </w:p>
        </w:tc>
      </w:tr>
      <w:tr>
        <w:tblPrEx>
          <w:tblCellMar>
            <w:top w:w="0" w:type="dxa"/>
            <w:left w:w="108" w:type="dxa"/>
            <w:bottom w:w="0" w:type="dxa"/>
            <w:right w:w="108" w:type="dxa"/>
          </w:tblCellMar>
        </w:tblPrEx>
        <w:trPr>
          <w:trHeight w:val="320" w:hRule="atLeast"/>
        </w:trPr>
        <w:tc>
          <w:tcPr>
            <w:tcW w:w="1375" w:type="dxa"/>
            <w:vMerge w:val="restart"/>
            <w:tcBorders>
              <w:top w:val="nil"/>
              <w:left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院前</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急救</w:t>
            </w:r>
          </w:p>
        </w:tc>
        <w:tc>
          <w:tcPr>
            <w:tcW w:w="7270" w:type="dxa"/>
            <w:tcBorders>
              <w:top w:val="nil"/>
              <w:left w:val="nil"/>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120电话</w:t>
            </w:r>
            <w:r>
              <w:rPr>
                <w:rFonts w:hint="eastAsia" w:ascii="宋体" w:hAnsi="宋体" w:eastAsia="宋体" w:cs="宋体"/>
                <w:sz w:val="24"/>
                <w:szCs w:val="24"/>
                <w:lang w:val="en-US" w:eastAsia="zh-CN"/>
              </w:rPr>
              <w:t>呼叫中心</w:t>
            </w:r>
          </w:p>
        </w:tc>
        <w:tc>
          <w:tcPr>
            <w:tcW w:w="17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CellMar>
            <w:top w:w="0" w:type="dxa"/>
            <w:left w:w="108" w:type="dxa"/>
            <w:bottom w:w="0" w:type="dxa"/>
            <w:right w:w="108" w:type="dxa"/>
          </w:tblCellMar>
        </w:tblPrEx>
        <w:trPr>
          <w:trHeight w:val="320" w:hRule="atLeast"/>
        </w:trPr>
        <w:tc>
          <w:tcPr>
            <w:tcW w:w="1375" w:type="dxa"/>
            <w:vMerge w:val="continue"/>
            <w:tcBorders>
              <w:left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车辆调度指挥（调度指挥、调度监控）</w:t>
            </w:r>
          </w:p>
        </w:tc>
        <w:tc>
          <w:tcPr>
            <w:tcW w:w="17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CellMar>
            <w:top w:w="0" w:type="dxa"/>
            <w:left w:w="108" w:type="dxa"/>
            <w:bottom w:w="0" w:type="dxa"/>
            <w:right w:w="108" w:type="dxa"/>
          </w:tblCellMar>
        </w:tblPrEx>
        <w:trPr>
          <w:trHeight w:val="320" w:hRule="atLeast"/>
        </w:trPr>
        <w:tc>
          <w:tcPr>
            <w:tcW w:w="1375" w:type="dxa"/>
            <w:vMerge w:val="continue"/>
            <w:tcBorders>
              <w:left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院前信息</w:t>
            </w:r>
          </w:p>
        </w:tc>
        <w:tc>
          <w:tcPr>
            <w:tcW w:w="17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CellMar>
            <w:top w:w="0" w:type="dxa"/>
            <w:left w:w="108" w:type="dxa"/>
            <w:bottom w:w="0" w:type="dxa"/>
            <w:right w:w="108" w:type="dxa"/>
          </w:tblCellMar>
        </w:tblPrEx>
        <w:trPr>
          <w:trHeight w:val="90" w:hRule="atLeast"/>
        </w:trPr>
        <w:tc>
          <w:tcPr>
            <w:tcW w:w="1375" w:type="dxa"/>
            <w:vMerge w:val="continue"/>
            <w:tcBorders>
              <w:left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站点管理子系统</w:t>
            </w:r>
          </w:p>
        </w:tc>
        <w:tc>
          <w:tcPr>
            <w:tcW w:w="17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CellMar>
            <w:top w:w="0" w:type="dxa"/>
            <w:left w:w="108" w:type="dxa"/>
            <w:bottom w:w="0" w:type="dxa"/>
            <w:right w:w="108" w:type="dxa"/>
          </w:tblCellMar>
        </w:tblPrEx>
        <w:trPr>
          <w:trHeight w:val="320" w:hRule="atLeast"/>
        </w:trPr>
        <w:tc>
          <w:tcPr>
            <w:tcW w:w="1375" w:type="dxa"/>
            <w:vMerge w:val="continue"/>
            <w:tcBorders>
              <w:left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院前后台管理站</w:t>
            </w:r>
          </w:p>
        </w:tc>
        <w:tc>
          <w:tcPr>
            <w:tcW w:w="1792"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CellMar>
            <w:top w:w="0" w:type="dxa"/>
            <w:left w:w="108" w:type="dxa"/>
            <w:bottom w:w="0" w:type="dxa"/>
            <w:right w:w="108" w:type="dxa"/>
          </w:tblCellMar>
        </w:tblPrEx>
        <w:trPr>
          <w:trHeight w:val="320" w:hRule="atLeast"/>
        </w:trPr>
        <w:tc>
          <w:tcPr>
            <w:tcW w:w="1375" w:type="dxa"/>
            <w:vMerge w:val="continue"/>
            <w:tcBorders>
              <w:left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院前移动工作站</w:t>
            </w:r>
            <w:r>
              <w:rPr>
                <w:rFonts w:hint="eastAsia" w:ascii="宋体" w:hAnsi="宋体" w:cs="宋体"/>
                <w:sz w:val="24"/>
                <w:szCs w:val="24"/>
                <w:lang w:val="en-US" w:eastAsia="zh-CN"/>
              </w:rPr>
              <w:t>（急救司机、院前护理、院前医生、告知信息发布、远程专家会诊、领导首页）</w:t>
            </w:r>
          </w:p>
        </w:tc>
        <w:tc>
          <w:tcPr>
            <w:tcW w:w="1792" w:type="dxa"/>
            <w:tcBorders>
              <w:top w:val="nil"/>
              <w:left w:val="nil"/>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r>
      <w:tr>
        <w:tblPrEx>
          <w:tblCellMar>
            <w:top w:w="0" w:type="dxa"/>
            <w:left w:w="108" w:type="dxa"/>
            <w:bottom w:w="0" w:type="dxa"/>
            <w:right w:w="108" w:type="dxa"/>
          </w:tblCellMar>
        </w:tblPrEx>
        <w:trPr>
          <w:trHeight w:val="93" w:hRule="atLeast"/>
        </w:trPr>
        <w:tc>
          <w:tcPr>
            <w:tcW w:w="1375"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p>
        </w:tc>
        <w:tc>
          <w:tcPr>
            <w:tcW w:w="7270" w:type="dxa"/>
            <w:tcBorders>
              <w:top w:val="nil"/>
              <w:left w:val="nil"/>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急救车载医疗设备接入（</w:t>
            </w:r>
            <w:r>
              <w:rPr>
                <w:rFonts w:hint="eastAsia" w:ascii="宋体" w:hAnsi="宋体" w:cs="宋体"/>
                <w:sz w:val="24"/>
                <w:szCs w:val="24"/>
                <w:lang w:val="en-US" w:eastAsia="zh-CN"/>
              </w:rPr>
              <w:t>16</w:t>
            </w:r>
            <w:r>
              <w:rPr>
                <w:rFonts w:hint="eastAsia" w:ascii="宋体" w:hAnsi="宋体" w:eastAsia="宋体" w:cs="宋体"/>
                <w:sz w:val="24"/>
                <w:szCs w:val="24"/>
                <w:lang w:val="en-US" w:eastAsia="zh-CN"/>
              </w:rPr>
              <w:t>台标准化救护车</w:t>
            </w:r>
            <w:r>
              <w:rPr>
                <w:rFonts w:hint="eastAsia" w:ascii="宋体" w:hAnsi="宋体" w:cs="宋体"/>
                <w:sz w:val="24"/>
                <w:szCs w:val="24"/>
                <w:lang w:val="en-US" w:eastAsia="zh-CN"/>
              </w:rPr>
              <w:t>接入系统</w:t>
            </w:r>
            <w:r>
              <w:rPr>
                <w:rFonts w:hint="eastAsia" w:ascii="宋体" w:hAnsi="宋体" w:eastAsia="宋体" w:cs="宋体"/>
                <w:sz w:val="24"/>
                <w:szCs w:val="24"/>
                <w:lang w:val="en-US" w:eastAsia="zh-CN"/>
              </w:rPr>
              <w:t>，要求车载医疗设备（除颤仪、生命监护仪）具有并开放接口）</w:t>
            </w:r>
          </w:p>
        </w:tc>
        <w:tc>
          <w:tcPr>
            <w:tcW w:w="1792" w:type="dxa"/>
            <w:tcBorders>
              <w:top w:val="nil"/>
              <w:left w:val="nil"/>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r>
    </w:tbl>
    <w:p>
      <w:pPr>
        <w:pStyle w:val="4"/>
        <w:bidi w:val="0"/>
        <w:rPr>
          <w:rFonts w:hint="eastAsia"/>
          <w:lang w:val="en-US" w:eastAsia="zh-CN"/>
        </w:rPr>
      </w:pPr>
    </w:p>
    <w:p>
      <w:pPr>
        <w:pStyle w:val="4"/>
        <w:bidi w:val="0"/>
        <w:rPr>
          <w:rFonts w:hint="eastAsia"/>
          <w:lang w:val="en-US" w:eastAsia="zh-CN"/>
        </w:rPr>
      </w:pPr>
    </w:p>
    <w:p>
      <w:pPr>
        <w:pStyle w:val="4"/>
        <w:bidi w:val="0"/>
        <w:rPr>
          <w:rFonts w:hint="eastAsia" w:cs="Times New Roman"/>
        </w:rPr>
      </w:pPr>
      <w:r>
        <w:rPr>
          <w:rFonts w:hint="eastAsia" w:cs="Times New Roman"/>
          <w:lang w:val="en-US" w:eastAsia="zh-CN"/>
        </w:rPr>
        <w:t>硬件设备清单</w:t>
      </w:r>
    </w:p>
    <w:tbl>
      <w:tblPr>
        <w:tblStyle w:val="20"/>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14"/>
        <w:gridCol w:w="5190"/>
        <w:gridCol w:w="878"/>
        <w:gridCol w:w="93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24" w:type="dxa"/>
            <w:shd w:val="clear" w:color="auto" w:fill="4F81BD"/>
            <w:vAlign w:val="top"/>
          </w:tcPr>
          <w:p>
            <w:pPr>
              <w:jc w:val="center"/>
              <w:rPr>
                <w:kern w:val="0"/>
                <w:sz w:val="24"/>
                <w:szCs w:val="24"/>
              </w:rPr>
            </w:pPr>
            <w:r>
              <w:rPr>
                <w:rFonts w:hint="eastAsia"/>
                <w:kern w:val="0"/>
                <w:sz w:val="24"/>
                <w:szCs w:val="24"/>
              </w:rPr>
              <w:t>序号</w:t>
            </w:r>
          </w:p>
        </w:tc>
        <w:tc>
          <w:tcPr>
            <w:tcW w:w="1414" w:type="dxa"/>
            <w:shd w:val="clear" w:color="auto" w:fill="4F81BD"/>
            <w:vAlign w:val="top"/>
          </w:tcPr>
          <w:p>
            <w:pPr>
              <w:jc w:val="center"/>
              <w:rPr>
                <w:kern w:val="0"/>
                <w:sz w:val="24"/>
                <w:szCs w:val="24"/>
              </w:rPr>
            </w:pPr>
            <w:r>
              <w:rPr>
                <w:rFonts w:hint="eastAsia"/>
                <w:kern w:val="0"/>
                <w:sz w:val="24"/>
                <w:szCs w:val="24"/>
              </w:rPr>
              <w:t>硬件名称</w:t>
            </w:r>
          </w:p>
        </w:tc>
        <w:tc>
          <w:tcPr>
            <w:tcW w:w="5190" w:type="dxa"/>
            <w:shd w:val="clear" w:color="auto" w:fill="4F81BD"/>
            <w:vAlign w:val="top"/>
          </w:tcPr>
          <w:p>
            <w:pPr>
              <w:jc w:val="center"/>
              <w:rPr>
                <w:kern w:val="0"/>
                <w:sz w:val="24"/>
                <w:szCs w:val="24"/>
              </w:rPr>
            </w:pPr>
            <w:r>
              <w:rPr>
                <w:rFonts w:hint="eastAsia"/>
                <w:kern w:val="0"/>
                <w:sz w:val="24"/>
                <w:szCs w:val="24"/>
              </w:rPr>
              <w:t>参数说明</w:t>
            </w:r>
          </w:p>
        </w:tc>
        <w:tc>
          <w:tcPr>
            <w:tcW w:w="878" w:type="dxa"/>
            <w:shd w:val="clear" w:color="auto" w:fill="4F81BD"/>
            <w:vAlign w:val="top"/>
          </w:tcPr>
          <w:p>
            <w:pPr>
              <w:jc w:val="center"/>
              <w:rPr>
                <w:kern w:val="0"/>
                <w:sz w:val="24"/>
                <w:szCs w:val="24"/>
              </w:rPr>
            </w:pPr>
            <w:r>
              <w:rPr>
                <w:rFonts w:hint="eastAsia"/>
                <w:kern w:val="0"/>
                <w:sz w:val="24"/>
                <w:szCs w:val="24"/>
              </w:rPr>
              <w:t>数量</w:t>
            </w:r>
          </w:p>
        </w:tc>
        <w:tc>
          <w:tcPr>
            <w:tcW w:w="933" w:type="dxa"/>
            <w:shd w:val="clear" w:color="auto" w:fill="4F81BD"/>
            <w:vAlign w:val="top"/>
          </w:tcPr>
          <w:p>
            <w:pPr>
              <w:jc w:val="center"/>
              <w:rPr>
                <w:rFonts w:hint="eastAsia" w:eastAsia="宋体"/>
                <w:kern w:val="0"/>
                <w:sz w:val="24"/>
                <w:szCs w:val="24"/>
                <w:lang w:eastAsia="zh-CN"/>
              </w:rPr>
            </w:pPr>
            <w:r>
              <w:rPr>
                <w:rFonts w:hint="eastAsia"/>
                <w:kern w:val="0"/>
                <w:sz w:val="24"/>
                <w:szCs w:val="24"/>
                <w:lang w:val="en-US" w:eastAsia="zh-CN"/>
              </w:rPr>
              <w:t>单位</w:t>
            </w:r>
          </w:p>
        </w:tc>
        <w:tc>
          <w:tcPr>
            <w:tcW w:w="810" w:type="dxa"/>
            <w:shd w:val="clear" w:color="auto" w:fill="4F81BD"/>
            <w:vAlign w:val="top"/>
          </w:tcPr>
          <w:p>
            <w:pPr>
              <w:jc w:val="center"/>
              <w:rPr>
                <w:rFonts w:hint="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414" w:type="dxa"/>
            <w:vAlign w:val="center"/>
          </w:tcPr>
          <w:p>
            <w:pPr>
              <w:keepNext w:val="0"/>
              <w:keepLines w:val="0"/>
              <w:widowControl/>
              <w:suppressLineNumbers w:val="0"/>
              <w:jc w:val="both"/>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液晶拼接屏</w:t>
            </w:r>
          </w:p>
        </w:tc>
        <w:tc>
          <w:tcPr>
            <w:tcW w:w="5190" w:type="dxa"/>
            <w:vAlign w:val="center"/>
          </w:tcPr>
          <w:p>
            <w:pPr>
              <w:keepNext w:val="0"/>
              <w:keepLines w:val="0"/>
              <w:widowControl/>
              <w:suppressLineNumbers w:val="0"/>
              <w:jc w:val="left"/>
              <w:textAlignment w:val="center"/>
              <w:rPr>
                <w:rStyle w:val="31"/>
                <w:rFonts w:hint="eastAsia" w:ascii="宋体" w:hAnsi="宋体" w:eastAsia="宋体" w:cs="宋体"/>
                <w:sz w:val="21"/>
                <w:szCs w:val="21"/>
                <w:lang w:val="en-US" w:eastAsia="zh-CN" w:bidi="ar"/>
              </w:rPr>
            </w:pPr>
            <w:r>
              <w:rPr>
                <w:rStyle w:val="31"/>
                <w:rFonts w:hint="eastAsia" w:ascii="宋体" w:hAnsi="宋体" w:eastAsia="宋体" w:cs="宋体"/>
                <w:sz w:val="21"/>
                <w:szCs w:val="21"/>
                <w:lang w:val="en-US" w:eastAsia="zh-CN" w:bidi="ar"/>
              </w:rPr>
              <w:t>工业级DID超窄边液晶面板3*3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支持1920*1080P输入高清显示；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单屏尺寸长1213.5*宽684.3mm；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亮度500cd/㎡</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对比度：3000:1；</w:t>
            </w:r>
          </w:p>
          <w:p>
            <w:pPr>
              <w:keepNext w:val="0"/>
              <w:keepLines w:val="0"/>
              <w:widowControl/>
              <w:suppressLineNumbers w:val="0"/>
              <w:jc w:val="left"/>
              <w:textAlignment w:val="center"/>
              <w:rPr>
                <w:rStyle w:val="32"/>
                <w:rFonts w:hint="eastAsia" w:ascii="宋体" w:hAnsi="宋体" w:eastAsia="宋体" w:cs="宋体"/>
                <w:color w:val="auto"/>
                <w:sz w:val="21"/>
                <w:szCs w:val="21"/>
                <w:lang w:val="en-US" w:eastAsia="zh-CN" w:bidi="ar"/>
              </w:rPr>
            </w:pPr>
            <w:r>
              <w:rPr>
                <w:rStyle w:val="32"/>
                <w:rFonts w:hint="eastAsia" w:ascii="宋体" w:hAnsi="宋体" w:eastAsia="宋体" w:cs="宋体"/>
                <w:color w:val="auto"/>
                <w:sz w:val="21"/>
                <w:szCs w:val="21"/>
                <w:lang w:val="en-US" w:eastAsia="zh-CN" w:bidi="ar"/>
              </w:rPr>
              <w:t>物理拼缝3.5mm；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观看角度178度；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色彩饱和度97%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控制信号：RS-232</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显示模式：全屏拼接显示，支持M*N多屏组合拼接显示、分屏显示显示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控制方式：中控拼接屏软件。</w:t>
            </w:r>
          </w:p>
        </w:tc>
        <w:tc>
          <w:tcPr>
            <w:tcW w:w="87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w:t>
            </w:r>
          </w:p>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字幕屏</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约2.08个平方（3.748*0.556）</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中心</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概览屏</w:t>
            </w:r>
          </w:p>
        </w:tc>
        <w:tc>
          <w:tcPr>
            <w:tcW w:w="5190"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86寸杜比视界全景声金属全面屏</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4K HDR认证 双120Hz高刷屏</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分辨率：3840×2160刷新率：120Hz可视角度：178°广色域：DCI-P3 92%</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处理器和存储</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CPU：Cortex A73 四核内存：2GBGPU：Mali-G52 MC1闪存：32GB</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WiFi：双频 2.4GHz/5GHz</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HDMI：3个(含一个4K120Hz，含一个eARC)AV：1个USB：2个ATV/DTMB：1个以太网：1个S/PDIF：1个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内置播放器：内置 Mi-Player 播放器，支持 RM、FLV、MOV、AVI、MKV、TS、MP4 等主流格式</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机顶盒</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产品类别 智能电视盒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CPU：四核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内存 2GB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闪存 8GB</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操作系统 Android 6.0</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音箱</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调音台、音箱2只；一拖二无线话筒（主机一体）、话筒线、音箱线、机柜</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拼接屏管理电脑</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I5-9500/内存8G/硬盘1T/2G独立显卡/DVD刻录/串口 支持WIN7 操作系统，23.8寸显示器 支持WIN10系统/Linux系统</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座席位</w:t>
            </w:r>
          </w:p>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显示器</w:t>
            </w:r>
            <w:r>
              <w:rPr>
                <w:rFonts w:hint="eastAsia" w:ascii="宋体" w:hAnsi="宋体" w:cs="宋体"/>
                <w:i w:val="0"/>
                <w:iCs w:val="0"/>
                <w:color w:val="auto"/>
                <w:kern w:val="0"/>
                <w:sz w:val="21"/>
                <w:szCs w:val="21"/>
                <w:u w:val="none"/>
                <w:lang w:val="en-US" w:eastAsia="zh-CN" w:bidi="ar"/>
              </w:rPr>
              <w:t xml:space="preserve">  </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屏幕尺寸(对角):34"曲面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可视尺寸(对角):863.6mm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屏幕宽高比:21:9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面板类型:VA技术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点距:0.23175(H)x0.23175(V)mm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画面尺寸:797.22(H)x333.72(V)mm</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座席位</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5-5600G/16G/512G固态/GTX1660s/WiFi</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IP电话</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IP话机（含耳机接口）；液晶彩屏显示；耳机接口：RJ-9/USB</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数字中继器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1.支持1条30B+D)，含MX VOIP软件 V1.9.22021-4-92. 网口：RJ45, 4×Base-T；3. E1接口：1个（最大30路并发）</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交换机</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组合配置(24个10/100/1000Base-T以太网端口,4个复用的千兆Combo SFP,4个千兆SFP,含1个交流电源)</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交换机</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8个千兆电无管理</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一体机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I5-10500/8G/1T+256G/DVDRW/2G显卡/摄像头/23.8英寸/W10H64</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打印机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打印方式：按需喷墨（微压电打印技术）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最大分辨率：1200x2400 dpi（带有智能墨滴变换技术）默认黑色分辨率：600x600 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双面打印：自动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逐份打印：支持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有线网络（以太网）：1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无线网络 + 无线直连：支持</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声光</w:t>
            </w:r>
          </w:p>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报警器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含固定支架；基本接口：USB；喇叭响度：280mA；工作温度：-20~60</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个</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流量卡</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1主+2副（30G/月）</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17</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平板电脑</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幕尺寸：8英寸以上；内存容量：≥4GB；存储容量≥64GB；网络连接：4G全网通；定位类型：北斗/GPS/带保护套</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采集设备</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内存容量：2GB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存储容量：32GB</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网络连接：4G全网通</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4"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19</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车载GPS</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GPS/北斗双模</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个</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0</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w:t>
            </w:r>
          </w:p>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录像机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1.需具备：≥4路1080P视频输入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2.需具备：POE供电方式；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3.需具备：≥1个2.5寸SATA硬盘、≥1个SD卡；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4.需具备：3G/4G、WiFi、GPS/北斗功能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5.需具备：行车状态记录功能：包括车速、转向、刹车、倒车、车门开启统计</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6.需具备：6~36V宽电压输入</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1</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车载硬盘2T</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1.需具备：≥2T 2.5英寸7mm 硬盘</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2</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w:t>
            </w:r>
          </w:p>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摄像头</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1.需具备：≤1/3英寸CMOS传感器；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2.需具备：≥200万像素；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3.需具备：≥1920×1080最大分辨率；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4.需具备：≤0.002Lux（彩色模式）；≤0.0002Lux（黑白模式）最低照度：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5.需具备：≥18m（红外）最大补光距离；</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6.需具备：≤2.8mm定焦镜头焦距；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7.需具备：内置麦克风；</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8.需具备：DC12V/POE供电方式；</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9.需具备：IK10;IP67防护等级：</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3</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w:t>
            </w:r>
          </w:p>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对讲终端</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1.需具备：全双工语音对讲；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2.需具备：≥4个按键数量；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3.需具备：≥90cm范围拾音；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4.需具备：≥1路音频输入、≥1路扬声器输出；</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5.需具备：≤1.5W功率；</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个</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平台硬件服务器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1.需具备：车辆实时定位监视、实时报警信息功能</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2.需具备：GPS快速定位与车辆重点监控功能</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3.需具备：按照设备、时间与存储位置查找设备轨迹，具备轨迹播放、停止控制，具备轨迹导出功能</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4.需具备：≥1000个IP或4000个通道设备接入能力</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5.需具备：IP、主动注册（用于3G、4G、DHCP设备）、国标28181方式添加设备</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需具备：≥1颗8核 CPU处理器</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需具备：≥32G内</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需具备：≥4T存储硬盘</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 需具备：≥2个千兆网口</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5</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嵌入式高清解码器整机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1.需具备：≥4路本地信号采集（2路DVI-I和2路HDMI</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2.需具备：≥15路HDMI输出</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6</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w:t>
            </w:r>
          </w:p>
          <w:p>
            <w:pPr>
              <w:keepNext w:val="0"/>
              <w:keepLines w:val="0"/>
              <w:widowControl/>
              <w:suppressLineNumbers w:val="0"/>
              <w:jc w:val="center"/>
              <w:textAlignment w:val="center"/>
              <w:rPr>
                <w:rFonts w:hint="eastAsia" w:ascii="宋体" w:hAnsi="宋体" w:eastAsia="宋体" w:cs="宋体"/>
                <w:b/>
                <w:bCs/>
                <w:color w:val="auto"/>
                <w:sz w:val="21"/>
                <w:szCs w:val="21"/>
                <w:lang w:val="en-US"/>
              </w:rPr>
            </w:pPr>
            <w:r>
              <w:rPr>
                <w:rFonts w:hint="eastAsia" w:ascii="宋体" w:hAnsi="宋体" w:eastAsia="宋体" w:cs="宋体"/>
                <w:i w:val="0"/>
                <w:iCs w:val="0"/>
                <w:color w:val="auto"/>
                <w:kern w:val="0"/>
                <w:sz w:val="21"/>
                <w:szCs w:val="21"/>
                <w:u w:val="none"/>
                <w:lang w:val="en-US" w:eastAsia="zh-CN" w:bidi="ar"/>
              </w:rPr>
              <w:t>专用线A</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1.需具备：3芯6.3间距孔型转3芯裸线）</w:t>
            </w:r>
          </w:p>
          <w:p>
            <w:pPr>
              <w:keepNext w:val="0"/>
              <w:keepLines w:val="0"/>
              <w:widowControl/>
              <w:suppressLineNumbers w:val="0"/>
              <w:jc w:val="left"/>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2.需具备：≥4米长度</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7</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w:t>
            </w:r>
          </w:p>
          <w:p>
            <w:pPr>
              <w:keepNext w:val="0"/>
              <w:keepLines w:val="0"/>
              <w:widowControl/>
              <w:suppressLineNumbers w:val="0"/>
              <w:jc w:val="center"/>
              <w:textAlignment w:val="center"/>
              <w:rPr>
                <w:rFonts w:hint="eastAsia" w:ascii="宋体" w:hAnsi="宋体" w:eastAsia="宋体" w:cs="宋体"/>
                <w:b/>
                <w:bCs/>
                <w:color w:val="auto"/>
                <w:sz w:val="21"/>
                <w:szCs w:val="21"/>
                <w:lang w:val="en-US"/>
              </w:rPr>
            </w:pPr>
            <w:r>
              <w:rPr>
                <w:rFonts w:hint="eastAsia" w:ascii="宋体" w:hAnsi="宋体" w:eastAsia="宋体" w:cs="宋体"/>
                <w:i w:val="0"/>
                <w:iCs w:val="0"/>
                <w:color w:val="auto"/>
                <w:kern w:val="0"/>
                <w:sz w:val="21"/>
                <w:szCs w:val="21"/>
                <w:u w:val="none"/>
                <w:lang w:val="en-US" w:eastAsia="zh-CN" w:bidi="ar"/>
              </w:rPr>
              <w:t>专用线B</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1.需具备：≥6米长度</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16</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8</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技术服务</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地面：瓷面防静电地板</w:t>
            </w:r>
            <w:r>
              <w:rPr>
                <w:rFonts w:hint="eastAsia" w:ascii="宋体" w:hAnsi="宋体" w:cs="宋体"/>
                <w:i w:val="0"/>
                <w:iCs w:val="0"/>
                <w:color w:val="auto"/>
                <w:kern w:val="0"/>
                <w:sz w:val="21"/>
                <w:szCs w:val="21"/>
                <w:u w:val="none"/>
                <w:lang w:val="en-US" w:eastAsia="zh-CN" w:bidi="ar"/>
              </w:rPr>
              <w:t>处理</w:t>
            </w:r>
            <w:r>
              <w:rPr>
                <w:rFonts w:hint="eastAsia" w:ascii="宋体" w:hAnsi="宋体" w:eastAsia="宋体" w:cs="宋体"/>
                <w:i w:val="0"/>
                <w:iCs w:val="0"/>
                <w:color w:val="auto"/>
                <w:kern w:val="0"/>
                <w:sz w:val="21"/>
                <w:szCs w:val="21"/>
                <w:u w:val="none"/>
                <w:lang w:val="en-US" w:eastAsia="zh-CN" w:bidi="ar"/>
              </w:rPr>
              <w:t>，含不锈钢踢脚线，铜箔条等材料；墙面处理：多孔吸音墙面板；吊顶：微孔吸音铝板；门窗处理；会议灯具及照明灯具；房屋隔断；面积40平方米。确保调度指挥中心的网络正常</w:t>
            </w:r>
            <w:r>
              <w:rPr>
                <w:rFonts w:hint="eastAsia" w:ascii="宋体" w:hAnsi="宋体" w:cs="宋体"/>
                <w:i w:val="0"/>
                <w:iCs w:val="0"/>
                <w:color w:val="auto"/>
                <w:kern w:val="0"/>
                <w:sz w:val="21"/>
                <w:szCs w:val="21"/>
                <w:u w:val="none"/>
                <w:lang w:val="en-US" w:eastAsia="zh-CN" w:bidi="ar"/>
              </w:rPr>
              <w:t>。车载设备车辆改造服务。</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项</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29</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桌椅</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个席位（包含桌椅，定做桌椅）/另加</w:t>
            </w:r>
            <w:r>
              <w:rPr>
                <w:rFonts w:hint="eastAsia"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把椅子</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0</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lang w:val="en-US"/>
              </w:rPr>
            </w:pPr>
            <w:r>
              <w:rPr>
                <w:rFonts w:hint="eastAsia" w:ascii="宋体" w:hAnsi="宋体" w:eastAsia="宋体" w:cs="宋体"/>
                <w:i w:val="0"/>
                <w:iCs w:val="0"/>
                <w:color w:val="auto"/>
                <w:kern w:val="0"/>
                <w:sz w:val="21"/>
                <w:szCs w:val="21"/>
                <w:u w:val="none"/>
                <w:lang w:val="en-US" w:eastAsia="zh-CN" w:bidi="ar"/>
              </w:rPr>
              <w:t>空调</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立柜式5P机房基站</w:t>
            </w:r>
            <w:r>
              <w:rPr>
                <w:rFonts w:hint="eastAsia" w:ascii="宋体" w:hAnsi="宋体" w:cs="宋体"/>
                <w:i w:val="0"/>
                <w:iCs w:val="0"/>
                <w:color w:val="auto"/>
                <w:kern w:val="0"/>
                <w:sz w:val="21"/>
                <w:szCs w:val="21"/>
                <w:u w:val="none"/>
                <w:lang w:val="en-US" w:eastAsia="zh-CN" w:bidi="ar"/>
              </w:rPr>
              <w:t>型</w:t>
            </w:r>
            <w:r>
              <w:rPr>
                <w:rFonts w:hint="eastAsia" w:ascii="宋体" w:hAnsi="宋体" w:eastAsia="宋体" w:cs="宋体"/>
                <w:i w:val="0"/>
                <w:iCs w:val="0"/>
                <w:color w:val="auto"/>
                <w:kern w:val="0"/>
                <w:sz w:val="21"/>
                <w:szCs w:val="21"/>
                <w:u w:val="none"/>
                <w:lang w:val="en-US" w:eastAsia="zh-CN" w:bidi="ar"/>
              </w:rPr>
              <w:t>商用空调；</w:t>
            </w:r>
            <w:r>
              <w:rPr>
                <w:rFonts w:hint="eastAsia" w:ascii="宋体" w:hAnsi="宋体" w:cs="宋体"/>
                <w:i w:val="0"/>
                <w:iCs w:val="0"/>
                <w:color w:val="auto"/>
                <w:kern w:val="0"/>
                <w:sz w:val="21"/>
                <w:szCs w:val="21"/>
                <w:u w:val="none"/>
                <w:lang w:val="en-US" w:eastAsia="zh-CN" w:bidi="ar"/>
              </w:rPr>
              <w:t>支持</w:t>
            </w:r>
            <w:r>
              <w:rPr>
                <w:rFonts w:hint="eastAsia" w:ascii="宋体" w:hAnsi="宋体" w:eastAsia="宋体" w:cs="宋体"/>
                <w:i w:val="0"/>
                <w:iCs w:val="0"/>
                <w:color w:val="auto"/>
                <w:kern w:val="0"/>
                <w:sz w:val="21"/>
                <w:szCs w:val="21"/>
                <w:u w:val="none"/>
                <w:lang w:val="en-US" w:eastAsia="zh-CN" w:bidi="ar"/>
              </w:rPr>
              <w:t>24小时连续运转；</w:t>
            </w:r>
            <w:r>
              <w:rPr>
                <w:rFonts w:hint="eastAsia" w:ascii="宋体" w:hAnsi="宋体" w:cs="宋体"/>
                <w:i w:val="0"/>
                <w:iCs w:val="0"/>
                <w:color w:val="auto"/>
                <w:kern w:val="0"/>
                <w:sz w:val="21"/>
                <w:szCs w:val="21"/>
                <w:u w:val="none"/>
                <w:lang w:val="en-US" w:eastAsia="zh-CN" w:bidi="ar"/>
              </w:rPr>
              <w:t>支持低温启动；</w:t>
            </w:r>
            <w:r>
              <w:rPr>
                <w:rFonts w:hint="eastAsia" w:ascii="宋体" w:hAnsi="宋体" w:eastAsia="宋体" w:cs="宋体"/>
                <w:i w:val="0"/>
                <w:iCs w:val="0"/>
                <w:color w:val="auto"/>
                <w:kern w:val="0"/>
                <w:sz w:val="21"/>
                <w:szCs w:val="21"/>
                <w:u w:val="none"/>
                <w:lang w:val="en-US" w:eastAsia="zh-CN" w:bidi="ar"/>
              </w:rPr>
              <w:t>制热量13000W，制冷量12050W，使用面积34-65㎡。</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1</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lang w:val="en-US"/>
              </w:rPr>
            </w:pPr>
            <w:r>
              <w:rPr>
                <w:rFonts w:hint="eastAsia" w:ascii="宋体" w:hAnsi="宋体" w:eastAsia="宋体" w:cs="宋体"/>
                <w:i w:val="0"/>
                <w:iCs w:val="0"/>
                <w:color w:val="auto"/>
                <w:kern w:val="0"/>
                <w:sz w:val="21"/>
                <w:szCs w:val="21"/>
                <w:u w:val="none"/>
                <w:lang w:val="en-US" w:eastAsia="zh-CN" w:bidi="ar"/>
              </w:rPr>
              <w:t>空调</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立柜式变频空调3P,冷暖变频</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2</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配电箱</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配电箱、UPS电池柜、阻燃铜芯电缆，含插线板3插口：3个及以上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2插口：3个及以上</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长度：1.8米及以上</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3</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机柜</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42U服务器机柜，外形尺寸:600*1000*2000cm,4只2”重型脚轮、4只M12支脚、1只内六角扳手，带1个8W蓝色节能灯。19"正方向安装，50个螺丝，1个PDU插座，12位国标，16A输入，10A输出，带开关带3米线机柜底座、接地铜牌、PDU供电单元</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4</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备用电源</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1、输入输出制式：制式可调（三进三出、三进单出、单进单出）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2、6K机头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3、额定功率（kW）：10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4、16节12V 65AH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5、1个电池柜，可放置16节12V65AH 蓄电池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6、过载能力：110%负载可长期运行；125%负载15min后转旁路；150%负载1min后转旁路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7、整机效率：高达 96%</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8、直流启动：支持</w:t>
            </w:r>
          </w:p>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9、尺寸（宽*深*高）（mm）：438×500×130</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5</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消防设备</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七氯丙烷灭火器装置</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6</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服务器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1颗(2.4GHz/10核/13.75MB/100W)处理器；（32GB）1*32G DDR4-2933Y-R 内存，24个内存插槽；集成4口千兆 网卡；2G缓存</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SR 12G SAS RAID 控制器带智能存储电池，3块600GB 10K SAS 2.5寸硬盘，支持8个SFF 热插拔硬盘位，最大支持24个前置硬盘槽位；</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7</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综合安防管理平台软件基础包</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1.支持管理最大组织数2000个，组织层级最大10级: 2. 支持管理曼大区域数2000个，区域层级最大10级。 3.支持管理最大人员数量5万: 4.支持管理最大卡片数量5万; 5.支持管理</w:t>
            </w:r>
            <w:r>
              <w:rPr>
                <w:rFonts w:hint="eastAsia" w:ascii="宋体" w:hAnsi="宋体" w:cs="宋体"/>
                <w:i w:val="0"/>
                <w:iCs w:val="0"/>
                <w:color w:val="auto"/>
                <w:kern w:val="0"/>
                <w:sz w:val="21"/>
                <w:szCs w:val="21"/>
                <w:u w:val="none"/>
                <w:lang w:val="en-US" w:eastAsia="zh-CN" w:bidi="ar"/>
              </w:rPr>
              <w:t>最</w:t>
            </w:r>
            <w:r>
              <w:rPr>
                <w:rFonts w:hint="eastAsia" w:ascii="宋体" w:hAnsi="宋体" w:eastAsia="宋体" w:cs="宋体"/>
                <w:i w:val="0"/>
                <w:iCs w:val="0"/>
                <w:color w:val="auto"/>
                <w:kern w:val="0"/>
                <w:sz w:val="21"/>
                <w:szCs w:val="21"/>
                <w:u w:val="none"/>
                <w:lang w:val="en-US" w:eastAsia="zh-CN" w:bidi="ar"/>
              </w:rPr>
              <w:t>大车辆数显3万: 6.支持</w:t>
            </w:r>
            <w:r>
              <w:rPr>
                <w:rFonts w:hint="eastAsia" w:ascii="宋体" w:hAnsi="宋体" w:cs="宋体"/>
                <w:i w:val="0"/>
                <w:iCs w:val="0"/>
                <w:color w:val="auto"/>
                <w:kern w:val="0"/>
                <w:sz w:val="21"/>
                <w:szCs w:val="21"/>
                <w:u w:val="none"/>
                <w:lang w:val="en-US" w:eastAsia="zh-CN" w:bidi="ar"/>
              </w:rPr>
              <w:t>最</w:t>
            </w:r>
            <w:r>
              <w:rPr>
                <w:rFonts w:hint="eastAsia" w:ascii="宋体" w:hAnsi="宋体" w:eastAsia="宋体" w:cs="宋体"/>
                <w:i w:val="0"/>
                <w:iCs w:val="0"/>
                <w:color w:val="auto"/>
                <w:kern w:val="0"/>
                <w:sz w:val="21"/>
                <w:szCs w:val="21"/>
                <w:u w:val="none"/>
                <w:lang w:val="en-US" w:eastAsia="zh-CN" w:bidi="ar"/>
              </w:rPr>
              <w:t>大的在线用户数1000个，并发登录用户数50个。7.支持</w:t>
            </w:r>
            <w:r>
              <w:rPr>
                <w:rFonts w:hint="eastAsia" w:ascii="宋体" w:hAnsi="宋体" w:cs="宋体"/>
                <w:i w:val="0"/>
                <w:iCs w:val="0"/>
                <w:color w:val="auto"/>
                <w:kern w:val="0"/>
                <w:sz w:val="21"/>
                <w:szCs w:val="21"/>
                <w:u w:val="none"/>
                <w:lang w:val="en-US" w:eastAsia="zh-CN" w:bidi="ar"/>
              </w:rPr>
              <w:t>最</w:t>
            </w:r>
            <w:r>
              <w:rPr>
                <w:rFonts w:hint="eastAsia" w:ascii="宋体" w:hAnsi="宋体" w:eastAsia="宋体" w:cs="宋体"/>
                <w:i w:val="0"/>
                <w:iCs w:val="0"/>
                <w:color w:val="auto"/>
                <w:kern w:val="0"/>
                <w:sz w:val="21"/>
                <w:szCs w:val="21"/>
                <w:u w:val="none"/>
                <w:lang w:val="en-US" w:eastAsia="zh-CN" w:bidi="ar"/>
              </w:rPr>
              <w:t>大事件并发处理500条/秒 ;</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套</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8</w:t>
            </w:r>
          </w:p>
        </w:tc>
        <w:tc>
          <w:tcPr>
            <w:tcW w:w="1414"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auto"/>
                <w:kern w:val="0"/>
                <w:sz w:val="21"/>
                <w:szCs w:val="21"/>
                <w:u w:val="none"/>
                <w:lang w:val="en-US" w:eastAsia="zh-CN" w:bidi="ar"/>
              </w:rPr>
              <w:t>综合安防管理平台软件前端视频监控点</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1.支持监控点数量10个(超过5000需要分布式部署)；2.支持并发取流带宽2000M，例如以2M/路计算最大并发路数为1000路 (以千兆服务器为例，每台服务器并发取流带宽为600M.超过600M需要分布式部署)；3.解码能力:在i7.</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路</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39</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数据中心 (intel双路通用服务器)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4210x2/64G DDR4/600G 10K，SASx4(RAID_ 1)/SAS HBA/1GbEx2+ 10GbE x2/550W(1+ 1)/2U/16DIMM，2U双路标准机架式服务器，CPU: 2颖inte|至强系列处理器。 核数210核，主频22.2GHz，内存: 64G DDR4.16根内存插植，是大支持扩展至2TB内存，硬盘: 4块600G 10K 25寸SAS硬盘，阵列卡：SAS_HBA卡，支持RAID 0/1/10</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0</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控制产品(超高清解码器)</w:t>
            </w:r>
          </w:p>
        </w:tc>
        <w:tc>
          <w:tcPr>
            <w:tcW w:w="519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高清视音频解码器，采用Linux操作系统，运行稳定可靠,输入接口:支持一-路VGA和一路DVI接入,输出接口:支持12路HDMI和6路BNC输出，HDMI (可以转DVI-D) (奇数口)输出,分辨率最高支持4K (3840*2160@30HZ),编码格式:支持H.265. H.264. MPEG4. MJPEG等主流的编码格式</w:t>
            </w:r>
          </w:p>
        </w:tc>
        <w:tc>
          <w:tcPr>
            <w:tcW w:w="878"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72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41</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对讲机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支持低功耗蓝牙 屏幕 2.0寸彩屏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网络制式 FDD-LTE TDD-LTE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频段 FDD-LTE:B1/B3/B5/B8;TDD-LTE:B34/B38/B39/B40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一体式弹簧背夹/三色指示灯/一对一语音通话/对讲记录回听</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电池容量3000mAh(11.4Wh)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对讲距离 全国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待机时间 100h </w:t>
            </w:r>
          </w:p>
        </w:tc>
        <w:tc>
          <w:tcPr>
            <w:tcW w:w="87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93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4"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42</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电视机</w:t>
            </w:r>
          </w:p>
        </w:tc>
        <w:tc>
          <w:tcPr>
            <w:tcW w:w="519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55寸电视机</w:t>
            </w:r>
          </w:p>
        </w:tc>
        <w:tc>
          <w:tcPr>
            <w:tcW w:w="878"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w:t>
            </w:r>
          </w:p>
        </w:tc>
        <w:tc>
          <w:tcPr>
            <w:tcW w:w="933" w:type="dxa"/>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4"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43</w:t>
            </w:r>
          </w:p>
        </w:tc>
        <w:tc>
          <w:tcPr>
            <w:tcW w:w="14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电脑</w:t>
            </w:r>
          </w:p>
        </w:tc>
        <w:tc>
          <w:tcPr>
            <w:tcW w:w="5190"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I3-10105/8G/512G固态硬盘/无光集成W10/21.5寸</w:t>
            </w:r>
          </w:p>
        </w:tc>
        <w:tc>
          <w:tcPr>
            <w:tcW w:w="87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w:t>
            </w:r>
          </w:p>
        </w:tc>
        <w:tc>
          <w:tcPr>
            <w:tcW w:w="93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4"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44</w:t>
            </w:r>
          </w:p>
        </w:tc>
        <w:tc>
          <w:tcPr>
            <w:tcW w:w="1414"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防火墙</w:t>
            </w:r>
          </w:p>
        </w:tc>
        <w:tc>
          <w:tcPr>
            <w:tcW w:w="5190"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性能参数：网络层吞吐量：2G，应用层吞吐量：500M，防病毒吞吐量：150M，IPS吞吐量：100M，全威胁吞吐量：80M，并发连接数：80万，HTTP新建连接数：1.5万，IPSec最大隧道数：1000，IPSec  VPN吞吐量：50M。</w:t>
            </w:r>
          </w:p>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硬件参数：规格：桌面型，内存大小：2G，硬盘容量：64G minisata SSD，电源：适配器，接口：3千兆电口。</w:t>
            </w:r>
          </w:p>
        </w:tc>
        <w:tc>
          <w:tcPr>
            <w:tcW w:w="878" w:type="dxa"/>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933" w:type="dxa"/>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pStyle w:val="33"/>
        <w:rPr>
          <w:rFonts w:hint="eastAsia"/>
          <w:color w:val="auto"/>
        </w:rPr>
      </w:pPr>
    </w:p>
    <w:p>
      <w:pPr>
        <w:pStyle w:val="33"/>
        <w:rPr>
          <w:rFonts w:hint="eastAsia"/>
          <w:color w:val="auto"/>
        </w:rPr>
      </w:pPr>
    </w:p>
    <w:p>
      <w:pPr>
        <w:pStyle w:val="4"/>
        <w:numPr>
          <w:ilvl w:val="1"/>
          <w:numId w:val="0"/>
        </w:numPr>
        <w:bidi w:val="0"/>
        <w:ind w:leftChars="0"/>
        <w:rPr>
          <w:rFonts w:hint="eastAsia" w:cs="Times New Roman"/>
          <w:color w:val="auto"/>
        </w:rPr>
      </w:pPr>
      <w:r>
        <w:rPr>
          <w:rFonts w:hint="eastAsia" w:cs="Times New Roman"/>
          <w:color w:val="auto"/>
          <w:lang w:val="en-US" w:eastAsia="zh-CN"/>
        </w:rPr>
        <w:t>附件一：</w:t>
      </w:r>
      <w:r>
        <w:rPr>
          <w:rFonts w:hint="eastAsia" w:cs="Times New Roman"/>
          <w:color w:val="auto"/>
        </w:rPr>
        <w:t>软件功能</w:t>
      </w:r>
      <w:r>
        <w:rPr>
          <w:rFonts w:hint="eastAsia" w:cs="Times New Roman"/>
          <w:color w:val="auto"/>
          <w:lang w:val="en-US" w:eastAsia="zh-CN"/>
        </w:rPr>
        <w:t>要求：</w:t>
      </w:r>
    </w:p>
    <w:tbl>
      <w:tblPr>
        <w:tblStyle w:val="19"/>
        <w:tblW w:w="10240" w:type="dxa"/>
        <w:tblInd w:w="116"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8968"/>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272" w:type="dxa"/>
            <w:vAlign w:val="center"/>
          </w:tcPr>
          <w:p>
            <w:pPr>
              <w:rPr>
                <w:rFonts w:ascii="宋体" w:hAnsi="宋体"/>
                <w:color w:val="auto"/>
                <w:szCs w:val="21"/>
              </w:rPr>
            </w:pPr>
            <w:r>
              <w:rPr>
                <w:rFonts w:hint="eastAsia" w:ascii="宋体" w:hAnsi="宋体"/>
                <w:color w:val="auto"/>
                <w:szCs w:val="21"/>
              </w:rPr>
              <w:t>序号</w:t>
            </w:r>
          </w:p>
        </w:tc>
        <w:tc>
          <w:tcPr>
            <w:tcW w:w="8968" w:type="dxa"/>
            <w:vAlign w:val="center"/>
          </w:tcPr>
          <w:p>
            <w:pPr>
              <w:rPr>
                <w:rFonts w:ascii="宋体" w:hAnsi="宋体"/>
                <w:color w:val="auto"/>
                <w:szCs w:val="21"/>
              </w:rPr>
            </w:pPr>
            <w:r>
              <w:rPr>
                <w:rFonts w:ascii="宋体" w:hAnsi="宋体"/>
                <w:color w:val="auto"/>
                <w:szCs w:val="21"/>
              </w:rPr>
              <w:t>功能说明</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rPr>
                <w:rFonts w:ascii="宋体" w:hAnsi="宋体" w:cs="Arial"/>
                <w:color w:val="auto"/>
                <w:szCs w:val="21"/>
              </w:rPr>
            </w:pPr>
            <w:r>
              <w:rPr>
                <w:rFonts w:hint="eastAsia" w:ascii="宋体" w:hAnsi="宋体"/>
                <w:color w:val="auto"/>
                <w:szCs w:val="21"/>
              </w:rPr>
              <w:t>（一）</w:t>
            </w:r>
          </w:p>
        </w:tc>
        <w:tc>
          <w:tcPr>
            <w:tcW w:w="8968" w:type="dxa"/>
            <w:vAlign w:val="center"/>
          </w:tcPr>
          <w:p>
            <w:pPr>
              <w:widowControl/>
              <w:rPr>
                <w:rFonts w:ascii="宋体" w:hAnsi="宋体" w:cs="Arial"/>
                <w:color w:val="auto"/>
                <w:szCs w:val="21"/>
              </w:rPr>
            </w:pPr>
            <w:r>
              <w:rPr>
                <w:rFonts w:hint="eastAsia" w:ascii="宋体" w:hAnsi="宋体" w:cs="宋体"/>
                <w:b/>
                <w:color w:val="auto"/>
                <w:kern w:val="0"/>
                <w:sz w:val="28"/>
                <w:szCs w:val="28"/>
              </w:rPr>
              <w:t>院前急救</w:t>
            </w:r>
            <w:r>
              <w:rPr>
                <w:rFonts w:ascii="宋体" w:hAnsi="宋体" w:cs="宋体"/>
                <w:b/>
                <w:color w:val="auto"/>
                <w:kern w:val="0"/>
                <w:sz w:val="28"/>
                <w:szCs w:val="28"/>
              </w:rPr>
              <w:t>信息</w:t>
            </w:r>
            <w:r>
              <w:rPr>
                <w:rFonts w:hint="eastAsia" w:ascii="宋体" w:hAnsi="宋体" w:cs="宋体"/>
                <w:b/>
                <w:color w:val="auto"/>
                <w:kern w:val="0"/>
                <w:sz w:val="28"/>
                <w:szCs w:val="28"/>
              </w:rPr>
              <w:t>系统</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272" w:type="dxa"/>
            <w:vAlign w:val="center"/>
          </w:tcPr>
          <w:p>
            <w:pPr>
              <w:rPr>
                <w:rFonts w:ascii="宋体" w:hAnsi="宋体" w:cs="宋体"/>
                <w:color w:val="auto"/>
                <w:kern w:val="0"/>
                <w:szCs w:val="21"/>
              </w:rPr>
            </w:pPr>
            <w:r>
              <w:rPr>
                <w:rFonts w:ascii="宋体" w:hAnsi="宋体" w:cs="宋体"/>
                <w:color w:val="auto"/>
                <w:kern w:val="0"/>
                <w:szCs w:val="21"/>
              </w:rPr>
              <w:t>1.1</w:t>
            </w:r>
          </w:p>
        </w:tc>
        <w:tc>
          <w:tcPr>
            <w:tcW w:w="8968" w:type="dxa"/>
            <w:vAlign w:val="center"/>
          </w:tcPr>
          <w:p>
            <w:pPr>
              <w:widowControl/>
              <w:rPr>
                <w:rFonts w:ascii="宋体" w:hAnsi="宋体" w:cs="宋体"/>
                <w:color w:val="auto"/>
                <w:kern w:val="0"/>
                <w:szCs w:val="21"/>
              </w:rPr>
            </w:pPr>
            <w:r>
              <w:rPr>
                <w:rFonts w:hint="eastAsia" w:ascii="宋体" w:hAnsi="宋体" w:cs="宋体"/>
                <w:b/>
                <w:color w:val="auto"/>
                <w:kern w:val="0"/>
                <w:sz w:val="28"/>
                <w:szCs w:val="28"/>
                <w:lang w:val="en-US" w:eastAsia="zh-CN"/>
              </w:rPr>
              <w:t>120电话</w:t>
            </w:r>
            <w:r>
              <w:rPr>
                <w:rFonts w:hint="eastAsia" w:ascii="宋体" w:hAnsi="宋体" w:cs="宋体"/>
                <w:b/>
                <w:color w:val="auto"/>
                <w:kern w:val="0"/>
                <w:sz w:val="28"/>
                <w:szCs w:val="28"/>
              </w:rPr>
              <w:t>呼叫中心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rPr>
                <w:rFonts w:ascii="宋体" w:hAnsi="宋体" w:cs="宋体"/>
                <w:color w:val="auto"/>
                <w:kern w:val="0"/>
                <w:szCs w:val="21"/>
              </w:rPr>
            </w:pPr>
            <w:r>
              <w:rPr>
                <w:rFonts w:ascii="宋体" w:hAnsi="宋体" w:cs="宋体"/>
                <w:color w:val="auto"/>
                <w:kern w:val="0"/>
                <w:szCs w:val="21"/>
              </w:rPr>
              <w:t>1.1.1</w:t>
            </w:r>
          </w:p>
        </w:tc>
        <w:tc>
          <w:tcPr>
            <w:tcW w:w="8968" w:type="dxa"/>
            <w:vAlign w:val="center"/>
          </w:tcPr>
          <w:p>
            <w:pPr>
              <w:numPr>
                <w:ilvl w:val="0"/>
                <w:numId w:val="0"/>
              </w:numPr>
              <w:spacing w:line="360" w:lineRule="auto"/>
              <w:ind w:leftChars="0"/>
              <w:rPr>
                <w:rFonts w:ascii="宋体" w:hAnsi="宋体" w:cs="宋体"/>
                <w:b/>
                <w:color w:val="auto"/>
                <w:kern w:val="0"/>
                <w:sz w:val="28"/>
                <w:szCs w:val="28"/>
              </w:rPr>
            </w:pPr>
            <w:r>
              <w:rPr>
                <w:rFonts w:hint="eastAsia" w:ascii="宋体" w:hAnsi="宋体" w:eastAsia="宋体" w:cs="宋体"/>
                <w:color w:val="auto"/>
                <w:sz w:val="24"/>
                <w:szCs w:val="24"/>
              </w:rPr>
              <w:t>支持电话排队功能：根据外部线路呼入先后顺序进入排队队列。</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.1.2</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支持中心坐席状态管理，调度员可自行对坐席调度状态修改。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.1.3</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支持自动呼叫排队分配功能（ACD功能）。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.1.4</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支持多方通话和呼叫保持功能。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.1.5</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支持电话回拨和服务评分。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.1.6</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支持记录每通通话呼叫号码，呼叫开始时间，接通时间，挂断时间，通话时长，接听坐席等相关数据。</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.1.7</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支持对中心指挥调度受理全程进行通话数字录音，可对呼救录音进行查询、回放。</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.1.8</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支持按时间、受理台号、主叫号码等进行检索的查询手段。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.1.9</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统计报表：提供多种指标统计，包括座席在线统计、话务统计、呼入呼出统计、队列分组、评分统计等</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72" w:type="dxa"/>
            <w:vAlign w:val="center"/>
          </w:tcPr>
          <w:p>
            <w:pPr>
              <w:rPr>
                <w:rFonts w:ascii="宋体" w:hAnsi="宋体" w:cs="宋体"/>
                <w:color w:val="auto"/>
                <w:kern w:val="0"/>
                <w:szCs w:val="21"/>
              </w:rPr>
            </w:pPr>
            <w:r>
              <w:rPr>
                <w:rFonts w:ascii="宋体" w:hAnsi="宋体" w:cs="宋体"/>
                <w:color w:val="auto"/>
                <w:kern w:val="0"/>
                <w:szCs w:val="21"/>
              </w:rPr>
              <w:t>1.2</w:t>
            </w:r>
          </w:p>
        </w:tc>
        <w:tc>
          <w:tcPr>
            <w:tcW w:w="8968" w:type="dxa"/>
            <w:vAlign w:val="center"/>
          </w:tcPr>
          <w:p>
            <w:pPr>
              <w:rPr>
                <w:rFonts w:ascii="宋体" w:hAnsi="宋体" w:cs="宋体"/>
                <w:color w:val="auto"/>
                <w:kern w:val="0"/>
                <w:szCs w:val="21"/>
              </w:rPr>
            </w:pPr>
            <w:r>
              <w:rPr>
                <w:rFonts w:hint="eastAsia" w:ascii="宋体" w:hAnsi="宋体" w:cs="宋体"/>
                <w:b/>
                <w:color w:val="auto"/>
                <w:kern w:val="0"/>
                <w:sz w:val="28"/>
                <w:szCs w:val="28"/>
              </w:rPr>
              <w:t>车辆指挥调度-调度指挥</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272" w:type="dxa"/>
            <w:vAlign w:val="center"/>
          </w:tcPr>
          <w:p>
            <w:pPr>
              <w:rPr>
                <w:rFonts w:ascii="宋体" w:hAnsi="宋体" w:cs="宋体"/>
                <w:color w:val="auto"/>
                <w:kern w:val="0"/>
                <w:szCs w:val="21"/>
              </w:rPr>
            </w:pPr>
            <w:r>
              <w:rPr>
                <w:rFonts w:ascii="宋体" w:hAnsi="宋体" w:cs="宋体"/>
                <w:color w:val="auto"/>
                <w:kern w:val="0"/>
                <w:szCs w:val="21"/>
              </w:rPr>
              <w:t>1.2.1</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接警登记:求助患者120电话拨打后，接警人员根据患者描述，填入关键信息（联系电话，联系人，患者性别，年龄，事发地址，是否有家属陪同，职业等信息。系统支持始发地址在地图上选点功能，并支持智能搜索，即接警人员在接车地址、发病地址输入框中录入地址的过程中，系统智能提示相似地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336" w:hRule="atLeast"/>
        </w:trPr>
        <w:tc>
          <w:tcPr>
            <w:tcW w:w="1272" w:type="dxa"/>
            <w:vAlign w:val="center"/>
          </w:tcPr>
          <w:p>
            <w:pPr>
              <w:rPr>
                <w:rFonts w:hint="eastAsia" w:ascii="宋体" w:hAnsi="宋体" w:eastAsia="宋体" w:cs="宋体"/>
                <w:color w:val="auto"/>
                <w:kern w:val="0"/>
                <w:szCs w:val="21"/>
                <w:lang w:eastAsia="zh-CN"/>
              </w:rPr>
            </w:pPr>
            <w:r>
              <w:rPr>
                <w:rFonts w:ascii="宋体" w:hAnsi="宋体" w:cs="宋体"/>
                <w:color w:val="auto"/>
                <w:kern w:val="0"/>
                <w:szCs w:val="21"/>
              </w:rPr>
              <w:t>1.2.</w:t>
            </w:r>
            <w:r>
              <w:rPr>
                <w:rFonts w:hint="eastAsia" w:ascii="宋体" w:hAnsi="宋体" w:cs="宋体"/>
                <w:color w:val="auto"/>
                <w:kern w:val="0"/>
                <w:szCs w:val="21"/>
                <w:lang w:val="en-US" w:eastAsia="zh-CN"/>
              </w:rPr>
              <w:t>2</w:t>
            </w:r>
          </w:p>
        </w:tc>
        <w:tc>
          <w:tcPr>
            <w:tcW w:w="8968" w:type="dxa"/>
            <w:vAlign w:val="center"/>
          </w:tcPr>
          <w:p>
            <w:pPr>
              <w:numPr>
                <w:ilvl w:val="0"/>
                <w:numId w:val="0"/>
              </w:numPr>
              <w:spacing w:line="360" w:lineRule="auto"/>
              <w:ind w:leftChars="0"/>
              <w:rPr>
                <w:rFonts w:ascii="宋体" w:hAnsi="宋体" w:cs="宋体"/>
                <w:color w:val="auto"/>
                <w:kern w:val="0"/>
                <w:szCs w:val="21"/>
              </w:rPr>
            </w:pPr>
            <w:r>
              <w:rPr>
                <w:rFonts w:hint="eastAsia" w:ascii="宋体" w:hAnsi="宋体" w:eastAsia="宋体" w:cs="宋体"/>
                <w:color w:val="auto"/>
                <w:sz w:val="24"/>
                <w:szCs w:val="24"/>
              </w:rPr>
              <w:t>任务指派:接警登记后指派司机和医生已就位的救护车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根据车辆的状态和人员的签到情况</w:t>
            </w:r>
            <w:r>
              <w:rPr>
                <w:rFonts w:hint="eastAsia" w:ascii="宋体" w:hAnsi="宋体" w:cs="宋体"/>
                <w:color w:val="auto"/>
                <w:sz w:val="24"/>
                <w:szCs w:val="24"/>
                <w:lang w:eastAsia="zh-CN"/>
              </w:rPr>
              <w:t>）</w:t>
            </w:r>
            <w:r>
              <w:rPr>
                <w:rFonts w:hint="eastAsia" w:ascii="宋体" w:hAnsi="宋体" w:eastAsia="宋体" w:cs="宋体"/>
                <w:color w:val="auto"/>
                <w:sz w:val="24"/>
                <w:szCs w:val="24"/>
              </w:rPr>
              <w:t>，可指派医生和护士</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可手动更改，也可根据当前签到的医护人员自动指派</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1272" w:type="dxa"/>
            <w:vAlign w:val="center"/>
          </w:tcPr>
          <w:p>
            <w:pPr>
              <w:rPr>
                <w:rFonts w:hint="eastAsia" w:ascii="宋体" w:hAnsi="宋体" w:eastAsia="宋体" w:cs="宋体"/>
                <w:color w:val="auto"/>
                <w:kern w:val="0"/>
                <w:szCs w:val="21"/>
                <w:lang w:eastAsia="zh-CN"/>
              </w:rPr>
            </w:pPr>
            <w:r>
              <w:rPr>
                <w:rFonts w:ascii="宋体" w:hAnsi="宋体" w:cs="宋体"/>
                <w:color w:val="auto"/>
                <w:kern w:val="0"/>
                <w:szCs w:val="21"/>
              </w:rPr>
              <w:t>1.2.</w:t>
            </w:r>
            <w:r>
              <w:rPr>
                <w:rFonts w:hint="eastAsia" w:ascii="宋体" w:hAnsi="宋体" w:cs="宋体"/>
                <w:color w:val="auto"/>
                <w:kern w:val="0"/>
                <w:szCs w:val="21"/>
                <w:lang w:val="en-US" w:eastAsia="zh-CN"/>
              </w:rPr>
              <w:t>3</w:t>
            </w:r>
          </w:p>
        </w:tc>
        <w:tc>
          <w:tcPr>
            <w:tcW w:w="8968" w:type="dxa"/>
            <w:vAlign w:val="center"/>
          </w:tcPr>
          <w:p>
            <w:pPr>
              <w:numPr>
                <w:ilvl w:val="0"/>
                <w:numId w:val="0"/>
              </w:numPr>
              <w:spacing w:line="360" w:lineRule="auto"/>
              <w:ind w:leftChars="0"/>
              <w:rPr>
                <w:rFonts w:hint="eastAsia" w:ascii="宋体" w:hAnsi="宋体" w:eastAsia="宋体" w:cs="宋体"/>
                <w:color w:val="auto"/>
                <w:sz w:val="24"/>
                <w:szCs w:val="24"/>
              </w:rPr>
            </w:pPr>
            <w:r>
              <w:rPr>
                <w:rFonts w:hint="eastAsia" w:ascii="宋体" w:hAnsi="宋体" w:eastAsia="宋体" w:cs="宋体"/>
                <w:color w:val="auto"/>
                <w:sz w:val="24"/>
                <w:szCs w:val="24"/>
              </w:rPr>
              <w:t>任务修改和中止：司机未出车前，接警人员支持对任务的修改和改派车辆。</w:t>
            </w:r>
          </w:p>
          <w:p>
            <w:pPr>
              <w:spacing w:line="360" w:lineRule="auto"/>
              <w:rPr>
                <w:rFonts w:ascii="宋体" w:hAnsi="宋体" w:cs="宋体"/>
                <w:color w:val="auto"/>
                <w:sz w:val="24"/>
                <w:szCs w:val="24"/>
              </w:rPr>
            </w:pPr>
            <w:r>
              <w:rPr>
                <w:rFonts w:hint="eastAsia" w:ascii="宋体" w:hAnsi="宋体" w:eastAsia="宋体" w:cs="宋体"/>
                <w:color w:val="auto"/>
                <w:sz w:val="24"/>
                <w:szCs w:val="24"/>
              </w:rPr>
              <w:t>接警人员可根据实际情况随时中止任务。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272" w:type="dxa"/>
            <w:vAlign w:val="center"/>
          </w:tcPr>
          <w:p>
            <w:pPr>
              <w:rPr>
                <w:rFonts w:hint="eastAsia" w:ascii="宋体" w:hAnsi="宋体" w:eastAsia="宋体" w:cs="宋体"/>
                <w:color w:val="auto"/>
                <w:kern w:val="0"/>
                <w:szCs w:val="21"/>
                <w:lang w:eastAsia="zh-CN"/>
              </w:rPr>
            </w:pPr>
            <w:r>
              <w:rPr>
                <w:rFonts w:ascii="宋体" w:hAnsi="宋体" w:cs="宋体"/>
                <w:color w:val="auto"/>
                <w:kern w:val="0"/>
                <w:szCs w:val="21"/>
              </w:rPr>
              <w:t>1.2.</w:t>
            </w:r>
            <w:r>
              <w:rPr>
                <w:rFonts w:hint="eastAsia" w:ascii="宋体" w:hAnsi="宋体" w:cs="宋体"/>
                <w:color w:val="auto"/>
                <w:kern w:val="0"/>
                <w:szCs w:val="21"/>
                <w:lang w:val="en-US" w:eastAsia="zh-CN"/>
              </w:rPr>
              <w:t>4</w:t>
            </w:r>
          </w:p>
        </w:tc>
        <w:tc>
          <w:tcPr>
            <w:tcW w:w="8968" w:type="dxa"/>
            <w:vAlign w:val="center"/>
          </w:tcPr>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▲一单多车：支持一个报警任务单下多辆救护车共同完成急救任务。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功能截图证明</w:t>
            </w:r>
            <w:r>
              <w:rPr>
                <w:rFonts w:hint="eastAsia" w:ascii="宋体" w:hAnsi="宋体" w:cs="宋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72" w:type="dxa"/>
            <w:vAlign w:val="center"/>
          </w:tcPr>
          <w:p>
            <w:pPr>
              <w:rPr>
                <w:rFonts w:hint="eastAsia" w:ascii="宋体" w:hAnsi="宋体" w:eastAsia="宋体" w:cs="宋体"/>
                <w:color w:val="auto"/>
                <w:kern w:val="0"/>
                <w:szCs w:val="21"/>
                <w:lang w:eastAsia="zh-CN"/>
              </w:rPr>
            </w:pPr>
            <w:r>
              <w:rPr>
                <w:rFonts w:ascii="宋体" w:hAnsi="宋体" w:cs="宋体"/>
                <w:color w:val="auto"/>
                <w:kern w:val="0"/>
                <w:szCs w:val="21"/>
              </w:rPr>
              <w:t>1.2.</w:t>
            </w:r>
            <w:r>
              <w:rPr>
                <w:rFonts w:hint="eastAsia" w:ascii="宋体" w:hAnsi="宋体" w:cs="宋体"/>
                <w:color w:val="auto"/>
                <w:kern w:val="0"/>
                <w:szCs w:val="21"/>
                <w:lang w:val="en-US" w:eastAsia="zh-CN"/>
              </w:rPr>
              <w:t>5</w:t>
            </w:r>
          </w:p>
        </w:tc>
        <w:tc>
          <w:tcPr>
            <w:tcW w:w="8968" w:type="dxa"/>
            <w:vAlign w:val="center"/>
          </w:tcPr>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▲一车多人：支持一辆救护车在同一个任务下多人的急救任务。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功能截图证明</w:t>
            </w:r>
            <w:r>
              <w:rPr>
                <w:rFonts w:hint="eastAsia" w:ascii="宋体" w:hAnsi="宋体" w:cs="宋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ascii="宋体" w:hAnsi="宋体" w:cs="宋体"/>
                <w:color w:val="auto"/>
                <w:kern w:val="0"/>
                <w:szCs w:val="21"/>
              </w:rPr>
            </w:pPr>
            <w:r>
              <w:rPr>
                <w:rFonts w:ascii="宋体" w:hAnsi="宋体" w:cs="宋体"/>
                <w:color w:val="auto"/>
                <w:kern w:val="0"/>
                <w:szCs w:val="21"/>
              </w:rPr>
              <w:t>1.3</w:t>
            </w:r>
          </w:p>
        </w:tc>
        <w:tc>
          <w:tcPr>
            <w:tcW w:w="8968" w:type="dxa"/>
            <w:vAlign w:val="center"/>
          </w:tcPr>
          <w:p>
            <w:pPr>
              <w:spacing w:line="300" w:lineRule="auto"/>
              <w:rPr>
                <w:rFonts w:ascii="宋体" w:hAnsi="宋体"/>
                <w:bCs/>
                <w:color w:val="auto"/>
                <w:sz w:val="24"/>
                <w:szCs w:val="24"/>
              </w:rPr>
            </w:pPr>
            <w:r>
              <w:rPr>
                <w:rFonts w:hint="eastAsia" w:ascii="宋体" w:hAnsi="宋体" w:cs="宋体"/>
                <w:b/>
                <w:color w:val="auto"/>
                <w:kern w:val="0"/>
                <w:sz w:val="28"/>
                <w:szCs w:val="28"/>
              </w:rPr>
              <w:t>车辆指挥调度-调度监控</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1.3.1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实时监控:120指挥中心，可以实时监控救护车的当前位置和各个状态（出车，到达事发地址，离开现场，到院途中）</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1.3.2</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地理位置:利用互联网地图接口方式，获取事发地址和医院地理位置。系统根据地图接口，获取需要到达目的地的最短路线，计算公里数和预估到达需要时间。</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1.3.3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车辆轨迹:通过移动</w:t>
            </w:r>
            <w:r>
              <w:rPr>
                <w:rFonts w:hint="eastAsia" w:ascii="宋体" w:hAnsi="宋体" w:eastAsia="宋体" w:cs="宋体"/>
                <w:sz w:val="24"/>
                <w:szCs w:val="24"/>
                <w:lang w:val="en-US" w:eastAsia="zh-CN"/>
              </w:rPr>
              <w:t>终端</w:t>
            </w:r>
            <w:r>
              <w:rPr>
                <w:rFonts w:hint="eastAsia" w:ascii="宋体" w:hAnsi="宋体" w:eastAsia="宋体" w:cs="宋体"/>
                <w:sz w:val="24"/>
                <w:szCs w:val="24"/>
              </w:rPr>
              <w:t>或</w:t>
            </w:r>
            <w:r>
              <w:rPr>
                <w:rFonts w:hint="eastAsia" w:ascii="宋体" w:hAnsi="宋体" w:eastAsia="宋体" w:cs="宋体"/>
                <w:sz w:val="24"/>
                <w:szCs w:val="24"/>
                <w:lang w:val="en-US" w:eastAsia="zh-CN"/>
              </w:rPr>
              <w:t>GPS</w:t>
            </w:r>
            <w:r>
              <w:rPr>
                <w:rFonts w:hint="eastAsia" w:ascii="宋体" w:hAnsi="宋体" w:eastAsia="宋体" w:cs="宋体"/>
                <w:sz w:val="24"/>
                <w:szCs w:val="24"/>
              </w:rPr>
              <w:t>，定位车辆当前位置，实时记录车辆行驶轨迹。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1.3.4</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rPr>
              <w:t>态势情况：通过地图轮询展示任务中的各个救护车的信息和状态。</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1.3.5</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实时统计：</w:t>
            </w:r>
            <w:r>
              <w:rPr>
                <w:rFonts w:hint="eastAsia" w:ascii="宋体" w:hAnsi="宋体" w:eastAsia="宋体" w:cs="宋体"/>
                <w:sz w:val="24"/>
                <w:szCs w:val="24"/>
                <w:lang w:val="en-US" w:eastAsia="zh-CN"/>
              </w:rPr>
              <w:t>支持统计</w:t>
            </w:r>
            <w:r>
              <w:rPr>
                <w:rFonts w:hint="eastAsia" w:ascii="宋体" w:hAnsi="宋体" w:eastAsia="宋体" w:cs="宋体"/>
                <w:sz w:val="24"/>
                <w:szCs w:val="24"/>
              </w:rPr>
              <w:t>当日接警数量，任务数量，任务滞留数，待命数量，接警数量，送医数量</w:t>
            </w:r>
            <w:r>
              <w:rPr>
                <w:rFonts w:hint="eastAsia" w:ascii="宋体" w:hAnsi="宋体" w:eastAsia="宋体" w:cs="宋体"/>
                <w:sz w:val="24"/>
                <w:szCs w:val="24"/>
                <w:lang w:val="en-US" w:eastAsia="zh-CN"/>
              </w:rPr>
              <w:t>等信息</w:t>
            </w: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272" w:type="dxa"/>
            <w:vAlign w:val="center"/>
          </w:tcPr>
          <w:p>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1.4</w:t>
            </w:r>
          </w:p>
        </w:tc>
        <w:tc>
          <w:tcPr>
            <w:tcW w:w="8968" w:type="dxa"/>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b/>
                <w:color w:val="000000"/>
                <w:kern w:val="0"/>
                <w:sz w:val="28"/>
                <w:szCs w:val="28"/>
                <w:lang w:val="en-US" w:eastAsia="zh-CN"/>
              </w:rPr>
              <w:t>院前信息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272" w:type="dxa"/>
            <w:vAlign w:val="center"/>
          </w:tcPr>
          <w:p>
            <w:pPr>
              <w:widowControl/>
              <w:rPr>
                <w:rFonts w:ascii="宋体" w:hAnsi="宋体" w:cs="宋体"/>
                <w:color w:val="000000"/>
                <w:kern w:val="0"/>
                <w:szCs w:val="21"/>
              </w:rPr>
            </w:pPr>
            <w:r>
              <w:rPr>
                <w:rFonts w:hint="eastAsia" w:ascii="宋体" w:hAnsi="宋体" w:cs="宋体"/>
                <w:kern w:val="0"/>
                <w:szCs w:val="21"/>
              </w:rPr>
              <w:t>1.</w:t>
            </w:r>
            <w:r>
              <w:rPr>
                <w:rFonts w:ascii="宋体" w:hAnsi="宋体" w:cs="宋体"/>
                <w:kern w:val="0"/>
                <w:szCs w:val="21"/>
              </w:rPr>
              <w:t>4</w:t>
            </w:r>
            <w:r>
              <w:rPr>
                <w:rFonts w:hint="eastAsia" w:ascii="宋体" w:hAnsi="宋体" w:cs="宋体"/>
                <w:kern w:val="0"/>
                <w:szCs w:val="21"/>
              </w:rPr>
              <w:t>.1</w:t>
            </w:r>
          </w:p>
        </w:tc>
        <w:tc>
          <w:tcPr>
            <w:tcW w:w="8968" w:type="dxa"/>
            <w:vAlign w:val="center"/>
          </w:tcPr>
          <w:p>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cs="宋体"/>
                <w:sz w:val="24"/>
                <w:szCs w:val="24"/>
                <w:lang w:val="en-US" w:eastAsia="zh-CN"/>
              </w:rPr>
              <w:t>支持展示</w:t>
            </w:r>
            <w:r>
              <w:rPr>
                <w:rFonts w:hint="eastAsia" w:ascii="宋体" w:hAnsi="宋体" w:eastAsia="宋体" w:cs="宋体"/>
                <w:sz w:val="24"/>
                <w:szCs w:val="24"/>
              </w:rPr>
              <w:t>救护车相关信息，包含位置信息（起始地点、目的地点、预计剩余公里数，预计达到剩余时间）、人员信息（院前医生、院前司机）、车辆信息（牌照、厂商、归属单位）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r>
              <w:rPr>
                <w:rFonts w:hint="eastAsia" w:ascii="宋体" w:hAnsi="宋体" w:cs="宋体"/>
                <w:color w:val="000000"/>
                <w:kern w:val="0"/>
                <w:szCs w:val="21"/>
              </w:rPr>
              <w:t>.2</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lang w:val="en-US" w:eastAsia="zh-CN"/>
              </w:rPr>
              <w:t>支持展示</w:t>
            </w:r>
            <w:r>
              <w:rPr>
                <w:rFonts w:hint="eastAsia" w:ascii="宋体" w:hAnsi="宋体" w:eastAsia="宋体" w:cs="宋体"/>
                <w:sz w:val="24"/>
                <w:szCs w:val="24"/>
              </w:rPr>
              <w:t>患者相关信息，包含患者信息（姓名、性别、年龄）</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支持展示</w:t>
            </w:r>
            <w:r>
              <w:rPr>
                <w:rFonts w:hint="eastAsia" w:ascii="宋体" w:hAnsi="宋体" w:eastAsia="宋体" w:cs="宋体"/>
                <w:sz w:val="24"/>
                <w:szCs w:val="24"/>
              </w:rPr>
              <w:t>生命体征信息（通过远程采集或手工录入）</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hint="eastAsia" w:ascii="宋体" w:hAnsi="宋体" w:cs="宋体"/>
                <w:color w:val="000000"/>
                <w:kern w:val="0"/>
                <w:szCs w:val="21"/>
              </w:rPr>
            </w:pPr>
            <w:r>
              <w:rPr>
                <w:rFonts w:ascii="宋体" w:hAnsi="宋体" w:cs="宋体"/>
                <w:color w:val="000000"/>
                <w:kern w:val="0"/>
                <w:szCs w:val="21"/>
              </w:rPr>
              <w:t>1.4.4</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lang w:val="en-US" w:eastAsia="zh-CN"/>
              </w:rPr>
              <w:t>支持</w:t>
            </w:r>
            <w:r>
              <w:rPr>
                <w:rFonts w:hint="eastAsia" w:ascii="宋体" w:hAnsi="宋体" w:eastAsia="宋体" w:cs="宋体"/>
                <w:sz w:val="24"/>
                <w:szCs w:val="24"/>
              </w:rPr>
              <w:t>患者到院剩余5分钟预警，通过声音报警提醒。</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hint="eastAsia" w:ascii="宋体" w:hAnsi="宋体" w:cs="宋体"/>
                <w:color w:val="000000"/>
                <w:kern w:val="0"/>
                <w:szCs w:val="21"/>
              </w:rPr>
            </w:pPr>
            <w:r>
              <w:rPr>
                <w:rFonts w:ascii="宋体" w:hAnsi="宋体" w:cs="宋体"/>
                <w:color w:val="000000"/>
                <w:kern w:val="0"/>
                <w:szCs w:val="21"/>
              </w:rPr>
              <w:t>1.4.5</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急救统计报表，主要包括出车情况统计、急救患者统计、急救任务时间统计表、病种分类统计表。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272" w:type="dxa"/>
            <w:vAlign w:val="center"/>
          </w:tcPr>
          <w:p>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8968" w:type="dxa"/>
            <w:vAlign w:val="center"/>
          </w:tcPr>
          <w:p>
            <w:pPr>
              <w:spacing w:line="360" w:lineRule="auto"/>
              <w:rPr>
                <w:rFonts w:ascii="宋体" w:hAnsi="宋体" w:cs="宋体"/>
                <w:sz w:val="24"/>
                <w:szCs w:val="24"/>
              </w:rPr>
            </w:pPr>
            <w:r>
              <w:rPr>
                <w:rFonts w:hint="eastAsia" w:ascii="宋体" w:hAnsi="宋体" w:eastAsia="宋体" w:cs="宋体"/>
                <w:b/>
                <w:kern w:val="0"/>
                <w:sz w:val="28"/>
                <w:szCs w:val="28"/>
              </w:rPr>
              <w:t>站点管理子系统</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1272" w:type="dxa"/>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1</w:t>
            </w:r>
          </w:p>
        </w:tc>
        <w:tc>
          <w:tcPr>
            <w:tcW w:w="8968" w:type="dxa"/>
            <w:vAlign w:val="center"/>
          </w:tcPr>
          <w:p>
            <w:pPr>
              <w:rPr>
                <w:rFonts w:hint="eastAsia" w:ascii="宋体" w:hAnsi="宋体" w:eastAsia="宋体" w:cs="宋体"/>
                <w:sz w:val="24"/>
                <w:szCs w:val="24"/>
              </w:rPr>
            </w:pPr>
            <w:r>
              <w:rPr>
                <w:rFonts w:hint="eastAsia" w:ascii="宋体" w:hAnsi="宋体" w:eastAsia="宋体" w:cs="宋体"/>
                <w:sz w:val="24"/>
                <w:szCs w:val="24"/>
              </w:rPr>
              <w:t>站点管理子系统可实现命令单的接收，所属分站车辆的状态及定位信息。</w:t>
            </w:r>
          </w:p>
          <w:p>
            <w:pPr>
              <w:rPr>
                <w:rFonts w:ascii="宋体" w:hAnsi="宋体" w:cs="宋体"/>
                <w:sz w:val="24"/>
                <w:szCs w:val="24"/>
              </w:rPr>
            </w:pPr>
            <w:r>
              <w:rPr>
                <w:rFonts w:hint="eastAsia" w:ascii="宋体" w:hAnsi="宋体" w:eastAsia="宋体" w:cs="宋体"/>
                <w:sz w:val="24"/>
                <w:szCs w:val="24"/>
              </w:rPr>
              <w:t>支持与指挥调度中心信息的交互，实现对急救事件的受理，并可自主进行资源调派（包括急救人员、急救车辆），可修改实际接车地址。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2</w:t>
            </w:r>
          </w:p>
        </w:tc>
        <w:tc>
          <w:tcPr>
            <w:tcW w:w="8968" w:type="dxa"/>
            <w:vAlign w:val="center"/>
          </w:tcPr>
          <w:p>
            <w:pPr>
              <w:rPr>
                <w:rFonts w:ascii="宋体" w:hAnsi="宋体" w:cs="宋体"/>
                <w:sz w:val="24"/>
                <w:szCs w:val="24"/>
              </w:rPr>
            </w:pPr>
            <w:r>
              <w:rPr>
                <w:rFonts w:hint="eastAsia" w:ascii="宋体" w:hAnsi="宋体" w:eastAsia="宋体" w:cs="宋体"/>
                <w:sz w:val="24"/>
                <w:szCs w:val="24"/>
              </w:rPr>
              <w:t>支持实时查看站点所属车辆的位置和状态信息。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p>
        </w:tc>
        <w:tc>
          <w:tcPr>
            <w:tcW w:w="8968" w:type="dxa"/>
            <w:vAlign w:val="center"/>
          </w:tcPr>
          <w:p>
            <w:pPr>
              <w:rPr>
                <w:rFonts w:ascii="宋体" w:hAnsi="宋体" w:cs="宋体"/>
                <w:sz w:val="24"/>
                <w:szCs w:val="24"/>
              </w:rPr>
            </w:pPr>
            <w:r>
              <w:rPr>
                <w:rFonts w:hint="eastAsia" w:ascii="宋体" w:hAnsi="宋体" w:eastAsia="宋体" w:cs="宋体"/>
                <w:sz w:val="24"/>
                <w:szCs w:val="24"/>
              </w:rPr>
              <w:t>支持站点用户管理，车辆管理，设备管理和考勤管理。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272" w:type="dxa"/>
            <w:vAlign w:val="center"/>
          </w:tcPr>
          <w:p>
            <w:pPr>
              <w:widowControl/>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4</w:t>
            </w:r>
          </w:p>
        </w:tc>
        <w:tc>
          <w:tcPr>
            <w:tcW w:w="8968" w:type="dxa"/>
            <w:vAlign w:val="center"/>
          </w:tcPr>
          <w:p>
            <w:pPr>
              <w:rPr>
                <w:rFonts w:ascii="宋体" w:hAnsi="宋体" w:cs="宋体"/>
                <w:sz w:val="24"/>
                <w:szCs w:val="24"/>
              </w:rPr>
            </w:pPr>
            <w:r>
              <w:rPr>
                <w:rFonts w:hint="eastAsia" w:ascii="宋体" w:hAnsi="宋体" w:eastAsia="宋体" w:cs="宋体"/>
                <w:sz w:val="24"/>
                <w:szCs w:val="24"/>
              </w:rPr>
              <w:t>支持多种统计报表，包括出车情况统计、急救患者统计、急救任务时间统计表。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6</w:t>
            </w:r>
          </w:p>
        </w:tc>
        <w:tc>
          <w:tcPr>
            <w:tcW w:w="8968" w:type="dxa"/>
            <w:vAlign w:val="center"/>
          </w:tcPr>
          <w:p>
            <w:pPr>
              <w:widowControl/>
            </w:pPr>
            <w:r>
              <w:rPr>
                <w:rFonts w:hint="eastAsia" w:ascii="宋体" w:hAnsi="宋体" w:cs="宋体"/>
                <w:b/>
                <w:color w:val="000000"/>
                <w:kern w:val="0"/>
                <w:sz w:val="28"/>
                <w:szCs w:val="28"/>
              </w:rPr>
              <w:t>院前后台管理站</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6</w:t>
            </w:r>
            <w:r>
              <w:rPr>
                <w:rFonts w:hint="eastAsia" w:ascii="宋体" w:hAnsi="宋体" w:cs="宋体"/>
                <w:color w:val="000000"/>
                <w:kern w:val="0"/>
                <w:szCs w:val="21"/>
              </w:rPr>
              <w:t>.1</w:t>
            </w:r>
          </w:p>
        </w:tc>
        <w:tc>
          <w:tcPr>
            <w:tcW w:w="8968" w:type="dxa"/>
            <w:vAlign w:val="center"/>
          </w:tcPr>
          <w:p>
            <w:pPr>
              <w:spacing w:line="360" w:lineRule="auto"/>
              <w:rPr>
                <w:rFonts w:ascii="宋体" w:hAnsi="宋体" w:cs="宋体"/>
                <w:sz w:val="24"/>
                <w:szCs w:val="24"/>
              </w:rPr>
            </w:pPr>
            <w:r>
              <w:rPr>
                <w:rFonts w:hint="eastAsia" w:ascii="宋体" w:hAnsi="宋体" w:eastAsia="宋体" w:cs="宋体"/>
                <w:sz w:val="24"/>
                <w:szCs w:val="24"/>
              </w:rPr>
              <w:t>实现院前网页端基础管理，车辆管理。提供系统角色管理、医院管理、用户管理、角色授权。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.2</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支持质控参数、系统日志、系统设置、专家组设置功能。</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6</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支持车辆管理、车辆指派、患者管理等功能，实现对急救基础信息的统一管理和维护。</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lang w:val="en-US" w:eastAsia="zh-CN"/>
              </w:rPr>
              <w:t>6</w:t>
            </w:r>
            <w:r>
              <w:rPr>
                <w:rFonts w:ascii="宋体" w:hAnsi="宋体" w:cs="宋体"/>
                <w:color w:val="000000"/>
                <w:kern w:val="0"/>
                <w:szCs w:val="21"/>
              </w:rPr>
              <w:t>.4</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支持查看患者病历、打印病历等功能，实现对患者病历数据的全方位管理。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5</w:t>
            </w:r>
          </w:p>
        </w:tc>
        <w:tc>
          <w:tcPr>
            <w:tcW w:w="8968" w:type="dxa"/>
            <w:vAlign w:val="center"/>
          </w:tcPr>
          <w:p>
            <w:pPr>
              <w:numPr>
                <w:ilvl w:val="0"/>
                <w:numId w:val="0"/>
              </w:numPr>
              <w:spacing w:line="360" w:lineRule="auto"/>
              <w:ind w:leftChars="0"/>
            </w:pPr>
            <w:r>
              <w:rPr>
                <w:rFonts w:hint="eastAsia" w:ascii="宋体" w:hAnsi="宋体" w:eastAsia="宋体" w:cs="宋体"/>
                <w:sz w:val="24"/>
                <w:szCs w:val="24"/>
              </w:rPr>
              <w:t>支持患者院前告知信息的查看。</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lang w:val="en-US" w:eastAsia="zh-CN"/>
              </w:rPr>
              <w:t>6</w:t>
            </w:r>
          </w:p>
        </w:tc>
        <w:tc>
          <w:tcPr>
            <w:tcW w:w="8968" w:type="dxa"/>
            <w:vAlign w:val="center"/>
          </w:tcPr>
          <w:p>
            <w:pPr>
              <w:numPr>
                <w:ilvl w:val="0"/>
                <w:numId w:val="0"/>
              </w:numPr>
              <w:spacing w:line="360" w:lineRule="auto"/>
              <w:ind w:leftChars="0"/>
              <w:rPr>
                <w:rFonts w:hint="eastAsia" w:ascii="宋体" w:hAnsi="宋体" w:cs="宋体"/>
                <w:sz w:val="24"/>
                <w:szCs w:val="24"/>
              </w:rPr>
            </w:pPr>
            <w:r>
              <w:rPr>
                <w:rFonts w:hint="eastAsia" w:ascii="宋体" w:hAnsi="宋体" w:eastAsia="宋体" w:cs="宋体"/>
                <w:sz w:val="24"/>
                <w:szCs w:val="24"/>
              </w:rPr>
              <w:t>支持患者信息和急诊院内信息打通，查看患者院内救治情况。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lang w:val="en-US" w:eastAsia="zh-CN"/>
              </w:rPr>
              <w:t>7</w:t>
            </w:r>
          </w:p>
        </w:tc>
        <w:tc>
          <w:tcPr>
            <w:tcW w:w="8968" w:type="dxa"/>
            <w:vAlign w:val="center"/>
          </w:tcPr>
          <w:p>
            <w:pPr>
              <w:numPr>
                <w:ilvl w:val="0"/>
                <w:numId w:val="0"/>
              </w:numPr>
              <w:spacing w:line="360" w:lineRule="auto"/>
              <w:ind w:leftChars="0"/>
              <w:rPr>
                <w:rFonts w:hint="eastAsia" w:ascii="宋体" w:hAnsi="宋体" w:cs="宋体"/>
                <w:sz w:val="24"/>
                <w:szCs w:val="24"/>
              </w:rPr>
            </w:pPr>
            <w:r>
              <w:rPr>
                <w:rFonts w:hint="eastAsia" w:ascii="宋体" w:hAnsi="宋体" w:eastAsia="宋体" w:cs="宋体"/>
                <w:sz w:val="24"/>
                <w:szCs w:val="24"/>
              </w:rPr>
              <w:t>为管理人员提供区域急救统计报表，主要包括出车情况统计、急救患者统计、急救任务时间统计表、病种分类统计表。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272" w:type="dxa"/>
            <w:vAlign w:val="center"/>
          </w:tcPr>
          <w:p>
            <w:pPr>
              <w:widowControl/>
              <w:rPr>
                <w:rFonts w:hint="eastAsia"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lang w:val="en-US" w:eastAsia="zh-CN"/>
              </w:rPr>
              <w:t>8</w:t>
            </w:r>
          </w:p>
        </w:tc>
        <w:tc>
          <w:tcPr>
            <w:tcW w:w="8968" w:type="dxa"/>
            <w:vAlign w:val="center"/>
          </w:tcPr>
          <w:p>
            <w:pPr>
              <w:numPr>
                <w:ilvl w:val="0"/>
                <w:numId w:val="0"/>
              </w:numPr>
              <w:spacing w:line="360" w:lineRule="auto"/>
              <w:ind w:leftChars="0"/>
              <w:rPr>
                <w:rFonts w:hint="eastAsia" w:ascii="宋体" w:hAnsi="宋体" w:cs="宋体"/>
                <w:sz w:val="24"/>
                <w:szCs w:val="24"/>
              </w:rPr>
            </w:pPr>
            <w:r>
              <w:rPr>
                <w:rFonts w:hint="eastAsia" w:ascii="宋体" w:hAnsi="宋体" w:eastAsia="宋体" w:cs="宋体"/>
                <w:sz w:val="24"/>
                <w:szCs w:val="24"/>
              </w:rPr>
              <w:t>按多种条件（按日期，按医院，按姓名，按司机，按医生）对院前患者检索，查看患者情况等</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7</w:t>
            </w:r>
          </w:p>
        </w:tc>
        <w:tc>
          <w:tcPr>
            <w:tcW w:w="8968" w:type="dxa"/>
            <w:vAlign w:val="center"/>
          </w:tcPr>
          <w:p>
            <w:pPr>
              <w:widowControl/>
              <w:rPr>
                <w:rFonts w:ascii="宋体" w:hAnsi="宋体" w:cs="宋体"/>
                <w:sz w:val="24"/>
                <w:szCs w:val="24"/>
              </w:rPr>
            </w:pPr>
            <w:r>
              <w:rPr>
                <w:rFonts w:hint="eastAsia" w:ascii="宋体" w:hAnsi="宋体" w:cs="宋体"/>
                <w:b/>
                <w:color w:val="000000"/>
                <w:kern w:val="0"/>
                <w:sz w:val="28"/>
                <w:szCs w:val="28"/>
              </w:rPr>
              <w:t>院前移动工作站-急救司机</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r>
              <w:rPr>
                <w:rFonts w:hint="eastAsia" w:ascii="宋体" w:hAnsi="宋体" w:cs="宋体"/>
                <w:color w:val="000000"/>
                <w:kern w:val="0"/>
                <w:szCs w:val="21"/>
              </w:rPr>
              <w:t>.1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展示任务列表、患者列表（患者姓名、年龄、性别），接警情况（接警时间、有无家属、联系人、联系电话、患者情况、地址），其他信息（急救医生、急救护士）</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r>
              <w:rPr>
                <w:rFonts w:hint="eastAsia" w:ascii="宋体" w:hAnsi="宋体" w:cs="宋体"/>
                <w:color w:val="000000"/>
                <w:kern w:val="0"/>
                <w:szCs w:val="21"/>
              </w:rPr>
              <w:t>.2</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支持救护车接警、出车、到场、离场、到院时间点记录</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支持根据事发地址导航路径</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lang w:val="en-US" w:eastAsia="zh-CN"/>
              </w:rPr>
              <w:t>7</w:t>
            </w:r>
            <w:r>
              <w:rPr>
                <w:rFonts w:ascii="宋体" w:hAnsi="宋体" w:cs="宋体"/>
                <w:color w:val="000000"/>
                <w:kern w:val="0"/>
                <w:szCs w:val="21"/>
              </w:rPr>
              <w:t>.4</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支持历史任务的查看和根据患者姓名等条件查询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lang w:val="en-US" w:eastAsia="zh-CN"/>
              </w:rPr>
              <w:t>7</w:t>
            </w:r>
            <w:r>
              <w:rPr>
                <w:rFonts w:ascii="宋体" w:hAnsi="宋体" w:cs="宋体"/>
                <w:color w:val="000000"/>
                <w:kern w:val="0"/>
                <w:szCs w:val="21"/>
              </w:rPr>
              <w:t>.</w:t>
            </w:r>
            <w:r>
              <w:rPr>
                <w:rFonts w:hint="eastAsia" w:ascii="宋体" w:hAnsi="宋体" w:cs="宋体"/>
                <w:color w:val="000000"/>
                <w:kern w:val="0"/>
                <w:szCs w:val="21"/>
              </w:rPr>
              <w:t>5</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支持联系人在线电话拨打</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272" w:type="dxa"/>
            <w:vAlign w:val="center"/>
          </w:tcPr>
          <w:p>
            <w:pPr>
              <w:widowControl/>
              <w:rPr>
                <w:rFonts w:hint="eastAsia"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7</w:t>
            </w:r>
            <w:r>
              <w:rPr>
                <w:rFonts w:ascii="宋体" w:hAnsi="宋体" w:cs="宋体"/>
                <w:color w:val="000000"/>
                <w:kern w:val="0"/>
                <w:szCs w:val="21"/>
              </w:rPr>
              <w:t>.</w:t>
            </w:r>
            <w:r>
              <w:rPr>
                <w:rFonts w:hint="eastAsia" w:ascii="宋体" w:hAnsi="宋体" w:cs="宋体"/>
                <w:color w:val="000000"/>
                <w:kern w:val="0"/>
                <w:szCs w:val="21"/>
                <w:lang w:val="en-US" w:eastAsia="zh-CN"/>
              </w:rPr>
              <w:t>6</w:t>
            </w:r>
          </w:p>
        </w:tc>
        <w:tc>
          <w:tcPr>
            <w:tcW w:w="8968" w:type="dxa"/>
            <w:vAlign w:val="center"/>
          </w:tcPr>
          <w:p>
            <w:pPr>
              <w:numPr>
                <w:ilvl w:val="0"/>
                <w:numId w:val="0"/>
              </w:numPr>
              <w:spacing w:line="360" w:lineRule="auto"/>
              <w:ind w:leftChars="0"/>
              <w:rPr>
                <w:rFonts w:hint="eastAsia" w:ascii="宋体" w:hAnsi="宋体" w:cs="宋体"/>
                <w:sz w:val="24"/>
                <w:szCs w:val="24"/>
              </w:rPr>
            </w:pPr>
            <w:r>
              <w:rPr>
                <w:rFonts w:hint="eastAsia" w:ascii="宋体" w:hAnsi="宋体" w:cs="宋体"/>
                <w:sz w:val="24"/>
                <w:szCs w:val="24"/>
              </w:rPr>
              <w:t>▲</w:t>
            </w:r>
            <w:r>
              <w:rPr>
                <w:rFonts w:hint="eastAsia" w:ascii="宋体" w:hAnsi="宋体" w:eastAsia="宋体" w:cs="宋体"/>
                <w:sz w:val="24"/>
                <w:szCs w:val="24"/>
              </w:rPr>
              <w:t>支持</w:t>
            </w:r>
            <w:r>
              <w:rPr>
                <w:rFonts w:hint="eastAsia" w:ascii="宋体" w:hAnsi="宋体" w:eastAsia="宋体" w:cs="宋体"/>
                <w:sz w:val="24"/>
                <w:szCs w:val="24"/>
                <w:lang w:val="en-US" w:eastAsia="zh-CN"/>
              </w:rPr>
              <w:t>各种特殊情况，患者毁约等情况的记录。支持空车回程的情况。</w:t>
            </w:r>
            <w:r>
              <w:rPr>
                <w:rFonts w:hint="eastAsia" w:ascii="宋体" w:hAnsi="宋体" w:cs="宋体"/>
                <w:sz w:val="24"/>
                <w:szCs w:val="24"/>
                <w:lang w:val="en-US" w:eastAsia="zh-CN"/>
              </w:rPr>
              <w:t>（功能截图证明）</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lang w:val="en-US" w:eastAsia="zh-CN"/>
              </w:rPr>
              <w:t>8</w:t>
            </w:r>
          </w:p>
        </w:tc>
        <w:tc>
          <w:tcPr>
            <w:tcW w:w="8968" w:type="dxa"/>
            <w:vAlign w:val="center"/>
          </w:tcPr>
          <w:p>
            <w:pPr>
              <w:widowControl/>
              <w:rPr>
                <w:rFonts w:ascii="宋体" w:hAnsi="宋体"/>
                <w:bCs/>
                <w:color w:val="000000"/>
                <w:szCs w:val="21"/>
                <w:highlight w:val="yellow"/>
              </w:rPr>
            </w:pPr>
            <w:r>
              <w:rPr>
                <w:rFonts w:hint="eastAsia" w:ascii="宋体" w:hAnsi="宋体" w:cs="宋体"/>
                <w:b/>
                <w:color w:val="000000"/>
                <w:kern w:val="0"/>
                <w:sz w:val="28"/>
                <w:szCs w:val="28"/>
                <w:lang w:val="en-US" w:eastAsia="zh-CN"/>
              </w:rPr>
              <w:t>院前</w:t>
            </w:r>
            <w:r>
              <w:rPr>
                <w:rFonts w:hint="eastAsia" w:ascii="宋体" w:hAnsi="宋体" w:cs="宋体"/>
                <w:b/>
                <w:color w:val="000000"/>
                <w:kern w:val="0"/>
                <w:sz w:val="28"/>
                <w:szCs w:val="28"/>
              </w:rPr>
              <w:t>移动工作站-院前护理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院前护士给患者进行生命体征测量（系统实现自动分级），记录医生下达的医嘱（急救措施，药物使用）。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.2</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rPr>
              <w:t>支持患者信息的修改，身份证拍照识别病人信息。</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支持院前信息的操作和录入，并自动记录时间。</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lang w:val="en-US" w:eastAsia="zh-CN"/>
              </w:rPr>
              <w:t>8</w:t>
            </w:r>
            <w:r>
              <w:rPr>
                <w:rFonts w:ascii="宋体" w:hAnsi="宋体" w:cs="宋体"/>
                <w:color w:val="000000"/>
                <w:kern w:val="0"/>
                <w:szCs w:val="21"/>
              </w:rPr>
              <w:t>.4</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支持语音录音记录。</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default"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9</w:t>
            </w:r>
          </w:p>
        </w:tc>
        <w:tc>
          <w:tcPr>
            <w:tcW w:w="8968" w:type="dxa"/>
            <w:vAlign w:val="center"/>
          </w:tcPr>
          <w:p>
            <w:pPr>
              <w:widowControl/>
              <w:rPr>
                <w:rFonts w:ascii="宋体" w:hAnsi="宋体"/>
                <w:bCs/>
                <w:color w:val="000000"/>
                <w:szCs w:val="21"/>
                <w:highlight w:val="yellow"/>
              </w:rPr>
            </w:pPr>
            <w:r>
              <w:rPr>
                <w:rFonts w:hint="eastAsia" w:ascii="宋体" w:hAnsi="宋体" w:cs="宋体"/>
                <w:b/>
                <w:color w:val="000000"/>
                <w:kern w:val="0"/>
                <w:sz w:val="28"/>
                <w:szCs w:val="28"/>
                <w:lang w:val="en-US" w:eastAsia="zh-CN"/>
              </w:rPr>
              <w:t>院前</w:t>
            </w:r>
            <w:r>
              <w:rPr>
                <w:rFonts w:hint="eastAsia" w:ascii="宋体" w:hAnsi="宋体" w:cs="宋体"/>
                <w:b/>
                <w:color w:val="000000"/>
                <w:kern w:val="0"/>
                <w:sz w:val="28"/>
                <w:szCs w:val="28"/>
              </w:rPr>
              <w:t>移动工作站-院前医生</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rPr>
              <w:t>.1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支持院前急救电子病历，包括患者信息、患者病史、体格检查、诊断与处理、救治结果、全方位记录患者院前救治情况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rPr>
              <w:t>.2</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rPr>
              <w:t>系统支持对疑似各类专科病人的评估，录入便捷、评估快速</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支持GCS，NRS等常见评分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rPr>
              <w:t>.</w:t>
            </w:r>
            <w:r>
              <w:rPr>
                <w:rFonts w:ascii="宋体" w:hAnsi="宋体" w:cs="宋体"/>
                <w:color w:val="000000"/>
                <w:kern w:val="0"/>
                <w:szCs w:val="21"/>
              </w:rPr>
              <w:t>4</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支持患者院前病历（主诉、现病史、体格检查，用药）等语音录入和播放</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rPr>
              <w:t>.5</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支持患者转归信息的快速录入</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8968" w:type="dxa"/>
            <w:vAlign w:val="center"/>
          </w:tcPr>
          <w:p>
            <w:pPr>
              <w:widowControl/>
              <w:rPr>
                <w:rFonts w:ascii="宋体" w:hAnsi="宋体"/>
                <w:bCs/>
                <w:color w:val="000000"/>
                <w:szCs w:val="21"/>
                <w:highlight w:val="yellow"/>
              </w:rPr>
            </w:pPr>
            <w:r>
              <w:rPr>
                <w:rFonts w:hint="eastAsia" w:ascii="宋体" w:hAnsi="宋体" w:cs="宋体"/>
                <w:b/>
                <w:color w:val="000000"/>
                <w:kern w:val="0"/>
                <w:sz w:val="28"/>
                <w:szCs w:val="28"/>
                <w:lang w:val="en-US" w:eastAsia="zh-CN"/>
              </w:rPr>
              <w:t>院前</w:t>
            </w:r>
            <w:r>
              <w:rPr>
                <w:rFonts w:hint="eastAsia" w:ascii="宋体" w:hAnsi="宋体" w:cs="宋体"/>
                <w:b/>
                <w:color w:val="000000"/>
                <w:kern w:val="0"/>
                <w:sz w:val="28"/>
                <w:szCs w:val="28"/>
              </w:rPr>
              <w:t>移动工作站-告知信息发布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0</w:t>
            </w:r>
            <w:r>
              <w:rPr>
                <w:rFonts w:hint="eastAsia" w:ascii="宋体" w:hAnsi="宋体" w:cs="宋体"/>
                <w:color w:val="000000"/>
                <w:kern w:val="0"/>
                <w:szCs w:val="21"/>
              </w:rPr>
              <w:t>.1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支持群体事件标注（群体事件类型、人数、地理位置等）</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0</w:t>
            </w:r>
            <w:r>
              <w:rPr>
                <w:rFonts w:hint="eastAsia" w:ascii="宋体" w:hAnsi="宋体" w:cs="宋体"/>
                <w:color w:val="000000"/>
                <w:kern w:val="0"/>
                <w:szCs w:val="21"/>
              </w:rPr>
              <w:t>.2</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rPr>
              <w:t>支持院内资源提前申请（CT，输血等）</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0</w:t>
            </w:r>
            <w:r>
              <w:rPr>
                <w:rFonts w:hint="eastAsia" w:ascii="宋体" w:hAnsi="宋体" w:cs="宋体"/>
                <w:color w:val="000000"/>
                <w:kern w:val="0"/>
                <w:szCs w:val="21"/>
              </w:rPr>
              <w:t>.3</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支持专家求助信息发布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eastAsia" w:ascii="宋体" w:hAnsi="宋体" w:eastAsia="宋体" w:cs="宋体"/>
                <w:color w:val="000000"/>
                <w:kern w:val="0"/>
                <w:szCs w:val="21"/>
                <w:lang w:eastAsia="zh-CN"/>
              </w:rPr>
            </w:pPr>
            <w:r>
              <w:rPr>
                <w:rFonts w:ascii="宋体" w:hAnsi="宋体" w:cs="宋体"/>
                <w:color w:val="000000"/>
                <w:kern w:val="0"/>
                <w:szCs w:val="21"/>
              </w:rPr>
              <w:t>1.</w:t>
            </w:r>
            <w:r>
              <w:rPr>
                <w:rFonts w:hint="eastAsia" w:ascii="宋体" w:hAnsi="宋体" w:cs="宋体"/>
                <w:color w:val="000000"/>
                <w:kern w:val="0"/>
                <w:szCs w:val="21"/>
              </w:rPr>
              <w:t>1</w:t>
            </w:r>
            <w:r>
              <w:rPr>
                <w:rFonts w:hint="eastAsia" w:ascii="宋体" w:hAnsi="宋体" w:cs="宋体"/>
                <w:color w:val="000000"/>
                <w:kern w:val="0"/>
                <w:szCs w:val="21"/>
                <w:lang w:val="en-US" w:eastAsia="zh-CN"/>
              </w:rPr>
              <w:t>1</w:t>
            </w:r>
          </w:p>
        </w:tc>
        <w:tc>
          <w:tcPr>
            <w:tcW w:w="8968" w:type="dxa"/>
            <w:vAlign w:val="center"/>
          </w:tcPr>
          <w:p>
            <w:pPr>
              <w:widowControl/>
              <w:rPr>
                <w:rFonts w:ascii="宋体" w:hAnsi="宋体"/>
                <w:bCs/>
                <w:color w:val="000000"/>
                <w:szCs w:val="21"/>
                <w:highlight w:val="yellow"/>
              </w:rPr>
            </w:pPr>
            <w:r>
              <w:rPr>
                <w:rFonts w:hint="eastAsia" w:ascii="宋体" w:hAnsi="宋体" w:cs="宋体"/>
                <w:b/>
                <w:color w:val="000000"/>
                <w:kern w:val="0"/>
                <w:sz w:val="28"/>
                <w:szCs w:val="28"/>
                <w:lang w:val="en-US" w:eastAsia="zh-CN"/>
              </w:rPr>
              <w:t>院前</w:t>
            </w:r>
            <w:r>
              <w:rPr>
                <w:rFonts w:hint="eastAsia" w:ascii="宋体" w:hAnsi="宋体" w:cs="宋体"/>
                <w:b/>
                <w:color w:val="000000"/>
                <w:kern w:val="0"/>
                <w:sz w:val="28"/>
                <w:szCs w:val="28"/>
              </w:rPr>
              <w:t>移动工作站-远程专家会诊</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1</w:t>
            </w:r>
            <w:r>
              <w:rPr>
                <w:rFonts w:hint="eastAsia" w:ascii="宋体" w:hAnsi="宋体" w:cs="宋体"/>
                <w:color w:val="000000"/>
                <w:kern w:val="0"/>
                <w:szCs w:val="21"/>
              </w:rPr>
              <w:t>.1</w:t>
            </w:r>
          </w:p>
        </w:tc>
        <w:tc>
          <w:tcPr>
            <w:tcW w:w="8968" w:type="dxa"/>
            <w:vAlign w:val="center"/>
          </w:tcPr>
          <w:p>
            <w:pPr>
              <w:spacing w:line="360" w:lineRule="auto"/>
              <w:rPr>
                <w:rFonts w:hint="eastAsia" w:ascii="宋体" w:hAnsi="宋体" w:eastAsia="宋体"/>
                <w:bCs/>
                <w:color w:val="000000"/>
                <w:szCs w:val="21"/>
                <w:highlight w:val="yellow"/>
                <w:lang w:eastAsia="zh-CN"/>
              </w:rPr>
            </w:pPr>
            <w:r>
              <w:rPr>
                <w:rFonts w:hint="eastAsia" w:ascii="宋体" w:hAnsi="宋体" w:cs="宋体"/>
                <w:sz w:val="24"/>
                <w:szCs w:val="24"/>
              </w:rPr>
              <w:t>▲</w:t>
            </w:r>
            <w:r>
              <w:rPr>
                <w:rFonts w:hint="eastAsia" w:ascii="宋体" w:hAnsi="宋体" w:eastAsia="宋体" w:cs="宋体"/>
                <w:sz w:val="24"/>
                <w:szCs w:val="24"/>
              </w:rPr>
              <w:t>院前急救医务人员在需要院内专家帮助时，启动一键求助功能，支持院内急诊科专家可以进行实时视频指导，实现院内院外在线会诊。</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1.</w:t>
            </w:r>
            <w:r>
              <w:rPr>
                <w:rFonts w:hint="eastAsia" w:ascii="宋体" w:hAnsi="宋体" w:cs="宋体"/>
                <w:color w:val="000000"/>
                <w:kern w:val="0"/>
                <w:szCs w:val="21"/>
                <w:lang w:val="en-US" w:eastAsia="zh-CN"/>
              </w:rPr>
              <w:t>12</w:t>
            </w:r>
          </w:p>
        </w:tc>
        <w:tc>
          <w:tcPr>
            <w:tcW w:w="8968" w:type="dxa"/>
            <w:vAlign w:val="center"/>
          </w:tcPr>
          <w:p>
            <w:pPr>
              <w:widowControl/>
              <w:rPr>
                <w:rFonts w:hint="eastAsia" w:ascii="宋体" w:hAnsi="宋体" w:eastAsia="宋体" w:cs="宋体"/>
                <w:kern w:val="0"/>
                <w:sz w:val="24"/>
                <w:szCs w:val="24"/>
                <w:lang w:val="en-US" w:eastAsia="zh-CN" w:bidi="ar-SA"/>
              </w:rPr>
            </w:pPr>
            <w:r>
              <w:rPr>
                <w:rFonts w:hint="eastAsia" w:ascii="宋体" w:hAnsi="宋体" w:cs="宋体"/>
                <w:b/>
                <w:kern w:val="0"/>
                <w:sz w:val="28"/>
                <w:szCs w:val="28"/>
              </w:rPr>
              <w:t>院前移动工作站-领导首页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hint="eastAsia" w:ascii="宋体" w:hAnsi="宋体" w:eastAsia="宋体" w:cs="宋体"/>
                <w:kern w:val="0"/>
                <w:sz w:val="21"/>
                <w:szCs w:val="21"/>
                <w:lang w:val="en-US" w:eastAsia="zh-CN" w:bidi="ar-SA"/>
              </w:rPr>
            </w:pPr>
            <w:r>
              <w:rPr>
                <w:rFonts w:hint="eastAsia" w:ascii="宋体" w:hAnsi="宋体" w:cs="宋体"/>
                <w:kern w:val="0"/>
                <w:szCs w:val="21"/>
              </w:rPr>
              <w:t>1.</w:t>
            </w:r>
            <w:r>
              <w:rPr>
                <w:rFonts w:hint="eastAsia" w:ascii="宋体" w:hAnsi="宋体" w:cs="宋体"/>
                <w:kern w:val="0"/>
                <w:szCs w:val="21"/>
                <w:lang w:val="en-US" w:eastAsia="zh-CN"/>
              </w:rPr>
              <w:t>12</w:t>
            </w:r>
            <w:r>
              <w:rPr>
                <w:rFonts w:hint="eastAsia" w:ascii="宋体" w:hAnsi="宋体" w:cs="宋体"/>
                <w:kern w:val="0"/>
                <w:szCs w:val="21"/>
              </w:rPr>
              <w:t>.1</w:t>
            </w:r>
          </w:p>
        </w:tc>
        <w:tc>
          <w:tcPr>
            <w:tcW w:w="8968" w:type="dxa"/>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为管理人员在移动端提供急救中心情况总览，主要包括任务和车辆总览、出车情况统计、急救任务时间统计表、病种分类统计表。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272" w:type="dxa"/>
            <w:vAlign w:val="center"/>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13</w:t>
            </w:r>
          </w:p>
        </w:tc>
        <w:tc>
          <w:tcPr>
            <w:tcW w:w="8968" w:type="dxa"/>
            <w:vAlign w:val="center"/>
          </w:tcPr>
          <w:p>
            <w:pPr>
              <w:widowControl/>
              <w:rPr>
                <w:rFonts w:ascii="宋体" w:hAnsi="宋体" w:cs="宋体"/>
                <w:sz w:val="24"/>
                <w:szCs w:val="24"/>
              </w:rPr>
            </w:pPr>
            <w:r>
              <w:rPr>
                <w:rFonts w:hint="eastAsia" w:ascii="宋体" w:hAnsi="宋体" w:cs="宋体"/>
                <w:b/>
                <w:color w:val="000000"/>
                <w:kern w:val="0"/>
                <w:sz w:val="28"/>
                <w:szCs w:val="28"/>
                <w:lang w:val="en-US" w:eastAsia="zh-CN"/>
              </w:rPr>
              <w:t>急</w:t>
            </w:r>
            <w:r>
              <w:rPr>
                <w:rFonts w:hint="eastAsia" w:ascii="宋体" w:hAnsi="宋体" w:cs="宋体"/>
                <w:b/>
                <w:color w:val="000000"/>
                <w:kern w:val="0"/>
                <w:sz w:val="28"/>
                <w:szCs w:val="28"/>
              </w:rPr>
              <w:t>救车载医疗设备接入</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1.13.1</w:t>
            </w:r>
          </w:p>
        </w:tc>
        <w:tc>
          <w:tcPr>
            <w:tcW w:w="8968" w:type="dxa"/>
            <w:vAlign w:val="center"/>
          </w:tcPr>
          <w:p>
            <w:pPr>
              <w:numPr>
                <w:ilvl w:val="0"/>
                <w:numId w:val="0"/>
              </w:numPr>
              <w:spacing w:line="360" w:lineRule="auto"/>
              <w:ind w:leftChars="0"/>
              <w:rPr>
                <w:rFonts w:ascii="宋体" w:hAnsi="宋体" w:cs="宋体"/>
                <w:sz w:val="24"/>
                <w:szCs w:val="24"/>
              </w:rPr>
            </w:pPr>
            <w:r>
              <w:rPr>
                <w:rFonts w:hint="eastAsia" w:ascii="宋体" w:hAnsi="宋体" w:eastAsia="宋体" w:cs="宋体"/>
                <w:sz w:val="24"/>
                <w:szCs w:val="24"/>
              </w:rPr>
              <w:t>支持车载医疗设备接入救护车内局域网，设备包含（除颤仪、生命监护仪等）</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1272" w:type="dxa"/>
            <w:vAlign w:val="center"/>
          </w:tcPr>
          <w:p>
            <w:pPr>
              <w:widowControl/>
              <w:rPr>
                <w:rFonts w:ascii="宋体" w:hAnsi="宋体" w:cs="宋体"/>
                <w:color w:val="000000"/>
                <w:kern w:val="0"/>
                <w:szCs w:val="21"/>
              </w:rPr>
            </w:pPr>
            <w:r>
              <w:rPr>
                <w:rFonts w:hint="eastAsia" w:ascii="宋体" w:hAnsi="宋体" w:cs="宋体"/>
                <w:color w:val="000000"/>
                <w:kern w:val="0"/>
                <w:szCs w:val="21"/>
              </w:rPr>
              <w:t>1.13.2</w:t>
            </w:r>
          </w:p>
        </w:tc>
        <w:tc>
          <w:tcPr>
            <w:tcW w:w="8968" w:type="dxa"/>
            <w:vAlign w:val="center"/>
          </w:tcPr>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eastAsia="宋体" w:cs="宋体"/>
                <w:sz w:val="24"/>
                <w:szCs w:val="24"/>
              </w:rPr>
              <w:t>支持除颤仪、生命监护仪等设备数据采集，采集信息包含（血压、心率、血氧、呼吸），并且将数据传送至院内。</w:t>
            </w:r>
            <w:r>
              <w:rPr>
                <w:rFonts w:hint="eastAsia" w:ascii="宋体" w:hAnsi="宋体" w:cs="宋体"/>
                <w:sz w:val="24"/>
                <w:szCs w:val="24"/>
                <w:lang w:eastAsia="zh-CN"/>
              </w:rPr>
              <w:t>（</w:t>
            </w:r>
            <w:r>
              <w:rPr>
                <w:rFonts w:hint="eastAsia" w:ascii="宋体" w:hAnsi="宋体" w:cs="宋体"/>
                <w:sz w:val="24"/>
                <w:szCs w:val="24"/>
                <w:lang w:val="en-US" w:eastAsia="zh-CN"/>
              </w:rPr>
              <w:t>功能截图证明</w:t>
            </w:r>
            <w:r>
              <w:rPr>
                <w:rFonts w:hint="eastAsia" w:ascii="宋体" w:hAnsi="宋体" w:cs="宋体"/>
                <w:sz w:val="24"/>
                <w:szCs w:val="24"/>
                <w:lang w:eastAsia="zh-CN"/>
              </w:rPr>
              <w:t>）</w:t>
            </w:r>
          </w:p>
        </w:tc>
      </w:tr>
    </w:tbl>
    <w:p>
      <w:pPr>
        <w:pStyle w:val="33"/>
        <w:rPr>
          <w:rFonts w:hint="eastAsia"/>
        </w:rPr>
      </w:pPr>
    </w:p>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bookmarkStart w:id="10" w:name="_Toc5712781"/>
      <w:bookmarkStart w:id="11" w:name="_Toc520212110"/>
      <w:bookmarkStart w:id="12" w:name="_Toc516213186"/>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pStyle w:val="4"/>
        <w:bidi w:val="0"/>
        <w:rPr>
          <w:rFonts w:hint="eastAsia"/>
          <w:sz w:val="32"/>
          <w:szCs w:val="32"/>
        </w:rPr>
      </w:pPr>
    </w:p>
    <w:p>
      <w:pPr>
        <w:rPr>
          <w:rFonts w:hint="eastAsia"/>
          <w:sz w:val="32"/>
          <w:szCs w:val="32"/>
        </w:rPr>
      </w:pPr>
    </w:p>
    <w:p>
      <w:pPr>
        <w:pStyle w:val="2"/>
        <w:rPr>
          <w:rFonts w:hint="eastAsia"/>
        </w:rPr>
      </w:pPr>
    </w:p>
    <w:p>
      <w:pPr>
        <w:pStyle w:val="4"/>
        <w:bidi w:val="0"/>
        <w:rPr>
          <w:rFonts w:hint="eastAsia"/>
          <w:sz w:val="32"/>
          <w:szCs w:val="32"/>
        </w:rPr>
      </w:pPr>
    </w:p>
    <w:p>
      <w:pPr>
        <w:pStyle w:val="4"/>
        <w:bidi w:val="0"/>
        <w:rPr>
          <w:rFonts w:hint="eastAsia"/>
          <w:sz w:val="32"/>
          <w:szCs w:val="32"/>
        </w:rPr>
      </w:pPr>
      <w:r>
        <w:rPr>
          <w:rFonts w:hint="eastAsia"/>
          <w:sz w:val="32"/>
          <w:szCs w:val="32"/>
        </w:rPr>
        <w:t>验收要求</w:t>
      </w:r>
      <w:bookmarkEnd w:id="10"/>
      <w:bookmarkEnd w:id="11"/>
      <w:bookmarkEnd w:id="12"/>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zh-CN"/>
        </w:rPr>
        <w:t>、验收时间：业务系统安装、调试完毕，并稳定运行一</w:t>
      </w:r>
      <w:r>
        <w:rPr>
          <w:rFonts w:hint="eastAsia" w:ascii="宋体" w:hAnsi="宋体" w:cs="宋体"/>
          <w:sz w:val="24"/>
          <w:szCs w:val="24"/>
          <w:lang w:val="en-US" w:eastAsia="zh-CN"/>
        </w:rPr>
        <w:t>周</w:t>
      </w:r>
      <w:r>
        <w:rPr>
          <w:rFonts w:hint="eastAsia" w:ascii="宋体" w:hAnsi="宋体" w:eastAsia="宋体" w:cs="宋体"/>
          <w:sz w:val="24"/>
          <w:szCs w:val="24"/>
          <w:lang w:val="zh-CN"/>
        </w:rPr>
        <w:t>后，由中标方提出验收申请，招标方应于中标方提出验收申请后</w:t>
      </w:r>
      <w:r>
        <w:rPr>
          <w:rFonts w:hint="eastAsia" w:ascii="宋体" w:hAnsi="宋体" w:cs="宋体"/>
          <w:sz w:val="24"/>
          <w:szCs w:val="24"/>
          <w:lang w:val="en-US" w:eastAsia="zh-CN"/>
        </w:rPr>
        <w:t>7</w:t>
      </w:r>
      <w:r>
        <w:rPr>
          <w:rFonts w:hint="eastAsia" w:ascii="宋体" w:hAnsi="宋体" w:eastAsia="宋体" w:cs="宋体"/>
          <w:sz w:val="24"/>
          <w:szCs w:val="24"/>
          <w:lang w:val="zh-CN"/>
        </w:rPr>
        <w:t>个工作日内组织验收。招标方验收合格后应当出具验收报告；</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3、验收内容：按照招标文件、响应文件、合同、相关承诺和相关补充文件的内容进行。</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4、验收标准：</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①项目服务所有技术性能规格及参数：应符合招标文件和中标方投标文件所要求的技术标准及服务标准</w:t>
      </w:r>
      <w:r>
        <w:rPr>
          <w:rFonts w:hint="eastAsia" w:ascii="宋体" w:hAnsi="宋体" w:cs="宋体"/>
          <w:sz w:val="24"/>
          <w:szCs w:val="24"/>
          <w:lang w:val="zh-CN"/>
        </w:rPr>
        <w:t>，</w:t>
      </w:r>
      <w:r>
        <w:rPr>
          <w:rFonts w:hint="eastAsia" w:ascii="宋体" w:hAnsi="宋体" w:cs="宋体"/>
          <w:sz w:val="24"/>
          <w:szCs w:val="24"/>
          <w:lang w:val="en-US" w:eastAsia="zh-CN"/>
        </w:rPr>
        <w:t>满足国家政策的技术功能要求，满足带</w:t>
      </w:r>
      <w:r>
        <w:rPr>
          <w:rFonts w:hint="eastAsia" w:ascii="宋体" w:hAnsi="宋体" w:eastAsia="宋体" w:cs="宋体"/>
          <w:sz w:val="24"/>
          <w:szCs w:val="24"/>
        </w:rPr>
        <w:t>▲</w:t>
      </w:r>
      <w:r>
        <w:rPr>
          <w:rFonts w:hint="eastAsia" w:ascii="宋体" w:hAnsi="宋体" w:eastAsia="宋体" w:cs="宋体"/>
          <w:sz w:val="24"/>
          <w:szCs w:val="24"/>
          <w:lang w:val="en-US" w:eastAsia="zh-CN"/>
        </w:rPr>
        <w:t>号技术指标要求</w:t>
      </w:r>
      <w:r>
        <w:rPr>
          <w:rFonts w:hint="eastAsia" w:ascii="宋体" w:hAnsi="宋体" w:eastAsia="宋体" w:cs="宋体"/>
          <w:sz w:val="24"/>
          <w:szCs w:val="24"/>
          <w:lang w:val="zh-CN"/>
        </w:rPr>
        <w:t>。</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②验收工作由招标方和中标方共同进行。在验收时，中标方应向招标方提供货物的相关资料，按招标方提出的方式验收。</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5、验收文件的签署：由中标方撰写</w:t>
      </w:r>
      <w:r>
        <w:rPr>
          <w:rFonts w:hint="eastAsia" w:ascii="宋体" w:hAnsi="宋体" w:eastAsia="宋体" w:cs="宋体"/>
          <w:sz w:val="24"/>
          <w:szCs w:val="24"/>
          <w:lang w:val="en-US" w:eastAsia="zh-CN"/>
        </w:rPr>
        <w:t>验收</w:t>
      </w:r>
      <w:r>
        <w:rPr>
          <w:rFonts w:hint="eastAsia" w:ascii="宋体" w:hAnsi="宋体" w:eastAsia="宋体" w:cs="宋体"/>
          <w:sz w:val="24"/>
          <w:szCs w:val="24"/>
          <w:lang w:val="zh-CN"/>
        </w:rPr>
        <w:t>完成报告，由采购单位委派的负责人在审核后签署。</w:t>
      </w:r>
    </w:p>
    <w:p>
      <w:pPr>
        <w:pStyle w:val="4"/>
        <w:bidi w:val="0"/>
        <w:rPr>
          <w:rFonts w:hint="eastAsia"/>
          <w:sz w:val="32"/>
          <w:szCs w:val="32"/>
        </w:rPr>
      </w:pPr>
      <w:bookmarkStart w:id="13" w:name="_Toc511313966"/>
      <w:bookmarkStart w:id="14" w:name="_Toc5712782"/>
      <w:bookmarkStart w:id="15" w:name="_Toc511313853"/>
      <w:bookmarkStart w:id="16" w:name="_Toc449000765"/>
      <w:bookmarkStart w:id="17" w:name="_Toc490660177"/>
      <w:bookmarkStart w:id="18" w:name="_Toc520212111"/>
    </w:p>
    <w:p>
      <w:pPr>
        <w:pStyle w:val="4"/>
        <w:bidi w:val="0"/>
        <w:rPr>
          <w:rFonts w:hint="eastAsia"/>
          <w:sz w:val="32"/>
          <w:szCs w:val="32"/>
        </w:rPr>
      </w:pPr>
    </w:p>
    <w:p>
      <w:pPr>
        <w:pStyle w:val="4"/>
        <w:bidi w:val="0"/>
        <w:rPr>
          <w:rFonts w:hint="eastAsia"/>
          <w:sz w:val="32"/>
          <w:szCs w:val="32"/>
          <w:lang w:val="zh-CN"/>
        </w:rPr>
      </w:pPr>
      <w:r>
        <w:rPr>
          <w:rFonts w:hint="eastAsia"/>
          <w:sz w:val="32"/>
          <w:szCs w:val="32"/>
        </w:rPr>
        <w:t>培训要求</w:t>
      </w:r>
      <w:bookmarkEnd w:id="13"/>
      <w:bookmarkEnd w:id="14"/>
      <w:bookmarkEnd w:id="15"/>
      <w:bookmarkEnd w:id="16"/>
      <w:bookmarkEnd w:id="17"/>
      <w:bookmarkEnd w:id="18"/>
    </w:p>
    <w:p>
      <w:pPr>
        <w:autoSpaceDE w:val="0"/>
        <w:autoSpaceDN w:val="0"/>
        <w:adjustRightInd w:val="0"/>
        <w:spacing w:line="380" w:lineRule="exact"/>
        <w:ind w:firstLine="472"/>
        <w:rPr>
          <w:rFonts w:hint="eastAsia" w:ascii="宋体" w:hAnsi="宋体" w:eastAsia="宋体" w:cs="宋体"/>
          <w:sz w:val="24"/>
          <w:szCs w:val="24"/>
          <w:lang w:val="zh-CN"/>
        </w:rPr>
      </w:pPr>
      <w:bookmarkStart w:id="19" w:name="_Toc511313967"/>
      <w:bookmarkStart w:id="20" w:name="_Toc449000766"/>
      <w:bookmarkStart w:id="21" w:name="_Toc5712783"/>
      <w:bookmarkStart w:id="22" w:name="_Toc490660178"/>
      <w:bookmarkStart w:id="23" w:name="_Toc520212112"/>
      <w:bookmarkStart w:id="24" w:name="_Toc511313854"/>
      <w:r>
        <w:rPr>
          <w:rFonts w:hint="eastAsia" w:ascii="宋体" w:hAnsi="宋体" w:eastAsia="宋体" w:cs="宋体"/>
          <w:sz w:val="24"/>
          <w:szCs w:val="24"/>
          <w:lang w:val="zh-CN"/>
        </w:rPr>
        <w:t>培训是项目顺利进行的保证。在项目的不同阶段要求提供相关的培训课程，面向系统开发和管理员、各级领导、系统操作人员等不同群体提供系统化、定制化和有针对性的培训。</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(1)培训内容要求分为三类，分别为系统开发和管理培训、运行与维护管理培训和用户使用培训。通过培训应使各类用户能独立进行相应应用与管理、故障处理、日常维护等工作，确保系统能正常安全运行；</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(2) 供应商应在投标文件中提出培训计划，计划包括培训项目、人数、地点等详细内容；</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3</w:t>
      </w:r>
      <w:r>
        <w:rPr>
          <w:rFonts w:hint="eastAsia" w:ascii="宋体" w:hAnsi="宋体" w:eastAsia="宋体" w:cs="宋体"/>
          <w:sz w:val="24"/>
          <w:szCs w:val="24"/>
          <w:lang w:val="zh-CN"/>
        </w:rPr>
        <w:t>)其中要求对系统管理员进行充分的技术培训，保证管理人员掌握必要的管理工具，通晓管理规范；</w:t>
      </w:r>
    </w:p>
    <w:p>
      <w:pPr>
        <w:pStyle w:val="4"/>
        <w:bidi w:val="0"/>
        <w:rPr>
          <w:rFonts w:hint="eastAsia"/>
          <w:sz w:val="32"/>
          <w:szCs w:val="32"/>
          <w:lang w:val="zh-CN"/>
        </w:rPr>
      </w:pPr>
    </w:p>
    <w:p>
      <w:pPr>
        <w:pStyle w:val="4"/>
        <w:bidi w:val="0"/>
        <w:rPr>
          <w:rFonts w:hint="eastAsia" w:ascii="宋体" w:hAnsi="宋体" w:eastAsia="宋体" w:cs="宋体"/>
          <w:sz w:val="24"/>
          <w:szCs w:val="24"/>
          <w:lang w:val="zh-CN"/>
        </w:rPr>
      </w:pPr>
      <w:r>
        <w:rPr>
          <w:rFonts w:hint="eastAsia"/>
          <w:sz w:val="32"/>
          <w:szCs w:val="32"/>
          <w:lang w:val="zh-CN"/>
        </w:rPr>
        <w:t>售后服务要求</w:t>
      </w:r>
      <w:bookmarkEnd w:id="19"/>
      <w:bookmarkEnd w:id="20"/>
      <w:bookmarkEnd w:id="21"/>
      <w:bookmarkEnd w:id="22"/>
      <w:bookmarkEnd w:id="23"/>
      <w:bookmarkEnd w:id="24"/>
    </w:p>
    <w:p>
      <w:pPr>
        <w:autoSpaceDE w:val="0"/>
        <w:autoSpaceDN w:val="0"/>
        <w:adjustRightInd w:val="0"/>
        <w:spacing w:line="380" w:lineRule="exact"/>
        <w:ind w:firstLine="472"/>
        <w:rPr>
          <w:rFonts w:hint="default" w:ascii="宋体" w:hAnsi="宋体" w:eastAsia="宋体" w:cs="宋体"/>
          <w:sz w:val="24"/>
          <w:szCs w:val="24"/>
          <w:lang w:val="en-US" w:eastAsia="zh-CN"/>
        </w:rPr>
      </w:pPr>
      <w:r>
        <w:rPr>
          <w:rFonts w:hint="eastAsia" w:ascii="宋体" w:hAnsi="宋体" w:eastAsia="宋体" w:cs="宋体"/>
          <w:sz w:val="24"/>
          <w:szCs w:val="24"/>
          <w:lang w:val="zh-CN"/>
        </w:rPr>
        <w:t>所有信息系统应用软件产品的质保期为签订验收合格书之日起</w:t>
      </w:r>
      <w:r>
        <w:rPr>
          <w:rFonts w:hint="eastAsia" w:ascii="宋体" w:hAnsi="宋体" w:cs="宋体"/>
          <w:sz w:val="24"/>
          <w:szCs w:val="24"/>
          <w:lang w:val="en-US" w:eastAsia="zh-CN"/>
        </w:rPr>
        <w:t>至少</w:t>
      </w:r>
      <w:r>
        <w:rPr>
          <w:rFonts w:hint="eastAsia" w:ascii="宋体" w:hAnsi="宋体" w:eastAsia="宋体" w:cs="宋体"/>
          <w:sz w:val="24"/>
          <w:szCs w:val="24"/>
          <w:lang w:val="zh-CN"/>
        </w:rPr>
        <w:t>一年。</w:t>
      </w:r>
      <w:r>
        <w:rPr>
          <w:rFonts w:hint="eastAsia" w:ascii="宋体" w:hAnsi="宋体" w:cs="宋体"/>
          <w:sz w:val="24"/>
          <w:szCs w:val="24"/>
          <w:lang w:val="en-US" w:eastAsia="zh-CN"/>
        </w:rPr>
        <w:t>具体维保以与甲方的维保合同为准；</w:t>
      </w:r>
    </w:p>
    <w:p>
      <w:pPr>
        <w:autoSpaceDE w:val="0"/>
        <w:autoSpaceDN w:val="0"/>
        <w:adjustRightInd w:val="0"/>
        <w:spacing w:line="380" w:lineRule="exact"/>
        <w:ind w:firstLine="472"/>
        <w:rPr>
          <w:rFonts w:hint="eastAsia" w:ascii="宋体" w:hAnsi="宋体" w:eastAsia="宋体" w:cs="宋体"/>
          <w:sz w:val="24"/>
          <w:szCs w:val="24"/>
          <w:lang w:val="zh-CN"/>
        </w:rPr>
      </w:pPr>
      <w:r>
        <w:rPr>
          <w:rFonts w:hint="eastAsia" w:ascii="宋体" w:hAnsi="宋体" w:eastAsia="宋体" w:cs="宋体"/>
          <w:sz w:val="24"/>
          <w:szCs w:val="24"/>
          <w:lang w:val="zh-CN"/>
        </w:rPr>
        <w:t>响应时间：投标人在投标书中必须明确承诺售后服务响应时间，并不得低于以下标准：提供7×24电话或电子邮件服务，接到业主报修通知2小时内做出明确响应和安排，8小时内做出故障诊断报告。如需现场服务的，具有解决故障能力的工程师应在接到报修通知次日到达现场。</w:t>
      </w:r>
    </w:p>
    <w:p>
      <w:pPr>
        <w:pStyle w:val="5"/>
      </w:pPr>
    </w:p>
    <w:p/>
    <w:p>
      <w:pPr>
        <w:pStyle w:val="5"/>
      </w:pPr>
    </w:p>
    <w:p/>
    <w:p>
      <w:pPr>
        <w:pStyle w:val="5"/>
      </w:pPr>
    </w:p>
    <w:p/>
    <w:p>
      <w:pPr>
        <w:pStyle w:val="5"/>
      </w:pPr>
    </w:p>
    <w:p/>
    <w:p>
      <w:pPr>
        <w:pStyle w:val="5"/>
      </w:pPr>
    </w:p>
    <w:p/>
    <w:p>
      <w:pPr>
        <w:pStyle w:val="2"/>
      </w:pPr>
    </w:p>
    <w:p>
      <w:pPr>
        <w:pStyle w:val="3"/>
        <w:tabs>
          <w:tab w:val="left" w:pos="1607"/>
        </w:tabs>
        <w:ind w:right="19"/>
        <w:jc w:val="center"/>
      </w:pPr>
      <w:r>
        <w:t>第四部分</w:t>
      </w:r>
      <w:r>
        <w:tab/>
      </w:r>
      <w:r>
        <w:t>合同一般条款</w:t>
      </w:r>
    </w:p>
    <w:p>
      <w:pPr>
        <w:pStyle w:val="23"/>
        <w:numPr>
          <w:ilvl w:val="0"/>
          <w:numId w:val="13"/>
        </w:numPr>
        <w:tabs>
          <w:tab w:val="left" w:pos="636"/>
        </w:tabs>
        <w:spacing w:before="255"/>
        <w:ind w:hanging="375"/>
        <w:rPr>
          <w:sz w:val="24"/>
        </w:rPr>
      </w:pPr>
      <w:r>
        <w:rPr>
          <w:sz w:val="24"/>
        </w:rPr>
        <w:t>定义</w:t>
      </w:r>
    </w:p>
    <w:p>
      <w:pPr>
        <w:pStyle w:val="23"/>
        <w:numPr>
          <w:ilvl w:val="1"/>
          <w:numId w:val="13"/>
        </w:numPr>
        <w:tabs>
          <w:tab w:val="left" w:pos="716"/>
        </w:tabs>
        <w:spacing w:line="319" w:lineRule="auto"/>
        <w:ind w:right="274" w:firstLine="120"/>
        <w:jc w:val="both"/>
        <w:rPr>
          <w:sz w:val="24"/>
        </w:rPr>
      </w:pPr>
      <w:r>
        <w:rPr>
          <w:rFonts w:ascii="Arial" w:hAnsi="Arial" w:eastAsia="Arial"/>
          <w:sz w:val="24"/>
        </w:rPr>
        <w:t>“</w:t>
      </w:r>
      <w:r>
        <w:rPr>
          <w:sz w:val="24"/>
        </w:rPr>
        <w:t>合同</w:t>
      </w:r>
      <w:r>
        <w:rPr>
          <w:rFonts w:ascii="Arial" w:hAnsi="Arial" w:eastAsia="Arial"/>
          <w:sz w:val="24"/>
        </w:rPr>
        <w:t>”</w:t>
      </w:r>
      <w:r>
        <w:rPr>
          <w:sz w:val="24"/>
        </w:rPr>
        <w:t>系指买方和卖方</w:t>
      </w:r>
      <w:r>
        <w:rPr>
          <w:rFonts w:ascii="Arial" w:hAnsi="Arial" w:eastAsia="Arial"/>
          <w:sz w:val="24"/>
        </w:rPr>
        <w:t>(</w:t>
      </w:r>
      <w:r>
        <w:rPr>
          <w:sz w:val="24"/>
        </w:rPr>
        <w:t>以下简称合同双方</w:t>
      </w:r>
      <w:r>
        <w:rPr>
          <w:rFonts w:ascii="Arial" w:hAnsi="Arial" w:eastAsia="Arial"/>
          <w:sz w:val="24"/>
        </w:rPr>
        <w:t>)</w:t>
      </w:r>
      <w:r>
        <w:rPr>
          <w:sz w:val="24"/>
        </w:rPr>
        <w:t>已达成的协议，即由双方签订的合同格式中的文件，包括所有的附件、附录和组成合同部分的所有其他文件。</w:t>
      </w:r>
    </w:p>
    <w:p>
      <w:pPr>
        <w:pStyle w:val="23"/>
        <w:numPr>
          <w:ilvl w:val="1"/>
          <w:numId w:val="13"/>
        </w:numPr>
        <w:tabs>
          <w:tab w:val="left" w:pos="716"/>
        </w:tabs>
        <w:spacing w:before="0"/>
        <w:ind w:left="715" w:hanging="335"/>
        <w:rPr>
          <w:sz w:val="24"/>
        </w:rPr>
      </w:pPr>
      <w:r>
        <w:rPr>
          <w:rFonts w:ascii="Arial" w:hAnsi="Arial" w:eastAsia="Arial"/>
          <w:sz w:val="24"/>
        </w:rPr>
        <w:t>“</w:t>
      </w:r>
      <w:r>
        <w:rPr>
          <w:sz w:val="24"/>
        </w:rPr>
        <w:t>合同价格</w:t>
      </w:r>
      <w:r>
        <w:rPr>
          <w:rFonts w:ascii="Arial" w:hAnsi="Arial" w:eastAsia="Arial"/>
          <w:sz w:val="24"/>
        </w:rPr>
        <w:t>”</w:t>
      </w:r>
      <w:r>
        <w:rPr>
          <w:sz w:val="24"/>
        </w:rPr>
        <w:t>系指根据合同规定，在卖方全面正确地履行合同义务时应支付给卖方的款项。</w:t>
      </w:r>
    </w:p>
    <w:p>
      <w:pPr>
        <w:pStyle w:val="23"/>
        <w:numPr>
          <w:ilvl w:val="1"/>
          <w:numId w:val="13"/>
        </w:numPr>
        <w:tabs>
          <w:tab w:val="left" w:pos="716"/>
        </w:tabs>
        <w:spacing w:line="319" w:lineRule="auto"/>
        <w:ind w:right="276" w:firstLine="120"/>
        <w:jc w:val="both"/>
        <w:rPr>
          <w:sz w:val="24"/>
        </w:rPr>
      </w:pPr>
      <w:r>
        <w:rPr>
          <w:rFonts w:ascii="Arial" w:hAnsi="Arial" w:eastAsia="Arial"/>
          <w:sz w:val="24"/>
        </w:rPr>
        <w:t>“</w:t>
      </w:r>
      <w:r>
        <w:rPr>
          <w:sz w:val="24"/>
        </w:rPr>
        <w:t>货物</w:t>
      </w:r>
      <w:r>
        <w:rPr>
          <w:rFonts w:ascii="Arial" w:hAnsi="Arial" w:eastAsia="Arial"/>
          <w:sz w:val="24"/>
        </w:rPr>
        <w:t>”</w:t>
      </w:r>
      <w:r>
        <w:rPr>
          <w:spacing w:val="-1"/>
          <w:sz w:val="24"/>
        </w:rPr>
        <w:t>系指卖方按合同要求，须向买方提供的一切设备、机械、仪器仪表、备品备件、软</w:t>
      </w:r>
      <w:r>
        <w:rPr>
          <w:sz w:val="24"/>
        </w:rPr>
        <w:t>件、工具、手册及其它技术资料和其它材料。</w:t>
      </w:r>
    </w:p>
    <w:p>
      <w:pPr>
        <w:pStyle w:val="23"/>
        <w:numPr>
          <w:ilvl w:val="1"/>
          <w:numId w:val="13"/>
        </w:numPr>
        <w:tabs>
          <w:tab w:val="left" w:pos="716"/>
        </w:tabs>
        <w:spacing w:before="0" w:line="319" w:lineRule="auto"/>
        <w:ind w:right="276" w:firstLine="120"/>
        <w:jc w:val="both"/>
        <w:rPr>
          <w:sz w:val="24"/>
        </w:rPr>
      </w:pPr>
      <w:r>
        <w:rPr>
          <w:rFonts w:ascii="Arial" w:hAnsi="Arial" w:eastAsia="Arial"/>
          <w:sz w:val="24"/>
        </w:rPr>
        <w:t>“</w:t>
      </w:r>
      <w:r>
        <w:rPr>
          <w:sz w:val="24"/>
        </w:rPr>
        <w:t>服务</w:t>
      </w:r>
      <w:r>
        <w:rPr>
          <w:rFonts w:ascii="Arial" w:hAnsi="Arial" w:eastAsia="Arial"/>
          <w:sz w:val="24"/>
        </w:rPr>
        <w:t>”</w:t>
      </w:r>
      <w:r>
        <w:rPr>
          <w:spacing w:val="-1"/>
          <w:sz w:val="24"/>
        </w:rPr>
        <w:t>系指合同规定卖方须承担的安装、调试、技术协助、校准、培训以及其他类似的义</w:t>
      </w:r>
      <w:r>
        <w:rPr>
          <w:sz w:val="24"/>
        </w:rPr>
        <w:t>务。</w:t>
      </w:r>
    </w:p>
    <w:p>
      <w:pPr>
        <w:pStyle w:val="23"/>
        <w:numPr>
          <w:ilvl w:val="1"/>
          <w:numId w:val="13"/>
        </w:numPr>
        <w:tabs>
          <w:tab w:val="left" w:pos="716"/>
        </w:tabs>
        <w:spacing w:before="1"/>
        <w:ind w:left="715" w:hanging="335"/>
        <w:rPr>
          <w:sz w:val="24"/>
        </w:rPr>
      </w:pPr>
      <w:r>
        <w:rPr>
          <w:rFonts w:ascii="Arial" w:hAnsi="Arial" w:eastAsia="Arial"/>
          <w:sz w:val="24"/>
        </w:rPr>
        <w:t>“</w:t>
      </w:r>
      <w:r>
        <w:rPr>
          <w:sz w:val="24"/>
        </w:rPr>
        <w:t>买方</w:t>
      </w:r>
      <w:r>
        <w:rPr>
          <w:rFonts w:ascii="Arial" w:hAnsi="Arial" w:eastAsia="Arial"/>
          <w:sz w:val="24"/>
        </w:rPr>
        <w:t>”</w:t>
      </w:r>
      <w:r>
        <w:rPr>
          <w:sz w:val="24"/>
        </w:rPr>
        <w:t>系指通过招标采购，接受合同货物及服务的企业或单位。</w:t>
      </w:r>
    </w:p>
    <w:p>
      <w:pPr>
        <w:pStyle w:val="23"/>
        <w:numPr>
          <w:ilvl w:val="1"/>
          <w:numId w:val="13"/>
        </w:numPr>
        <w:tabs>
          <w:tab w:val="left" w:pos="716"/>
        </w:tabs>
        <w:spacing w:before="103"/>
        <w:ind w:left="715" w:hanging="335"/>
        <w:rPr>
          <w:sz w:val="24"/>
        </w:rPr>
      </w:pPr>
      <w:r>
        <w:rPr>
          <w:rFonts w:ascii="Arial" w:hAnsi="Arial" w:eastAsia="Arial"/>
          <w:sz w:val="24"/>
        </w:rPr>
        <w:t>“</w:t>
      </w:r>
      <w:r>
        <w:rPr>
          <w:sz w:val="24"/>
        </w:rPr>
        <w:t>卖方</w:t>
      </w:r>
      <w:r>
        <w:rPr>
          <w:rFonts w:ascii="Arial" w:hAnsi="Arial" w:eastAsia="Arial"/>
          <w:sz w:val="24"/>
        </w:rPr>
        <w:t>”</w:t>
      </w:r>
      <w:r>
        <w:rPr>
          <w:sz w:val="24"/>
        </w:rPr>
        <w:t>系指中标后提供合同货物和服务的经济实体。</w:t>
      </w:r>
    </w:p>
    <w:p>
      <w:pPr>
        <w:pStyle w:val="23"/>
        <w:numPr>
          <w:ilvl w:val="1"/>
          <w:numId w:val="13"/>
        </w:numPr>
        <w:tabs>
          <w:tab w:val="left" w:pos="716"/>
        </w:tabs>
        <w:spacing w:before="100"/>
        <w:ind w:left="715" w:hanging="335"/>
        <w:rPr>
          <w:sz w:val="24"/>
        </w:rPr>
      </w:pPr>
      <w:r>
        <w:rPr>
          <w:rFonts w:ascii="Arial" w:hAnsi="Arial" w:eastAsia="Arial"/>
          <w:sz w:val="24"/>
        </w:rPr>
        <w:t>“</w:t>
      </w:r>
      <w:r>
        <w:rPr>
          <w:sz w:val="24"/>
        </w:rPr>
        <w:t>现场</w:t>
      </w:r>
      <w:r>
        <w:rPr>
          <w:rFonts w:ascii="Arial" w:hAnsi="Arial" w:eastAsia="Arial"/>
          <w:sz w:val="24"/>
        </w:rPr>
        <w:t>”</w:t>
      </w:r>
      <w:r>
        <w:rPr>
          <w:sz w:val="24"/>
        </w:rPr>
        <w:t>系指将要进行货物安装和运转的地点。</w:t>
      </w:r>
    </w:p>
    <w:p>
      <w:pPr>
        <w:pStyle w:val="23"/>
        <w:numPr>
          <w:ilvl w:val="1"/>
          <w:numId w:val="13"/>
        </w:numPr>
        <w:tabs>
          <w:tab w:val="left" w:pos="716"/>
        </w:tabs>
        <w:ind w:left="715" w:hanging="335"/>
        <w:rPr>
          <w:sz w:val="24"/>
        </w:rPr>
      </w:pPr>
      <w:r>
        <w:rPr>
          <w:rFonts w:ascii="Arial" w:hAnsi="Arial" w:eastAsia="Arial"/>
          <w:sz w:val="24"/>
        </w:rPr>
        <w:t>“</w:t>
      </w:r>
      <w:r>
        <w:rPr>
          <w:sz w:val="24"/>
        </w:rPr>
        <w:t>验收</w:t>
      </w:r>
      <w:r>
        <w:rPr>
          <w:rFonts w:ascii="Arial" w:hAnsi="Arial" w:eastAsia="Arial"/>
          <w:sz w:val="24"/>
        </w:rPr>
        <w:t>”</w:t>
      </w:r>
      <w:r>
        <w:rPr>
          <w:sz w:val="24"/>
        </w:rPr>
        <w:t>系指买方依据技术规格规定接受合同货物所依据的程序和条件。</w:t>
      </w:r>
    </w:p>
    <w:p>
      <w:pPr>
        <w:pStyle w:val="23"/>
        <w:numPr>
          <w:ilvl w:val="0"/>
          <w:numId w:val="13"/>
        </w:numPr>
        <w:tabs>
          <w:tab w:val="left" w:pos="636"/>
        </w:tabs>
        <w:spacing w:before="103"/>
        <w:ind w:hanging="375"/>
        <w:rPr>
          <w:sz w:val="24"/>
        </w:rPr>
      </w:pPr>
      <w:r>
        <w:rPr>
          <w:sz w:val="24"/>
        </w:rPr>
        <w:t>适用范围</w:t>
      </w:r>
    </w:p>
    <w:p>
      <w:pPr>
        <w:pStyle w:val="23"/>
        <w:numPr>
          <w:ilvl w:val="1"/>
          <w:numId w:val="13"/>
        </w:numPr>
        <w:tabs>
          <w:tab w:val="left" w:pos="777"/>
        </w:tabs>
        <w:spacing w:before="100"/>
        <w:ind w:left="776" w:hanging="396"/>
        <w:rPr>
          <w:sz w:val="24"/>
        </w:rPr>
      </w:pPr>
      <w:r>
        <w:rPr>
          <w:spacing w:val="-1"/>
          <w:sz w:val="24"/>
        </w:rPr>
        <w:t>本合同条款适用于本次招标活动。</w:t>
      </w:r>
    </w:p>
    <w:p>
      <w:pPr>
        <w:pStyle w:val="23"/>
        <w:numPr>
          <w:ilvl w:val="0"/>
          <w:numId w:val="13"/>
        </w:numPr>
        <w:tabs>
          <w:tab w:val="left" w:pos="636"/>
        </w:tabs>
        <w:spacing w:before="103"/>
        <w:ind w:hanging="375"/>
        <w:rPr>
          <w:sz w:val="24"/>
        </w:rPr>
      </w:pPr>
      <w:r>
        <w:rPr>
          <w:sz w:val="24"/>
        </w:rPr>
        <w:t>原产地</w:t>
      </w:r>
    </w:p>
    <w:p>
      <w:pPr>
        <w:pStyle w:val="23"/>
        <w:numPr>
          <w:ilvl w:val="1"/>
          <w:numId w:val="13"/>
        </w:numPr>
        <w:tabs>
          <w:tab w:val="left" w:pos="777"/>
        </w:tabs>
        <w:ind w:left="776" w:hanging="396"/>
        <w:rPr>
          <w:sz w:val="24"/>
        </w:rPr>
      </w:pPr>
      <w:r>
        <w:rPr>
          <w:spacing w:val="-1"/>
          <w:sz w:val="24"/>
        </w:rPr>
        <w:t>原产地系指货物的生产地，或提供辅助服务的来源地。</w:t>
      </w:r>
    </w:p>
    <w:p>
      <w:pPr>
        <w:pStyle w:val="23"/>
        <w:numPr>
          <w:ilvl w:val="0"/>
          <w:numId w:val="13"/>
        </w:numPr>
        <w:tabs>
          <w:tab w:val="left" w:pos="636"/>
        </w:tabs>
        <w:spacing w:before="100"/>
        <w:ind w:hanging="375"/>
        <w:rPr>
          <w:sz w:val="24"/>
        </w:rPr>
      </w:pPr>
      <w:r>
        <w:rPr>
          <w:sz w:val="24"/>
        </w:rPr>
        <w:t>技术规格和标准</w:t>
      </w:r>
    </w:p>
    <w:p>
      <w:pPr>
        <w:pStyle w:val="23"/>
        <w:numPr>
          <w:ilvl w:val="1"/>
          <w:numId w:val="13"/>
        </w:numPr>
        <w:tabs>
          <w:tab w:val="left" w:pos="837"/>
        </w:tabs>
        <w:spacing w:before="104" w:line="319" w:lineRule="auto"/>
        <w:ind w:right="280" w:firstLine="120"/>
        <w:jc w:val="both"/>
        <w:rPr>
          <w:sz w:val="24"/>
        </w:rPr>
      </w:pPr>
      <w:r>
        <w:rPr>
          <w:spacing w:val="-1"/>
          <w:sz w:val="24"/>
        </w:rPr>
        <w:t>本合同项下所供货物的技术规格应与本采购文件技术规格规定的标准相一致。若技术规</w:t>
      </w:r>
      <w:r>
        <w:rPr>
          <w:spacing w:val="8"/>
          <w:sz w:val="24"/>
        </w:rPr>
        <w:t>格中无相应规定，货物则应符合相应的国家标准或有关权威部门最新颁布的相应的正式标准。</w:t>
      </w:r>
    </w:p>
    <w:p>
      <w:pPr>
        <w:pStyle w:val="23"/>
        <w:numPr>
          <w:ilvl w:val="0"/>
          <w:numId w:val="13"/>
        </w:numPr>
        <w:tabs>
          <w:tab w:val="left" w:pos="636"/>
        </w:tabs>
        <w:spacing w:before="0" w:line="307" w:lineRule="exact"/>
        <w:ind w:hanging="375"/>
        <w:rPr>
          <w:sz w:val="24"/>
        </w:rPr>
      </w:pPr>
      <w:r>
        <w:rPr>
          <w:sz w:val="24"/>
        </w:rPr>
        <w:t>专利权</w:t>
      </w:r>
    </w:p>
    <w:p>
      <w:pPr>
        <w:pStyle w:val="23"/>
        <w:numPr>
          <w:ilvl w:val="1"/>
          <w:numId w:val="13"/>
        </w:numPr>
        <w:tabs>
          <w:tab w:val="left" w:pos="837"/>
        </w:tabs>
        <w:spacing w:before="102" w:line="319" w:lineRule="auto"/>
        <w:ind w:right="280" w:firstLine="120"/>
        <w:jc w:val="both"/>
        <w:rPr>
          <w:sz w:val="24"/>
        </w:rPr>
      </w:pPr>
      <w:r>
        <w:rPr>
          <w:spacing w:val="-1"/>
          <w:sz w:val="24"/>
        </w:rPr>
        <w:t>卖方须保障买方在使用其货物、服务及其任何部分不受到第三方关于侵犯专利权、商标</w:t>
      </w:r>
      <w:r>
        <w:rPr>
          <w:sz w:val="24"/>
        </w:rPr>
        <w:t>权或工业设计权的指控。任何第三方如果提出侵权指控，卖方须与第三方交涉并承担由此而引起的一切法律责任和费用。</w:t>
      </w:r>
    </w:p>
    <w:p>
      <w:pPr>
        <w:pStyle w:val="23"/>
        <w:numPr>
          <w:ilvl w:val="0"/>
          <w:numId w:val="13"/>
        </w:numPr>
        <w:tabs>
          <w:tab w:val="left" w:pos="636"/>
        </w:tabs>
        <w:spacing w:before="0" w:line="307" w:lineRule="exact"/>
        <w:ind w:hanging="375"/>
        <w:rPr>
          <w:sz w:val="24"/>
        </w:rPr>
      </w:pPr>
      <w:r>
        <w:rPr>
          <w:sz w:val="24"/>
        </w:rPr>
        <w:t>包装</w:t>
      </w:r>
    </w:p>
    <w:p>
      <w:pPr>
        <w:pStyle w:val="23"/>
        <w:numPr>
          <w:ilvl w:val="1"/>
          <w:numId w:val="13"/>
        </w:numPr>
        <w:tabs>
          <w:tab w:val="left" w:pos="837"/>
        </w:tabs>
        <w:spacing w:line="319" w:lineRule="auto"/>
        <w:ind w:right="274" w:firstLine="120"/>
        <w:jc w:val="both"/>
        <w:rPr>
          <w:sz w:val="24"/>
        </w:rPr>
      </w:pPr>
      <w:r>
        <w:rPr>
          <w:sz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3"/>
        <w:numPr>
          <w:ilvl w:val="1"/>
          <w:numId w:val="13"/>
        </w:numPr>
        <w:tabs>
          <w:tab w:val="left" w:pos="777"/>
        </w:tabs>
        <w:spacing w:before="1"/>
        <w:ind w:left="776" w:hanging="396"/>
        <w:rPr>
          <w:sz w:val="24"/>
        </w:rPr>
      </w:pPr>
      <w:r>
        <w:rPr>
          <w:spacing w:val="-1"/>
          <w:sz w:val="24"/>
        </w:rPr>
        <w:t>每件包装应附有详细装箱单和质量证书各两套，一套在包装箱里，一套在包装箱外。</w:t>
      </w:r>
    </w:p>
    <w:p>
      <w:pPr>
        <w:pStyle w:val="23"/>
        <w:numPr>
          <w:ilvl w:val="0"/>
          <w:numId w:val="13"/>
        </w:numPr>
        <w:tabs>
          <w:tab w:val="left" w:pos="636"/>
        </w:tabs>
        <w:ind w:hanging="375"/>
        <w:rPr>
          <w:sz w:val="24"/>
        </w:rPr>
      </w:pPr>
      <w:r>
        <w:rPr>
          <w:sz w:val="24"/>
        </w:rPr>
        <w:t>运输标记</w:t>
      </w:r>
    </w:p>
    <w:p>
      <w:pPr>
        <w:pStyle w:val="23"/>
        <w:numPr>
          <w:ilvl w:val="1"/>
          <w:numId w:val="13"/>
        </w:numPr>
        <w:tabs>
          <w:tab w:val="left" w:pos="837"/>
        </w:tabs>
        <w:spacing w:before="103"/>
        <w:ind w:left="836" w:hanging="456"/>
        <w:rPr>
          <w:sz w:val="24"/>
        </w:rPr>
      </w:pPr>
      <w:r>
        <w:rPr>
          <w:sz w:val="24"/>
        </w:rPr>
        <w:t>卖方应在每一包装箱邻接的四个侧面用不易褪色的油漆以醒目的中文印刷字体标明以下</w:t>
      </w:r>
    </w:p>
    <w:p>
      <w:pPr>
        <w:pStyle w:val="7"/>
        <w:spacing w:before="49"/>
      </w:pPr>
      <w:r>
        <w:t>各项：</w:t>
      </w:r>
    </w:p>
    <w:p>
      <w:pPr>
        <w:pStyle w:val="23"/>
        <w:numPr>
          <w:ilvl w:val="0"/>
          <w:numId w:val="14"/>
        </w:numPr>
        <w:tabs>
          <w:tab w:val="left" w:pos="795"/>
        </w:tabs>
        <w:ind w:hanging="294"/>
        <w:rPr>
          <w:sz w:val="24"/>
        </w:rPr>
      </w:pPr>
      <w:r>
        <w:rPr>
          <w:sz w:val="24"/>
        </w:rPr>
        <w:t>收货人</w:t>
      </w:r>
    </w:p>
    <w:p>
      <w:pPr>
        <w:pStyle w:val="23"/>
        <w:numPr>
          <w:ilvl w:val="0"/>
          <w:numId w:val="14"/>
        </w:numPr>
        <w:tabs>
          <w:tab w:val="left" w:pos="795"/>
        </w:tabs>
        <w:spacing w:before="103"/>
        <w:ind w:hanging="294"/>
        <w:rPr>
          <w:sz w:val="24"/>
        </w:rPr>
      </w:pPr>
      <w:r>
        <w:rPr>
          <w:sz w:val="24"/>
        </w:rPr>
        <w:t>合同号</w:t>
      </w:r>
    </w:p>
    <w:p>
      <w:pPr>
        <w:pStyle w:val="23"/>
        <w:numPr>
          <w:ilvl w:val="0"/>
          <w:numId w:val="14"/>
        </w:numPr>
        <w:tabs>
          <w:tab w:val="left" w:pos="795"/>
        </w:tabs>
        <w:ind w:hanging="294"/>
        <w:rPr>
          <w:sz w:val="24"/>
        </w:rPr>
      </w:pPr>
      <w:r>
        <w:rPr>
          <w:sz w:val="24"/>
        </w:rPr>
        <w:t>收货人代号</w:t>
      </w:r>
    </w:p>
    <w:p>
      <w:pPr>
        <w:pStyle w:val="23"/>
        <w:numPr>
          <w:ilvl w:val="0"/>
          <w:numId w:val="14"/>
        </w:numPr>
        <w:tabs>
          <w:tab w:val="left" w:pos="795"/>
        </w:tabs>
        <w:spacing w:before="103"/>
        <w:ind w:hanging="294"/>
        <w:rPr>
          <w:sz w:val="24"/>
        </w:rPr>
      </w:pPr>
      <w:r>
        <w:rPr>
          <w:sz w:val="24"/>
        </w:rPr>
        <w:t>发货单位</w:t>
      </w:r>
    </w:p>
    <w:p>
      <w:pPr>
        <w:pStyle w:val="23"/>
        <w:numPr>
          <w:ilvl w:val="0"/>
          <w:numId w:val="14"/>
        </w:numPr>
        <w:tabs>
          <w:tab w:val="left" w:pos="795"/>
        </w:tabs>
        <w:spacing w:before="100"/>
        <w:ind w:hanging="294"/>
        <w:rPr>
          <w:sz w:val="24"/>
        </w:rPr>
      </w:pPr>
      <w:r>
        <w:rPr>
          <w:sz w:val="24"/>
        </w:rPr>
        <w:t>目的地</w:t>
      </w:r>
    </w:p>
    <w:p>
      <w:pPr>
        <w:pStyle w:val="23"/>
        <w:numPr>
          <w:ilvl w:val="0"/>
          <w:numId w:val="14"/>
        </w:numPr>
        <w:tabs>
          <w:tab w:val="left" w:pos="795"/>
        </w:tabs>
        <w:ind w:hanging="294"/>
        <w:rPr>
          <w:sz w:val="24"/>
        </w:rPr>
      </w:pPr>
      <w:r>
        <w:rPr>
          <w:sz w:val="24"/>
        </w:rPr>
        <w:t>货物的名称、品目号、箱号</w:t>
      </w:r>
    </w:p>
    <w:p>
      <w:pPr>
        <w:pStyle w:val="23"/>
        <w:numPr>
          <w:ilvl w:val="0"/>
          <w:numId w:val="14"/>
        </w:numPr>
        <w:tabs>
          <w:tab w:val="left" w:pos="795"/>
        </w:tabs>
        <w:spacing w:before="102"/>
        <w:ind w:hanging="294"/>
        <w:rPr>
          <w:sz w:val="24"/>
        </w:rPr>
      </w:pPr>
      <w:r>
        <w:rPr>
          <w:sz w:val="24"/>
        </w:rPr>
        <w:t>出厂或装箱日期</w:t>
      </w:r>
    </w:p>
    <w:p>
      <w:pPr>
        <w:pStyle w:val="23"/>
        <w:numPr>
          <w:ilvl w:val="0"/>
          <w:numId w:val="14"/>
        </w:numPr>
        <w:tabs>
          <w:tab w:val="left" w:pos="795"/>
        </w:tabs>
        <w:ind w:hanging="294"/>
        <w:rPr>
          <w:rFonts w:ascii="Arial" w:eastAsia="Arial"/>
          <w:sz w:val="24"/>
        </w:rPr>
      </w:pPr>
      <w:r>
        <w:rPr>
          <w:sz w:val="24"/>
        </w:rPr>
        <w:t>毛重／净重</w:t>
      </w:r>
      <w:r>
        <w:rPr>
          <w:rFonts w:ascii="Arial" w:eastAsia="Arial"/>
          <w:sz w:val="24"/>
        </w:rPr>
        <w:t>(</w:t>
      </w:r>
      <w:r>
        <w:rPr>
          <w:sz w:val="24"/>
        </w:rPr>
        <w:t>公斤</w:t>
      </w:r>
      <w:r>
        <w:rPr>
          <w:rFonts w:ascii="Arial" w:eastAsia="Arial"/>
          <w:sz w:val="24"/>
        </w:rPr>
        <w:t>)</w:t>
      </w:r>
    </w:p>
    <w:p>
      <w:pPr>
        <w:pStyle w:val="23"/>
        <w:numPr>
          <w:ilvl w:val="0"/>
          <w:numId w:val="14"/>
        </w:numPr>
        <w:tabs>
          <w:tab w:val="left" w:pos="795"/>
        </w:tabs>
        <w:spacing w:before="103"/>
        <w:ind w:hanging="294"/>
        <w:rPr>
          <w:rFonts w:ascii="Arial" w:eastAsia="Arial"/>
          <w:sz w:val="24"/>
        </w:rPr>
      </w:pPr>
      <w:r>
        <w:rPr>
          <w:sz w:val="24"/>
        </w:rPr>
        <w:t>尺寸</w:t>
      </w:r>
      <w:r>
        <w:rPr>
          <w:rFonts w:ascii="Arial" w:eastAsia="Arial"/>
          <w:sz w:val="24"/>
        </w:rPr>
        <w:t>(</w:t>
      </w:r>
      <w:r>
        <w:rPr>
          <w:spacing w:val="-29"/>
          <w:sz w:val="24"/>
        </w:rPr>
        <w:t xml:space="preserve">长 </w:t>
      </w:r>
      <w:r>
        <w:rPr>
          <w:rFonts w:ascii="Arial" w:eastAsia="Arial"/>
          <w:sz w:val="24"/>
        </w:rPr>
        <w:t>x</w:t>
      </w:r>
      <w:r>
        <w:rPr>
          <w:spacing w:val="-29"/>
          <w:sz w:val="24"/>
        </w:rPr>
        <w:t xml:space="preserve">宽 </w:t>
      </w:r>
      <w:r>
        <w:rPr>
          <w:rFonts w:ascii="Arial" w:eastAsia="Arial"/>
          <w:sz w:val="24"/>
        </w:rPr>
        <w:t>x</w:t>
      </w:r>
      <w:r>
        <w:rPr>
          <w:sz w:val="24"/>
        </w:rPr>
        <w:t>高，以厘米计</w:t>
      </w:r>
      <w:r>
        <w:rPr>
          <w:rFonts w:ascii="Arial" w:eastAsia="Arial"/>
          <w:sz w:val="24"/>
        </w:rPr>
        <w:t>)</w:t>
      </w:r>
    </w:p>
    <w:p>
      <w:pPr>
        <w:pStyle w:val="23"/>
        <w:numPr>
          <w:ilvl w:val="1"/>
          <w:numId w:val="13"/>
        </w:numPr>
        <w:tabs>
          <w:tab w:val="left" w:pos="851"/>
        </w:tabs>
        <w:spacing w:line="319" w:lineRule="auto"/>
        <w:ind w:right="262" w:firstLine="120"/>
        <w:jc w:val="both"/>
        <w:rPr>
          <w:sz w:val="24"/>
        </w:rPr>
      </w:pPr>
      <w:r>
        <w:rPr>
          <w:spacing w:val="14"/>
          <w:sz w:val="24"/>
        </w:rPr>
        <w:t>凡重达两吨以上的包装，卖方应在每件包装箱的两侧用标志标明“重心”和“吊装</w:t>
      </w:r>
      <w:r>
        <w:rPr>
          <w:sz w:val="24"/>
        </w:rPr>
        <w:t>点”，并根据货物的特点和运输的不同要求，以清晰字样在包装上注明“小心轻放”、“勿倒置”、“防潮”等适当的标志，以便装卸和搬运。</w:t>
      </w:r>
    </w:p>
    <w:p>
      <w:pPr>
        <w:pStyle w:val="23"/>
        <w:numPr>
          <w:ilvl w:val="0"/>
          <w:numId w:val="13"/>
        </w:numPr>
        <w:tabs>
          <w:tab w:val="left" w:pos="463"/>
        </w:tabs>
        <w:spacing w:before="0" w:line="307" w:lineRule="exact"/>
        <w:ind w:left="462" w:hanging="202"/>
        <w:rPr>
          <w:sz w:val="24"/>
        </w:rPr>
      </w:pPr>
      <w:r>
        <w:rPr>
          <w:sz w:val="24"/>
        </w:rPr>
        <w:t>卖方的交货价合同</w:t>
      </w:r>
    </w:p>
    <w:p>
      <w:pPr>
        <w:pStyle w:val="23"/>
        <w:numPr>
          <w:ilvl w:val="1"/>
          <w:numId w:val="13"/>
        </w:numPr>
        <w:tabs>
          <w:tab w:val="left" w:pos="811"/>
        </w:tabs>
        <w:spacing w:before="103" w:line="319" w:lineRule="auto"/>
        <w:ind w:right="278" w:firstLine="120"/>
        <w:jc w:val="both"/>
        <w:rPr>
          <w:sz w:val="24"/>
        </w:rPr>
      </w:pPr>
      <w:r>
        <w:rPr>
          <w:spacing w:val="-3"/>
          <w:sz w:val="24"/>
        </w:rPr>
        <w:t xml:space="preserve">卖方应在合同规定的交货期前 </w:t>
      </w:r>
      <w:r>
        <w:rPr>
          <w:rFonts w:ascii="Arial" w:eastAsia="Arial"/>
          <w:sz w:val="24"/>
        </w:rPr>
        <w:t>6</w:t>
      </w:r>
      <w:r>
        <w:rPr>
          <w:spacing w:val="-3"/>
          <w:sz w:val="24"/>
        </w:rPr>
        <w:t>天以电报、传真或电传通知买方合同号、货物名称、数</w:t>
      </w:r>
      <w:r>
        <w:rPr>
          <w:spacing w:val="4"/>
          <w:sz w:val="24"/>
        </w:rPr>
        <w:t>量、包装件数、总毛重、总体积</w:t>
      </w:r>
      <w:r>
        <w:rPr>
          <w:rFonts w:ascii="Arial" w:eastAsia="Arial"/>
          <w:spacing w:val="4"/>
          <w:sz w:val="24"/>
        </w:rPr>
        <w:t>(</w:t>
      </w:r>
      <w:r>
        <w:rPr>
          <w:spacing w:val="5"/>
          <w:sz w:val="24"/>
        </w:rPr>
        <w:t>立方米</w:t>
      </w:r>
      <w:r>
        <w:rPr>
          <w:rFonts w:ascii="Arial" w:eastAsia="Arial"/>
          <w:spacing w:val="6"/>
          <w:sz w:val="24"/>
        </w:rPr>
        <w:t>)</w:t>
      </w:r>
      <w:r>
        <w:rPr>
          <w:spacing w:val="3"/>
          <w:sz w:val="24"/>
        </w:rPr>
        <w:t>和备妥待运日期。同时，卖方应以挂号信寄给买方</w:t>
      </w:r>
      <w:r>
        <w:rPr>
          <w:spacing w:val="4"/>
          <w:sz w:val="24"/>
        </w:rPr>
        <w:t>详细交货清单一式五份，包括合同号、货物名称、规格、数量、总毛重、总体积</w:t>
      </w:r>
      <w:r>
        <w:rPr>
          <w:rFonts w:ascii="Arial" w:eastAsia="Arial"/>
          <w:spacing w:val="4"/>
          <w:sz w:val="24"/>
        </w:rPr>
        <w:t>(</w:t>
      </w:r>
      <w:r>
        <w:rPr>
          <w:spacing w:val="5"/>
          <w:sz w:val="24"/>
        </w:rPr>
        <w:t>立方米</w:t>
      </w:r>
      <w:r>
        <w:rPr>
          <w:rFonts w:ascii="Arial" w:eastAsia="Arial"/>
          <w:spacing w:val="4"/>
          <w:sz w:val="24"/>
        </w:rPr>
        <w:t>)</w:t>
      </w:r>
      <w:r>
        <w:rPr>
          <w:sz w:val="24"/>
        </w:rPr>
        <w:t>和每一包装箱的尺寸</w:t>
      </w:r>
      <w:r>
        <w:rPr>
          <w:rFonts w:ascii="Arial" w:eastAsia="Arial"/>
          <w:sz w:val="24"/>
        </w:rPr>
        <w:t>(</w:t>
      </w:r>
      <w:r>
        <w:rPr>
          <w:spacing w:val="57"/>
          <w:sz w:val="24"/>
        </w:rPr>
        <w:t>长</w:t>
      </w:r>
      <w:r>
        <w:rPr>
          <w:rFonts w:ascii="Arial" w:eastAsia="Arial"/>
          <w:sz w:val="24"/>
        </w:rPr>
        <w:t>x</w:t>
      </w:r>
      <w:r>
        <w:rPr>
          <w:spacing w:val="58"/>
          <w:sz w:val="24"/>
        </w:rPr>
        <w:t>宽</w:t>
      </w:r>
      <w:r>
        <w:rPr>
          <w:rFonts w:ascii="Arial" w:eastAsia="Arial"/>
          <w:sz w:val="24"/>
        </w:rPr>
        <w:t>x</w:t>
      </w:r>
      <w:r>
        <w:rPr>
          <w:sz w:val="24"/>
        </w:rPr>
        <w:t>高</w:t>
      </w:r>
      <w:r>
        <w:rPr>
          <w:rFonts w:ascii="Arial" w:eastAsia="Arial"/>
          <w:sz w:val="24"/>
        </w:rPr>
        <w:t>)</w:t>
      </w:r>
      <w:r>
        <w:rPr>
          <w:spacing w:val="-1"/>
          <w:sz w:val="24"/>
        </w:rPr>
        <w:t>、单价和总价、备妥待运日期，以及货物在运输和仓储中的特</w:t>
      </w:r>
      <w:r>
        <w:rPr>
          <w:sz w:val="24"/>
        </w:rPr>
        <w:t>殊要求和注意事项。</w:t>
      </w:r>
    </w:p>
    <w:p>
      <w:pPr>
        <w:pStyle w:val="23"/>
        <w:numPr>
          <w:ilvl w:val="1"/>
          <w:numId w:val="13"/>
        </w:numPr>
        <w:tabs>
          <w:tab w:val="left" w:pos="837"/>
        </w:tabs>
        <w:spacing w:before="0" w:line="319" w:lineRule="auto"/>
        <w:ind w:right="280" w:firstLine="120"/>
        <w:jc w:val="both"/>
        <w:rPr>
          <w:sz w:val="24"/>
        </w:rPr>
      </w:pPr>
      <w:r>
        <w:rPr>
          <w:spacing w:val="-1"/>
          <w:sz w:val="24"/>
        </w:rPr>
        <w:t>在目的地交货价合同条件下，由于卖方延误了以电报、传真或电传通知买方，由此而有</w:t>
      </w:r>
      <w:r>
        <w:rPr>
          <w:sz w:val="24"/>
        </w:rPr>
        <w:t>可能造成的一切损失由卖方承担。</w:t>
      </w:r>
    </w:p>
    <w:p>
      <w:pPr>
        <w:pStyle w:val="23"/>
        <w:numPr>
          <w:ilvl w:val="1"/>
          <w:numId w:val="13"/>
        </w:numPr>
        <w:tabs>
          <w:tab w:val="left" w:pos="837"/>
        </w:tabs>
        <w:spacing w:before="1" w:line="319" w:lineRule="auto"/>
        <w:ind w:right="280" w:firstLine="120"/>
        <w:jc w:val="both"/>
        <w:rPr>
          <w:sz w:val="24"/>
        </w:rPr>
      </w:pPr>
      <w:r>
        <w:rPr>
          <w:spacing w:val="-1"/>
          <w:sz w:val="24"/>
        </w:rPr>
        <w:t>卖方负责安排自发运地至买方现场的运输和安装、调试及技术监督部门第一次强制性检</w:t>
      </w:r>
      <w:r>
        <w:rPr>
          <w:sz w:val="24"/>
        </w:rPr>
        <w:t>验费用，均包含在合同总价中。</w:t>
      </w:r>
    </w:p>
    <w:p>
      <w:pPr>
        <w:pStyle w:val="23"/>
        <w:numPr>
          <w:ilvl w:val="1"/>
          <w:numId w:val="13"/>
        </w:numPr>
        <w:tabs>
          <w:tab w:val="left" w:pos="777"/>
        </w:tabs>
        <w:spacing w:before="0"/>
        <w:ind w:left="776" w:hanging="396"/>
        <w:rPr>
          <w:sz w:val="24"/>
        </w:rPr>
      </w:pPr>
      <w:r>
        <w:rPr>
          <w:spacing w:val="-1"/>
          <w:sz w:val="24"/>
        </w:rPr>
        <w:t>交货日期以货物到达买方现场为准。</w:t>
      </w:r>
    </w:p>
    <w:p>
      <w:pPr>
        <w:pStyle w:val="23"/>
        <w:numPr>
          <w:ilvl w:val="1"/>
          <w:numId w:val="13"/>
        </w:numPr>
        <w:tabs>
          <w:tab w:val="left" w:pos="837"/>
        </w:tabs>
        <w:spacing w:line="319" w:lineRule="auto"/>
        <w:ind w:right="280" w:firstLine="120"/>
        <w:jc w:val="both"/>
        <w:rPr>
          <w:sz w:val="24"/>
        </w:rPr>
      </w:pPr>
      <w:r>
        <w:rPr>
          <w:spacing w:val="-1"/>
          <w:sz w:val="24"/>
        </w:rPr>
        <w:t>卖方装运的货物必须符合合同规定的货物名称、型号规格、数量或重量，否则，一切后</w:t>
      </w:r>
      <w:r>
        <w:rPr>
          <w:sz w:val="24"/>
        </w:rPr>
        <w:t>果均由卖方承担。</w:t>
      </w:r>
    </w:p>
    <w:p>
      <w:pPr>
        <w:pStyle w:val="23"/>
        <w:numPr>
          <w:ilvl w:val="0"/>
          <w:numId w:val="13"/>
        </w:numPr>
        <w:tabs>
          <w:tab w:val="left" w:pos="636"/>
        </w:tabs>
        <w:spacing w:before="0"/>
        <w:ind w:hanging="375"/>
        <w:rPr>
          <w:sz w:val="24"/>
        </w:rPr>
      </w:pPr>
      <w:r>
        <w:rPr>
          <w:sz w:val="24"/>
        </w:rPr>
        <w:t>装运通知</w:t>
      </w:r>
    </w:p>
    <w:p>
      <w:pPr>
        <w:pStyle w:val="23"/>
        <w:numPr>
          <w:ilvl w:val="1"/>
          <w:numId w:val="13"/>
        </w:numPr>
        <w:tabs>
          <w:tab w:val="left" w:pos="765"/>
        </w:tabs>
        <w:spacing w:before="100" w:line="319" w:lineRule="auto"/>
        <w:ind w:right="276" w:firstLine="120"/>
        <w:jc w:val="both"/>
        <w:rPr>
          <w:sz w:val="24"/>
        </w:rPr>
      </w:pPr>
      <w:r>
        <w:rPr>
          <w:spacing w:val="-8"/>
          <w:sz w:val="24"/>
        </w:rPr>
        <w:t xml:space="preserve">卖方应在货物装运完成 </w:t>
      </w:r>
      <w:r>
        <w:rPr>
          <w:rFonts w:ascii="Arial" w:eastAsia="Arial"/>
          <w:sz w:val="24"/>
        </w:rPr>
        <w:t>24</w:t>
      </w:r>
      <w:r>
        <w:rPr>
          <w:spacing w:val="-1"/>
          <w:sz w:val="24"/>
        </w:rPr>
        <w:t>小时内以电报、传真或电传通知买方合同号、 货物名称、数</w:t>
      </w:r>
      <w:r>
        <w:rPr>
          <w:sz w:val="24"/>
        </w:rPr>
        <w:t>量、毛重、体积</w:t>
      </w:r>
      <w:r>
        <w:rPr>
          <w:rFonts w:ascii="Arial" w:eastAsia="Arial"/>
          <w:sz w:val="24"/>
        </w:rPr>
        <w:t>(</w:t>
      </w:r>
      <w:r>
        <w:rPr>
          <w:sz w:val="24"/>
        </w:rPr>
        <w:t>立方米</w:t>
      </w:r>
      <w:r>
        <w:rPr>
          <w:rFonts w:ascii="Arial" w:eastAsia="Arial"/>
          <w:sz w:val="24"/>
        </w:rPr>
        <w:t>)</w:t>
      </w:r>
      <w:r>
        <w:rPr>
          <w:spacing w:val="-1"/>
          <w:sz w:val="24"/>
        </w:rPr>
        <w:t xml:space="preserve">、发票金额、载运车次名称和启运日期。如果包装件重量超过 </w:t>
      </w:r>
      <w:r>
        <w:rPr>
          <w:rFonts w:ascii="Arial" w:eastAsia="Arial"/>
          <w:sz w:val="24"/>
        </w:rPr>
        <w:t>20</w:t>
      </w:r>
      <w:r>
        <w:rPr>
          <w:spacing w:val="-15"/>
          <w:sz w:val="24"/>
        </w:rPr>
        <w:t>吨</w:t>
      </w:r>
      <w:r>
        <w:rPr>
          <w:spacing w:val="-6"/>
          <w:sz w:val="24"/>
        </w:rPr>
        <w:t xml:space="preserve">或尺寸达到或超过 </w:t>
      </w:r>
      <w:r>
        <w:rPr>
          <w:rFonts w:ascii="Arial" w:eastAsia="Arial"/>
          <w:sz w:val="24"/>
        </w:rPr>
        <w:t>12</w:t>
      </w:r>
      <w:r>
        <w:rPr>
          <w:sz w:val="24"/>
        </w:rPr>
        <w:t>米长、</w:t>
      </w:r>
      <w:r>
        <w:rPr>
          <w:rFonts w:ascii="Arial" w:eastAsia="Arial"/>
          <w:sz w:val="24"/>
        </w:rPr>
        <w:t>2.7</w:t>
      </w:r>
      <w:r>
        <w:rPr>
          <w:spacing w:val="-12"/>
          <w:sz w:val="24"/>
        </w:rPr>
        <w:t xml:space="preserve">米宽和 </w:t>
      </w:r>
      <w:r>
        <w:rPr>
          <w:rFonts w:ascii="Arial" w:eastAsia="Arial"/>
          <w:sz w:val="24"/>
        </w:rPr>
        <w:t>3</w:t>
      </w:r>
      <w:r>
        <w:rPr>
          <w:spacing w:val="-3"/>
          <w:sz w:val="24"/>
        </w:rPr>
        <w:t>米高，卖方应将其重量或尺寸通知买方。若货物中</w:t>
      </w:r>
      <w:r>
        <w:rPr>
          <w:sz w:val="24"/>
        </w:rPr>
        <w:t>有易燃品或危险品，卖方也须将详细情况通知买方。</w:t>
      </w:r>
    </w:p>
    <w:p>
      <w:pPr>
        <w:pStyle w:val="23"/>
        <w:numPr>
          <w:ilvl w:val="0"/>
          <w:numId w:val="13"/>
        </w:numPr>
        <w:tabs>
          <w:tab w:val="left" w:pos="771"/>
        </w:tabs>
        <w:spacing w:before="2"/>
        <w:ind w:left="770" w:hanging="510"/>
        <w:rPr>
          <w:sz w:val="24"/>
        </w:rPr>
      </w:pPr>
      <w:r>
        <w:rPr>
          <w:sz w:val="24"/>
        </w:rPr>
        <w:t>保险</w:t>
      </w:r>
    </w:p>
    <w:p>
      <w:pPr>
        <w:pStyle w:val="23"/>
        <w:numPr>
          <w:ilvl w:val="1"/>
          <w:numId w:val="13"/>
        </w:numPr>
        <w:tabs>
          <w:tab w:val="left" w:pos="892"/>
        </w:tabs>
        <w:spacing w:before="100" w:line="319" w:lineRule="auto"/>
        <w:ind w:right="275" w:firstLine="100"/>
        <w:jc w:val="both"/>
        <w:rPr>
          <w:sz w:val="24"/>
        </w:rPr>
      </w:pPr>
      <w:r>
        <w:rPr>
          <w:spacing w:val="-2"/>
          <w:sz w:val="24"/>
        </w:rPr>
        <w:t>在国内交货价合同条件下，由买方在货物装运前或接到装运通知后办理保险。或由买卖</w:t>
      </w:r>
      <w:r>
        <w:rPr>
          <w:sz w:val="24"/>
        </w:rPr>
        <w:t>双方具体商定。</w:t>
      </w:r>
    </w:p>
    <w:p>
      <w:pPr>
        <w:pStyle w:val="23"/>
        <w:numPr>
          <w:ilvl w:val="0"/>
          <w:numId w:val="13"/>
        </w:numPr>
        <w:tabs>
          <w:tab w:val="left" w:pos="597"/>
        </w:tabs>
        <w:spacing w:before="49"/>
        <w:ind w:left="596" w:hanging="336"/>
        <w:rPr>
          <w:sz w:val="24"/>
        </w:rPr>
      </w:pPr>
      <w:r>
        <w:rPr>
          <w:sz w:val="24"/>
        </w:rPr>
        <w:t>支付</w:t>
      </w:r>
    </w:p>
    <w:p>
      <w:pPr>
        <w:pStyle w:val="23"/>
        <w:numPr>
          <w:ilvl w:val="1"/>
          <w:numId w:val="13"/>
        </w:numPr>
        <w:tabs>
          <w:tab w:val="left" w:pos="911"/>
        </w:tabs>
        <w:ind w:left="910" w:hanging="530"/>
        <w:rPr>
          <w:sz w:val="24"/>
        </w:rPr>
      </w:pPr>
      <w:r>
        <w:rPr>
          <w:spacing w:val="-1"/>
          <w:sz w:val="24"/>
        </w:rPr>
        <w:t>除另有规定外，可采用下列付款之方式一种付款：</w:t>
      </w:r>
    </w:p>
    <w:p>
      <w:pPr>
        <w:pStyle w:val="23"/>
        <w:numPr>
          <w:ilvl w:val="2"/>
          <w:numId w:val="13"/>
        </w:numPr>
        <w:tabs>
          <w:tab w:val="left" w:pos="1155"/>
        </w:tabs>
        <w:spacing w:before="103"/>
        <w:ind w:hanging="294"/>
        <w:rPr>
          <w:sz w:val="24"/>
        </w:rPr>
      </w:pPr>
      <w:r>
        <w:rPr>
          <w:sz w:val="24"/>
        </w:rPr>
        <w:t>转帐支票；</w:t>
      </w:r>
    </w:p>
    <w:p>
      <w:pPr>
        <w:pStyle w:val="23"/>
        <w:numPr>
          <w:ilvl w:val="2"/>
          <w:numId w:val="13"/>
        </w:numPr>
        <w:tabs>
          <w:tab w:val="left" w:pos="1155"/>
        </w:tabs>
        <w:ind w:hanging="294"/>
        <w:rPr>
          <w:sz w:val="24"/>
        </w:rPr>
      </w:pPr>
      <w:r>
        <w:rPr>
          <w:sz w:val="24"/>
        </w:rPr>
        <w:t>电汇付款。</w:t>
      </w:r>
    </w:p>
    <w:p>
      <w:pPr>
        <w:pStyle w:val="23"/>
        <w:numPr>
          <w:ilvl w:val="1"/>
          <w:numId w:val="13"/>
        </w:numPr>
        <w:tabs>
          <w:tab w:val="left" w:pos="1091"/>
        </w:tabs>
        <w:spacing w:before="103"/>
        <w:ind w:left="1090" w:hanging="590"/>
        <w:rPr>
          <w:sz w:val="24"/>
        </w:rPr>
      </w:pPr>
      <w:r>
        <w:rPr>
          <w:spacing w:val="-1"/>
          <w:sz w:val="24"/>
        </w:rPr>
        <w:t>付款方式见合同特殊条款。</w:t>
      </w:r>
    </w:p>
    <w:p>
      <w:pPr>
        <w:pStyle w:val="23"/>
        <w:numPr>
          <w:ilvl w:val="0"/>
          <w:numId w:val="13"/>
        </w:numPr>
        <w:tabs>
          <w:tab w:val="left" w:pos="1011"/>
        </w:tabs>
        <w:spacing w:before="100"/>
        <w:ind w:left="1010" w:hanging="510"/>
        <w:rPr>
          <w:sz w:val="24"/>
        </w:rPr>
      </w:pPr>
      <w:r>
        <w:rPr>
          <w:sz w:val="24"/>
        </w:rPr>
        <w:t>技术资料</w:t>
      </w:r>
    </w:p>
    <w:p>
      <w:pPr>
        <w:pStyle w:val="23"/>
        <w:numPr>
          <w:ilvl w:val="1"/>
          <w:numId w:val="13"/>
        </w:numPr>
        <w:tabs>
          <w:tab w:val="left" w:pos="1130"/>
        </w:tabs>
        <w:spacing w:line="319" w:lineRule="auto"/>
        <w:ind w:right="278" w:firstLine="360"/>
        <w:jc w:val="both"/>
        <w:rPr>
          <w:sz w:val="24"/>
        </w:rPr>
      </w:pPr>
      <w:r>
        <w:rPr>
          <w:spacing w:val="-2"/>
          <w:sz w:val="24"/>
        </w:rPr>
        <w:t>除采购文件的技术规范书中另有规定的外，卖方应准备与合同设备或仪器相符中文技</w:t>
      </w:r>
      <w:r>
        <w:rPr>
          <w:spacing w:val="-5"/>
          <w:sz w:val="24"/>
        </w:rPr>
        <w:t xml:space="preserve">术资料，并于合同生效后 </w:t>
      </w:r>
      <w:r>
        <w:rPr>
          <w:rFonts w:ascii="Arial" w:eastAsia="Arial"/>
          <w:sz w:val="24"/>
        </w:rPr>
        <w:t>15</w:t>
      </w:r>
      <w:r>
        <w:rPr>
          <w:spacing w:val="-2"/>
          <w:sz w:val="24"/>
        </w:rPr>
        <w:t>天内寄送到买方，例如：样本、图纸、操作手册、使用说明、维</w:t>
      </w:r>
      <w:r>
        <w:rPr>
          <w:sz w:val="24"/>
        </w:rPr>
        <w:t>修指南或服务手册等。如本条款所述资料寄送不完整或丢失，卖方应在收到买方通知后立即免费另寄。</w:t>
      </w:r>
    </w:p>
    <w:p>
      <w:pPr>
        <w:pStyle w:val="23"/>
        <w:numPr>
          <w:ilvl w:val="1"/>
          <w:numId w:val="13"/>
        </w:numPr>
        <w:tabs>
          <w:tab w:val="left" w:pos="911"/>
        </w:tabs>
        <w:spacing w:before="1"/>
        <w:ind w:left="910" w:hanging="530"/>
        <w:rPr>
          <w:sz w:val="24"/>
        </w:rPr>
      </w:pPr>
      <w:r>
        <w:rPr>
          <w:spacing w:val="-1"/>
          <w:sz w:val="24"/>
        </w:rPr>
        <w:t>上述一套完整的资料应包装好随每批货物一起发运。</w:t>
      </w:r>
    </w:p>
    <w:p>
      <w:pPr>
        <w:pStyle w:val="23"/>
        <w:numPr>
          <w:ilvl w:val="0"/>
          <w:numId w:val="13"/>
        </w:numPr>
        <w:tabs>
          <w:tab w:val="left" w:pos="771"/>
        </w:tabs>
        <w:spacing w:before="103"/>
        <w:ind w:left="770" w:hanging="510"/>
        <w:rPr>
          <w:sz w:val="24"/>
        </w:rPr>
      </w:pPr>
      <w:r>
        <w:rPr>
          <w:sz w:val="24"/>
        </w:rPr>
        <w:t>价格</w:t>
      </w:r>
    </w:p>
    <w:p>
      <w:pPr>
        <w:pStyle w:val="23"/>
        <w:numPr>
          <w:ilvl w:val="1"/>
          <w:numId w:val="13"/>
        </w:numPr>
        <w:tabs>
          <w:tab w:val="left" w:pos="890"/>
        </w:tabs>
        <w:spacing w:before="100" w:line="319" w:lineRule="auto"/>
        <w:ind w:right="277" w:firstLine="120"/>
        <w:jc w:val="both"/>
        <w:rPr>
          <w:sz w:val="24"/>
        </w:rPr>
      </w:pPr>
      <w:r>
        <w:rPr>
          <w:spacing w:val="-2"/>
          <w:sz w:val="24"/>
        </w:rPr>
        <w:t>除非合同中另有规定，卖方为其所供货物和服务而要求买方支付的金额应与其投标报价</w:t>
      </w:r>
      <w:r>
        <w:rPr>
          <w:sz w:val="24"/>
        </w:rPr>
        <w:t>一致。</w:t>
      </w:r>
    </w:p>
    <w:p>
      <w:pPr>
        <w:pStyle w:val="23"/>
        <w:numPr>
          <w:ilvl w:val="0"/>
          <w:numId w:val="13"/>
        </w:numPr>
        <w:tabs>
          <w:tab w:val="left" w:pos="771"/>
        </w:tabs>
        <w:spacing w:before="1"/>
        <w:ind w:left="770" w:hanging="510"/>
        <w:rPr>
          <w:sz w:val="24"/>
        </w:rPr>
      </w:pPr>
      <w:r>
        <w:rPr>
          <w:sz w:val="24"/>
        </w:rPr>
        <w:t>质量保证</w:t>
      </w:r>
    </w:p>
    <w:p>
      <w:pPr>
        <w:pStyle w:val="23"/>
        <w:numPr>
          <w:ilvl w:val="1"/>
          <w:numId w:val="13"/>
        </w:numPr>
        <w:tabs>
          <w:tab w:val="left" w:pos="890"/>
        </w:tabs>
        <w:spacing w:before="100" w:line="319" w:lineRule="auto"/>
        <w:ind w:right="278" w:firstLine="120"/>
        <w:jc w:val="both"/>
        <w:rPr>
          <w:sz w:val="24"/>
        </w:rPr>
      </w:pPr>
      <w:r>
        <w:rPr>
          <w:spacing w:val="-2"/>
          <w:sz w:val="24"/>
        </w:rPr>
        <w:t xml:space="preserve">卖方应保证其提供的货物是全新的、未使用过的，采用的是最佳材料和第一流的工艺， </w:t>
      </w:r>
      <w:r>
        <w:rPr>
          <w:sz w:val="24"/>
        </w:rPr>
        <w:t>并在各个方面符合合同规定的质量、规格和性能要求。卖方应保证其货物经过正确安装、合</w:t>
      </w:r>
      <w:r>
        <w:rPr>
          <w:spacing w:val="8"/>
          <w:sz w:val="24"/>
        </w:rPr>
        <w:t>理操作和维护保养，在货物寿命期内运转良好。在规定的质量保证期内，卖方应对由于设计、工艺或材料的缺陷而造成的任何缺陷或故障负责。除合同中另有规定外，出现上述情</w:t>
      </w:r>
      <w:r>
        <w:rPr>
          <w:spacing w:val="3"/>
          <w:sz w:val="24"/>
        </w:rPr>
        <w:t xml:space="preserve">况，卖方应在收到买方通知后 </w:t>
      </w:r>
      <w:r>
        <w:rPr>
          <w:rFonts w:ascii="Arial" w:eastAsia="Arial"/>
          <w:sz w:val="24"/>
        </w:rPr>
        <w:t>10</w:t>
      </w:r>
      <w:r>
        <w:rPr>
          <w:spacing w:val="-2"/>
          <w:sz w:val="24"/>
        </w:rPr>
        <w:t>天内，免费负责修理或更换有缺陷的零部件或整机。对造成</w:t>
      </w:r>
      <w:r>
        <w:rPr>
          <w:sz w:val="24"/>
        </w:rPr>
        <w:t>的损失买方保留索赔的权利。</w:t>
      </w:r>
    </w:p>
    <w:p>
      <w:pPr>
        <w:pStyle w:val="23"/>
        <w:numPr>
          <w:ilvl w:val="1"/>
          <w:numId w:val="13"/>
        </w:numPr>
        <w:tabs>
          <w:tab w:val="left" w:pos="911"/>
        </w:tabs>
        <w:spacing w:before="2"/>
        <w:ind w:left="910" w:hanging="530"/>
        <w:rPr>
          <w:sz w:val="24"/>
        </w:rPr>
      </w:pPr>
      <w:r>
        <w:rPr>
          <w:spacing w:val="-3"/>
          <w:sz w:val="24"/>
        </w:rPr>
        <w:t xml:space="preserve">除非合同中另有规定，合同项下货物的质量保证期为货物正式验收后 </w:t>
      </w:r>
      <w:r>
        <w:rPr>
          <w:rFonts w:ascii="Arial" w:eastAsia="Arial"/>
          <w:sz w:val="24"/>
        </w:rPr>
        <w:t>24</w:t>
      </w:r>
      <w:r>
        <w:rPr>
          <w:sz w:val="24"/>
        </w:rPr>
        <w:t>个月。</w:t>
      </w:r>
    </w:p>
    <w:p>
      <w:pPr>
        <w:pStyle w:val="23"/>
        <w:numPr>
          <w:ilvl w:val="0"/>
          <w:numId w:val="13"/>
        </w:numPr>
        <w:tabs>
          <w:tab w:val="left" w:pos="771"/>
        </w:tabs>
        <w:ind w:left="770" w:hanging="510"/>
        <w:rPr>
          <w:sz w:val="24"/>
        </w:rPr>
      </w:pPr>
      <w:r>
        <w:rPr>
          <w:sz w:val="24"/>
        </w:rPr>
        <w:t>检验</w:t>
      </w:r>
    </w:p>
    <w:p>
      <w:pPr>
        <w:pStyle w:val="23"/>
        <w:numPr>
          <w:ilvl w:val="1"/>
          <w:numId w:val="13"/>
        </w:numPr>
        <w:tabs>
          <w:tab w:val="left" w:pos="890"/>
        </w:tabs>
        <w:spacing w:before="103" w:line="319" w:lineRule="auto"/>
        <w:ind w:right="277" w:firstLine="120"/>
        <w:jc w:val="both"/>
        <w:rPr>
          <w:sz w:val="24"/>
        </w:rPr>
      </w:pPr>
      <w:r>
        <w:rPr>
          <w:spacing w:val="-2"/>
          <w:sz w:val="24"/>
        </w:rPr>
        <w:t>卖方应让制造商在发货之前，对货物的有关内在和外观质量、规格、性能、数量和重量</w:t>
      </w:r>
      <w:r>
        <w:rPr>
          <w:sz w:val="24"/>
        </w:rPr>
        <w:t>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3"/>
        <w:numPr>
          <w:ilvl w:val="1"/>
          <w:numId w:val="13"/>
        </w:numPr>
        <w:tabs>
          <w:tab w:val="left" w:pos="890"/>
        </w:tabs>
        <w:spacing w:before="0" w:line="319" w:lineRule="auto"/>
        <w:ind w:right="277" w:firstLine="120"/>
        <w:jc w:val="both"/>
        <w:rPr>
          <w:sz w:val="24"/>
        </w:rPr>
      </w:pPr>
      <w:r>
        <w:rPr>
          <w:spacing w:val="-2"/>
          <w:sz w:val="24"/>
        </w:rPr>
        <w:t>在合同规定的质量保证期内，如果发现货物的质量或规格与合同规定不符，或证明货物</w:t>
      </w:r>
      <w:r>
        <w:rPr>
          <w:sz w:val="24"/>
        </w:rPr>
        <w:t>有缺陷，包括潜在的缺陷或使用不合适的原材料等，买方应申请商检局检验，并有权根据商检证书及质量保证条款立即向卖方提出索赔。</w:t>
      </w:r>
    </w:p>
    <w:p>
      <w:pPr>
        <w:pStyle w:val="23"/>
        <w:numPr>
          <w:ilvl w:val="0"/>
          <w:numId w:val="13"/>
        </w:numPr>
        <w:tabs>
          <w:tab w:val="left" w:pos="771"/>
        </w:tabs>
        <w:spacing w:before="0"/>
        <w:ind w:left="770" w:hanging="510"/>
        <w:rPr>
          <w:sz w:val="24"/>
        </w:rPr>
      </w:pPr>
      <w:r>
        <w:rPr>
          <w:sz w:val="24"/>
        </w:rPr>
        <w:t>索赔</w:t>
      </w:r>
    </w:p>
    <w:p>
      <w:pPr>
        <w:pStyle w:val="23"/>
        <w:numPr>
          <w:ilvl w:val="2"/>
          <w:numId w:val="13"/>
        </w:numPr>
        <w:tabs>
          <w:tab w:val="left" w:pos="1036"/>
        </w:tabs>
        <w:spacing w:before="49" w:line="319" w:lineRule="auto"/>
        <w:ind w:left="260" w:right="282" w:firstLine="480"/>
        <w:jc w:val="both"/>
        <w:rPr>
          <w:sz w:val="24"/>
        </w:rPr>
      </w:pPr>
      <w:r>
        <w:rPr>
          <w:spacing w:val="-2"/>
          <w:sz w:val="24"/>
        </w:rPr>
        <w:t>卖方对货物与合同要求不符负有责任，并且买方已于规定的检验、安装、调试和验收测</w:t>
      </w:r>
      <w:r>
        <w:rPr>
          <w:spacing w:val="8"/>
          <w:sz w:val="24"/>
        </w:rPr>
        <w:t>试期限内和质量保证期内提出索赔，卖方应按买方同意的下述一种或多种方法解决索赔事宜。</w:t>
      </w:r>
      <w:r>
        <w:rPr>
          <w:sz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3"/>
        <w:numPr>
          <w:ilvl w:val="2"/>
          <w:numId w:val="13"/>
        </w:numPr>
        <w:tabs>
          <w:tab w:val="left" w:pos="915"/>
        </w:tabs>
        <w:spacing w:before="0"/>
        <w:ind w:left="914" w:hanging="294"/>
        <w:rPr>
          <w:sz w:val="24"/>
        </w:rPr>
      </w:pPr>
      <w:r>
        <w:rPr>
          <w:sz w:val="24"/>
        </w:rPr>
        <w:t>根据货物的疵劣和受损程度以及买方遭受损失的金额，经双方同意降低货物价格。</w:t>
      </w:r>
    </w:p>
    <w:p>
      <w:pPr>
        <w:pStyle w:val="23"/>
        <w:numPr>
          <w:ilvl w:val="2"/>
          <w:numId w:val="13"/>
        </w:numPr>
        <w:tabs>
          <w:tab w:val="left" w:pos="919"/>
        </w:tabs>
        <w:spacing w:before="103" w:line="319" w:lineRule="auto"/>
        <w:ind w:left="260" w:right="281" w:firstLine="360"/>
        <w:jc w:val="both"/>
        <w:rPr>
          <w:sz w:val="24"/>
        </w:rPr>
      </w:pPr>
      <w:r>
        <w:rPr>
          <w:spacing w:val="2"/>
          <w:sz w:val="24"/>
        </w:rPr>
        <w:t>更换有缺陷的零件、部件和设备，或修理缺陷部分，以达到合同规定的规格、质量和</w:t>
      </w:r>
      <w:r>
        <w:rPr>
          <w:sz w:val="24"/>
        </w:rPr>
        <w:t>性能，卖方承担一切费用和风险并负担买方遭受的一切直接费用。同时卖方应相应延长被更换货物的质量保证期。</w:t>
      </w:r>
    </w:p>
    <w:p>
      <w:pPr>
        <w:pStyle w:val="23"/>
        <w:numPr>
          <w:ilvl w:val="1"/>
          <w:numId w:val="13"/>
        </w:numPr>
        <w:tabs>
          <w:tab w:val="left" w:pos="935"/>
        </w:tabs>
        <w:spacing w:before="0" w:line="319" w:lineRule="auto"/>
        <w:ind w:right="274" w:firstLine="120"/>
        <w:jc w:val="both"/>
        <w:rPr>
          <w:sz w:val="24"/>
        </w:rPr>
      </w:pPr>
      <w:r>
        <w:rPr>
          <w:spacing w:val="-4"/>
          <w:sz w:val="24"/>
        </w:rPr>
        <w:t xml:space="preserve">如果买方提出索赔通知后 </w:t>
      </w:r>
      <w:r>
        <w:rPr>
          <w:rFonts w:ascii="Arial" w:eastAsia="Arial"/>
          <w:sz w:val="24"/>
        </w:rPr>
        <w:t>10</w:t>
      </w:r>
      <w:r>
        <w:rPr>
          <w:spacing w:val="-1"/>
          <w:sz w:val="24"/>
        </w:rPr>
        <w:t>天内卖方未能予以答复，该索赔应视为已被卖方接受。若</w:t>
      </w:r>
      <w:r>
        <w:rPr>
          <w:spacing w:val="-4"/>
          <w:sz w:val="24"/>
        </w:rPr>
        <w:t xml:space="preserve">卖方未能在买方提出索赔通知的 </w:t>
      </w:r>
      <w:r>
        <w:rPr>
          <w:rFonts w:ascii="Arial" w:eastAsia="Arial"/>
          <w:sz w:val="24"/>
        </w:rPr>
        <w:t>10</w:t>
      </w:r>
      <w:r>
        <w:rPr>
          <w:spacing w:val="-2"/>
          <w:sz w:val="24"/>
        </w:rPr>
        <w:t>天内或买方同意的更长一些的时间内，按买方同意的上述</w:t>
      </w:r>
      <w:r>
        <w:rPr>
          <w:sz w:val="24"/>
        </w:rPr>
        <w:t>任何一种方式处理索赔事宜，买方将从未付款或卖方提供的履约保证金中扣回索赔金额，同时保留进一步要求赔偿的权利。</w:t>
      </w:r>
    </w:p>
    <w:p>
      <w:pPr>
        <w:pStyle w:val="23"/>
        <w:numPr>
          <w:ilvl w:val="0"/>
          <w:numId w:val="13"/>
        </w:numPr>
        <w:tabs>
          <w:tab w:val="left" w:pos="771"/>
        </w:tabs>
        <w:spacing w:before="1"/>
        <w:ind w:left="770" w:hanging="510"/>
        <w:rPr>
          <w:sz w:val="24"/>
        </w:rPr>
      </w:pPr>
      <w:r>
        <w:rPr>
          <w:spacing w:val="-1"/>
          <w:sz w:val="24"/>
        </w:rPr>
        <w:t>延期交货与核定损失额</w:t>
      </w:r>
    </w:p>
    <w:p>
      <w:pPr>
        <w:pStyle w:val="23"/>
        <w:numPr>
          <w:ilvl w:val="1"/>
          <w:numId w:val="13"/>
        </w:numPr>
        <w:tabs>
          <w:tab w:val="left" w:pos="883"/>
        </w:tabs>
        <w:spacing w:line="319" w:lineRule="auto"/>
        <w:ind w:right="273" w:firstLine="120"/>
        <w:jc w:val="both"/>
        <w:rPr>
          <w:sz w:val="24"/>
        </w:rPr>
      </w:pPr>
      <w:r>
        <w:rPr>
          <w:spacing w:val="-1"/>
          <w:sz w:val="24"/>
        </w:rPr>
        <w:t>如果卖方未能按合同规定的时间按期交货</w:t>
      </w:r>
      <w:r>
        <w:rPr>
          <w:rFonts w:ascii="Arial" w:eastAsia="Arial"/>
          <w:sz w:val="24"/>
        </w:rPr>
        <w:t>(</w:t>
      </w:r>
      <w:r>
        <w:rPr>
          <w:spacing w:val="7"/>
          <w:sz w:val="24"/>
        </w:rPr>
        <w:t>本合同第</w:t>
      </w:r>
      <w:r>
        <w:rPr>
          <w:rFonts w:ascii="Arial" w:eastAsia="Arial"/>
          <w:sz w:val="24"/>
        </w:rPr>
        <w:t>18</w:t>
      </w:r>
      <w:r>
        <w:rPr>
          <w:spacing w:val="-1"/>
          <w:sz w:val="24"/>
        </w:rPr>
        <w:t>款规定的不可抗力除外</w:t>
      </w:r>
      <w:r>
        <w:rPr>
          <w:rFonts w:ascii="Arial" w:eastAsia="Arial"/>
          <w:sz w:val="24"/>
        </w:rPr>
        <w:t>)</w:t>
      </w:r>
      <w:r>
        <w:rPr>
          <w:sz w:val="24"/>
        </w:rPr>
        <w:t>，在卖方同意支付核定损失额的条件下，买方将同意延长交货期。核定损失额的支付将从未付款或从</w:t>
      </w:r>
      <w:r>
        <w:rPr>
          <w:spacing w:val="-3"/>
          <w:sz w:val="24"/>
        </w:rPr>
        <w:t xml:space="preserve">履约保证金中扣除。核定损失额比率为每迟交 </w:t>
      </w:r>
      <w:r>
        <w:rPr>
          <w:rFonts w:ascii="Arial" w:eastAsia="Arial"/>
          <w:sz w:val="24"/>
        </w:rPr>
        <w:t>7</w:t>
      </w:r>
      <w:r>
        <w:rPr>
          <w:spacing w:val="-6"/>
          <w:sz w:val="24"/>
        </w:rPr>
        <w:t xml:space="preserve">天，按迟交货物金额的 </w:t>
      </w:r>
      <w:r>
        <w:rPr>
          <w:rFonts w:ascii="Arial" w:eastAsia="Arial"/>
          <w:sz w:val="24"/>
        </w:rPr>
        <w:t>0.5%</w:t>
      </w:r>
      <w:r>
        <w:rPr>
          <w:spacing w:val="-15"/>
          <w:sz w:val="24"/>
        </w:rPr>
        <w:t xml:space="preserve">，不满 </w:t>
      </w:r>
      <w:r>
        <w:rPr>
          <w:rFonts w:ascii="Arial" w:eastAsia="Arial"/>
          <w:sz w:val="24"/>
        </w:rPr>
        <w:t>7</w:t>
      </w:r>
      <w:r>
        <w:rPr>
          <w:spacing w:val="-19"/>
          <w:sz w:val="24"/>
        </w:rPr>
        <w:t xml:space="preserve">天按 </w:t>
      </w:r>
      <w:r>
        <w:rPr>
          <w:rFonts w:ascii="Arial" w:eastAsia="Arial"/>
          <w:spacing w:val="-11"/>
          <w:sz w:val="24"/>
        </w:rPr>
        <w:t xml:space="preserve">7 </w:t>
      </w:r>
      <w:r>
        <w:rPr>
          <w:spacing w:val="1"/>
          <w:sz w:val="24"/>
        </w:rPr>
        <w:t>天计算，但是，核定损失额的支付不得超过迟交货物部分合同金额的</w:t>
      </w:r>
      <w:r>
        <w:rPr>
          <w:rFonts w:ascii="Arial" w:eastAsia="Arial"/>
          <w:sz w:val="24"/>
        </w:rPr>
        <w:t>5%</w:t>
      </w:r>
      <w:r>
        <w:rPr>
          <w:spacing w:val="-2"/>
          <w:sz w:val="24"/>
        </w:rPr>
        <w:t>。如果卖方在达到核</w:t>
      </w:r>
      <w:r>
        <w:rPr>
          <w:sz w:val="24"/>
        </w:rPr>
        <w:t>定损失额的最高限额后仍不能交货，买方有权因卖方违约终止合同，而卖方仍有义务支付上述迟交核定损失金额。</w:t>
      </w:r>
    </w:p>
    <w:p>
      <w:pPr>
        <w:pStyle w:val="23"/>
        <w:numPr>
          <w:ilvl w:val="0"/>
          <w:numId w:val="13"/>
        </w:numPr>
        <w:tabs>
          <w:tab w:val="left" w:pos="771"/>
        </w:tabs>
        <w:spacing w:before="0" w:line="306" w:lineRule="exact"/>
        <w:ind w:left="770" w:hanging="510"/>
        <w:rPr>
          <w:sz w:val="24"/>
        </w:rPr>
      </w:pPr>
      <w:r>
        <w:rPr>
          <w:sz w:val="24"/>
        </w:rPr>
        <w:t>不可抗力</w:t>
      </w:r>
    </w:p>
    <w:p>
      <w:pPr>
        <w:pStyle w:val="23"/>
        <w:numPr>
          <w:ilvl w:val="1"/>
          <w:numId w:val="13"/>
        </w:numPr>
        <w:tabs>
          <w:tab w:val="left" w:pos="890"/>
        </w:tabs>
        <w:spacing w:before="103" w:line="319" w:lineRule="auto"/>
        <w:ind w:right="277" w:firstLine="120"/>
        <w:jc w:val="both"/>
        <w:rPr>
          <w:sz w:val="24"/>
        </w:rPr>
      </w:pPr>
      <w:r>
        <w:rPr>
          <w:spacing w:val="-2"/>
          <w:sz w:val="24"/>
        </w:rPr>
        <w:t>签约双方任一方由于受诸如战争、严重火灾、洪水、台风、地震等不可抗力事故的影响</w:t>
      </w:r>
      <w:r>
        <w:rPr>
          <w:spacing w:val="8"/>
          <w:sz w:val="24"/>
        </w:rPr>
        <w:t>而不能执行合同时，履行合同的期限应予以延长，则延长的期限应相当于事故所影响的时</w:t>
      </w:r>
      <w:r>
        <w:rPr>
          <w:sz w:val="24"/>
        </w:rPr>
        <w:t>间。不可抗力事故系指买卖双方在缔结合同时所不能预见的，并且它的发生及其后果是无法避免和无法克服的事故。</w:t>
      </w:r>
    </w:p>
    <w:p>
      <w:pPr>
        <w:pStyle w:val="23"/>
        <w:numPr>
          <w:ilvl w:val="1"/>
          <w:numId w:val="13"/>
        </w:numPr>
        <w:tabs>
          <w:tab w:val="left" w:pos="890"/>
        </w:tabs>
        <w:spacing w:before="1"/>
        <w:ind w:left="889" w:hanging="509"/>
        <w:rPr>
          <w:sz w:val="24"/>
        </w:rPr>
      </w:pPr>
      <w:r>
        <w:rPr>
          <w:spacing w:val="-1"/>
          <w:sz w:val="24"/>
        </w:rPr>
        <w:t>受阻一方应在不可抗力事故发生后尽快用电报、传真或电传通知对方，并于事故发生后</w:t>
      </w:r>
    </w:p>
    <w:p>
      <w:pPr>
        <w:pStyle w:val="7"/>
        <w:spacing w:before="100" w:line="319" w:lineRule="auto"/>
        <w:ind w:right="277"/>
        <w:jc w:val="both"/>
      </w:pPr>
      <w:r>
        <w:rPr>
          <w:rFonts w:ascii="Arial" w:eastAsia="Arial"/>
        </w:rPr>
        <w:t>10</w:t>
      </w:r>
      <w:r>
        <w:rPr>
          <w:spacing w:val="-2"/>
        </w:rPr>
        <w:t>天内将有关部门出具的证明文件用特快专递或挂号信寄给对方审阅确认。一旦不可抗力事</w:t>
      </w:r>
      <w:r>
        <w:rPr>
          <w:spacing w:val="-9"/>
        </w:rPr>
        <w:t xml:space="preserve">故的影响持续 </w:t>
      </w:r>
      <w:r>
        <w:rPr>
          <w:rFonts w:ascii="Arial" w:eastAsia="Arial"/>
        </w:rPr>
        <w:t xml:space="preserve">20 </w:t>
      </w:r>
      <w:r>
        <w:rPr>
          <w:spacing w:val="-3"/>
        </w:rPr>
        <w:t>天以上，双方应通过友好协商在合理的时间内达成进一步履行合同的协议。</w:t>
      </w:r>
      <w:r>
        <w:rPr>
          <w:rFonts w:ascii="Arial" w:eastAsia="Arial"/>
        </w:rPr>
        <w:t>19</w:t>
      </w:r>
      <w:r>
        <w:t>．仲裁</w:t>
      </w:r>
    </w:p>
    <w:p>
      <w:pPr>
        <w:pStyle w:val="23"/>
        <w:numPr>
          <w:ilvl w:val="1"/>
          <w:numId w:val="15"/>
        </w:numPr>
        <w:tabs>
          <w:tab w:val="left" w:pos="974"/>
        </w:tabs>
        <w:spacing w:before="0" w:line="307" w:lineRule="exact"/>
        <w:ind w:hanging="593"/>
        <w:rPr>
          <w:sz w:val="24"/>
        </w:rPr>
      </w:pPr>
      <w:r>
        <w:rPr>
          <w:sz w:val="24"/>
        </w:rPr>
        <w:t>在执行本合同中发生的或与本合同有关的争端，双方应通过友好协商解决，经协商在</w:t>
      </w:r>
    </w:p>
    <w:p>
      <w:pPr>
        <w:pStyle w:val="7"/>
        <w:spacing w:before="103"/>
        <w:jc w:val="both"/>
      </w:pPr>
      <w:r>
        <w:rPr>
          <w:rFonts w:ascii="Arial" w:eastAsia="Arial"/>
        </w:rPr>
        <w:t xml:space="preserve">30 </w:t>
      </w:r>
      <w:r>
        <w:t>天内不能达成协议时，应提交仲裁。</w:t>
      </w:r>
    </w:p>
    <w:p>
      <w:pPr>
        <w:pStyle w:val="23"/>
        <w:numPr>
          <w:ilvl w:val="1"/>
          <w:numId w:val="15"/>
        </w:numPr>
        <w:tabs>
          <w:tab w:val="left" w:pos="911"/>
        </w:tabs>
        <w:ind w:left="910" w:hanging="530"/>
        <w:rPr>
          <w:sz w:val="24"/>
        </w:rPr>
      </w:pPr>
      <w:r>
        <w:rPr>
          <w:spacing w:val="-1"/>
          <w:sz w:val="24"/>
        </w:rPr>
        <w:t>仲裁应由买方当地仲裁机构根据其仲裁程序和暂行规则进行。</w:t>
      </w:r>
    </w:p>
    <w:p>
      <w:pPr>
        <w:pStyle w:val="23"/>
        <w:numPr>
          <w:ilvl w:val="1"/>
          <w:numId w:val="15"/>
        </w:numPr>
        <w:tabs>
          <w:tab w:val="left" w:pos="911"/>
        </w:tabs>
        <w:ind w:left="910" w:hanging="530"/>
        <w:rPr>
          <w:sz w:val="24"/>
        </w:rPr>
      </w:pPr>
      <w:r>
        <w:rPr>
          <w:spacing w:val="-1"/>
          <w:sz w:val="24"/>
        </w:rPr>
        <w:t>仲裁裁决应为最终决定，并对双方具有约束力。</w:t>
      </w:r>
    </w:p>
    <w:p>
      <w:pPr>
        <w:pStyle w:val="23"/>
        <w:numPr>
          <w:ilvl w:val="1"/>
          <w:numId w:val="15"/>
        </w:numPr>
        <w:tabs>
          <w:tab w:val="left" w:pos="911"/>
        </w:tabs>
        <w:spacing w:before="103"/>
        <w:ind w:left="910" w:hanging="530"/>
        <w:rPr>
          <w:sz w:val="24"/>
        </w:rPr>
      </w:pPr>
      <w:r>
        <w:rPr>
          <w:spacing w:val="-1"/>
          <w:sz w:val="24"/>
        </w:rPr>
        <w:t>除另有裁决外，仲裁费应由败诉方负担。</w:t>
      </w:r>
    </w:p>
    <w:p>
      <w:pPr>
        <w:pStyle w:val="23"/>
        <w:numPr>
          <w:ilvl w:val="1"/>
          <w:numId w:val="15"/>
        </w:numPr>
        <w:tabs>
          <w:tab w:val="left" w:pos="911"/>
        </w:tabs>
        <w:spacing w:before="100"/>
        <w:ind w:left="910" w:hanging="530"/>
        <w:rPr>
          <w:sz w:val="24"/>
        </w:rPr>
      </w:pPr>
      <w:r>
        <w:rPr>
          <w:spacing w:val="-1"/>
          <w:sz w:val="24"/>
        </w:rPr>
        <w:t>在仲裁期间，除正在进行仲裁部分外，合同其它部分继续执行。</w:t>
      </w:r>
    </w:p>
    <w:p>
      <w:pPr>
        <w:pStyle w:val="23"/>
        <w:numPr>
          <w:ilvl w:val="0"/>
          <w:numId w:val="16"/>
        </w:numPr>
        <w:tabs>
          <w:tab w:val="left" w:pos="771"/>
        </w:tabs>
        <w:spacing w:before="103"/>
        <w:ind w:hanging="510"/>
        <w:jc w:val="both"/>
        <w:rPr>
          <w:sz w:val="24"/>
        </w:rPr>
      </w:pPr>
      <w:r>
        <w:rPr>
          <w:sz w:val="24"/>
        </w:rPr>
        <w:t>违约终止合同</w:t>
      </w:r>
    </w:p>
    <w:p>
      <w:pPr>
        <w:pStyle w:val="23"/>
        <w:numPr>
          <w:ilvl w:val="1"/>
          <w:numId w:val="16"/>
        </w:numPr>
        <w:tabs>
          <w:tab w:val="left" w:pos="1091"/>
        </w:tabs>
        <w:spacing w:before="49" w:line="319" w:lineRule="auto"/>
        <w:ind w:right="276" w:firstLine="240"/>
        <w:jc w:val="both"/>
        <w:rPr>
          <w:sz w:val="24"/>
        </w:rPr>
      </w:pPr>
      <w:r>
        <w:rPr>
          <w:sz w:val="24"/>
        </w:rPr>
        <w:t>在补救违约而采取的任何其他措施未能实现的情况下，即在卖方收到买方发出的违约</w:t>
      </w:r>
      <w:r>
        <w:rPr>
          <w:spacing w:val="-5"/>
          <w:sz w:val="24"/>
        </w:rPr>
        <w:t xml:space="preserve">通知后 </w:t>
      </w:r>
      <w:r>
        <w:rPr>
          <w:rFonts w:ascii="Arial" w:eastAsia="Arial"/>
          <w:sz w:val="24"/>
        </w:rPr>
        <w:t>10</w:t>
      </w:r>
      <w:r>
        <w:rPr>
          <w:sz w:val="24"/>
        </w:rPr>
        <w:t>天内</w:t>
      </w:r>
      <w:r>
        <w:rPr>
          <w:rFonts w:ascii="Arial" w:eastAsia="Arial"/>
          <w:sz w:val="24"/>
        </w:rPr>
        <w:t>(</w:t>
      </w:r>
      <w:r>
        <w:rPr>
          <w:spacing w:val="-2"/>
          <w:sz w:val="24"/>
        </w:rPr>
        <w:t>或经买方书面确认的更长时间内</w:t>
      </w:r>
      <w:r>
        <w:rPr>
          <w:rFonts w:ascii="Arial" w:eastAsia="Arial"/>
          <w:sz w:val="24"/>
        </w:rPr>
        <w:t>)</w:t>
      </w:r>
      <w:r>
        <w:rPr>
          <w:spacing w:val="-1"/>
          <w:sz w:val="24"/>
        </w:rPr>
        <w:t>仍未纠正其下述任何一种违约行为，买方可</w:t>
      </w:r>
      <w:r>
        <w:rPr>
          <w:sz w:val="24"/>
        </w:rPr>
        <w:t>向卖方发出书面违约通知，终止全部或部分合同：</w:t>
      </w:r>
    </w:p>
    <w:p>
      <w:pPr>
        <w:pStyle w:val="23"/>
        <w:numPr>
          <w:ilvl w:val="2"/>
          <w:numId w:val="16"/>
        </w:numPr>
        <w:tabs>
          <w:tab w:val="left" w:pos="1035"/>
        </w:tabs>
        <w:spacing w:before="0"/>
        <w:ind w:hanging="294"/>
        <w:rPr>
          <w:sz w:val="24"/>
        </w:rPr>
      </w:pPr>
      <w:r>
        <w:rPr>
          <w:sz w:val="24"/>
        </w:rPr>
        <w:t>如果卖方未能在合同规定的期限内或买方准许的任何延期内交付部分或全部货物。</w:t>
      </w:r>
    </w:p>
    <w:p>
      <w:pPr>
        <w:pStyle w:val="23"/>
        <w:numPr>
          <w:ilvl w:val="2"/>
          <w:numId w:val="16"/>
        </w:numPr>
        <w:tabs>
          <w:tab w:val="left" w:pos="1035"/>
        </w:tabs>
        <w:spacing w:before="103"/>
        <w:ind w:hanging="294"/>
        <w:rPr>
          <w:sz w:val="24"/>
        </w:rPr>
      </w:pPr>
      <w:r>
        <w:rPr>
          <w:sz w:val="24"/>
        </w:rPr>
        <w:t>卖方未能履行合同项下的任何其它义务。</w:t>
      </w:r>
    </w:p>
    <w:p>
      <w:pPr>
        <w:pStyle w:val="23"/>
        <w:numPr>
          <w:ilvl w:val="0"/>
          <w:numId w:val="16"/>
        </w:numPr>
        <w:tabs>
          <w:tab w:val="left" w:pos="717"/>
        </w:tabs>
        <w:spacing w:line="319" w:lineRule="auto"/>
        <w:ind w:left="260" w:right="274" w:firstLine="120"/>
        <w:jc w:val="both"/>
        <w:rPr>
          <w:sz w:val="24"/>
        </w:rPr>
      </w:pPr>
      <w:r>
        <w:rPr>
          <w:spacing w:val="-4"/>
          <w:sz w:val="24"/>
        </w:rPr>
        <w:t xml:space="preserve">一旦买方根据第 </w:t>
      </w:r>
      <w:r>
        <w:rPr>
          <w:rFonts w:ascii="Arial" w:eastAsia="Arial"/>
          <w:sz w:val="24"/>
        </w:rPr>
        <w:t>21.1</w:t>
      </w:r>
      <w:r>
        <w:rPr>
          <w:spacing w:val="-2"/>
          <w:sz w:val="24"/>
        </w:rPr>
        <w:t>款终止部分或全部合同，买方可以按其认为适当的条件和方式采购</w:t>
      </w:r>
      <w:r>
        <w:rPr>
          <w:sz w:val="24"/>
        </w:rPr>
        <w:t>类似未交付部分的货物。卖方应承担买方购买类似货物的额外费用。但是，卖方应继续履行合同中未终止的部分。</w:t>
      </w:r>
    </w:p>
    <w:p>
      <w:pPr>
        <w:pStyle w:val="23"/>
        <w:numPr>
          <w:ilvl w:val="0"/>
          <w:numId w:val="16"/>
        </w:numPr>
        <w:tabs>
          <w:tab w:val="left" w:pos="771"/>
        </w:tabs>
        <w:spacing w:before="0" w:line="307" w:lineRule="exact"/>
        <w:ind w:hanging="510"/>
        <w:rPr>
          <w:sz w:val="24"/>
        </w:rPr>
      </w:pPr>
      <w:r>
        <w:rPr>
          <w:sz w:val="24"/>
        </w:rPr>
        <w:t>变更指示</w:t>
      </w:r>
    </w:p>
    <w:p>
      <w:pPr>
        <w:pStyle w:val="23"/>
        <w:numPr>
          <w:ilvl w:val="1"/>
          <w:numId w:val="16"/>
        </w:numPr>
        <w:tabs>
          <w:tab w:val="left" w:pos="911"/>
        </w:tabs>
        <w:spacing w:before="102"/>
        <w:ind w:left="910" w:hanging="530"/>
        <w:rPr>
          <w:sz w:val="24"/>
        </w:rPr>
      </w:pPr>
      <w:r>
        <w:rPr>
          <w:spacing w:val="-1"/>
          <w:sz w:val="24"/>
        </w:rPr>
        <w:t>买方可以随时向卖方发出书面指示，在合同总体范围内对如下一点或几点提出变更：</w:t>
      </w:r>
    </w:p>
    <w:p>
      <w:pPr>
        <w:pStyle w:val="23"/>
        <w:numPr>
          <w:ilvl w:val="2"/>
          <w:numId w:val="16"/>
        </w:numPr>
        <w:tabs>
          <w:tab w:val="left" w:pos="1035"/>
        </w:tabs>
        <w:spacing w:before="102"/>
        <w:ind w:hanging="294"/>
        <w:rPr>
          <w:sz w:val="24"/>
        </w:rPr>
      </w:pPr>
      <w:r>
        <w:rPr>
          <w:sz w:val="24"/>
        </w:rPr>
        <w:t>合同项下需为买方特殊制造的货物的图纸、设计或规格；</w:t>
      </w:r>
    </w:p>
    <w:p>
      <w:pPr>
        <w:pStyle w:val="23"/>
        <w:numPr>
          <w:ilvl w:val="2"/>
          <w:numId w:val="16"/>
        </w:numPr>
        <w:tabs>
          <w:tab w:val="left" w:pos="1035"/>
        </w:tabs>
        <w:spacing w:before="102"/>
        <w:ind w:hanging="294"/>
        <w:rPr>
          <w:sz w:val="24"/>
        </w:rPr>
      </w:pPr>
      <w:r>
        <w:rPr>
          <w:sz w:val="24"/>
        </w:rPr>
        <w:t>装运方式和包装方式；</w:t>
      </w:r>
    </w:p>
    <w:p>
      <w:pPr>
        <w:pStyle w:val="23"/>
        <w:numPr>
          <w:ilvl w:val="2"/>
          <w:numId w:val="16"/>
        </w:numPr>
        <w:tabs>
          <w:tab w:val="left" w:pos="1035"/>
        </w:tabs>
        <w:ind w:hanging="294"/>
        <w:rPr>
          <w:sz w:val="24"/>
        </w:rPr>
      </w:pPr>
      <w:r>
        <w:rPr>
          <w:sz w:val="24"/>
        </w:rPr>
        <w:t>交货地点；</w:t>
      </w:r>
    </w:p>
    <w:p>
      <w:pPr>
        <w:pStyle w:val="23"/>
        <w:numPr>
          <w:ilvl w:val="2"/>
          <w:numId w:val="16"/>
        </w:numPr>
        <w:tabs>
          <w:tab w:val="left" w:pos="1035"/>
        </w:tabs>
        <w:spacing w:before="100"/>
        <w:ind w:hanging="294"/>
        <w:rPr>
          <w:sz w:val="24"/>
        </w:rPr>
      </w:pPr>
      <w:r>
        <w:rPr>
          <w:sz w:val="24"/>
        </w:rPr>
        <w:t>卖方须提供的服务。</w:t>
      </w:r>
    </w:p>
    <w:p>
      <w:pPr>
        <w:pStyle w:val="23"/>
        <w:numPr>
          <w:ilvl w:val="1"/>
          <w:numId w:val="16"/>
        </w:numPr>
        <w:tabs>
          <w:tab w:val="left" w:pos="890"/>
        </w:tabs>
        <w:spacing w:before="103" w:line="319" w:lineRule="auto"/>
        <w:ind w:right="277" w:firstLine="120"/>
        <w:jc w:val="both"/>
        <w:rPr>
          <w:sz w:val="24"/>
        </w:rPr>
      </w:pPr>
      <w:r>
        <w:rPr>
          <w:spacing w:val="-2"/>
          <w:sz w:val="24"/>
        </w:rPr>
        <w:t>若上述变更导致了卖方履行合同项下任何部分义务的费用或所需时间的增减，应对合同</w:t>
      </w:r>
      <w:r>
        <w:rPr>
          <w:sz w:val="24"/>
        </w:rPr>
        <w:t>价格或交货进度进行合理的调整，同时相应地修改合同。卖方必须在接到买方的变更指示后</w:t>
      </w:r>
    </w:p>
    <w:p>
      <w:pPr>
        <w:pStyle w:val="7"/>
        <w:spacing w:before="1"/>
      </w:pPr>
      <w:r>
        <w:rPr>
          <w:rFonts w:ascii="Arial" w:eastAsia="Arial"/>
        </w:rPr>
        <w:t xml:space="preserve">10 </w:t>
      </w:r>
      <w:r>
        <w:t>天内根据本款提出调整的实施意见。</w:t>
      </w:r>
    </w:p>
    <w:p>
      <w:pPr>
        <w:pStyle w:val="23"/>
        <w:numPr>
          <w:ilvl w:val="0"/>
          <w:numId w:val="16"/>
        </w:numPr>
        <w:tabs>
          <w:tab w:val="left" w:pos="771"/>
        </w:tabs>
        <w:spacing w:before="100"/>
        <w:ind w:hanging="510"/>
        <w:rPr>
          <w:sz w:val="24"/>
        </w:rPr>
      </w:pPr>
      <w:r>
        <w:rPr>
          <w:sz w:val="24"/>
        </w:rPr>
        <w:t>合同修改</w:t>
      </w:r>
    </w:p>
    <w:p>
      <w:pPr>
        <w:pStyle w:val="23"/>
        <w:numPr>
          <w:ilvl w:val="1"/>
          <w:numId w:val="16"/>
        </w:numPr>
        <w:tabs>
          <w:tab w:val="left" w:pos="911"/>
        </w:tabs>
        <w:ind w:left="910" w:hanging="530"/>
        <w:rPr>
          <w:sz w:val="24"/>
        </w:rPr>
      </w:pPr>
      <w:r>
        <w:rPr>
          <w:spacing w:val="-1"/>
          <w:sz w:val="24"/>
        </w:rPr>
        <w:t>欲对合同条款作出任何改动或偏离，均须由买卖双方签署书面的合同修改书。</w:t>
      </w:r>
    </w:p>
    <w:p>
      <w:pPr>
        <w:pStyle w:val="23"/>
        <w:numPr>
          <w:ilvl w:val="0"/>
          <w:numId w:val="16"/>
        </w:numPr>
        <w:tabs>
          <w:tab w:val="left" w:pos="771"/>
        </w:tabs>
        <w:spacing w:before="103"/>
        <w:ind w:hanging="510"/>
        <w:rPr>
          <w:sz w:val="24"/>
        </w:rPr>
      </w:pPr>
      <w:r>
        <w:rPr>
          <w:sz w:val="24"/>
        </w:rPr>
        <w:t>转让与分包</w:t>
      </w:r>
    </w:p>
    <w:p>
      <w:pPr>
        <w:pStyle w:val="23"/>
        <w:numPr>
          <w:ilvl w:val="1"/>
          <w:numId w:val="16"/>
        </w:numPr>
        <w:tabs>
          <w:tab w:val="left" w:pos="911"/>
        </w:tabs>
        <w:ind w:left="910" w:hanging="530"/>
        <w:rPr>
          <w:sz w:val="24"/>
        </w:rPr>
      </w:pPr>
      <w:r>
        <w:rPr>
          <w:spacing w:val="-1"/>
          <w:sz w:val="24"/>
        </w:rPr>
        <w:t>除买方事先同意外，卖方不得部分转让或全部转让其应履行的合同项下的义务。</w:t>
      </w:r>
    </w:p>
    <w:p>
      <w:pPr>
        <w:pStyle w:val="23"/>
        <w:numPr>
          <w:ilvl w:val="1"/>
          <w:numId w:val="16"/>
        </w:numPr>
        <w:tabs>
          <w:tab w:val="left" w:pos="890"/>
        </w:tabs>
        <w:spacing w:before="103" w:line="319" w:lineRule="auto"/>
        <w:ind w:right="276" w:firstLine="120"/>
        <w:jc w:val="both"/>
        <w:rPr>
          <w:sz w:val="24"/>
        </w:rPr>
      </w:pPr>
      <w:r>
        <w:rPr>
          <w:spacing w:val="-2"/>
          <w:sz w:val="24"/>
        </w:rPr>
        <w:t>卖方应书面通知买方本合同项下所授予的所有分包合同。但该通知不解除卖方承担的本</w:t>
      </w:r>
      <w:r>
        <w:rPr>
          <w:sz w:val="24"/>
        </w:rPr>
        <w:t>合同项下的任何责任或义务。</w:t>
      </w:r>
    </w:p>
    <w:p>
      <w:pPr>
        <w:pStyle w:val="23"/>
        <w:numPr>
          <w:ilvl w:val="0"/>
          <w:numId w:val="16"/>
        </w:numPr>
        <w:tabs>
          <w:tab w:val="left" w:pos="771"/>
        </w:tabs>
        <w:spacing w:before="0"/>
        <w:ind w:hanging="510"/>
        <w:rPr>
          <w:sz w:val="24"/>
        </w:rPr>
      </w:pPr>
      <w:r>
        <w:rPr>
          <w:sz w:val="24"/>
        </w:rPr>
        <w:t>适用法律</w:t>
      </w:r>
    </w:p>
    <w:p>
      <w:pPr>
        <w:pStyle w:val="23"/>
        <w:numPr>
          <w:ilvl w:val="1"/>
          <w:numId w:val="16"/>
        </w:numPr>
        <w:tabs>
          <w:tab w:val="left" w:pos="911"/>
        </w:tabs>
        <w:spacing w:before="100"/>
        <w:ind w:left="910" w:hanging="530"/>
        <w:rPr>
          <w:sz w:val="24"/>
        </w:rPr>
      </w:pPr>
      <w:r>
        <w:rPr>
          <w:spacing w:val="-1"/>
          <w:sz w:val="24"/>
        </w:rPr>
        <w:t>本合同应按中华人民共和国的相关法律解释。</w:t>
      </w:r>
    </w:p>
    <w:p>
      <w:pPr>
        <w:pStyle w:val="23"/>
        <w:numPr>
          <w:ilvl w:val="0"/>
          <w:numId w:val="16"/>
        </w:numPr>
        <w:tabs>
          <w:tab w:val="left" w:pos="771"/>
        </w:tabs>
        <w:ind w:hanging="510"/>
        <w:rPr>
          <w:sz w:val="24"/>
        </w:rPr>
      </w:pPr>
      <w:r>
        <w:rPr>
          <w:sz w:val="24"/>
        </w:rPr>
        <w:t>通知</w:t>
      </w:r>
    </w:p>
    <w:p>
      <w:pPr>
        <w:pStyle w:val="23"/>
        <w:numPr>
          <w:ilvl w:val="1"/>
          <w:numId w:val="16"/>
        </w:numPr>
        <w:tabs>
          <w:tab w:val="left" w:pos="890"/>
        </w:tabs>
        <w:spacing w:before="103" w:line="319" w:lineRule="auto"/>
        <w:ind w:right="277" w:firstLine="120"/>
        <w:jc w:val="both"/>
        <w:rPr>
          <w:sz w:val="24"/>
        </w:rPr>
      </w:pPr>
      <w:r>
        <w:rPr>
          <w:spacing w:val="-2"/>
          <w:sz w:val="24"/>
        </w:rPr>
        <w:t>本合同任何一方给另一方的通知都应以书面或电传、电报、传真的形式发送，而另一方</w:t>
      </w:r>
      <w:r>
        <w:rPr>
          <w:sz w:val="24"/>
        </w:rPr>
        <w:t>应以书面形式确并发送到对方明确的地址。</w:t>
      </w:r>
    </w:p>
    <w:p>
      <w:pPr>
        <w:pStyle w:val="23"/>
        <w:numPr>
          <w:ilvl w:val="0"/>
          <w:numId w:val="16"/>
        </w:numPr>
        <w:tabs>
          <w:tab w:val="left" w:pos="771"/>
        </w:tabs>
        <w:spacing w:before="0"/>
        <w:ind w:hanging="510"/>
        <w:rPr>
          <w:sz w:val="24"/>
        </w:rPr>
      </w:pPr>
      <w:r>
        <w:rPr>
          <w:spacing w:val="-1"/>
          <w:sz w:val="24"/>
        </w:rPr>
        <w:t>合同文件及资料的使用</w:t>
      </w:r>
    </w:p>
    <w:p>
      <w:pPr>
        <w:pStyle w:val="23"/>
        <w:numPr>
          <w:ilvl w:val="1"/>
          <w:numId w:val="16"/>
        </w:numPr>
        <w:tabs>
          <w:tab w:val="left" w:pos="890"/>
        </w:tabs>
        <w:spacing w:line="319" w:lineRule="auto"/>
        <w:ind w:right="274" w:firstLine="120"/>
        <w:jc w:val="both"/>
        <w:rPr>
          <w:sz w:val="24"/>
        </w:rPr>
      </w:pPr>
      <w:r>
        <w:rPr>
          <w:spacing w:val="-2"/>
          <w:sz w:val="24"/>
        </w:rPr>
        <w:t>除了卖方为执行合同所雇人员外，在未经买方同意的情况下，卖方不得将合同、合同中</w:t>
      </w:r>
      <w:r>
        <w:rPr>
          <w:sz w:val="24"/>
        </w:rPr>
        <w:t>的规定、有关规格、计划、图纸、式样、样本或买方为上述内容向卖方提供的资料透露给任何人。卖方须在对外保密的前提下，对其雇用人员提供有关情况，所提供的情况仅限于执行合同必不可少的范围内。</w:t>
      </w:r>
    </w:p>
    <w:p>
      <w:pPr>
        <w:pStyle w:val="23"/>
        <w:numPr>
          <w:ilvl w:val="1"/>
          <w:numId w:val="16"/>
        </w:numPr>
        <w:tabs>
          <w:tab w:val="left" w:pos="947"/>
        </w:tabs>
        <w:spacing w:before="1"/>
        <w:ind w:left="946" w:hanging="566"/>
        <w:rPr>
          <w:sz w:val="24"/>
        </w:rPr>
      </w:pPr>
      <w:r>
        <w:rPr>
          <w:spacing w:val="-2"/>
          <w:sz w:val="24"/>
        </w:rPr>
        <w:t xml:space="preserve">除非执行合同需要，在事先末得到买方同意的情况下，卖方不得使用第 </w:t>
      </w:r>
      <w:r>
        <w:rPr>
          <w:rFonts w:ascii="Arial" w:eastAsia="Arial"/>
          <w:sz w:val="24"/>
        </w:rPr>
        <w:t>27.1</w:t>
      </w:r>
      <w:r>
        <w:rPr>
          <w:spacing w:val="-1"/>
          <w:sz w:val="24"/>
        </w:rPr>
        <w:t>款中所列</w:t>
      </w:r>
    </w:p>
    <w:p>
      <w:pPr>
        <w:pStyle w:val="7"/>
        <w:spacing w:before="49"/>
      </w:pPr>
      <w:r>
        <w:t>的任何文件和资料。</w:t>
      </w:r>
    </w:p>
    <w:p>
      <w:pPr>
        <w:pStyle w:val="23"/>
        <w:numPr>
          <w:ilvl w:val="1"/>
          <w:numId w:val="16"/>
        </w:numPr>
        <w:tabs>
          <w:tab w:val="left" w:pos="971"/>
        </w:tabs>
        <w:spacing w:line="319" w:lineRule="auto"/>
        <w:ind w:right="278" w:firstLine="120"/>
        <w:rPr>
          <w:sz w:val="24"/>
        </w:rPr>
      </w:pPr>
      <w:r>
        <w:rPr>
          <w:sz w:val="24"/>
        </w:rPr>
        <w:t>除合同本身以外，</w:t>
      </w:r>
      <w:r>
        <w:rPr>
          <w:rFonts w:ascii="Arial" w:eastAsia="Arial"/>
          <w:sz w:val="24"/>
        </w:rPr>
        <w:t>27.1</w:t>
      </w:r>
      <w:r>
        <w:rPr>
          <w:sz w:val="24"/>
        </w:rPr>
        <w:t>款列明的所有资料始终为买方的财产，若买方要求，卖方应于其合同义务履行完毕以后将这些资料</w:t>
      </w:r>
      <w:r>
        <w:rPr>
          <w:rFonts w:ascii="Arial" w:eastAsia="Arial"/>
          <w:sz w:val="24"/>
        </w:rPr>
        <w:t>(</w:t>
      </w:r>
      <w:r>
        <w:rPr>
          <w:sz w:val="24"/>
        </w:rPr>
        <w:t>包括所有副本</w:t>
      </w:r>
      <w:r>
        <w:rPr>
          <w:rFonts w:ascii="Arial" w:eastAsia="Arial"/>
          <w:sz w:val="24"/>
        </w:rPr>
        <w:t>)</w:t>
      </w:r>
      <w:r>
        <w:rPr>
          <w:sz w:val="24"/>
        </w:rPr>
        <w:t>退还买方。</w:t>
      </w:r>
    </w:p>
    <w:p>
      <w:pPr>
        <w:pStyle w:val="23"/>
        <w:numPr>
          <w:ilvl w:val="0"/>
          <w:numId w:val="16"/>
        </w:numPr>
        <w:tabs>
          <w:tab w:val="left" w:pos="771"/>
        </w:tabs>
        <w:spacing w:before="1"/>
        <w:ind w:hanging="510"/>
        <w:rPr>
          <w:sz w:val="24"/>
        </w:rPr>
      </w:pPr>
      <w:r>
        <w:rPr>
          <w:sz w:val="24"/>
        </w:rPr>
        <w:t>合同生效及其他</w:t>
      </w:r>
    </w:p>
    <w:p>
      <w:pPr>
        <w:pStyle w:val="23"/>
        <w:numPr>
          <w:ilvl w:val="1"/>
          <w:numId w:val="16"/>
        </w:numPr>
        <w:tabs>
          <w:tab w:val="left" w:pos="911"/>
        </w:tabs>
        <w:spacing w:before="103"/>
        <w:ind w:left="910" w:hanging="530"/>
        <w:rPr>
          <w:sz w:val="24"/>
        </w:rPr>
      </w:pPr>
      <w:r>
        <w:rPr>
          <w:spacing w:val="-1"/>
          <w:sz w:val="24"/>
        </w:rPr>
        <w:t>本合同应在买方和卖方签字</w:t>
      </w:r>
      <w:r>
        <w:rPr>
          <w:sz w:val="24"/>
        </w:rPr>
        <w:t>（及买方收到卖方的履约保证金后），即开始生效。</w:t>
      </w:r>
    </w:p>
    <w:p>
      <w:pPr>
        <w:pStyle w:val="23"/>
        <w:numPr>
          <w:ilvl w:val="1"/>
          <w:numId w:val="16"/>
        </w:numPr>
        <w:tabs>
          <w:tab w:val="left" w:pos="890"/>
        </w:tabs>
        <w:spacing w:before="100" w:line="319" w:lineRule="auto"/>
        <w:ind w:right="277" w:firstLine="120"/>
        <w:rPr>
          <w:sz w:val="24"/>
        </w:rPr>
      </w:pPr>
      <w:r>
        <w:rPr>
          <w:spacing w:val="-2"/>
          <w:sz w:val="24"/>
        </w:rPr>
        <w:t>卖方须按技术规格中的规定，向买方提供与合同项下货物有关的现场安装调试、技术服</w:t>
      </w:r>
      <w:r>
        <w:rPr>
          <w:sz w:val="24"/>
        </w:rPr>
        <w:t>务、培训等其他相关服务。</w:t>
      </w:r>
    </w:p>
    <w:p>
      <w:pPr>
        <w:pStyle w:val="23"/>
        <w:numPr>
          <w:ilvl w:val="1"/>
          <w:numId w:val="16"/>
        </w:numPr>
        <w:tabs>
          <w:tab w:val="left" w:pos="971"/>
        </w:tabs>
        <w:spacing w:before="0"/>
        <w:ind w:left="970" w:hanging="590"/>
        <w:rPr>
          <w:sz w:val="24"/>
        </w:rPr>
      </w:pPr>
      <w:r>
        <w:rPr>
          <w:spacing w:val="-1"/>
          <w:sz w:val="24"/>
        </w:rPr>
        <w:t>商务合同应包括买方最后确认的价格条款和付款方式。</w:t>
      </w:r>
    </w:p>
    <w:p>
      <w:pPr>
        <w:pStyle w:val="23"/>
        <w:numPr>
          <w:ilvl w:val="1"/>
          <w:numId w:val="16"/>
        </w:numPr>
        <w:tabs>
          <w:tab w:val="left" w:pos="890"/>
        </w:tabs>
        <w:spacing w:line="319" w:lineRule="auto"/>
        <w:ind w:right="277" w:firstLine="120"/>
        <w:rPr>
          <w:sz w:val="24"/>
        </w:rPr>
      </w:pPr>
      <w:r>
        <w:rPr>
          <w:spacing w:val="-2"/>
          <w:sz w:val="24"/>
        </w:rPr>
        <w:t xml:space="preserve">本合同正本一式两份，用中文书写，买卖双方各执一份，副本一式肆份，用中文书写， </w:t>
      </w:r>
      <w:r>
        <w:rPr>
          <w:sz w:val="24"/>
        </w:rPr>
        <w:t>买卖双方各执贰份；</w:t>
      </w:r>
    </w:p>
    <w:p>
      <w:pPr>
        <w:pStyle w:val="23"/>
        <w:numPr>
          <w:ilvl w:val="1"/>
          <w:numId w:val="16"/>
        </w:numPr>
        <w:tabs>
          <w:tab w:val="left" w:pos="911"/>
        </w:tabs>
        <w:spacing w:before="1"/>
        <w:ind w:left="910" w:hanging="530"/>
        <w:rPr>
          <w:sz w:val="24"/>
        </w:rPr>
      </w:pPr>
      <w:r>
        <w:rPr>
          <w:spacing w:val="-1"/>
          <w:sz w:val="24"/>
        </w:rPr>
        <w:t>下述文件将作为合同附件为本合同不可分割的部分并与本合具有同等效力；</w:t>
      </w:r>
    </w:p>
    <w:p>
      <w:pPr>
        <w:pStyle w:val="23"/>
        <w:numPr>
          <w:ilvl w:val="0"/>
          <w:numId w:val="17"/>
        </w:numPr>
        <w:tabs>
          <w:tab w:val="left" w:pos="1100"/>
          <w:tab w:val="left" w:pos="1101"/>
        </w:tabs>
        <w:spacing w:before="103"/>
        <w:rPr>
          <w:sz w:val="24"/>
        </w:rPr>
      </w:pPr>
      <w:r>
        <w:rPr>
          <w:sz w:val="24"/>
        </w:rPr>
        <w:t>采购文件；</w:t>
      </w:r>
    </w:p>
    <w:p>
      <w:pPr>
        <w:pStyle w:val="23"/>
        <w:numPr>
          <w:ilvl w:val="0"/>
          <w:numId w:val="17"/>
        </w:numPr>
        <w:tabs>
          <w:tab w:val="left" w:pos="1100"/>
          <w:tab w:val="left" w:pos="1101"/>
        </w:tabs>
        <w:spacing w:before="100"/>
        <w:rPr>
          <w:sz w:val="24"/>
        </w:rPr>
      </w:pPr>
      <w:r>
        <w:rPr>
          <w:sz w:val="24"/>
        </w:rPr>
        <w:t>中标通知书；</w:t>
      </w:r>
    </w:p>
    <w:p>
      <w:pPr>
        <w:pStyle w:val="23"/>
        <w:numPr>
          <w:ilvl w:val="0"/>
          <w:numId w:val="17"/>
        </w:numPr>
        <w:tabs>
          <w:tab w:val="left" w:pos="1100"/>
          <w:tab w:val="left" w:pos="1101"/>
        </w:tabs>
        <w:rPr>
          <w:sz w:val="24"/>
        </w:rPr>
      </w:pPr>
      <w:r>
        <w:rPr>
          <w:sz w:val="24"/>
        </w:rPr>
        <w:t>中标方的投标文件及询标中的书面答疑；</w:t>
      </w:r>
    </w:p>
    <w:p>
      <w:pPr>
        <w:pStyle w:val="23"/>
        <w:numPr>
          <w:ilvl w:val="0"/>
          <w:numId w:val="17"/>
        </w:numPr>
        <w:tabs>
          <w:tab w:val="left" w:pos="1114"/>
          <w:tab w:val="left" w:pos="1115"/>
        </w:tabs>
        <w:spacing w:before="103"/>
        <w:ind w:left="1114" w:hanging="614"/>
        <w:rPr>
          <w:sz w:val="24"/>
        </w:rPr>
      </w:pPr>
      <w:r>
        <w:rPr>
          <w:sz w:val="24"/>
        </w:rPr>
        <w:t>合同条款及合同特殊条款；</w:t>
      </w:r>
    </w:p>
    <w:p>
      <w:pPr>
        <w:pStyle w:val="7"/>
        <w:ind w:left="0"/>
        <w:rPr>
          <w:sz w:val="26"/>
        </w:rPr>
      </w:pPr>
    </w:p>
    <w:p>
      <w:pPr>
        <w:pStyle w:val="7"/>
        <w:ind w:left="0"/>
        <w:rPr>
          <w:sz w:val="26"/>
        </w:rPr>
      </w:pPr>
    </w:p>
    <w:p>
      <w:pPr>
        <w:pStyle w:val="7"/>
        <w:spacing w:before="9"/>
        <w:ind w:left="0"/>
        <w:rPr>
          <w:sz w:val="19"/>
        </w:rPr>
      </w:pPr>
    </w:p>
    <w:p>
      <w:pPr>
        <w:pStyle w:val="7"/>
        <w:tabs>
          <w:tab w:val="left" w:pos="5901"/>
        </w:tabs>
        <w:ind w:left="740"/>
      </w:pPr>
      <w:r>
        <w:t>买方：</w:t>
      </w:r>
      <w:r>
        <w:tab/>
      </w:r>
      <w:r>
        <w:t>卖方：</w:t>
      </w:r>
    </w:p>
    <w:p>
      <w:pPr>
        <w:pStyle w:val="7"/>
        <w:tabs>
          <w:tab w:val="left" w:pos="5901"/>
        </w:tabs>
        <w:spacing w:before="101"/>
        <w:ind w:left="740"/>
      </w:pPr>
      <w:r>
        <w:t>代表：</w:t>
      </w:r>
      <w:r>
        <w:tab/>
      </w:r>
      <w:r>
        <w:t>代表：</w:t>
      </w:r>
    </w:p>
    <w:p>
      <w:pPr>
        <w:pStyle w:val="7"/>
        <w:ind w:left="0"/>
        <w:rPr>
          <w:sz w:val="20"/>
        </w:rPr>
      </w:pPr>
    </w:p>
    <w:p>
      <w:pPr>
        <w:pStyle w:val="7"/>
        <w:spacing w:before="6"/>
        <w:ind w:left="0"/>
        <w:rPr>
          <w:sz w:val="14"/>
        </w:rPr>
      </w:pPr>
      <w: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ragraph">
                  <wp:posOffset>147955</wp:posOffset>
                </wp:positionV>
                <wp:extent cx="6226810" cy="635"/>
                <wp:effectExtent l="0" t="0" r="0" b="0"/>
                <wp:wrapTopAndBottom/>
                <wp:docPr id="1" name="直接连接符 3"/>
                <wp:cNvGraphicFramePr/>
                <a:graphic xmlns:a="http://schemas.openxmlformats.org/drawingml/2006/main">
                  <a:graphicData uri="http://schemas.microsoft.com/office/word/2010/wordprocessingShape">
                    <wps:wsp>
                      <wps:cNvCnPr/>
                      <wps:spPr>
                        <a:xfrm>
                          <a:off x="0" y="0"/>
                          <a:ext cx="6226810" cy="635"/>
                        </a:xfrm>
                        <a:prstGeom prst="line">
                          <a:avLst/>
                        </a:prstGeom>
                        <a:ln w="9144"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52.55pt;margin-top:11.65pt;height:0.05pt;width:490.3pt;mso-position-horizontal-relative:page;mso-wrap-distance-bottom:0pt;mso-wrap-distance-top:0pt;z-index:-251657216;mso-width-relative:page;mso-height-relative:page;" filled="f" stroked="t" coordsize="21600,21600" o:gfxdata="UEsDBAoAAAAAAIdO4kAAAAAAAAAAAAAAAAAEAAAAZHJzL1BLAwQUAAAACACHTuJAK99fjtYAAAAK&#10;AQAADwAAAGRycy9kb3ducmV2LnhtbE2Py07DMBBF90j8gzVI7Kidlj4U4nRRhQ1iAYEPmMZDHBGP&#10;o9htSr8eZwXLO3N050yxv7henGkMnWcN2UKBIG686bjV8Pnx/LADESKywd4zafihAPvy9qbA3PiJ&#10;3+lcx1akEg45arAxDrmUobHkMCz8QJx2X350GFMcW2lGnFK56+VSqY102HG6YHGgg6Xmuz45DfXb&#10;67R5uV6nalt3GGLsbFUdtL6/y9QTiEiX+AfDrJ/UoUxOR39iE0SfslpnCdWwXK1AzIDarbcgjvPk&#10;EWRZyP8vlL9QSwMEFAAAAAgAh07iQFfavwEHAgAAFgQAAA4AAABkcnMvZTJvRG9jLnhtbK1TS44T&#10;MRDdI3EHy3vS6cwQDa10ZjFh2CCIBBygYrvTlvyT7aSTS3ABJHawYsme28xwDMp2E4ZhkwW9cJfr&#10;81zvuby4PmhF9sIHaU1L68mUEmGY5dJsW/rh/e2zK0pCBMNBWSNaehSBXi+fPlkMrhEz21vFhScI&#10;YkIzuJb2MbqmqgLrhYYwsU4YDHbWa4i49duKexgQXatqNp3Oq8F67rxlIgT0rkqQjoj+HEDbdZKJ&#10;lWU7LUwsqF4oiEgp9NIFuszddp1g8W3XBRGJaikyjXnFQ9DepLVaLqDZenC9ZGMLcE4LjzhpkAYP&#10;PUGtIALZefkPlJbM22C7OGFWV4VIVgRZ1NNH2rzrwYnMBaUO7iR6+H+w7M1+7YnkOAmUGNB44fef&#10;vt99/PLzx2dc7799JRdJpMGFBnNvzNqPu+DWPjE+dF6nP3Ihhyzs8SSsOETC0DmfzeZXNWrOMDa/&#10;eJ4Qqz+lzof4SlhNktFSJU1iDQ3sX4dYUn+nJLcyZGjpi/ryEgEBR7DDq0dTO6QRzDbXBqskv5VK&#10;pYrgt5sb5cke0hjkrxygXA/FWxdvOW3Mz03+BZTaWEHoS00OlRHqBfCXhpN4dCihwZdDU5NacEqU&#10;wIeWLASHJoJU52SiPsqkApHHeFQi3UNRPlkby494fTvn5bZH5eosbIrguOTux9FO8/hwj/bD57z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fX47WAAAACgEAAA8AAAAAAAAAAQAgAAAAIgAAAGRy&#10;cy9kb3ducmV2LnhtbFBLAQIUABQAAAAIAIdO4kBX2r8BBwIAABYEAAAOAAAAAAAAAAEAIAAAACUB&#10;AABkcnMvZTJvRG9jLnhtbFBLBQYAAAAABgAGAFkBAACeBQAAAAA=&#10;">
                <v:fill on="f" focussize="0,0"/>
                <v:stroke weight="0.72pt" color="#000000" joinstyle="round"/>
                <v:imagedata o:title=""/>
                <o:lock v:ext="edit" aspectratio="f"/>
                <w10:wrap type="topAndBottom"/>
              </v:line>
            </w:pict>
          </mc:Fallback>
        </mc:AlternateContent>
      </w:r>
    </w:p>
    <w:p>
      <w:pPr>
        <w:pStyle w:val="7"/>
        <w:spacing w:before="3"/>
        <w:ind w:left="0"/>
        <w:rPr>
          <w:sz w:val="28"/>
        </w:rPr>
      </w:pPr>
    </w:p>
    <w:p>
      <w:pPr>
        <w:pStyle w:val="7"/>
        <w:spacing w:before="67"/>
      </w:pPr>
      <w:r>
        <w:t>附录：</w:t>
      </w:r>
    </w:p>
    <w:p>
      <w:pPr>
        <w:pStyle w:val="7"/>
        <w:tabs>
          <w:tab w:val="left" w:pos="1174"/>
        </w:tabs>
        <w:spacing w:before="102"/>
      </w:pPr>
      <w:r>
        <w:t>附录</w:t>
      </w:r>
      <w:r>
        <w:rPr>
          <w:rFonts w:ascii="Arial" w:eastAsia="Arial"/>
        </w:rPr>
        <w:t>1</w:t>
      </w:r>
      <w:r>
        <w:rPr>
          <w:rFonts w:ascii="Arial" w:eastAsia="Arial"/>
        </w:rPr>
        <w:tab/>
      </w:r>
      <w:r>
        <w:t>价目表</w:t>
      </w:r>
    </w:p>
    <w:p>
      <w:pPr>
        <w:pStyle w:val="7"/>
        <w:tabs>
          <w:tab w:val="left" w:pos="1174"/>
        </w:tabs>
        <w:spacing w:before="101"/>
      </w:pPr>
      <w:r>
        <w:t>附录</w:t>
      </w:r>
      <w:r>
        <w:rPr>
          <w:rFonts w:ascii="Arial" w:eastAsia="Arial"/>
        </w:rPr>
        <w:t>2</w:t>
      </w:r>
      <w:r>
        <w:rPr>
          <w:rFonts w:ascii="Arial" w:eastAsia="Arial"/>
        </w:rPr>
        <w:tab/>
      </w:r>
      <w:r>
        <w:t>供货范围及详细报价的技术资料</w:t>
      </w:r>
    </w:p>
    <w:p>
      <w:pPr>
        <w:pStyle w:val="7"/>
        <w:tabs>
          <w:tab w:val="left" w:pos="1174"/>
        </w:tabs>
        <w:spacing w:before="103"/>
      </w:pPr>
      <w:r>
        <w:t>附录</w:t>
      </w:r>
      <w:r>
        <w:rPr>
          <w:rFonts w:ascii="Arial" w:eastAsia="Arial"/>
        </w:rPr>
        <w:t>3</w:t>
      </w:r>
      <w:r>
        <w:rPr>
          <w:rFonts w:ascii="Arial" w:eastAsia="Arial"/>
        </w:rPr>
        <w:tab/>
      </w:r>
      <w:r>
        <w:t>技术服务</w:t>
      </w:r>
    </w:p>
    <w:p>
      <w:pPr>
        <w:pStyle w:val="7"/>
        <w:tabs>
          <w:tab w:val="left" w:pos="1174"/>
        </w:tabs>
        <w:spacing w:before="100"/>
      </w:pPr>
      <w:r>
        <w:t>附录</w:t>
      </w:r>
      <w:r>
        <w:rPr>
          <w:rFonts w:ascii="Arial" w:eastAsia="Arial"/>
        </w:rPr>
        <w:t>4</w:t>
      </w:r>
      <w:r>
        <w:rPr>
          <w:rFonts w:ascii="Arial" w:eastAsia="Arial"/>
        </w:rPr>
        <w:tab/>
      </w:r>
      <w:r>
        <w:t>技术参数</w:t>
      </w:r>
    </w:p>
    <w:p>
      <w:pPr>
        <w:pStyle w:val="7"/>
        <w:tabs>
          <w:tab w:val="left" w:pos="1174"/>
        </w:tabs>
        <w:spacing w:before="101"/>
      </w:pPr>
      <w:r>
        <w:t>附录</w:t>
      </w:r>
      <w:r>
        <w:rPr>
          <w:rFonts w:ascii="Arial" w:eastAsia="Arial"/>
        </w:rPr>
        <w:t>5</w:t>
      </w:r>
      <w:r>
        <w:rPr>
          <w:rFonts w:ascii="Arial" w:eastAsia="Arial"/>
        </w:rPr>
        <w:tab/>
      </w:r>
      <w:r>
        <w:t>验收及验收测试</w:t>
      </w:r>
    </w:p>
    <w:p>
      <w:pPr>
        <w:sectPr>
          <w:pgSz w:w="11910" w:h="16850"/>
          <w:pgMar w:top="1440" w:right="800" w:bottom="460" w:left="820" w:header="0" w:footer="191" w:gutter="0"/>
          <w:cols w:space="720" w:num="1"/>
        </w:sectPr>
      </w:pPr>
    </w:p>
    <w:p>
      <w:pPr>
        <w:pStyle w:val="3"/>
        <w:tabs>
          <w:tab w:val="left" w:pos="4974"/>
        </w:tabs>
        <w:ind w:left="3366"/>
      </w:pPr>
      <w:bookmarkStart w:id="25" w:name="_bookmark11"/>
      <w:bookmarkEnd w:id="25"/>
      <w:r>
        <w:t>第五部分</w:t>
      </w:r>
      <w:r>
        <w:tab/>
      </w:r>
      <w:r>
        <w:t>合同特殊条款</w:t>
      </w:r>
    </w:p>
    <w:p>
      <w:pPr>
        <w:pStyle w:val="7"/>
        <w:spacing w:before="8"/>
        <w:ind w:left="0"/>
        <w:rPr>
          <w:b/>
          <w:sz w:val="41"/>
        </w:rPr>
      </w:pPr>
    </w:p>
    <w:p>
      <w:pPr>
        <w:pStyle w:val="7"/>
        <w:ind w:left="620"/>
      </w:pPr>
      <w:r>
        <w:t>合同特殊条款是合同一般条款的补充和修改，如果两者之间有抵触，应以特殊条款为准</w:t>
      </w:r>
      <w:r>
        <w:rPr>
          <w:rFonts w:hint="eastAsia"/>
          <w:lang w:val="en-US" w:eastAsia="zh-CN"/>
        </w:rPr>
        <w:t>,如特殊条款与采购服务需求有抵触，则执行采购服务需求</w:t>
      </w:r>
      <w:r>
        <w:t>。</w:t>
      </w:r>
    </w:p>
    <w:p>
      <w:pPr>
        <w:pStyle w:val="5"/>
        <w:numPr>
          <w:ilvl w:val="0"/>
          <w:numId w:val="18"/>
        </w:numPr>
        <w:tabs>
          <w:tab w:val="left" w:pos="621"/>
        </w:tabs>
        <w:ind w:hanging="360"/>
        <w:rPr>
          <w:rFonts w:ascii="Arial" w:eastAsia="Arial"/>
        </w:rPr>
      </w:pPr>
      <w:r>
        <w:t>检验</w:t>
      </w:r>
    </w:p>
    <w:p>
      <w:pPr>
        <w:pStyle w:val="23"/>
        <w:numPr>
          <w:ilvl w:val="1"/>
          <w:numId w:val="18"/>
        </w:numPr>
        <w:tabs>
          <w:tab w:val="left" w:pos="597"/>
        </w:tabs>
        <w:spacing w:line="319" w:lineRule="auto"/>
        <w:ind w:right="422" w:firstLine="0"/>
        <w:jc w:val="both"/>
        <w:rPr>
          <w:sz w:val="24"/>
        </w:rPr>
      </w:pPr>
      <w:r>
        <w:rPr>
          <w:spacing w:val="-1"/>
          <w:sz w:val="24"/>
        </w:rPr>
        <w:t>设备必须是合同生效后，由原厂生产的合同项下的设备，必须是全新的、未使用过的原</w:t>
      </w:r>
      <w:r>
        <w:rPr>
          <w:spacing w:val="-2"/>
          <w:sz w:val="24"/>
        </w:rPr>
        <w:t>装合格正品，所有设备应配套使用。并且货物质量必须符合国家相关标准，必须满足本次采</w:t>
      </w:r>
      <w:r>
        <w:rPr>
          <w:spacing w:val="-1"/>
          <w:sz w:val="24"/>
        </w:rPr>
        <w:t>购的要求，若所供货物经产品质量检测机构检测认定质量不合格，造成的损失和后果由该供</w:t>
      </w:r>
      <w:r>
        <w:rPr>
          <w:sz w:val="24"/>
        </w:rPr>
        <w:t xml:space="preserve">应商负全责； </w:t>
      </w:r>
    </w:p>
    <w:p>
      <w:pPr>
        <w:pStyle w:val="23"/>
        <w:numPr>
          <w:ilvl w:val="1"/>
          <w:numId w:val="18"/>
        </w:numPr>
        <w:tabs>
          <w:tab w:val="left" w:pos="717"/>
        </w:tabs>
        <w:spacing w:before="0"/>
        <w:ind w:left="716" w:hanging="456"/>
        <w:rPr>
          <w:sz w:val="24"/>
        </w:rPr>
      </w:pPr>
      <w:r>
        <w:rPr>
          <w:spacing w:val="-1"/>
          <w:sz w:val="24"/>
        </w:rPr>
        <w:t>设备到达目的地，买方、卖方及买方聘请专家一同开箱验货；</w:t>
      </w:r>
    </w:p>
    <w:p>
      <w:pPr>
        <w:pStyle w:val="23"/>
        <w:numPr>
          <w:ilvl w:val="1"/>
          <w:numId w:val="18"/>
        </w:numPr>
        <w:tabs>
          <w:tab w:val="left" w:pos="722"/>
        </w:tabs>
        <w:spacing w:before="102" w:line="319" w:lineRule="auto"/>
        <w:ind w:left="620" w:right="285" w:hanging="360"/>
        <w:rPr>
          <w:sz w:val="24"/>
        </w:rPr>
      </w:pPr>
      <w:r>
        <w:rPr>
          <w:sz w:val="24"/>
        </w:rPr>
        <w:t>卖方提供的所有货品应符合中国以及国际通行的标准，并应附有相应的测试报告、合格证书；</w:t>
      </w:r>
    </w:p>
    <w:p>
      <w:pPr>
        <w:pStyle w:val="23"/>
        <w:numPr>
          <w:ilvl w:val="1"/>
          <w:numId w:val="18"/>
        </w:numPr>
        <w:tabs>
          <w:tab w:val="left" w:pos="717"/>
        </w:tabs>
        <w:spacing w:before="0"/>
        <w:ind w:left="716" w:hanging="456"/>
        <w:rPr>
          <w:sz w:val="24"/>
        </w:rPr>
      </w:pPr>
      <w:r>
        <w:rPr>
          <w:spacing w:val="-1"/>
          <w:sz w:val="24"/>
        </w:rPr>
        <w:t>具体的标准应在投标文件中明确规定，并在合同中由双方确认；</w:t>
      </w:r>
    </w:p>
    <w:p>
      <w:pPr>
        <w:pStyle w:val="23"/>
        <w:numPr>
          <w:ilvl w:val="1"/>
          <w:numId w:val="18"/>
        </w:numPr>
        <w:tabs>
          <w:tab w:val="left" w:pos="717"/>
        </w:tabs>
        <w:spacing w:before="103"/>
        <w:ind w:left="716" w:hanging="456"/>
        <w:rPr>
          <w:sz w:val="24"/>
        </w:rPr>
      </w:pPr>
      <w:r>
        <w:rPr>
          <w:spacing w:val="-1"/>
          <w:sz w:val="24"/>
        </w:rPr>
        <w:t>提供所有设备的随机资料和技术文档：</w:t>
      </w:r>
    </w:p>
    <w:p>
      <w:pPr>
        <w:pStyle w:val="23"/>
        <w:numPr>
          <w:ilvl w:val="2"/>
          <w:numId w:val="18"/>
        </w:numPr>
        <w:tabs>
          <w:tab w:val="left" w:pos="916"/>
        </w:tabs>
        <w:spacing w:before="100"/>
        <w:ind w:hanging="655"/>
        <w:rPr>
          <w:sz w:val="24"/>
        </w:rPr>
      </w:pPr>
      <w:r>
        <w:rPr>
          <w:spacing w:val="-1"/>
          <w:sz w:val="24"/>
        </w:rPr>
        <w:t>设备配套的维修手册。</w:t>
      </w:r>
    </w:p>
    <w:p>
      <w:pPr>
        <w:pStyle w:val="23"/>
        <w:numPr>
          <w:ilvl w:val="2"/>
          <w:numId w:val="18"/>
        </w:numPr>
        <w:tabs>
          <w:tab w:val="left" w:pos="916"/>
        </w:tabs>
        <w:ind w:hanging="655"/>
        <w:rPr>
          <w:sz w:val="24"/>
        </w:rPr>
      </w:pPr>
      <w:r>
        <w:rPr>
          <w:spacing w:val="-1"/>
          <w:sz w:val="24"/>
        </w:rPr>
        <w:t>设备所包含的所有软件均须提供合法的使用证书。</w:t>
      </w:r>
    </w:p>
    <w:p>
      <w:pPr>
        <w:pStyle w:val="23"/>
        <w:numPr>
          <w:ilvl w:val="2"/>
          <w:numId w:val="18"/>
        </w:numPr>
        <w:tabs>
          <w:tab w:val="left" w:pos="916"/>
        </w:tabs>
        <w:spacing w:before="103"/>
        <w:ind w:hanging="655"/>
        <w:rPr>
          <w:sz w:val="24"/>
        </w:rPr>
      </w:pPr>
      <w:r>
        <w:rPr>
          <w:spacing w:val="-1"/>
          <w:sz w:val="24"/>
        </w:rPr>
        <w:t>设备完善的中文操作手册。</w:t>
      </w:r>
    </w:p>
    <w:p>
      <w:pPr>
        <w:pStyle w:val="23"/>
        <w:numPr>
          <w:ilvl w:val="2"/>
          <w:numId w:val="18"/>
        </w:numPr>
        <w:tabs>
          <w:tab w:val="left" w:pos="916"/>
        </w:tabs>
        <w:spacing w:before="100"/>
        <w:ind w:hanging="655"/>
        <w:rPr>
          <w:sz w:val="24"/>
        </w:rPr>
      </w:pPr>
      <w:r>
        <w:rPr>
          <w:spacing w:val="-1"/>
          <w:sz w:val="24"/>
        </w:rPr>
        <w:t>中、英文的使用和维修技术资料。</w:t>
      </w:r>
    </w:p>
    <w:p>
      <w:pPr>
        <w:pStyle w:val="23"/>
        <w:numPr>
          <w:ilvl w:val="2"/>
          <w:numId w:val="18"/>
        </w:numPr>
        <w:tabs>
          <w:tab w:val="left" w:pos="796"/>
        </w:tabs>
        <w:spacing w:before="103"/>
        <w:ind w:left="795" w:hanging="535"/>
        <w:rPr>
          <w:sz w:val="24"/>
        </w:rPr>
      </w:pPr>
      <w:r>
        <w:rPr>
          <w:spacing w:val="-1"/>
          <w:sz w:val="24"/>
        </w:rPr>
        <w:t xml:space="preserve">设备使用软件的备份。 </w:t>
      </w:r>
    </w:p>
    <w:p>
      <w:pPr>
        <w:pStyle w:val="23"/>
        <w:numPr>
          <w:ilvl w:val="2"/>
          <w:numId w:val="18"/>
        </w:numPr>
        <w:tabs>
          <w:tab w:val="left" w:pos="916"/>
        </w:tabs>
        <w:ind w:hanging="655"/>
        <w:rPr>
          <w:sz w:val="24"/>
        </w:rPr>
      </w:pPr>
      <w:r>
        <w:rPr>
          <w:spacing w:val="-1"/>
          <w:sz w:val="24"/>
        </w:rPr>
        <w:t xml:space="preserve">正规的备品备件价格表。 </w:t>
      </w:r>
    </w:p>
    <w:p>
      <w:pPr>
        <w:pStyle w:val="23"/>
        <w:numPr>
          <w:ilvl w:val="2"/>
          <w:numId w:val="18"/>
        </w:numPr>
        <w:tabs>
          <w:tab w:val="left" w:pos="856"/>
        </w:tabs>
        <w:spacing w:before="103"/>
        <w:ind w:left="855" w:hanging="595"/>
        <w:rPr>
          <w:sz w:val="24"/>
        </w:rPr>
      </w:pPr>
      <w:r>
        <w:rPr>
          <w:spacing w:val="-1"/>
          <w:sz w:val="24"/>
        </w:rPr>
        <w:t xml:space="preserve">供应商提供资料如下： </w:t>
      </w:r>
    </w:p>
    <w:p>
      <w:pPr>
        <w:pStyle w:val="7"/>
        <w:spacing w:before="101"/>
        <w:ind w:left="740"/>
      </w:pPr>
      <w:r>
        <w:t xml:space="preserve">1、所报产品的配置清单； </w:t>
      </w:r>
    </w:p>
    <w:p>
      <w:pPr>
        <w:pStyle w:val="7"/>
        <w:spacing w:before="100"/>
        <w:ind w:left="740"/>
      </w:pPr>
      <w:r>
        <w:t xml:space="preserve">2、所报产品的详细说明书、技术资料、彩图； </w:t>
      </w:r>
    </w:p>
    <w:p>
      <w:pPr>
        <w:pStyle w:val="7"/>
        <w:spacing w:before="103"/>
        <w:ind w:left="740"/>
      </w:pPr>
      <w:r>
        <w:t xml:space="preserve">3、产品的合法代理证明如生产企业授予的“授权委托书”等。 </w:t>
      </w:r>
    </w:p>
    <w:p>
      <w:pPr>
        <w:pStyle w:val="7"/>
        <w:spacing w:before="100"/>
        <w:ind w:left="740"/>
      </w:pPr>
      <w:r>
        <w:t xml:space="preserve">4、售中、售后服务承诺（包括免费质保期承诺等）。 </w:t>
      </w:r>
    </w:p>
    <w:p>
      <w:pPr>
        <w:pStyle w:val="7"/>
        <w:spacing w:before="103"/>
        <w:ind w:left="740"/>
      </w:pPr>
      <w:r>
        <w:t xml:space="preserve">5、注明交付使用日期。 </w:t>
      </w:r>
    </w:p>
    <w:p>
      <w:pPr>
        <w:pStyle w:val="7"/>
        <w:spacing w:before="101"/>
        <w:ind w:left="740"/>
      </w:pPr>
      <w:r>
        <w:t xml:space="preserve">6、国家规定的应提供的其他资质证明资料。 </w:t>
      </w:r>
    </w:p>
    <w:p>
      <w:pPr>
        <w:pStyle w:val="7"/>
        <w:spacing w:before="100" w:line="319" w:lineRule="auto"/>
        <w:ind w:right="303" w:firstLine="480"/>
      </w:pPr>
      <w:r>
        <w:t xml:space="preserve">7、报价表（列报产品的名称、规格、型号、配置、产地、单价、总价、交货时间及优惠条款等）以及报价单位（盖章）、被授权人、联系电话、报价日期。 </w:t>
      </w:r>
    </w:p>
    <w:p>
      <w:pPr>
        <w:pStyle w:val="7"/>
        <w:spacing w:before="1"/>
        <w:ind w:left="740"/>
      </w:pPr>
      <w:r>
        <w:t xml:space="preserve">8、卖方须向买方提供设备的运行、安装、使用环境要求。 </w:t>
      </w:r>
    </w:p>
    <w:p>
      <w:pPr>
        <w:pStyle w:val="5"/>
        <w:numPr>
          <w:ilvl w:val="0"/>
          <w:numId w:val="18"/>
        </w:numPr>
        <w:tabs>
          <w:tab w:val="left" w:pos="621"/>
        </w:tabs>
        <w:ind w:hanging="360"/>
        <w:rPr>
          <w:rFonts w:ascii="Arial" w:eastAsia="Arial"/>
        </w:rPr>
      </w:pPr>
      <w:r>
        <w:t>安装调试</w:t>
      </w:r>
    </w:p>
    <w:p>
      <w:pPr>
        <w:pStyle w:val="23"/>
        <w:numPr>
          <w:ilvl w:val="1"/>
          <w:numId w:val="18"/>
        </w:numPr>
        <w:tabs>
          <w:tab w:val="left" w:pos="717"/>
        </w:tabs>
        <w:spacing w:line="319" w:lineRule="auto"/>
        <w:ind w:right="275" w:firstLine="0"/>
        <w:rPr>
          <w:sz w:val="24"/>
        </w:rPr>
      </w:pPr>
      <w:r>
        <w:rPr>
          <w:spacing w:val="-8"/>
          <w:sz w:val="24"/>
        </w:rPr>
        <w:t>卖方负责免费安装、调试的所有工作，并免费提供设备安装调试的耗品。在不增减临床应</w:t>
      </w:r>
      <w:r>
        <w:rPr>
          <w:sz w:val="24"/>
        </w:rPr>
        <w:t>用功能的前提下，供方免费提供设备相关的软件升级。直至通过验收（同买方共同完成</w:t>
      </w:r>
      <w:r>
        <w:rPr>
          <w:spacing w:val="-120"/>
          <w:sz w:val="24"/>
        </w:rPr>
        <w:t>）</w:t>
      </w:r>
      <w:r>
        <w:rPr>
          <w:sz w:val="24"/>
        </w:rPr>
        <w:t>；</w:t>
      </w:r>
    </w:p>
    <w:p>
      <w:pPr>
        <w:pStyle w:val="23"/>
        <w:numPr>
          <w:ilvl w:val="1"/>
          <w:numId w:val="18"/>
        </w:numPr>
        <w:tabs>
          <w:tab w:val="left" w:pos="681"/>
        </w:tabs>
        <w:spacing w:before="0"/>
        <w:ind w:left="680" w:hanging="420"/>
        <w:rPr>
          <w:sz w:val="24"/>
        </w:rPr>
      </w:pPr>
      <w:r>
        <w:rPr>
          <w:spacing w:val="-7"/>
          <w:sz w:val="24"/>
        </w:rPr>
        <w:t xml:space="preserve">在货物到达使用单位后，卖方应在 </w:t>
      </w:r>
      <w:r>
        <w:rPr>
          <w:rFonts w:ascii="Arial" w:eastAsia="Arial"/>
          <w:sz w:val="24"/>
        </w:rPr>
        <w:t>7</w:t>
      </w:r>
      <w:r>
        <w:rPr>
          <w:spacing w:val="-2"/>
          <w:sz w:val="24"/>
        </w:rPr>
        <w:t>天内派工程技术人员到达现场，在买方技术人员在场</w:t>
      </w:r>
    </w:p>
    <w:p>
      <w:pPr>
        <w:rPr>
          <w:sz w:val="24"/>
        </w:rPr>
        <w:sectPr>
          <w:pgSz w:w="11910" w:h="16850"/>
          <w:pgMar w:top="1600" w:right="800" w:bottom="460" w:left="820" w:header="0" w:footer="191" w:gutter="0"/>
          <w:cols w:space="720" w:num="1"/>
        </w:sectPr>
      </w:pPr>
    </w:p>
    <w:p>
      <w:pPr>
        <w:pStyle w:val="7"/>
        <w:spacing w:before="49"/>
      </w:pPr>
      <w:r>
        <w:t>的情况下开箱清点货物，组织安装、调试，并承担因此发生的一切费用。</w:t>
      </w:r>
    </w:p>
    <w:p>
      <w:pPr>
        <w:pStyle w:val="23"/>
        <w:numPr>
          <w:ilvl w:val="1"/>
          <w:numId w:val="18"/>
        </w:numPr>
        <w:tabs>
          <w:tab w:val="left" w:pos="681"/>
        </w:tabs>
        <w:spacing w:line="319" w:lineRule="auto"/>
        <w:ind w:right="277" w:firstLine="0"/>
        <w:rPr>
          <w:sz w:val="24"/>
        </w:rPr>
      </w:pPr>
      <w:r>
        <w:rPr>
          <w:spacing w:val="-5"/>
          <w:sz w:val="24"/>
        </w:rPr>
        <w:t>设备安装后，医院按国际和国家标准及厂方标准进行质量验收。卖方应向买方提供详细的</w:t>
      </w:r>
      <w:r>
        <w:rPr>
          <w:sz w:val="24"/>
        </w:rPr>
        <w:t>验收标准、验收手册。买方有权委托中国有资格的单位对上述仪器进行精度校核。</w:t>
      </w:r>
    </w:p>
    <w:p>
      <w:pPr>
        <w:pStyle w:val="23"/>
        <w:numPr>
          <w:ilvl w:val="1"/>
          <w:numId w:val="18"/>
        </w:numPr>
        <w:tabs>
          <w:tab w:val="left" w:pos="657"/>
        </w:tabs>
        <w:spacing w:before="1"/>
        <w:ind w:left="656" w:hanging="396"/>
        <w:rPr>
          <w:sz w:val="24"/>
        </w:rPr>
      </w:pPr>
      <w:r>
        <w:rPr>
          <w:spacing w:val="-1"/>
          <w:sz w:val="24"/>
        </w:rPr>
        <w:t>在中国境内有相应的零配件保税库</w:t>
      </w:r>
      <w:r>
        <w:rPr>
          <w:rFonts w:ascii="Arial" w:eastAsia="Arial"/>
          <w:sz w:val="24"/>
        </w:rPr>
        <w:t>,</w:t>
      </w:r>
      <w:r>
        <w:rPr>
          <w:sz w:val="24"/>
        </w:rPr>
        <w:t>并出具证明文件。</w:t>
      </w:r>
    </w:p>
    <w:p>
      <w:pPr>
        <w:pStyle w:val="23"/>
        <w:numPr>
          <w:ilvl w:val="1"/>
          <w:numId w:val="18"/>
        </w:numPr>
        <w:tabs>
          <w:tab w:val="left" w:pos="657"/>
        </w:tabs>
        <w:spacing w:before="103"/>
        <w:ind w:left="656" w:hanging="396"/>
        <w:rPr>
          <w:sz w:val="24"/>
        </w:rPr>
      </w:pPr>
      <w:r>
        <w:rPr>
          <w:spacing w:val="-1"/>
          <w:sz w:val="24"/>
        </w:rPr>
        <w:t>中国境内有相应的维修机构，并出具证明文件。</w:t>
      </w:r>
    </w:p>
    <w:p>
      <w:pPr>
        <w:pStyle w:val="23"/>
        <w:numPr>
          <w:ilvl w:val="1"/>
          <w:numId w:val="18"/>
        </w:numPr>
        <w:tabs>
          <w:tab w:val="left" w:pos="650"/>
        </w:tabs>
        <w:spacing w:before="100" w:line="319" w:lineRule="auto"/>
        <w:ind w:left="740" w:right="277" w:hanging="480"/>
        <w:rPr>
          <w:sz w:val="24"/>
        </w:rPr>
      </w:pPr>
      <w:r>
        <w:rPr>
          <w:spacing w:val="-2"/>
          <w:sz w:val="24"/>
        </w:rPr>
        <w:t>在设备安装和调试结束后，由买卖双方和技术监督局按照国际和国家标准共同验收，检测</w:t>
      </w:r>
      <w:r>
        <w:rPr>
          <w:sz w:val="24"/>
        </w:rPr>
        <w:t>费用由卖方负责。</w:t>
      </w:r>
    </w:p>
    <w:p>
      <w:pPr>
        <w:pStyle w:val="23"/>
        <w:numPr>
          <w:ilvl w:val="1"/>
          <w:numId w:val="18"/>
        </w:numPr>
        <w:tabs>
          <w:tab w:val="left" w:pos="717"/>
        </w:tabs>
        <w:spacing w:before="0"/>
        <w:ind w:left="716" w:hanging="456"/>
        <w:rPr>
          <w:sz w:val="24"/>
        </w:rPr>
      </w:pPr>
      <w:r>
        <w:rPr>
          <w:spacing w:val="-1"/>
          <w:sz w:val="24"/>
        </w:rPr>
        <w:t>因卖方原因造成不能按时完成安装调试工作，卖方应根据合同规定向买方做出赔偿。</w:t>
      </w:r>
    </w:p>
    <w:p>
      <w:pPr>
        <w:pStyle w:val="23"/>
        <w:numPr>
          <w:ilvl w:val="1"/>
          <w:numId w:val="18"/>
        </w:numPr>
        <w:tabs>
          <w:tab w:val="left" w:pos="717"/>
        </w:tabs>
        <w:ind w:left="716" w:hanging="456"/>
        <w:rPr>
          <w:sz w:val="24"/>
        </w:rPr>
      </w:pPr>
      <w:r>
        <w:rPr>
          <w:spacing w:val="-1"/>
          <w:sz w:val="24"/>
        </w:rPr>
        <w:t>如调试后达不到合同规定的质量或技术指标要求用户有权提出退货，并予以退回货款。</w:t>
      </w:r>
    </w:p>
    <w:p>
      <w:pPr>
        <w:pStyle w:val="5"/>
        <w:numPr>
          <w:ilvl w:val="0"/>
          <w:numId w:val="18"/>
        </w:numPr>
        <w:tabs>
          <w:tab w:val="left" w:pos="621"/>
        </w:tabs>
        <w:ind w:hanging="360"/>
        <w:rPr>
          <w:rFonts w:ascii="Arial" w:eastAsia="Arial"/>
        </w:rPr>
      </w:pPr>
      <w:r>
        <w:t>培训</w:t>
      </w:r>
    </w:p>
    <w:p>
      <w:pPr>
        <w:pStyle w:val="23"/>
        <w:numPr>
          <w:ilvl w:val="1"/>
          <w:numId w:val="18"/>
        </w:numPr>
        <w:tabs>
          <w:tab w:val="left" w:pos="717"/>
        </w:tabs>
        <w:ind w:left="716" w:hanging="456"/>
        <w:rPr>
          <w:sz w:val="24"/>
        </w:rPr>
      </w:pPr>
      <w:r>
        <w:rPr>
          <w:spacing w:val="-1"/>
          <w:sz w:val="24"/>
        </w:rPr>
        <w:t>现场培训：卖方应提供现场技术培训，保证使用人员正常操作设备各种功能。</w:t>
      </w:r>
    </w:p>
    <w:p>
      <w:pPr>
        <w:pStyle w:val="23"/>
        <w:numPr>
          <w:ilvl w:val="1"/>
          <w:numId w:val="18"/>
        </w:numPr>
        <w:tabs>
          <w:tab w:val="left" w:pos="741"/>
        </w:tabs>
        <w:spacing w:before="103"/>
        <w:ind w:left="740" w:hanging="480"/>
        <w:rPr>
          <w:sz w:val="24"/>
        </w:rPr>
      </w:pPr>
      <w:r>
        <w:rPr>
          <w:sz w:val="24"/>
        </w:rPr>
        <w:t>集中培训：根据设备技术要求，可向买方提供使用和维修技术人员培训。</w:t>
      </w:r>
    </w:p>
    <w:p>
      <w:pPr>
        <w:pStyle w:val="5"/>
        <w:numPr>
          <w:ilvl w:val="0"/>
          <w:numId w:val="18"/>
        </w:numPr>
        <w:tabs>
          <w:tab w:val="left" w:pos="621"/>
        </w:tabs>
        <w:ind w:hanging="360"/>
        <w:rPr>
          <w:rFonts w:ascii="Arial" w:eastAsia="Arial"/>
        </w:rPr>
      </w:pPr>
      <w:r>
        <w:t>报价要求</w:t>
      </w:r>
    </w:p>
    <w:p>
      <w:pPr>
        <w:pStyle w:val="23"/>
        <w:numPr>
          <w:ilvl w:val="1"/>
          <w:numId w:val="18"/>
        </w:numPr>
        <w:tabs>
          <w:tab w:val="left" w:pos="657"/>
        </w:tabs>
        <w:ind w:left="656" w:hanging="396"/>
        <w:rPr>
          <w:sz w:val="24"/>
        </w:rPr>
      </w:pPr>
      <w:r>
        <w:rPr>
          <w:spacing w:val="-1"/>
          <w:sz w:val="24"/>
        </w:rPr>
        <w:t>人民币报价，</w:t>
      </w:r>
      <w:r>
        <w:rPr>
          <w:rFonts w:hint="eastAsia"/>
          <w:spacing w:val="-1"/>
          <w:sz w:val="24"/>
          <w:lang w:eastAsia="zh-CN"/>
        </w:rPr>
        <w:t>招标</w:t>
      </w:r>
      <w:r>
        <w:rPr>
          <w:spacing w:val="-1"/>
          <w:sz w:val="24"/>
        </w:rPr>
        <w:t>需求及技术要求部分列明其他报价币种单位的除外；</w:t>
      </w:r>
    </w:p>
    <w:p>
      <w:pPr>
        <w:pStyle w:val="23"/>
        <w:numPr>
          <w:ilvl w:val="1"/>
          <w:numId w:val="18"/>
        </w:numPr>
        <w:tabs>
          <w:tab w:val="left" w:pos="717"/>
        </w:tabs>
        <w:spacing w:before="100"/>
        <w:ind w:left="716" w:hanging="456"/>
        <w:rPr>
          <w:sz w:val="24"/>
        </w:rPr>
      </w:pPr>
      <w:r>
        <w:rPr>
          <w:sz w:val="24"/>
        </w:rPr>
        <w:t>买方指定交货地</w:t>
      </w:r>
      <w:r>
        <w:rPr>
          <w:spacing w:val="-3"/>
          <w:sz w:val="24"/>
        </w:rPr>
        <w:t>（</w:t>
      </w:r>
      <w:r>
        <w:rPr>
          <w:sz w:val="24"/>
        </w:rPr>
        <w:t>设备使用地）交货价；</w:t>
      </w:r>
    </w:p>
    <w:p>
      <w:pPr>
        <w:pStyle w:val="23"/>
        <w:numPr>
          <w:ilvl w:val="1"/>
          <w:numId w:val="18"/>
        </w:numPr>
        <w:tabs>
          <w:tab w:val="left" w:pos="717"/>
        </w:tabs>
        <w:spacing w:before="103" w:line="319" w:lineRule="auto"/>
        <w:ind w:right="274" w:firstLine="0"/>
        <w:rPr>
          <w:sz w:val="24"/>
        </w:rPr>
      </w:pPr>
      <w:r>
        <w:rPr>
          <w:spacing w:val="-5"/>
          <w:sz w:val="24"/>
        </w:rPr>
        <w:t>提供主要零配件、易损件供应的清单以及所需提供的相关服务的费用，并分项报价</w:t>
      </w:r>
      <w:r>
        <w:rPr>
          <w:sz w:val="24"/>
        </w:rPr>
        <w:t>（</w:t>
      </w:r>
      <w:r>
        <w:rPr>
          <w:spacing w:val="-8"/>
          <w:sz w:val="24"/>
        </w:rPr>
        <w:t>应包</w:t>
      </w:r>
      <w:r>
        <w:rPr>
          <w:sz w:val="24"/>
        </w:rPr>
        <w:t>括在总价内</w:t>
      </w:r>
      <w:r>
        <w:rPr>
          <w:spacing w:val="-120"/>
          <w:sz w:val="24"/>
        </w:rPr>
        <w:t>）</w:t>
      </w:r>
      <w:r>
        <w:rPr>
          <w:sz w:val="24"/>
        </w:rPr>
        <w:t>。清单内容应包括：名称、数量、型号、产地、制造商、单价、总价。</w:t>
      </w:r>
    </w:p>
    <w:p>
      <w:pPr>
        <w:pStyle w:val="23"/>
        <w:numPr>
          <w:ilvl w:val="1"/>
          <w:numId w:val="18"/>
        </w:numPr>
        <w:tabs>
          <w:tab w:val="left" w:pos="657"/>
        </w:tabs>
        <w:spacing w:before="1" w:line="319" w:lineRule="auto"/>
        <w:ind w:right="510" w:firstLine="0"/>
        <w:rPr>
          <w:sz w:val="24"/>
        </w:rPr>
      </w:pPr>
      <w:r>
        <w:rPr>
          <w:spacing w:val="-2"/>
          <w:sz w:val="24"/>
        </w:rPr>
        <w:t>所有货物均应以人民币报价，报价人所报价格应包括运输、安装、调试、验收等所有费</w:t>
      </w:r>
      <w:r>
        <w:rPr>
          <w:sz w:val="24"/>
        </w:rPr>
        <w:t>用。且只能有一个报价，不接受有选择的报价。</w:t>
      </w:r>
    </w:p>
    <w:p>
      <w:pPr>
        <w:pStyle w:val="5"/>
        <w:numPr>
          <w:ilvl w:val="0"/>
          <w:numId w:val="18"/>
        </w:numPr>
        <w:tabs>
          <w:tab w:val="left" w:pos="504"/>
        </w:tabs>
        <w:ind w:left="503" w:hanging="243"/>
        <w:rPr>
          <w:color w:val="auto"/>
          <w:spacing w:val="-6"/>
        </w:rPr>
      </w:pPr>
      <w:r>
        <w:rPr>
          <w:color w:val="auto"/>
          <w:spacing w:val="-6"/>
        </w:rPr>
        <w:t>采购人付款方式：</w:t>
      </w:r>
      <w:r>
        <w:rPr>
          <w:rFonts w:hint="eastAsia"/>
          <w:color w:val="auto"/>
          <w:spacing w:val="-6"/>
          <w:lang w:eastAsia="zh-CN"/>
        </w:rPr>
        <w:t>签订合同时约定</w:t>
      </w:r>
      <w:r>
        <w:rPr>
          <w:rFonts w:hint="eastAsia"/>
          <w:color w:val="auto"/>
          <w:spacing w:val="-6"/>
          <w:lang w:val="en-US" w:eastAsia="zh-CN"/>
        </w:rPr>
        <w:t>。</w:t>
      </w:r>
    </w:p>
    <w:p>
      <w:pPr>
        <w:pStyle w:val="5"/>
        <w:numPr>
          <w:ilvl w:val="0"/>
          <w:numId w:val="18"/>
        </w:numPr>
        <w:tabs>
          <w:tab w:val="left" w:pos="504"/>
        </w:tabs>
        <w:ind w:left="503" w:hanging="243"/>
        <w:rPr>
          <w:rFonts w:hint="eastAsia"/>
          <w:color w:val="auto"/>
          <w:spacing w:val="-6"/>
          <w:lang w:eastAsia="zh-CN"/>
        </w:rPr>
      </w:pPr>
      <w:r>
        <w:rPr>
          <w:rFonts w:hint="eastAsia"/>
          <w:color w:val="auto"/>
          <w:spacing w:val="-6"/>
          <w:lang w:eastAsia="zh-CN"/>
        </w:rPr>
        <w:t>服务及交货日期：自合同签订之日起服务期为</w:t>
      </w:r>
      <w:r>
        <w:rPr>
          <w:rFonts w:hint="eastAsia"/>
          <w:color w:val="auto"/>
          <w:spacing w:val="-6"/>
          <w:lang w:val="en-US" w:eastAsia="zh-CN"/>
        </w:rPr>
        <w:t>1年，自签订项目合同后60天内完成实施上线工作，自签订项目合同后30天内完成硬件设备的交货安装调试。</w:t>
      </w:r>
    </w:p>
    <w:p>
      <w:pPr>
        <w:pStyle w:val="5"/>
        <w:numPr>
          <w:ilvl w:val="0"/>
          <w:numId w:val="18"/>
        </w:numPr>
        <w:tabs>
          <w:tab w:val="left" w:pos="504"/>
        </w:tabs>
        <w:ind w:left="503" w:hanging="243"/>
        <w:rPr>
          <w:rFonts w:hint="eastAsia"/>
          <w:color w:val="auto"/>
          <w:spacing w:val="-6"/>
          <w:lang w:eastAsia="zh-CN"/>
        </w:rPr>
      </w:pPr>
      <w:r>
        <w:rPr>
          <w:rFonts w:hint="eastAsia"/>
          <w:color w:val="auto"/>
          <w:spacing w:val="-6"/>
          <w:lang w:eastAsia="zh-CN"/>
        </w:rPr>
        <w:t>服务及交货地点：尼勒克县人民医院（具体交货地点按采购人要求）</w:t>
      </w:r>
    </w:p>
    <w:p>
      <w:pPr>
        <w:pStyle w:val="5"/>
        <w:numPr>
          <w:ilvl w:val="0"/>
          <w:numId w:val="18"/>
        </w:numPr>
        <w:tabs>
          <w:tab w:val="left" w:pos="504"/>
        </w:tabs>
        <w:ind w:left="503" w:hanging="243"/>
        <w:rPr>
          <w:rFonts w:hint="eastAsia"/>
          <w:color w:val="auto"/>
          <w:spacing w:val="-6"/>
          <w:lang w:eastAsia="zh-CN"/>
        </w:rPr>
        <w:sectPr>
          <w:pgSz w:w="11910" w:h="16850"/>
          <w:pgMar w:top="1440" w:right="800" w:bottom="460" w:left="820" w:header="0" w:footer="191" w:gutter="0"/>
          <w:cols w:space="720" w:num="1"/>
        </w:sectPr>
      </w:pPr>
    </w:p>
    <w:p>
      <w:pPr>
        <w:pStyle w:val="3"/>
        <w:ind w:right="18"/>
        <w:jc w:val="center"/>
      </w:pPr>
      <w:bookmarkStart w:id="26" w:name="_bookmark12"/>
      <w:bookmarkEnd w:id="26"/>
      <w:r>
        <w:t>第六部分 范本格式</w:t>
      </w:r>
    </w:p>
    <w:p>
      <w:pPr>
        <w:pStyle w:val="7"/>
        <w:ind w:left="0"/>
        <w:rPr>
          <w:b/>
          <w:sz w:val="20"/>
        </w:rPr>
      </w:pPr>
    </w:p>
    <w:p>
      <w:pPr>
        <w:pStyle w:val="7"/>
        <w:spacing w:before="8"/>
        <w:ind w:left="0"/>
        <w:rPr>
          <w:b/>
          <w:sz w:val="15"/>
        </w:rPr>
      </w:pPr>
    </w:p>
    <w:p>
      <w:pPr>
        <w:pStyle w:val="7"/>
        <w:spacing w:before="77"/>
        <w:ind w:left="0" w:right="18"/>
        <w:jc w:val="center"/>
      </w:pPr>
      <w:r>
        <w:rPr>
          <w:rFonts w:ascii="Arial" w:eastAsia="Arial"/>
        </w:rPr>
        <w:t xml:space="preserve">1 </w:t>
      </w:r>
      <w:r>
        <w:t>、 投 标 书</w:t>
      </w:r>
    </w:p>
    <w:p>
      <w:pPr>
        <w:pStyle w:val="7"/>
        <w:tabs>
          <w:tab w:val="left" w:pos="3620"/>
        </w:tabs>
        <w:spacing w:before="103"/>
      </w:pPr>
      <w:r>
        <w:t>致：</w:t>
      </w:r>
      <w:r>
        <w:rPr>
          <w:rFonts w:hint="eastAsia"/>
          <w:u w:val="single"/>
        </w:rPr>
        <w:t>法正项目管理集团有限公司</w:t>
      </w:r>
      <w:r>
        <w:rPr>
          <w:u w:val="single"/>
        </w:rPr>
        <w:tab/>
      </w:r>
    </w:p>
    <w:p>
      <w:pPr>
        <w:pStyle w:val="7"/>
        <w:tabs>
          <w:tab w:val="left" w:pos="4587"/>
        </w:tabs>
        <w:spacing w:before="100" w:line="319" w:lineRule="auto"/>
        <w:ind w:right="156" w:firstLine="554"/>
      </w:pPr>
      <w:r>
        <w:t>根据贵方为</w:t>
      </w:r>
      <w:r>
        <w:rPr>
          <w:u w:val="single"/>
        </w:rPr>
        <w:t>（项目名称）</w:t>
      </w:r>
      <w:r>
        <w:rPr>
          <w:u w:val="single"/>
        </w:rPr>
        <w:tab/>
      </w:r>
      <w:r>
        <w:t>项目招标的招标邀</w:t>
      </w:r>
      <w:r>
        <w:rPr>
          <w:spacing w:val="-34"/>
        </w:rPr>
        <w:t>请</w:t>
      </w:r>
      <w:r>
        <w:rPr>
          <w:u w:val="single"/>
        </w:rPr>
        <w:t>（项目编号</w:t>
      </w:r>
      <w:r>
        <w:rPr>
          <w:spacing w:val="-77"/>
          <w:u w:val="single"/>
        </w:rPr>
        <w:t>）</w:t>
      </w:r>
      <w:r>
        <w:rPr>
          <w:spacing w:val="-77"/>
        </w:rPr>
        <w:t>，</w:t>
      </w:r>
      <w:r>
        <w:t>签字代</w:t>
      </w:r>
      <w:r>
        <w:rPr>
          <w:spacing w:val="-34"/>
        </w:rPr>
        <w:t>表</w:t>
      </w:r>
      <w:r>
        <w:rPr>
          <w:u w:val="single"/>
        </w:rPr>
        <w:t>（</w:t>
      </w:r>
      <w:r>
        <w:rPr>
          <w:rFonts w:ascii="宋体" w:hAnsi="宋体" w:eastAsia="宋体" w:cs="宋体"/>
          <w:u w:val="single"/>
        </w:rPr>
        <w:t>姓名、职务）</w:t>
      </w:r>
      <w:r>
        <w:t>经正式授权并代表供应商</w:t>
      </w:r>
      <w:r>
        <w:rPr>
          <w:u w:val="single"/>
        </w:rPr>
        <w:t>（供应商名称、地址）</w:t>
      </w:r>
      <w:r>
        <w:t>提交下述文件正本一份和副本</w:t>
      </w:r>
      <w:r>
        <w:rPr>
          <w:rFonts w:hint="eastAsia"/>
          <w:lang w:eastAsia="zh-CN"/>
        </w:rPr>
        <w:t>肆</w:t>
      </w:r>
      <w:r>
        <w:t>份。</w:t>
      </w:r>
    </w:p>
    <w:p>
      <w:pPr>
        <w:pStyle w:val="23"/>
        <w:numPr>
          <w:ilvl w:val="0"/>
          <w:numId w:val="19"/>
        </w:numPr>
        <w:tabs>
          <w:tab w:val="left" w:pos="1506"/>
        </w:tabs>
        <w:spacing w:before="1"/>
        <w:rPr>
          <w:sz w:val="24"/>
        </w:rPr>
      </w:pPr>
      <w:r>
        <w:rPr>
          <w:sz w:val="24"/>
        </w:rPr>
        <w:t>开标一览表</w:t>
      </w:r>
    </w:p>
    <w:p>
      <w:pPr>
        <w:pStyle w:val="23"/>
        <w:numPr>
          <w:ilvl w:val="0"/>
          <w:numId w:val="19"/>
        </w:numPr>
        <w:tabs>
          <w:tab w:val="left" w:pos="1506"/>
        </w:tabs>
        <w:spacing w:before="103"/>
        <w:rPr>
          <w:sz w:val="24"/>
        </w:rPr>
      </w:pPr>
      <w:r>
        <w:rPr>
          <w:sz w:val="24"/>
        </w:rPr>
        <w:t>投标分项报价表</w:t>
      </w:r>
    </w:p>
    <w:p>
      <w:pPr>
        <w:pStyle w:val="23"/>
        <w:numPr>
          <w:ilvl w:val="0"/>
          <w:numId w:val="19"/>
        </w:numPr>
        <w:tabs>
          <w:tab w:val="left" w:pos="1506"/>
        </w:tabs>
        <w:spacing w:before="100"/>
        <w:rPr>
          <w:sz w:val="24"/>
        </w:rPr>
      </w:pPr>
      <w:r>
        <w:rPr>
          <w:sz w:val="24"/>
        </w:rPr>
        <w:t>规格、技术参数、功能偏离表</w:t>
      </w:r>
    </w:p>
    <w:p>
      <w:pPr>
        <w:pStyle w:val="23"/>
        <w:numPr>
          <w:ilvl w:val="0"/>
          <w:numId w:val="19"/>
        </w:numPr>
        <w:tabs>
          <w:tab w:val="left" w:pos="1506"/>
        </w:tabs>
        <w:rPr>
          <w:sz w:val="24"/>
        </w:rPr>
      </w:pPr>
      <w:r>
        <w:rPr>
          <w:sz w:val="24"/>
        </w:rPr>
        <w:t>商务条款偏离表</w:t>
      </w:r>
    </w:p>
    <w:p>
      <w:pPr>
        <w:pStyle w:val="23"/>
        <w:numPr>
          <w:ilvl w:val="0"/>
          <w:numId w:val="19"/>
        </w:numPr>
        <w:tabs>
          <w:tab w:val="left" w:pos="1506"/>
        </w:tabs>
        <w:spacing w:before="103"/>
        <w:rPr>
          <w:sz w:val="24"/>
        </w:rPr>
      </w:pPr>
      <w:r>
        <w:rPr>
          <w:sz w:val="24"/>
        </w:rPr>
        <w:t>按采购文件供应商须知、技术规格要求及其他要求提供有关文件</w:t>
      </w:r>
    </w:p>
    <w:p>
      <w:pPr>
        <w:pStyle w:val="23"/>
        <w:numPr>
          <w:ilvl w:val="0"/>
          <w:numId w:val="19"/>
        </w:numPr>
        <w:tabs>
          <w:tab w:val="left" w:pos="1506"/>
        </w:tabs>
        <w:rPr>
          <w:sz w:val="24"/>
        </w:rPr>
      </w:pPr>
      <w:r>
        <w:rPr>
          <w:sz w:val="24"/>
        </w:rPr>
        <w:t>资格证明文件</w:t>
      </w:r>
    </w:p>
    <w:p>
      <w:pPr>
        <w:pStyle w:val="23"/>
        <w:numPr>
          <w:ilvl w:val="0"/>
          <w:numId w:val="19"/>
        </w:numPr>
        <w:tabs>
          <w:tab w:val="left" w:pos="1506"/>
        </w:tabs>
        <w:spacing w:before="103" w:line="319" w:lineRule="auto"/>
        <w:ind w:left="814" w:right="3497" w:firstLine="0"/>
        <w:rPr>
          <w:sz w:val="24"/>
        </w:rPr>
      </w:pPr>
      <w:r>
        <w:rPr>
          <w:sz w:val="24"/>
        </w:rPr>
        <w:t>投标保证金，形式</w:t>
      </w:r>
      <w:r>
        <w:rPr>
          <w:sz w:val="24"/>
          <w:u w:val="single"/>
        </w:rPr>
        <w:t>（电汇</w:t>
      </w:r>
      <w:r>
        <w:rPr>
          <w:rFonts w:hint="eastAsia"/>
          <w:sz w:val="24"/>
          <w:u w:val="single"/>
          <w:lang w:eastAsia="zh-CN"/>
        </w:rPr>
        <w:t>或保函</w:t>
      </w:r>
      <w:r>
        <w:rPr>
          <w:spacing w:val="-120"/>
          <w:sz w:val="24"/>
          <w:u w:val="single"/>
        </w:rPr>
        <w:t>）</w:t>
      </w:r>
      <w:r>
        <w:rPr>
          <w:sz w:val="24"/>
        </w:rPr>
        <w:t>，金额为</w:t>
      </w:r>
      <w:r>
        <w:rPr>
          <w:sz w:val="24"/>
          <w:u w:val="single"/>
        </w:rPr>
        <w:t>（注明币</w:t>
      </w:r>
      <w:r>
        <w:rPr>
          <w:rFonts w:hint="eastAsia"/>
          <w:sz w:val="24"/>
          <w:u w:val="single"/>
          <w:lang w:eastAsia="zh-CN"/>
        </w:rPr>
        <w:t>种</w:t>
      </w:r>
      <w:r>
        <w:rPr>
          <w:spacing w:val="-120"/>
          <w:sz w:val="24"/>
          <w:u w:val="single"/>
        </w:rPr>
        <w:t>）</w:t>
      </w:r>
      <w:r>
        <w:rPr>
          <w:spacing w:val="-15"/>
          <w:sz w:val="24"/>
        </w:rPr>
        <w:t>。</w:t>
      </w:r>
      <w:r>
        <w:rPr>
          <w:sz w:val="24"/>
        </w:rPr>
        <w:t>据此函，签字代表宣布同意如下：</w:t>
      </w:r>
    </w:p>
    <w:p>
      <w:pPr>
        <w:pStyle w:val="23"/>
        <w:numPr>
          <w:ilvl w:val="0"/>
          <w:numId w:val="20"/>
        </w:numPr>
        <w:tabs>
          <w:tab w:val="left" w:pos="1188"/>
        </w:tabs>
        <w:spacing w:before="0" w:line="319" w:lineRule="auto"/>
        <w:ind w:right="273" w:hanging="559"/>
        <w:rPr>
          <w:rFonts w:ascii="宋体" w:hAnsi="宋体" w:eastAsia="宋体" w:cs="宋体"/>
          <w:spacing w:val="-6"/>
          <w:sz w:val="24"/>
          <w:u w:val="single"/>
        </w:rPr>
      </w:pPr>
      <w:r>
        <w:rPr>
          <w:spacing w:val="-1"/>
          <w:sz w:val="24"/>
        </w:rPr>
        <w:t>所附投标报价表中规定的应提交和交付的货物和服务投标总价为</w:t>
      </w:r>
      <w:r>
        <w:rPr>
          <w:sz w:val="24"/>
          <w:u w:val="single"/>
        </w:rPr>
        <w:t>（</w:t>
      </w:r>
      <w:r>
        <w:rPr>
          <w:spacing w:val="-6"/>
          <w:sz w:val="24"/>
          <w:u w:val="single"/>
        </w:rPr>
        <w:t>注明币种，并用文</w:t>
      </w:r>
      <w:r>
        <w:rPr>
          <w:spacing w:val="-22"/>
          <w:sz w:val="24"/>
          <w:u w:val="single"/>
        </w:rPr>
        <w:t>字</w:t>
      </w:r>
      <w:r>
        <w:rPr>
          <w:rFonts w:ascii="宋体" w:hAnsi="宋体" w:eastAsia="宋体" w:cs="宋体"/>
          <w:spacing w:val="-6"/>
          <w:sz w:val="24"/>
          <w:u w:val="single"/>
        </w:rPr>
        <w:t>和数字表示的投标总价）。</w:t>
      </w:r>
    </w:p>
    <w:p>
      <w:pPr>
        <w:pStyle w:val="23"/>
        <w:numPr>
          <w:ilvl w:val="0"/>
          <w:numId w:val="20"/>
        </w:numPr>
        <w:tabs>
          <w:tab w:val="left" w:pos="1191"/>
        </w:tabs>
        <w:spacing w:before="0"/>
        <w:ind w:left="1190"/>
        <w:rPr>
          <w:sz w:val="24"/>
        </w:rPr>
      </w:pPr>
      <w:r>
        <w:rPr>
          <w:sz w:val="24"/>
        </w:rPr>
        <w:t>供应商将按采购文件的规定履行合同责任和义务；</w:t>
      </w:r>
    </w:p>
    <w:p>
      <w:pPr>
        <w:pStyle w:val="23"/>
        <w:numPr>
          <w:ilvl w:val="0"/>
          <w:numId w:val="20"/>
        </w:numPr>
        <w:tabs>
          <w:tab w:val="left" w:pos="1192"/>
        </w:tabs>
        <w:spacing w:line="319" w:lineRule="auto"/>
        <w:ind w:right="280" w:hanging="559"/>
        <w:rPr>
          <w:sz w:val="24"/>
        </w:rPr>
      </w:pPr>
      <w:r>
        <w:rPr>
          <w:sz w:val="24"/>
        </w:rPr>
        <w:t>供应商已详细审查全部采购文件，包括修改文件（如有的话</w:t>
      </w:r>
      <w:r>
        <w:rPr>
          <w:spacing w:val="-118"/>
          <w:sz w:val="24"/>
        </w:rPr>
        <w:t>）</w:t>
      </w:r>
      <w:r>
        <w:rPr>
          <w:spacing w:val="-2"/>
          <w:sz w:val="24"/>
        </w:rPr>
        <w:t>。我们完全理解并同意</w:t>
      </w:r>
      <w:r>
        <w:rPr>
          <w:sz w:val="24"/>
        </w:rPr>
        <w:t>放弃对这方面有不明及误解的权利。</w:t>
      </w:r>
    </w:p>
    <w:p>
      <w:pPr>
        <w:pStyle w:val="23"/>
        <w:numPr>
          <w:ilvl w:val="0"/>
          <w:numId w:val="20"/>
        </w:numPr>
        <w:tabs>
          <w:tab w:val="left" w:pos="1191"/>
        </w:tabs>
        <w:spacing w:before="1"/>
        <w:ind w:left="1190"/>
        <w:rPr>
          <w:sz w:val="24"/>
        </w:rPr>
      </w:pPr>
      <w:r>
        <w:rPr>
          <w:sz w:val="24"/>
        </w:rPr>
        <w:t>本投标有效期自开标之日起 个日历日。</w:t>
      </w:r>
    </w:p>
    <w:p>
      <w:pPr>
        <w:pStyle w:val="23"/>
        <w:numPr>
          <w:ilvl w:val="0"/>
          <w:numId w:val="20"/>
        </w:numPr>
        <w:tabs>
          <w:tab w:val="left" w:pos="1188"/>
        </w:tabs>
        <w:spacing w:before="100" w:line="319" w:lineRule="auto"/>
        <w:ind w:left="1160" w:right="274" w:hanging="348"/>
        <w:rPr>
          <w:sz w:val="24"/>
        </w:rPr>
      </w:pPr>
      <w:r>
        <w:rPr>
          <w:spacing w:val="-4"/>
          <w:sz w:val="24"/>
        </w:rPr>
        <w:t>如果在规定的开标时间后，供应商在投标有效期内撤回投标，其投标保证金将被贵方</w:t>
      </w:r>
      <w:r>
        <w:rPr>
          <w:sz w:val="24"/>
        </w:rPr>
        <w:t>没收。</w:t>
      </w:r>
    </w:p>
    <w:p>
      <w:pPr>
        <w:pStyle w:val="23"/>
        <w:numPr>
          <w:ilvl w:val="0"/>
          <w:numId w:val="20"/>
        </w:numPr>
        <w:tabs>
          <w:tab w:val="left" w:pos="1200"/>
        </w:tabs>
        <w:spacing w:before="1" w:line="319" w:lineRule="auto"/>
        <w:ind w:left="1160" w:right="277" w:hanging="336"/>
        <w:rPr>
          <w:sz w:val="24"/>
        </w:rPr>
      </w:pPr>
      <w:r>
        <w:rPr>
          <w:spacing w:val="-2"/>
          <w:sz w:val="24"/>
        </w:rPr>
        <w:t>供应商同意提供按照贵方可能要求的与其投标有关的一切数据或资料，完全理解贵</w:t>
      </w:r>
      <w:r>
        <w:rPr>
          <w:spacing w:val="-4"/>
          <w:sz w:val="24"/>
        </w:rPr>
        <w:t>方不一定要接受最低价的投标或收到的任何投标。</w:t>
      </w:r>
    </w:p>
    <w:p>
      <w:pPr>
        <w:pStyle w:val="23"/>
        <w:numPr>
          <w:ilvl w:val="0"/>
          <w:numId w:val="20"/>
        </w:numPr>
        <w:tabs>
          <w:tab w:val="left" w:pos="1208"/>
        </w:tabs>
        <w:spacing w:before="0"/>
        <w:ind w:left="1207"/>
        <w:rPr>
          <w:sz w:val="24"/>
        </w:rPr>
      </w:pPr>
      <w:r>
        <w:rPr>
          <w:sz w:val="24"/>
        </w:rPr>
        <w:t>与本投标有关的一切正式往来信函请寄：</w:t>
      </w:r>
    </w:p>
    <w:p>
      <w:pPr>
        <w:pStyle w:val="7"/>
        <w:tabs>
          <w:tab w:val="left" w:pos="3620"/>
          <w:tab w:val="left" w:pos="6141"/>
        </w:tabs>
        <w:spacing w:before="101"/>
        <w:ind w:left="500"/>
      </w:pPr>
      <w:r>
        <w:t>地址：</w:t>
      </w:r>
      <w:r>
        <w:rPr>
          <w:u w:val="single"/>
        </w:rPr>
        <w:tab/>
      </w:r>
      <w:r>
        <w:t>邮编：</w:t>
      </w:r>
      <w:r>
        <w:rPr>
          <w:u w:val="single"/>
        </w:rPr>
        <w:tab/>
      </w:r>
    </w:p>
    <w:p>
      <w:pPr>
        <w:pStyle w:val="7"/>
        <w:tabs>
          <w:tab w:val="left" w:pos="4100"/>
          <w:tab w:val="left" w:pos="5421"/>
        </w:tabs>
        <w:spacing w:before="100"/>
      </w:pPr>
      <w:r>
        <w:t xml:space="preserve">  电话：</w:t>
      </w:r>
      <w:r>
        <w:rPr>
          <w:rFonts w:hint="eastAsia"/>
          <w:lang w:val="en-US"/>
        </w:rPr>
        <w:t xml:space="preserve">                    </w:t>
      </w:r>
      <w:r>
        <w:t>传真：</w:t>
      </w:r>
      <w:r>
        <w:rPr>
          <w:u w:val="single"/>
        </w:rPr>
        <w:tab/>
      </w:r>
    </w:p>
    <w:p>
      <w:pPr>
        <w:pStyle w:val="7"/>
        <w:spacing w:before="103"/>
      </w:pPr>
    </w:p>
    <w:p>
      <w:pPr>
        <w:pStyle w:val="7"/>
        <w:spacing w:before="101"/>
      </w:pPr>
      <w:r>
        <w:t xml:space="preserve">  供应商代表签字：</w:t>
      </w:r>
    </w:p>
    <w:p>
      <w:pPr>
        <w:pStyle w:val="7"/>
        <w:tabs>
          <w:tab w:val="left" w:pos="2900"/>
        </w:tabs>
        <w:spacing w:before="103"/>
        <w:ind w:firstLine="238" w:firstLineChars="100"/>
      </w:pPr>
      <w:r>
        <w:rPr>
          <w:spacing w:val="-1"/>
        </w:rPr>
        <w:t>供</w:t>
      </w:r>
      <w:r>
        <w:t>应商名称：</w:t>
      </w:r>
      <w:r>
        <w:rPr>
          <w:u w:val="single"/>
        </w:rPr>
        <w:tab/>
      </w:r>
    </w:p>
    <w:p>
      <w:pPr>
        <w:pStyle w:val="7"/>
        <w:tabs>
          <w:tab w:val="left" w:pos="1460"/>
        </w:tabs>
        <w:spacing w:before="101"/>
      </w:pPr>
      <w:r>
        <w:t xml:space="preserve">  公</w:t>
      </w:r>
      <w:r>
        <w:tab/>
      </w:r>
      <w:r>
        <w:t>章：</w:t>
      </w:r>
    </w:p>
    <w:p>
      <w:pPr>
        <w:pStyle w:val="7"/>
        <w:tabs>
          <w:tab w:val="left" w:pos="2540"/>
          <w:tab w:val="left" w:pos="3500"/>
        </w:tabs>
        <w:spacing w:before="103"/>
      </w:pPr>
      <w:r>
        <w:t xml:space="preserve">  日    期：</w:t>
      </w:r>
      <w:r>
        <w:rPr>
          <w:u w:val="single"/>
        </w:rPr>
        <w:tab/>
      </w:r>
      <w:r>
        <w:t>年</w:t>
      </w:r>
      <w:r>
        <w:rPr>
          <w:u w:val="single"/>
        </w:rPr>
        <w:tab/>
      </w:r>
      <w:r>
        <w:t>月日</w:t>
      </w:r>
    </w:p>
    <w:p/>
    <w:p/>
    <w:p/>
    <w:p/>
    <w:p>
      <w:pPr>
        <w:tabs>
          <w:tab w:val="center" w:pos="5145"/>
        </w:tabs>
        <w:sectPr>
          <w:footerReference r:id="rId4" w:type="default"/>
          <w:pgSz w:w="11910" w:h="16850"/>
          <w:pgMar w:top="1600" w:right="800" w:bottom="460" w:left="820" w:header="0" w:footer="191" w:gutter="0"/>
          <w:pgNumType w:start="32"/>
          <w:cols w:space="720" w:num="1"/>
        </w:sectPr>
      </w:pPr>
      <w:r>
        <w:rPr>
          <w:rFonts w:hint="eastAsia"/>
        </w:rPr>
        <w:tab/>
      </w:r>
    </w:p>
    <w:p>
      <w:pPr>
        <w:pStyle w:val="7"/>
        <w:spacing w:before="62"/>
        <w:ind w:left="0" w:right="63"/>
        <w:jc w:val="center"/>
      </w:pPr>
      <w:r>
        <w:rPr>
          <w:rFonts w:ascii="Arial" w:eastAsia="Arial"/>
        </w:rPr>
        <w:t>2</w:t>
      </w:r>
      <w:r>
        <w:t>、开标一览表</w:t>
      </w:r>
    </w:p>
    <w:p>
      <w:pPr>
        <w:pStyle w:val="7"/>
        <w:spacing w:before="5"/>
        <w:ind w:left="0"/>
        <w:rPr>
          <w:sz w:val="38"/>
        </w:rPr>
      </w:pPr>
    </w:p>
    <w:p>
      <w:pPr>
        <w:pStyle w:val="7"/>
        <w:tabs>
          <w:tab w:val="left" w:pos="4101"/>
        </w:tabs>
        <w:spacing w:after="5"/>
        <w:ind w:left="220"/>
      </w:pPr>
      <w:r>
        <w:t>供应商名称</w:t>
      </w:r>
      <w:r>
        <w:rPr>
          <w:rFonts w:ascii="Arial" w:eastAsia="Arial"/>
        </w:rPr>
        <w:t>(</w:t>
      </w:r>
      <w:r>
        <w:t>公章</w:t>
      </w:r>
      <w:r>
        <w:rPr>
          <w:rFonts w:ascii="Arial" w:eastAsia="Arial"/>
        </w:rPr>
        <w:t>)</w:t>
      </w:r>
      <w:r>
        <w:t>：</w:t>
      </w:r>
      <w:r>
        <w:rPr>
          <w:u w:val="single"/>
        </w:rPr>
        <w:tab/>
      </w:r>
      <w:r>
        <w:t>项目编号：</w:t>
      </w:r>
    </w:p>
    <w:tbl>
      <w:tblPr>
        <w:tblStyle w:val="19"/>
        <w:tblW w:w="1562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893"/>
        <w:gridCol w:w="2821"/>
        <w:gridCol w:w="2827"/>
        <w:gridCol w:w="2822"/>
        <w:gridCol w:w="2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448" w:type="dxa"/>
          </w:tcPr>
          <w:p>
            <w:pPr>
              <w:pStyle w:val="24"/>
              <w:spacing w:before="8"/>
            </w:pPr>
          </w:p>
          <w:p>
            <w:pPr>
              <w:pStyle w:val="24"/>
              <w:ind w:left="227"/>
              <w:rPr>
                <w:sz w:val="24"/>
              </w:rPr>
            </w:pPr>
            <w:r>
              <w:rPr>
                <w:sz w:val="24"/>
              </w:rPr>
              <w:t>包号</w:t>
            </w:r>
          </w:p>
        </w:tc>
        <w:tc>
          <w:tcPr>
            <w:tcW w:w="2893" w:type="dxa"/>
          </w:tcPr>
          <w:p>
            <w:pPr>
              <w:pStyle w:val="24"/>
              <w:spacing w:before="8"/>
            </w:pPr>
          </w:p>
          <w:p>
            <w:pPr>
              <w:pStyle w:val="24"/>
              <w:ind w:left="676" w:right="667"/>
              <w:jc w:val="center"/>
              <w:rPr>
                <w:sz w:val="24"/>
              </w:rPr>
            </w:pPr>
            <w:r>
              <w:rPr>
                <w:sz w:val="24"/>
              </w:rPr>
              <w:t>名称</w:t>
            </w:r>
          </w:p>
        </w:tc>
        <w:tc>
          <w:tcPr>
            <w:tcW w:w="2821" w:type="dxa"/>
          </w:tcPr>
          <w:p>
            <w:pPr>
              <w:pStyle w:val="24"/>
              <w:spacing w:before="88"/>
              <w:ind w:left="437"/>
              <w:jc w:val="center"/>
              <w:rPr>
                <w:sz w:val="24"/>
              </w:rPr>
            </w:pPr>
            <w:r>
              <w:rPr>
                <w:sz w:val="24"/>
              </w:rPr>
              <w:t>投标总价</w:t>
            </w:r>
          </w:p>
          <w:p>
            <w:pPr>
              <w:pStyle w:val="24"/>
              <w:spacing w:before="94" w:line="292" w:lineRule="exact"/>
              <w:ind w:left="437"/>
              <w:jc w:val="center"/>
              <w:rPr>
                <w:sz w:val="24"/>
              </w:rPr>
            </w:pPr>
            <w:r>
              <w:rPr>
                <w:sz w:val="24"/>
              </w:rPr>
              <w:t>（万元）</w:t>
            </w:r>
          </w:p>
        </w:tc>
        <w:tc>
          <w:tcPr>
            <w:tcW w:w="2827" w:type="dxa"/>
          </w:tcPr>
          <w:p>
            <w:pPr>
              <w:pStyle w:val="24"/>
              <w:spacing w:before="8" w:line="400" w:lineRule="exact"/>
              <w:ind w:left="558" w:right="541" w:firstLine="120"/>
              <w:rPr>
                <w:sz w:val="24"/>
              </w:rPr>
            </w:pPr>
            <w:r>
              <w:rPr>
                <w:sz w:val="24"/>
              </w:rPr>
              <w:t>投标保证金</w:t>
            </w:r>
          </w:p>
        </w:tc>
        <w:tc>
          <w:tcPr>
            <w:tcW w:w="2822" w:type="dxa"/>
          </w:tcPr>
          <w:p>
            <w:pPr>
              <w:pStyle w:val="24"/>
              <w:spacing w:before="8"/>
            </w:pPr>
          </w:p>
          <w:p>
            <w:pPr>
              <w:pStyle w:val="24"/>
              <w:ind w:left="559"/>
              <w:rPr>
                <w:rFonts w:hint="eastAsia" w:eastAsia="宋体"/>
                <w:sz w:val="24"/>
                <w:lang w:eastAsia="zh-CN"/>
              </w:rPr>
            </w:pPr>
            <w:r>
              <w:rPr>
                <w:sz w:val="24"/>
              </w:rPr>
              <w:t>交货期</w:t>
            </w:r>
            <w:r>
              <w:rPr>
                <w:rFonts w:hint="eastAsia"/>
                <w:sz w:val="24"/>
                <w:lang w:eastAsia="zh-CN"/>
              </w:rPr>
              <w:t>及服务期</w:t>
            </w:r>
          </w:p>
        </w:tc>
        <w:tc>
          <w:tcPr>
            <w:tcW w:w="2809" w:type="dxa"/>
          </w:tcPr>
          <w:p>
            <w:pPr>
              <w:pStyle w:val="24"/>
              <w:spacing w:before="8"/>
            </w:pPr>
          </w:p>
          <w:p>
            <w:pPr>
              <w:pStyle w:val="24"/>
              <w:ind w:left="655" w:right="63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1448" w:type="dxa"/>
            <w:vMerge w:val="restart"/>
          </w:tcPr>
          <w:p>
            <w:pPr>
              <w:pStyle w:val="24"/>
              <w:rPr>
                <w:rFonts w:ascii="Times New Roman"/>
              </w:rPr>
            </w:pPr>
          </w:p>
        </w:tc>
        <w:tc>
          <w:tcPr>
            <w:tcW w:w="2893" w:type="dxa"/>
          </w:tcPr>
          <w:p>
            <w:pPr>
              <w:pStyle w:val="24"/>
              <w:rPr>
                <w:rFonts w:ascii="Times New Roman"/>
              </w:rPr>
            </w:pPr>
          </w:p>
        </w:tc>
        <w:tc>
          <w:tcPr>
            <w:tcW w:w="2821" w:type="dxa"/>
          </w:tcPr>
          <w:p>
            <w:pPr>
              <w:pStyle w:val="24"/>
              <w:rPr>
                <w:rFonts w:ascii="Times New Roman"/>
              </w:rPr>
            </w:pPr>
          </w:p>
        </w:tc>
        <w:tc>
          <w:tcPr>
            <w:tcW w:w="2827" w:type="dxa"/>
          </w:tcPr>
          <w:p>
            <w:pPr>
              <w:pStyle w:val="24"/>
              <w:rPr>
                <w:rFonts w:ascii="Times New Roman"/>
              </w:rPr>
            </w:pPr>
          </w:p>
        </w:tc>
        <w:tc>
          <w:tcPr>
            <w:tcW w:w="2822" w:type="dxa"/>
          </w:tcPr>
          <w:p>
            <w:pPr>
              <w:pStyle w:val="24"/>
              <w:rPr>
                <w:rFonts w:ascii="Times New Roman"/>
              </w:rPr>
            </w:pPr>
          </w:p>
        </w:tc>
        <w:tc>
          <w:tcPr>
            <w:tcW w:w="280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6" w:hRule="atLeast"/>
        </w:trPr>
        <w:tc>
          <w:tcPr>
            <w:tcW w:w="1448" w:type="dxa"/>
            <w:vMerge w:val="continue"/>
            <w:tcBorders>
              <w:top w:val="nil"/>
            </w:tcBorders>
          </w:tcPr>
          <w:p>
            <w:pPr>
              <w:rPr>
                <w:sz w:val="2"/>
                <w:szCs w:val="2"/>
              </w:rPr>
            </w:pPr>
          </w:p>
        </w:tc>
        <w:tc>
          <w:tcPr>
            <w:tcW w:w="2893" w:type="dxa"/>
          </w:tcPr>
          <w:p>
            <w:pPr>
              <w:pStyle w:val="24"/>
              <w:rPr>
                <w:rFonts w:ascii="Times New Roman"/>
              </w:rPr>
            </w:pPr>
          </w:p>
        </w:tc>
        <w:tc>
          <w:tcPr>
            <w:tcW w:w="2821" w:type="dxa"/>
          </w:tcPr>
          <w:p>
            <w:pPr>
              <w:pStyle w:val="24"/>
              <w:rPr>
                <w:rFonts w:ascii="Times New Roman"/>
              </w:rPr>
            </w:pPr>
          </w:p>
        </w:tc>
        <w:tc>
          <w:tcPr>
            <w:tcW w:w="2827" w:type="dxa"/>
          </w:tcPr>
          <w:p>
            <w:pPr>
              <w:pStyle w:val="24"/>
              <w:rPr>
                <w:rFonts w:ascii="Times New Roman"/>
              </w:rPr>
            </w:pPr>
          </w:p>
        </w:tc>
        <w:tc>
          <w:tcPr>
            <w:tcW w:w="2822" w:type="dxa"/>
          </w:tcPr>
          <w:p>
            <w:pPr>
              <w:pStyle w:val="24"/>
              <w:rPr>
                <w:rFonts w:ascii="Times New Roman"/>
              </w:rPr>
            </w:pPr>
          </w:p>
        </w:tc>
        <w:tc>
          <w:tcPr>
            <w:tcW w:w="280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1448" w:type="dxa"/>
            <w:vMerge w:val="continue"/>
            <w:tcBorders>
              <w:top w:val="nil"/>
            </w:tcBorders>
          </w:tcPr>
          <w:p>
            <w:pPr>
              <w:rPr>
                <w:sz w:val="2"/>
                <w:szCs w:val="2"/>
              </w:rPr>
            </w:pPr>
          </w:p>
        </w:tc>
        <w:tc>
          <w:tcPr>
            <w:tcW w:w="2893" w:type="dxa"/>
          </w:tcPr>
          <w:p>
            <w:pPr>
              <w:pStyle w:val="24"/>
              <w:rPr>
                <w:rFonts w:ascii="Times New Roman"/>
              </w:rPr>
            </w:pPr>
          </w:p>
        </w:tc>
        <w:tc>
          <w:tcPr>
            <w:tcW w:w="2821" w:type="dxa"/>
          </w:tcPr>
          <w:p>
            <w:pPr>
              <w:pStyle w:val="24"/>
              <w:rPr>
                <w:rFonts w:ascii="Times New Roman"/>
              </w:rPr>
            </w:pPr>
          </w:p>
        </w:tc>
        <w:tc>
          <w:tcPr>
            <w:tcW w:w="2827" w:type="dxa"/>
          </w:tcPr>
          <w:p>
            <w:pPr>
              <w:pStyle w:val="24"/>
              <w:rPr>
                <w:rFonts w:ascii="Times New Roman"/>
              </w:rPr>
            </w:pPr>
          </w:p>
        </w:tc>
        <w:tc>
          <w:tcPr>
            <w:tcW w:w="2822" w:type="dxa"/>
          </w:tcPr>
          <w:p>
            <w:pPr>
              <w:pStyle w:val="24"/>
              <w:rPr>
                <w:rFonts w:ascii="Times New Roman"/>
              </w:rPr>
            </w:pPr>
          </w:p>
        </w:tc>
        <w:tc>
          <w:tcPr>
            <w:tcW w:w="2809" w:type="dxa"/>
          </w:tcPr>
          <w:p>
            <w:pPr>
              <w:pStyle w:val="24"/>
              <w:rPr>
                <w:rFonts w:ascii="Times New Roman"/>
              </w:rPr>
            </w:pPr>
          </w:p>
        </w:tc>
      </w:tr>
    </w:tbl>
    <w:p>
      <w:pPr>
        <w:pStyle w:val="7"/>
        <w:spacing w:before="2"/>
        <w:ind w:left="0"/>
        <w:rPr>
          <w:sz w:val="38"/>
        </w:rPr>
      </w:pPr>
    </w:p>
    <w:p>
      <w:pPr>
        <w:pStyle w:val="7"/>
        <w:ind w:left="220"/>
      </w:pPr>
      <w:r>
        <w:t>供应商代表签字：</w:t>
      </w:r>
    </w:p>
    <w:p>
      <w:pPr>
        <w:pStyle w:val="7"/>
        <w:spacing w:before="94"/>
        <w:ind w:left="220"/>
      </w:pPr>
      <w:r>
        <w:t>注：</w:t>
      </w:r>
      <w:r>
        <w:rPr>
          <w:rFonts w:ascii="Arial" w:eastAsia="Arial"/>
        </w:rPr>
        <w:t>1</w:t>
      </w:r>
      <w:r>
        <w:t>、折扣条件与折扣声明应在表下注明。</w:t>
      </w:r>
    </w:p>
    <w:p>
      <w:pPr>
        <w:pStyle w:val="7"/>
        <w:spacing w:before="91"/>
        <w:ind w:left="700"/>
      </w:pPr>
    </w:p>
    <w:p>
      <w:pPr>
        <w:pStyle w:val="7"/>
        <w:spacing w:before="1"/>
        <w:ind w:left="0"/>
        <w:rPr>
          <w:sz w:val="21"/>
        </w:rPr>
      </w:pPr>
    </w:p>
    <w:p>
      <w:pPr>
        <w:jc w:val="both"/>
        <w:rPr>
          <w:rFonts w:ascii="Calibri"/>
          <w:sz w:val="18"/>
        </w:rPr>
        <w:sectPr>
          <w:footerReference r:id="rId5" w:type="default"/>
          <w:pgSz w:w="16840" w:h="11910" w:orient="landscape"/>
          <w:pgMar w:top="740" w:right="500" w:bottom="280" w:left="500" w:header="0" w:footer="0" w:gutter="0"/>
          <w:cols w:space="720" w:num="1"/>
        </w:sectPr>
      </w:pPr>
    </w:p>
    <w:p>
      <w:pPr>
        <w:pStyle w:val="7"/>
        <w:spacing w:before="50"/>
        <w:ind w:left="588" w:right="1246"/>
        <w:jc w:val="center"/>
      </w:pPr>
      <w:r>
        <w:rPr>
          <w:rFonts w:ascii="Arial" w:eastAsia="Arial"/>
        </w:rPr>
        <w:t>3</w:t>
      </w:r>
      <w:r>
        <w:t>、分项报价表</w:t>
      </w:r>
    </w:p>
    <w:p>
      <w:pPr>
        <w:pStyle w:val="7"/>
        <w:spacing w:before="5"/>
        <w:ind w:left="0"/>
        <w:rPr>
          <w:sz w:val="38"/>
        </w:rPr>
      </w:pPr>
    </w:p>
    <w:p>
      <w:pPr>
        <w:pStyle w:val="7"/>
        <w:tabs>
          <w:tab w:val="left" w:pos="3580"/>
          <w:tab w:val="left" w:pos="7608"/>
        </w:tabs>
        <w:spacing w:after="5"/>
        <w:ind w:left="220"/>
      </w:pPr>
      <w:r>
        <w:t>供应商名称（公章</w:t>
      </w:r>
      <w:r>
        <w:rPr>
          <w:spacing w:val="-120"/>
        </w:rPr>
        <w:t>）</w:t>
      </w:r>
      <w:r>
        <w:t>：</w:t>
      </w:r>
      <w:r>
        <w:rPr>
          <w:u w:val="single"/>
        </w:rPr>
        <w:tab/>
      </w:r>
      <w:r>
        <w:t>项目编号</w:t>
      </w:r>
      <w:r>
        <w:rPr>
          <w:rFonts w:ascii="Arial" w:eastAsia="Arial"/>
        </w:rPr>
        <w:t>/</w:t>
      </w:r>
      <w:r>
        <w:t>包号：</w:t>
      </w:r>
      <w:r>
        <w:rPr>
          <w:u w:val="single"/>
        </w:rPr>
        <w:tab/>
      </w: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98" w:type="dxa"/>
          </w:tcPr>
          <w:p>
            <w:pPr>
              <w:pStyle w:val="24"/>
              <w:spacing w:before="8" w:line="400" w:lineRule="exact"/>
              <w:ind w:left="177" w:right="168"/>
              <w:rPr>
                <w:sz w:val="24"/>
              </w:rPr>
            </w:pPr>
            <w:r>
              <w:rPr>
                <w:sz w:val="24"/>
              </w:rPr>
              <w:t>序号</w:t>
            </w:r>
          </w:p>
        </w:tc>
        <w:tc>
          <w:tcPr>
            <w:tcW w:w="2156" w:type="dxa"/>
          </w:tcPr>
          <w:p>
            <w:pPr>
              <w:pStyle w:val="24"/>
              <w:spacing w:before="8"/>
            </w:pPr>
          </w:p>
          <w:p>
            <w:pPr>
              <w:pStyle w:val="24"/>
              <w:ind w:left="814" w:right="811"/>
              <w:jc w:val="center"/>
              <w:rPr>
                <w:sz w:val="24"/>
              </w:rPr>
            </w:pPr>
            <w:r>
              <w:rPr>
                <w:sz w:val="24"/>
              </w:rPr>
              <w:t>名称</w:t>
            </w:r>
          </w:p>
        </w:tc>
        <w:tc>
          <w:tcPr>
            <w:tcW w:w="1049" w:type="dxa"/>
          </w:tcPr>
          <w:p>
            <w:pPr>
              <w:pStyle w:val="24"/>
              <w:spacing w:before="8" w:line="400" w:lineRule="exact"/>
              <w:ind w:left="402" w:right="154" w:hanging="240"/>
              <w:rPr>
                <w:sz w:val="24"/>
              </w:rPr>
            </w:pPr>
            <w:r>
              <w:rPr>
                <w:sz w:val="24"/>
              </w:rPr>
              <w:t>规格型号</w:t>
            </w:r>
          </w:p>
        </w:tc>
        <w:tc>
          <w:tcPr>
            <w:tcW w:w="1304" w:type="dxa"/>
          </w:tcPr>
          <w:p>
            <w:pPr>
              <w:pStyle w:val="24"/>
              <w:spacing w:before="8"/>
            </w:pPr>
          </w:p>
          <w:p>
            <w:pPr>
              <w:pStyle w:val="24"/>
              <w:ind w:left="289"/>
              <w:rPr>
                <w:sz w:val="24"/>
              </w:rPr>
            </w:pPr>
            <w:r>
              <w:rPr>
                <w:sz w:val="24"/>
              </w:rPr>
              <w:t>制造商</w:t>
            </w:r>
          </w:p>
        </w:tc>
        <w:tc>
          <w:tcPr>
            <w:tcW w:w="744" w:type="dxa"/>
          </w:tcPr>
          <w:p>
            <w:pPr>
              <w:pStyle w:val="24"/>
              <w:spacing w:before="8"/>
            </w:pPr>
          </w:p>
          <w:p>
            <w:pPr>
              <w:pStyle w:val="24"/>
              <w:ind w:left="130"/>
              <w:rPr>
                <w:sz w:val="24"/>
              </w:rPr>
            </w:pPr>
            <w:r>
              <w:rPr>
                <w:sz w:val="24"/>
              </w:rPr>
              <w:t>数量</w:t>
            </w:r>
          </w:p>
        </w:tc>
        <w:tc>
          <w:tcPr>
            <w:tcW w:w="1114" w:type="dxa"/>
          </w:tcPr>
          <w:p>
            <w:pPr>
              <w:pStyle w:val="24"/>
              <w:spacing w:before="8"/>
            </w:pPr>
          </w:p>
          <w:p>
            <w:pPr>
              <w:pStyle w:val="24"/>
              <w:ind w:left="315"/>
              <w:rPr>
                <w:sz w:val="24"/>
              </w:rPr>
            </w:pPr>
            <w:r>
              <w:rPr>
                <w:sz w:val="24"/>
              </w:rPr>
              <w:t>单价</w:t>
            </w:r>
          </w:p>
        </w:tc>
        <w:tc>
          <w:tcPr>
            <w:tcW w:w="1560" w:type="dxa"/>
          </w:tcPr>
          <w:p>
            <w:pPr>
              <w:pStyle w:val="24"/>
              <w:spacing w:before="8"/>
            </w:pPr>
          </w:p>
          <w:p>
            <w:pPr>
              <w:pStyle w:val="24"/>
              <w:ind w:left="518" w:right="511"/>
              <w:jc w:val="center"/>
              <w:rPr>
                <w:sz w:val="24"/>
              </w:rPr>
            </w:pPr>
            <w:r>
              <w:rPr>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98" w:type="dxa"/>
          </w:tcPr>
          <w:p>
            <w:pPr>
              <w:pStyle w:val="24"/>
              <w:spacing w:before="149"/>
              <w:ind w:left="107"/>
              <w:rPr>
                <w:rFonts w:ascii="Arial"/>
                <w:sz w:val="24"/>
              </w:rPr>
            </w:pPr>
            <w:r>
              <w:rPr>
                <w:rFonts w:ascii="Arial"/>
                <w:w w:val="99"/>
                <w:sz w:val="24"/>
              </w:rPr>
              <w:t>1</w:t>
            </w: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4"/>
              <w:spacing w:before="137"/>
              <w:ind w:left="107"/>
              <w:rPr>
                <w:rFonts w:ascii="Arial"/>
                <w:sz w:val="24"/>
              </w:rPr>
            </w:pPr>
            <w:r>
              <w:rPr>
                <w:rFonts w:ascii="Arial"/>
                <w:w w:val="99"/>
                <w:sz w:val="24"/>
              </w:rPr>
              <w:t>2</w:t>
            </w: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4"/>
              <w:spacing w:before="140"/>
              <w:ind w:left="107"/>
              <w:rPr>
                <w:rFonts w:ascii="Arial"/>
                <w:sz w:val="24"/>
              </w:rPr>
            </w:pPr>
            <w:r>
              <w:rPr>
                <w:rFonts w:ascii="Arial"/>
                <w:w w:val="99"/>
                <w:sz w:val="24"/>
              </w:rPr>
              <w:t>3</w:t>
            </w: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4"/>
              <w:rPr>
                <w:rFonts w:ascii="Times New Roman"/>
              </w:rPr>
            </w:pP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4"/>
              <w:rPr>
                <w:rFonts w:ascii="Times New Roman"/>
              </w:rPr>
            </w:pP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4"/>
              <w:rPr>
                <w:rFonts w:ascii="Times New Roman"/>
              </w:rPr>
            </w:pPr>
          </w:p>
        </w:tc>
        <w:tc>
          <w:tcPr>
            <w:tcW w:w="2156" w:type="dxa"/>
          </w:tcPr>
          <w:p>
            <w:pPr>
              <w:pStyle w:val="24"/>
              <w:rPr>
                <w:rFonts w:ascii="Times New Roman"/>
              </w:rPr>
            </w:pP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4"/>
              <w:rPr>
                <w:rFonts w:ascii="Times New Roman"/>
              </w:rPr>
            </w:pPr>
          </w:p>
        </w:tc>
        <w:tc>
          <w:tcPr>
            <w:tcW w:w="2156" w:type="dxa"/>
          </w:tcPr>
          <w:p>
            <w:pPr>
              <w:pStyle w:val="24"/>
              <w:spacing w:before="88" w:line="292" w:lineRule="exact"/>
              <w:ind w:left="107"/>
              <w:rPr>
                <w:sz w:val="24"/>
              </w:rPr>
            </w:pPr>
            <w:r>
              <w:rPr>
                <w:sz w:val="24"/>
              </w:rPr>
              <w:t>总价</w:t>
            </w:r>
          </w:p>
        </w:tc>
        <w:tc>
          <w:tcPr>
            <w:tcW w:w="1049" w:type="dxa"/>
          </w:tcPr>
          <w:p>
            <w:pPr>
              <w:pStyle w:val="24"/>
              <w:rPr>
                <w:rFonts w:ascii="Times New Roman"/>
              </w:rPr>
            </w:pPr>
          </w:p>
        </w:tc>
        <w:tc>
          <w:tcPr>
            <w:tcW w:w="1304" w:type="dxa"/>
          </w:tcPr>
          <w:p>
            <w:pPr>
              <w:pStyle w:val="24"/>
              <w:rPr>
                <w:rFonts w:ascii="Times New Roman"/>
              </w:rPr>
            </w:pPr>
          </w:p>
        </w:tc>
        <w:tc>
          <w:tcPr>
            <w:tcW w:w="744" w:type="dxa"/>
          </w:tcPr>
          <w:p>
            <w:pPr>
              <w:pStyle w:val="24"/>
              <w:rPr>
                <w:rFonts w:ascii="Times New Roman"/>
              </w:rPr>
            </w:pPr>
          </w:p>
        </w:tc>
        <w:tc>
          <w:tcPr>
            <w:tcW w:w="1114" w:type="dxa"/>
          </w:tcPr>
          <w:p>
            <w:pPr>
              <w:pStyle w:val="24"/>
              <w:rPr>
                <w:rFonts w:ascii="Times New Roman"/>
              </w:rPr>
            </w:pPr>
          </w:p>
        </w:tc>
        <w:tc>
          <w:tcPr>
            <w:tcW w:w="1560" w:type="dxa"/>
          </w:tcPr>
          <w:p>
            <w:pPr>
              <w:pStyle w:val="24"/>
              <w:rPr>
                <w:rFonts w:ascii="Times New Roman"/>
              </w:rPr>
            </w:pPr>
          </w:p>
        </w:tc>
      </w:tr>
    </w:tbl>
    <w:p>
      <w:pPr>
        <w:pStyle w:val="7"/>
        <w:ind w:left="0"/>
        <w:rPr>
          <w:sz w:val="26"/>
        </w:rPr>
      </w:pPr>
    </w:p>
    <w:p>
      <w:pPr>
        <w:pStyle w:val="7"/>
        <w:ind w:left="0"/>
        <w:rPr>
          <w:sz w:val="26"/>
        </w:rPr>
      </w:pPr>
    </w:p>
    <w:p>
      <w:pPr>
        <w:pStyle w:val="7"/>
        <w:spacing w:before="221"/>
        <w:ind w:left="220"/>
      </w:pPr>
      <w:r>
        <w:t>注：此表需详列投标的每种设备。</w:t>
      </w:r>
    </w:p>
    <w:p>
      <w:pPr>
        <w:pStyle w:val="7"/>
        <w:ind w:left="0"/>
      </w:pPr>
    </w:p>
    <w:p>
      <w:pPr>
        <w:pStyle w:val="7"/>
        <w:ind w:left="0"/>
      </w:pPr>
    </w:p>
    <w:p>
      <w:pPr>
        <w:pStyle w:val="7"/>
        <w:spacing w:before="9"/>
        <w:ind w:left="0"/>
        <w:rPr>
          <w:sz w:val="21"/>
        </w:rPr>
      </w:pPr>
    </w:p>
    <w:p>
      <w:pPr>
        <w:pStyle w:val="7"/>
        <w:ind w:left="220"/>
      </w:pPr>
      <w:r>
        <w:t>供应商代表签字：</w:t>
      </w:r>
    </w:p>
    <w:p>
      <w:pPr>
        <w:sectPr>
          <w:footerReference r:id="rId6" w:type="default"/>
          <w:pgSz w:w="11910" w:h="16840"/>
          <w:pgMar w:top="1460" w:right="920" w:bottom="1380" w:left="1580" w:header="0" w:footer="1195" w:gutter="0"/>
          <w:cols w:space="720" w:num="1"/>
        </w:sectPr>
      </w:pPr>
    </w:p>
    <w:p>
      <w:pPr>
        <w:pStyle w:val="7"/>
        <w:spacing w:before="50"/>
        <w:ind w:left="2985"/>
      </w:pPr>
      <w:r>
        <w:rPr>
          <w:rFonts w:ascii="Arial" w:eastAsia="Arial"/>
        </w:rPr>
        <w:t>4</w:t>
      </w:r>
      <w:r>
        <w:t>、技术参数、功能偏离表</w:t>
      </w:r>
    </w:p>
    <w:p>
      <w:pPr>
        <w:pStyle w:val="7"/>
        <w:spacing w:before="5"/>
        <w:ind w:left="0"/>
        <w:rPr>
          <w:sz w:val="38"/>
        </w:rPr>
      </w:pPr>
    </w:p>
    <w:p>
      <w:pPr>
        <w:pStyle w:val="7"/>
        <w:tabs>
          <w:tab w:val="left" w:pos="3580"/>
          <w:tab w:val="left" w:pos="5021"/>
        </w:tabs>
        <w:spacing w:after="5"/>
        <w:ind w:left="220"/>
      </w:pPr>
      <w:r>
        <w:t>供应</w:t>
      </w:r>
      <w:r>
        <w:rPr>
          <w:spacing w:val="-1"/>
        </w:rPr>
        <w:t>商</w:t>
      </w:r>
      <w:r>
        <w:t>名称（公章</w:t>
      </w:r>
      <w:r>
        <w:rPr>
          <w:spacing w:val="-120"/>
        </w:rPr>
        <w:t>）</w:t>
      </w:r>
      <w:r>
        <w:t>：</w:t>
      </w:r>
      <w:r>
        <w:rPr>
          <w:u w:val="single"/>
        </w:rPr>
        <w:tab/>
      </w:r>
      <w:r>
        <w:rPr>
          <w:u w:val="single"/>
        </w:rPr>
        <w:tab/>
      </w:r>
      <w:r>
        <w:t>项目编号</w:t>
      </w:r>
      <w:r>
        <w:rPr>
          <w:rFonts w:ascii="Arial" w:eastAsia="Arial"/>
        </w:rPr>
        <w:t>/</w:t>
      </w:r>
      <w:r>
        <w:t>包号：</w:t>
      </w:r>
    </w:p>
    <w:tbl>
      <w:tblPr>
        <w:tblStyle w:val="19"/>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4188"/>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4"/>
              <w:spacing w:before="8" w:line="400" w:lineRule="exact"/>
              <w:ind w:left="107" w:right="96"/>
              <w:rPr>
                <w:sz w:val="24"/>
              </w:rPr>
            </w:pPr>
            <w:r>
              <w:rPr>
                <w:sz w:val="24"/>
              </w:rPr>
              <w:t>序号</w:t>
            </w:r>
          </w:p>
        </w:tc>
        <w:tc>
          <w:tcPr>
            <w:tcW w:w="1428" w:type="dxa"/>
          </w:tcPr>
          <w:p>
            <w:pPr>
              <w:pStyle w:val="24"/>
              <w:spacing w:before="8" w:line="400" w:lineRule="exact"/>
              <w:ind w:left="232" w:right="103" w:hanging="120"/>
              <w:rPr>
                <w:sz w:val="24"/>
              </w:rPr>
            </w:pPr>
            <w:r>
              <w:rPr>
                <w:sz w:val="24"/>
              </w:rPr>
              <w:t>采购文件规格条目号</w:t>
            </w:r>
          </w:p>
        </w:tc>
        <w:tc>
          <w:tcPr>
            <w:tcW w:w="4188" w:type="dxa"/>
          </w:tcPr>
          <w:p>
            <w:pPr>
              <w:pStyle w:val="24"/>
              <w:spacing w:before="8"/>
            </w:pPr>
          </w:p>
          <w:p>
            <w:pPr>
              <w:pStyle w:val="24"/>
              <w:ind w:left="129"/>
              <w:rPr>
                <w:rFonts w:hint="eastAsia" w:eastAsia="宋体"/>
                <w:sz w:val="24"/>
                <w:lang w:eastAsia="zh-CN"/>
              </w:rPr>
            </w:pPr>
            <w:r>
              <w:rPr>
                <w:rFonts w:hint="eastAsia"/>
                <w:sz w:val="24"/>
                <w:lang w:eastAsia="zh-CN"/>
              </w:rPr>
              <w:t>供应商所报条目号</w:t>
            </w:r>
          </w:p>
          <w:p>
            <w:pPr>
              <w:pStyle w:val="24"/>
              <w:spacing w:before="8"/>
            </w:pPr>
          </w:p>
          <w:p>
            <w:pPr>
              <w:pStyle w:val="24"/>
              <w:ind w:left="526"/>
              <w:rPr>
                <w:sz w:val="24"/>
              </w:rPr>
            </w:pPr>
            <w:r>
              <w:rPr>
                <w:sz w:val="24"/>
              </w:rPr>
              <w:t>投标规格</w:t>
            </w:r>
          </w:p>
        </w:tc>
        <w:tc>
          <w:tcPr>
            <w:tcW w:w="1440" w:type="dxa"/>
          </w:tcPr>
          <w:p>
            <w:pPr>
              <w:pStyle w:val="24"/>
              <w:spacing w:before="8"/>
            </w:pPr>
          </w:p>
          <w:p>
            <w:pPr>
              <w:pStyle w:val="24"/>
              <w:ind w:left="480"/>
              <w:rPr>
                <w:sz w:val="24"/>
              </w:rPr>
            </w:pPr>
            <w:r>
              <w:rPr>
                <w:sz w:val="24"/>
              </w:rPr>
              <w:t>偏离</w:t>
            </w:r>
          </w:p>
        </w:tc>
        <w:tc>
          <w:tcPr>
            <w:tcW w:w="1010" w:type="dxa"/>
          </w:tcPr>
          <w:p>
            <w:pPr>
              <w:pStyle w:val="24"/>
              <w:spacing w:before="8"/>
            </w:pPr>
          </w:p>
          <w:p>
            <w:pPr>
              <w:pStyle w:val="24"/>
              <w:ind w:left="265"/>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56" w:type="dxa"/>
          </w:tcPr>
          <w:p>
            <w:pPr>
              <w:pStyle w:val="24"/>
              <w:rPr>
                <w:rFonts w:ascii="Times New Roman"/>
              </w:rPr>
            </w:pPr>
          </w:p>
        </w:tc>
        <w:tc>
          <w:tcPr>
            <w:tcW w:w="1428" w:type="dxa"/>
          </w:tcPr>
          <w:p>
            <w:pPr>
              <w:pStyle w:val="24"/>
              <w:rPr>
                <w:rFonts w:ascii="Times New Roman"/>
              </w:rPr>
            </w:pPr>
          </w:p>
        </w:tc>
        <w:tc>
          <w:tcPr>
            <w:tcW w:w="4188" w:type="dxa"/>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4"/>
              <w:rPr>
                <w:rFonts w:ascii="Times New Roman"/>
              </w:rPr>
            </w:pPr>
          </w:p>
        </w:tc>
        <w:tc>
          <w:tcPr>
            <w:tcW w:w="1428" w:type="dxa"/>
          </w:tcPr>
          <w:p>
            <w:pPr>
              <w:pStyle w:val="24"/>
              <w:rPr>
                <w:rFonts w:ascii="Times New Roman"/>
              </w:rPr>
            </w:pPr>
          </w:p>
        </w:tc>
        <w:tc>
          <w:tcPr>
            <w:tcW w:w="4188" w:type="dxa"/>
            <w:vAlign w:val="top"/>
          </w:tcPr>
          <w:p>
            <w:pPr>
              <w:pStyle w:val="24"/>
              <w:rPr>
                <w:rFonts w:ascii="Times New Roman"/>
              </w:rPr>
            </w:pPr>
          </w:p>
        </w:tc>
        <w:tc>
          <w:tcPr>
            <w:tcW w:w="1440" w:type="dxa"/>
          </w:tcPr>
          <w:p>
            <w:pPr>
              <w:pStyle w:val="24"/>
              <w:rPr>
                <w:rFonts w:ascii="Times New Roman"/>
              </w:rPr>
            </w:pPr>
          </w:p>
        </w:tc>
        <w:tc>
          <w:tcPr>
            <w:tcW w:w="1010" w:type="dxa"/>
          </w:tcPr>
          <w:p>
            <w:pPr>
              <w:pStyle w:val="24"/>
              <w:rPr>
                <w:rFonts w:ascii="Times New Roman"/>
              </w:rPr>
            </w:pPr>
          </w:p>
        </w:tc>
      </w:tr>
    </w:tbl>
    <w:p>
      <w:pPr>
        <w:pStyle w:val="7"/>
        <w:spacing w:before="89" w:line="312" w:lineRule="auto"/>
        <w:ind w:left="220" w:right="1863"/>
      </w:pPr>
      <w:r>
        <w:t>注：与采购文件中“第三部分 货物需求及技术要求”逐条对应填写。供应商代表签字：</w:t>
      </w:r>
    </w:p>
    <w:p>
      <w:pPr>
        <w:spacing w:line="312" w:lineRule="auto"/>
        <w:sectPr>
          <w:pgSz w:w="11910" w:h="16840"/>
          <w:pgMar w:top="1460" w:right="920" w:bottom="1380" w:left="1580" w:header="0" w:footer="1195" w:gutter="0"/>
          <w:cols w:space="720" w:num="1"/>
        </w:sectPr>
      </w:pPr>
    </w:p>
    <w:p>
      <w:pPr>
        <w:pStyle w:val="7"/>
        <w:spacing w:before="10"/>
        <w:ind w:left="0"/>
        <w:rPr>
          <w:sz w:val="19"/>
        </w:rPr>
      </w:pPr>
    </w:p>
    <w:p>
      <w:pPr>
        <w:widowControl/>
        <w:jc w:val="center"/>
        <w:rPr>
          <w:rFonts w:ascii="仿宋" w:hAnsi="仿宋" w:eastAsia="仿宋"/>
          <w:b/>
          <w:sz w:val="32"/>
          <w:szCs w:val="32"/>
        </w:rPr>
      </w:pPr>
      <w:r>
        <w:rPr>
          <w:rFonts w:hint="eastAsia" w:ascii="Arial" w:eastAsia="宋体"/>
          <w:lang w:val="en-US" w:eastAsia="zh-CN"/>
        </w:rPr>
        <w:t>5</w:t>
      </w:r>
      <w:r>
        <w:t>、</w:t>
      </w:r>
      <w:r>
        <w:rPr>
          <w:rFonts w:hint="eastAsia" w:ascii="仿宋" w:hAnsi="仿宋" w:eastAsia="仿宋"/>
          <w:b/>
          <w:sz w:val="32"/>
          <w:szCs w:val="32"/>
        </w:rPr>
        <w:t>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注：参加开标会议的投标人的法定代表人或其委托代理人应携带本人身份证（原件并附复印件），委托代理人还应携带《法人代表授权委托书》，以证明其身份。</w:t>
      </w:r>
    </w:p>
    <w:p>
      <w:pPr>
        <w:spacing w:line="440" w:lineRule="exact"/>
        <w:rPr>
          <w:rFonts w:ascii="仿宋" w:hAnsi="仿宋" w:eastAsia="仿宋"/>
          <w:b/>
          <w:sz w:val="24"/>
          <w:em w:val="dot"/>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1235075</wp:posOffset>
                </wp:positionH>
                <wp:positionV relativeFrom="paragraph">
                  <wp:posOffset>201295</wp:posOffset>
                </wp:positionV>
                <wp:extent cx="2857500" cy="1584960"/>
                <wp:effectExtent l="4445" t="5080" r="14605" b="10160"/>
                <wp:wrapNone/>
                <wp:docPr id="3" name="文本框 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wps:txbx>
                      <wps:bodyPr upright="1"/>
                    </wps:wsp>
                  </a:graphicData>
                </a:graphic>
              </wp:anchor>
            </w:drawing>
          </mc:Choice>
          <mc:Fallback>
            <w:pict>
              <v:shape id="_x0000_s1026" o:spid="_x0000_s1026" o:spt="202" type="#_x0000_t202" style="position:absolute;left:0pt;margin-left:97.25pt;margin-top:15.85pt;height:124.8pt;width:225pt;z-index:251661312;mso-width-relative:page;mso-height-relative:page;" fillcolor="#FFFFFF" filled="t" stroked="t" coordsize="21600,21600" o:gfxdata="UEsDBAoAAAAAAIdO4kAAAAAAAAAAAAAAAAAEAAAAZHJzL1BLAwQUAAAACACHTuJAqdLh/tgAAAAK&#10;AQAADwAAAGRycy9kb3ducmV2LnhtbE2Py07DQAxF90j8w8hIbCo6SVuaEjLpAsQOCZGirt3EeSgZ&#10;T5SZPuDrcVewvPbR9XG2vdhBnWjynWMD8TwCRVy6quPGwNfu7WEDygfkCgfHZOCbPGzz25sM08qd&#10;+ZNORWiUlLBP0UAbwphq7cuWLPq5G4llV7vJYpA4Nbqa8CzldtCLKFprix3LhRZHemmp7IujNUB2&#10;RvXP+7jvP2pM+tdZkex3nTH3d3H0DCrQJfzBcNUXdcjF6eCOXHk1SH5aPQpqYBknoARYr66Dg4HF&#10;Jl6CzjP9/4X8F1BLAwQUAAAACACHTuJAu9we8hcCAABGBAAADgAAAGRycy9lMm9Eb2MueG1srVPN&#10;jtMwEL4j8Q6W7zRply7dqOlKUMoFAdLCA7i2k1jynzxuk74AvAEnLtx5rj4HY7fb7e5y6IEcnLFn&#10;/M1834znt4PRZCsDKGdrOh6VlEjLnVC2rem3r6tXM0ogMiuYdlbWdCeB3i5evpj3vpIT1zktZCAI&#10;YqHqfU27GH1VFMA7aRiMnJcWnY0LhkXchrYQgfWIbnQxKcvrondB+OC4BMDT5cFJj4jhEkDXNIrL&#10;peMbI208oAapWURK0CkPdJGrbRrJ4+emARmJrikyjXnFJGiv01os5qxqA/Od4scS2CUlPOFkmLKY&#10;9AS1ZJGRTVDPoIziwYFr4og7UxyIZEWQxbh8os1dx7zMXFBq8CfR4f/B8k/bL4EoUdMrSiwz2PD9&#10;zx/7X3/2v7+TqyRP76HCqDuPcXF46wYcmvtzwMPEemiCSX/kQ9CP4u5O4sohEo6Hk9n0zbREF0ff&#10;eDp7fXOd5S8ervsA8YN0hiSjpgG7l0Vl248QsRQMvQ9J2cBpJVZK67wJ7fqdDmTLsNOr/KUq8cqj&#10;MG1JX9Ob6WSKhTAc3wbHBk3jUQKwbc736AacA5f5+xdwKmzJoDsUADtYupjiWGVUlCFbnWTivRUk&#10;7jzqbPF50VSNkYISLfE1JitHRqb0JZFIT9uUROZZP8qUWnZoTbLisB4QNJlrJ3bYxo0Pqu1Q4dzI&#10;InlwvLJYx6eQ5vd8j/b581/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S4f7YAAAACgEAAA8A&#10;AAAAAAAAAQAgAAAAIgAAAGRycy9kb3ducmV2LnhtbFBLAQIUABQAAAAIAIdO4kC73B7yFwIAAEYE&#10;AAAOAAAAAAAAAAEAIAAAACcBAABkcnMvZTJvRG9jLnhtbFBLBQYAAAAABgAGAFkBAACwBQAAAAA=&#10;">
                <v:fill on="t" focussize="0,0"/>
                <v:stroke color="#000000"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v:textbox>
              </v:shape>
            </w:pict>
          </mc:Fallback>
        </mc:AlternateConten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1268095</wp:posOffset>
                </wp:positionH>
                <wp:positionV relativeFrom="paragraph">
                  <wp:posOffset>239395</wp:posOffset>
                </wp:positionV>
                <wp:extent cx="2857500" cy="1584960"/>
                <wp:effectExtent l="4445" t="5080" r="14605" b="10160"/>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wps:txbx>
                      <wps:bodyPr upright="1"/>
                    </wps:wsp>
                  </a:graphicData>
                </a:graphic>
              </wp:anchor>
            </w:drawing>
          </mc:Choice>
          <mc:Fallback>
            <w:pict>
              <v:shape id="_x0000_s1026" o:spid="_x0000_s1026" o:spt="202" type="#_x0000_t202" style="position:absolute;left:0pt;margin-left:99.85pt;margin-top:18.85pt;height:124.8pt;width:225pt;z-index:251662336;mso-width-relative:page;mso-height-relative:page;" fillcolor="#FFFFFF" filled="t" stroked="t" coordsize="21600,21600" o:gfxdata="UEsDBAoAAAAAAIdO4kAAAAAAAAAAAAAAAAAEAAAAZHJzL1BLAwQUAAAACACHTuJAgr6h99kAAAAK&#10;AQAADwAAAGRycy9kb3ducmV2LnhtbE2PS2/CMBCE75X6H6yt1AsqDlBhSONwaNVbJdRQcV7izUOJ&#10;7Sg2j/bXs5zKaTW7o9lvss3F9uJEY2i90zCbJiDIld60rtbws/t8WYEIEZ3B3jvS8EsBNvnjQ4ap&#10;8Wf3Taci1oJDXEhRQxPjkEoZyoYshqkfyPGt8qPFyHKspRnxzOG2l/MkWUqLreMPDQ703lDZFUer&#10;geyEqr+vYd9tK1Tdx6RQ+12r9fPTLHkDEekS/81ww2d0yJnp4I/OBNGzXq8VWzUsFE82LF9vi4OG&#10;+UotQOaZvK+QXwFQSwMEFAAAAAgAh07iQCNnN20VAgAARgQAAA4AAABkcnMvZTJvRG9jLnhtbK1T&#10;zY7TMBC+I/EOlu80aUSXbtR0JSjlggBp4QFc20ks+U8et0lfAN6AExfuPFefg7HbLd2FQw/k4Iw9&#10;42/m+2a8uBuNJjsZQDnb0OmkpERa7oSyXUO/fF6/mFMCkVnBtLOyoXsJ9G75/Nli8LWsXO+0kIEg&#10;iIV68A3tY/R1UQDvpWEwcV5adLYuGBZxG7pCBDYgutFFVZY3xeCC8MFxCYCnq6OTnhDDNYCubRWX&#10;K8e3Rtp4RA1Ss4iUoFce6DJX27aSx49tCzIS3VBkGvOKSdDepLVYLljdBeZ7xU8lsGtKeMLJMGUx&#10;6RlqxSIj26D+gjKKBweujRPuTHEkkhVBFtPyiTb3PfMyc0GpwZ9Fh/8Hyz/sPgWiREMrSiwz2PDD&#10;92+HH78OP7+SKskzeKgx6t5jXBxfuxGH5uEc8DCxHttg0h/5EPSjuPuzuHKMhONhNZ+9mpXo4uib&#10;zuYvb2+y/MWf6z5AfCedIcloaMDuZVHZ7j1ELAVDH0JSNnBaibXSOm9Ct3mjA9kx7PQ6f6lKvPIo&#10;TFsyNPR2Vs2wEIbj2+LYoGk8SgC2y/ke3YBL4DJ//wJOha0Y9McCYA8rF1Mcq42KMmSrl0y8tYLE&#10;vUedLT4vmqoxUlCiJb7GZOXIyJS+JhLpaZuSyDzrJ5lSy46tSVYcNyOCJnPjxB7buPVBdT0qnBtZ&#10;JA+OVxbr9BTS/F7u0b58/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r6h99kAAAAKAQAADwAA&#10;AAAAAAABACAAAAAiAAAAZHJzL2Rvd25yZXYueG1sUEsBAhQAFAAAAAgAh07iQCNnN20VAgAARgQA&#10;AA4AAAAAAAAAAQAgAAAAKAEAAGRycy9lMm9Eb2MueG1sUEsFBgAAAAAGAAYAWQEAAK8FAAAAAA==&#10;">
                <v:fill on="t" focussize="0,0"/>
                <v:stroke color="#000000"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v:textbox>
              </v:shape>
            </w:pict>
          </mc:Fallback>
        </mc:AlternateContent>
      </w:r>
    </w:p>
    <w:p>
      <w:pPr>
        <w:spacing w:line="440" w:lineRule="exact"/>
        <w:jc w:val="center"/>
        <w:rPr>
          <w:rFonts w:ascii="仿宋" w:hAnsi="仿宋" w:eastAsia="仿宋"/>
          <w:b/>
          <w:sz w:val="30"/>
          <w:szCs w:val="30"/>
        </w:rPr>
      </w:pPr>
      <w:bookmarkStart w:id="27" w:name="_Toc495917337"/>
      <w:bookmarkStart w:id="28" w:name="_Toc501379480"/>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6"/>
      </w:pPr>
    </w:p>
    <w:p>
      <w:pPr>
        <w:pStyle w:val="15"/>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27"/>
      <w:bookmarkEnd w:id="28"/>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72"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72"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72"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72" w:leftChars="260"/>
        <w:rPr>
          <w:rFonts w:ascii="仿宋" w:hAnsi="仿宋" w:eastAsia="仿宋"/>
          <w:sz w:val="24"/>
          <w:szCs w:val="24"/>
        </w:rPr>
      </w:pPr>
      <w:r>
        <w:rPr>
          <w:rFonts w:ascii="仿宋" w:hAnsi="仿宋" w:eastAsia="仿宋"/>
          <w:sz w:val="24"/>
          <w:szCs w:val="24"/>
        </w:rPr>
        <w:t>姓名：性别：年龄：职务：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z w:val="24"/>
          <w:szCs w:val="24"/>
        </w:rPr>
        <w:t>年  月  日</w:t>
      </w:r>
    </w:p>
    <w:p>
      <w:pPr>
        <w:spacing w:line="440" w:lineRule="exact"/>
        <w:jc w:val="left"/>
        <w:rPr>
          <w:rFonts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注：参加开标会议的投标人的法定代表人应携带本人身份证（原件并附复印件），以证明其身份。</w:t>
      </w:r>
    </w:p>
    <w:p>
      <w:pPr>
        <w:pStyle w:val="7"/>
        <w:ind w:left="0"/>
        <w:rPr>
          <w:sz w:val="20"/>
        </w:rPr>
      </w:pPr>
    </w:p>
    <w:p>
      <w:pPr>
        <w:pStyle w:val="7"/>
        <w:ind w:left="0"/>
        <w:rPr>
          <w:sz w:val="20"/>
        </w:rPr>
      </w:pPr>
    </w:p>
    <w:p>
      <w:pPr>
        <w:pStyle w:val="7"/>
        <w:ind w:left="0"/>
        <w:rPr>
          <w:sz w:val="20"/>
        </w:rPr>
      </w:pPr>
    </w:p>
    <w:p>
      <w:pPr>
        <w:pStyle w:val="7"/>
        <w:spacing w:before="2"/>
        <w:ind w:left="0"/>
        <w:rPr>
          <w:sz w:val="22"/>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rPr>
          <w:rFonts w:ascii="Arial" w:eastAsia="Arial"/>
        </w:rPr>
      </w:pPr>
    </w:p>
    <w:p>
      <w:pPr>
        <w:pStyle w:val="7"/>
        <w:spacing w:before="78"/>
        <w:ind w:left="3225"/>
      </w:pPr>
      <w:r>
        <w:rPr>
          <w:rFonts w:hint="eastAsia" w:ascii="Arial" w:eastAsia="宋体"/>
          <w:lang w:val="en-US" w:eastAsia="zh-CN"/>
        </w:rPr>
        <w:t>6</w:t>
      </w:r>
      <w:r>
        <w:t>、关于资格的声明函</w:t>
      </w:r>
    </w:p>
    <w:p>
      <w:pPr>
        <w:pStyle w:val="7"/>
        <w:spacing w:before="5"/>
        <w:ind w:left="0"/>
        <w:rPr>
          <w:sz w:val="38"/>
        </w:rPr>
      </w:pPr>
    </w:p>
    <w:p>
      <w:pPr>
        <w:pStyle w:val="7"/>
        <w:ind w:left="220"/>
      </w:pPr>
      <w:r>
        <w:t>致：</w:t>
      </w:r>
      <w:r>
        <w:rPr>
          <w:rFonts w:hint="eastAsia"/>
          <w:u w:val="single"/>
        </w:rPr>
        <w:t>法正项目管理集团有限公司</w:t>
      </w:r>
      <w:r>
        <w:t>：</w:t>
      </w:r>
    </w:p>
    <w:p>
      <w:pPr>
        <w:pStyle w:val="7"/>
        <w:spacing w:before="83" w:line="302" w:lineRule="auto"/>
        <w:ind w:left="220" w:right="516" w:firstLine="571"/>
      </w:pPr>
      <w:r>
        <w:t>关于贵方年月日第</w:t>
      </w:r>
      <w:r>
        <w:rPr>
          <w:u w:val="single"/>
        </w:rPr>
        <w:t>（</w:t>
      </w:r>
      <w:r>
        <w:rPr>
          <w:i/>
          <w:sz w:val="25"/>
          <w:u w:val="single"/>
        </w:rPr>
        <w:t>项目编号</w:t>
      </w:r>
      <w:r>
        <w:rPr>
          <w:u w:val="single"/>
        </w:rPr>
        <w:t>）</w:t>
      </w:r>
      <w:r>
        <w:t>招标通告，本签字人愿意参加投标，并有能力提供</w:t>
      </w:r>
      <w:r>
        <w:rPr>
          <w:u w:val="single"/>
        </w:rPr>
        <w:t>（</w:t>
      </w:r>
      <w:r>
        <w:rPr>
          <w:i/>
          <w:sz w:val="25"/>
          <w:u w:val="single"/>
        </w:rPr>
        <w:t>项目名称</w:t>
      </w:r>
      <w:r>
        <w:rPr>
          <w:u w:val="single"/>
        </w:rPr>
        <w:t xml:space="preserve">）      </w:t>
      </w:r>
      <w:r>
        <w:t>项目中的</w:t>
      </w:r>
      <w:r>
        <w:rPr>
          <w:u w:val="single"/>
        </w:rPr>
        <w:t>（</w:t>
      </w:r>
      <w:r>
        <w:rPr>
          <w:i/>
          <w:sz w:val="25"/>
          <w:u w:val="single"/>
        </w:rPr>
        <w:t>货物名称</w:t>
      </w:r>
      <w:r>
        <w:rPr>
          <w:spacing w:val="-94"/>
          <w:u w:val="single"/>
        </w:rPr>
        <w:t>）</w:t>
      </w:r>
      <w:r>
        <w:rPr>
          <w:spacing w:val="-47"/>
        </w:rPr>
        <w:t xml:space="preserve"> </w:t>
      </w:r>
      <w:r>
        <w:rPr>
          <w:rFonts w:hint="eastAsia"/>
        </w:rPr>
        <w:t>招标货物及相关服务，并证明所提交的所有文件和说明是准确和真实的。</w:t>
      </w:r>
    </w:p>
    <w:p>
      <w:pPr>
        <w:pStyle w:val="7"/>
        <w:spacing w:before="200"/>
        <w:ind w:left="220"/>
      </w:pPr>
      <w:r>
        <w:t xml:space="preserve">  受权签署本资格文件人：</w:t>
      </w:r>
    </w:p>
    <w:p>
      <w:pPr>
        <w:pStyle w:val="7"/>
        <w:spacing w:before="93"/>
        <w:ind w:left="220"/>
      </w:pPr>
      <w:r>
        <w:t xml:space="preserve">  名 称 </w:t>
      </w:r>
      <w:r>
        <w:rPr>
          <w:u w:val="single"/>
        </w:rPr>
        <w:t>：</w:t>
      </w:r>
      <w:r>
        <w:t>签 字 ：</w:t>
      </w:r>
    </w:p>
    <w:p>
      <w:pPr>
        <w:pStyle w:val="7"/>
        <w:spacing w:before="94"/>
        <w:ind w:left="220"/>
      </w:pPr>
      <w:r>
        <w:t xml:space="preserve">  地 址 </w:t>
      </w:r>
      <w:r>
        <w:rPr>
          <w:u w:val="single"/>
        </w:rPr>
        <w:t>：</w:t>
      </w:r>
      <w:r>
        <w:t>签 字 人 姓 名 、 职 务 （ 印 刷 体 ）</w:t>
      </w:r>
    </w:p>
    <w:p>
      <w:pPr>
        <w:pStyle w:val="7"/>
        <w:tabs>
          <w:tab w:val="left" w:pos="4060"/>
        </w:tabs>
        <w:spacing w:before="91"/>
        <w:ind w:left="220"/>
      </w:pPr>
      <w:r>
        <w:t>传真</w:t>
      </w:r>
      <w:r>
        <w:rPr>
          <w:u w:val="single"/>
        </w:rPr>
        <w:t xml:space="preserve">：         </w:t>
      </w:r>
    </w:p>
    <w:p>
      <w:pPr>
        <w:pStyle w:val="7"/>
        <w:spacing w:before="93"/>
        <w:ind w:left="220"/>
      </w:pPr>
      <w:r>
        <w:t xml:space="preserve">  邮 编 </w:t>
      </w:r>
      <w:r>
        <w:rPr>
          <w:u w:val="single"/>
        </w:rPr>
        <w:t>：</w:t>
      </w:r>
      <w:r>
        <w:t xml:space="preserve">电 话 </w:t>
      </w:r>
      <w:r>
        <w:rPr>
          <w:u w:val="single"/>
        </w:rPr>
        <w:t xml:space="preserve">：          </w:t>
      </w:r>
    </w:p>
    <w:p>
      <w:pPr>
        <w:pStyle w:val="7"/>
        <w:spacing w:before="94"/>
        <w:ind w:left="220"/>
      </w:pPr>
      <w:r>
        <w:t xml:space="preserve">  盖章：</w:t>
      </w:r>
    </w:p>
    <w:p>
      <w:pPr>
        <w:sectPr>
          <w:pgSz w:w="11910" w:h="16840"/>
          <w:pgMar w:top="1580" w:right="920" w:bottom="1380" w:left="1580" w:header="0" w:footer="1195" w:gutter="0"/>
          <w:cols w:space="720" w:num="1"/>
        </w:sectPr>
      </w:pPr>
    </w:p>
    <w:p>
      <w:pPr>
        <w:pStyle w:val="7"/>
        <w:spacing w:before="8"/>
        <w:ind w:left="0"/>
        <w:rPr>
          <w:sz w:val="21"/>
        </w:rPr>
      </w:pPr>
    </w:p>
    <w:p>
      <w:pPr>
        <w:pStyle w:val="7"/>
        <w:spacing w:before="1"/>
        <w:ind w:left="588" w:right="1246"/>
        <w:jc w:val="center"/>
      </w:pPr>
      <w:r>
        <w:rPr>
          <w:rFonts w:hint="eastAsia" w:ascii="Arial"/>
          <w:lang w:val="en-US" w:eastAsia="zh-CN"/>
        </w:rPr>
        <w:t>7</w:t>
      </w:r>
      <w:r>
        <w:t>、近三年类似销售业绩表（附采购合同</w:t>
      </w:r>
      <w:r>
        <w:rPr>
          <w:rFonts w:hint="eastAsia"/>
          <w:lang w:eastAsia="zh-CN"/>
        </w:rPr>
        <w:t>或中标通知书</w:t>
      </w:r>
      <w:r>
        <w:t>）</w:t>
      </w:r>
    </w:p>
    <w:p>
      <w:pPr>
        <w:pStyle w:val="7"/>
        <w:ind w:left="0"/>
        <w:rPr>
          <w:sz w:val="26"/>
        </w:rPr>
      </w:pPr>
    </w:p>
    <w:p>
      <w:pPr>
        <w:pStyle w:val="7"/>
        <w:ind w:left="0"/>
        <w:rPr>
          <w:sz w:val="26"/>
        </w:rPr>
      </w:pPr>
    </w:p>
    <w:p>
      <w:pPr>
        <w:pStyle w:val="7"/>
        <w:spacing w:before="226"/>
        <w:ind w:left="593" w:right="1246"/>
        <w:jc w:val="center"/>
      </w:pPr>
      <w:r>
        <w:rPr>
          <w:rFonts w:hint="eastAsia" w:ascii="Arial"/>
          <w:lang w:val="en-US" w:eastAsia="zh-CN"/>
        </w:rPr>
        <w:t>8</w:t>
      </w:r>
      <w:r>
        <w:t>、资质证明文件</w:t>
      </w:r>
    </w:p>
    <w:p>
      <w:pPr>
        <w:pStyle w:val="7"/>
        <w:spacing w:before="93"/>
        <w:ind w:left="220"/>
      </w:pPr>
      <w:r>
        <w:rPr>
          <w:rFonts w:ascii="Arial" w:hAnsi="Arial" w:eastAsia="Arial"/>
        </w:rPr>
        <w:t>1</w:t>
      </w:r>
      <w:r>
        <w:t>、内容见</w:t>
      </w:r>
      <w:r>
        <w:rPr>
          <w:rFonts w:ascii="Arial" w:hAnsi="Arial" w:eastAsia="Arial"/>
        </w:rPr>
        <w:t>“</w:t>
      </w:r>
      <w:r>
        <w:t>供应商须知</w:t>
      </w:r>
      <w:r>
        <w:rPr>
          <w:rFonts w:ascii="Arial" w:hAnsi="Arial" w:eastAsia="Arial"/>
        </w:rPr>
        <w:t>”</w:t>
      </w:r>
      <w:r>
        <w:t xml:space="preserve">第 </w:t>
      </w:r>
      <w:r>
        <w:rPr>
          <w:rFonts w:ascii="Arial" w:hAnsi="Arial" w:eastAsia="Arial"/>
        </w:rPr>
        <w:t xml:space="preserve">15 </w:t>
      </w:r>
      <w:r>
        <w:t>条。</w:t>
      </w:r>
    </w:p>
    <w:p>
      <w:pPr>
        <w:pStyle w:val="7"/>
        <w:spacing w:before="91"/>
        <w:ind w:left="220"/>
      </w:pPr>
      <w:r>
        <w:rPr>
          <w:rFonts w:ascii="Arial" w:eastAsia="Arial"/>
        </w:rPr>
        <w:t>2</w:t>
      </w:r>
      <w:r>
        <w:t>、其它一切有利于产品和供应商的证明材料。</w:t>
      </w:r>
    </w:p>
    <w:p>
      <w:pPr>
        <w:pStyle w:val="7"/>
        <w:spacing w:before="7"/>
        <w:ind w:left="0"/>
        <w:rPr>
          <w:sz w:val="38"/>
        </w:rPr>
      </w:pPr>
    </w:p>
    <w:p>
      <w:pPr>
        <w:pStyle w:val="7"/>
        <w:numPr>
          <w:ilvl w:val="0"/>
          <w:numId w:val="0"/>
        </w:numPr>
        <w:ind w:right="1246" w:rightChars="0"/>
        <w:jc w:val="center"/>
      </w:pPr>
      <w:r>
        <w:rPr>
          <w:rFonts w:hint="eastAsia"/>
          <w:lang w:val="en-US" w:eastAsia="zh-CN"/>
        </w:rPr>
        <w:t>9、</w:t>
      </w:r>
      <w:r>
        <w:t>产品彩页</w:t>
      </w:r>
    </w:p>
    <w:p>
      <w:pPr>
        <w:pStyle w:val="5"/>
        <w:spacing w:line="456" w:lineRule="exact"/>
        <w:ind w:left="276"/>
        <w:jc w:val="center"/>
        <w:rPr>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rFonts w:hint="eastAsia"/>
          <w:sz w:val="32"/>
          <w:szCs w:val="32"/>
        </w:rPr>
      </w:pPr>
    </w:p>
    <w:p>
      <w:pPr>
        <w:pStyle w:val="5"/>
        <w:spacing w:line="456" w:lineRule="exact"/>
        <w:ind w:left="276"/>
        <w:jc w:val="both"/>
        <w:rPr>
          <w:sz w:val="32"/>
          <w:szCs w:val="32"/>
        </w:rPr>
      </w:pPr>
      <w:r>
        <w:rPr>
          <w:rFonts w:hint="eastAsia"/>
          <w:sz w:val="32"/>
          <w:szCs w:val="32"/>
        </w:rPr>
        <w:t>附件</w:t>
      </w:r>
    </w:p>
    <w:p>
      <w:pPr>
        <w:pStyle w:val="5"/>
        <w:spacing w:line="456" w:lineRule="exact"/>
        <w:ind w:left="276"/>
        <w:jc w:val="center"/>
        <w:rPr>
          <w:b w:val="0"/>
          <w:bCs w:val="0"/>
        </w:rPr>
      </w:pPr>
      <w:r>
        <w:rPr>
          <w:rFonts w:hint="eastAsia"/>
          <w:sz w:val="32"/>
          <w:szCs w:val="32"/>
        </w:rPr>
        <w:t>投标人企业类型声明函（如是，需填报）</w:t>
      </w:r>
    </w:p>
    <w:p>
      <w:pPr>
        <w:spacing w:line="360" w:lineRule="auto"/>
        <w:ind w:firstLine="2570" w:firstLineChars="800"/>
        <w:jc w:val="both"/>
        <w:rPr>
          <w:rFonts w:hint="eastAsia"/>
          <w:b/>
          <w:sz w:val="32"/>
          <w:szCs w:val="32"/>
          <w:lang w:val="en-US"/>
        </w:rPr>
      </w:pPr>
    </w:p>
    <w:p>
      <w:pPr>
        <w:spacing w:line="360" w:lineRule="auto"/>
        <w:ind w:firstLine="2570" w:firstLineChars="800"/>
        <w:jc w:val="both"/>
        <w:rPr>
          <w:rFonts w:hint="eastAsia" w:eastAsia="宋体"/>
          <w:sz w:val="24"/>
          <w:lang w:val="en-US" w:eastAsia="zh-CN"/>
        </w:rPr>
      </w:pPr>
      <w:r>
        <w:rPr>
          <w:rFonts w:hint="eastAsia"/>
          <w:b/>
          <w:sz w:val="32"/>
          <w:szCs w:val="32"/>
          <w:lang w:val="en-US"/>
        </w:rPr>
        <w:t>1 、中小企业声明函</w:t>
      </w:r>
      <w:r>
        <w:rPr>
          <w:rFonts w:hint="eastAsia"/>
          <w:b/>
          <w:sz w:val="32"/>
          <w:szCs w:val="32"/>
          <w:lang w:val="en-US" w:eastAsia="zh-CN"/>
        </w:rPr>
        <w:t>(服务）</w:t>
      </w:r>
    </w:p>
    <w:p>
      <w:pPr>
        <w:pStyle w:val="2"/>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 本公司（联合体）郑重声明，根据《政府采购促进中小 企业发展管理办法》（财库﹝2020﹞46 号）的规定，本公司 （联合体）参加</w:t>
      </w:r>
      <w:r>
        <w:rPr>
          <w:rFonts w:hint="eastAsia" w:ascii="宋体" w:hAnsi="宋体" w:eastAsia="宋体" w:cs="宋体"/>
          <w:sz w:val="24"/>
          <w:szCs w:val="22"/>
          <w:u w:val="single"/>
          <w:lang w:val="zh-CN" w:eastAsia="zh-CN" w:bidi="zh-CN"/>
        </w:rPr>
        <w:t>（单位名称）</w:t>
      </w:r>
      <w:r>
        <w:rPr>
          <w:rFonts w:hint="eastAsia" w:ascii="宋体" w:hAnsi="宋体" w:eastAsia="宋体" w:cs="宋体"/>
          <w:sz w:val="24"/>
          <w:szCs w:val="22"/>
          <w:lang w:val="zh-CN" w:eastAsia="zh-CN" w:bidi="zh-CN"/>
        </w:rPr>
        <w:t>的</w:t>
      </w:r>
      <w:r>
        <w:rPr>
          <w:rFonts w:hint="eastAsia" w:ascii="宋体" w:hAnsi="宋体" w:eastAsia="宋体" w:cs="宋体"/>
          <w:sz w:val="24"/>
          <w:szCs w:val="22"/>
          <w:u w:val="single"/>
          <w:lang w:val="zh-CN" w:eastAsia="zh-CN" w:bidi="zh-CN"/>
        </w:rPr>
        <w:t>（项目名称）</w:t>
      </w:r>
      <w:r>
        <w:rPr>
          <w:rFonts w:hint="eastAsia" w:ascii="宋体" w:hAnsi="宋体" w:eastAsia="宋体" w:cs="宋体"/>
          <w:sz w:val="24"/>
          <w:szCs w:val="22"/>
          <w:lang w:val="zh-CN" w:eastAsia="zh-CN" w:bidi="zh-CN"/>
        </w:rPr>
        <w:t xml:space="preserve">采购活动，服务全部由符合政策要求的中小企业承接。相关企业（含联合 体中的中小企业、签订分包意向协议的中小企业）的具体情 况如下： </w:t>
      </w:r>
    </w:p>
    <w:p>
      <w:pPr>
        <w:pStyle w:val="2"/>
        <w:numPr>
          <w:ilvl w:val="0"/>
          <w:numId w:val="21"/>
        </w:numPr>
        <w:rPr>
          <w:rFonts w:hint="eastAsia" w:ascii="宋体" w:hAnsi="宋体" w:eastAsia="宋体" w:cs="宋体"/>
          <w:sz w:val="24"/>
          <w:szCs w:val="22"/>
          <w:lang w:val="zh-CN" w:eastAsia="zh-CN" w:bidi="zh-CN"/>
        </w:rPr>
      </w:pPr>
      <w:r>
        <w:rPr>
          <w:rFonts w:hint="eastAsia" w:ascii="宋体" w:hAnsi="宋体" w:eastAsia="宋体" w:cs="宋体"/>
          <w:sz w:val="24"/>
          <w:szCs w:val="22"/>
          <w:u w:val="single"/>
          <w:lang w:val="zh-CN" w:eastAsia="zh-CN" w:bidi="zh-CN"/>
        </w:rPr>
        <w:t xml:space="preserve">（标的名称） </w:t>
      </w:r>
      <w:r>
        <w:rPr>
          <w:rFonts w:hint="eastAsia" w:ascii="宋体" w:hAnsi="宋体" w:eastAsia="宋体" w:cs="宋体"/>
          <w:sz w:val="24"/>
          <w:szCs w:val="22"/>
          <w:lang w:val="zh-CN" w:eastAsia="zh-CN" w:bidi="zh-CN"/>
        </w:rPr>
        <w:t>，属于</w:t>
      </w:r>
      <w:r>
        <w:rPr>
          <w:rFonts w:hint="eastAsia" w:ascii="宋体" w:hAnsi="宋体" w:eastAsia="宋体" w:cs="宋体"/>
          <w:sz w:val="24"/>
          <w:szCs w:val="22"/>
          <w:u w:val="single"/>
          <w:lang w:val="zh-CN" w:eastAsia="zh-CN" w:bidi="zh-CN"/>
        </w:rPr>
        <w:t>（采购文件中明确的所属行业）</w:t>
      </w:r>
      <w:r>
        <w:rPr>
          <w:rFonts w:hint="eastAsia" w:ascii="宋体" w:hAnsi="宋体" w:eastAsia="宋体" w:cs="宋体"/>
          <w:sz w:val="24"/>
          <w:szCs w:val="22"/>
          <w:lang w:val="zh-CN" w:eastAsia="zh-CN" w:bidi="zh-CN"/>
        </w:rPr>
        <w:t>； 承接企业为</w:t>
      </w:r>
      <w:r>
        <w:rPr>
          <w:rFonts w:hint="eastAsia" w:ascii="宋体" w:hAnsi="宋体" w:eastAsia="宋体" w:cs="宋体"/>
          <w:sz w:val="24"/>
          <w:szCs w:val="22"/>
          <w:u w:val="single"/>
          <w:lang w:val="zh-CN" w:eastAsia="zh-CN" w:bidi="zh-CN"/>
        </w:rPr>
        <w:t>（企业名称）</w:t>
      </w:r>
      <w:r>
        <w:rPr>
          <w:rFonts w:hint="eastAsia" w:ascii="宋体" w:hAnsi="宋体" w:eastAsia="宋体" w:cs="宋体"/>
          <w:sz w:val="24"/>
          <w:szCs w:val="22"/>
          <w:lang w:val="zh-CN" w:eastAsia="zh-CN" w:bidi="zh-CN"/>
        </w:rPr>
        <w:t>，从业人员</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人，营业 收入为</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万元，资产总额为</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万元 1，属于</w:t>
      </w:r>
      <w:r>
        <w:rPr>
          <w:rFonts w:hint="eastAsia" w:ascii="宋体" w:hAnsi="宋体" w:eastAsia="宋体" w:cs="宋体"/>
          <w:sz w:val="24"/>
          <w:szCs w:val="22"/>
          <w:u w:val="single"/>
          <w:lang w:val="zh-CN" w:eastAsia="zh-CN" w:bidi="zh-CN"/>
        </w:rPr>
        <w:t>（中型企业、 小型企业、微型企业）</w:t>
      </w:r>
      <w:r>
        <w:rPr>
          <w:rFonts w:hint="eastAsia" w:ascii="宋体" w:hAnsi="宋体" w:eastAsia="宋体" w:cs="宋体"/>
          <w:sz w:val="24"/>
          <w:szCs w:val="22"/>
          <w:lang w:val="zh-CN" w:eastAsia="zh-CN" w:bidi="zh-CN"/>
        </w:rPr>
        <w:t xml:space="preserve">； </w:t>
      </w:r>
    </w:p>
    <w:p>
      <w:pPr>
        <w:pStyle w:val="2"/>
        <w:numPr>
          <w:ilvl w:val="0"/>
          <w:numId w:val="21"/>
        </w:numPr>
        <w:ind w:left="0" w:leftChars="0" w:firstLine="561" w:firstLineChars="0"/>
        <w:rPr>
          <w:rFonts w:hint="eastAsia" w:ascii="宋体" w:hAnsi="宋体" w:eastAsia="宋体" w:cs="宋体"/>
          <w:sz w:val="24"/>
          <w:szCs w:val="22"/>
          <w:lang w:val="zh-CN" w:eastAsia="zh-CN" w:bidi="zh-CN"/>
        </w:rPr>
      </w:pPr>
      <w:r>
        <w:rPr>
          <w:rFonts w:hint="eastAsia" w:ascii="宋体" w:hAnsi="宋体" w:eastAsia="宋体" w:cs="宋体"/>
          <w:sz w:val="24"/>
          <w:szCs w:val="22"/>
          <w:u w:val="single"/>
          <w:lang w:val="zh-CN" w:eastAsia="zh-CN" w:bidi="zh-CN"/>
        </w:rPr>
        <w:t xml:space="preserve">（标的名称） </w:t>
      </w:r>
      <w:r>
        <w:rPr>
          <w:rFonts w:hint="eastAsia" w:ascii="宋体" w:hAnsi="宋体" w:eastAsia="宋体" w:cs="宋体"/>
          <w:sz w:val="24"/>
          <w:szCs w:val="22"/>
          <w:lang w:val="zh-CN" w:eastAsia="zh-CN" w:bidi="zh-CN"/>
        </w:rPr>
        <w:t>，属于</w:t>
      </w:r>
      <w:r>
        <w:rPr>
          <w:rFonts w:hint="eastAsia" w:ascii="宋体" w:hAnsi="宋体" w:eastAsia="宋体" w:cs="宋体"/>
          <w:sz w:val="24"/>
          <w:szCs w:val="22"/>
          <w:u w:val="single"/>
          <w:lang w:val="zh-CN" w:eastAsia="zh-CN" w:bidi="zh-CN"/>
        </w:rPr>
        <w:t>（采购文件中明确的所属行业）</w:t>
      </w:r>
      <w:r>
        <w:rPr>
          <w:rFonts w:hint="eastAsia" w:ascii="宋体" w:hAnsi="宋体" w:eastAsia="宋体" w:cs="宋体"/>
          <w:sz w:val="24"/>
          <w:szCs w:val="22"/>
          <w:lang w:val="zh-CN" w:eastAsia="zh-CN" w:bidi="zh-CN"/>
        </w:rPr>
        <w:t>； 承接企业为</w:t>
      </w:r>
      <w:r>
        <w:rPr>
          <w:rFonts w:hint="eastAsia" w:ascii="宋体" w:hAnsi="宋体" w:eastAsia="宋体" w:cs="宋体"/>
          <w:sz w:val="24"/>
          <w:szCs w:val="22"/>
          <w:u w:val="single"/>
          <w:lang w:val="zh-CN" w:eastAsia="zh-CN" w:bidi="zh-CN"/>
        </w:rPr>
        <w:t>（企业名称）</w:t>
      </w:r>
      <w:r>
        <w:rPr>
          <w:rFonts w:hint="eastAsia" w:ascii="宋体" w:hAnsi="宋体" w:eastAsia="宋体" w:cs="宋体"/>
          <w:sz w:val="24"/>
          <w:szCs w:val="22"/>
          <w:lang w:val="zh-CN" w:eastAsia="zh-CN" w:bidi="zh-CN"/>
        </w:rPr>
        <w:t>，从业人员</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人，营业 收入为</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万元，资产总额为</w:t>
      </w:r>
      <w:r>
        <w:rPr>
          <w:rFonts w:hint="eastAsia" w:ascii="宋体" w:hAnsi="宋体" w:eastAsia="宋体" w:cs="宋体"/>
          <w:sz w:val="24"/>
          <w:szCs w:val="22"/>
          <w:u w:val="single"/>
          <w:lang w:val="en-US" w:eastAsia="zh-CN" w:bidi="zh-CN"/>
        </w:rPr>
        <w:t xml:space="preserve">         </w:t>
      </w:r>
      <w:r>
        <w:rPr>
          <w:rFonts w:hint="eastAsia" w:ascii="宋体" w:hAnsi="宋体" w:eastAsia="宋体" w:cs="宋体"/>
          <w:sz w:val="24"/>
          <w:szCs w:val="22"/>
          <w:lang w:val="zh-CN" w:eastAsia="zh-CN" w:bidi="zh-CN"/>
        </w:rPr>
        <w:t>万元，属于</w:t>
      </w:r>
      <w:r>
        <w:rPr>
          <w:rFonts w:hint="eastAsia" w:ascii="宋体" w:hAnsi="宋体" w:eastAsia="宋体" w:cs="宋体"/>
          <w:sz w:val="24"/>
          <w:szCs w:val="22"/>
          <w:u w:val="single"/>
          <w:lang w:val="zh-CN" w:eastAsia="zh-CN" w:bidi="zh-CN"/>
        </w:rPr>
        <w:t>（中型企业、 小型企业、微型企业）</w:t>
      </w:r>
      <w:r>
        <w:rPr>
          <w:rFonts w:hint="eastAsia" w:ascii="宋体" w:hAnsi="宋体" w:eastAsia="宋体" w:cs="宋体"/>
          <w:sz w:val="24"/>
          <w:szCs w:val="22"/>
          <w:lang w:val="zh-CN" w:eastAsia="zh-CN" w:bidi="zh-CN"/>
        </w:rPr>
        <w:t>；</w:t>
      </w:r>
    </w:p>
    <w:p>
      <w:pPr>
        <w:pStyle w:val="2"/>
        <w:numPr>
          <w:ilvl w:val="0"/>
          <w:numId w:val="0"/>
        </w:numPr>
        <w:ind w:left="561" w:leftChars="0"/>
        <w:jc w:val="both"/>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 …… 以上企业，不属于大企业的分支机构，不存在控股股东 为大企业的情形，也</w:t>
      </w:r>
    </w:p>
    <w:p>
      <w:pPr>
        <w:pStyle w:val="2"/>
        <w:numPr>
          <w:ilvl w:val="0"/>
          <w:numId w:val="0"/>
        </w:numPr>
        <w:jc w:val="both"/>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不存在与大企业的负责人为同一人的情 形。</w:t>
      </w:r>
    </w:p>
    <w:p>
      <w:pPr>
        <w:pStyle w:val="2"/>
        <w:numPr>
          <w:ilvl w:val="0"/>
          <w:numId w:val="0"/>
        </w:numPr>
        <w:ind w:firstLine="480" w:firstLineChars="200"/>
        <w:jc w:val="both"/>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 本企业对上述声明内容的真实性负责。如有虚假，将依法承担相应责任。</w:t>
      </w:r>
    </w:p>
    <w:p>
      <w:pPr>
        <w:pStyle w:val="2"/>
        <w:numPr>
          <w:ilvl w:val="0"/>
          <w:numId w:val="0"/>
        </w:numPr>
        <w:ind w:firstLine="5520" w:firstLineChars="2300"/>
        <w:jc w:val="both"/>
        <w:rPr>
          <w:rFonts w:hint="eastAsia" w:ascii="宋体" w:hAnsi="宋体" w:eastAsia="宋体" w:cs="宋体"/>
          <w:sz w:val="24"/>
          <w:szCs w:val="22"/>
          <w:lang w:val="zh-CN" w:eastAsia="zh-CN" w:bidi="zh-CN"/>
        </w:rPr>
      </w:pPr>
    </w:p>
    <w:p>
      <w:pPr>
        <w:pStyle w:val="2"/>
        <w:numPr>
          <w:ilvl w:val="0"/>
          <w:numId w:val="0"/>
        </w:numPr>
        <w:ind w:firstLine="5520" w:firstLineChars="2300"/>
        <w:jc w:val="both"/>
        <w:rPr>
          <w:rFonts w:hint="eastAsia" w:ascii="宋体" w:hAnsi="宋体" w:eastAsia="宋体" w:cs="宋体"/>
          <w:sz w:val="24"/>
          <w:szCs w:val="22"/>
          <w:lang w:val="zh-CN" w:eastAsia="zh-CN" w:bidi="zh-CN"/>
        </w:rPr>
      </w:pPr>
    </w:p>
    <w:p>
      <w:pPr>
        <w:pStyle w:val="2"/>
        <w:numPr>
          <w:ilvl w:val="0"/>
          <w:numId w:val="0"/>
        </w:numPr>
        <w:ind w:firstLine="5520" w:firstLineChars="2300"/>
        <w:jc w:val="both"/>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 企业名称（盖章）：</w:t>
      </w:r>
    </w:p>
    <w:p>
      <w:pPr>
        <w:pStyle w:val="2"/>
        <w:numPr>
          <w:ilvl w:val="0"/>
          <w:numId w:val="0"/>
        </w:numPr>
        <w:ind w:firstLine="5520" w:firstLineChars="2300"/>
        <w:jc w:val="both"/>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 日 期： </w:t>
      </w:r>
    </w:p>
    <w:p>
      <w:pPr>
        <w:pStyle w:val="2"/>
        <w:rPr>
          <w:rFonts w:hint="eastAsia" w:ascii="宋体" w:hAnsi="宋体" w:eastAsia="宋体" w:cs="宋体"/>
          <w:sz w:val="24"/>
          <w:szCs w:val="22"/>
          <w:lang w:val="zh-CN" w:eastAsia="zh-CN" w:bidi="zh-CN"/>
        </w:rPr>
      </w:pPr>
    </w:p>
    <w:p>
      <w:pPr>
        <w:pStyle w:val="2"/>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 xml:space="preserve">1 </w:t>
      </w:r>
      <w:r>
        <w:rPr>
          <w:rFonts w:hint="eastAsia" w:ascii="宋体" w:hAnsi="宋体" w:eastAsia="宋体" w:cs="宋体"/>
          <w:sz w:val="24"/>
          <w:szCs w:val="22"/>
          <w:lang w:val="en-US" w:eastAsia="zh-CN" w:bidi="zh-CN"/>
        </w:rPr>
        <w:t>.</w:t>
      </w:r>
      <w:r>
        <w:rPr>
          <w:rFonts w:hint="eastAsia" w:ascii="宋体" w:hAnsi="宋体" w:eastAsia="宋体" w:cs="宋体"/>
          <w:sz w:val="24"/>
          <w:szCs w:val="22"/>
          <w:lang w:val="zh-CN" w:eastAsia="zh-CN" w:bidi="zh-CN"/>
        </w:rPr>
        <w:t>从业人员、营业收入、资产总额填报上一年度数据，无上一年度数据的新成立企业可不填报</w:t>
      </w:r>
    </w:p>
    <w:p>
      <w:pPr>
        <w:tabs>
          <w:tab w:val="left" w:pos="3777"/>
          <w:tab w:val="center" w:pos="4819"/>
        </w:tabs>
        <w:spacing w:line="360" w:lineRule="auto"/>
        <w:ind w:firstLine="2409" w:firstLineChars="750"/>
        <w:rPr>
          <w:rFonts w:hint="eastAsia"/>
          <w:b/>
          <w:sz w:val="32"/>
          <w:szCs w:val="32"/>
          <w:lang w:val="en-US"/>
        </w:rPr>
      </w:pPr>
    </w:p>
    <w:p>
      <w:pPr>
        <w:tabs>
          <w:tab w:val="left" w:pos="3777"/>
          <w:tab w:val="center" w:pos="4819"/>
        </w:tabs>
        <w:spacing w:line="360" w:lineRule="auto"/>
        <w:ind w:firstLine="2731" w:firstLineChars="850"/>
        <w:rPr>
          <w:b/>
          <w:sz w:val="32"/>
          <w:szCs w:val="32"/>
        </w:rPr>
      </w:pPr>
      <w:r>
        <w:rPr>
          <w:rFonts w:hint="eastAsia"/>
          <w:b/>
          <w:sz w:val="32"/>
          <w:szCs w:val="32"/>
          <w:lang w:val="en-US"/>
        </w:rPr>
        <w:t xml:space="preserve">2、  </w:t>
      </w:r>
      <w:r>
        <w:rPr>
          <w:rFonts w:hint="eastAsia"/>
          <w:b/>
          <w:sz w:val="32"/>
          <w:szCs w:val="32"/>
        </w:rPr>
        <w:t>监狱企业声明函</w:t>
      </w:r>
    </w:p>
    <w:p>
      <w:pPr>
        <w:spacing w:line="360" w:lineRule="auto"/>
        <w:jc w:val="center"/>
        <w:rPr>
          <w:sz w:val="24"/>
        </w:rPr>
      </w:pPr>
      <w:r>
        <w:rPr>
          <w:rFonts w:hint="eastAsia"/>
          <w:sz w:val="24"/>
        </w:rPr>
        <w:t>（监狱企业适用）</w:t>
      </w:r>
    </w:p>
    <w:p>
      <w:pPr>
        <w:spacing w:line="360" w:lineRule="auto"/>
        <w:ind w:firstLine="540" w:firstLineChars="225"/>
        <w:rPr>
          <w:sz w:val="24"/>
        </w:rPr>
      </w:pPr>
      <w:r>
        <w:rPr>
          <w:rFonts w:hint="eastAsia"/>
          <w:sz w:val="24"/>
        </w:rPr>
        <w:t>本公司郑重声明，根据《关于政府采购支持监狱企业发展有关问题的通知》（财库</w:t>
      </w:r>
      <w:r>
        <w:rPr>
          <w:sz w:val="24"/>
        </w:rPr>
        <w:t>[2014]68</w:t>
      </w:r>
      <w:r>
        <w:rPr>
          <w:rFonts w:hint="eastAsia"/>
          <w:sz w:val="24"/>
        </w:rPr>
        <w:t>号）的规定，本公司为监狱企业。</w:t>
      </w:r>
    </w:p>
    <w:p>
      <w:pPr>
        <w:spacing w:line="360" w:lineRule="auto"/>
        <w:ind w:firstLine="540" w:firstLineChars="225"/>
        <w:rPr>
          <w:sz w:val="24"/>
        </w:rPr>
      </w:pPr>
      <w:r>
        <w:rPr>
          <w:rFonts w:hint="eastAsia"/>
          <w:sz w:val="24"/>
        </w:rPr>
        <w:t>本公司参加</w:t>
      </w:r>
      <w:r>
        <w:rPr>
          <w:sz w:val="24"/>
        </w:rPr>
        <w:t>______</w:t>
      </w:r>
      <w:r>
        <w:rPr>
          <w:rFonts w:hint="eastAsia"/>
          <w:sz w:val="24"/>
        </w:rPr>
        <w:t>单位的</w:t>
      </w:r>
      <w:r>
        <w:rPr>
          <w:sz w:val="24"/>
        </w:rPr>
        <w:t>______</w:t>
      </w:r>
      <w:r>
        <w:rPr>
          <w:rFonts w:hint="eastAsia"/>
          <w:sz w:val="24"/>
        </w:rPr>
        <w:t>项目采购活动，采购活动提供本企业（填写制造的货物，由本企业承担工程、提供服务）。</w:t>
      </w:r>
    </w:p>
    <w:p>
      <w:pPr>
        <w:spacing w:line="360" w:lineRule="auto"/>
        <w:ind w:firstLine="540" w:firstLineChars="225"/>
        <w:rPr>
          <w:sz w:val="24"/>
        </w:rPr>
      </w:pPr>
      <w:r>
        <w:rPr>
          <w:rFonts w:hint="eastAsia"/>
          <w:sz w:val="24"/>
        </w:rPr>
        <w:t>本条所称货物不包括使用大型企业注册商标的货物和服务。</w:t>
      </w:r>
    </w:p>
    <w:p>
      <w:pPr>
        <w:spacing w:line="360" w:lineRule="auto"/>
        <w:ind w:firstLine="540" w:firstLineChars="225"/>
        <w:rPr>
          <w:sz w:val="24"/>
        </w:rPr>
      </w:pPr>
      <w:r>
        <w:rPr>
          <w:rFonts w:hint="eastAsia"/>
          <w:sz w:val="24"/>
        </w:rPr>
        <w:t>本公司对上述声明的真实性负责。如有虚假，将依法承担相应责任。</w:t>
      </w:r>
    </w:p>
    <w:p>
      <w:pPr>
        <w:spacing w:line="360" w:lineRule="auto"/>
        <w:ind w:firstLine="4860" w:firstLineChars="2025"/>
        <w:rPr>
          <w:sz w:val="24"/>
        </w:rPr>
      </w:pPr>
    </w:p>
    <w:p>
      <w:pPr>
        <w:spacing w:line="360" w:lineRule="auto"/>
        <w:ind w:firstLine="4860" w:firstLineChars="2025"/>
        <w:rPr>
          <w:sz w:val="24"/>
        </w:rPr>
      </w:pPr>
      <w:r>
        <w:rPr>
          <w:rFonts w:hint="eastAsia"/>
          <w:sz w:val="24"/>
        </w:rPr>
        <w:t>企业名称（盖公章）：</w:t>
      </w:r>
    </w:p>
    <w:p>
      <w:pPr>
        <w:spacing w:line="360" w:lineRule="auto"/>
        <w:ind w:firstLine="4860" w:firstLineChars="2025"/>
        <w:rPr>
          <w:sz w:val="24"/>
        </w:rPr>
      </w:pPr>
      <w:r>
        <w:rPr>
          <w:rFonts w:hint="eastAsia"/>
          <w:sz w:val="24"/>
        </w:rPr>
        <w:t>法定代表人（负责人）或其授权代表</w:t>
      </w:r>
      <w:r>
        <w:rPr>
          <w:sz w:val="24"/>
        </w:rPr>
        <w:t>(</w:t>
      </w:r>
      <w:r>
        <w:rPr>
          <w:rFonts w:hint="eastAsia"/>
          <w:sz w:val="24"/>
        </w:rPr>
        <w:t>签字</w:t>
      </w:r>
      <w:r>
        <w:rPr>
          <w:sz w:val="24"/>
        </w:rPr>
        <w:t>)</w:t>
      </w:r>
      <w:r>
        <w:rPr>
          <w:rFonts w:hint="eastAsia"/>
          <w:sz w:val="24"/>
        </w:rPr>
        <w:t>：</w:t>
      </w:r>
    </w:p>
    <w:p>
      <w:pPr>
        <w:tabs>
          <w:tab w:val="left" w:pos="2880"/>
        </w:tabs>
        <w:spacing w:line="460" w:lineRule="atLeast"/>
        <w:ind w:firstLine="4800" w:firstLineChars="2000"/>
        <w:rPr>
          <w:sz w:val="24"/>
          <w:szCs w:val="24"/>
        </w:rPr>
      </w:pPr>
      <w:r>
        <w:rPr>
          <w:rFonts w:hint="eastAsia"/>
          <w:sz w:val="24"/>
        </w:rPr>
        <w:t>日期：</w:t>
      </w:r>
    </w:p>
    <w:p>
      <w:pPr>
        <w:tabs>
          <w:tab w:val="left" w:pos="2880"/>
        </w:tabs>
        <w:spacing w:line="460" w:lineRule="atLeast"/>
        <w:rPr>
          <w:b/>
          <w:bCs/>
          <w:spacing w:val="6"/>
          <w:sz w:val="32"/>
          <w:szCs w:val="32"/>
        </w:rPr>
      </w:pPr>
    </w:p>
    <w:p>
      <w:pPr>
        <w:tabs>
          <w:tab w:val="left" w:pos="3600"/>
        </w:tabs>
        <w:adjustRightInd w:val="0"/>
        <w:snapToGrid w:val="0"/>
        <w:spacing w:line="440" w:lineRule="exact"/>
        <w:jc w:val="both"/>
        <w:rPr>
          <w:b/>
          <w:bCs/>
          <w:spacing w:val="6"/>
          <w:sz w:val="32"/>
          <w:szCs w:val="32"/>
        </w:rPr>
      </w:pPr>
    </w:p>
    <w:p>
      <w:pPr>
        <w:tabs>
          <w:tab w:val="left" w:pos="3600"/>
        </w:tabs>
        <w:adjustRightInd w:val="0"/>
        <w:snapToGrid w:val="0"/>
        <w:spacing w:line="440" w:lineRule="exact"/>
        <w:jc w:val="center"/>
        <w:rPr>
          <w:b/>
          <w:bCs/>
          <w:spacing w:val="6"/>
          <w:sz w:val="32"/>
          <w:szCs w:val="32"/>
        </w:rPr>
      </w:pPr>
    </w:p>
    <w:p>
      <w:pPr>
        <w:tabs>
          <w:tab w:val="left" w:pos="3600"/>
        </w:tabs>
        <w:adjustRightInd w:val="0"/>
        <w:snapToGrid w:val="0"/>
        <w:spacing w:line="440" w:lineRule="exact"/>
        <w:jc w:val="center"/>
        <w:rPr>
          <w:rFonts w:cs="??_GB2312"/>
          <w:b/>
          <w:bCs/>
          <w:spacing w:val="6"/>
          <w:sz w:val="32"/>
          <w:szCs w:val="32"/>
        </w:rPr>
      </w:pPr>
      <w:r>
        <w:rPr>
          <w:rFonts w:hint="eastAsia"/>
          <w:b/>
          <w:bCs/>
          <w:spacing w:val="6"/>
          <w:sz w:val="32"/>
          <w:szCs w:val="32"/>
          <w:lang w:val="en-US"/>
        </w:rPr>
        <w:t>3、</w:t>
      </w:r>
      <w:r>
        <w:rPr>
          <w:rFonts w:hint="eastAsia"/>
          <w:b/>
          <w:bCs/>
          <w:spacing w:val="6"/>
          <w:sz w:val="32"/>
          <w:szCs w:val="32"/>
        </w:rPr>
        <w:t>残疾人福利性单位声明函</w:t>
      </w:r>
    </w:p>
    <w:p>
      <w:pPr>
        <w:adjustRightInd w:val="0"/>
        <w:spacing w:line="440" w:lineRule="exact"/>
        <w:rPr>
          <w:rFonts w:cs="??_GB2312"/>
          <w:b/>
          <w:bCs/>
          <w:spacing w:val="6"/>
          <w:sz w:val="24"/>
          <w:szCs w:val="24"/>
        </w:rPr>
      </w:pPr>
    </w:p>
    <w:p>
      <w:pPr>
        <w:widowControl/>
        <w:adjustRightInd w:val="0"/>
        <w:snapToGrid w:val="0"/>
        <w:spacing w:line="440" w:lineRule="exact"/>
        <w:ind w:firstLine="504" w:firstLineChars="200"/>
        <w:rPr>
          <w:spacing w:val="6"/>
          <w:sz w:val="24"/>
          <w:szCs w:val="24"/>
        </w:rPr>
      </w:pPr>
      <w:r>
        <w:rPr>
          <w:rFonts w:hint="eastAsia"/>
          <w:spacing w:val="6"/>
          <w:sz w:val="24"/>
          <w:szCs w:val="24"/>
        </w:rPr>
        <w:t>本单位郑重声明，根据《财政部民政部中国残疾人联合会关于促进残疾人就业政府采购政策的通知》（财库〔</w:t>
      </w:r>
      <w:r>
        <w:rPr>
          <w:spacing w:val="6"/>
          <w:sz w:val="24"/>
          <w:szCs w:val="24"/>
        </w:rPr>
        <w:t>2017</w:t>
      </w:r>
      <w:r>
        <w:rPr>
          <w:rFonts w:hint="eastAsia"/>
          <w:spacing w:val="6"/>
          <w:sz w:val="24"/>
          <w:szCs w:val="24"/>
        </w:rPr>
        <w:t>〕</w:t>
      </w:r>
      <w:r>
        <w:rPr>
          <w:spacing w:val="6"/>
          <w:sz w:val="24"/>
          <w:szCs w:val="24"/>
        </w:rPr>
        <w:t xml:space="preserve"> 141</w:t>
      </w:r>
      <w:r>
        <w:rPr>
          <w:rFonts w:hint="eastAsia"/>
          <w:spacing w:val="6"/>
          <w:sz w:val="24"/>
          <w:szCs w:val="24"/>
        </w:rPr>
        <w:t>号）的规定，本单位为符合条件的残疾人福利性单位，且本单位参加</w:t>
      </w:r>
      <w:r>
        <w:rPr>
          <w:spacing w:val="6"/>
          <w:sz w:val="24"/>
          <w:szCs w:val="24"/>
        </w:rPr>
        <w:t>______</w:t>
      </w:r>
      <w:r>
        <w:rPr>
          <w:rFonts w:hint="eastAsia"/>
          <w:spacing w:val="6"/>
          <w:sz w:val="24"/>
          <w:szCs w:val="24"/>
        </w:rPr>
        <w:t>单位的</w:t>
      </w:r>
      <w:r>
        <w:rPr>
          <w:spacing w:val="6"/>
          <w:sz w:val="24"/>
          <w:szCs w:val="24"/>
        </w:rPr>
        <w:t>______</w:t>
      </w:r>
      <w:r>
        <w:rPr>
          <w:rFonts w:hint="eastAsia"/>
          <w:spacing w:val="6"/>
          <w:sz w:val="24"/>
          <w:szCs w:val="24"/>
        </w:rPr>
        <w:t>项目采购活动提供本单位制造的货物（由本单位承担工程</w:t>
      </w:r>
      <w:r>
        <w:rPr>
          <w:spacing w:val="6"/>
          <w:sz w:val="24"/>
          <w:szCs w:val="24"/>
        </w:rPr>
        <w:t>/</w:t>
      </w:r>
      <w:r>
        <w:rPr>
          <w:rFonts w:hint="eastAsia"/>
          <w:spacing w:val="6"/>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spacing w:val="6"/>
          <w:sz w:val="24"/>
          <w:szCs w:val="24"/>
        </w:rPr>
      </w:pPr>
      <w:r>
        <w:rPr>
          <w:rFonts w:hint="eastAsia"/>
          <w:spacing w:val="6"/>
          <w:sz w:val="24"/>
          <w:szCs w:val="24"/>
        </w:rPr>
        <w:t>本单位对上述声明的真实性负责。如有虚假，将依法承担相应责任。</w:t>
      </w: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04" w:firstLineChars="200"/>
        <w:rPr>
          <w:spacing w:val="6"/>
          <w:sz w:val="24"/>
          <w:szCs w:val="24"/>
        </w:rPr>
      </w:pPr>
    </w:p>
    <w:p>
      <w:pPr>
        <w:widowControl/>
        <w:adjustRightInd w:val="0"/>
        <w:snapToGrid w:val="0"/>
        <w:spacing w:line="440" w:lineRule="exact"/>
        <w:ind w:firstLine="5544" w:firstLineChars="2200"/>
        <w:rPr>
          <w:spacing w:val="6"/>
          <w:sz w:val="24"/>
          <w:szCs w:val="24"/>
        </w:rPr>
      </w:pPr>
      <w:r>
        <w:rPr>
          <w:rFonts w:hint="eastAsia"/>
          <w:spacing w:val="6"/>
          <w:sz w:val="24"/>
          <w:szCs w:val="24"/>
        </w:rPr>
        <w:t>单位名称（盖章）：</w:t>
      </w:r>
    </w:p>
    <w:p>
      <w:pPr>
        <w:widowControl/>
        <w:adjustRightInd w:val="0"/>
        <w:snapToGrid w:val="0"/>
        <w:spacing w:line="440" w:lineRule="exact"/>
        <w:ind w:firstLine="504" w:firstLineChars="200"/>
        <w:rPr>
          <w:spacing w:val="6"/>
          <w:sz w:val="24"/>
          <w:szCs w:val="24"/>
        </w:rPr>
      </w:pPr>
      <w:r>
        <w:rPr>
          <w:rFonts w:hint="eastAsia"/>
          <w:spacing w:val="6"/>
          <w:sz w:val="24"/>
          <w:szCs w:val="24"/>
        </w:rPr>
        <w:t>日期：</w:t>
      </w:r>
    </w:p>
    <w:p>
      <w:pPr>
        <w:pStyle w:val="5"/>
      </w:pPr>
    </w:p>
    <w:p/>
    <w:sectPr>
      <w:pgSz w:w="11910" w:h="16840"/>
      <w:pgMar w:top="1460" w:right="920" w:bottom="1380" w:left="15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10381615</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31</w:t>
                          </w:r>
                          <w:r>
                            <w:fldChar w:fldCharType="end"/>
                          </w:r>
                        </w:p>
                      </w:txbxContent>
                    </wps:txbx>
                    <wps:bodyPr lIns="0" tIns="0" rIns="0" bIns="0" upright="1"/>
                  </wps:wsp>
                </a:graphicData>
              </a:graphic>
            </wp:anchor>
          </w:drawing>
        </mc:Choice>
        <mc:Fallback>
          <w:pict>
            <v:rect id="文本框 4" o:spid="_x0000_s1026" o:spt="1" style="position:absolute;left:0pt;margin-top:817.45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CnTQQ9kAAAAJ&#10;AQAADwAAAGRycy9kb3ducmV2LnhtbE2PzU7DMBCE70i8g7VI3KjTlkZNiFMhftQeaYtUuLnxkkTY&#10;6yh2m8LTsz3R486MZr8pFidnxRH70HpSMB4lIJAqb1qqFbxvX+/mIELUZLT1hAp+MMCivL4qdG78&#10;QGs8bmItuIRCrhU0MXa5lKFq0Okw8h0Se1++dzry2dfS9HrgcmflJElS6XRL/KHRHT41WH1vDk7B&#10;ct49fqz871Dbl8/l7m2XPW+zqNTtzTh5ABHxFP/DcMZndCiZae8PZIKwCnhIZDWd3mcg2J+kUxD7&#10;szJLM5BlIS8XlH9QSwMEFAAAAAgAh07iQMlidY+3AQAAdQMAAA4AAABkcnMvZTJvRG9jLnhtbK1T&#10;zY7TMBC+I/EOlu80ybIsEDXdS7UICcFKCw/gOpPGkv80dpv0BeANOHHhznP1ORg7aVl2L3vYi/PN&#10;2P5mvm+c5fVoNNsDBuVsw6tFyRlY6Vpltw3/9vXm1TvOQhS2FdpZaPgBAr9evXyxHHwNF653ugVk&#10;RGJDPfiG9zH6uiiC7MGIsHAeLG12Do2IFOK2aFEMxG50cVGWV8XgsPXoJIRA2fW0yWdGfAqh6zol&#10;Ye3kzoCNEyuCFpEkhV75wFe5264DGb90XYDIdMNJacwrFSG8SWuxWop6i8L3Ss4tiKe08ECTEcpS&#10;0TPVWkTBdqgeURkl0QXXxYV0ppiEZEdIRVU+8OauFx6yFrI6+LPp4flo5ef9LTLVNvySMysMDfz4&#10;88fx15/j7+/sMtkz+FDTqTt/i3MUCCatY4cmfUkFG7Olh7OlMEYmKVldvS3LN5xJ2qpev6cgcRb/&#10;LnsM8QM4wxJoONLEspFi/ynE6ejpSKpl3Y3SmvKi1va/BHFOGchjn2+n7qd+E4rjZpxFbFx7IOX6&#10;oyU308s4ATyBzQnsPKptT81VufdERNPIKuaXk8Z9PyZ8/29Z/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dNBD2QAAAAkBAAAPAAAAAAAAAAEAIAAAACIAAABkcnMvZG93bnJldi54bWxQSwECFAAU&#10;AAAACACHTuJAyWJ1j7cBAAB1AwAADgAAAAAAAAABACAAAAAoAQAAZHJzL2Uyb0RvYy54bWxQSwUG&#10;AAAAAAYABgBZAQAAUQ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aPfnSAQAAow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5CbJ03uoMevRY14c7t2ASzPfA14m1oMMJn2RD8E4inu+iiuGSHh6VK2qqsQQx9jsIH7x9NwH&#10;iO+EMyQZDQ04vSwqO32AOKbOKamadQ9K6zxBbUmPqOvq7Tq/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Vo9+dIBAACjAwAADgAAAAAAAAABACAAAAAi&#10;AQAAZHJzL2Uyb0RvYy54bWxQSwUGAAAAAAYABgBZAQAAZgUAAAAA&#10;">
              <v:fill on="f" focussize="0,0"/>
              <v:stroke on="f" weight="1.2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pFeHSAQAAow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5skT++hxqwHj3lxeO8GXJr5HvAysR5kMOmLfAjGUdzTRVwxRMLTo2pVVSWGOMZmB/GLp+c+&#10;QPwgnCHJaGjA6WVR2fETxDF1TknVrLtXWucJakt6RL2qbq7yi0sI0bXFIonF2G2y4rAbJmo7156Q&#10;WY8r0FCLG0+J/mhR4bQtsxFmYzcbBx/UvsMml7ke+LtDxHZyl6nCCDsVxtllntOepeX4189ZT//W&#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CkV4dIBAACjAwAADgAAAAAAAAABACAAAAAi&#10;AQAAZHJzL2Uyb0RvYy54bWxQSwUGAAAAAAYABgBZAQAAZgUAAAAA&#10;">
              <v:fill on="f" focussize="0,0"/>
              <v:stroke on="f" weight="1.2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ng+wT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1WSp/dQY9aTx7w4vHcDLs18D3iZWA8ymPRFPgTjKO7pIq4YIuHpUbWqqhJDHGOzg/jF83Mf&#10;ID4IZ0gyGhpwellUdvwAcUydU1I16+6V1nmC2pIeUW+q25v84hJCdG2xSGIxdpusOOyGidrOtSdk&#10;1uMKNNTixlOiHy0qnLZlNsJs7Gbj4IPad9jkMtcD/+4QsZ3cZaowwk6FcXaZ57RnaTn+9nPW87+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eD7BNIBAACjAwAADgAAAAAAAAABACAAAAAi&#10;AQAAZHJzL2Uyb0RvYy54bWxQSwUGAAAAAAYABgBZAQAAZgUAAAAA&#10;">
              <v:fill on="f" focussize="0,0"/>
              <v:stroke on="f" weight="1.2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3">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4">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5">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042"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6">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7">
    <w:nsid w:val="1ACDE60F"/>
    <w:multiLevelType w:val="multilevel"/>
    <w:tmpl w:val="1ACDE60F"/>
    <w:lvl w:ilvl="0" w:tentative="0">
      <w:start w:val="1"/>
      <w:numFmt w:val="decimal"/>
      <w:lvlText w:val="%1."/>
      <w:lvlJc w:val="left"/>
      <w:pPr>
        <w:ind w:left="635" w:hanging="376"/>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8">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9">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0">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1">
    <w:nsid w:val="34124BE8"/>
    <w:multiLevelType w:val="singleLevel"/>
    <w:tmpl w:val="34124BE8"/>
    <w:lvl w:ilvl="0" w:tentative="0">
      <w:start w:val="1"/>
      <w:numFmt w:val="decimal"/>
      <w:suff w:val="space"/>
      <w:lvlText w:val="%1."/>
      <w:lvlJc w:val="left"/>
    </w:lvl>
  </w:abstractNum>
  <w:abstractNum w:abstractNumId="12">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3">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14">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5">
    <w:nsid w:val="57F67ECC"/>
    <w:multiLevelType w:val="singleLevel"/>
    <w:tmpl w:val="57F67ECC"/>
    <w:lvl w:ilvl="0" w:tentative="0">
      <w:start w:val="1"/>
      <w:numFmt w:val="decimal"/>
      <w:lvlText w:val="%1)"/>
      <w:lvlJc w:val="left"/>
      <w:pPr>
        <w:ind w:left="425" w:hanging="425"/>
      </w:pPr>
      <w:rPr>
        <w:rFonts w:hint="default"/>
      </w:rPr>
    </w:lvl>
  </w:abstractNum>
  <w:abstractNum w:abstractNumId="16">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17">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18">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19">
    <w:nsid w:val="74C28B35"/>
    <w:multiLevelType w:val="multilevel"/>
    <w:tmpl w:val="74C28B35"/>
    <w:lvl w:ilvl="0" w:tentative="0">
      <w:start w:val="20"/>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20">
    <w:nsid w:val="79AA4FA4"/>
    <w:multiLevelType w:val="multilevel"/>
    <w:tmpl w:val="79AA4FA4"/>
    <w:lvl w:ilvl="0" w:tentative="0">
      <w:start w:val="5"/>
      <w:numFmt w:val="upperLetter"/>
      <w:lvlText w:val="%1"/>
      <w:lvlJc w:val="left"/>
      <w:pPr>
        <w:ind w:left="4806" w:hanging="468"/>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17"/>
  </w:num>
  <w:num w:numId="2">
    <w:abstractNumId w:val="12"/>
  </w:num>
  <w:num w:numId="3">
    <w:abstractNumId w:val="1"/>
  </w:num>
  <w:num w:numId="4">
    <w:abstractNumId w:val="0"/>
  </w:num>
  <w:num w:numId="5">
    <w:abstractNumId w:val="8"/>
  </w:num>
  <w:num w:numId="6">
    <w:abstractNumId w:val="14"/>
  </w:num>
  <w:num w:numId="7">
    <w:abstractNumId w:val="5"/>
  </w:num>
  <w:num w:numId="8">
    <w:abstractNumId w:val="4"/>
  </w:num>
  <w:num w:numId="9">
    <w:abstractNumId w:val="9"/>
  </w:num>
  <w:num w:numId="10">
    <w:abstractNumId w:val="20"/>
  </w:num>
  <w:num w:numId="11">
    <w:abstractNumId w:val="3"/>
  </w:num>
  <w:num w:numId="12">
    <w:abstractNumId w:val="15"/>
  </w:num>
  <w:num w:numId="13">
    <w:abstractNumId w:val="7"/>
  </w:num>
  <w:num w:numId="14">
    <w:abstractNumId w:val="2"/>
  </w:num>
  <w:num w:numId="15">
    <w:abstractNumId w:val="16"/>
  </w:num>
  <w:num w:numId="16">
    <w:abstractNumId w:val="19"/>
  </w:num>
  <w:num w:numId="17">
    <w:abstractNumId w:val="13"/>
  </w:num>
  <w:num w:numId="18">
    <w:abstractNumId w:val="10"/>
  </w:num>
  <w:num w:numId="19">
    <w:abstractNumId w:val="18"/>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AB6"/>
    <w:rsid w:val="000023D9"/>
    <w:rsid w:val="00017B71"/>
    <w:rsid w:val="00025BD4"/>
    <w:rsid w:val="000770EB"/>
    <w:rsid w:val="000A368A"/>
    <w:rsid w:val="000F7A61"/>
    <w:rsid w:val="001C632D"/>
    <w:rsid w:val="002B1975"/>
    <w:rsid w:val="00391DCC"/>
    <w:rsid w:val="003B447B"/>
    <w:rsid w:val="00432287"/>
    <w:rsid w:val="00432432"/>
    <w:rsid w:val="0043351F"/>
    <w:rsid w:val="004644D2"/>
    <w:rsid w:val="004C58A6"/>
    <w:rsid w:val="00617FD2"/>
    <w:rsid w:val="00651332"/>
    <w:rsid w:val="006702A5"/>
    <w:rsid w:val="00780ACA"/>
    <w:rsid w:val="00790BA2"/>
    <w:rsid w:val="007A7583"/>
    <w:rsid w:val="007E03CC"/>
    <w:rsid w:val="007E3686"/>
    <w:rsid w:val="0080068D"/>
    <w:rsid w:val="00850FFC"/>
    <w:rsid w:val="008D2DD2"/>
    <w:rsid w:val="00907F4E"/>
    <w:rsid w:val="00941AB6"/>
    <w:rsid w:val="009709A2"/>
    <w:rsid w:val="00A02BB7"/>
    <w:rsid w:val="00A85B03"/>
    <w:rsid w:val="00AC0EED"/>
    <w:rsid w:val="00B121D3"/>
    <w:rsid w:val="00B27CCF"/>
    <w:rsid w:val="00BB4A59"/>
    <w:rsid w:val="00C24FAB"/>
    <w:rsid w:val="00C26A00"/>
    <w:rsid w:val="00D56DC6"/>
    <w:rsid w:val="00E52B76"/>
    <w:rsid w:val="00EE273F"/>
    <w:rsid w:val="00F45E11"/>
    <w:rsid w:val="00F95737"/>
    <w:rsid w:val="0149270D"/>
    <w:rsid w:val="015961C1"/>
    <w:rsid w:val="017C1F21"/>
    <w:rsid w:val="018D0898"/>
    <w:rsid w:val="01CD6A60"/>
    <w:rsid w:val="01E4240A"/>
    <w:rsid w:val="02103696"/>
    <w:rsid w:val="02655576"/>
    <w:rsid w:val="02B868EA"/>
    <w:rsid w:val="02C32776"/>
    <w:rsid w:val="02CC2457"/>
    <w:rsid w:val="02CE4650"/>
    <w:rsid w:val="033657E4"/>
    <w:rsid w:val="03842D9F"/>
    <w:rsid w:val="038F41BD"/>
    <w:rsid w:val="03C3074B"/>
    <w:rsid w:val="03CA3082"/>
    <w:rsid w:val="03CA4986"/>
    <w:rsid w:val="040001C8"/>
    <w:rsid w:val="04075F60"/>
    <w:rsid w:val="04466C16"/>
    <w:rsid w:val="046F4FA8"/>
    <w:rsid w:val="047352BE"/>
    <w:rsid w:val="04C4049A"/>
    <w:rsid w:val="051442FA"/>
    <w:rsid w:val="051D6499"/>
    <w:rsid w:val="054A0029"/>
    <w:rsid w:val="054B2083"/>
    <w:rsid w:val="05657140"/>
    <w:rsid w:val="05753001"/>
    <w:rsid w:val="05997D91"/>
    <w:rsid w:val="05B71011"/>
    <w:rsid w:val="05BA79CA"/>
    <w:rsid w:val="05C2197C"/>
    <w:rsid w:val="05D34F70"/>
    <w:rsid w:val="05D508DB"/>
    <w:rsid w:val="05FC41F9"/>
    <w:rsid w:val="05FC548A"/>
    <w:rsid w:val="065D4DA4"/>
    <w:rsid w:val="06CC01F7"/>
    <w:rsid w:val="06CD7331"/>
    <w:rsid w:val="06D0466F"/>
    <w:rsid w:val="06FF7385"/>
    <w:rsid w:val="070A7DF1"/>
    <w:rsid w:val="07325968"/>
    <w:rsid w:val="074F5624"/>
    <w:rsid w:val="075F2DD8"/>
    <w:rsid w:val="07853006"/>
    <w:rsid w:val="07A23152"/>
    <w:rsid w:val="07BC79D0"/>
    <w:rsid w:val="07F76D7E"/>
    <w:rsid w:val="08164A02"/>
    <w:rsid w:val="08253DFD"/>
    <w:rsid w:val="083637D7"/>
    <w:rsid w:val="08410C20"/>
    <w:rsid w:val="08447E0C"/>
    <w:rsid w:val="088F204F"/>
    <w:rsid w:val="08A11E04"/>
    <w:rsid w:val="08B57471"/>
    <w:rsid w:val="08BB0D5F"/>
    <w:rsid w:val="08DB7CAC"/>
    <w:rsid w:val="08E314B1"/>
    <w:rsid w:val="08E36988"/>
    <w:rsid w:val="08E63E3C"/>
    <w:rsid w:val="08E821E6"/>
    <w:rsid w:val="092A6027"/>
    <w:rsid w:val="09350E4E"/>
    <w:rsid w:val="095E65D5"/>
    <w:rsid w:val="098D583F"/>
    <w:rsid w:val="09903388"/>
    <w:rsid w:val="09940475"/>
    <w:rsid w:val="09A22DA4"/>
    <w:rsid w:val="09A5284D"/>
    <w:rsid w:val="09A916E8"/>
    <w:rsid w:val="09B431C6"/>
    <w:rsid w:val="09C0228E"/>
    <w:rsid w:val="09D92BB9"/>
    <w:rsid w:val="09E12246"/>
    <w:rsid w:val="0A120C5E"/>
    <w:rsid w:val="0A3E4159"/>
    <w:rsid w:val="0A443C17"/>
    <w:rsid w:val="0A64756B"/>
    <w:rsid w:val="0A771CBF"/>
    <w:rsid w:val="0A785BCA"/>
    <w:rsid w:val="0A827BFC"/>
    <w:rsid w:val="0AB92843"/>
    <w:rsid w:val="0B5737C3"/>
    <w:rsid w:val="0B835067"/>
    <w:rsid w:val="0B8B5256"/>
    <w:rsid w:val="0B9548CE"/>
    <w:rsid w:val="0BA342BC"/>
    <w:rsid w:val="0BB45A4E"/>
    <w:rsid w:val="0BDF6C2E"/>
    <w:rsid w:val="0C287601"/>
    <w:rsid w:val="0C437059"/>
    <w:rsid w:val="0C5114DE"/>
    <w:rsid w:val="0C766163"/>
    <w:rsid w:val="0C88306B"/>
    <w:rsid w:val="0CA90608"/>
    <w:rsid w:val="0CB775D2"/>
    <w:rsid w:val="0CB95B25"/>
    <w:rsid w:val="0CBB4F1C"/>
    <w:rsid w:val="0CE121DB"/>
    <w:rsid w:val="0D1D3FA0"/>
    <w:rsid w:val="0D21482C"/>
    <w:rsid w:val="0D247054"/>
    <w:rsid w:val="0D53177B"/>
    <w:rsid w:val="0D6102FA"/>
    <w:rsid w:val="0D6B6CCB"/>
    <w:rsid w:val="0D840BE6"/>
    <w:rsid w:val="0DDB3C44"/>
    <w:rsid w:val="0DE07BA4"/>
    <w:rsid w:val="0DFB0AB9"/>
    <w:rsid w:val="0DFB3C7F"/>
    <w:rsid w:val="0E213189"/>
    <w:rsid w:val="0E391AB1"/>
    <w:rsid w:val="0E4D262E"/>
    <w:rsid w:val="0E5A0FA6"/>
    <w:rsid w:val="0E6C7E1A"/>
    <w:rsid w:val="0E721553"/>
    <w:rsid w:val="0EC35D18"/>
    <w:rsid w:val="0F2B3CCC"/>
    <w:rsid w:val="0F2B6C08"/>
    <w:rsid w:val="0FB4408A"/>
    <w:rsid w:val="101538B1"/>
    <w:rsid w:val="10281361"/>
    <w:rsid w:val="10701855"/>
    <w:rsid w:val="10943F9F"/>
    <w:rsid w:val="10C253F3"/>
    <w:rsid w:val="10CF0706"/>
    <w:rsid w:val="10F80F55"/>
    <w:rsid w:val="1120777D"/>
    <w:rsid w:val="11216647"/>
    <w:rsid w:val="11276F25"/>
    <w:rsid w:val="11497807"/>
    <w:rsid w:val="114B5DAE"/>
    <w:rsid w:val="115F2A65"/>
    <w:rsid w:val="11693A93"/>
    <w:rsid w:val="11CC4442"/>
    <w:rsid w:val="11E1162F"/>
    <w:rsid w:val="1210270E"/>
    <w:rsid w:val="121D164D"/>
    <w:rsid w:val="1224722F"/>
    <w:rsid w:val="127806BD"/>
    <w:rsid w:val="128D6097"/>
    <w:rsid w:val="129B5212"/>
    <w:rsid w:val="12B6768B"/>
    <w:rsid w:val="12C613C1"/>
    <w:rsid w:val="12EA79B3"/>
    <w:rsid w:val="13026776"/>
    <w:rsid w:val="13437100"/>
    <w:rsid w:val="135B76D6"/>
    <w:rsid w:val="136879A4"/>
    <w:rsid w:val="136F0231"/>
    <w:rsid w:val="139B761A"/>
    <w:rsid w:val="139F32BF"/>
    <w:rsid w:val="13C20F47"/>
    <w:rsid w:val="13CB2346"/>
    <w:rsid w:val="13D9499D"/>
    <w:rsid w:val="140343D1"/>
    <w:rsid w:val="141F3ECD"/>
    <w:rsid w:val="147E6DEE"/>
    <w:rsid w:val="147F215F"/>
    <w:rsid w:val="14A3755E"/>
    <w:rsid w:val="14B17311"/>
    <w:rsid w:val="14B44BFC"/>
    <w:rsid w:val="14BA45FF"/>
    <w:rsid w:val="14E56FDA"/>
    <w:rsid w:val="151A037B"/>
    <w:rsid w:val="15412266"/>
    <w:rsid w:val="1557469C"/>
    <w:rsid w:val="156B5640"/>
    <w:rsid w:val="15A541CE"/>
    <w:rsid w:val="15B93A48"/>
    <w:rsid w:val="15D22816"/>
    <w:rsid w:val="15DB4378"/>
    <w:rsid w:val="15DE6758"/>
    <w:rsid w:val="16054E8D"/>
    <w:rsid w:val="16277F8A"/>
    <w:rsid w:val="1635311F"/>
    <w:rsid w:val="165B2167"/>
    <w:rsid w:val="165E2C61"/>
    <w:rsid w:val="166D1452"/>
    <w:rsid w:val="167B3CF0"/>
    <w:rsid w:val="16BF796D"/>
    <w:rsid w:val="170A3E98"/>
    <w:rsid w:val="170C11CD"/>
    <w:rsid w:val="17195770"/>
    <w:rsid w:val="171A21A0"/>
    <w:rsid w:val="178D5D79"/>
    <w:rsid w:val="17A10960"/>
    <w:rsid w:val="18475E70"/>
    <w:rsid w:val="1859128A"/>
    <w:rsid w:val="18BA3547"/>
    <w:rsid w:val="18E91968"/>
    <w:rsid w:val="19534220"/>
    <w:rsid w:val="1958149E"/>
    <w:rsid w:val="195C1836"/>
    <w:rsid w:val="199A4232"/>
    <w:rsid w:val="19A95F4E"/>
    <w:rsid w:val="1A1429F8"/>
    <w:rsid w:val="1A264EAE"/>
    <w:rsid w:val="1A2F410C"/>
    <w:rsid w:val="1A481104"/>
    <w:rsid w:val="1A616205"/>
    <w:rsid w:val="1A636A9B"/>
    <w:rsid w:val="1A6C58C5"/>
    <w:rsid w:val="1A7D22B3"/>
    <w:rsid w:val="1ABA03A6"/>
    <w:rsid w:val="1AEB0D1D"/>
    <w:rsid w:val="1AF17B8A"/>
    <w:rsid w:val="1B340804"/>
    <w:rsid w:val="1B7F4892"/>
    <w:rsid w:val="1B835E71"/>
    <w:rsid w:val="1B9314F8"/>
    <w:rsid w:val="1B9E7B25"/>
    <w:rsid w:val="1BF43279"/>
    <w:rsid w:val="1C300B08"/>
    <w:rsid w:val="1C527C96"/>
    <w:rsid w:val="1C7015D8"/>
    <w:rsid w:val="1C79230F"/>
    <w:rsid w:val="1CAE3FD8"/>
    <w:rsid w:val="1CD50580"/>
    <w:rsid w:val="1CD65CFA"/>
    <w:rsid w:val="1D3A7AF9"/>
    <w:rsid w:val="1D40170D"/>
    <w:rsid w:val="1D4B178F"/>
    <w:rsid w:val="1D89042C"/>
    <w:rsid w:val="1D8F6270"/>
    <w:rsid w:val="1DCE6BBE"/>
    <w:rsid w:val="1E0A1D85"/>
    <w:rsid w:val="1E234CB6"/>
    <w:rsid w:val="1E451E42"/>
    <w:rsid w:val="1E793053"/>
    <w:rsid w:val="1E810CAA"/>
    <w:rsid w:val="1E883EC1"/>
    <w:rsid w:val="1E9A1141"/>
    <w:rsid w:val="1EB41BF4"/>
    <w:rsid w:val="1ED85C10"/>
    <w:rsid w:val="1ED87E23"/>
    <w:rsid w:val="1EF038A4"/>
    <w:rsid w:val="1F3E51A3"/>
    <w:rsid w:val="1F405C3F"/>
    <w:rsid w:val="1F453773"/>
    <w:rsid w:val="1F484228"/>
    <w:rsid w:val="1F6F66D7"/>
    <w:rsid w:val="1F751624"/>
    <w:rsid w:val="1FC1256F"/>
    <w:rsid w:val="1FC57400"/>
    <w:rsid w:val="1FC900D9"/>
    <w:rsid w:val="1FCD2790"/>
    <w:rsid w:val="1FDB3263"/>
    <w:rsid w:val="1FEC3EBC"/>
    <w:rsid w:val="1FEE67E5"/>
    <w:rsid w:val="1FF0436D"/>
    <w:rsid w:val="1FF96BD9"/>
    <w:rsid w:val="20394620"/>
    <w:rsid w:val="2043488D"/>
    <w:rsid w:val="20A42727"/>
    <w:rsid w:val="20A604B3"/>
    <w:rsid w:val="20AF1FAD"/>
    <w:rsid w:val="20B24801"/>
    <w:rsid w:val="20B376A0"/>
    <w:rsid w:val="20D1017E"/>
    <w:rsid w:val="21095902"/>
    <w:rsid w:val="215D4229"/>
    <w:rsid w:val="217B2A7D"/>
    <w:rsid w:val="21AF5B05"/>
    <w:rsid w:val="21B50D3D"/>
    <w:rsid w:val="220959AD"/>
    <w:rsid w:val="220C47FB"/>
    <w:rsid w:val="221241F0"/>
    <w:rsid w:val="221D6AA6"/>
    <w:rsid w:val="2223739C"/>
    <w:rsid w:val="222A098B"/>
    <w:rsid w:val="222C0CEE"/>
    <w:rsid w:val="223E5FC0"/>
    <w:rsid w:val="22842C2E"/>
    <w:rsid w:val="22EC1E0A"/>
    <w:rsid w:val="22FA55EB"/>
    <w:rsid w:val="230C4A0C"/>
    <w:rsid w:val="232F58C1"/>
    <w:rsid w:val="23682B0F"/>
    <w:rsid w:val="23A13CB9"/>
    <w:rsid w:val="23A250AC"/>
    <w:rsid w:val="23B56EDF"/>
    <w:rsid w:val="23E2596D"/>
    <w:rsid w:val="24011BB8"/>
    <w:rsid w:val="24072C02"/>
    <w:rsid w:val="241C3FAB"/>
    <w:rsid w:val="243261EF"/>
    <w:rsid w:val="24AB2287"/>
    <w:rsid w:val="24AC5582"/>
    <w:rsid w:val="24AC7891"/>
    <w:rsid w:val="24EA4021"/>
    <w:rsid w:val="24EA5A9D"/>
    <w:rsid w:val="24EE44AB"/>
    <w:rsid w:val="2511738A"/>
    <w:rsid w:val="254D3A1B"/>
    <w:rsid w:val="25501B7E"/>
    <w:rsid w:val="25544FF1"/>
    <w:rsid w:val="255934A6"/>
    <w:rsid w:val="255D137B"/>
    <w:rsid w:val="25792E6B"/>
    <w:rsid w:val="25814838"/>
    <w:rsid w:val="259F5739"/>
    <w:rsid w:val="25B74584"/>
    <w:rsid w:val="25C14D1F"/>
    <w:rsid w:val="25CA1168"/>
    <w:rsid w:val="25CC4D24"/>
    <w:rsid w:val="25EA355D"/>
    <w:rsid w:val="25ED12D9"/>
    <w:rsid w:val="25EE1D5C"/>
    <w:rsid w:val="25EE5277"/>
    <w:rsid w:val="26046755"/>
    <w:rsid w:val="262E0948"/>
    <w:rsid w:val="263803AC"/>
    <w:rsid w:val="26AE42CB"/>
    <w:rsid w:val="26C04EE7"/>
    <w:rsid w:val="26DA47CA"/>
    <w:rsid w:val="26FB72D1"/>
    <w:rsid w:val="26FC6CFF"/>
    <w:rsid w:val="270C06CB"/>
    <w:rsid w:val="272F4131"/>
    <w:rsid w:val="274509C2"/>
    <w:rsid w:val="27BB0471"/>
    <w:rsid w:val="27C73619"/>
    <w:rsid w:val="27D00997"/>
    <w:rsid w:val="2833602B"/>
    <w:rsid w:val="283F2E71"/>
    <w:rsid w:val="284E39A8"/>
    <w:rsid w:val="28657DF3"/>
    <w:rsid w:val="286A01EC"/>
    <w:rsid w:val="286B74F2"/>
    <w:rsid w:val="28824D5E"/>
    <w:rsid w:val="28CB16C9"/>
    <w:rsid w:val="28E249EC"/>
    <w:rsid w:val="28F15F0F"/>
    <w:rsid w:val="294D45E0"/>
    <w:rsid w:val="29573538"/>
    <w:rsid w:val="29C33BED"/>
    <w:rsid w:val="2A3755C3"/>
    <w:rsid w:val="2AB73EF4"/>
    <w:rsid w:val="2AC364A8"/>
    <w:rsid w:val="2AD10000"/>
    <w:rsid w:val="2AD4280F"/>
    <w:rsid w:val="2ADA5530"/>
    <w:rsid w:val="2AED1593"/>
    <w:rsid w:val="2AEF4423"/>
    <w:rsid w:val="2B0B16D9"/>
    <w:rsid w:val="2B1451CE"/>
    <w:rsid w:val="2B3F26C7"/>
    <w:rsid w:val="2B4B7C78"/>
    <w:rsid w:val="2BA64812"/>
    <w:rsid w:val="2BFF123D"/>
    <w:rsid w:val="2C2600CD"/>
    <w:rsid w:val="2C6A50FC"/>
    <w:rsid w:val="2C716D08"/>
    <w:rsid w:val="2C9C3AA5"/>
    <w:rsid w:val="2CB221EF"/>
    <w:rsid w:val="2CC25911"/>
    <w:rsid w:val="2D0C3707"/>
    <w:rsid w:val="2D1B437F"/>
    <w:rsid w:val="2D311E5D"/>
    <w:rsid w:val="2D3E7D37"/>
    <w:rsid w:val="2DB26B53"/>
    <w:rsid w:val="2E10410F"/>
    <w:rsid w:val="2E37572C"/>
    <w:rsid w:val="2E5C327F"/>
    <w:rsid w:val="2E8C5971"/>
    <w:rsid w:val="2EC45025"/>
    <w:rsid w:val="2ED140BC"/>
    <w:rsid w:val="2EE149BD"/>
    <w:rsid w:val="2EE24431"/>
    <w:rsid w:val="2EFB3D4E"/>
    <w:rsid w:val="2F294B79"/>
    <w:rsid w:val="2F2E7FAB"/>
    <w:rsid w:val="2F72660A"/>
    <w:rsid w:val="2F930CA1"/>
    <w:rsid w:val="2FCD2B9D"/>
    <w:rsid w:val="301E0182"/>
    <w:rsid w:val="304D390C"/>
    <w:rsid w:val="30535F82"/>
    <w:rsid w:val="30C36452"/>
    <w:rsid w:val="30D72D72"/>
    <w:rsid w:val="30FE5801"/>
    <w:rsid w:val="30FF7E69"/>
    <w:rsid w:val="31002CAF"/>
    <w:rsid w:val="31221E44"/>
    <w:rsid w:val="31440497"/>
    <w:rsid w:val="315923A6"/>
    <w:rsid w:val="316152DA"/>
    <w:rsid w:val="31752482"/>
    <w:rsid w:val="318C40EA"/>
    <w:rsid w:val="319B5671"/>
    <w:rsid w:val="319D509E"/>
    <w:rsid w:val="31AC58D2"/>
    <w:rsid w:val="31D00A5A"/>
    <w:rsid w:val="31D76B11"/>
    <w:rsid w:val="31DD3D3D"/>
    <w:rsid w:val="31FD5CEE"/>
    <w:rsid w:val="321A4E50"/>
    <w:rsid w:val="3225724F"/>
    <w:rsid w:val="32461F31"/>
    <w:rsid w:val="3249505C"/>
    <w:rsid w:val="3279117D"/>
    <w:rsid w:val="327A7E6C"/>
    <w:rsid w:val="329965AD"/>
    <w:rsid w:val="32EC35D6"/>
    <w:rsid w:val="3310500D"/>
    <w:rsid w:val="33362538"/>
    <w:rsid w:val="334E29D5"/>
    <w:rsid w:val="334F04EE"/>
    <w:rsid w:val="33EA5058"/>
    <w:rsid w:val="341D222E"/>
    <w:rsid w:val="34275C22"/>
    <w:rsid w:val="347E2C5B"/>
    <w:rsid w:val="34B63619"/>
    <w:rsid w:val="34B95ABD"/>
    <w:rsid w:val="350B6908"/>
    <w:rsid w:val="351960D0"/>
    <w:rsid w:val="354D7DD3"/>
    <w:rsid w:val="35646577"/>
    <w:rsid w:val="35937E5A"/>
    <w:rsid w:val="35956A76"/>
    <w:rsid w:val="35BA02A5"/>
    <w:rsid w:val="35C24AB3"/>
    <w:rsid w:val="35CD3192"/>
    <w:rsid w:val="3624757C"/>
    <w:rsid w:val="364E4A5D"/>
    <w:rsid w:val="364F7019"/>
    <w:rsid w:val="36633CB0"/>
    <w:rsid w:val="3692090E"/>
    <w:rsid w:val="36C70472"/>
    <w:rsid w:val="36C86EC8"/>
    <w:rsid w:val="36CD01D5"/>
    <w:rsid w:val="36F05A9B"/>
    <w:rsid w:val="37003016"/>
    <w:rsid w:val="370A4636"/>
    <w:rsid w:val="372108FA"/>
    <w:rsid w:val="37345BBC"/>
    <w:rsid w:val="374F5BC8"/>
    <w:rsid w:val="374F5DEA"/>
    <w:rsid w:val="37627E01"/>
    <w:rsid w:val="37AB4563"/>
    <w:rsid w:val="37B75FB9"/>
    <w:rsid w:val="37DD2D81"/>
    <w:rsid w:val="37F74125"/>
    <w:rsid w:val="38097187"/>
    <w:rsid w:val="38127A9D"/>
    <w:rsid w:val="38165733"/>
    <w:rsid w:val="381B4FFA"/>
    <w:rsid w:val="382C11CF"/>
    <w:rsid w:val="388C6DD8"/>
    <w:rsid w:val="38945B98"/>
    <w:rsid w:val="38A772D0"/>
    <w:rsid w:val="39126E0E"/>
    <w:rsid w:val="391A0B71"/>
    <w:rsid w:val="39270F82"/>
    <w:rsid w:val="3969681D"/>
    <w:rsid w:val="39A445F3"/>
    <w:rsid w:val="39BD423E"/>
    <w:rsid w:val="39C165A9"/>
    <w:rsid w:val="39C73834"/>
    <w:rsid w:val="39F97941"/>
    <w:rsid w:val="3A0027CF"/>
    <w:rsid w:val="3A553880"/>
    <w:rsid w:val="3A7F53FC"/>
    <w:rsid w:val="3ABA7FC0"/>
    <w:rsid w:val="3ABF51B8"/>
    <w:rsid w:val="3AD5781B"/>
    <w:rsid w:val="3AEC0A43"/>
    <w:rsid w:val="3B5B1BDC"/>
    <w:rsid w:val="3B9F218C"/>
    <w:rsid w:val="3BA432FC"/>
    <w:rsid w:val="3BAD702C"/>
    <w:rsid w:val="3BEC2E59"/>
    <w:rsid w:val="3C3330D7"/>
    <w:rsid w:val="3C3C2711"/>
    <w:rsid w:val="3C9765A1"/>
    <w:rsid w:val="3CA108DE"/>
    <w:rsid w:val="3CAA1A36"/>
    <w:rsid w:val="3CB75846"/>
    <w:rsid w:val="3CC82F00"/>
    <w:rsid w:val="3CD572C5"/>
    <w:rsid w:val="3CE36945"/>
    <w:rsid w:val="3D4A5AA8"/>
    <w:rsid w:val="3DD6033D"/>
    <w:rsid w:val="3DDC3189"/>
    <w:rsid w:val="3DF74931"/>
    <w:rsid w:val="3E0B0C1F"/>
    <w:rsid w:val="3E147D2A"/>
    <w:rsid w:val="3E183B84"/>
    <w:rsid w:val="3E4556A5"/>
    <w:rsid w:val="3E565986"/>
    <w:rsid w:val="3E9C1CC6"/>
    <w:rsid w:val="3EAF0976"/>
    <w:rsid w:val="3F1353D0"/>
    <w:rsid w:val="3F1432B3"/>
    <w:rsid w:val="3F4C3723"/>
    <w:rsid w:val="3F564A0F"/>
    <w:rsid w:val="3F772FF2"/>
    <w:rsid w:val="3FA86789"/>
    <w:rsid w:val="3FD703E6"/>
    <w:rsid w:val="4004767A"/>
    <w:rsid w:val="4020130A"/>
    <w:rsid w:val="408A6E31"/>
    <w:rsid w:val="40AB1C47"/>
    <w:rsid w:val="40E457FF"/>
    <w:rsid w:val="40FC4091"/>
    <w:rsid w:val="412A74D0"/>
    <w:rsid w:val="414829A9"/>
    <w:rsid w:val="415C5414"/>
    <w:rsid w:val="41630247"/>
    <w:rsid w:val="41715938"/>
    <w:rsid w:val="417D2481"/>
    <w:rsid w:val="41C90400"/>
    <w:rsid w:val="41F931D0"/>
    <w:rsid w:val="4207105D"/>
    <w:rsid w:val="42162FDD"/>
    <w:rsid w:val="421B7606"/>
    <w:rsid w:val="42544DD9"/>
    <w:rsid w:val="42550EFC"/>
    <w:rsid w:val="425B2164"/>
    <w:rsid w:val="426268EA"/>
    <w:rsid w:val="42902917"/>
    <w:rsid w:val="42A0589C"/>
    <w:rsid w:val="435E376B"/>
    <w:rsid w:val="438C3B7D"/>
    <w:rsid w:val="439F7D8A"/>
    <w:rsid w:val="43AC6FAC"/>
    <w:rsid w:val="44426122"/>
    <w:rsid w:val="447E0D94"/>
    <w:rsid w:val="44B668F0"/>
    <w:rsid w:val="44F73B14"/>
    <w:rsid w:val="451C1E53"/>
    <w:rsid w:val="452E712A"/>
    <w:rsid w:val="45397ECD"/>
    <w:rsid w:val="45992DF5"/>
    <w:rsid w:val="45D23760"/>
    <w:rsid w:val="45E31837"/>
    <w:rsid w:val="45E979DC"/>
    <w:rsid w:val="45F868E5"/>
    <w:rsid w:val="45FD4340"/>
    <w:rsid w:val="46011510"/>
    <w:rsid w:val="46042F88"/>
    <w:rsid w:val="46877E33"/>
    <w:rsid w:val="46EE1FD9"/>
    <w:rsid w:val="46FF77C1"/>
    <w:rsid w:val="470A62F6"/>
    <w:rsid w:val="47250AD9"/>
    <w:rsid w:val="47346E0D"/>
    <w:rsid w:val="473871C6"/>
    <w:rsid w:val="47AB3BD8"/>
    <w:rsid w:val="47C028DC"/>
    <w:rsid w:val="47CD6AC1"/>
    <w:rsid w:val="480825E3"/>
    <w:rsid w:val="482377F3"/>
    <w:rsid w:val="484529D7"/>
    <w:rsid w:val="48762CBE"/>
    <w:rsid w:val="488E7AA0"/>
    <w:rsid w:val="48B00159"/>
    <w:rsid w:val="48BB75FA"/>
    <w:rsid w:val="48CC2969"/>
    <w:rsid w:val="48E72A21"/>
    <w:rsid w:val="49163588"/>
    <w:rsid w:val="494A566F"/>
    <w:rsid w:val="49F0110D"/>
    <w:rsid w:val="4A1D0836"/>
    <w:rsid w:val="4A2E05CB"/>
    <w:rsid w:val="4A38361A"/>
    <w:rsid w:val="4A6E0331"/>
    <w:rsid w:val="4A825F74"/>
    <w:rsid w:val="4A860887"/>
    <w:rsid w:val="4AA76122"/>
    <w:rsid w:val="4AC07177"/>
    <w:rsid w:val="4B130AE9"/>
    <w:rsid w:val="4B133F94"/>
    <w:rsid w:val="4B1B6545"/>
    <w:rsid w:val="4B2C1CD9"/>
    <w:rsid w:val="4B4646FE"/>
    <w:rsid w:val="4B6D303F"/>
    <w:rsid w:val="4B806EE1"/>
    <w:rsid w:val="4B9D1B87"/>
    <w:rsid w:val="4BB4752F"/>
    <w:rsid w:val="4BF87F9C"/>
    <w:rsid w:val="4C4273C4"/>
    <w:rsid w:val="4C440983"/>
    <w:rsid w:val="4C676930"/>
    <w:rsid w:val="4C716315"/>
    <w:rsid w:val="4C7F4C5A"/>
    <w:rsid w:val="4CAA34A2"/>
    <w:rsid w:val="4CE22A76"/>
    <w:rsid w:val="4D17312E"/>
    <w:rsid w:val="4D7E5874"/>
    <w:rsid w:val="4D8F414E"/>
    <w:rsid w:val="4DCC5CC5"/>
    <w:rsid w:val="4DDE33A0"/>
    <w:rsid w:val="4E714E5B"/>
    <w:rsid w:val="4EA501A6"/>
    <w:rsid w:val="4EF05B1B"/>
    <w:rsid w:val="4F2554A8"/>
    <w:rsid w:val="4F452518"/>
    <w:rsid w:val="4F583349"/>
    <w:rsid w:val="4F6141BE"/>
    <w:rsid w:val="4FB96220"/>
    <w:rsid w:val="4FC46DC9"/>
    <w:rsid w:val="4FD854EF"/>
    <w:rsid w:val="4FE55EBB"/>
    <w:rsid w:val="4FEA13FF"/>
    <w:rsid w:val="4FF74AFA"/>
    <w:rsid w:val="4FF96BCC"/>
    <w:rsid w:val="501A543D"/>
    <w:rsid w:val="50721382"/>
    <w:rsid w:val="507B46CF"/>
    <w:rsid w:val="50962F12"/>
    <w:rsid w:val="509D41C3"/>
    <w:rsid w:val="50C05D52"/>
    <w:rsid w:val="50D02775"/>
    <w:rsid w:val="50DF5CC8"/>
    <w:rsid w:val="512E2CC8"/>
    <w:rsid w:val="51697B46"/>
    <w:rsid w:val="51703514"/>
    <w:rsid w:val="51A85CB2"/>
    <w:rsid w:val="51B91B1D"/>
    <w:rsid w:val="51CB548E"/>
    <w:rsid w:val="51D630F1"/>
    <w:rsid w:val="51EE1061"/>
    <w:rsid w:val="51FD5805"/>
    <w:rsid w:val="520903CA"/>
    <w:rsid w:val="52263192"/>
    <w:rsid w:val="522F6A18"/>
    <w:rsid w:val="528B07BF"/>
    <w:rsid w:val="52A664A3"/>
    <w:rsid w:val="52B8081F"/>
    <w:rsid w:val="52BC47D0"/>
    <w:rsid w:val="531038F6"/>
    <w:rsid w:val="533344F2"/>
    <w:rsid w:val="534672A8"/>
    <w:rsid w:val="536578B9"/>
    <w:rsid w:val="53823474"/>
    <w:rsid w:val="539207F4"/>
    <w:rsid w:val="53C26792"/>
    <w:rsid w:val="54431120"/>
    <w:rsid w:val="54450D86"/>
    <w:rsid w:val="545F096C"/>
    <w:rsid w:val="54846222"/>
    <w:rsid w:val="54956EF0"/>
    <w:rsid w:val="54A526D6"/>
    <w:rsid w:val="54B76640"/>
    <w:rsid w:val="54D85D0B"/>
    <w:rsid w:val="54E159DD"/>
    <w:rsid w:val="550207CE"/>
    <w:rsid w:val="55487015"/>
    <w:rsid w:val="55657724"/>
    <w:rsid w:val="55762AC1"/>
    <w:rsid w:val="55C1615A"/>
    <w:rsid w:val="55FE5566"/>
    <w:rsid w:val="56054222"/>
    <w:rsid w:val="56215C5B"/>
    <w:rsid w:val="56605471"/>
    <w:rsid w:val="56983954"/>
    <w:rsid w:val="56B30414"/>
    <w:rsid w:val="56B54762"/>
    <w:rsid w:val="56F34E79"/>
    <w:rsid w:val="56F5088C"/>
    <w:rsid w:val="56F727AA"/>
    <w:rsid w:val="57013C41"/>
    <w:rsid w:val="57204E69"/>
    <w:rsid w:val="57491222"/>
    <w:rsid w:val="577A5113"/>
    <w:rsid w:val="578F3577"/>
    <w:rsid w:val="57E96C0C"/>
    <w:rsid w:val="581A72CA"/>
    <w:rsid w:val="5831039D"/>
    <w:rsid w:val="5857610F"/>
    <w:rsid w:val="585D3494"/>
    <w:rsid w:val="586813B0"/>
    <w:rsid w:val="587058CB"/>
    <w:rsid w:val="58D94E14"/>
    <w:rsid w:val="59142E05"/>
    <w:rsid w:val="593C1852"/>
    <w:rsid w:val="596416F8"/>
    <w:rsid w:val="59870380"/>
    <w:rsid w:val="5993564C"/>
    <w:rsid w:val="599404D3"/>
    <w:rsid w:val="59940C6E"/>
    <w:rsid w:val="599A00A5"/>
    <w:rsid w:val="59C72584"/>
    <w:rsid w:val="5A316584"/>
    <w:rsid w:val="5A622C39"/>
    <w:rsid w:val="5A6835D3"/>
    <w:rsid w:val="5A8D03EC"/>
    <w:rsid w:val="5ABB7024"/>
    <w:rsid w:val="5AE00F2C"/>
    <w:rsid w:val="5B0D5D4E"/>
    <w:rsid w:val="5B12781A"/>
    <w:rsid w:val="5B2006EF"/>
    <w:rsid w:val="5B4275D1"/>
    <w:rsid w:val="5B464A8F"/>
    <w:rsid w:val="5B565628"/>
    <w:rsid w:val="5B6D4B48"/>
    <w:rsid w:val="5BC63CB0"/>
    <w:rsid w:val="5BF503D5"/>
    <w:rsid w:val="5BFF69A0"/>
    <w:rsid w:val="5C383726"/>
    <w:rsid w:val="5C514ABE"/>
    <w:rsid w:val="5CCE3BE5"/>
    <w:rsid w:val="5CDE4102"/>
    <w:rsid w:val="5D0216A1"/>
    <w:rsid w:val="5D0B27D5"/>
    <w:rsid w:val="5D28294A"/>
    <w:rsid w:val="5D4D4A86"/>
    <w:rsid w:val="5D5177C9"/>
    <w:rsid w:val="5DA76416"/>
    <w:rsid w:val="5DDA261A"/>
    <w:rsid w:val="5E2F76D4"/>
    <w:rsid w:val="5E353971"/>
    <w:rsid w:val="5E5767A7"/>
    <w:rsid w:val="5E8B0CF5"/>
    <w:rsid w:val="5E8C2E63"/>
    <w:rsid w:val="5EA708CB"/>
    <w:rsid w:val="5EF05235"/>
    <w:rsid w:val="5F006C02"/>
    <w:rsid w:val="5F551A65"/>
    <w:rsid w:val="5F727DA4"/>
    <w:rsid w:val="5F803C40"/>
    <w:rsid w:val="5F916EC0"/>
    <w:rsid w:val="5FDC79C3"/>
    <w:rsid w:val="603749A5"/>
    <w:rsid w:val="603E529D"/>
    <w:rsid w:val="60B4308F"/>
    <w:rsid w:val="610C60C7"/>
    <w:rsid w:val="612A0B79"/>
    <w:rsid w:val="612B53FB"/>
    <w:rsid w:val="613F1464"/>
    <w:rsid w:val="619912AF"/>
    <w:rsid w:val="61DA2961"/>
    <w:rsid w:val="621B49E9"/>
    <w:rsid w:val="62400056"/>
    <w:rsid w:val="624C76C5"/>
    <w:rsid w:val="62652FC6"/>
    <w:rsid w:val="62944B5E"/>
    <w:rsid w:val="62955FA3"/>
    <w:rsid w:val="62B90C7D"/>
    <w:rsid w:val="62CC7B22"/>
    <w:rsid w:val="630E391D"/>
    <w:rsid w:val="63277FFF"/>
    <w:rsid w:val="63294280"/>
    <w:rsid w:val="63644035"/>
    <w:rsid w:val="63871B1C"/>
    <w:rsid w:val="63AE37A1"/>
    <w:rsid w:val="64132E31"/>
    <w:rsid w:val="64141986"/>
    <w:rsid w:val="64847C33"/>
    <w:rsid w:val="64FA5749"/>
    <w:rsid w:val="65504CEA"/>
    <w:rsid w:val="659B79DB"/>
    <w:rsid w:val="65B428CB"/>
    <w:rsid w:val="661015E9"/>
    <w:rsid w:val="6616649A"/>
    <w:rsid w:val="66203FA5"/>
    <w:rsid w:val="663D0C2E"/>
    <w:rsid w:val="664274E6"/>
    <w:rsid w:val="6647556A"/>
    <w:rsid w:val="666636FD"/>
    <w:rsid w:val="6681551E"/>
    <w:rsid w:val="668D35C6"/>
    <w:rsid w:val="66A0001F"/>
    <w:rsid w:val="66C86394"/>
    <w:rsid w:val="66D67950"/>
    <w:rsid w:val="66ED7BD0"/>
    <w:rsid w:val="671040BB"/>
    <w:rsid w:val="67152EBB"/>
    <w:rsid w:val="67162E40"/>
    <w:rsid w:val="673279C9"/>
    <w:rsid w:val="67394A2E"/>
    <w:rsid w:val="67766F5A"/>
    <w:rsid w:val="67840980"/>
    <w:rsid w:val="6784304B"/>
    <w:rsid w:val="679C425E"/>
    <w:rsid w:val="67E00D39"/>
    <w:rsid w:val="68203D2E"/>
    <w:rsid w:val="682C5CEB"/>
    <w:rsid w:val="6876488B"/>
    <w:rsid w:val="687708FC"/>
    <w:rsid w:val="68AF5E1C"/>
    <w:rsid w:val="68B5621F"/>
    <w:rsid w:val="68BF7450"/>
    <w:rsid w:val="68CF0C03"/>
    <w:rsid w:val="691D490E"/>
    <w:rsid w:val="696B3768"/>
    <w:rsid w:val="6971112D"/>
    <w:rsid w:val="69847A2B"/>
    <w:rsid w:val="69884903"/>
    <w:rsid w:val="6991760A"/>
    <w:rsid w:val="699A56FD"/>
    <w:rsid w:val="69E11A9E"/>
    <w:rsid w:val="6A6A7C1F"/>
    <w:rsid w:val="6A886D45"/>
    <w:rsid w:val="6A932B70"/>
    <w:rsid w:val="6ACF2875"/>
    <w:rsid w:val="6B0E4AE0"/>
    <w:rsid w:val="6B1C2B1C"/>
    <w:rsid w:val="6B4F34D1"/>
    <w:rsid w:val="6B602E30"/>
    <w:rsid w:val="6B6E3114"/>
    <w:rsid w:val="6B7A39E2"/>
    <w:rsid w:val="6B906AD0"/>
    <w:rsid w:val="6B945DD1"/>
    <w:rsid w:val="6B946993"/>
    <w:rsid w:val="6BE86D7B"/>
    <w:rsid w:val="6C2B61AD"/>
    <w:rsid w:val="6C3765F3"/>
    <w:rsid w:val="6C4E767F"/>
    <w:rsid w:val="6C5D3F67"/>
    <w:rsid w:val="6C8140A2"/>
    <w:rsid w:val="6CA345EE"/>
    <w:rsid w:val="6CF27BDB"/>
    <w:rsid w:val="6D037399"/>
    <w:rsid w:val="6D197B59"/>
    <w:rsid w:val="6D315787"/>
    <w:rsid w:val="6D435952"/>
    <w:rsid w:val="6D800F80"/>
    <w:rsid w:val="6DC348C7"/>
    <w:rsid w:val="6DC37656"/>
    <w:rsid w:val="6DDF0C23"/>
    <w:rsid w:val="6E0965B7"/>
    <w:rsid w:val="6E0D3954"/>
    <w:rsid w:val="6E4C341F"/>
    <w:rsid w:val="6E8C0E1A"/>
    <w:rsid w:val="6E9436AF"/>
    <w:rsid w:val="6E985968"/>
    <w:rsid w:val="6E997555"/>
    <w:rsid w:val="6EA0198F"/>
    <w:rsid w:val="6EA57CFD"/>
    <w:rsid w:val="6EA631B5"/>
    <w:rsid w:val="6EFC2A24"/>
    <w:rsid w:val="6F1C4655"/>
    <w:rsid w:val="6F4C3FF3"/>
    <w:rsid w:val="6F650575"/>
    <w:rsid w:val="6F830113"/>
    <w:rsid w:val="6F9B7323"/>
    <w:rsid w:val="6F9C1E41"/>
    <w:rsid w:val="6FA9483F"/>
    <w:rsid w:val="6FC55AA1"/>
    <w:rsid w:val="7000384C"/>
    <w:rsid w:val="70026473"/>
    <w:rsid w:val="70164142"/>
    <w:rsid w:val="705835AD"/>
    <w:rsid w:val="70733990"/>
    <w:rsid w:val="707A3052"/>
    <w:rsid w:val="70916300"/>
    <w:rsid w:val="7096127B"/>
    <w:rsid w:val="70B24EFA"/>
    <w:rsid w:val="70DD2F5A"/>
    <w:rsid w:val="71172C85"/>
    <w:rsid w:val="711C0BAA"/>
    <w:rsid w:val="7134398E"/>
    <w:rsid w:val="71391FB0"/>
    <w:rsid w:val="713C57E2"/>
    <w:rsid w:val="71585D6A"/>
    <w:rsid w:val="71BB195F"/>
    <w:rsid w:val="71D519AD"/>
    <w:rsid w:val="71F82A49"/>
    <w:rsid w:val="720F583C"/>
    <w:rsid w:val="728F19E2"/>
    <w:rsid w:val="729C629C"/>
    <w:rsid w:val="72B50634"/>
    <w:rsid w:val="72D34273"/>
    <w:rsid w:val="72E94F7F"/>
    <w:rsid w:val="731374BD"/>
    <w:rsid w:val="731D3F58"/>
    <w:rsid w:val="733277D1"/>
    <w:rsid w:val="73463C2D"/>
    <w:rsid w:val="734C6EE0"/>
    <w:rsid w:val="73692B49"/>
    <w:rsid w:val="73746B6D"/>
    <w:rsid w:val="7379724E"/>
    <w:rsid w:val="739262A2"/>
    <w:rsid w:val="73A41C86"/>
    <w:rsid w:val="73B920B1"/>
    <w:rsid w:val="73C111E9"/>
    <w:rsid w:val="73CB67C6"/>
    <w:rsid w:val="740718C1"/>
    <w:rsid w:val="74232E34"/>
    <w:rsid w:val="743F1D19"/>
    <w:rsid w:val="745A3B56"/>
    <w:rsid w:val="745E7001"/>
    <w:rsid w:val="74627A28"/>
    <w:rsid w:val="7463606F"/>
    <w:rsid w:val="746E54D5"/>
    <w:rsid w:val="74D2707E"/>
    <w:rsid w:val="750E017F"/>
    <w:rsid w:val="753C0338"/>
    <w:rsid w:val="75756AD4"/>
    <w:rsid w:val="75C31213"/>
    <w:rsid w:val="75EC7F9B"/>
    <w:rsid w:val="75F10C50"/>
    <w:rsid w:val="76004BAB"/>
    <w:rsid w:val="76176AB5"/>
    <w:rsid w:val="76B810A1"/>
    <w:rsid w:val="76BB178F"/>
    <w:rsid w:val="76DB6911"/>
    <w:rsid w:val="77504419"/>
    <w:rsid w:val="778060DF"/>
    <w:rsid w:val="77896318"/>
    <w:rsid w:val="77E1314B"/>
    <w:rsid w:val="78217F74"/>
    <w:rsid w:val="787D7555"/>
    <w:rsid w:val="788F7D5C"/>
    <w:rsid w:val="78B04A8A"/>
    <w:rsid w:val="79275ED8"/>
    <w:rsid w:val="79344E71"/>
    <w:rsid w:val="794E1F2A"/>
    <w:rsid w:val="796D613C"/>
    <w:rsid w:val="797C3B06"/>
    <w:rsid w:val="79936FE1"/>
    <w:rsid w:val="79AC5B1C"/>
    <w:rsid w:val="79B47458"/>
    <w:rsid w:val="79B55C16"/>
    <w:rsid w:val="79CC1848"/>
    <w:rsid w:val="79ED3F84"/>
    <w:rsid w:val="7A0F12FA"/>
    <w:rsid w:val="7A34719C"/>
    <w:rsid w:val="7A480030"/>
    <w:rsid w:val="7A6F4A81"/>
    <w:rsid w:val="7A8B6717"/>
    <w:rsid w:val="7AB07837"/>
    <w:rsid w:val="7B0E7701"/>
    <w:rsid w:val="7B17019C"/>
    <w:rsid w:val="7B5D6DCB"/>
    <w:rsid w:val="7B9E74D7"/>
    <w:rsid w:val="7BA520E5"/>
    <w:rsid w:val="7BC80D36"/>
    <w:rsid w:val="7BE744D0"/>
    <w:rsid w:val="7C4F6BCC"/>
    <w:rsid w:val="7C5128EF"/>
    <w:rsid w:val="7C621363"/>
    <w:rsid w:val="7C927349"/>
    <w:rsid w:val="7CBB1513"/>
    <w:rsid w:val="7CE840B2"/>
    <w:rsid w:val="7D1F2157"/>
    <w:rsid w:val="7D377BA0"/>
    <w:rsid w:val="7D3C75A2"/>
    <w:rsid w:val="7D3F5542"/>
    <w:rsid w:val="7D437CA2"/>
    <w:rsid w:val="7D7269FC"/>
    <w:rsid w:val="7D801C3C"/>
    <w:rsid w:val="7D8C5D97"/>
    <w:rsid w:val="7D8E1241"/>
    <w:rsid w:val="7D8E264A"/>
    <w:rsid w:val="7DBC360A"/>
    <w:rsid w:val="7DD21A82"/>
    <w:rsid w:val="7DD8366E"/>
    <w:rsid w:val="7E297978"/>
    <w:rsid w:val="7E453A43"/>
    <w:rsid w:val="7E4E1E1B"/>
    <w:rsid w:val="7E5057D4"/>
    <w:rsid w:val="7E7106C0"/>
    <w:rsid w:val="7E9F316B"/>
    <w:rsid w:val="7ED733A8"/>
    <w:rsid w:val="7EFE1C84"/>
    <w:rsid w:val="7F147D7B"/>
    <w:rsid w:val="7F1C4449"/>
    <w:rsid w:val="7F2D3EAB"/>
    <w:rsid w:val="7F543E31"/>
    <w:rsid w:val="7F9E365A"/>
    <w:rsid w:val="7FC2587C"/>
    <w:rsid w:val="7FED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43"/>
      <w:outlineLvl w:val="0"/>
    </w:pPr>
    <w:rPr>
      <w:b/>
      <w:bCs/>
      <w:sz w:val="32"/>
      <w:szCs w:val="32"/>
    </w:rPr>
  </w:style>
  <w:style w:type="paragraph" w:styleId="4">
    <w:name w:val="heading 2"/>
    <w:basedOn w:val="1"/>
    <w:next w:val="1"/>
    <w:qFormat/>
    <w:uiPriority w:val="1"/>
    <w:pPr>
      <w:ind w:right="16"/>
      <w:jc w:val="center"/>
      <w:outlineLvl w:val="1"/>
    </w:pPr>
    <w:rPr>
      <w:b/>
      <w:bCs/>
      <w:sz w:val="28"/>
      <w:szCs w:val="28"/>
    </w:rPr>
  </w:style>
  <w:style w:type="paragraph" w:styleId="5">
    <w:name w:val="heading 3"/>
    <w:basedOn w:val="1"/>
    <w:next w:val="1"/>
    <w:qFormat/>
    <w:uiPriority w:val="1"/>
    <w:pPr>
      <w:spacing w:before="103"/>
      <w:ind w:left="260"/>
      <w:outlineLvl w:val="2"/>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rPr>
  </w:style>
  <w:style w:type="paragraph" w:styleId="6">
    <w:name w:val="Normal Indent"/>
    <w:basedOn w:val="1"/>
    <w:next w:val="1"/>
    <w:qFormat/>
    <w:uiPriority w:val="0"/>
    <w:pPr>
      <w:ind w:firstLine="420" w:firstLineChars="200"/>
    </w:pPr>
    <w:rPr>
      <w:szCs w:val="24"/>
    </w:rPr>
  </w:style>
  <w:style w:type="paragraph" w:styleId="7">
    <w:name w:val="Body Text"/>
    <w:basedOn w:val="1"/>
    <w:qFormat/>
    <w:uiPriority w:val="1"/>
    <w:pPr>
      <w:ind w:left="260"/>
    </w:pPr>
    <w:rPr>
      <w:sz w:val="24"/>
      <w:szCs w:val="24"/>
    </w:rPr>
  </w:style>
  <w:style w:type="paragraph" w:styleId="8">
    <w:name w:val="Body Text Indent"/>
    <w:basedOn w:val="1"/>
    <w:qFormat/>
    <w:uiPriority w:val="99"/>
    <w:pPr>
      <w:ind w:left="420" w:leftChars="200"/>
    </w:pPr>
  </w:style>
  <w:style w:type="paragraph" w:styleId="9">
    <w:name w:val="Block Text"/>
    <w:basedOn w:val="1"/>
    <w:semiHidden/>
    <w:unhideWhenUsed/>
    <w:qFormat/>
    <w:uiPriority w:val="0"/>
    <w:pPr>
      <w:adjustRightInd w:val="0"/>
      <w:spacing w:line="360" w:lineRule="auto"/>
      <w:ind w:left="630" w:right="-609" w:firstLine="420"/>
    </w:pPr>
    <w:rPr>
      <w:rFonts w:ascii="仿宋_GB2312" w:hAnsi="Times New Roman" w:eastAsia="仿宋_GB2312" w:cs="Times New Roman"/>
      <w:kern w:val="0"/>
      <w:szCs w:val="20"/>
    </w:rPr>
  </w:style>
  <w:style w:type="paragraph" w:styleId="10">
    <w:name w:val="Plain Text"/>
    <w:basedOn w:val="1"/>
    <w:next w:val="1"/>
    <w:qFormat/>
    <w:uiPriority w:val="0"/>
    <w:rPr>
      <w:rFonts w:ascii="宋体" w:hAnsi="Courier New"/>
      <w:szCs w:val="20"/>
    </w:rPr>
  </w:style>
  <w:style w:type="paragraph" w:styleId="11">
    <w:name w:val="Date"/>
    <w:basedOn w:val="1"/>
    <w:next w:val="1"/>
    <w:qFormat/>
    <w:uiPriority w:val="0"/>
    <w:pPr>
      <w:ind w:left="100" w:leftChars="2500"/>
    </w:pPr>
    <w:rPr>
      <w:rFonts w:ascii="宋体" w:hAnsi="宋体"/>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139"/>
      <w:ind w:left="260"/>
    </w:pPr>
    <w:rPr>
      <w:sz w:val="21"/>
      <w:szCs w:val="21"/>
    </w:rPr>
  </w:style>
  <w:style w:type="paragraph" w:styleId="15">
    <w:name w:val="toc 4"/>
    <w:basedOn w:val="1"/>
    <w:next w:val="1"/>
    <w:unhideWhenUsed/>
    <w:qFormat/>
    <w:uiPriority w:val="39"/>
    <w:pPr>
      <w:ind w:left="1260" w:leftChars="600"/>
    </w:pPr>
  </w:style>
  <w:style w:type="paragraph" w:styleId="16">
    <w:name w:val="toc 2"/>
    <w:basedOn w:val="1"/>
    <w:next w:val="1"/>
    <w:qFormat/>
    <w:uiPriority w:val="1"/>
    <w:pPr>
      <w:spacing w:before="139"/>
      <w:ind w:left="1030" w:hanging="350"/>
    </w:pPr>
    <w:rPr>
      <w:sz w:val="21"/>
      <w:szCs w:val="21"/>
    </w:rPr>
  </w:style>
  <w:style w:type="paragraph" w:styleId="17">
    <w:name w:val="Normal (Web)"/>
    <w:basedOn w:val="1"/>
    <w:qFormat/>
    <w:uiPriority w:val="0"/>
    <w:pPr>
      <w:widowControl/>
      <w:spacing w:before="100" w:beforeAutospacing="1" w:after="100" w:afterAutospacing="1"/>
    </w:pPr>
    <w:rPr>
      <w:sz w:val="24"/>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0"/>
    <w:rPr>
      <w:u w:val="single"/>
    </w:rPr>
  </w:style>
  <w:style w:type="paragraph" w:customStyle="1" w:styleId="23">
    <w:name w:val="列出段落1"/>
    <w:basedOn w:val="1"/>
    <w:qFormat/>
    <w:uiPriority w:val="1"/>
    <w:pPr>
      <w:spacing w:before="101"/>
      <w:ind w:left="260" w:hanging="530"/>
    </w:pPr>
  </w:style>
  <w:style w:type="paragraph" w:customStyle="1" w:styleId="24">
    <w:name w:val="Table Paragraph"/>
    <w:basedOn w:val="1"/>
    <w:qFormat/>
    <w:uiPriority w:val="1"/>
  </w:style>
  <w:style w:type="character" w:customStyle="1" w:styleId="25">
    <w:name w:val="书籍标题1"/>
    <w:basedOn w:val="21"/>
    <w:qFormat/>
    <w:uiPriority w:val="0"/>
    <w:rPr>
      <w:rFonts w:cs="Times New Roman"/>
      <w:b/>
      <w:bCs/>
      <w:smallCaps/>
      <w:spacing w:val="5"/>
    </w:rPr>
  </w:style>
  <w:style w:type="character" w:customStyle="1" w:styleId="26">
    <w:name w:val="apple-style-span"/>
    <w:basedOn w:val="21"/>
    <w:qFormat/>
    <w:uiPriority w:val="0"/>
    <w:rPr>
      <w:rFonts w:hint="default" w:ascii="Times New Roman"/>
    </w:rPr>
  </w:style>
  <w:style w:type="paragraph" w:styleId="27">
    <w:name w:val="List Paragraph"/>
    <w:basedOn w:val="1"/>
    <w:qFormat/>
    <w:uiPriority w:val="34"/>
    <w:pPr>
      <w:ind w:firstLine="420" w:firstLineChars="200"/>
    </w:pPr>
  </w:style>
  <w:style w:type="character" w:customStyle="1" w:styleId="28">
    <w:name w:val="NormalCharacter"/>
    <w:semiHidden/>
    <w:qFormat/>
    <w:uiPriority w:val="0"/>
  </w:style>
  <w:style w:type="paragraph" w:customStyle="1" w:styleId="29">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customStyle="1" w:styleId="30">
    <w:name w:val="Hyperlink.0"/>
    <w:basedOn w:val="22"/>
    <w:qFormat/>
    <w:uiPriority w:val="0"/>
    <w:rPr>
      <w:color w:val="0000FF"/>
      <w:u w:val="single" w:color="0000FF"/>
    </w:rPr>
  </w:style>
  <w:style w:type="character" w:customStyle="1" w:styleId="31">
    <w:name w:val="font51"/>
    <w:basedOn w:val="21"/>
    <w:qFormat/>
    <w:uiPriority w:val="0"/>
    <w:rPr>
      <w:rFonts w:hint="eastAsia" w:ascii="宋体" w:hAnsi="宋体" w:eastAsia="宋体" w:cs="宋体"/>
      <w:color w:val="000000"/>
      <w:sz w:val="20"/>
      <w:szCs w:val="20"/>
      <w:u w:val="none"/>
    </w:rPr>
  </w:style>
  <w:style w:type="character" w:customStyle="1" w:styleId="32">
    <w:name w:val="font11"/>
    <w:basedOn w:val="21"/>
    <w:qFormat/>
    <w:uiPriority w:val="0"/>
    <w:rPr>
      <w:rFonts w:hint="eastAsia" w:ascii="宋体" w:hAnsi="宋体" w:eastAsia="宋体" w:cs="宋体"/>
      <w:color w:val="FF0000"/>
      <w:sz w:val="22"/>
      <w:szCs w:val="22"/>
      <w:u w:val="none"/>
    </w:rPr>
  </w:style>
  <w:style w:type="paragraph" w:customStyle="1" w:styleId="33">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3788</Words>
  <Characters>21593</Characters>
  <Lines>179</Lines>
  <Paragraphs>50</Paragraphs>
  <TotalTime>100</TotalTime>
  <ScaleCrop>false</ScaleCrop>
  <LinksUpToDate>false</LinksUpToDate>
  <CharactersWithSpaces>25331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2020-09-05T03:52:00Z</dcterms:created>
  <dc:creator>Administrator</dc:creator>
  <cp:lastModifiedBy>韩傻子</cp:lastModifiedBy>
  <cp:lastPrinted>2021-06-15T10:18:00Z</cp:lastPrinted>
  <dcterms:modified xsi:type="dcterms:W3CDTF">2022-05-07T10:50:36Z</dcterms:modified>
  <dc:title>采	购	文	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092A45FF3011418D8DD255F94D3FD90A</vt:lpwstr>
  </property>
</Properties>
</file>