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auto"/>
          <w:sz w:val="52"/>
          <w:szCs w:val="52"/>
        </w:rPr>
      </w:pPr>
      <w:r>
        <w:rPr>
          <w:rFonts w:hint="eastAsia" w:ascii="宋体" w:hAnsi="宋体"/>
          <w:b/>
          <w:color w:val="auto"/>
          <w:sz w:val="52"/>
          <w:szCs w:val="52"/>
        </w:rPr>
        <w:t>塔城地区政务服务与公共资源交易中心物业管理</w:t>
      </w:r>
    </w:p>
    <w:p>
      <w:pPr>
        <w:spacing w:line="360" w:lineRule="auto"/>
        <w:jc w:val="center"/>
        <w:rPr>
          <w:rFonts w:hint="eastAsia" w:ascii="宋体" w:hAnsi="宋体"/>
          <w:b/>
          <w:color w:val="auto"/>
          <w:sz w:val="52"/>
          <w:szCs w:val="52"/>
        </w:rPr>
      </w:pPr>
    </w:p>
    <w:p>
      <w:pPr>
        <w:pStyle w:val="19"/>
        <w:rPr>
          <w:rFonts w:hint="eastAsia"/>
        </w:rPr>
      </w:pPr>
    </w:p>
    <w:p>
      <w:pPr>
        <w:pStyle w:val="19"/>
        <w:rPr>
          <w:rFonts w:hint="eastAsia"/>
        </w:rPr>
      </w:pPr>
    </w:p>
    <w:p>
      <w:pPr>
        <w:pStyle w:val="19"/>
        <w:rPr>
          <w:rFonts w:hint="eastAsia"/>
        </w:rPr>
      </w:pPr>
    </w:p>
    <w:p>
      <w:pPr>
        <w:pStyle w:val="19"/>
        <w:rPr>
          <w:rFonts w:hint="eastAsia"/>
        </w:rPr>
      </w:pPr>
    </w:p>
    <w:p>
      <w:pPr>
        <w:spacing w:line="360" w:lineRule="auto"/>
        <w:jc w:val="center"/>
        <w:rPr>
          <w:rFonts w:hint="eastAsia" w:ascii="宋体" w:hAnsi="宋体"/>
          <w:b/>
          <w:color w:val="auto"/>
          <w:sz w:val="72"/>
        </w:rPr>
      </w:pPr>
      <w:r>
        <w:rPr>
          <w:rFonts w:hint="eastAsia" w:ascii="宋体" w:hAnsi="宋体"/>
          <w:b/>
          <w:color w:val="auto"/>
          <w:sz w:val="52"/>
          <w:szCs w:val="52"/>
        </w:rPr>
        <w:t>竞争性磋商文件</w:t>
      </w:r>
    </w:p>
    <w:p>
      <w:pPr>
        <w:overflowPunct w:val="0"/>
        <w:spacing w:line="500" w:lineRule="exact"/>
        <w:jc w:val="center"/>
        <w:rPr>
          <w:rFonts w:hint="eastAsia" w:ascii="宋体" w:hAnsi="宋体"/>
          <w:b/>
          <w:color w:val="auto"/>
          <w:sz w:val="32"/>
        </w:rPr>
      </w:pPr>
    </w:p>
    <w:p>
      <w:pPr>
        <w:overflowPunct w:val="0"/>
        <w:spacing w:line="500" w:lineRule="exact"/>
        <w:rPr>
          <w:rFonts w:hint="eastAsia" w:ascii="宋体" w:hAnsi="宋体"/>
          <w:color w:val="auto"/>
          <w:sz w:val="32"/>
        </w:rPr>
      </w:pPr>
    </w:p>
    <w:p>
      <w:pPr>
        <w:pStyle w:val="19"/>
        <w:rPr>
          <w:rFonts w:hint="eastAsia"/>
        </w:rPr>
      </w:pPr>
    </w:p>
    <w:p>
      <w:pPr>
        <w:overflowPunct w:val="0"/>
        <w:spacing w:line="500" w:lineRule="exact"/>
        <w:rPr>
          <w:rFonts w:hint="eastAsia" w:ascii="宋体" w:hAnsi="宋体"/>
          <w:color w:val="auto"/>
          <w:sz w:val="32"/>
        </w:rPr>
      </w:pPr>
    </w:p>
    <w:p>
      <w:pPr>
        <w:overflowPunct w:val="0"/>
        <w:spacing w:line="500" w:lineRule="exact"/>
        <w:rPr>
          <w:rFonts w:hint="eastAsia" w:ascii="宋体" w:hAnsi="宋体"/>
          <w:color w:val="auto"/>
          <w:sz w:val="32"/>
        </w:rPr>
      </w:pPr>
    </w:p>
    <w:p>
      <w:pPr>
        <w:pStyle w:val="9"/>
        <w:adjustRightInd w:val="0"/>
        <w:snapToGrid w:val="0"/>
        <w:spacing w:line="360" w:lineRule="auto"/>
        <w:ind w:firstLine="1042" w:firstLineChars="346"/>
        <w:rPr>
          <w:rFonts w:hint="eastAsia" w:hAnsi="宋体"/>
          <w:b/>
          <w:sz w:val="30"/>
        </w:rPr>
      </w:pPr>
      <w:r>
        <w:rPr>
          <w:rFonts w:hint="eastAsia" w:hAnsi="宋体"/>
          <w:b/>
          <w:sz w:val="30"/>
        </w:rPr>
        <w:t>采  购 单 位：塔城地区机关事务管理局</w:t>
      </w:r>
    </w:p>
    <w:p>
      <w:pPr>
        <w:pStyle w:val="9"/>
        <w:adjustRightInd w:val="0"/>
        <w:snapToGrid w:val="0"/>
        <w:spacing w:line="360" w:lineRule="auto"/>
        <w:ind w:firstLine="1042" w:firstLineChars="346"/>
        <w:rPr>
          <w:rFonts w:hint="eastAsia" w:hAnsi="宋体"/>
          <w:b/>
          <w:sz w:val="30"/>
        </w:rPr>
      </w:pPr>
      <w:r>
        <w:rPr>
          <w:rFonts w:hint="eastAsia" w:hAnsi="宋体"/>
          <w:b/>
          <w:sz w:val="30"/>
        </w:rPr>
        <w:t>招  标 编 号：TCZFCG-001</w:t>
      </w:r>
    </w:p>
    <w:p>
      <w:pPr>
        <w:pStyle w:val="9"/>
        <w:adjustRightInd w:val="0"/>
        <w:snapToGrid w:val="0"/>
        <w:spacing w:line="360" w:lineRule="auto"/>
        <w:ind w:firstLine="1042" w:firstLineChars="346"/>
        <w:rPr>
          <w:rFonts w:hint="eastAsia" w:hAnsi="宋体"/>
          <w:b/>
          <w:sz w:val="30"/>
          <w:szCs w:val="22"/>
          <w:lang w:eastAsia="zh-CN"/>
        </w:rPr>
      </w:pPr>
      <w:r>
        <w:rPr>
          <w:rFonts w:hint="eastAsia" w:ascii="宋体" w:hAnsi="宋体"/>
          <w:b/>
          <w:sz w:val="30"/>
          <w:szCs w:val="22"/>
        </w:rPr>
        <w:t>招  标 内 容：</w:t>
      </w:r>
      <w:r>
        <w:rPr>
          <w:rFonts w:hint="eastAsia" w:hAnsi="宋体"/>
          <w:b/>
          <w:sz w:val="30"/>
          <w:szCs w:val="22"/>
          <w:lang w:eastAsia="zh-CN"/>
        </w:rPr>
        <w:t>物业服务</w:t>
      </w:r>
    </w:p>
    <w:p>
      <w:pPr>
        <w:pStyle w:val="9"/>
        <w:adjustRightInd w:val="0"/>
        <w:snapToGrid w:val="0"/>
        <w:spacing w:line="360" w:lineRule="auto"/>
        <w:ind w:firstLine="1042" w:firstLineChars="346"/>
        <w:rPr>
          <w:rFonts w:hint="eastAsia" w:hAnsi="宋体"/>
          <w:b/>
          <w:sz w:val="30"/>
          <w:lang w:eastAsia="zh-CN"/>
        </w:rPr>
      </w:pPr>
      <w:r>
        <w:rPr>
          <w:rFonts w:hint="eastAsia" w:hAnsi="宋体"/>
          <w:b/>
          <w:sz w:val="30"/>
        </w:rPr>
        <w:t>招标代理机构:</w:t>
      </w:r>
      <w:r>
        <w:rPr>
          <w:rFonts w:hint="eastAsia"/>
          <w:b/>
          <w:sz w:val="30"/>
        </w:rPr>
        <w:t xml:space="preserve"> </w:t>
      </w:r>
      <w:r>
        <w:rPr>
          <w:rFonts w:hint="eastAsia" w:hAnsi="宋体"/>
          <w:b/>
          <w:sz w:val="30"/>
          <w:lang w:eastAsia="zh-CN"/>
        </w:rPr>
        <w:t>塔城地区政府集中采购中心</w:t>
      </w:r>
    </w:p>
    <w:p>
      <w:pPr>
        <w:pStyle w:val="9"/>
        <w:adjustRightInd w:val="0"/>
        <w:snapToGrid w:val="0"/>
        <w:spacing w:line="360" w:lineRule="auto"/>
        <w:ind w:firstLine="1042" w:firstLineChars="346"/>
        <w:rPr>
          <w:rFonts w:hint="eastAsia" w:hAnsi="宋体"/>
          <w:b/>
          <w:sz w:val="30"/>
        </w:rPr>
      </w:pPr>
      <w:r>
        <w:rPr>
          <w:rFonts w:hint="eastAsia" w:hAnsi="宋体"/>
          <w:b/>
          <w:sz w:val="30"/>
        </w:rPr>
        <w:t>编  制 日 期：202</w:t>
      </w:r>
      <w:r>
        <w:rPr>
          <w:rFonts w:hint="eastAsia" w:hAnsi="宋体"/>
          <w:b/>
          <w:sz w:val="30"/>
          <w:lang w:val="en-US" w:eastAsia="zh-CN"/>
        </w:rPr>
        <w:t>2</w:t>
      </w:r>
      <w:r>
        <w:rPr>
          <w:rFonts w:hint="eastAsia" w:hAnsi="宋体"/>
          <w:b/>
          <w:sz w:val="30"/>
        </w:rPr>
        <w:t>年</w:t>
      </w:r>
      <w:r>
        <w:rPr>
          <w:rFonts w:hint="eastAsia" w:hAnsi="宋体"/>
          <w:b/>
          <w:sz w:val="30"/>
          <w:lang w:val="en-US" w:eastAsia="zh-CN"/>
        </w:rPr>
        <w:t>5</w:t>
      </w:r>
      <w:r>
        <w:rPr>
          <w:rFonts w:hint="eastAsia" w:hAnsi="宋体"/>
          <w:b/>
          <w:sz w:val="30"/>
        </w:rPr>
        <w:t>月</w:t>
      </w:r>
      <w:r>
        <w:rPr>
          <w:rFonts w:hint="eastAsia" w:hAnsi="宋体"/>
          <w:b/>
          <w:sz w:val="30"/>
          <w:lang w:val="en-US" w:eastAsia="zh-CN"/>
        </w:rPr>
        <w:t>16</w:t>
      </w:r>
      <w:r>
        <w:rPr>
          <w:rFonts w:hint="eastAsia" w:hAnsi="宋体"/>
          <w:b/>
          <w:sz w:val="30"/>
        </w:rPr>
        <w:t>日</w:t>
      </w:r>
    </w:p>
    <w:p>
      <w:pPr>
        <w:pStyle w:val="20"/>
        <w:rPr>
          <w:rFonts w:hint="eastAsia" w:ascii="宋体" w:hAnsi="宋体" w:eastAsia="宋体"/>
          <w:color w:val="auto"/>
          <w:spacing w:val="40"/>
          <w:sz w:val="32"/>
        </w:rPr>
      </w:pPr>
    </w:p>
    <w:p>
      <w:pPr>
        <w:pStyle w:val="20"/>
        <w:rPr>
          <w:rFonts w:hint="eastAsia" w:ascii="宋体" w:hAnsi="宋体" w:eastAsia="宋体"/>
          <w:color w:val="auto"/>
          <w:spacing w:val="40"/>
          <w:sz w:val="32"/>
        </w:rPr>
      </w:pPr>
    </w:p>
    <w:p>
      <w:pPr>
        <w:spacing w:before="0" w:beforeLines="0" w:after="0" w:afterLines="0" w:line="240" w:lineRule="auto"/>
        <w:ind w:left="0" w:leftChars="0" w:right="0" w:rightChars="0" w:firstLine="0" w:firstLineChars="0"/>
        <w:jc w:val="both"/>
        <w:rPr>
          <w:rFonts w:ascii="宋体" w:hAnsi="宋体" w:eastAsia="宋体"/>
          <w:sz w:val="48"/>
          <w:szCs w:val="44"/>
        </w:rPr>
      </w:pPr>
    </w:p>
    <w:p>
      <w:pPr>
        <w:pStyle w:val="6"/>
      </w:pPr>
    </w:p>
    <w:p>
      <w:pPr>
        <w:spacing w:before="0" w:beforeLines="0" w:after="0" w:afterLines="0" w:line="240" w:lineRule="auto"/>
        <w:ind w:left="0" w:leftChars="0" w:right="0" w:rightChars="0" w:firstLine="0" w:firstLineChars="0"/>
        <w:jc w:val="center"/>
        <w:rPr>
          <w:rFonts w:ascii="宋体" w:hAnsi="宋体" w:eastAsia="宋体"/>
          <w:sz w:val="48"/>
          <w:szCs w:val="44"/>
        </w:rPr>
      </w:pPr>
    </w:p>
    <w:p>
      <w:pPr>
        <w:spacing w:before="0" w:beforeLines="0" w:after="0" w:afterLines="0" w:line="240" w:lineRule="auto"/>
        <w:ind w:left="0" w:leftChars="0" w:right="0" w:rightChars="0" w:firstLine="0" w:firstLineChars="0"/>
        <w:jc w:val="center"/>
        <w:rPr>
          <w:sz w:val="48"/>
          <w:szCs w:val="44"/>
        </w:rPr>
      </w:pPr>
      <w:r>
        <w:rPr>
          <w:rFonts w:ascii="宋体" w:hAnsi="宋体" w:eastAsia="宋体"/>
          <w:sz w:val="48"/>
          <w:szCs w:val="44"/>
        </w:rPr>
        <w:t>目</w:t>
      </w:r>
      <w:r>
        <w:rPr>
          <w:rFonts w:hint="eastAsia" w:ascii="宋体" w:hAnsi="宋体" w:eastAsia="宋体"/>
          <w:sz w:val="48"/>
          <w:szCs w:val="44"/>
          <w:lang w:val="en-US" w:eastAsia="zh-CN"/>
        </w:rPr>
        <w:t xml:space="preserve">   </w:t>
      </w:r>
      <w:r>
        <w:rPr>
          <w:rFonts w:ascii="宋体" w:hAnsi="宋体" w:eastAsia="宋体"/>
          <w:sz w:val="48"/>
          <w:szCs w:val="44"/>
        </w:rPr>
        <w:t>录</w:t>
      </w:r>
    </w:p>
    <w:p>
      <w:pPr>
        <w:pStyle w:val="21"/>
        <w:tabs>
          <w:tab w:val="right" w:leader="dot" w:pos="9070"/>
        </w:tabs>
        <w:spacing w:line="360" w:lineRule="auto"/>
        <w:rPr>
          <w:sz w:val="22"/>
          <w:szCs w:val="22"/>
        </w:rPr>
      </w:pPr>
      <w:r>
        <w:rPr>
          <w:rFonts w:hint="eastAsia" w:ascii="宋体" w:hAnsi="宋体" w:eastAsia="宋体"/>
          <w:color w:val="auto"/>
          <w:spacing w:val="40"/>
          <w:sz w:val="40"/>
          <w:szCs w:val="22"/>
        </w:rPr>
        <w:fldChar w:fldCharType="begin"/>
      </w:r>
      <w:r>
        <w:rPr>
          <w:rFonts w:hint="eastAsia" w:ascii="宋体" w:hAnsi="宋体" w:eastAsia="宋体"/>
          <w:color w:val="auto"/>
          <w:spacing w:val="40"/>
          <w:sz w:val="40"/>
          <w:szCs w:val="22"/>
        </w:rPr>
        <w:instrText xml:space="preserve">TOC \o "1-2" \h \u </w:instrText>
      </w:r>
      <w:r>
        <w:rPr>
          <w:rFonts w:hint="eastAsia" w:ascii="宋体" w:hAnsi="宋体" w:eastAsia="宋体"/>
          <w:color w:val="auto"/>
          <w:spacing w:val="40"/>
          <w:sz w:val="40"/>
          <w:szCs w:val="22"/>
        </w:rPr>
        <w:fldChar w:fldCharType="separate"/>
      </w:r>
      <w:r>
        <w:rPr>
          <w:rFonts w:hint="eastAsia" w:ascii="宋体" w:hAnsi="宋体" w:eastAsia="宋体"/>
          <w:b/>
          <w:color w:val="auto"/>
          <w:spacing w:val="40"/>
          <w:sz w:val="22"/>
          <w:szCs w:val="22"/>
        </w:rPr>
        <w:fldChar w:fldCharType="begin"/>
      </w:r>
      <w:r>
        <w:rPr>
          <w:rFonts w:hint="eastAsia" w:ascii="宋体" w:hAnsi="宋体" w:eastAsia="宋体"/>
          <w:b/>
          <w:spacing w:val="40"/>
          <w:sz w:val="22"/>
          <w:szCs w:val="22"/>
        </w:rPr>
        <w:instrText xml:space="preserve"> HYPERLINK \l _Toc17558 </w:instrText>
      </w:r>
      <w:r>
        <w:rPr>
          <w:rFonts w:hint="eastAsia" w:ascii="宋体" w:hAnsi="宋体" w:eastAsia="宋体"/>
          <w:b/>
          <w:spacing w:val="40"/>
          <w:sz w:val="22"/>
          <w:szCs w:val="22"/>
        </w:rPr>
        <w:fldChar w:fldCharType="separate"/>
      </w:r>
      <w:r>
        <w:rPr>
          <w:rFonts w:hint="default" w:ascii="宋体" w:hAnsi="宋体"/>
          <w:b/>
          <w:sz w:val="22"/>
          <w:szCs w:val="22"/>
        </w:rPr>
        <w:t xml:space="preserve">第一章 </w:t>
      </w:r>
      <w:r>
        <w:rPr>
          <w:rFonts w:hint="eastAsia" w:ascii="宋体" w:hAnsi="宋体"/>
          <w:b/>
          <w:sz w:val="22"/>
          <w:szCs w:val="22"/>
        </w:rPr>
        <w:t>竞争性磋商采购公告</w:t>
      </w:r>
      <w:r>
        <w:rPr>
          <w:b/>
          <w:sz w:val="22"/>
          <w:szCs w:val="22"/>
        </w:rPr>
        <w:tab/>
      </w:r>
      <w:r>
        <w:rPr>
          <w:b/>
          <w:sz w:val="22"/>
          <w:szCs w:val="22"/>
        </w:rPr>
        <w:fldChar w:fldCharType="begin"/>
      </w:r>
      <w:r>
        <w:rPr>
          <w:b/>
          <w:sz w:val="22"/>
          <w:szCs w:val="22"/>
        </w:rPr>
        <w:instrText xml:space="preserve"> PAGEREF _Toc17558 \h </w:instrText>
      </w:r>
      <w:r>
        <w:rPr>
          <w:b/>
          <w:sz w:val="22"/>
          <w:szCs w:val="22"/>
        </w:rPr>
        <w:fldChar w:fldCharType="separate"/>
      </w:r>
      <w:r>
        <w:rPr>
          <w:b/>
          <w:sz w:val="22"/>
          <w:szCs w:val="22"/>
        </w:rPr>
        <w:t>1</w:t>
      </w:r>
      <w:r>
        <w:rPr>
          <w:b/>
          <w:sz w:val="22"/>
          <w:szCs w:val="22"/>
        </w:rPr>
        <w:fldChar w:fldCharType="end"/>
      </w:r>
      <w:r>
        <w:rPr>
          <w:rFonts w:hint="eastAsia" w:ascii="宋体" w:hAnsi="宋体" w:eastAsia="宋体"/>
          <w:b/>
          <w:color w:val="auto"/>
          <w:spacing w:val="40"/>
          <w:sz w:val="22"/>
          <w:szCs w:val="22"/>
        </w:rPr>
        <w:fldChar w:fldCharType="end"/>
      </w:r>
    </w:p>
    <w:p>
      <w:pPr>
        <w:pStyle w:val="21"/>
        <w:tabs>
          <w:tab w:val="right" w:leader="dot" w:pos="9070"/>
        </w:tabs>
        <w:spacing w:line="360" w:lineRule="auto"/>
        <w:rPr>
          <w:b/>
          <w:sz w:val="22"/>
          <w:szCs w:val="22"/>
        </w:rPr>
      </w:pPr>
      <w:r>
        <w:rPr>
          <w:rFonts w:hint="eastAsia" w:ascii="宋体" w:hAnsi="宋体" w:eastAsia="宋体"/>
          <w:b/>
          <w:color w:val="auto"/>
          <w:spacing w:val="40"/>
          <w:sz w:val="22"/>
          <w:szCs w:val="22"/>
        </w:rPr>
        <w:fldChar w:fldCharType="begin"/>
      </w:r>
      <w:r>
        <w:rPr>
          <w:rFonts w:hint="eastAsia" w:ascii="宋体" w:hAnsi="宋体" w:eastAsia="宋体"/>
          <w:b/>
          <w:spacing w:val="40"/>
          <w:sz w:val="22"/>
          <w:szCs w:val="22"/>
        </w:rPr>
        <w:instrText xml:space="preserve"> HYPERLINK \l _Toc19089 </w:instrText>
      </w:r>
      <w:r>
        <w:rPr>
          <w:rFonts w:hint="eastAsia" w:ascii="宋体" w:hAnsi="宋体" w:eastAsia="宋体"/>
          <w:b/>
          <w:spacing w:val="40"/>
          <w:sz w:val="22"/>
          <w:szCs w:val="22"/>
        </w:rPr>
        <w:fldChar w:fldCharType="separate"/>
      </w:r>
      <w:r>
        <w:rPr>
          <w:rFonts w:hint="eastAsia" w:ascii="宋体" w:hAnsi="宋体"/>
          <w:b/>
          <w:sz w:val="22"/>
          <w:szCs w:val="22"/>
        </w:rPr>
        <w:t>第二章 供应商须知</w:t>
      </w:r>
      <w:r>
        <w:rPr>
          <w:b/>
          <w:sz w:val="22"/>
          <w:szCs w:val="22"/>
        </w:rPr>
        <w:tab/>
      </w:r>
      <w:r>
        <w:rPr>
          <w:b/>
          <w:sz w:val="22"/>
          <w:szCs w:val="22"/>
        </w:rPr>
        <w:fldChar w:fldCharType="begin"/>
      </w:r>
      <w:r>
        <w:rPr>
          <w:b/>
          <w:sz w:val="22"/>
          <w:szCs w:val="22"/>
        </w:rPr>
        <w:instrText xml:space="preserve"> PAGEREF _Toc19089 \h </w:instrText>
      </w:r>
      <w:r>
        <w:rPr>
          <w:b/>
          <w:sz w:val="22"/>
          <w:szCs w:val="22"/>
        </w:rPr>
        <w:fldChar w:fldCharType="separate"/>
      </w:r>
      <w:r>
        <w:rPr>
          <w:b/>
          <w:sz w:val="22"/>
          <w:szCs w:val="22"/>
        </w:rPr>
        <w:t>4</w:t>
      </w:r>
      <w:r>
        <w:rPr>
          <w:b/>
          <w:sz w:val="22"/>
          <w:szCs w:val="22"/>
        </w:rPr>
        <w:fldChar w:fldCharType="end"/>
      </w:r>
      <w:r>
        <w:rPr>
          <w:rFonts w:hint="eastAsia" w:ascii="宋体" w:hAnsi="宋体" w:eastAsia="宋体"/>
          <w:b/>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_Toc9370 </w:instrText>
      </w:r>
      <w:r>
        <w:rPr>
          <w:rFonts w:hint="eastAsia" w:ascii="宋体" w:hAnsi="宋体" w:eastAsia="宋体"/>
          <w:spacing w:val="40"/>
          <w:sz w:val="22"/>
          <w:szCs w:val="22"/>
        </w:rPr>
        <w:fldChar w:fldCharType="separate"/>
      </w:r>
      <w:r>
        <w:rPr>
          <w:rFonts w:hint="eastAsia" w:ascii="宋体" w:hAnsi="宋体"/>
          <w:sz w:val="22"/>
          <w:szCs w:val="22"/>
        </w:rPr>
        <w:t>前附表</w:t>
      </w:r>
      <w:r>
        <w:rPr>
          <w:sz w:val="22"/>
          <w:szCs w:val="22"/>
        </w:rPr>
        <w:tab/>
      </w:r>
      <w:r>
        <w:rPr>
          <w:sz w:val="22"/>
          <w:szCs w:val="22"/>
        </w:rPr>
        <w:fldChar w:fldCharType="begin"/>
      </w:r>
      <w:r>
        <w:rPr>
          <w:sz w:val="22"/>
          <w:szCs w:val="22"/>
        </w:rPr>
        <w:instrText xml:space="preserve"> PAGEREF _Toc9370 \h </w:instrText>
      </w:r>
      <w:r>
        <w:rPr>
          <w:sz w:val="22"/>
          <w:szCs w:val="22"/>
        </w:rPr>
        <w:fldChar w:fldCharType="separate"/>
      </w:r>
      <w:r>
        <w:rPr>
          <w:sz w:val="22"/>
          <w:szCs w:val="22"/>
        </w:rPr>
        <w:t>4</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_Toc7445 </w:instrText>
      </w:r>
      <w:r>
        <w:rPr>
          <w:rFonts w:hint="eastAsia" w:ascii="宋体" w:hAnsi="宋体" w:eastAsia="宋体"/>
          <w:spacing w:val="40"/>
          <w:sz w:val="22"/>
          <w:szCs w:val="22"/>
        </w:rPr>
        <w:fldChar w:fldCharType="separate"/>
      </w:r>
      <w:r>
        <w:rPr>
          <w:rFonts w:hint="eastAsia" w:ascii="宋体" w:hAnsi="宋体"/>
          <w:sz w:val="22"/>
          <w:szCs w:val="22"/>
        </w:rPr>
        <w:t>A</w:t>
      </w:r>
      <w:r>
        <w:rPr>
          <w:rFonts w:hint="eastAsia" w:ascii="宋体" w:hAnsi="宋体"/>
          <w:sz w:val="22"/>
          <w:szCs w:val="22"/>
          <w:lang w:val="en-US" w:eastAsia="zh-CN"/>
        </w:rPr>
        <w:t xml:space="preserve">   </w:t>
      </w:r>
      <w:r>
        <w:rPr>
          <w:rFonts w:hint="eastAsia" w:ascii="宋体" w:hAnsi="宋体"/>
          <w:sz w:val="22"/>
          <w:szCs w:val="22"/>
        </w:rPr>
        <w:t>说明</w:t>
      </w:r>
      <w:r>
        <w:rPr>
          <w:sz w:val="22"/>
          <w:szCs w:val="22"/>
        </w:rPr>
        <w:tab/>
      </w:r>
      <w:r>
        <w:rPr>
          <w:sz w:val="22"/>
          <w:szCs w:val="22"/>
        </w:rPr>
        <w:fldChar w:fldCharType="begin"/>
      </w:r>
      <w:r>
        <w:rPr>
          <w:sz w:val="22"/>
          <w:szCs w:val="22"/>
        </w:rPr>
        <w:instrText xml:space="preserve"> PAGEREF _Toc7445 \h </w:instrText>
      </w:r>
      <w:r>
        <w:rPr>
          <w:sz w:val="22"/>
          <w:szCs w:val="22"/>
        </w:rPr>
        <w:fldChar w:fldCharType="separate"/>
      </w:r>
      <w:r>
        <w:rPr>
          <w:sz w:val="22"/>
          <w:szCs w:val="22"/>
        </w:rPr>
        <w:t>7</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_Toc8983 </w:instrText>
      </w:r>
      <w:r>
        <w:rPr>
          <w:rFonts w:hint="eastAsia" w:ascii="宋体" w:hAnsi="宋体" w:eastAsia="宋体"/>
          <w:spacing w:val="40"/>
          <w:sz w:val="22"/>
          <w:szCs w:val="22"/>
        </w:rPr>
        <w:fldChar w:fldCharType="separate"/>
      </w:r>
      <w:r>
        <w:rPr>
          <w:rFonts w:hint="eastAsia" w:hAnsi="宋体"/>
          <w:sz w:val="22"/>
          <w:szCs w:val="22"/>
        </w:rPr>
        <w:t>B   磋商文件</w:t>
      </w:r>
      <w:r>
        <w:rPr>
          <w:sz w:val="22"/>
          <w:szCs w:val="22"/>
        </w:rPr>
        <w:tab/>
      </w:r>
      <w:r>
        <w:rPr>
          <w:sz w:val="22"/>
          <w:szCs w:val="22"/>
        </w:rPr>
        <w:fldChar w:fldCharType="begin"/>
      </w:r>
      <w:r>
        <w:rPr>
          <w:sz w:val="22"/>
          <w:szCs w:val="22"/>
        </w:rPr>
        <w:instrText xml:space="preserve"> PAGEREF _Toc8983 \h </w:instrText>
      </w:r>
      <w:r>
        <w:rPr>
          <w:sz w:val="22"/>
          <w:szCs w:val="22"/>
        </w:rPr>
        <w:fldChar w:fldCharType="separate"/>
      </w:r>
      <w:r>
        <w:rPr>
          <w:sz w:val="22"/>
          <w:szCs w:val="22"/>
        </w:rPr>
        <w:t>9</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_Toc7363 </w:instrText>
      </w:r>
      <w:r>
        <w:rPr>
          <w:rFonts w:hint="eastAsia" w:ascii="宋体" w:hAnsi="宋体" w:eastAsia="宋体"/>
          <w:spacing w:val="40"/>
          <w:sz w:val="22"/>
          <w:szCs w:val="22"/>
        </w:rPr>
        <w:fldChar w:fldCharType="separate"/>
      </w:r>
      <w:r>
        <w:rPr>
          <w:rFonts w:hint="eastAsia" w:hAnsi="宋体"/>
          <w:sz w:val="22"/>
          <w:szCs w:val="22"/>
        </w:rPr>
        <w:t>C   响应文件的编写</w:t>
      </w:r>
      <w:r>
        <w:rPr>
          <w:sz w:val="22"/>
          <w:szCs w:val="22"/>
        </w:rPr>
        <w:tab/>
      </w:r>
      <w:r>
        <w:rPr>
          <w:sz w:val="22"/>
          <w:szCs w:val="22"/>
        </w:rPr>
        <w:fldChar w:fldCharType="begin"/>
      </w:r>
      <w:r>
        <w:rPr>
          <w:sz w:val="22"/>
          <w:szCs w:val="22"/>
        </w:rPr>
        <w:instrText xml:space="preserve"> PAGEREF _Toc7363 \h </w:instrText>
      </w:r>
      <w:r>
        <w:rPr>
          <w:sz w:val="22"/>
          <w:szCs w:val="22"/>
        </w:rPr>
        <w:fldChar w:fldCharType="separate"/>
      </w:r>
      <w:r>
        <w:rPr>
          <w:sz w:val="22"/>
          <w:szCs w:val="22"/>
        </w:rPr>
        <w:t>10</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_Toc20338 </w:instrText>
      </w:r>
      <w:r>
        <w:rPr>
          <w:rFonts w:hint="eastAsia" w:ascii="宋体" w:hAnsi="宋体" w:eastAsia="宋体"/>
          <w:spacing w:val="40"/>
          <w:sz w:val="22"/>
          <w:szCs w:val="22"/>
        </w:rPr>
        <w:fldChar w:fldCharType="separate"/>
      </w:r>
      <w:r>
        <w:rPr>
          <w:rFonts w:hint="eastAsia" w:hAnsi="宋体"/>
          <w:sz w:val="22"/>
          <w:szCs w:val="22"/>
        </w:rPr>
        <w:t>D  响应文件的递交、修改和撤回</w:t>
      </w:r>
      <w:r>
        <w:rPr>
          <w:sz w:val="22"/>
          <w:szCs w:val="22"/>
        </w:rPr>
        <w:tab/>
      </w:r>
      <w:r>
        <w:rPr>
          <w:sz w:val="22"/>
          <w:szCs w:val="22"/>
        </w:rPr>
        <w:fldChar w:fldCharType="begin"/>
      </w:r>
      <w:r>
        <w:rPr>
          <w:sz w:val="22"/>
          <w:szCs w:val="22"/>
        </w:rPr>
        <w:instrText xml:space="preserve"> PAGEREF _Toc20338 \h </w:instrText>
      </w:r>
      <w:r>
        <w:rPr>
          <w:sz w:val="22"/>
          <w:szCs w:val="22"/>
        </w:rPr>
        <w:fldChar w:fldCharType="separate"/>
      </w:r>
      <w:r>
        <w:rPr>
          <w:sz w:val="22"/>
          <w:szCs w:val="22"/>
        </w:rPr>
        <w:t>15</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_Toc4134 </w:instrText>
      </w:r>
      <w:r>
        <w:rPr>
          <w:rFonts w:hint="eastAsia" w:ascii="宋体" w:hAnsi="宋体" w:eastAsia="宋体"/>
          <w:spacing w:val="40"/>
          <w:sz w:val="22"/>
          <w:szCs w:val="22"/>
        </w:rPr>
        <w:fldChar w:fldCharType="separate"/>
      </w:r>
      <w:r>
        <w:rPr>
          <w:rFonts w:hint="eastAsia" w:ascii="宋体" w:hAnsi="宋体"/>
          <w:sz w:val="22"/>
          <w:szCs w:val="22"/>
        </w:rPr>
        <w:t>E  磋商、评审、确定</w:t>
      </w:r>
      <w:r>
        <w:rPr>
          <w:rFonts w:hint="eastAsia" w:ascii="宋体" w:hAnsi="宋体"/>
          <w:sz w:val="22"/>
          <w:szCs w:val="22"/>
          <w:lang w:val="en-US" w:eastAsia="zh-CN"/>
        </w:rPr>
        <w:t>成交</w:t>
      </w:r>
      <w:r>
        <w:rPr>
          <w:rFonts w:hint="eastAsia" w:ascii="宋体" w:hAnsi="宋体"/>
          <w:sz w:val="22"/>
          <w:szCs w:val="22"/>
        </w:rPr>
        <w:t>供应商</w:t>
      </w:r>
      <w:r>
        <w:rPr>
          <w:sz w:val="22"/>
          <w:szCs w:val="22"/>
        </w:rPr>
        <w:tab/>
      </w:r>
      <w:r>
        <w:rPr>
          <w:sz w:val="22"/>
          <w:szCs w:val="22"/>
        </w:rPr>
        <w:fldChar w:fldCharType="begin"/>
      </w:r>
      <w:r>
        <w:rPr>
          <w:sz w:val="22"/>
          <w:szCs w:val="22"/>
        </w:rPr>
        <w:instrText xml:space="preserve"> PAGEREF _Toc4134 \h </w:instrText>
      </w:r>
      <w:r>
        <w:rPr>
          <w:sz w:val="22"/>
          <w:szCs w:val="22"/>
        </w:rPr>
        <w:fldChar w:fldCharType="separate"/>
      </w:r>
      <w:r>
        <w:rPr>
          <w:sz w:val="22"/>
          <w:szCs w:val="22"/>
        </w:rPr>
        <w:t>16</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_Toc20281 </w:instrText>
      </w:r>
      <w:r>
        <w:rPr>
          <w:rFonts w:hint="eastAsia" w:ascii="宋体" w:hAnsi="宋体" w:eastAsia="宋体"/>
          <w:spacing w:val="40"/>
          <w:sz w:val="22"/>
          <w:szCs w:val="22"/>
        </w:rPr>
        <w:fldChar w:fldCharType="separate"/>
      </w:r>
      <w:r>
        <w:rPr>
          <w:rFonts w:hint="eastAsia" w:hAnsi="宋体"/>
          <w:sz w:val="22"/>
          <w:szCs w:val="22"/>
        </w:rPr>
        <w:t>F   授予合同</w:t>
      </w:r>
      <w:r>
        <w:rPr>
          <w:sz w:val="22"/>
          <w:szCs w:val="22"/>
        </w:rPr>
        <w:tab/>
      </w:r>
      <w:r>
        <w:rPr>
          <w:sz w:val="22"/>
          <w:szCs w:val="22"/>
        </w:rPr>
        <w:fldChar w:fldCharType="begin"/>
      </w:r>
      <w:r>
        <w:rPr>
          <w:sz w:val="22"/>
          <w:szCs w:val="22"/>
        </w:rPr>
        <w:instrText xml:space="preserve"> PAGEREF _Toc20281 \h </w:instrText>
      </w:r>
      <w:r>
        <w:rPr>
          <w:sz w:val="22"/>
          <w:szCs w:val="22"/>
        </w:rPr>
        <w:fldChar w:fldCharType="separate"/>
      </w:r>
      <w:r>
        <w:rPr>
          <w:sz w:val="22"/>
          <w:szCs w:val="22"/>
        </w:rPr>
        <w:t>21</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_Toc3297 </w:instrText>
      </w:r>
      <w:r>
        <w:rPr>
          <w:rFonts w:hint="eastAsia" w:ascii="宋体" w:hAnsi="宋体" w:eastAsia="宋体"/>
          <w:spacing w:val="40"/>
          <w:sz w:val="22"/>
          <w:szCs w:val="22"/>
        </w:rPr>
        <w:fldChar w:fldCharType="separate"/>
      </w:r>
      <w:r>
        <w:rPr>
          <w:rFonts w:hint="eastAsia" w:ascii="宋体" w:hAnsi="宋体"/>
          <w:kern w:val="0"/>
          <w:sz w:val="22"/>
          <w:szCs w:val="22"/>
        </w:rPr>
        <w:t>G  询问、质疑、投诉</w:t>
      </w:r>
      <w:r>
        <w:rPr>
          <w:sz w:val="22"/>
          <w:szCs w:val="22"/>
        </w:rPr>
        <w:tab/>
      </w:r>
      <w:r>
        <w:rPr>
          <w:sz w:val="22"/>
          <w:szCs w:val="22"/>
        </w:rPr>
        <w:fldChar w:fldCharType="begin"/>
      </w:r>
      <w:r>
        <w:rPr>
          <w:sz w:val="22"/>
          <w:szCs w:val="22"/>
        </w:rPr>
        <w:instrText xml:space="preserve"> PAGEREF _Toc3297 \h </w:instrText>
      </w:r>
      <w:r>
        <w:rPr>
          <w:sz w:val="22"/>
          <w:szCs w:val="22"/>
        </w:rPr>
        <w:fldChar w:fldCharType="separate"/>
      </w:r>
      <w:r>
        <w:rPr>
          <w:sz w:val="22"/>
          <w:szCs w:val="22"/>
        </w:rPr>
        <w:t>22</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_Toc31058 </w:instrText>
      </w:r>
      <w:r>
        <w:rPr>
          <w:rFonts w:hint="eastAsia" w:ascii="宋体" w:hAnsi="宋体" w:eastAsia="宋体"/>
          <w:spacing w:val="40"/>
          <w:sz w:val="22"/>
          <w:szCs w:val="22"/>
        </w:rPr>
        <w:fldChar w:fldCharType="separate"/>
      </w:r>
      <w:r>
        <w:rPr>
          <w:rFonts w:hint="eastAsia" w:ascii="宋体" w:hAnsi="宋体"/>
          <w:kern w:val="0"/>
          <w:sz w:val="22"/>
          <w:szCs w:val="22"/>
        </w:rPr>
        <w:t>H   义务、工作纪律</w:t>
      </w:r>
      <w:r>
        <w:rPr>
          <w:sz w:val="22"/>
          <w:szCs w:val="22"/>
        </w:rPr>
        <w:tab/>
      </w:r>
      <w:r>
        <w:rPr>
          <w:sz w:val="22"/>
          <w:szCs w:val="22"/>
        </w:rPr>
        <w:fldChar w:fldCharType="begin"/>
      </w:r>
      <w:r>
        <w:rPr>
          <w:sz w:val="22"/>
          <w:szCs w:val="22"/>
        </w:rPr>
        <w:instrText xml:space="preserve"> PAGEREF _Toc31058 \h </w:instrText>
      </w:r>
      <w:r>
        <w:rPr>
          <w:sz w:val="22"/>
          <w:szCs w:val="22"/>
        </w:rPr>
        <w:fldChar w:fldCharType="separate"/>
      </w:r>
      <w:r>
        <w:rPr>
          <w:sz w:val="22"/>
          <w:szCs w:val="22"/>
        </w:rPr>
        <w:t>23</w:t>
      </w:r>
      <w:r>
        <w:rPr>
          <w:sz w:val="22"/>
          <w:szCs w:val="22"/>
        </w:rPr>
        <w:fldChar w:fldCharType="end"/>
      </w:r>
      <w:r>
        <w:rPr>
          <w:rFonts w:hint="eastAsia" w:ascii="宋体" w:hAnsi="宋体" w:eastAsia="宋体"/>
          <w:color w:val="auto"/>
          <w:spacing w:val="40"/>
          <w:sz w:val="22"/>
          <w:szCs w:val="22"/>
        </w:rPr>
        <w:fldChar w:fldCharType="end"/>
      </w:r>
    </w:p>
    <w:p>
      <w:pPr>
        <w:pStyle w:val="21"/>
        <w:tabs>
          <w:tab w:val="right" w:leader="dot" w:pos="9070"/>
        </w:tabs>
        <w:spacing w:line="360" w:lineRule="auto"/>
        <w:rPr>
          <w:sz w:val="22"/>
          <w:szCs w:val="22"/>
        </w:rPr>
      </w:pPr>
      <w:r>
        <w:rPr>
          <w:rFonts w:hint="eastAsia" w:ascii="宋体" w:hAnsi="宋体" w:eastAsia="宋体"/>
          <w:b/>
          <w:color w:val="auto"/>
          <w:spacing w:val="40"/>
          <w:sz w:val="22"/>
          <w:szCs w:val="22"/>
        </w:rPr>
        <w:fldChar w:fldCharType="begin"/>
      </w:r>
      <w:r>
        <w:rPr>
          <w:rFonts w:hint="eastAsia" w:ascii="宋体" w:hAnsi="宋体" w:eastAsia="宋体"/>
          <w:b/>
          <w:spacing w:val="40"/>
          <w:sz w:val="22"/>
          <w:szCs w:val="22"/>
        </w:rPr>
        <w:instrText xml:space="preserve"> HYPERLINK \l _Toc28350 </w:instrText>
      </w:r>
      <w:r>
        <w:rPr>
          <w:rFonts w:hint="eastAsia" w:ascii="宋体" w:hAnsi="宋体" w:eastAsia="宋体"/>
          <w:b/>
          <w:spacing w:val="40"/>
          <w:sz w:val="22"/>
          <w:szCs w:val="22"/>
        </w:rPr>
        <w:fldChar w:fldCharType="separate"/>
      </w:r>
      <w:r>
        <w:rPr>
          <w:rFonts w:hint="eastAsia" w:hAnsi="宋体"/>
          <w:b/>
          <w:sz w:val="22"/>
          <w:szCs w:val="22"/>
        </w:rPr>
        <w:t>第三章  项目采购需求及合同条款</w:t>
      </w:r>
      <w:r>
        <w:rPr>
          <w:b/>
          <w:sz w:val="22"/>
          <w:szCs w:val="22"/>
        </w:rPr>
        <w:tab/>
      </w:r>
      <w:r>
        <w:rPr>
          <w:b/>
          <w:sz w:val="22"/>
          <w:szCs w:val="22"/>
        </w:rPr>
        <w:fldChar w:fldCharType="begin"/>
      </w:r>
      <w:r>
        <w:rPr>
          <w:b/>
          <w:sz w:val="22"/>
          <w:szCs w:val="22"/>
        </w:rPr>
        <w:instrText xml:space="preserve"> PAGEREF _Toc28350 \h </w:instrText>
      </w:r>
      <w:r>
        <w:rPr>
          <w:b/>
          <w:sz w:val="22"/>
          <w:szCs w:val="22"/>
        </w:rPr>
        <w:fldChar w:fldCharType="separate"/>
      </w:r>
      <w:r>
        <w:rPr>
          <w:b/>
          <w:sz w:val="22"/>
          <w:szCs w:val="22"/>
        </w:rPr>
        <w:t>25</w:t>
      </w:r>
      <w:r>
        <w:rPr>
          <w:b/>
          <w:sz w:val="22"/>
          <w:szCs w:val="22"/>
        </w:rPr>
        <w:fldChar w:fldCharType="end"/>
      </w:r>
      <w:r>
        <w:rPr>
          <w:rFonts w:hint="eastAsia" w:ascii="宋体" w:hAnsi="宋体" w:eastAsia="宋体"/>
          <w:b/>
          <w:color w:val="auto"/>
          <w:spacing w:val="40"/>
          <w:sz w:val="22"/>
          <w:szCs w:val="22"/>
        </w:rPr>
        <w:fldChar w:fldCharType="end"/>
      </w:r>
    </w:p>
    <w:p>
      <w:pPr>
        <w:pStyle w:val="21"/>
        <w:tabs>
          <w:tab w:val="right" w:leader="dot" w:pos="9070"/>
        </w:tabs>
        <w:spacing w:line="360" w:lineRule="auto"/>
        <w:rPr>
          <w:b/>
          <w:sz w:val="22"/>
          <w:szCs w:val="22"/>
        </w:rPr>
      </w:pPr>
      <w:r>
        <w:rPr>
          <w:rFonts w:hint="eastAsia" w:ascii="宋体" w:hAnsi="宋体" w:eastAsia="宋体"/>
          <w:b/>
          <w:color w:val="auto"/>
          <w:spacing w:val="40"/>
          <w:sz w:val="22"/>
          <w:szCs w:val="22"/>
        </w:rPr>
        <w:fldChar w:fldCharType="begin"/>
      </w:r>
      <w:r>
        <w:rPr>
          <w:rFonts w:hint="eastAsia" w:ascii="宋体" w:hAnsi="宋体" w:eastAsia="宋体"/>
          <w:b/>
          <w:spacing w:val="40"/>
          <w:sz w:val="22"/>
          <w:szCs w:val="22"/>
        </w:rPr>
        <w:instrText xml:space="preserve"> HYPERLINK \l _Toc16011 </w:instrText>
      </w:r>
      <w:r>
        <w:rPr>
          <w:rFonts w:hint="eastAsia" w:ascii="宋体" w:hAnsi="宋体" w:eastAsia="宋体"/>
          <w:b/>
          <w:spacing w:val="40"/>
          <w:sz w:val="22"/>
          <w:szCs w:val="22"/>
        </w:rPr>
        <w:fldChar w:fldCharType="separate"/>
      </w:r>
      <w:r>
        <w:rPr>
          <w:rFonts w:hint="eastAsia" w:ascii="宋体" w:hAnsi="宋体"/>
          <w:b/>
          <w:sz w:val="22"/>
          <w:szCs w:val="22"/>
          <w:lang w:val="en-US" w:eastAsia="zh-CN"/>
        </w:rPr>
        <w:t xml:space="preserve">第四章   </w:t>
      </w:r>
      <w:r>
        <w:rPr>
          <w:rFonts w:hint="eastAsia" w:ascii="宋体" w:hAnsi="宋体"/>
          <w:b/>
          <w:sz w:val="22"/>
          <w:szCs w:val="22"/>
        </w:rPr>
        <w:t>响应文件格式</w:t>
      </w:r>
      <w:r>
        <w:rPr>
          <w:b/>
          <w:sz w:val="22"/>
          <w:szCs w:val="22"/>
        </w:rPr>
        <w:tab/>
      </w:r>
      <w:r>
        <w:rPr>
          <w:b/>
          <w:sz w:val="22"/>
          <w:szCs w:val="22"/>
        </w:rPr>
        <w:fldChar w:fldCharType="begin"/>
      </w:r>
      <w:r>
        <w:rPr>
          <w:b/>
          <w:sz w:val="22"/>
          <w:szCs w:val="22"/>
        </w:rPr>
        <w:instrText xml:space="preserve"> PAGEREF _Toc16011 \h </w:instrText>
      </w:r>
      <w:r>
        <w:rPr>
          <w:b/>
          <w:sz w:val="22"/>
          <w:szCs w:val="22"/>
        </w:rPr>
        <w:fldChar w:fldCharType="separate"/>
      </w:r>
      <w:r>
        <w:rPr>
          <w:b/>
          <w:sz w:val="22"/>
          <w:szCs w:val="22"/>
        </w:rPr>
        <w:t>39</w:t>
      </w:r>
      <w:r>
        <w:rPr>
          <w:b/>
          <w:sz w:val="22"/>
          <w:szCs w:val="22"/>
        </w:rPr>
        <w:fldChar w:fldCharType="end"/>
      </w:r>
      <w:r>
        <w:rPr>
          <w:rFonts w:hint="eastAsia" w:ascii="宋体" w:hAnsi="宋体" w:eastAsia="宋体"/>
          <w:b/>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_Toc18262 </w:instrText>
      </w:r>
      <w:r>
        <w:rPr>
          <w:rFonts w:hint="eastAsia" w:ascii="宋体" w:hAnsi="宋体" w:eastAsia="宋体"/>
          <w:spacing w:val="40"/>
          <w:sz w:val="22"/>
          <w:szCs w:val="22"/>
        </w:rPr>
        <w:fldChar w:fldCharType="separate"/>
      </w:r>
      <w:r>
        <w:rPr>
          <w:rFonts w:hint="eastAsia" w:ascii="宋体" w:hAnsi="宋体" w:eastAsia="宋体"/>
          <w:sz w:val="22"/>
          <w:szCs w:val="22"/>
        </w:rPr>
        <w:t>格式1  响   应  函</w:t>
      </w:r>
      <w:r>
        <w:rPr>
          <w:sz w:val="22"/>
          <w:szCs w:val="22"/>
        </w:rPr>
        <w:tab/>
      </w:r>
      <w:r>
        <w:rPr>
          <w:sz w:val="22"/>
          <w:szCs w:val="22"/>
        </w:rPr>
        <w:fldChar w:fldCharType="begin"/>
      </w:r>
      <w:r>
        <w:rPr>
          <w:sz w:val="22"/>
          <w:szCs w:val="22"/>
        </w:rPr>
        <w:instrText xml:space="preserve"> PAGEREF _Toc18262 \h </w:instrText>
      </w:r>
      <w:r>
        <w:rPr>
          <w:sz w:val="22"/>
          <w:szCs w:val="22"/>
        </w:rPr>
        <w:fldChar w:fldCharType="separate"/>
      </w:r>
      <w:r>
        <w:rPr>
          <w:sz w:val="22"/>
          <w:szCs w:val="22"/>
        </w:rPr>
        <w:t>41</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_Toc7723 </w:instrText>
      </w:r>
      <w:r>
        <w:rPr>
          <w:rFonts w:hint="eastAsia" w:ascii="宋体" w:hAnsi="宋体" w:eastAsia="宋体"/>
          <w:spacing w:val="40"/>
          <w:sz w:val="22"/>
          <w:szCs w:val="22"/>
        </w:rPr>
        <w:fldChar w:fldCharType="separate"/>
      </w:r>
      <w:r>
        <w:rPr>
          <w:rFonts w:hint="eastAsia" w:ascii="宋体" w:hAnsi="宋体"/>
          <w:sz w:val="22"/>
          <w:szCs w:val="22"/>
        </w:rPr>
        <w:t>格式2  法定代表人资格证明书</w:t>
      </w:r>
      <w:r>
        <w:rPr>
          <w:sz w:val="22"/>
          <w:szCs w:val="22"/>
        </w:rPr>
        <w:tab/>
      </w:r>
      <w:r>
        <w:rPr>
          <w:sz w:val="22"/>
          <w:szCs w:val="22"/>
        </w:rPr>
        <w:fldChar w:fldCharType="begin"/>
      </w:r>
      <w:r>
        <w:rPr>
          <w:sz w:val="22"/>
          <w:szCs w:val="22"/>
        </w:rPr>
        <w:instrText xml:space="preserve"> PAGEREF _Toc7723 \h </w:instrText>
      </w:r>
      <w:r>
        <w:rPr>
          <w:sz w:val="22"/>
          <w:szCs w:val="22"/>
        </w:rPr>
        <w:fldChar w:fldCharType="separate"/>
      </w:r>
      <w:r>
        <w:rPr>
          <w:sz w:val="22"/>
          <w:szCs w:val="22"/>
        </w:rPr>
        <w:t>42</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_Toc25430 </w:instrText>
      </w:r>
      <w:r>
        <w:rPr>
          <w:rFonts w:hint="eastAsia" w:ascii="宋体" w:hAnsi="宋体" w:eastAsia="宋体"/>
          <w:spacing w:val="40"/>
          <w:sz w:val="22"/>
          <w:szCs w:val="22"/>
        </w:rPr>
        <w:fldChar w:fldCharType="separate"/>
      </w:r>
      <w:r>
        <w:rPr>
          <w:rFonts w:hint="eastAsia" w:ascii="宋体" w:hAnsi="宋体"/>
          <w:sz w:val="22"/>
          <w:szCs w:val="22"/>
        </w:rPr>
        <w:t>格式3  法定代表授权书</w:t>
      </w:r>
      <w:r>
        <w:rPr>
          <w:sz w:val="22"/>
          <w:szCs w:val="22"/>
        </w:rPr>
        <w:tab/>
      </w:r>
      <w:r>
        <w:rPr>
          <w:sz w:val="22"/>
          <w:szCs w:val="22"/>
        </w:rPr>
        <w:fldChar w:fldCharType="begin"/>
      </w:r>
      <w:r>
        <w:rPr>
          <w:sz w:val="22"/>
          <w:szCs w:val="22"/>
        </w:rPr>
        <w:instrText xml:space="preserve"> PAGEREF _Toc25430 \h </w:instrText>
      </w:r>
      <w:r>
        <w:rPr>
          <w:sz w:val="22"/>
          <w:szCs w:val="22"/>
        </w:rPr>
        <w:fldChar w:fldCharType="separate"/>
      </w:r>
      <w:r>
        <w:rPr>
          <w:sz w:val="22"/>
          <w:szCs w:val="22"/>
        </w:rPr>
        <w:t>43</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_Toc29637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w:t>
      </w:r>
      <w:r>
        <w:rPr>
          <w:rFonts w:hint="eastAsia" w:ascii="宋体" w:hAnsi="宋体"/>
          <w:sz w:val="22"/>
          <w:szCs w:val="22"/>
        </w:rPr>
        <w:t>4  供应商资格声明</w:t>
      </w:r>
      <w:r>
        <w:rPr>
          <w:sz w:val="22"/>
          <w:szCs w:val="22"/>
        </w:rPr>
        <w:tab/>
      </w:r>
      <w:r>
        <w:rPr>
          <w:sz w:val="22"/>
          <w:szCs w:val="22"/>
        </w:rPr>
        <w:fldChar w:fldCharType="begin"/>
      </w:r>
      <w:r>
        <w:rPr>
          <w:sz w:val="22"/>
          <w:szCs w:val="22"/>
        </w:rPr>
        <w:instrText xml:space="preserve"> PAGEREF _Toc29637 \h </w:instrText>
      </w:r>
      <w:r>
        <w:rPr>
          <w:sz w:val="22"/>
          <w:szCs w:val="22"/>
        </w:rPr>
        <w:fldChar w:fldCharType="separate"/>
      </w:r>
      <w:r>
        <w:rPr>
          <w:sz w:val="22"/>
          <w:szCs w:val="22"/>
        </w:rPr>
        <w:t>44</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_Toc11223 </w:instrText>
      </w:r>
      <w:r>
        <w:rPr>
          <w:rFonts w:hint="eastAsia" w:ascii="宋体" w:hAnsi="宋体" w:eastAsia="宋体"/>
          <w:spacing w:val="40"/>
          <w:sz w:val="22"/>
          <w:szCs w:val="22"/>
        </w:rPr>
        <w:fldChar w:fldCharType="separate"/>
      </w:r>
      <w:r>
        <w:rPr>
          <w:rFonts w:hint="eastAsia" w:ascii="宋体" w:hAnsi="宋体"/>
          <w:sz w:val="22"/>
          <w:szCs w:val="22"/>
        </w:rPr>
        <w:t>格式5  诚信声明</w:t>
      </w:r>
      <w:r>
        <w:rPr>
          <w:sz w:val="22"/>
          <w:szCs w:val="22"/>
        </w:rPr>
        <w:tab/>
      </w:r>
      <w:r>
        <w:rPr>
          <w:sz w:val="22"/>
          <w:szCs w:val="22"/>
        </w:rPr>
        <w:fldChar w:fldCharType="begin"/>
      </w:r>
      <w:r>
        <w:rPr>
          <w:sz w:val="22"/>
          <w:szCs w:val="22"/>
        </w:rPr>
        <w:instrText xml:space="preserve"> PAGEREF _Toc11223 \h </w:instrText>
      </w:r>
      <w:r>
        <w:rPr>
          <w:sz w:val="22"/>
          <w:szCs w:val="22"/>
        </w:rPr>
        <w:fldChar w:fldCharType="separate"/>
      </w:r>
      <w:r>
        <w:rPr>
          <w:sz w:val="22"/>
          <w:szCs w:val="22"/>
        </w:rPr>
        <w:t>45</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_Toc27637 </w:instrText>
      </w:r>
      <w:r>
        <w:rPr>
          <w:rFonts w:hint="eastAsia" w:ascii="宋体" w:hAnsi="宋体" w:eastAsia="宋体"/>
          <w:spacing w:val="40"/>
          <w:sz w:val="22"/>
          <w:szCs w:val="22"/>
        </w:rPr>
        <w:fldChar w:fldCharType="separate"/>
      </w:r>
      <w:r>
        <w:rPr>
          <w:rFonts w:hint="eastAsia" w:ascii="宋体" w:hAnsi="宋体" w:eastAsia="宋体"/>
          <w:spacing w:val="40"/>
          <w:sz w:val="22"/>
          <w:szCs w:val="22"/>
          <w:lang w:val="en-US" w:eastAsia="zh-CN"/>
        </w:rPr>
        <w:t xml:space="preserve">    </w:t>
      </w:r>
      <w:r>
        <w:rPr>
          <w:rFonts w:hint="eastAsia" w:ascii="宋体" w:hAnsi="宋体"/>
          <w:sz w:val="22"/>
          <w:szCs w:val="22"/>
        </w:rPr>
        <w:t xml:space="preserve"> 投标人企业（单位）类型声明函</w:t>
      </w:r>
      <w:r>
        <w:rPr>
          <w:sz w:val="22"/>
          <w:szCs w:val="22"/>
        </w:rPr>
        <w:tab/>
      </w:r>
      <w:r>
        <w:rPr>
          <w:sz w:val="22"/>
          <w:szCs w:val="22"/>
        </w:rPr>
        <w:fldChar w:fldCharType="begin"/>
      </w:r>
      <w:r>
        <w:rPr>
          <w:sz w:val="22"/>
          <w:szCs w:val="22"/>
        </w:rPr>
        <w:instrText xml:space="preserve"> PAGEREF _Toc27637 \h </w:instrText>
      </w:r>
      <w:r>
        <w:rPr>
          <w:sz w:val="22"/>
          <w:szCs w:val="22"/>
        </w:rPr>
        <w:fldChar w:fldCharType="separate"/>
      </w:r>
      <w:r>
        <w:rPr>
          <w:sz w:val="22"/>
          <w:szCs w:val="22"/>
        </w:rPr>
        <w:t>46</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_Toc17740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 xml:space="preserve">6 </w:t>
      </w:r>
      <w:r>
        <w:rPr>
          <w:rFonts w:hint="eastAsia" w:ascii="宋体" w:hAnsi="宋体"/>
          <w:sz w:val="22"/>
          <w:szCs w:val="22"/>
        </w:rPr>
        <w:t xml:space="preserve"> </w:t>
      </w:r>
      <w:r>
        <w:rPr>
          <w:rFonts w:hint="eastAsia" w:ascii="宋体" w:hAnsi="宋体"/>
          <w:sz w:val="22"/>
          <w:szCs w:val="22"/>
          <w:lang w:val="en-US" w:eastAsia="zh-CN"/>
        </w:rPr>
        <w:t>中小</w:t>
      </w:r>
      <w:r>
        <w:rPr>
          <w:rFonts w:hint="eastAsia" w:ascii="宋体" w:hAnsi="宋体"/>
          <w:sz w:val="22"/>
          <w:szCs w:val="22"/>
        </w:rPr>
        <w:t>声明函</w:t>
      </w:r>
      <w:r>
        <w:rPr>
          <w:rFonts w:hint="eastAsia" w:ascii="宋体" w:hAnsi="宋体"/>
          <w:sz w:val="22"/>
          <w:szCs w:val="22"/>
          <w:lang w:eastAsia="zh-CN"/>
        </w:rPr>
        <w:t>（</w:t>
      </w:r>
      <w:r>
        <w:rPr>
          <w:rFonts w:hint="eastAsia" w:ascii="宋体" w:hAnsi="宋体"/>
          <w:sz w:val="22"/>
          <w:szCs w:val="22"/>
          <w:lang w:val="en-US" w:eastAsia="zh-CN"/>
        </w:rPr>
        <w:t>服务</w:t>
      </w:r>
      <w:r>
        <w:rPr>
          <w:rFonts w:hint="eastAsia" w:ascii="宋体" w:hAnsi="宋体"/>
          <w:sz w:val="22"/>
          <w:szCs w:val="22"/>
          <w:lang w:eastAsia="zh-CN"/>
        </w:rPr>
        <w:t>）</w:t>
      </w:r>
      <w:r>
        <w:rPr>
          <w:sz w:val="22"/>
          <w:szCs w:val="22"/>
        </w:rPr>
        <w:tab/>
      </w:r>
      <w:r>
        <w:rPr>
          <w:sz w:val="22"/>
          <w:szCs w:val="22"/>
        </w:rPr>
        <w:fldChar w:fldCharType="begin"/>
      </w:r>
      <w:r>
        <w:rPr>
          <w:sz w:val="22"/>
          <w:szCs w:val="22"/>
        </w:rPr>
        <w:instrText xml:space="preserve"> PAGEREF _Toc17740 \h </w:instrText>
      </w:r>
      <w:r>
        <w:rPr>
          <w:sz w:val="22"/>
          <w:szCs w:val="22"/>
        </w:rPr>
        <w:fldChar w:fldCharType="separate"/>
      </w:r>
      <w:r>
        <w:rPr>
          <w:sz w:val="22"/>
          <w:szCs w:val="22"/>
        </w:rPr>
        <w:t>47</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_Toc13346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7</w:t>
      </w:r>
      <w:r>
        <w:rPr>
          <w:rFonts w:hint="eastAsia" w:ascii="宋体" w:hAnsi="宋体"/>
          <w:sz w:val="22"/>
          <w:szCs w:val="22"/>
        </w:rPr>
        <w:t xml:space="preserve">  </w:t>
      </w:r>
      <w:r>
        <w:rPr>
          <w:rFonts w:hint="eastAsia" w:ascii="宋体" w:hAnsi="宋体" w:eastAsia="宋体"/>
          <w:bCs/>
          <w:sz w:val="22"/>
          <w:szCs w:val="32"/>
          <w:lang w:val="en-US" w:eastAsia="zh-CN"/>
        </w:rPr>
        <w:t>残疾人福利性单位声明函</w:t>
      </w:r>
      <w:r>
        <w:rPr>
          <w:sz w:val="22"/>
          <w:szCs w:val="22"/>
        </w:rPr>
        <w:tab/>
      </w:r>
      <w:r>
        <w:rPr>
          <w:sz w:val="22"/>
          <w:szCs w:val="22"/>
        </w:rPr>
        <w:fldChar w:fldCharType="begin"/>
      </w:r>
      <w:r>
        <w:rPr>
          <w:sz w:val="22"/>
          <w:szCs w:val="22"/>
        </w:rPr>
        <w:instrText xml:space="preserve"> PAGEREF _Toc13346 \h </w:instrText>
      </w:r>
      <w:r>
        <w:rPr>
          <w:sz w:val="22"/>
          <w:szCs w:val="22"/>
        </w:rPr>
        <w:fldChar w:fldCharType="separate"/>
      </w:r>
      <w:r>
        <w:rPr>
          <w:sz w:val="22"/>
          <w:szCs w:val="22"/>
        </w:rPr>
        <w:t>48</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_Toc24380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8</w:t>
      </w: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eastAsia="宋体"/>
          <w:bCs/>
          <w:sz w:val="22"/>
          <w:szCs w:val="32"/>
          <w:lang w:val="en-US" w:eastAsia="zh-CN"/>
        </w:rPr>
        <w:t>监狱企业声明函</w:t>
      </w:r>
      <w:r>
        <w:rPr>
          <w:sz w:val="22"/>
          <w:szCs w:val="22"/>
        </w:rPr>
        <w:tab/>
      </w:r>
      <w:r>
        <w:rPr>
          <w:sz w:val="22"/>
          <w:szCs w:val="22"/>
        </w:rPr>
        <w:fldChar w:fldCharType="begin"/>
      </w:r>
      <w:r>
        <w:rPr>
          <w:sz w:val="22"/>
          <w:szCs w:val="22"/>
        </w:rPr>
        <w:instrText xml:space="preserve"> PAGEREF _Toc24380 \h </w:instrText>
      </w:r>
      <w:r>
        <w:rPr>
          <w:sz w:val="22"/>
          <w:szCs w:val="22"/>
        </w:rPr>
        <w:fldChar w:fldCharType="separate"/>
      </w:r>
      <w:r>
        <w:rPr>
          <w:sz w:val="22"/>
          <w:szCs w:val="22"/>
        </w:rPr>
        <w:t>49</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_Toc26737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9</w:t>
      </w: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商务报价一览表</w:t>
      </w:r>
      <w:r>
        <w:rPr>
          <w:sz w:val="22"/>
          <w:szCs w:val="22"/>
        </w:rPr>
        <w:tab/>
      </w:r>
      <w:r>
        <w:rPr>
          <w:sz w:val="22"/>
          <w:szCs w:val="22"/>
        </w:rPr>
        <w:fldChar w:fldCharType="begin"/>
      </w:r>
      <w:r>
        <w:rPr>
          <w:sz w:val="22"/>
          <w:szCs w:val="22"/>
        </w:rPr>
        <w:instrText xml:space="preserve"> PAGEREF _Toc26737 \h </w:instrText>
      </w:r>
      <w:r>
        <w:rPr>
          <w:sz w:val="22"/>
          <w:szCs w:val="22"/>
        </w:rPr>
        <w:fldChar w:fldCharType="separate"/>
      </w:r>
      <w:r>
        <w:rPr>
          <w:sz w:val="22"/>
          <w:szCs w:val="22"/>
        </w:rPr>
        <w:t>51</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_Toc19413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10</w:t>
      </w:r>
      <w:r>
        <w:rPr>
          <w:rFonts w:hint="eastAsia" w:ascii="宋体" w:hAnsi="宋体"/>
          <w:sz w:val="22"/>
          <w:szCs w:val="22"/>
        </w:rPr>
        <w:t xml:space="preserve">  商务条款响应偏离表</w:t>
      </w:r>
      <w:r>
        <w:rPr>
          <w:sz w:val="22"/>
          <w:szCs w:val="22"/>
        </w:rPr>
        <w:tab/>
      </w:r>
      <w:r>
        <w:rPr>
          <w:sz w:val="22"/>
          <w:szCs w:val="22"/>
        </w:rPr>
        <w:fldChar w:fldCharType="begin"/>
      </w:r>
      <w:r>
        <w:rPr>
          <w:sz w:val="22"/>
          <w:szCs w:val="22"/>
        </w:rPr>
        <w:instrText xml:space="preserve"> PAGEREF _Toc19413 \h </w:instrText>
      </w:r>
      <w:r>
        <w:rPr>
          <w:sz w:val="22"/>
          <w:szCs w:val="22"/>
        </w:rPr>
        <w:fldChar w:fldCharType="separate"/>
      </w:r>
      <w:r>
        <w:rPr>
          <w:sz w:val="22"/>
          <w:szCs w:val="22"/>
        </w:rPr>
        <w:t>52</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_Toc4380 </w:instrText>
      </w:r>
      <w:r>
        <w:rPr>
          <w:rFonts w:hint="eastAsia" w:ascii="宋体" w:hAnsi="宋体" w:eastAsia="宋体"/>
          <w:spacing w:val="40"/>
          <w:sz w:val="22"/>
          <w:szCs w:val="22"/>
        </w:rPr>
        <w:fldChar w:fldCharType="separate"/>
      </w:r>
      <w:r>
        <w:rPr>
          <w:rFonts w:hint="eastAsia" w:ascii="宋体" w:hAnsi="宋体" w:eastAsia="宋体" w:cs="宋体"/>
          <w:bCs/>
          <w:sz w:val="22"/>
          <w:szCs w:val="32"/>
          <w:lang w:eastAsia="zh-CN"/>
        </w:rPr>
        <w:t>格式</w:t>
      </w:r>
      <w:r>
        <w:rPr>
          <w:rFonts w:hint="eastAsia" w:ascii="宋体" w:hAnsi="宋体" w:cs="宋体"/>
          <w:bCs/>
          <w:sz w:val="22"/>
          <w:szCs w:val="32"/>
          <w:lang w:val="en-US" w:eastAsia="zh-CN"/>
        </w:rPr>
        <w:t>11</w:t>
      </w:r>
      <w:r>
        <w:rPr>
          <w:rFonts w:hint="eastAsia" w:ascii="宋体" w:hAnsi="宋体" w:eastAsia="宋体" w:cs="宋体"/>
          <w:bCs/>
          <w:sz w:val="22"/>
          <w:szCs w:val="32"/>
          <w:lang w:eastAsia="zh-CN"/>
        </w:rPr>
        <w:t xml:space="preserve">  本项目管理、技术服务及其他人员情况表</w:t>
      </w:r>
      <w:r>
        <w:rPr>
          <w:sz w:val="22"/>
          <w:szCs w:val="22"/>
        </w:rPr>
        <w:tab/>
      </w:r>
      <w:r>
        <w:rPr>
          <w:sz w:val="22"/>
          <w:szCs w:val="22"/>
        </w:rPr>
        <w:fldChar w:fldCharType="begin"/>
      </w:r>
      <w:r>
        <w:rPr>
          <w:sz w:val="22"/>
          <w:szCs w:val="22"/>
        </w:rPr>
        <w:instrText xml:space="preserve"> PAGEREF _Toc4380 \h </w:instrText>
      </w:r>
      <w:r>
        <w:rPr>
          <w:sz w:val="22"/>
          <w:szCs w:val="22"/>
        </w:rPr>
        <w:fldChar w:fldCharType="separate"/>
      </w:r>
      <w:r>
        <w:rPr>
          <w:sz w:val="22"/>
          <w:szCs w:val="22"/>
        </w:rPr>
        <w:t>53</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_Toc32585 </w:instrText>
      </w:r>
      <w:r>
        <w:rPr>
          <w:rFonts w:hint="eastAsia" w:ascii="宋体" w:hAnsi="宋体" w:eastAsia="宋体"/>
          <w:spacing w:val="40"/>
          <w:sz w:val="22"/>
          <w:szCs w:val="22"/>
        </w:rPr>
        <w:fldChar w:fldCharType="separate"/>
      </w:r>
      <w:r>
        <w:rPr>
          <w:rFonts w:hint="eastAsia" w:ascii="宋体" w:hAnsi="宋体" w:eastAsia="宋体"/>
          <w:sz w:val="22"/>
          <w:szCs w:val="22"/>
        </w:rPr>
        <w:t>格式</w:t>
      </w:r>
      <w:r>
        <w:rPr>
          <w:rFonts w:hint="eastAsia" w:ascii="宋体" w:hAnsi="宋体" w:eastAsia="宋体"/>
          <w:sz w:val="22"/>
          <w:szCs w:val="22"/>
          <w:lang w:val="en-US" w:eastAsia="zh-CN"/>
        </w:rPr>
        <w:t>12</w:t>
      </w:r>
      <w:r>
        <w:rPr>
          <w:rFonts w:hint="eastAsia" w:ascii="宋体" w:hAnsi="宋体" w:eastAsia="宋体"/>
          <w:sz w:val="22"/>
          <w:szCs w:val="22"/>
        </w:rPr>
        <w:t xml:space="preserve">  近三年（201</w:t>
      </w:r>
      <w:r>
        <w:rPr>
          <w:rFonts w:hint="eastAsia" w:ascii="宋体" w:hAnsi="宋体"/>
          <w:sz w:val="22"/>
          <w:szCs w:val="22"/>
          <w:lang w:val="en-US" w:eastAsia="zh-CN"/>
        </w:rPr>
        <w:t>9</w:t>
      </w:r>
      <w:r>
        <w:rPr>
          <w:rFonts w:hint="eastAsia" w:ascii="宋体" w:hAnsi="宋体" w:eastAsia="宋体"/>
          <w:sz w:val="22"/>
          <w:szCs w:val="22"/>
        </w:rPr>
        <w:t>年</w:t>
      </w:r>
      <w:r>
        <w:rPr>
          <w:rFonts w:hint="eastAsia" w:ascii="宋体" w:hAnsi="宋体"/>
          <w:sz w:val="22"/>
          <w:szCs w:val="22"/>
          <w:lang w:val="en-US" w:eastAsia="zh-CN"/>
        </w:rPr>
        <w:t>1</w:t>
      </w:r>
      <w:r>
        <w:rPr>
          <w:rFonts w:hint="eastAsia" w:ascii="宋体" w:hAnsi="宋体" w:eastAsia="宋体"/>
          <w:sz w:val="22"/>
          <w:szCs w:val="22"/>
        </w:rPr>
        <w:t>月1日至今）承担过</w:t>
      </w:r>
      <w:r>
        <w:rPr>
          <w:rFonts w:hint="eastAsia" w:ascii="宋体" w:hAnsi="宋体" w:eastAsia="宋体"/>
          <w:sz w:val="22"/>
          <w:szCs w:val="22"/>
          <w:lang w:eastAsia="zh-CN"/>
        </w:rPr>
        <w:t>类似项目</w:t>
      </w:r>
      <w:r>
        <w:rPr>
          <w:rFonts w:hint="eastAsia" w:ascii="宋体" w:hAnsi="宋体" w:eastAsia="宋体"/>
          <w:sz w:val="22"/>
          <w:szCs w:val="22"/>
        </w:rPr>
        <w:t>业绩</w:t>
      </w:r>
      <w:r>
        <w:rPr>
          <w:rFonts w:hint="eastAsia" w:ascii="宋体" w:hAnsi="宋体" w:eastAsia="宋体"/>
          <w:sz w:val="22"/>
          <w:szCs w:val="22"/>
          <w:lang w:eastAsia="zh-CN"/>
        </w:rPr>
        <w:t>表</w:t>
      </w:r>
      <w:r>
        <w:rPr>
          <w:sz w:val="22"/>
          <w:szCs w:val="22"/>
        </w:rPr>
        <w:tab/>
      </w:r>
      <w:r>
        <w:rPr>
          <w:sz w:val="22"/>
          <w:szCs w:val="22"/>
        </w:rPr>
        <w:fldChar w:fldCharType="begin"/>
      </w:r>
      <w:r>
        <w:rPr>
          <w:sz w:val="22"/>
          <w:szCs w:val="22"/>
        </w:rPr>
        <w:instrText xml:space="preserve"> PAGEREF _Toc32585 \h </w:instrText>
      </w:r>
      <w:r>
        <w:rPr>
          <w:sz w:val="22"/>
          <w:szCs w:val="22"/>
        </w:rPr>
        <w:fldChar w:fldCharType="separate"/>
      </w:r>
      <w:r>
        <w:rPr>
          <w:sz w:val="22"/>
          <w:szCs w:val="22"/>
        </w:rPr>
        <w:t>54</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_Toc4620 </w:instrText>
      </w:r>
      <w:r>
        <w:rPr>
          <w:rFonts w:hint="eastAsia" w:ascii="宋体" w:hAnsi="宋体" w:eastAsia="宋体"/>
          <w:spacing w:val="40"/>
          <w:sz w:val="22"/>
          <w:szCs w:val="22"/>
        </w:rPr>
        <w:fldChar w:fldCharType="separate"/>
      </w:r>
      <w:r>
        <w:rPr>
          <w:rFonts w:hint="eastAsia" w:ascii="宋体" w:hAnsi="宋体"/>
          <w:sz w:val="22"/>
          <w:szCs w:val="22"/>
        </w:rPr>
        <w:t>格式</w:t>
      </w:r>
      <w:r>
        <w:rPr>
          <w:rFonts w:hint="eastAsia" w:ascii="宋体" w:hAnsi="宋体"/>
          <w:sz w:val="22"/>
          <w:szCs w:val="22"/>
          <w:lang w:val="en-US" w:eastAsia="zh-CN"/>
        </w:rPr>
        <w:t>13</w:t>
      </w:r>
      <w:r>
        <w:rPr>
          <w:rFonts w:hint="eastAsia" w:ascii="宋体" w:hAnsi="宋体"/>
          <w:sz w:val="22"/>
          <w:szCs w:val="22"/>
        </w:rPr>
        <w:t xml:space="preserve">  </w:t>
      </w:r>
      <w:r>
        <w:rPr>
          <w:rFonts w:hint="eastAsia" w:ascii="宋体" w:hAnsi="宋体"/>
          <w:sz w:val="22"/>
          <w:szCs w:val="22"/>
          <w:lang w:val="en-US" w:eastAsia="zh-CN"/>
        </w:rPr>
        <w:t>技术</w:t>
      </w:r>
      <w:r>
        <w:rPr>
          <w:rFonts w:hint="eastAsia" w:ascii="宋体" w:hAnsi="宋体"/>
          <w:sz w:val="22"/>
          <w:szCs w:val="22"/>
        </w:rPr>
        <w:t>条款响应偏离表</w:t>
      </w:r>
      <w:r>
        <w:rPr>
          <w:sz w:val="22"/>
          <w:szCs w:val="22"/>
        </w:rPr>
        <w:tab/>
      </w:r>
      <w:r>
        <w:rPr>
          <w:sz w:val="22"/>
          <w:szCs w:val="22"/>
        </w:rPr>
        <w:fldChar w:fldCharType="begin"/>
      </w:r>
      <w:r>
        <w:rPr>
          <w:sz w:val="22"/>
          <w:szCs w:val="22"/>
        </w:rPr>
        <w:instrText xml:space="preserve"> PAGEREF _Toc4620 \h </w:instrText>
      </w:r>
      <w:r>
        <w:rPr>
          <w:sz w:val="22"/>
          <w:szCs w:val="22"/>
        </w:rPr>
        <w:fldChar w:fldCharType="separate"/>
      </w:r>
      <w:r>
        <w:rPr>
          <w:sz w:val="22"/>
          <w:szCs w:val="22"/>
        </w:rPr>
        <w:t>55</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_Toc2669 </w:instrText>
      </w:r>
      <w:r>
        <w:rPr>
          <w:rFonts w:hint="eastAsia" w:ascii="宋体" w:hAnsi="宋体" w:eastAsia="宋体"/>
          <w:spacing w:val="40"/>
          <w:sz w:val="22"/>
          <w:szCs w:val="22"/>
        </w:rPr>
        <w:fldChar w:fldCharType="separate"/>
      </w:r>
      <w:r>
        <w:rPr>
          <w:rFonts w:hint="eastAsia" w:ascii="宋体" w:hAnsi="宋体"/>
          <w:sz w:val="22"/>
          <w:szCs w:val="22"/>
        </w:rPr>
        <w:t>格式1</w:t>
      </w:r>
      <w:r>
        <w:rPr>
          <w:rFonts w:hint="eastAsia" w:ascii="宋体" w:hAnsi="宋体"/>
          <w:sz w:val="22"/>
          <w:szCs w:val="22"/>
          <w:lang w:val="en-US" w:eastAsia="zh-CN"/>
        </w:rPr>
        <w:t>4</w:t>
      </w:r>
      <w:r>
        <w:rPr>
          <w:rFonts w:hint="eastAsia" w:ascii="宋体" w:hAnsi="宋体"/>
          <w:sz w:val="22"/>
          <w:szCs w:val="22"/>
        </w:rPr>
        <w:t xml:space="preserve">  资格性/符合性自查表</w:t>
      </w:r>
      <w:r>
        <w:rPr>
          <w:sz w:val="22"/>
          <w:szCs w:val="22"/>
        </w:rPr>
        <w:tab/>
      </w:r>
      <w:r>
        <w:rPr>
          <w:sz w:val="22"/>
          <w:szCs w:val="22"/>
        </w:rPr>
        <w:fldChar w:fldCharType="begin"/>
      </w:r>
      <w:r>
        <w:rPr>
          <w:sz w:val="22"/>
          <w:szCs w:val="22"/>
        </w:rPr>
        <w:instrText xml:space="preserve"> PAGEREF _Toc2669 \h </w:instrText>
      </w:r>
      <w:r>
        <w:rPr>
          <w:sz w:val="22"/>
          <w:szCs w:val="22"/>
        </w:rPr>
        <w:fldChar w:fldCharType="separate"/>
      </w:r>
      <w:r>
        <w:rPr>
          <w:sz w:val="22"/>
          <w:szCs w:val="22"/>
        </w:rPr>
        <w:t>56</w:t>
      </w:r>
      <w:r>
        <w:rPr>
          <w:sz w:val="22"/>
          <w:szCs w:val="22"/>
        </w:rPr>
        <w:fldChar w:fldCharType="end"/>
      </w:r>
      <w:r>
        <w:rPr>
          <w:rFonts w:hint="eastAsia" w:ascii="宋体" w:hAnsi="宋体" w:eastAsia="宋体"/>
          <w:color w:val="auto"/>
          <w:spacing w:val="40"/>
          <w:sz w:val="22"/>
          <w:szCs w:val="22"/>
        </w:rPr>
        <w:fldChar w:fldCharType="end"/>
      </w:r>
    </w:p>
    <w:p>
      <w:pPr>
        <w:pStyle w:val="21"/>
        <w:tabs>
          <w:tab w:val="right" w:leader="dot" w:pos="9070"/>
        </w:tabs>
        <w:spacing w:line="360" w:lineRule="auto"/>
        <w:rPr>
          <w:b/>
          <w:sz w:val="22"/>
          <w:szCs w:val="22"/>
        </w:rPr>
      </w:pPr>
      <w:r>
        <w:rPr>
          <w:rFonts w:hint="eastAsia" w:ascii="宋体" w:hAnsi="宋体" w:eastAsia="宋体"/>
          <w:b/>
          <w:color w:val="auto"/>
          <w:spacing w:val="40"/>
          <w:sz w:val="22"/>
          <w:szCs w:val="22"/>
        </w:rPr>
        <w:fldChar w:fldCharType="begin"/>
      </w:r>
      <w:r>
        <w:rPr>
          <w:rFonts w:hint="eastAsia" w:ascii="宋体" w:hAnsi="宋体" w:eastAsia="宋体"/>
          <w:b/>
          <w:spacing w:val="40"/>
          <w:sz w:val="22"/>
          <w:szCs w:val="22"/>
        </w:rPr>
        <w:instrText xml:space="preserve"> HYPERLINK \l _Toc13442 </w:instrText>
      </w:r>
      <w:r>
        <w:rPr>
          <w:rFonts w:hint="eastAsia" w:ascii="宋体" w:hAnsi="宋体" w:eastAsia="宋体"/>
          <w:b/>
          <w:spacing w:val="40"/>
          <w:sz w:val="22"/>
          <w:szCs w:val="22"/>
        </w:rPr>
        <w:fldChar w:fldCharType="separate"/>
      </w:r>
      <w:r>
        <w:rPr>
          <w:rFonts w:hint="eastAsia" w:ascii="宋体" w:hAnsi="宋体"/>
          <w:b/>
          <w:sz w:val="22"/>
          <w:szCs w:val="22"/>
        </w:rPr>
        <w:t>第五章  评审标准（综合评分法）</w:t>
      </w:r>
      <w:r>
        <w:rPr>
          <w:b/>
          <w:sz w:val="22"/>
          <w:szCs w:val="22"/>
        </w:rPr>
        <w:tab/>
      </w:r>
      <w:r>
        <w:rPr>
          <w:b/>
          <w:sz w:val="22"/>
          <w:szCs w:val="22"/>
        </w:rPr>
        <w:fldChar w:fldCharType="begin"/>
      </w:r>
      <w:r>
        <w:rPr>
          <w:b/>
          <w:sz w:val="22"/>
          <w:szCs w:val="22"/>
        </w:rPr>
        <w:instrText xml:space="preserve"> PAGEREF _Toc13442 \h </w:instrText>
      </w:r>
      <w:r>
        <w:rPr>
          <w:b/>
          <w:sz w:val="22"/>
          <w:szCs w:val="22"/>
        </w:rPr>
        <w:fldChar w:fldCharType="separate"/>
      </w:r>
      <w:r>
        <w:rPr>
          <w:b/>
          <w:sz w:val="22"/>
          <w:szCs w:val="22"/>
        </w:rPr>
        <w:t>59</w:t>
      </w:r>
      <w:r>
        <w:rPr>
          <w:b/>
          <w:sz w:val="22"/>
          <w:szCs w:val="22"/>
        </w:rPr>
        <w:fldChar w:fldCharType="end"/>
      </w:r>
      <w:r>
        <w:rPr>
          <w:rFonts w:hint="eastAsia" w:ascii="宋体" w:hAnsi="宋体" w:eastAsia="宋体"/>
          <w:b/>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_Toc19719 </w:instrText>
      </w:r>
      <w:r>
        <w:rPr>
          <w:rFonts w:hint="eastAsia" w:ascii="宋体" w:hAnsi="宋体" w:eastAsia="宋体"/>
          <w:spacing w:val="40"/>
          <w:sz w:val="22"/>
          <w:szCs w:val="22"/>
        </w:rPr>
        <w:fldChar w:fldCharType="separate"/>
      </w:r>
      <w:r>
        <w:rPr>
          <w:rFonts w:hint="eastAsia" w:ascii="宋体" w:hAnsi="宋体"/>
          <w:sz w:val="22"/>
          <w:szCs w:val="22"/>
        </w:rPr>
        <w:t>1、资格性审查</w:t>
      </w:r>
      <w:r>
        <w:rPr>
          <w:sz w:val="22"/>
          <w:szCs w:val="22"/>
        </w:rPr>
        <w:tab/>
      </w:r>
      <w:r>
        <w:rPr>
          <w:sz w:val="22"/>
          <w:szCs w:val="22"/>
        </w:rPr>
        <w:fldChar w:fldCharType="begin"/>
      </w:r>
      <w:r>
        <w:rPr>
          <w:sz w:val="22"/>
          <w:szCs w:val="22"/>
        </w:rPr>
        <w:instrText xml:space="preserve"> PAGEREF _Toc19719 \h </w:instrText>
      </w:r>
      <w:r>
        <w:rPr>
          <w:sz w:val="22"/>
          <w:szCs w:val="22"/>
        </w:rPr>
        <w:fldChar w:fldCharType="separate"/>
      </w:r>
      <w:r>
        <w:rPr>
          <w:sz w:val="22"/>
          <w:szCs w:val="22"/>
        </w:rPr>
        <w:t>59</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_Toc3549 </w:instrText>
      </w:r>
      <w:r>
        <w:rPr>
          <w:rFonts w:hint="eastAsia" w:ascii="宋体" w:hAnsi="宋体" w:eastAsia="宋体"/>
          <w:spacing w:val="40"/>
          <w:sz w:val="22"/>
          <w:szCs w:val="22"/>
        </w:rPr>
        <w:fldChar w:fldCharType="separate"/>
      </w:r>
      <w:r>
        <w:rPr>
          <w:rFonts w:hint="eastAsia" w:ascii="宋体" w:hAnsi="宋体"/>
          <w:sz w:val="22"/>
          <w:szCs w:val="22"/>
        </w:rPr>
        <w:t>2、符合性审查</w:t>
      </w:r>
      <w:r>
        <w:rPr>
          <w:sz w:val="22"/>
          <w:szCs w:val="22"/>
        </w:rPr>
        <w:tab/>
      </w:r>
      <w:r>
        <w:rPr>
          <w:sz w:val="22"/>
          <w:szCs w:val="22"/>
        </w:rPr>
        <w:fldChar w:fldCharType="begin"/>
      </w:r>
      <w:r>
        <w:rPr>
          <w:sz w:val="22"/>
          <w:szCs w:val="22"/>
        </w:rPr>
        <w:instrText xml:space="preserve"> PAGEREF _Toc3549 \h </w:instrText>
      </w:r>
      <w:r>
        <w:rPr>
          <w:sz w:val="22"/>
          <w:szCs w:val="22"/>
        </w:rPr>
        <w:fldChar w:fldCharType="separate"/>
      </w:r>
      <w:r>
        <w:rPr>
          <w:sz w:val="22"/>
          <w:szCs w:val="22"/>
        </w:rPr>
        <w:t>60</w:t>
      </w:r>
      <w:r>
        <w:rPr>
          <w:sz w:val="22"/>
          <w:szCs w:val="22"/>
        </w:rPr>
        <w:fldChar w:fldCharType="end"/>
      </w:r>
      <w:r>
        <w:rPr>
          <w:rFonts w:hint="eastAsia" w:ascii="宋体" w:hAnsi="宋体" w:eastAsia="宋体"/>
          <w:color w:val="auto"/>
          <w:spacing w:val="40"/>
          <w:sz w:val="22"/>
          <w:szCs w:val="22"/>
        </w:rPr>
        <w:fldChar w:fldCharType="end"/>
      </w:r>
    </w:p>
    <w:p>
      <w:pPr>
        <w:pStyle w:val="22"/>
        <w:tabs>
          <w:tab w:val="right" w:leader="dot" w:pos="9070"/>
        </w:tabs>
        <w:spacing w:line="360" w:lineRule="auto"/>
        <w:rPr>
          <w:sz w:val="22"/>
          <w:szCs w:val="22"/>
        </w:rPr>
      </w:pPr>
      <w:r>
        <w:rPr>
          <w:rFonts w:hint="eastAsia" w:ascii="宋体" w:hAnsi="宋体" w:eastAsia="宋体"/>
          <w:color w:val="auto"/>
          <w:spacing w:val="40"/>
          <w:sz w:val="22"/>
          <w:szCs w:val="22"/>
        </w:rPr>
        <w:fldChar w:fldCharType="begin"/>
      </w:r>
      <w:r>
        <w:rPr>
          <w:rFonts w:hint="eastAsia" w:ascii="宋体" w:hAnsi="宋体" w:eastAsia="宋体"/>
          <w:spacing w:val="40"/>
          <w:sz w:val="22"/>
          <w:szCs w:val="22"/>
        </w:rPr>
        <w:instrText xml:space="preserve"> HYPERLINK \l _Toc28 </w:instrText>
      </w:r>
      <w:r>
        <w:rPr>
          <w:rFonts w:hint="eastAsia" w:ascii="宋体" w:hAnsi="宋体" w:eastAsia="宋体"/>
          <w:spacing w:val="40"/>
          <w:sz w:val="22"/>
          <w:szCs w:val="22"/>
        </w:rPr>
        <w:fldChar w:fldCharType="separate"/>
      </w:r>
      <w:r>
        <w:rPr>
          <w:rFonts w:hint="eastAsia" w:ascii="宋体" w:hAnsi="宋体"/>
          <w:sz w:val="22"/>
          <w:szCs w:val="22"/>
        </w:rPr>
        <w:t>3、评分</w:t>
      </w:r>
      <w:r>
        <w:rPr>
          <w:sz w:val="22"/>
          <w:szCs w:val="22"/>
        </w:rPr>
        <w:tab/>
      </w:r>
      <w:r>
        <w:rPr>
          <w:sz w:val="22"/>
          <w:szCs w:val="22"/>
        </w:rPr>
        <w:fldChar w:fldCharType="begin"/>
      </w:r>
      <w:r>
        <w:rPr>
          <w:sz w:val="22"/>
          <w:szCs w:val="22"/>
        </w:rPr>
        <w:instrText xml:space="preserve"> PAGEREF _Toc28 \h </w:instrText>
      </w:r>
      <w:r>
        <w:rPr>
          <w:sz w:val="22"/>
          <w:szCs w:val="22"/>
        </w:rPr>
        <w:fldChar w:fldCharType="separate"/>
      </w:r>
      <w:r>
        <w:rPr>
          <w:sz w:val="22"/>
          <w:szCs w:val="22"/>
        </w:rPr>
        <w:t>61</w:t>
      </w:r>
      <w:r>
        <w:rPr>
          <w:sz w:val="22"/>
          <w:szCs w:val="22"/>
        </w:rPr>
        <w:fldChar w:fldCharType="end"/>
      </w:r>
      <w:r>
        <w:rPr>
          <w:rFonts w:hint="eastAsia" w:ascii="宋体" w:hAnsi="宋体" w:eastAsia="宋体"/>
          <w:color w:val="auto"/>
          <w:spacing w:val="40"/>
          <w:sz w:val="22"/>
          <w:szCs w:val="22"/>
        </w:rPr>
        <w:fldChar w:fldCharType="end"/>
      </w:r>
    </w:p>
    <w:p>
      <w:pPr>
        <w:pStyle w:val="20"/>
        <w:spacing w:line="360" w:lineRule="auto"/>
        <w:rPr>
          <w:rFonts w:hint="eastAsia" w:ascii="宋体" w:hAnsi="宋体" w:eastAsia="宋体"/>
          <w:color w:val="auto"/>
          <w:spacing w:val="40"/>
          <w:sz w:val="32"/>
        </w:rPr>
        <w:sectPr>
          <w:headerReference r:id="rId3" w:type="first"/>
          <w:footerReference r:id="rId5" w:type="first"/>
          <w:footerReference r:id="rId4" w:type="even"/>
          <w:pgSz w:w="11906" w:h="16838"/>
          <w:pgMar w:top="1418" w:right="1418" w:bottom="1418" w:left="1418" w:header="1134" w:footer="1134" w:gutter="0"/>
          <w:pgNumType w:start="0"/>
          <w:cols w:space="720" w:num="1"/>
          <w:docGrid w:type="lines" w:linePitch="312" w:charSpace="0"/>
        </w:sectPr>
      </w:pPr>
      <w:r>
        <w:rPr>
          <w:rFonts w:hint="eastAsia" w:ascii="宋体" w:hAnsi="宋体" w:eastAsia="宋体"/>
          <w:b/>
          <w:color w:val="auto"/>
          <w:spacing w:val="40"/>
          <w:sz w:val="52"/>
          <w:szCs w:val="22"/>
        </w:rPr>
        <w:fldChar w:fldCharType="end"/>
      </w:r>
    </w:p>
    <w:p>
      <w:pPr>
        <w:pStyle w:val="23"/>
        <w:numPr>
          <w:ilvl w:val="0"/>
          <w:numId w:val="1"/>
        </w:numPr>
        <w:spacing w:line="500" w:lineRule="exact"/>
        <w:ind w:firstLineChars="0"/>
        <w:jc w:val="center"/>
        <w:outlineLvl w:val="0"/>
        <w:rPr>
          <w:rFonts w:hint="eastAsia" w:ascii="宋体" w:hAnsi="宋体"/>
          <w:b/>
          <w:color w:val="auto"/>
          <w:sz w:val="28"/>
        </w:rPr>
      </w:pPr>
      <w:bookmarkStart w:id="0" w:name="_Toc17558"/>
      <w:r>
        <w:rPr>
          <w:rFonts w:hint="eastAsia" w:ascii="宋体" w:hAnsi="宋体"/>
          <w:b/>
          <w:color w:val="auto"/>
          <w:sz w:val="28"/>
        </w:rPr>
        <w:t>竞争性磋商采购公告</w:t>
      </w:r>
      <w:bookmarkEnd w:id="0"/>
    </w:p>
    <w:p>
      <w:pPr>
        <w:pStyle w:val="23"/>
        <w:numPr>
          <w:ilvl w:val="0"/>
          <w:numId w:val="0"/>
        </w:numPr>
        <w:spacing w:line="500" w:lineRule="exact"/>
        <w:ind w:leftChars="0"/>
        <w:jc w:val="both"/>
        <w:rPr>
          <w:rFonts w:hint="eastAsia" w:ascii="宋体" w:hAnsi="宋体"/>
          <w:b/>
          <w:color w:val="auto"/>
          <w:sz w:val="28"/>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lang w:bidi="ar-SA"/>
        </w:rPr>
      </w:pPr>
      <w:r>
        <w:rPr>
          <w:rFonts w:hint="eastAsia" w:ascii="仿宋" w:hAnsi="仿宋" w:eastAsia="仿宋"/>
          <w:sz w:val="28"/>
          <w:szCs w:val="28"/>
          <w:lang w:bidi="ar-SA"/>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 w:hAnsi="仿宋" w:eastAsia="仿宋"/>
          <w:sz w:val="28"/>
          <w:szCs w:val="28"/>
          <w:lang w:bidi="ar-SA"/>
        </w:rPr>
      </w:pPr>
      <w:r>
        <w:rPr>
          <w:rFonts w:hint="eastAsia" w:ascii="仿宋" w:hAnsi="仿宋" w:eastAsia="仿宋"/>
          <w:sz w:val="28"/>
          <w:szCs w:val="28"/>
          <w:lang w:bidi="ar-SA"/>
        </w:rPr>
        <w:t>塔城地区机关事务管理局塔城地区政务服务与公共资源交易中心物业管</w:t>
      </w:r>
      <w:r>
        <w:rPr>
          <w:rFonts w:hint="eastAsia" w:ascii="仿宋" w:hAnsi="仿宋" w:eastAsia="仿宋"/>
          <w:sz w:val="28"/>
          <w:szCs w:val="28"/>
          <w:lang w:eastAsia="zh-CN" w:bidi="ar-SA"/>
        </w:rPr>
        <w:t>理</w:t>
      </w:r>
      <w:r>
        <w:rPr>
          <w:rFonts w:hint="eastAsia" w:ascii="仿宋" w:hAnsi="仿宋" w:eastAsia="仿宋"/>
          <w:sz w:val="28"/>
          <w:szCs w:val="28"/>
          <w:lang w:bidi="ar-SA"/>
        </w:rPr>
        <w:t>的潜在供应商应在</w:t>
      </w:r>
      <w:r>
        <w:rPr>
          <w:rFonts w:hint="eastAsia" w:ascii="仿宋" w:hAnsi="仿宋" w:eastAsia="仿宋" w:cs="Times New Roman"/>
          <w:color w:val="FF0000"/>
          <w:sz w:val="28"/>
          <w:szCs w:val="28"/>
          <w:lang w:bidi="ar-SA"/>
        </w:rPr>
        <w:t>新疆塔城地区塔城市巴克图路地市行政服务中心4楼409室</w:t>
      </w:r>
      <w:r>
        <w:rPr>
          <w:rFonts w:hint="eastAsia" w:ascii="仿宋" w:hAnsi="仿宋" w:eastAsia="仿宋"/>
          <w:sz w:val="28"/>
          <w:szCs w:val="28"/>
          <w:lang w:bidi="ar-SA"/>
        </w:rPr>
        <w:t>获取采购文件，并于</w:t>
      </w:r>
      <w:r>
        <w:rPr>
          <w:rFonts w:hint="eastAsia" w:ascii="仿宋" w:hAnsi="仿宋" w:eastAsia="仿宋"/>
          <w:sz w:val="28"/>
          <w:szCs w:val="28"/>
          <w:highlight w:val="yellow"/>
          <w:lang w:bidi="ar-SA"/>
        </w:rPr>
        <w:t>202</w:t>
      </w:r>
      <w:r>
        <w:rPr>
          <w:rFonts w:hint="eastAsia" w:ascii="仿宋" w:hAnsi="仿宋" w:eastAsia="仿宋"/>
          <w:sz w:val="28"/>
          <w:szCs w:val="28"/>
          <w:highlight w:val="yellow"/>
          <w:lang w:val="en-US" w:eastAsia="zh-CN" w:bidi="ar-SA"/>
        </w:rPr>
        <w:t>2</w:t>
      </w:r>
      <w:r>
        <w:rPr>
          <w:rFonts w:hint="eastAsia" w:ascii="仿宋" w:hAnsi="仿宋" w:eastAsia="仿宋"/>
          <w:sz w:val="28"/>
          <w:szCs w:val="28"/>
          <w:highlight w:val="yellow"/>
          <w:lang w:bidi="ar-SA"/>
        </w:rPr>
        <w:t>年</w:t>
      </w:r>
      <w:r>
        <w:rPr>
          <w:rFonts w:hint="eastAsia" w:ascii="仿宋" w:hAnsi="仿宋" w:eastAsia="仿宋"/>
          <w:sz w:val="28"/>
          <w:szCs w:val="28"/>
          <w:highlight w:val="yellow"/>
          <w:lang w:val="en-US" w:eastAsia="zh-CN" w:bidi="ar-SA"/>
        </w:rPr>
        <w:t>5</w:t>
      </w:r>
      <w:r>
        <w:rPr>
          <w:rFonts w:hint="eastAsia" w:ascii="仿宋" w:hAnsi="仿宋" w:eastAsia="仿宋"/>
          <w:sz w:val="28"/>
          <w:szCs w:val="28"/>
          <w:highlight w:val="yellow"/>
          <w:lang w:bidi="ar-SA"/>
        </w:rPr>
        <w:t>月</w:t>
      </w:r>
      <w:r>
        <w:rPr>
          <w:rFonts w:hint="eastAsia" w:ascii="仿宋" w:hAnsi="仿宋" w:eastAsia="仿宋"/>
          <w:sz w:val="28"/>
          <w:szCs w:val="28"/>
          <w:highlight w:val="yellow"/>
          <w:lang w:val="en-US" w:eastAsia="zh-CN" w:bidi="ar-SA"/>
        </w:rPr>
        <w:t>30</w:t>
      </w:r>
      <w:r>
        <w:rPr>
          <w:rFonts w:hint="eastAsia" w:ascii="仿宋" w:hAnsi="仿宋" w:eastAsia="仿宋"/>
          <w:sz w:val="28"/>
          <w:szCs w:val="28"/>
          <w:highlight w:val="yellow"/>
          <w:lang w:bidi="ar-SA"/>
        </w:rPr>
        <w:t>日</w:t>
      </w:r>
      <w:r>
        <w:rPr>
          <w:rFonts w:hint="eastAsia" w:ascii="仿宋" w:hAnsi="仿宋" w:eastAsia="仿宋"/>
          <w:sz w:val="28"/>
          <w:szCs w:val="28"/>
          <w:highlight w:val="yellow"/>
          <w:lang w:val="en-US" w:eastAsia="zh-CN" w:bidi="ar-SA"/>
        </w:rPr>
        <w:t>10:30</w:t>
      </w:r>
      <w:r>
        <w:rPr>
          <w:rFonts w:hint="eastAsia" w:ascii="仿宋" w:hAnsi="仿宋" w:eastAsia="仿宋"/>
          <w:sz w:val="28"/>
          <w:szCs w:val="28"/>
          <w:highlight w:val="yellow"/>
          <w:lang w:bidi="ar-SA"/>
        </w:rPr>
        <w:t xml:space="preserve"> </w:t>
      </w:r>
      <w:r>
        <w:rPr>
          <w:rFonts w:hint="eastAsia" w:ascii="仿宋" w:hAnsi="仿宋" w:eastAsia="仿宋"/>
          <w:sz w:val="28"/>
          <w:szCs w:val="28"/>
          <w:lang w:bidi="ar-SA"/>
        </w:rPr>
        <w:t>（北京时间）前递交投标文件。</w:t>
      </w:r>
    </w:p>
    <w:p>
      <w:pPr>
        <w:spacing w:line="360" w:lineRule="auto"/>
        <w:rPr>
          <w:szCs w:val="21"/>
          <w:lang w:bidi="ar-SA"/>
        </w:rPr>
      </w:pP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bookmarkStart w:id="1" w:name="_Toc28359089"/>
      <w:bookmarkStart w:id="2" w:name="_Toc35393629"/>
      <w:bookmarkStart w:id="3" w:name="_Toc35393798"/>
      <w:bookmarkStart w:id="4" w:name="_Toc28359012"/>
      <w:r>
        <w:rPr>
          <w:rFonts w:hint="eastAsia" w:ascii="黑体" w:hAnsi="黑体" w:eastAsia="宋体" w:cs="宋体"/>
          <w:b w:val="0"/>
          <w:kern w:val="0"/>
          <w:sz w:val="28"/>
          <w:szCs w:val="28"/>
          <w:lang w:val="en-US" w:eastAsia="zh-CN" w:bidi="ar"/>
        </w:rPr>
        <w:t>一、项目基本情况</w:t>
      </w:r>
      <w:bookmarkEnd w:id="1"/>
      <w:bookmarkEnd w:id="2"/>
      <w:bookmarkEnd w:id="3"/>
      <w:bookmarkEnd w:id="4"/>
    </w:p>
    <w:p>
      <w:pPr>
        <w:spacing w:line="360" w:lineRule="auto"/>
        <w:ind w:firstLine="560" w:firstLineChars="200"/>
        <w:rPr>
          <w:rFonts w:hint="eastAsia" w:ascii="仿宋" w:hAnsi="仿宋" w:eastAsia="仿宋"/>
          <w:sz w:val="28"/>
          <w:szCs w:val="28"/>
          <w:lang w:bidi="ar-SA"/>
        </w:rPr>
      </w:pPr>
      <w:r>
        <w:rPr>
          <w:rFonts w:hint="eastAsia" w:ascii="仿宋" w:hAnsi="仿宋" w:eastAsia="仿宋"/>
          <w:sz w:val="28"/>
          <w:szCs w:val="28"/>
          <w:lang w:bidi="ar-SA"/>
        </w:rPr>
        <w:t>项目编号：TCZFCG-001</w:t>
      </w:r>
    </w:p>
    <w:p>
      <w:pPr>
        <w:spacing w:line="360" w:lineRule="auto"/>
        <w:ind w:firstLine="560" w:firstLineChars="200"/>
        <w:rPr>
          <w:rFonts w:hint="eastAsia" w:ascii="仿宋" w:hAnsi="仿宋" w:eastAsia="仿宋"/>
          <w:sz w:val="28"/>
          <w:szCs w:val="28"/>
          <w:lang w:bidi="ar-SA"/>
        </w:rPr>
      </w:pPr>
      <w:r>
        <w:rPr>
          <w:rFonts w:hint="eastAsia" w:ascii="仿宋" w:hAnsi="仿宋" w:eastAsia="仿宋"/>
          <w:sz w:val="28"/>
          <w:szCs w:val="28"/>
          <w:lang w:bidi="ar-SA"/>
        </w:rPr>
        <w:t>项目名称：塔城地区政务服务与公共资源交易中心物业管</w:t>
      </w:r>
      <w:r>
        <w:rPr>
          <w:rFonts w:hint="eastAsia" w:ascii="仿宋" w:hAnsi="仿宋" w:eastAsia="仿宋"/>
          <w:sz w:val="28"/>
          <w:szCs w:val="28"/>
          <w:lang w:eastAsia="zh-CN" w:bidi="ar-SA"/>
        </w:rPr>
        <w:t>理</w:t>
      </w:r>
    </w:p>
    <w:p>
      <w:pPr>
        <w:tabs>
          <w:tab w:val="left" w:pos="5856"/>
        </w:tabs>
        <w:spacing w:line="360" w:lineRule="auto"/>
        <w:ind w:firstLine="560" w:firstLineChars="200"/>
        <w:rPr>
          <w:rFonts w:hint="eastAsia" w:ascii="仿宋" w:hAnsi="仿宋" w:eastAsia="仿宋"/>
          <w:sz w:val="28"/>
          <w:szCs w:val="28"/>
          <w:lang w:eastAsia="zh-CN" w:bidi="ar-SA"/>
        </w:rPr>
      </w:pPr>
      <w:r>
        <w:rPr>
          <w:rFonts w:hint="eastAsia" w:ascii="仿宋" w:hAnsi="仿宋" w:eastAsia="仿宋"/>
          <w:sz w:val="28"/>
          <w:szCs w:val="28"/>
          <w:lang w:bidi="ar-SA"/>
        </w:rPr>
        <w:t>采购方式：竞争性磋商</w:t>
      </w:r>
      <w:r>
        <w:rPr>
          <w:rFonts w:hint="eastAsia" w:ascii="仿宋" w:hAnsi="仿宋" w:eastAsia="仿宋"/>
          <w:sz w:val="28"/>
          <w:szCs w:val="28"/>
          <w:lang w:eastAsia="zh-CN" w:bidi="ar-SA"/>
        </w:rPr>
        <w:tab/>
      </w:r>
    </w:p>
    <w:p>
      <w:pPr>
        <w:spacing w:line="360" w:lineRule="auto"/>
        <w:ind w:firstLine="560" w:firstLineChars="200"/>
        <w:rPr>
          <w:rFonts w:hint="default" w:ascii="仿宋" w:hAnsi="仿宋" w:eastAsia="仿宋"/>
          <w:sz w:val="28"/>
          <w:szCs w:val="28"/>
          <w:highlight w:val="yellow"/>
          <w:lang w:val="en-US" w:eastAsia="zh-CN" w:bidi="ar-SA"/>
        </w:rPr>
      </w:pPr>
      <w:r>
        <w:rPr>
          <w:rFonts w:hint="eastAsia" w:ascii="仿宋" w:hAnsi="仿宋" w:eastAsia="仿宋"/>
          <w:sz w:val="28"/>
          <w:szCs w:val="28"/>
          <w:highlight w:val="yellow"/>
          <w:lang w:bidi="ar-SA"/>
        </w:rPr>
        <w:t>预算金额</w:t>
      </w:r>
      <w:r>
        <w:rPr>
          <w:rFonts w:hint="eastAsia" w:ascii="仿宋" w:hAnsi="仿宋" w:eastAsia="仿宋"/>
          <w:sz w:val="28"/>
          <w:szCs w:val="28"/>
          <w:highlight w:val="yellow"/>
          <w:lang w:eastAsia="zh-CN" w:bidi="ar-SA"/>
        </w:rPr>
        <w:t>（元）</w:t>
      </w:r>
      <w:r>
        <w:rPr>
          <w:rFonts w:hint="eastAsia" w:ascii="仿宋" w:hAnsi="仿宋" w:eastAsia="仿宋"/>
          <w:sz w:val="28"/>
          <w:szCs w:val="28"/>
          <w:highlight w:val="yellow"/>
          <w:lang w:bidi="ar-SA"/>
        </w:rPr>
        <w:t>：</w:t>
      </w:r>
      <w:r>
        <w:rPr>
          <w:rFonts w:hint="eastAsia" w:ascii="仿宋" w:hAnsi="仿宋" w:eastAsia="仿宋" w:cs="Times New Roman"/>
          <w:b w:val="0"/>
          <w:bCs w:val="0"/>
          <w:kern w:val="2"/>
          <w:sz w:val="28"/>
          <w:szCs w:val="28"/>
          <w:highlight w:val="yellow"/>
          <w:lang w:val="en-US" w:eastAsia="zh-CN" w:bidi="ar-SA"/>
        </w:rPr>
        <w:t>1270000</w:t>
      </w:r>
    </w:p>
    <w:p>
      <w:pPr>
        <w:spacing w:line="360" w:lineRule="auto"/>
        <w:ind w:firstLine="560" w:firstLineChars="200"/>
        <w:rPr>
          <w:rFonts w:hint="default" w:ascii="仿宋" w:hAnsi="仿宋" w:eastAsia="仿宋"/>
          <w:sz w:val="28"/>
          <w:szCs w:val="28"/>
          <w:highlight w:val="yellow"/>
          <w:lang w:val="en-US" w:eastAsia="zh-CN" w:bidi="ar-SA"/>
        </w:rPr>
      </w:pPr>
      <w:r>
        <w:rPr>
          <w:rFonts w:hint="eastAsia" w:ascii="仿宋" w:hAnsi="仿宋" w:eastAsia="仿宋"/>
          <w:sz w:val="28"/>
          <w:szCs w:val="28"/>
          <w:highlight w:val="yellow"/>
          <w:lang w:bidi="ar-SA"/>
        </w:rPr>
        <w:t>最高限价（</w:t>
      </w:r>
      <w:r>
        <w:rPr>
          <w:rFonts w:hint="eastAsia" w:ascii="仿宋" w:hAnsi="仿宋" w:eastAsia="仿宋"/>
          <w:sz w:val="28"/>
          <w:szCs w:val="28"/>
          <w:highlight w:val="yellow"/>
          <w:lang w:eastAsia="zh-CN" w:bidi="ar-SA"/>
        </w:rPr>
        <w:t>元</w:t>
      </w:r>
      <w:r>
        <w:rPr>
          <w:rFonts w:hint="eastAsia" w:ascii="仿宋" w:hAnsi="仿宋" w:eastAsia="仿宋"/>
          <w:sz w:val="28"/>
          <w:szCs w:val="28"/>
          <w:highlight w:val="yellow"/>
          <w:lang w:bidi="ar-SA"/>
        </w:rPr>
        <w:t>）：</w:t>
      </w:r>
      <w:r>
        <w:rPr>
          <w:rFonts w:hint="eastAsia" w:ascii="仿宋" w:hAnsi="仿宋" w:eastAsia="仿宋" w:cs="Times New Roman"/>
          <w:b w:val="0"/>
          <w:bCs w:val="0"/>
          <w:kern w:val="2"/>
          <w:sz w:val="28"/>
          <w:szCs w:val="28"/>
          <w:highlight w:val="yellow"/>
          <w:lang w:val="en-US" w:eastAsia="zh-CN" w:bidi="ar-SA"/>
        </w:rPr>
        <w:t>1270000</w:t>
      </w:r>
    </w:p>
    <w:p>
      <w:pPr>
        <w:spacing w:line="360" w:lineRule="auto"/>
        <w:ind w:firstLine="560" w:firstLineChars="200"/>
        <w:rPr>
          <w:rFonts w:hint="eastAsia" w:ascii="仿宋" w:hAnsi="仿宋" w:eastAsia="仿宋"/>
          <w:sz w:val="28"/>
          <w:szCs w:val="28"/>
          <w:lang w:eastAsia="zh-CN" w:bidi="ar-SA"/>
        </w:rPr>
      </w:pPr>
      <w:r>
        <w:rPr>
          <w:rFonts w:hint="eastAsia" w:ascii="仿宋" w:hAnsi="仿宋" w:eastAsia="仿宋"/>
          <w:sz w:val="28"/>
          <w:szCs w:val="28"/>
          <w:lang w:bidi="ar-SA"/>
        </w:rPr>
        <w:t>采购需求：塔城地区政务服务与公共资源交易中心物业管</w:t>
      </w:r>
      <w:r>
        <w:rPr>
          <w:rFonts w:hint="eastAsia" w:ascii="仿宋" w:hAnsi="仿宋" w:eastAsia="仿宋"/>
          <w:sz w:val="28"/>
          <w:szCs w:val="28"/>
          <w:lang w:eastAsia="zh-CN" w:bidi="ar-SA"/>
        </w:rPr>
        <w:t>理，办公楼建筑面</w:t>
      </w:r>
      <w:r>
        <w:rPr>
          <w:rFonts w:hint="eastAsia" w:ascii="仿宋" w:hAnsi="仿宋" w:eastAsia="仿宋"/>
          <w:sz w:val="28"/>
          <w:szCs w:val="28"/>
          <w:lang w:val="en-US" w:eastAsia="zh-CN" w:bidi="ar-SA"/>
        </w:rPr>
        <w:t>积19998.55平方米；占地面积22126.54平方米，</w:t>
      </w:r>
      <w:r>
        <w:rPr>
          <w:rFonts w:hint="eastAsia" w:ascii="仿宋" w:hAnsi="仿宋" w:eastAsia="仿宋"/>
          <w:sz w:val="28"/>
          <w:szCs w:val="28"/>
          <w:lang w:eastAsia="zh-CN" w:bidi="ar-SA"/>
        </w:rPr>
        <w:t>具体服务内容详见招标文件。</w:t>
      </w:r>
    </w:p>
    <w:p>
      <w:pPr>
        <w:spacing w:line="360" w:lineRule="auto"/>
        <w:ind w:firstLine="560" w:firstLineChars="200"/>
        <w:rPr>
          <w:rFonts w:hint="default" w:ascii="仿宋" w:hAnsi="仿宋" w:eastAsia="仿宋"/>
          <w:sz w:val="28"/>
          <w:szCs w:val="28"/>
          <w:lang w:val="en-US" w:eastAsia="zh-CN" w:bidi="ar-SA"/>
        </w:rPr>
      </w:pPr>
      <w:r>
        <w:rPr>
          <w:rFonts w:hint="eastAsia" w:ascii="仿宋" w:hAnsi="仿宋" w:eastAsia="仿宋"/>
          <w:sz w:val="28"/>
          <w:szCs w:val="28"/>
          <w:lang w:bidi="ar-SA"/>
        </w:rPr>
        <w:t>合同履行期限：</w:t>
      </w:r>
      <w:r>
        <w:rPr>
          <w:rFonts w:hint="eastAsia" w:ascii="仿宋" w:hAnsi="仿宋" w:eastAsia="仿宋"/>
          <w:sz w:val="28"/>
          <w:szCs w:val="28"/>
          <w:lang w:eastAsia="zh-CN" w:bidi="ar-SA"/>
        </w:rPr>
        <w:t>合同服务期</w:t>
      </w:r>
      <w:r>
        <w:rPr>
          <w:rFonts w:hint="eastAsia" w:ascii="仿宋" w:hAnsi="仿宋" w:eastAsia="仿宋"/>
          <w:sz w:val="28"/>
          <w:szCs w:val="28"/>
          <w:lang w:val="en-US" w:eastAsia="zh-CN" w:bidi="ar-SA"/>
        </w:rPr>
        <w:t>1年。在年度预算能保障的前提下，合同金额不变，经财政部门同意，采购人根据每年考核结果决定是否续签下一年合同，合同期限可以延长1年至2年，不超过2年。</w:t>
      </w:r>
    </w:p>
    <w:p>
      <w:pPr>
        <w:widowControl/>
        <w:autoSpaceDE/>
        <w:autoSpaceDN/>
        <w:spacing w:before="120" w:after="0" w:line="360" w:lineRule="auto"/>
        <w:ind w:left="0" w:leftChars="0" w:firstLine="560"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本项目（否）接受联合体。</w:t>
      </w:r>
    </w:p>
    <w:p>
      <w:pPr>
        <w:widowControl w:val="0"/>
        <w:numPr>
          <w:ilvl w:val="0"/>
          <w:numId w:val="2"/>
        </w:numPr>
        <w:spacing w:before="100" w:beforeAutospacing="1" w:after="100" w:afterAutospacing="1" w:line="360" w:lineRule="auto"/>
        <w:jc w:val="left"/>
        <w:rPr>
          <w:rFonts w:hint="eastAsia" w:ascii="黑体" w:hAnsi="黑体" w:eastAsia="宋体" w:cs="宋体"/>
          <w:b w:val="0"/>
          <w:kern w:val="0"/>
          <w:sz w:val="28"/>
          <w:szCs w:val="28"/>
          <w:lang w:val="en-US" w:eastAsia="zh-CN" w:bidi="ar"/>
        </w:rPr>
      </w:pPr>
      <w:bookmarkStart w:id="5" w:name="_Toc35393799"/>
      <w:bookmarkStart w:id="6" w:name="_Toc35393630"/>
      <w:bookmarkStart w:id="7" w:name="_Toc28359013"/>
      <w:bookmarkStart w:id="8" w:name="_Toc28359090"/>
      <w:r>
        <w:rPr>
          <w:rFonts w:hint="eastAsia" w:ascii="黑体" w:hAnsi="黑体" w:eastAsia="宋体" w:cs="宋体"/>
          <w:b w:val="0"/>
          <w:kern w:val="0"/>
          <w:sz w:val="28"/>
          <w:szCs w:val="28"/>
          <w:lang w:val="en-US" w:eastAsia="zh-CN" w:bidi="ar"/>
        </w:rPr>
        <w:t>申请人的资格要求：</w:t>
      </w:r>
      <w:bookmarkEnd w:id="5"/>
      <w:bookmarkEnd w:id="6"/>
      <w:bookmarkEnd w:id="7"/>
      <w:bookmarkEnd w:id="8"/>
    </w:p>
    <w:p>
      <w:pPr>
        <w:keepNext w:val="0"/>
        <w:keepLines w:val="0"/>
        <w:widowControl/>
        <w:suppressLineNumbers w:val="0"/>
        <w:spacing w:before="75" w:beforeAutospacing="0" w:after="75" w:afterAutospacing="0" w:line="360" w:lineRule="auto"/>
        <w:ind w:left="0" w:right="0"/>
        <w:jc w:val="left"/>
        <w:rPr>
          <w:rFonts w:ascii="Times New Roman" w:hAnsi="Times New Roman" w:eastAsia="宋体" w:cs="Times New Roman"/>
          <w:kern w:val="0"/>
          <w:sz w:val="24"/>
          <w:szCs w:val="21"/>
          <w:lang w:val="en-US" w:eastAsia="zh-CN" w:bidi="ar"/>
        </w:rPr>
      </w:pPr>
      <w:bookmarkStart w:id="9" w:name="_Toc35393631"/>
      <w:bookmarkStart w:id="10" w:name="_Toc28359091"/>
      <w:bookmarkStart w:id="11" w:name="_Toc35393800"/>
      <w:bookmarkStart w:id="12" w:name="_Toc28359014"/>
      <w:r>
        <w:rPr>
          <w:rFonts w:hint="eastAsia" w:ascii="仿宋" w:hAnsi="仿宋" w:eastAsia="仿宋" w:cs="仿宋"/>
          <w:i w:val="0"/>
          <w:caps w:val="0"/>
          <w:color w:val="000000"/>
          <w:spacing w:val="0"/>
          <w:kern w:val="0"/>
          <w:sz w:val="27"/>
          <w:szCs w:val="27"/>
          <w:lang w:val="en-US" w:eastAsia="zh-CN" w:bidi="ar"/>
        </w:rPr>
        <w:t>1、须符合《中华人民共和国政府采购法》第22条规定；</w:t>
      </w:r>
    </w:p>
    <w:p>
      <w:pPr>
        <w:keepNext w:val="0"/>
        <w:keepLines w:val="0"/>
        <w:widowControl/>
        <w:suppressLineNumbers w:val="0"/>
        <w:spacing w:before="75" w:beforeAutospacing="0" w:after="75" w:afterAutospacing="0" w:line="360" w:lineRule="auto"/>
        <w:ind w:left="0" w:right="0"/>
        <w:jc w:val="left"/>
        <w:rPr>
          <w:rFonts w:ascii="Times New Roman" w:hAnsi="Times New Roman" w:eastAsia="宋体" w:cs="Times New Roman"/>
          <w:kern w:val="0"/>
          <w:sz w:val="24"/>
          <w:szCs w:val="21"/>
          <w:lang w:val="en-US" w:eastAsia="zh-CN" w:bidi="ar"/>
        </w:rPr>
      </w:pPr>
      <w:r>
        <w:rPr>
          <w:rFonts w:hint="eastAsia" w:ascii="仿宋" w:hAnsi="仿宋" w:eastAsia="仿宋" w:cs="仿宋"/>
          <w:i w:val="0"/>
          <w:caps w:val="0"/>
          <w:color w:val="000000"/>
          <w:spacing w:val="0"/>
          <w:kern w:val="0"/>
          <w:sz w:val="27"/>
          <w:szCs w:val="27"/>
          <w:lang w:val="en-US" w:eastAsia="zh-CN" w:bidi="ar"/>
        </w:rPr>
        <w:t>2、招标项目需要落实的政府采购政策：</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3、本项目的特定资格要求：无</w:t>
      </w: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r>
        <w:rPr>
          <w:rFonts w:hint="eastAsia" w:ascii="黑体" w:hAnsi="黑体" w:eastAsia="宋体" w:cs="宋体"/>
          <w:b w:val="0"/>
          <w:kern w:val="0"/>
          <w:sz w:val="28"/>
          <w:szCs w:val="28"/>
          <w:lang w:val="en-US" w:eastAsia="zh-CN" w:bidi="ar"/>
        </w:rPr>
        <w:t>三、获取采购文件</w:t>
      </w:r>
      <w:bookmarkEnd w:id="9"/>
      <w:bookmarkEnd w:id="10"/>
      <w:bookmarkEnd w:id="11"/>
      <w:bookmarkEnd w:id="12"/>
    </w:p>
    <w:p>
      <w:pPr>
        <w:keepNext w:val="0"/>
        <w:keepLines w:val="0"/>
        <w:widowControl/>
        <w:suppressLineNumbers w:val="0"/>
        <w:spacing w:before="75" w:beforeAutospacing="0" w:after="75" w:afterAutospacing="0" w:line="360" w:lineRule="auto"/>
        <w:ind w:left="0" w:right="0" w:firstLine="420"/>
        <w:jc w:val="left"/>
        <w:rPr>
          <w:rFonts w:ascii="Times New Roman" w:hAnsi="Times New Roman" w:eastAsia="宋体" w:cs="Times New Roman"/>
          <w:kern w:val="0"/>
          <w:sz w:val="24"/>
          <w:szCs w:val="21"/>
          <w:lang w:val="en-US" w:eastAsia="zh-CN" w:bidi="ar"/>
        </w:rPr>
      </w:pPr>
      <w:bookmarkStart w:id="13" w:name="_Toc28359015"/>
      <w:bookmarkStart w:id="14" w:name="_Toc35393801"/>
      <w:bookmarkStart w:id="15" w:name="_Toc35393632"/>
      <w:bookmarkStart w:id="16" w:name="_Toc28359092"/>
      <w:r>
        <w:rPr>
          <w:rFonts w:hint="eastAsia" w:ascii="仿宋" w:hAnsi="仿宋" w:eastAsia="仿宋" w:cs="仿宋"/>
          <w:i w:val="0"/>
          <w:caps w:val="0"/>
          <w:color w:val="000000"/>
          <w:spacing w:val="0"/>
          <w:kern w:val="0"/>
          <w:sz w:val="27"/>
          <w:szCs w:val="27"/>
          <w:lang w:val="en-US" w:eastAsia="zh-CN" w:bidi="ar"/>
        </w:rPr>
        <w:t>时间</w:t>
      </w:r>
      <w:r>
        <w:rPr>
          <w:rFonts w:hint="eastAsia" w:ascii="仿宋" w:hAnsi="仿宋" w:eastAsia="仿宋" w:cs="仿宋"/>
          <w:i w:val="0"/>
          <w:caps w:val="0"/>
          <w:color w:val="000000"/>
          <w:spacing w:val="0"/>
          <w:kern w:val="0"/>
          <w:sz w:val="27"/>
          <w:szCs w:val="27"/>
          <w:highlight w:val="yellow"/>
          <w:lang w:val="en-US" w:eastAsia="zh-CN" w:bidi="ar"/>
        </w:rPr>
        <w:t>：2022年5月18日至2022年5月24</w:t>
      </w:r>
      <w:bookmarkStart w:id="289" w:name="_GoBack"/>
      <w:bookmarkEnd w:id="289"/>
      <w:r>
        <w:rPr>
          <w:rFonts w:hint="eastAsia" w:ascii="仿宋" w:hAnsi="仿宋" w:eastAsia="仿宋" w:cs="仿宋"/>
          <w:i w:val="0"/>
          <w:caps w:val="0"/>
          <w:color w:val="000000"/>
          <w:spacing w:val="0"/>
          <w:kern w:val="0"/>
          <w:sz w:val="27"/>
          <w:szCs w:val="27"/>
          <w:highlight w:val="yellow"/>
          <w:lang w:val="en-US" w:eastAsia="zh-CN" w:bidi="ar"/>
        </w:rPr>
        <w:t>日</w:t>
      </w:r>
      <w:r>
        <w:rPr>
          <w:rFonts w:hint="eastAsia" w:ascii="仿宋" w:hAnsi="仿宋" w:eastAsia="仿宋" w:cs="仿宋"/>
          <w:i w:val="0"/>
          <w:caps w:val="0"/>
          <w:color w:val="000000"/>
          <w:spacing w:val="0"/>
          <w:kern w:val="0"/>
          <w:sz w:val="27"/>
          <w:szCs w:val="27"/>
          <w:lang w:val="en-US" w:eastAsia="zh-CN" w:bidi="ar"/>
        </w:rPr>
        <w:t>（每天上午10：00—14：00，下午16：00—19：30时；北京时间，节假日除外）</w:t>
      </w:r>
    </w:p>
    <w:p>
      <w:pPr>
        <w:keepNext w:val="0"/>
        <w:keepLines w:val="0"/>
        <w:widowControl/>
        <w:suppressLineNumbers w:val="0"/>
        <w:spacing w:before="75" w:beforeAutospacing="0" w:after="75" w:afterAutospacing="0" w:line="360" w:lineRule="auto"/>
        <w:ind w:left="538" w:leftChars="256" w:right="0" w:firstLine="0" w:firstLineChars="0"/>
        <w:jc w:val="left"/>
        <w:rPr>
          <w:rFonts w:hint="eastAsia" w:ascii="仿宋" w:hAnsi="仿宋" w:eastAsia="仿宋" w:cs="仿宋"/>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地点：新疆塔城地区塔城市巴克图路地市行政服务中心4楼409室</w:t>
      </w:r>
    </w:p>
    <w:p>
      <w:pPr>
        <w:keepNext w:val="0"/>
        <w:keepLines w:val="0"/>
        <w:widowControl/>
        <w:suppressLineNumbers w:val="0"/>
        <w:spacing w:before="75" w:beforeAutospacing="0" w:after="75" w:afterAutospacing="0" w:line="360" w:lineRule="auto"/>
        <w:ind w:left="538" w:leftChars="256" w:right="0" w:firstLine="0" w:firstLineChars="0"/>
        <w:jc w:val="left"/>
        <w:rPr>
          <w:rFonts w:hint="eastAsia" w:ascii="仿宋" w:hAnsi="仿宋" w:eastAsia="仿宋" w:cs="仿宋"/>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售价（元）：0元</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b/>
          <w:bCs/>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方式：现场领取；</w:t>
      </w:r>
      <w:r>
        <w:rPr>
          <w:rFonts w:hint="eastAsia" w:ascii="仿宋" w:hAnsi="仿宋" w:eastAsia="仿宋" w:cs="仿宋"/>
          <w:b/>
          <w:bCs/>
          <w:i w:val="0"/>
          <w:caps w:val="0"/>
          <w:color w:val="000000"/>
          <w:spacing w:val="0"/>
          <w:kern w:val="0"/>
          <w:sz w:val="27"/>
          <w:szCs w:val="27"/>
          <w:lang w:val="en-US" w:eastAsia="zh-CN" w:bidi="ar"/>
        </w:rPr>
        <w:t>投标人购买招标文件时应提交的资料：</w:t>
      </w:r>
    </w:p>
    <w:p>
      <w:pPr>
        <w:keepNext w:val="0"/>
        <w:keepLines w:val="0"/>
        <w:widowControl/>
        <w:suppressLineNumbers w:val="0"/>
        <w:spacing w:before="75" w:beforeAutospacing="0" w:after="75" w:afterAutospacing="0" w:line="360" w:lineRule="auto"/>
        <w:ind w:left="0" w:right="0" w:firstLine="420"/>
        <w:jc w:val="left"/>
        <w:rPr>
          <w:rFonts w:hint="default" w:ascii="sans-serif" w:hAnsi="sans-serif" w:eastAsia="sans-serif" w:cs="sans-serif"/>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7"/>
          <w:szCs w:val="27"/>
          <w:lang w:val="en-US" w:eastAsia="zh-CN" w:bidi="ar"/>
        </w:rPr>
        <w:t>（1）有效的营业执照复印件（经营范围须满足本次采购要求）； </w:t>
      </w:r>
    </w:p>
    <w:p>
      <w:pPr>
        <w:keepNext w:val="0"/>
        <w:keepLines w:val="0"/>
        <w:widowControl/>
        <w:suppressLineNumbers w:val="0"/>
        <w:spacing w:before="75" w:beforeAutospacing="0" w:after="75" w:afterAutospacing="0" w:line="360" w:lineRule="auto"/>
        <w:ind w:left="0" w:right="0" w:firstLine="420"/>
        <w:jc w:val="left"/>
        <w:rPr>
          <w:rFonts w:hint="default" w:ascii="sans-serif" w:hAnsi="sans-serif" w:eastAsia="sans-serif" w:cs="sans-serif"/>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7"/>
          <w:szCs w:val="27"/>
          <w:lang w:val="en-US" w:eastAsia="zh-CN" w:bidi="ar"/>
        </w:rPr>
        <w:t>（2）法定代表人资格证明书原件或法定代表人授权委托书原件；</w:t>
      </w:r>
    </w:p>
    <w:p>
      <w:pPr>
        <w:keepNext w:val="0"/>
        <w:keepLines w:val="0"/>
        <w:widowControl/>
        <w:suppressLineNumbers w:val="0"/>
        <w:spacing w:before="75" w:beforeAutospacing="0" w:after="75" w:afterAutospacing="0" w:line="360" w:lineRule="auto"/>
        <w:ind w:left="0" w:right="0" w:firstLine="420"/>
        <w:jc w:val="left"/>
        <w:rPr>
          <w:rFonts w:hint="default" w:ascii="仿宋" w:hAnsi="仿宋" w:eastAsia="仿宋" w:cs="仿宋"/>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（3）法定代表人身份证原件或法定代表人授权代表身份证原件； </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i w:val="0"/>
          <w:caps w:val="0"/>
          <w:color w:val="000000"/>
          <w:spacing w:val="0"/>
          <w:kern w:val="0"/>
          <w:sz w:val="27"/>
          <w:szCs w:val="27"/>
          <w:lang w:val="en-US" w:eastAsia="zh-CN" w:bidi="ar"/>
        </w:rPr>
      </w:pPr>
      <w:r>
        <w:rPr>
          <w:rFonts w:hint="eastAsia" w:ascii="仿宋" w:hAnsi="仿宋" w:eastAsia="仿宋" w:cs="仿宋"/>
          <w:i w:val="0"/>
          <w:caps w:val="0"/>
          <w:color w:val="000000"/>
          <w:spacing w:val="0"/>
          <w:kern w:val="0"/>
          <w:sz w:val="27"/>
          <w:szCs w:val="27"/>
          <w:lang w:val="en-US" w:eastAsia="zh-CN" w:bidi="ar"/>
        </w:rPr>
        <w:t>（4）“信用中国”网站、“中国政府采购”截图复印件加盖公章（查询渠道：“信用中国”网站www.creditchina.gov.cn、中国政府采购”网站（www.ccgp.gov.cn）。</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b/>
          <w:bCs/>
          <w:i w:val="0"/>
          <w:caps w:val="0"/>
          <w:color w:val="000000"/>
          <w:spacing w:val="0"/>
          <w:kern w:val="0"/>
          <w:sz w:val="27"/>
          <w:szCs w:val="27"/>
          <w:lang w:val="en-US" w:eastAsia="zh-CN" w:bidi="ar"/>
        </w:rPr>
      </w:pPr>
      <w:r>
        <w:rPr>
          <w:rFonts w:hint="eastAsia" w:ascii="仿宋" w:hAnsi="仿宋" w:eastAsia="仿宋" w:cs="仿宋"/>
          <w:b/>
          <w:bCs/>
          <w:i w:val="0"/>
          <w:caps w:val="0"/>
          <w:color w:val="000000"/>
          <w:spacing w:val="0"/>
          <w:kern w:val="0"/>
          <w:sz w:val="27"/>
          <w:szCs w:val="27"/>
          <w:lang w:val="en-US" w:eastAsia="zh-CN" w:bidi="ar"/>
        </w:rPr>
        <w:t>注：以上资料提供不齐者不予接受；所有资料的复印件加盖企业公章并装订成册；</w:t>
      </w: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r>
        <w:rPr>
          <w:rFonts w:hint="eastAsia" w:ascii="黑体" w:hAnsi="黑体" w:eastAsia="宋体" w:cs="宋体"/>
          <w:b w:val="0"/>
          <w:kern w:val="0"/>
          <w:sz w:val="28"/>
          <w:szCs w:val="28"/>
          <w:lang w:val="en-US" w:eastAsia="zh-CN" w:bidi="ar"/>
        </w:rPr>
        <w:t>四、响应文件提交</w:t>
      </w:r>
      <w:bookmarkEnd w:id="13"/>
      <w:bookmarkEnd w:id="14"/>
      <w:bookmarkEnd w:id="15"/>
      <w:bookmarkEnd w:id="16"/>
    </w:p>
    <w:p>
      <w:pPr>
        <w:keepNext w:val="0"/>
        <w:keepLines w:val="0"/>
        <w:widowControl/>
        <w:suppressLineNumbers w:val="0"/>
        <w:spacing w:before="75" w:beforeAutospacing="0" w:after="75" w:afterAutospacing="0" w:line="360" w:lineRule="auto"/>
        <w:ind w:left="0" w:right="0" w:firstLine="560" w:firstLineChars="200"/>
        <w:jc w:val="left"/>
        <w:rPr>
          <w:rFonts w:ascii="仿宋" w:hAnsi="仿宋" w:eastAsia="仿宋" w:cs="Times New Roman"/>
          <w:bCs/>
          <w:kern w:val="0"/>
          <w:sz w:val="28"/>
          <w:szCs w:val="28"/>
          <w:u w:val="single"/>
          <w:lang w:val="en-US" w:eastAsia="zh-CN" w:bidi="ar"/>
        </w:rPr>
      </w:pPr>
      <w:r>
        <w:rPr>
          <w:rFonts w:hint="eastAsia" w:ascii="仿宋" w:hAnsi="仿宋" w:eastAsia="仿宋" w:cs="Times New Roman"/>
          <w:kern w:val="0"/>
          <w:sz w:val="28"/>
          <w:szCs w:val="28"/>
          <w:lang w:val="en-US" w:eastAsia="zh-CN" w:bidi="ar"/>
        </w:rPr>
        <w:t>截止时间</w:t>
      </w:r>
      <w:r>
        <w:rPr>
          <w:rFonts w:hint="eastAsia" w:ascii="仿宋" w:hAnsi="仿宋" w:eastAsia="仿宋" w:cs="Times New Roman"/>
          <w:kern w:val="0"/>
          <w:sz w:val="28"/>
          <w:szCs w:val="28"/>
          <w:highlight w:val="yellow"/>
          <w:lang w:val="en-US" w:eastAsia="zh-CN" w:bidi="ar"/>
        </w:rPr>
        <w:t>：</w:t>
      </w:r>
      <w:r>
        <w:rPr>
          <w:rFonts w:hint="eastAsia" w:ascii="仿宋" w:hAnsi="仿宋" w:eastAsia="仿宋" w:cs="仿宋"/>
          <w:i w:val="0"/>
          <w:caps w:val="0"/>
          <w:color w:val="000000"/>
          <w:spacing w:val="0"/>
          <w:kern w:val="0"/>
          <w:sz w:val="27"/>
          <w:szCs w:val="27"/>
          <w:highlight w:val="yellow"/>
          <w:lang w:val="en-US" w:eastAsia="zh-CN" w:bidi="ar"/>
        </w:rPr>
        <w:t>2022年5月30日10:30 （</w:t>
      </w:r>
      <w:r>
        <w:rPr>
          <w:rFonts w:hint="eastAsia" w:ascii="仿宋" w:hAnsi="仿宋" w:eastAsia="仿宋" w:cs="仿宋"/>
          <w:i w:val="0"/>
          <w:caps w:val="0"/>
          <w:color w:val="000000"/>
          <w:spacing w:val="0"/>
          <w:kern w:val="0"/>
          <w:sz w:val="27"/>
          <w:szCs w:val="27"/>
          <w:lang w:val="en-US" w:eastAsia="zh-CN" w:bidi="ar"/>
        </w:rPr>
        <w:t>北京时间）</w:t>
      </w:r>
    </w:p>
    <w:p>
      <w:pPr>
        <w:spacing w:line="360" w:lineRule="auto"/>
        <w:ind w:firstLine="560" w:firstLineChars="200"/>
        <w:rPr>
          <w:rFonts w:hint="eastAsia" w:ascii="仿宋" w:hAnsi="仿宋" w:eastAsia="仿宋" w:cs="Times New Roman"/>
          <w:sz w:val="28"/>
          <w:szCs w:val="28"/>
          <w:lang w:bidi="ar-SA"/>
        </w:rPr>
      </w:pPr>
      <w:r>
        <w:rPr>
          <w:rFonts w:hint="eastAsia" w:ascii="仿宋" w:hAnsi="仿宋" w:eastAsia="仿宋"/>
          <w:sz w:val="28"/>
          <w:szCs w:val="28"/>
          <w:lang w:bidi="ar-SA"/>
        </w:rPr>
        <w:t>地点：</w:t>
      </w:r>
      <w:r>
        <w:rPr>
          <w:rFonts w:hint="eastAsia" w:ascii="仿宋" w:hAnsi="仿宋" w:eastAsia="仿宋" w:cs="Times New Roman"/>
          <w:sz w:val="28"/>
          <w:szCs w:val="28"/>
          <w:lang w:bidi="ar-SA"/>
        </w:rPr>
        <w:t>新疆塔城地区塔城市巴克图路地市行政服务中心4楼开标厅</w:t>
      </w: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bookmarkStart w:id="17" w:name="_Toc35393802"/>
      <w:bookmarkStart w:id="18" w:name="_Toc28359093"/>
      <w:bookmarkStart w:id="19" w:name="_Toc28359016"/>
      <w:bookmarkStart w:id="20" w:name="_Toc35393633"/>
      <w:r>
        <w:rPr>
          <w:rFonts w:hint="eastAsia" w:ascii="黑体" w:hAnsi="黑体" w:eastAsia="宋体" w:cs="宋体"/>
          <w:b w:val="0"/>
          <w:kern w:val="0"/>
          <w:sz w:val="28"/>
          <w:szCs w:val="28"/>
          <w:lang w:val="en-US" w:eastAsia="zh-CN" w:bidi="ar"/>
        </w:rPr>
        <w:t>五、开启（竞争性磋商方式必须填写）</w:t>
      </w:r>
      <w:bookmarkEnd w:id="17"/>
      <w:bookmarkEnd w:id="18"/>
      <w:bookmarkEnd w:id="19"/>
      <w:bookmarkEnd w:id="20"/>
    </w:p>
    <w:p>
      <w:pPr>
        <w:spacing w:line="360" w:lineRule="auto"/>
        <w:ind w:firstLine="560" w:firstLineChars="200"/>
        <w:rPr>
          <w:rFonts w:hint="eastAsia" w:ascii="仿宋" w:hAnsi="仿宋" w:eastAsia="仿宋"/>
          <w:sz w:val="28"/>
          <w:szCs w:val="28"/>
          <w:u w:val="single"/>
          <w:lang w:val="en-US" w:eastAsia="zh-CN" w:bidi="ar-SA"/>
        </w:rPr>
      </w:pPr>
      <w:r>
        <w:rPr>
          <w:rFonts w:hint="eastAsia" w:ascii="仿宋" w:hAnsi="仿宋" w:eastAsia="仿宋"/>
          <w:sz w:val="28"/>
          <w:szCs w:val="28"/>
          <w:lang w:bidi="ar-SA"/>
        </w:rPr>
        <w:t>时间：</w:t>
      </w:r>
      <w:r>
        <w:rPr>
          <w:rFonts w:hint="eastAsia" w:ascii="仿宋" w:hAnsi="仿宋" w:eastAsia="仿宋"/>
          <w:sz w:val="28"/>
          <w:szCs w:val="28"/>
          <w:highlight w:val="yellow"/>
          <w:u w:val="none"/>
          <w:lang w:val="en-US" w:eastAsia="zh-CN" w:bidi="ar-SA"/>
        </w:rPr>
        <w:t>2022年5月30日10:30 （</w:t>
      </w:r>
      <w:r>
        <w:rPr>
          <w:rFonts w:hint="eastAsia" w:ascii="仿宋" w:hAnsi="仿宋" w:eastAsia="仿宋"/>
          <w:sz w:val="28"/>
          <w:szCs w:val="28"/>
          <w:u w:val="none"/>
          <w:lang w:val="en-US" w:eastAsia="zh-CN" w:bidi="ar-SA"/>
        </w:rPr>
        <w:t>北京时间）</w:t>
      </w:r>
    </w:p>
    <w:p>
      <w:pPr>
        <w:spacing w:line="360" w:lineRule="auto"/>
        <w:ind w:firstLine="560" w:firstLineChars="200"/>
        <w:rPr>
          <w:rFonts w:ascii="仿宋" w:hAnsi="仿宋" w:eastAsia="仿宋"/>
          <w:bCs/>
          <w:sz w:val="28"/>
          <w:szCs w:val="28"/>
          <w:u w:val="single"/>
          <w:lang w:bidi="ar-SA"/>
        </w:rPr>
      </w:pPr>
      <w:r>
        <w:rPr>
          <w:rFonts w:hint="eastAsia" w:ascii="仿宋" w:hAnsi="仿宋" w:eastAsia="仿宋"/>
          <w:sz w:val="28"/>
          <w:szCs w:val="28"/>
          <w:lang w:bidi="ar-SA"/>
        </w:rPr>
        <w:t>地点：</w:t>
      </w:r>
      <w:r>
        <w:rPr>
          <w:rFonts w:hint="eastAsia" w:ascii="仿宋" w:hAnsi="仿宋" w:eastAsia="仿宋" w:cs="Times New Roman"/>
          <w:sz w:val="28"/>
          <w:szCs w:val="28"/>
          <w:lang w:bidi="ar-SA"/>
        </w:rPr>
        <w:t>新疆塔城地区塔城市巴克图路地市行政服务中心4楼开标厅</w:t>
      </w: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bookmarkStart w:id="21" w:name="_Toc28359094"/>
      <w:bookmarkStart w:id="22" w:name="_Toc35393803"/>
      <w:bookmarkStart w:id="23" w:name="_Toc28359017"/>
      <w:bookmarkStart w:id="24" w:name="_Toc35393634"/>
      <w:r>
        <w:rPr>
          <w:rFonts w:hint="eastAsia" w:ascii="黑体" w:hAnsi="黑体" w:eastAsia="宋体" w:cs="宋体"/>
          <w:b w:val="0"/>
          <w:kern w:val="0"/>
          <w:sz w:val="28"/>
          <w:szCs w:val="28"/>
          <w:lang w:val="en-US" w:eastAsia="zh-CN" w:bidi="ar"/>
        </w:rPr>
        <w:t>六、公告期限</w:t>
      </w:r>
      <w:bookmarkEnd w:id="21"/>
      <w:bookmarkEnd w:id="22"/>
      <w:bookmarkEnd w:id="23"/>
      <w:bookmarkEnd w:id="24"/>
    </w:p>
    <w:p>
      <w:pPr>
        <w:spacing w:line="360" w:lineRule="auto"/>
        <w:ind w:firstLine="560" w:firstLineChars="200"/>
        <w:rPr>
          <w:rFonts w:ascii="仿宋" w:hAnsi="仿宋" w:eastAsia="仿宋" w:cs="宋体"/>
          <w:kern w:val="0"/>
          <w:sz w:val="28"/>
          <w:szCs w:val="28"/>
          <w:lang w:bidi="ar-SA"/>
        </w:rPr>
      </w:pPr>
      <w:r>
        <w:rPr>
          <w:rFonts w:hint="eastAsia" w:ascii="仿宋" w:hAnsi="仿宋" w:eastAsia="仿宋" w:cs="宋体"/>
          <w:kern w:val="0"/>
          <w:sz w:val="28"/>
          <w:szCs w:val="28"/>
          <w:lang w:bidi="ar-SA"/>
        </w:rPr>
        <w:t>自本公告发布之日起</w:t>
      </w:r>
      <w:r>
        <w:rPr>
          <w:rFonts w:hint="eastAsia" w:ascii="仿宋" w:hAnsi="仿宋" w:eastAsia="仿宋" w:cs="宋体"/>
          <w:kern w:val="0"/>
          <w:sz w:val="28"/>
          <w:szCs w:val="28"/>
          <w:lang w:val="en-US" w:eastAsia="zh-CN" w:bidi="ar-SA"/>
        </w:rPr>
        <w:t>5</w:t>
      </w:r>
      <w:r>
        <w:rPr>
          <w:rFonts w:hint="eastAsia" w:ascii="仿宋" w:hAnsi="仿宋" w:eastAsia="仿宋" w:cs="宋体"/>
          <w:kern w:val="0"/>
          <w:sz w:val="28"/>
          <w:szCs w:val="28"/>
          <w:lang w:bidi="ar-SA"/>
        </w:rPr>
        <w:t>个</w:t>
      </w:r>
      <w:r>
        <w:rPr>
          <w:rFonts w:hint="eastAsia" w:ascii="仿宋" w:hAnsi="仿宋" w:eastAsia="仿宋" w:cs="宋体"/>
          <w:kern w:val="0"/>
          <w:sz w:val="28"/>
          <w:szCs w:val="28"/>
          <w:lang w:val="en-US" w:eastAsia="zh-CN" w:bidi="ar-SA"/>
        </w:rPr>
        <w:t>工作</w:t>
      </w:r>
      <w:r>
        <w:rPr>
          <w:rFonts w:hint="eastAsia" w:ascii="仿宋" w:hAnsi="仿宋" w:eastAsia="仿宋" w:cs="宋体"/>
          <w:kern w:val="0"/>
          <w:sz w:val="28"/>
          <w:szCs w:val="28"/>
          <w:lang w:bidi="ar-SA"/>
        </w:rPr>
        <w:t>日。</w:t>
      </w:r>
    </w:p>
    <w:p>
      <w:pPr>
        <w:widowControl w:val="0"/>
        <w:spacing w:before="100" w:beforeAutospacing="1" w:after="100" w:afterAutospacing="1" w:line="360" w:lineRule="auto"/>
        <w:jc w:val="left"/>
        <w:rPr>
          <w:rFonts w:hint="eastAsia" w:ascii="仿宋" w:hAnsi="仿宋" w:eastAsia="黑体" w:cs="宋体"/>
          <w:b/>
          <w:kern w:val="0"/>
          <w:sz w:val="28"/>
          <w:szCs w:val="28"/>
          <w:lang w:val="en-US" w:eastAsia="zh-CN" w:bidi="ar"/>
        </w:rPr>
      </w:pPr>
      <w:bookmarkStart w:id="25" w:name="_Toc35393635"/>
      <w:bookmarkStart w:id="26" w:name="_Toc35393804"/>
      <w:r>
        <w:rPr>
          <w:rFonts w:hint="eastAsia" w:ascii="黑体" w:hAnsi="黑体" w:eastAsia="宋体" w:cs="宋体"/>
          <w:b w:val="0"/>
          <w:kern w:val="0"/>
          <w:sz w:val="28"/>
          <w:szCs w:val="28"/>
          <w:lang w:val="en-US" w:eastAsia="zh-CN" w:bidi="ar"/>
        </w:rPr>
        <w:t>七、其他补充事宜</w:t>
      </w:r>
      <w:bookmarkEnd w:id="25"/>
      <w:bookmarkEnd w:id="26"/>
      <w:r>
        <w:rPr>
          <w:rFonts w:hint="eastAsia" w:ascii="黑体" w:hAnsi="黑体" w:eastAsia="宋体" w:cs="宋体"/>
          <w:b w:val="0"/>
          <w:kern w:val="0"/>
          <w:sz w:val="28"/>
          <w:szCs w:val="28"/>
          <w:lang w:val="en-US" w:eastAsia="zh-CN" w:bidi="ar"/>
        </w:rPr>
        <w:t>：</w:t>
      </w:r>
    </w:p>
    <w:p>
      <w:pPr>
        <w:widowControl w:val="0"/>
        <w:spacing w:before="100" w:beforeAutospacing="1" w:after="100" w:afterAutospacing="1" w:line="360" w:lineRule="auto"/>
        <w:jc w:val="left"/>
        <w:rPr>
          <w:rFonts w:hint="eastAsia" w:ascii="黑体" w:hAnsi="黑体" w:eastAsia="宋体" w:cs="宋体"/>
          <w:b w:val="0"/>
          <w:kern w:val="0"/>
          <w:sz w:val="28"/>
          <w:szCs w:val="28"/>
          <w:lang w:val="en-US" w:eastAsia="zh-CN" w:bidi="ar"/>
        </w:rPr>
      </w:pPr>
      <w:bookmarkStart w:id="27" w:name="_Toc35393636"/>
      <w:bookmarkStart w:id="28" w:name="_Toc28359018"/>
      <w:bookmarkStart w:id="29" w:name="_Toc28359095"/>
      <w:bookmarkStart w:id="30" w:name="_Toc35393805"/>
      <w:r>
        <w:rPr>
          <w:rFonts w:hint="eastAsia" w:ascii="黑体" w:hAnsi="黑体" w:eastAsia="宋体" w:cs="宋体"/>
          <w:b w:val="0"/>
          <w:kern w:val="0"/>
          <w:sz w:val="28"/>
          <w:szCs w:val="28"/>
          <w:lang w:val="en-US" w:eastAsia="zh-CN" w:bidi="ar"/>
        </w:rPr>
        <w:t>八、凡对本次采购提出询问，请按以下方式联系。</w:t>
      </w:r>
      <w:bookmarkEnd w:id="27"/>
      <w:bookmarkEnd w:id="28"/>
      <w:bookmarkEnd w:id="29"/>
      <w:bookmarkEnd w:id="30"/>
    </w:p>
    <w:p>
      <w:pPr>
        <w:widowControl w:val="0"/>
        <w:spacing w:before="100" w:beforeAutospacing="1" w:after="100" w:afterAutospacing="1" w:line="360" w:lineRule="auto"/>
        <w:ind w:firstLine="840" w:firstLineChars="300"/>
        <w:jc w:val="left"/>
        <w:rPr>
          <w:rFonts w:hint="eastAsia" w:ascii="仿宋" w:hAnsi="仿宋" w:eastAsia="仿宋" w:cs="宋体"/>
          <w:b w:val="0"/>
          <w:kern w:val="0"/>
          <w:sz w:val="28"/>
          <w:szCs w:val="28"/>
          <w:lang w:val="en-US" w:eastAsia="zh-CN" w:bidi="ar"/>
        </w:rPr>
      </w:pPr>
      <w:bookmarkStart w:id="31" w:name="_Toc35393637"/>
      <w:bookmarkStart w:id="32" w:name="_Toc35393806"/>
      <w:bookmarkStart w:id="33" w:name="_Toc28359096"/>
      <w:bookmarkStart w:id="34" w:name="_Toc28359019"/>
      <w:r>
        <w:rPr>
          <w:rFonts w:hint="eastAsia" w:ascii="仿宋" w:hAnsi="仿宋" w:eastAsia="仿宋" w:cs="宋体"/>
          <w:b w:val="0"/>
          <w:kern w:val="0"/>
          <w:sz w:val="28"/>
          <w:szCs w:val="28"/>
          <w:lang w:val="en-US" w:eastAsia="zh-CN" w:bidi="ar"/>
        </w:rPr>
        <w:t>1.采购人信息</w:t>
      </w:r>
      <w:bookmarkEnd w:id="31"/>
      <w:bookmarkEnd w:id="32"/>
      <w:bookmarkEnd w:id="33"/>
      <w:bookmarkEnd w:id="34"/>
    </w:p>
    <w:p>
      <w:pPr>
        <w:spacing w:line="360" w:lineRule="auto"/>
        <w:ind w:left="1129" w:leftChars="371" w:hanging="350" w:hangingChars="125"/>
        <w:jc w:val="left"/>
        <w:rPr>
          <w:rFonts w:hint="eastAsia" w:ascii="仿宋" w:hAnsi="仿宋" w:eastAsia="仿宋" w:cs="宋体"/>
          <w:b w:val="0"/>
          <w:bCs/>
          <w:kern w:val="2"/>
          <w:sz w:val="28"/>
          <w:szCs w:val="28"/>
          <w:lang w:val="en-US" w:eastAsia="zh-CN" w:bidi="ar-SA"/>
        </w:rPr>
      </w:pPr>
      <w:r>
        <w:rPr>
          <w:rFonts w:hint="eastAsia" w:ascii="仿宋" w:hAnsi="仿宋" w:eastAsia="仿宋"/>
          <w:sz w:val="28"/>
          <w:szCs w:val="28"/>
          <w:lang w:bidi="ar-SA"/>
        </w:rPr>
        <w:t>名    称</w:t>
      </w:r>
      <w:r>
        <w:rPr>
          <w:rFonts w:hint="eastAsia" w:ascii="仿宋" w:hAnsi="仿宋" w:eastAsia="仿宋" w:cs="宋体"/>
          <w:b w:val="0"/>
          <w:bCs/>
          <w:kern w:val="2"/>
          <w:sz w:val="28"/>
          <w:szCs w:val="28"/>
          <w:lang w:val="en-US" w:eastAsia="zh-CN" w:bidi="ar-SA"/>
        </w:rPr>
        <w:t>：塔城地区机关事务管理局</w:t>
      </w:r>
    </w:p>
    <w:p>
      <w:pPr>
        <w:spacing w:line="360" w:lineRule="auto"/>
        <w:ind w:left="1129" w:leftChars="371" w:hanging="350" w:hangingChars="125"/>
        <w:jc w:val="left"/>
        <w:rPr>
          <w:rFonts w:hint="eastAsia" w:ascii="仿宋" w:hAnsi="仿宋" w:eastAsia="仿宋" w:cs="宋体"/>
          <w:b w:val="0"/>
          <w:bCs/>
          <w:kern w:val="2"/>
          <w:sz w:val="28"/>
          <w:szCs w:val="28"/>
          <w:lang w:val="en-US" w:eastAsia="zh-CN" w:bidi="ar-SA"/>
        </w:rPr>
      </w:pPr>
      <w:r>
        <w:rPr>
          <w:rFonts w:hint="eastAsia" w:ascii="仿宋" w:hAnsi="仿宋" w:eastAsia="仿宋"/>
          <w:sz w:val="28"/>
          <w:szCs w:val="28"/>
          <w:lang w:bidi="ar-SA"/>
        </w:rPr>
        <w:t>地    址：</w:t>
      </w:r>
      <w:r>
        <w:rPr>
          <w:rFonts w:hint="eastAsia" w:ascii="仿宋" w:hAnsi="仿宋" w:eastAsia="仿宋" w:cs="宋体"/>
          <w:b w:val="0"/>
          <w:bCs/>
          <w:kern w:val="2"/>
          <w:sz w:val="28"/>
          <w:szCs w:val="28"/>
          <w:lang w:val="en-US" w:eastAsia="zh-CN" w:bidi="ar-SA"/>
        </w:rPr>
        <w:t>塔城市 巴克图路宁城宾馆10号楼</w:t>
      </w:r>
    </w:p>
    <w:p>
      <w:pPr>
        <w:spacing w:line="360" w:lineRule="auto"/>
        <w:ind w:left="1129" w:leftChars="371" w:hanging="350" w:hangingChars="125"/>
        <w:jc w:val="left"/>
        <w:rPr>
          <w:rFonts w:hint="default" w:ascii="仿宋" w:hAnsi="仿宋" w:eastAsia="仿宋" w:cs="宋体"/>
          <w:b w:val="0"/>
          <w:bCs/>
          <w:kern w:val="2"/>
          <w:sz w:val="28"/>
          <w:szCs w:val="28"/>
          <w:lang w:val="en-US" w:eastAsia="zh-CN" w:bidi="ar-SA"/>
        </w:rPr>
      </w:pPr>
      <w:r>
        <w:rPr>
          <w:rFonts w:hint="eastAsia" w:ascii="仿宋" w:hAnsi="仿宋" w:eastAsia="仿宋"/>
          <w:sz w:val="28"/>
          <w:szCs w:val="28"/>
          <w:lang w:bidi="ar-SA"/>
        </w:rPr>
        <w:t>联系方式：</w:t>
      </w:r>
      <w:r>
        <w:rPr>
          <w:rFonts w:hint="eastAsia" w:ascii="仿宋" w:hAnsi="仿宋" w:eastAsia="仿宋" w:cs="宋体"/>
          <w:b w:val="0"/>
          <w:bCs/>
          <w:kern w:val="2"/>
          <w:sz w:val="28"/>
          <w:szCs w:val="28"/>
          <w:lang w:val="en-US" w:eastAsia="zh-CN" w:bidi="ar-SA"/>
        </w:rPr>
        <w:t>0901-6110730</w:t>
      </w:r>
    </w:p>
    <w:p>
      <w:pPr>
        <w:widowControl w:val="0"/>
        <w:spacing w:before="100" w:beforeAutospacing="1" w:after="100" w:afterAutospacing="1" w:line="360" w:lineRule="auto"/>
        <w:ind w:firstLine="840" w:firstLineChars="300"/>
        <w:jc w:val="left"/>
        <w:rPr>
          <w:rFonts w:hint="eastAsia" w:ascii="仿宋" w:hAnsi="仿宋" w:eastAsia="仿宋" w:cs="宋体"/>
          <w:b w:val="0"/>
          <w:kern w:val="0"/>
          <w:sz w:val="28"/>
          <w:szCs w:val="28"/>
          <w:lang w:val="en-US" w:eastAsia="zh-CN" w:bidi="ar"/>
        </w:rPr>
      </w:pPr>
      <w:bookmarkStart w:id="35" w:name="_Toc35393638"/>
      <w:bookmarkStart w:id="36" w:name="_Toc35393807"/>
      <w:bookmarkStart w:id="37" w:name="_Toc28359097"/>
      <w:bookmarkStart w:id="38" w:name="_Toc28359020"/>
      <w:r>
        <w:rPr>
          <w:rFonts w:hint="eastAsia" w:ascii="仿宋" w:hAnsi="仿宋" w:eastAsia="仿宋" w:cs="宋体"/>
          <w:b w:val="0"/>
          <w:kern w:val="0"/>
          <w:sz w:val="28"/>
          <w:szCs w:val="28"/>
          <w:lang w:val="en-US" w:eastAsia="zh-CN" w:bidi="ar"/>
        </w:rPr>
        <w:t>2.采购代理机构信息</w:t>
      </w:r>
      <w:bookmarkEnd w:id="35"/>
      <w:bookmarkEnd w:id="36"/>
      <w:bookmarkEnd w:id="37"/>
      <w:bookmarkEnd w:id="38"/>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ind w:left="0" w:right="0" w:firstLine="840" w:firstLineChars="300"/>
        <w:jc w:val="left"/>
        <w:textAlignment w:val="auto"/>
        <w:rPr>
          <w:rFonts w:ascii="Times New Roman" w:hAnsi="Times New Roman" w:eastAsia="宋体" w:cs="Times New Roman"/>
          <w:kern w:val="0"/>
          <w:sz w:val="24"/>
          <w:szCs w:val="21"/>
          <w:lang w:val="en-US" w:eastAsia="zh-CN" w:bidi="ar"/>
        </w:rPr>
      </w:pPr>
      <w:r>
        <w:rPr>
          <w:rFonts w:hint="eastAsia" w:ascii="仿宋" w:hAnsi="仿宋" w:eastAsia="仿宋" w:cs="Times New Roman"/>
          <w:kern w:val="0"/>
          <w:sz w:val="28"/>
          <w:szCs w:val="28"/>
          <w:lang w:val="en-US" w:eastAsia="zh-CN" w:bidi="ar"/>
        </w:rPr>
        <w:t>名    称：</w:t>
      </w:r>
      <w:r>
        <w:rPr>
          <w:rFonts w:hint="eastAsia" w:ascii="仿宋" w:hAnsi="仿宋" w:eastAsia="仿宋" w:cs="宋体"/>
          <w:b w:val="0"/>
          <w:bCs/>
          <w:kern w:val="2"/>
          <w:sz w:val="28"/>
          <w:szCs w:val="28"/>
          <w:lang w:val="en-US" w:eastAsia="zh-CN" w:bidi="ar-SA"/>
        </w:rPr>
        <w:t>塔城地区政府集中采购中心</w:t>
      </w:r>
    </w:p>
    <w:p>
      <w:pPr>
        <w:spacing w:line="360" w:lineRule="auto"/>
        <w:ind w:firstLine="840" w:firstLineChars="300"/>
        <w:rPr>
          <w:rFonts w:hint="eastAsia" w:ascii="仿宋" w:hAnsi="仿宋" w:eastAsia="仿宋" w:cs="仿宋"/>
          <w:i w:val="0"/>
          <w:caps w:val="0"/>
          <w:color w:val="000000"/>
          <w:spacing w:val="0"/>
          <w:kern w:val="0"/>
          <w:sz w:val="27"/>
          <w:szCs w:val="27"/>
          <w:lang w:val="en-US" w:eastAsia="zh-CN" w:bidi="ar"/>
        </w:rPr>
      </w:pPr>
      <w:r>
        <w:rPr>
          <w:rFonts w:hint="eastAsia" w:ascii="仿宋" w:hAnsi="仿宋" w:eastAsia="仿宋"/>
          <w:sz w:val="28"/>
          <w:szCs w:val="28"/>
          <w:lang w:bidi="ar-SA"/>
        </w:rPr>
        <w:t>地　　址：</w:t>
      </w:r>
      <w:r>
        <w:rPr>
          <w:rFonts w:hint="eastAsia" w:ascii="仿宋" w:hAnsi="仿宋" w:eastAsia="仿宋" w:cs="仿宋"/>
          <w:i w:val="0"/>
          <w:caps w:val="0"/>
          <w:color w:val="000000"/>
          <w:spacing w:val="0"/>
          <w:kern w:val="0"/>
          <w:sz w:val="27"/>
          <w:szCs w:val="27"/>
          <w:lang w:val="en-US" w:eastAsia="zh-CN" w:bidi="ar"/>
        </w:rPr>
        <w:t>新疆塔城地区塔城市巴克图路地市行政服务中心4楼409室</w:t>
      </w:r>
    </w:p>
    <w:p>
      <w:pPr>
        <w:spacing w:line="360" w:lineRule="auto"/>
        <w:ind w:firstLine="840" w:firstLineChars="300"/>
        <w:rPr>
          <w:rFonts w:hint="eastAsia" w:ascii="仿宋" w:hAnsi="仿宋" w:eastAsia="仿宋" w:cs="宋体"/>
          <w:b w:val="0"/>
          <w:bCs/>
          <w:kern w:val="2"/>
          <w:sz w:val="28"/>
          <w:szCs w:val="28"/>
          <w:lang w:val="en-US" w:eastAsia="zh-CN" w:bidi="ar-SA"/>
        </w:rPr>
      </w:pPr>
      <w:r>
        <w:rPr>
          <w:rFonts w:hint="eastAsia" w:ascii="仿宋" w:hAnsi="仿宋" w:eastAsia="仿宋"/>
          <w:sz w:val="28"/>
          <w:szCs w:val="28"/>
          <w:lang w:bidi="ar-SA"/>
        </w:rPr>
        <w:t>联系方式：</w:t>
      </w:r>
      <w:r>
        <w:rPr>
          <w:rFonts w:hint="eastAsia" w:ascii="仿宋" w:hAnsi="仿宋" w:eastAsia="仿宋" w:cs="宋体"/>
          <w:b w:val="0"/>
          <w:bCs/>
          <w:kern w:val="2"/>
          <w:sz w:val="28"/>
          <w:szCs w:val="28"/>
          <w:lang w:val="en-US" w:eastAsia="zh-CN" w:bidi="ar-SA"/>
        </w:rPr>
        <w:t>0901-6682726</w:t>
      </w:r>
    </w:p>
    <w:p>
      <w:pPr>
        <w:widowControl w:val="0"/>
        <w:spacing w:before="100" w:beforeAutospacing="1" w:after="100" w:afterAutospacing="1" w:line="360" w:lineRule="auto"/>
        <w:ind w:firstLine="840" w:firstLineChars="300"/>
        <w:jc w:val="left"/>
        <w:rPr>
          <w:rFonts w:hint="eastAsia" w:ascii="仿宋" w:hAnsi="仿宋" w:eastAsia="仿宋" w:cs="宋体"/>
          <w:b w:val="0"/>
          <w:kern w:val="0"/>
          <w:sz w:val="28"/>
          <w:szCs w:val="28"/>
          <w:lang w:val="en-US" w:eastAsia="zh-CN" w:bidi="ar"/>
        </w:rPr>
      </w:pPr>
      <w:bookmarkStart w:id="39" w:name="_Toc35393639"/>
      <w:bookmarkStart w:id="40" w:name="_Toc35393808"/>
      <w:bookmarkStart w:id="41" w:name="_Toc28359098"/>
      <w:bookmarkStart w:id="42" w:name="_Toc28359021"/>
      <w:r>
        <w:rPr>
          <w:rFonts w:hint="eastAsia" w:ascii="仿宋" w:hAnsi="仿宋" w:eastAsia="仿宋" w:cs="宋体"/>
          <w:b w:val="0"/>
          <w:kern w:val="0"/>
          <w:sz w:val="28"/>
          <w:szCs w:val="28"/>
          <w:lang w:val="en-US" w:eastAsia="zh-CN" w:bidi="ar"/>
        </w:rPr>
        <w:t>3.项目联系方式</w:t>
      </w:r>
      <w:bookmarkEnd w:id="39"/>
      <w:bookmarkEnd w:id="40"/>
      <w:bookmarkEnd w:id="41"/>
      <w:bookmarkEnd w:id="42"/>
    </w:p>
    <w:p>
      <w:pPr>
        <w:widowControl w:val="0"/>
        <w:spacing w:line="360" w:lineRule="auto"/>
        <w:ind w:firstLine="840" w:firstLineChars="300"/>
        <w:jc w:val="both"/>
        <w:rPr>
          <w:rFonts w:hint="eastAsia" w:ascii="仿宋" w:hAnsi="仿宋" w:eastAsia="仿宋" w:cs="Times New Roman"/>
          <w:kern w:val="2"/>
          <w:sz w:val="28"/>
          <w:szCs w:val="28"/>
          <w:u w:val="non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none"/>
          <w:lang w:val="en-US" w:eastAsia="zh-CN" w:bidi="ar-SA"/>
        </w:rPr>
        <w:t>王文新</w:t>
      </w:r>
    </w:p>
    <w:p>
      <w:pPr>
        <w:spacing w:line="360" w:lineRule="auto"/>
        <w:ind w:firstLine="840" w:firstLineChars="300"/>
        <w:rPr>
          <w:rFonts w:hint="eastAsia" w:ascii="仿宋" w:hAnsi="仿宋" w:eastAsia="仿宋"/>
          <w:sz w:val="28"/>
          <w:szCs w:val="28"/>
          <w:u w:val="none"/>
          <w:lang w:val="en-US" w:eastAsia="zh-CN" w:bidi="ar-SA"/>
        </w:rPr>
      </w:pPr>
      <w:r>
        <w:rPr>
          <w:rFonts w:hint="eastAsia" w:ascii="仿宋" w:hAnsi="仿宋" w:eastAsia="仿宋"/>
          <w:sz w:val="28"/>
          <w:szCs w:val="28"/>
          <w:lang w:bidi="ar-SA"/>
        </w:rPr>
        <w:t>电　　 话：</w:t>
      </w:r>
      <w:r>
        <w:rPr>
          <w:rFonts w:hint="eastAsia" w:ascii="仿宋" w:hAnsi="仿宋" w:eastAsia="仿宋"/>
          <w:sz w:val="28"/>
          <w:szCs w:val="28"/>
          <w:u w:val="none"/>
          <w:lang w:val="en-US" w:eastAsia="zh-CN" w:bidi="ar-SA"/>
        </w:rPr>
        <w:t>0901-6682726</w:t>
      </w:r>
    </w:p>
    <w:p>
      <w:pPr>
        <w:spacing w:line="240" w:lineRule="auto"/>
        <w:rPr>
          <w:szCs w:val="21"/>
          <w:lang w:bidi="ar-SA"/>
        </w:rPr>
      </w:pPr>
    </w:p>
    <w:p>
      <w:pPr>
        <w:rPr>
          <w:szCs w:val="21"/>
          <w:lang w:bidi="ar-SA"/>
        </w:rPr>
      </w:pPr>
    </w:p>
    <w:p>
      <w:pPr>
        <w:pStyle w:val="14"/>
        <w:keepNext w:val="0"/>
        <w:keepLines w:val="0"/>
        <w:pageBreakBefore w:val="0"/>
        <w:widowControl/>
        <w:suppressLineNumbers w:val="0"/>
        <w:kinsoku/>
        <w:wordWrap/>
        <w:overflowPunct/>
        <w:topLinePunct w:val="0"/>
        <w:autoSpaceDE/>
        <w:autoSpaceDN/>
        <w:adjustRightInd/>
        <w:snapToGrid/>
        <w:spacing w:line="440" w:lineRule="exact"/>
        <w:textAlignment w:val="auto"/>
        <w:rPr>
          <w:rFonts w:hint="eastAsia"/>
          <w:sz w:val="24"/>
          <w:lang w:val="en-US" w:eastAsia="zh-CN"/>
        </w:rPr>
      </w:pPr>
    </w:p>
    <w:p/>
    <w:p>
      <w:pPr>
        <w:pStyle w:val="14"/>
        <w:keepNext w:val="0"/>
        <w:keepLines w:val="0"/>
        <w:pageBreakBefore w:val="0"/>
        <w:widowControl/>
        <w:suppressLineNumbers w:val="0"/>
        <w:kinsoku/>
        <w:wordWrap/>
        <w:overflowPunct/>
        <w:topLinePunct w:val="0"/>
        <w:autoSpaceDE/>
        <w:autoSpaceDN/>
        <w:adjustRightInd/>
        <w:snapToGrid/>
        <w:spacing w:line="440" w:lineRule="exact"/>
        <w:textAlignment w:val="auto"/>
        <w:rPr>
          <w:rFonts w:hint="eastAsia"/>
          <w:sz w:val="24"/>
          <w:lang w:val="en-US" w:eastAsia="zh-CN"/>
        </w:rPr>
      </w:pPr>
    </w:p>
    <w:p>
      <w:pPr>
        <w:pStyle w:val="14"/>
        <w:keepNext w:val="0"/>
        <w:keepLines w:val="0"/>
        <w:pageBreakBefore w:val="0"/>
        <w:widowControl/>
        <w:suppressLineNumbers w:val="0"/>
        <w:kinsoku/>
        <w:wordWrap/>
        <w:overflowPunct/>
        <w:topLinePunct w:val="0"/>
        <w:autoSpaceDE/>
        <w:autoSpaceDN/>
        <w:adjustRightInd/>
        <w:snapToGrid/>
        <w:spacing w:line="440" w:lineRule="exact"/>
        <w:textAlignment w:val="auto"/>
        <w:rPr>
          <w:rFonts w:hint="eastAsia"/>
          <w:sz w:val="24"/>
          <w:lang w:val="en-US" w:eastAsia="zh-CN"/>
        </w:rPr>
      </w:pPr>
    </w:p>
    <w:p>
      <w:pPr>
        <w:spacing w:line="360" w:lineRule="auto"/>
        <w:jc w:val="both"/>
        <w:outlineLvl w:val="0"/>
        <w:rPr>
          <w:rFonts w:hint="eastAsia" w:ascii="宋体" w:hAnsi="宋体"/>
          <w:b/>
          <w:color w:val="auto"/>
          <w:sz w:val="28"/>
        </w:rPr>
      </w:pPr>
      <w:bookmarkStart w:id="43" w:name="_Toc19089"/>
    </w:p>
    <w:p>
      <w:pPr>
        <w:spacing w:line="360" w:lineRule="auto"/>
        <w:jc w:val="center"/>
        <w:outlineLvl w:val="0"/>
        <w:rPr>
          <w:rFonts w:hint="eastAsia" w:ascii="宋体" w:hAnsi="宋体"/>
          <w:b/>
          <w:color w:val="auto"/>
          <w:sz w:val="28"/>
        </w:rPr>
      </w:pPr>
      <w:r>
        <w:rPr>
          <w:rFonts w:hint="eastAsia" w:ascii="宋体" w:hAnsi="宋体"/>
          <w:b/>
          <w:color w:val="auto"/>
          <w:sz w:val="28"/>
        </w:rPr>
        <w:t>第二章 供应商须知</w:t>
      </w:r>
      <w:bookmarkEnd w:id="43"/>
      <w:bookmarkStart w:id="44" w:name="_Toc154996575"/>
    </w:p>
    <w:p>
      <w:pPr>
        <w:spacing w:line="360" w:lineRule="auto"/>
        <w:jc w:val="center"/>
        <w:outlineLvl w:val="1"/>
        <w:rPr>
          <w:rFonts w:hint="eastAsia" w:ascii="宋体" w:hAnsi="宋体"/>
          <w:b/>
          <w:color w:val="auto"/>
          <w:sz w:val="28"/>
        </w:rPr>
      </w:pPr>
      <w:bookmarkStart w:id="45" w:name="_Toc9370"/>
      <w:r>
        <w:rPr>
          <w:rFonts w:hint="eastAsia" w:ascii="宋体" w:hAnsi="宋体"/>
          <w:b/>
          <w:color w:val="auto"/>
          <w:sz w:val="28"/>
        </w:rPr>
        <w:t>前附表</w:t>
      </w:r>
      <w:bookmarkEnd w:id="45"/>
    </w:p>
    <w:tbl>
      <w:tblPr>
        <w:tblStyle w:val="16"/>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项号</w:t>
            </w:r>
          </w:p>
        </w:tc>
        <w:tc>
          <w:tcPr>
            <w:tcW w:w="9521" w:type="dxa"/>
            <w:noWrap w:val="0"/>
            <w:vAlign w:val="center"/>
          </w:tcPr>
          <w:p>
            <w:pPr>
              <w:pStyle w:val="9"/>
              <w:spacing w:line="420" w:lineRule="exact"/>
              <w:jc w:val="center"/>
              <w:rPr>
                <w:rFonts w:hint="eastAsia" w:hAnsi="宋体"/>
                <w:color w:val="auto"/>
                <w:sz w:val="24"/>
              </w:rPr>
            </w:pPr>
            <w:r>
              <w:rPr>
                <w:rFonts w:hint="eastAsia" w:hAnsi="宋体"/>
                <w:color w:val="auto"/>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1</w:t>
            </w:r>
          </w:p>
        </w:tc>
        <w:tc>
          <w:tcPr>
            <w:tcW w:w="9521" w:type="dxa"/>
            <w:noWrap w:val="0"/>
            <w:vAlign w:val="center"/>
          </w:tcPr>
          <w:p>
            <w:pPr>
              <w:pStyle w:val="14"/>
              <w:tabs>
                <w:tab w:val="left" w:pos="4200"/>
              </w:tabs>
              <w:spacing w:before="0" w:beforeLines="0" w:beforeAutospacing="0" w:after="0" w:afterLines="0" w:afterAutospacing="0" w:line="420" w:lineRule="exact"/>
              <w:rPr>
                <w:rFonts w:hint="eastAsia"/>
                <w:color w:val="auto"/>
                <w:lang w:val="en-US" w:eastAsia="zh-CN"/>
              </w:rPr>
            </w:pPr>
            <w:r>
              <w:rPr>
                <w:rFonts w:hint="eastAsia"/>
                <w:color w:val="auto"/>
              </w:rPr>
              <w:t>项目名称：塔城地区机关事务管理局塔城地区政务服务与公共资源交易中心物业管理</w:t>
            </w:r>
            <w:r>
              <w:rPr>
                <w:rFonts w:hint="eastAsia"/>
                <w:color w:val="auto"/>
                <w:lang w:val="en-US" w:eastAsia="zh-CN"/>
              </w:rPr>
              <w:t xml:space="preserve"> </w:t>
            </w:r>
          </w:p>
          <w:p>
            <w:pPr>
              <w:pStyle w:val="14"/>
              <w:tabs>
                <w:tab w:val="left" w:pos="4200"/>
              </w:tabs>
              <w:spacing w:before="0" w:beforeLines="0" w:beforeAutospacing="0" w:after="0" w:afterLines="0" w:afterAutospacing="0" w:line="420" w:lineRule="exact"/>
              <w:rPr>
                <w:rFonts w:hint="eastAsia" w:hAnsi="宋体" w:eastAsia="宋体"/>
                <w:color w:val="auto"/>
                <w:sz w:val="24"/>
                <w:lang w:val="en-US" w:eastAsia="zh-CN"/>
              </w:rPr>
            </w:pPr>
            <w:r>
              <w:rPr>
                <w:rFonts w:hint="eastAsia" w:hAnsi="宋体"/>
                <w:color w:val="auto"/>
                <w:sz w:val="24"/>
              </w:rPr>
              <w:t>采购文件编号：TCZFCG-001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2</w:t>
            </w:r>
          </w:p>
        </w:tc>
        <w:tc>
          <w:tcPr>
            <w:tcW w:w="9521" w:type="dxa"/>
            <w:noWrap w:val="0"/>
            <w:vAlign w:val="center"/>
          </w:tcPr>
          <w:p>
            <w:pPr>
              <w:pStyle w:val="9"/>
              <w:spacing w:line="420" w:lineRule="exact"/>
              <w:jc w:val="left"/>
              <w:rPr>
                <w:rFonts w:hint="eastAsia" w:hAnsi="宋体" w:eastAsia="宋体"/>
                <w:color w:val="auto"/>
                <w:sz w:val="24"/>
                <w:lang w:eastAsia="zh-CN"/>
              </w:rPr>
            </w:pPr>
            <w:r>
              <w:rPr>
                <w:rFonts w:hint="eastAsia" w:hAnsi="宋体"/>
                <w:color w:val="auto"/>
                <w:sz w:val="24"/>
              </w:rPr>
              <w:t>采购人：</w:t>
            </w:r>
            <w:r>
              <w:rPr>
                <w:rFonts w:hint="eastAsia" w:hAnsi="宋体"/>
                <w:color w:val="FF0000"/>
                <w:sz w:val="24"/>
                <w:lang w:eastAsia="zh-CN"/>
              </w:rPr>
              <w:t>塔城地区机关事务管理局</w:t>
            </w:r>
          </w:p>
          <w:p>
            <w:pPr>
              <w:spacing w:line="420" w:lineRule="exact"/>
              <w:jc w:val="left"/>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FF0000"/>
                <w:sz w:val="24"/>
                <w:lang w:eastAsia="zh-CN"/>
              </w:rPr>
              <w:t>塔城市巴克图路宁城宾馆4号楼</w:t>
            </w:r>
          </w:p>
          <w:p>
            <w:pPr>
              <w:spacing w:line="420" w:lineRule="exact"/>
              <w:jc w:val="left"/>
              <w:rPr>
                <w:rFonts w:hint="eastAsia" w:ascii="宋体" w:hAnsi="宋体"/>
                <w:color w:val="auto"/>
                <w:sz w:val="24"/>
              </w:rPr>
            </w:pPr>
            <w:r>
              <w:rPr>
                <w:rFonts w:hint="eastAsia" w:ascii="宋体" w:hAnsi="宋体"/>
                <w:color w:val="auto"/>
                <w:sz w:val="24"/>
              </w:rPr>
              <w:t>邮政编码：</w:t>
            </w:r>
            <w:r>
              <w:rPr>
                <w:rFonts w:hint="eastAsia" w:ascii="宋体" w:hAnsi="宋体"/>
                <w:color w:val="FF0000"/>
                <w:sz w:val="24"/>
              </w:rPr>
              <w:t>834</w:t>
            </w:r>
            <w:r>
              <w:rPr>
                <w:rFonts w:hint="eastAsia" w:ascii="宋体" w:hAnsi="宋体"/>
                <w:color w:val="FF0000"/>
                <w:sz w:val="24"/>
                <w:lang w:val="en-US" w:eastAsia="zh-CN"/>
              </w:rPr>
              <w:t>7</w:t>
            </w:r>
            <w:r>
              <w:rPr>
                <w:rFonts w:hint="eastAsia" w:ascii="宋体" w:hAnsi="宋体"/>
                <w:color w:val="FF0000"/>
                <w:sz w:val="24"/>
              </w:rPr>
              <w:t>00</w:t>
            </w:r>
          </w:p>
          <w:p>
            <w:pPr>
              <w:pStyle w:val="9"/>
              <w:spacing w:line="420" w:lineRule="exact"/>
              <w:rPr>
                <w:rFonts w:hint="eastAsia" w:hAnsi="宋体"/>
                <w:color w:val="auto"/>
                <w:kern w:val="0"/>
                <w:sz w:val="24"/>
                <w:lang w:val="en-US" w:eastAsia="zh-CN"/>
              </w:rPr>
            </w:pPr>
            <w:r>
              <w:rPr>
                <w:rFonts w:hint="eastAsia" w:hAnsi="宋体"/>
                <w:color w:val="auto"/>
                <w:sz w:val="24"/>
              </w:rPr>
              <w:t>联系人：</w:t>
            </w:r>
            <w:r>
              <w:rPr>
                <w:rFonts w:hint="eastAsia" w:hAnsi="宋体"/>
                <w:color w:val="auto"/>
                <w:sz w:val="24"/>
                <w:lang w:eastAsia="zh-CN"/>
              </w:rPr>
              <w:t>侯婷</w:t>
            </w:r>
            <w:r>
              <w:rPr>
                <w:rFonts w:hint="eastAsia" w:hAnsi="宋体"/>
                <w:color w:val="FF0000"/>
                <w:sz w:val="24"/>
              </w:rPr>
              <w:t xml:space="preserve"> </w:t>
            </w:r>
            <w:r>
              <w:rPr>
                <w:rFonts w:hint="eastAsia" w:hAnsi="宋体"/>
                <w:color w:val="FF0000"/>
                <w:kern w:val="0"/>
                <w:sz w:val="24"/>
              </w:rPr>
              <w:t xml:space="preserve">    </w:t>
            </w:r>
            <w:r>
              <w:rPr>
                <w:rFonts w:hint="eastAsia" w:hAnsi="宋体"/>
                <w:color w:val="auto"/>
                <w:kern w:val="0"/>
                <w:sz w:val="24"/>
              </w:rPr>
              <w:t xml:space="preserve">             </w:t>
            </w:r>
            <w:r>
              <w:rPr>
                <w:rFonts w:hint="eastAsia" w:hAnsi="宋体"/>
                <w:color w:val="auto"/>
                <w:kern w:val="0"/>
                <w:sz w:val="24"/>
                <w:lang w:val="en-US" w:eastAsia="zh-CN"/>
              </w:rPr>
              <w:t xml:space="preserve">   </w:t>
            </w:r>
          </w:p>
          <w:p>
            <w:pPr>
              <w:pStyle w:val="9"/>
              <w:spacing w:line="420" w:lineRule="exact"/>
              <w:rPr>
                <w:rFonts w:hint="default" w:hAnsi="宋体" w:eastAsia="宋体"/>
                <w:color w:val="auto"/>
                <w:sz w:val="24"/>
                <w:lang w:val="en-US" w:eastAsia="zh-CN"/>
              </w:rPr>
            </w:pPr>
            <w:r>
              <w:rPr>
                <w:rFonts w:hint="eastAsia" w:hAnsi="宋体"/>
                <w:color w:val="auto"/>
                <w:kern w:val="0"/>
                <w:sz w:val="24"/>
              </w:rPr>
              <w:t>联系电话</w:t>
            </w:r>
            <w:r>
              <w:rPr>
                <w:rFonts w:hint="eastAsia" w:hAnsi="宋体"/>
                <w:color w:val="auto"/>
                <w:kern w:val="0"/>
                <w:sz w:val="24"/>
                <w:lang w:eastAsia="zh-CN"/>
              </w:rPr>
              <w:t>：</w:t>
            </w:r>
            <w:r>
              <w:rPr>
                <w:rFonts w:hint="eastAsia" w:hAnsi="宋体"/>
                <w:color w:val="auto"/>
                <w:kern w:val="0"/>
                <w:sz w:val="24"/>
              </w:rPr>
              <w:t>0901-6110730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3</w:t>
            </w:r>
          </w:p>
        </w:tc>
        <w:tc>
          <w:tcPr>
            <w:tcW w:w="9521" w:type="dxa"/>
            <w:noWrap w:val="0"/>
            <w:vAlign w:val="center"/>
          </w:tcPr>
          <w:p>
            <w:pPr>
              <w:pStyle w:val="9"/>
              <w:spacing w:line="420" w:lineRule="exact"/>
              <w:rPr>
                <w:rFonts w:hint="eastAsia" w:hAnsi="宋体"/>
                <w:color w:val="auto"/>
                <w:sz w:val="24"/>
                <w:lang w:eastAsia="zh-CN"/>
              </w:rPr>
            </w:pPr>
            <w:r>
              <w:rPr>
                <w:rFonts w:hint="eastAsia" w:hAnsi="宋体"/>
                <w:color w:val="auto"/>
                <w:sz w:val="24"/>
              </w:rPr>
              <w:t>采购代理机构：</w:t>
            </w:r>
            <w:r>
              <w:rPr>
                <w:rFonts w:hint="eastAsia" w:hAnsi="宋体"/>
                <w:color w:val="auto"/>
                <w:sz w:val="24"/>
                <w:lang w:eastAsia="zh-CN"/>
              </w:rPr>
              <w:t>塔城地区政府集中采购中心</w:t>
            </w:r>
          </w:p>
          <w:p>
            <w:pPr>
              <w:pStyle w:val="9"/>
              <w:spacing w:line="420" w:lineRule="exact"/>
              <w:rPr>
                <w:rFonts w:hint="eastAsia" w:hAnsi="宋体"/>
                <w:color w:val="auto"/>
                <w:sz w:val="24"/>
              </w:rPr>
            </w:pPr>
            <w:r>
              <w:rPr>
                <w:rFonts w:hint="eastAsia" w:hAnsi="宋体"/>
                <w:color w:val="auto"/>
                <w:sz w:val="24"/>
              </w:rPr>
              <w:t>地址：</w:t>
            </w:r>
            <w:r>
              <w:rPr>
                <w:rFonts w:hint="eastAsia" w:hAnsi="宋体"/>
                <w:color w:val="auto"/>
                <w:sz w:val="24"/>
                <w:lang w:eastAsia="zh-CN"/>
              </w:rPr>
              <w:t>新疆塔城地区塔城市巴克图路地市行政服务中心4楼409室</w:t>
            </w:r>
            <w:r>
              <w:rPr>
                <w:rFonts w:hint="eastAsia" w:hAnsi="宋体"/>
                <w:color w:val="auto"/>
                <w:sz w:val="24"/>
              </w:rPr>
              <w:t xml:space="preserve">   </w:t>
            </w:r>
          </w:p>
          <w:p>
            <w:pPr>
              <w:pStyle w:val="9"/>
              <w:spacing w:line="420" w:lineRule="exact"/>
              <w:rPr>
                <w:rFonts w:hint="eastAsia" w:hAnsi="宋体"/>
                <w:color w:val="auto"/>
                <w:sz w:val="24"/>
              </w:rPr>
            </w:pPr>
            <w:r>
              <w:rPr>
                <w:rFonts w:hint="eastAsia" w:hAnsi="宋体"/>
                <w:color w:val="auto"/>
                <w:sz w:val="24"/>
              </w:rPr>
              <w:t>邮政编码：834</w:t>
            </w:r>
            <w:r>
              <w:rPr>
                <w:rFonts w:hint="eastAsia" w:hAnsi="宋体"/>
                <w:color w:val="auto"/>
                <w:sz w:val="24"/>
                <w:lang w:val="en-US" w:eastAsia="zh-CN"/>
              </w:rPr>
              <w:t>7</w:t>
            </w:r>
            <w:r>
              <w:rPr>
                <w:rFonts w:hint="eastAsia" w:hAnsi="宋体"/>
                <w:color w:val="auto"/>
                <w:sz w:val="24"/>
              </w:rPr>
              <w:t>00</w:t>
            </w:r>
          </w:p>
          <w:p>
            <w:pPr>
              <w:pStyle w:val="9"/>
              <w:spacing w:line="420" w:lineRule="exact"/>
              <w:rPr>
                <w:rFonts w:hint="eastAsia" w:hAnsi="宋体"/>
                <w:color w:val="auto"/>
                <w:sz w:val="24"/>
              </w:rPr>
            </w:pPr>
            <w:r>
              <w:rPr>
                <w:rFonts w:hint="eastAsia" w:hAnsi="宋体"/>
                <w:color w:val="auto"/>
                <w:sz w:val="24"/>
              </w:rPr>
              <w:t>联系人：</w:t>
            </w:r>
            <w:r>
              <w:rPr>
                <w:rFonts w:hint="eastAsia" w:hAnsi="宋体"/>
                <w:color w:val="auto"/>
                <w:sz w:val="24"/>
                <w:lang w:val="en-US" w:eastAsia="zh-CN"/>
              </w:rPr>
              <w:t>王文新</w:t>
            </w:r>
            <w:r>
              <w:rPr>
                <w:rFonts w:hint="eastAsia" w:hAnsi="宋体"/>
                <w:color w:val="auto"/>
                <w:sz w:val="24"/>
              </w:rPr>
              <w:t xml:space="preserve">             </w:t>
            </w:r>
          </w:p>
          <w:p>
            <w:pPr>
              <w:pStyle w:val="9"/>
              <w:spacing w:line="420" w:lineRule="exact"/>
              <w:rPr>
                <w:rFonts w:hint="default" w:hAnsi="宋体" w:eastAsia="宋体"/>
                <w:color w:val="auto"/>
                <w:sz w:val="24"/>
                <w:lang w:val="en-US" w:eastAsia="zh-CN"/>
              </w:rPr>
            </w:pPr>
            <w:r>
              <w:rPr>
                <w:rFonts w:hint="eastAsia" w:hAnsi="宋体"/>
                <w:color w:val="auto"/>
                <w:sz w:val="24"/>
              </w:rPr>
              <w:t>联系电话：0901-66827</w:t>
            </w:r>
            <w:r>
              <w:rPr>
                <w:rFonts w:hint="eastAsia" w:hAnsi="宋体"/>
                <w:color w:val="auto"/>
                <w:sz w:val="24"/>
                <w:lang w:val="en-US" w:eastAsia="zh-CN"/>
              </w:rPr>
              <w:t>2</w:t>
            </w:r>
            <w:r>
              <w:rPr>
                <w:rFonts w:hint="eastAsia" w:hAnsi="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4</w:t>
            </w:r>
          </w:p>
        </w:tc>
        <w:tc>
          <w:tcPr>
            <w:tcW w:w="9521" w:type="dxa"/>
            <w:noWrap w:val="0"/>
            <w:vAlign w:val="center"/>
          </w:tcPr>
          <w:p>
            <w:pPr>
              <w:pStyle w:val="9"/>
              <w:spacing w:line="420" w:lineRule="exact"/>
              <w:rPr>
                <w:rFonts w:hint="eastAsia" w:hAnsi="宋体"/>
                <w:color w:val="auto"/>
                <w:sz w:val="24"/>
              </w:rPr>
            </w:pPr>
            <w:r>
              <w:rPr>
                <w:rFonts w:hint="eastAsia" w:hAnsi="宋体"/>
                <w:color w:val="auto"/>
                <w:sz w:val="24"/>
              </w:rPr>
              <w:t>响应文件有效期：递交响应文件截止之日起</w:t>
            </w:r>
            <w:r>
              <w:rPr>
                <w:rFonts w:hint="eastAsia" w:hAnsi="宋体"/>
                <w:color w:val="auto"/>
                <w:sz w:val="24"/>
                <w:lang w:val="en-US" w:eastAsia="zh-CN"/>
              </w:rPr>
              <w:t>60</w:t>
            </w:r>
            <w:r>
              <w:rPr>
                <w:rFonts w:hint="eastAsia" w:hAnsi="宋体"/>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5</w:t>
            </w:r>
          </w:p>
        </w:tc>
        <w:tc>
          <w:tcPr>
            <w:tcW w:w="9521" w:type="dxa"/>
            <w:noWrap w:val="0"/>
            <w:vAlign w:val="center"/>
          </w:tcPr>
          <w:p>
            <w:pPr>
              <w:pStyle w:val="9"/>
              <w:spacing w:line="420" w:lineRule="exact"/>
              <w:rPr>
                <w:rFonts w:hint="eastAsia" w:hAnsi="宋体" w:eastAsia="宋体"/>
                <w:color w:val="auto"/>
                <w:sz w:val="24"/>
                <w:lang w:eastAsia="zh-CN"/>
              </w:rPr>
            </w:pPr>
            <w:r>
              <w:rPr>
                <w:rFonts w:hint="eastAsia" w:hAnsi="宋体"/>
                <w:color w:val="auto"/>
                <w:sz w:val="24"/>
              </w:rPr>
              <w:t>响应文件的份数：</w:t>
            </w:r>
            <w:r>
              <w:rPr>
                <w:rFonts w:hint="eastAsia" w:hAnsi="宋体"/>
                <w:b/>
                <w:color w:val="auto"/>
                <w:sz w:val="24"/>
              </w:rPr>
              <w:t>正本壹份</w:t>
            </w:r>
            <w:r>
              <w:rPr>
                <w:rFonts w:hint="eastAsia" w:hAnsi="宋体"/>
                <w:b/>
                <w:color w:val="auto"/>
                <w:sz w:val="24"/>
                <w:lang w:eastAsia="zh-CN"/>
              </w:rPr>
              <w:t>单独密封</w:t>
            </w:r>
            <w:r>
              <w:rPr>
                <w:rFonts w:hint="eastAsia" w:hAnsi="宋体"/>
                <w:b/>
                <w:color w:val="auto"/>
                <w:sz w:val="24"/>
              </w:rPr>
              <w:t>、副本肆份、电子版投标文件壹份（加盖企业公章）（PDF格式）；不满足投标文件以上形式要求拒绝接受其投标</w:t>
            </w:r>
            <w:r>
              <w:rPr>
                <w:rFonts w:hint="eastAsia" w:hAnsi="宋体"/>
                <w:b/>
                <w:color w:val="auto"/>
                <w:sz w:val="24"/>
                <w:lang w:eastAsia="zh-CN"/>
              </w:rPr>
              <w:t>，（副本与电子版投标文件统一密封）。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6</w:t>
            </w:r>
          </w:p>
        </w:tc>
        <w:tc>
          <w:tcPr>
            <w:tcW w:w="9521" w:type="dxa"/>
            <w:noWrap w:val="0"/>
            <w:vAlign w:val="center"/>
          </w:tcPr>
          <w:p>
            <w:pPr>
              <w:pStyle w:val="2"/>
              <w:spacing w:line="420" w:lineRule="exact"/>
              <w:ind w:firstLine="0"/>
              <w:jc w:val="both"/>
              <w:rPr>
                <w:rFonts w:hint="eastAsia" w:ascii="宋体" w:hAnsi="宋体"/>
                <w:color w:val="auto"/>
              </w:rPr>
            </w:pPr>
            <w:r>
              <w:rPr>
                <w:rFonts w:hint="eastAsia" w:ascii="宋体" w:hAnsi="宋体"/>
                <w:color w:val="auto"/>
                <w:sz w:val="24"/>
              </w:rPr>
              <w:t>采购人不统一组织各供应商实地考察，各供应商自行对采购项目进行考察。</w:t>
            </w:r>
          </w:p>
          <w:p>
            <w:pPr>
              <w:pStyle w:val="2"/>
              <w:spacing w:line="420" w:lineRule="exact"/>
              <w:ind w:firstLine="0"/>
              <w:jc w:val="both"/>
              <w:rPr>
                <w:rFonts w:hint="eastAsia" w:ascii="宋体" w:hAnsi="宋体"/>
                <w:color w:val="auto"/>
                <w:sz w:val="24"/>
              </w:rPr>
            </w:pPr>
            <w:r>
              <w:rPr>
                <w:rFonts w:hint="eastAsia" w:ascii="宋体" w:hAnsi="宋体"/>
                <w:color w:val="auto"/>
                <w:sz w:val="24"/>
              </w:rPr>
              <w:t>供应商如有疑问，于2</w:t>
            </w:r>
            <w:r>
              <w:rPr>
                <w:rFonts w:hint="eastAsia" w:ascii="宋体" w:hAnsi="宋体"/>
                <w:color w:val="auto"/>
                <w:sz w:val="24"/>
                <w:highlight w:val="yellow"/>
              </w:rPr>
              <w:t>02</w:t>
            </w:r>
            <w:r>
              <w:rPr>
                <w:rFonts w:hint="eastAsia" w:ascii="宋体" w:hAnsi="宋体"/>
                <w:color w:val="auto"/>
                <w:sz w:val="24"/>
                <w:highlight w:val="yellow"/>
                <w:lang w:val="en-US" w:eastAsia="zh-CN"/>
              </w:rPr>
              <w:t>2</w:t>
            </w:r>
            <w:r>
              <w:rPr>
                <w:rFonts w:hint="eastAsia" w:ascii="宋体" w:hAnsi="宋体"/>
                <w:color w:val="auto"/>
                <w:sz w:val="24"/>
                <w:highlight w:val="yellow"/>
              </w:rPr>
              <w:t>年</w:t>
            </w:r>
            <w:r>
              <w:rPr>
                <w:rFonts w:hint="eastAsia" w:ascii="宋体" w:hAnsi="宋体"/>
                <w:color w:val="auto"/>
                <w:sz w:val="24"/>
                <w:highlight w:val="yellow"/>
                <w:lang w:val="en-US" w:eastAsia="zh-CN"/>
              </w:rPr>
              <w:t>5</w:t>
            </w:r>
            <w:r>
              <w:rPr>
                <w:rFonts w:hint="eastAsia" w:ascii="宋体" w:hAnsi="宋体"/>
                <w:color w:val="auto"/>
                <w:sz w:val="24"/>
                <w:highlight w:val="yellow"/>
              </w:rPr>
              <w:t>月</w:t>
            </w:r>
            <w:r>
              <w:rPr>
                <w:rFonts w:hint="eastAsia" w:ascii="宋体" w:hAnsi="宋体"/>
                <w:color w:val="auto"/>
                <w:sz w:val="24"/>
                <w:highlight w:val="yellow"/>
                <w:lang w:val="en-US" w:eastAsia="zh-CN"/>
              </w:rPr>
              <w:t>25</w:t>
            </w:r>
            <w:r>
              <w:rPr>
                <w:rFonts w:hint="eastAsia" w:ascii="宋体" w:hAnsi="宋体"/>
                <w:color w:val="auto"/>
                <w:sz w:val="24"/>
                <w:highlight w:val="yellow"/>
              </w:rPr>
              <w:t>日1</w:t>
            </w:r>
            <w:r>
              <w:rPr>
                <w:rFonts w:hint="eastAsia" w:ascii="宋体" w:hAnsi="宋体"/>
                <w:color w:val="auto"/>
                <w:sz w:val="24"/>
                <w:highlight w:val="yellow"/>
                <w:lang w:val="en-US" w:eastAsia="zh-CN"/>
              </w:rPr>
              <w:t>9</w:t>
            </w:r>
            <w:r>
              <w:rPr>
                <w:rFonts w:hint="eastAsia" w:ascii="宋体" w:hAnsi="宋体"/>
                <w:color w:val="auto"/>
                <w:sz w:val="24"/>
                <w:highlight w:val="yellow"/>
              </w:rPr>
              <w:t>:30</w:t>
            </w:r>
            <w:r>
              <w:rPr>
                <w:rFonts w:hint="eastAsia" w:ascii="宋体" w:hAnsi="宋体"/>
                <w:color w:val="auto"/>
                <w:sz w:val="24"/>
              </w:rPr>
              <w:t>前将有关疑问以书面形式（必须加盖供应商公章）送达塔城地区政府集中采购中心</w:t>
            </w:r>
            <w:r>
              <w:rPr>
                <w:rFonts w:hint="eastAsia" w:ascii="宋体" w:hAnsi="宋体"/>
                <w:color w:val="auto"/>
                <w:sz w:val="24"/>
                <w:lang w:eastAsia="zh-CN"/>
              </w:rPr>
              <w:t>，</w:t>
            </w:r>
            <w:r>
              <w:rPr>
                <w:rFonts w:hint="eastAsia" w:ascii="宋体" w:hAnsi="宋体"/>
                <w:color w:val="auto"/>
                <w:sz w:val="24"/>
              </w:rPr>
              <w:t>采购人将对所提疑问以书面形式发至领取磋商文件的每位供应商，超过此时间所提疑问采购人或采购代理机构均不予答复。</w:t>
            </w:r>
          </w:p>
          <w:p>
            <w:pPr>
              <w:spacing w:line="420" w:lineRule="exact"/>
              <w:rPr>
                <w:rFonts w:hint="eastAsia" w:ascii="宋体" w:hAnsi="宋体"/>
                <w:color w:val="auto"/>
                <w:sz w:val="24"/>
              </w:rPr>
            </w:pPr>
            <w:r>
              <w:rPr>
                <w:rFonts w:hint="eastAsia" w:ascii="宋体" w:hAnsi="宋体"/>
                <w:color w:val="auto"/>
                <w:sz w:val="24"/>
              </w:rPr>
              <w:t>书面提问截止时间：</w:t>
            </w:r>
            <w:r>
              <w:rPr>
                <w:rFonts w:hint="eastAsia" w:ascii="宋体" w:hAnsi="宋体"/>
                <w:color w:val="auto"/>
                <w:sz w:val="24"/>
                <w:highlight w:val="yellow"/>
              </w:rPr>
              <w:t>202</w:t>
            </w:r>
            <w:r>
              <w:rPr>
                <w:rFonts w:hint="eastAsia" w:ascii="宋体" w:hAnsi="宋体"/>
                <w:color w:val="auto"/>
                <w:sz w:val="24"/>
                <w:highlight w:val="yellow"/>
                <w:lang w:val="en-US" w:eastAsia="zh-CN"/>
              </w:rPr>
              <w:t>2</w:t>
            </w:r>
            <w:r>
              <w:rPr>
                <w:rFonts w:hint="eastAsia" w:ascii="宋体" w:hAnsi="宋体"/>
                <w:color w:val="auto"/>
                <w:sz w:val="24"/>
                <w:highlight w:val="yellow"/>
              </w:rPr>
              <w:t>年</w:t>
            </w:r>
            <w:r>
              <w:rPr>
                <w:rFonts w:hint="eastAsia" w:ascii="宋体" w:hAnsi="宋体"/>
                <w:color w:val="auto"/>
                <w:sz w:val="24"/>
                <w:highlight w:val="yellow"/>
                <w:lang w:val="en-US" w:eastAsia="zh-CN"/>
              </w:rPr>
              <w:t>5</w:t>
            </w:r>
            <w:r>
              <w:rPr>
                <w:rFonts w:hint="eastAsia" w:ascii="宋体" w:hAnsi="宋体"/>
                <w:color w:val="auto"/>
                <w:sz w:val="24"/>
                <w:highlight w:val="yellow"/>
              </w:rPr>
              <w:t>月</w:t>
            </w:r>
            <w:r>
              <w:rPr>
                <w:rFonts w:hint="eastAsia" w:ascii="宋体" w:hAnsi="宋体"/>
                <w:color w:val="auto"/>
                <w:sz w:val="24"/>
                <w:highlight w:val="yellow"/>
                <w:lang w:val="en-US" w:eastAsia="zh-CN"/>
              </w:rPr>
              <w:t>25</w:t>
            </w:r>
            <w:r>
              <w:rPr>
                <w:rFonts w:hint="eastAsia" w:ascii="宋体" w:hAnsi="宋体"/>
                <w:color w:val="auto"/>
                <w:sz w:val="24"/>
                <w:highlight w:val="yellow"/>
              </w:rPr>
              <w:t>日1</w:t>
            </w:r>
            <w:r>
              <w:rPr>
                <w:rFonts w:hint="eastAsia" w:ascii="宋体" w:hAnsi="宋体"/>
                <w:color w:val="auto"/>
                <w:sz w:val="24"/>
                <w:highlight w:val="yellow"/>
                <w:lang w:val="en-US" w:eastAsia="zh-CN"/>
              </w:rPr>
              <w:t>9</w:t>
            </w:r>
            <w:r>
              <w:rPr>
                <w:rFonts w:hint="eastAsia" w:ascii="宋体" w:hAnsi="宋体"/>
                <w:color w:val="auto"/>
                <w:sz w:val="24"/>
                <w:highlight w:val="yellow"/>
              </w:rPr>
              <w:t>:30</w:t>
            </w:r>
            <w:r>
              <w:rPr>
                <w:rFonts w:hint="eastAsia" w:ascii="宋体" w:hAnsi="宋体"/>
                <w:color w:val="auto"/>
                <w:sz w:val="24"/>
                <w:lang w:val="en-US" w:eastAsia="zh-CN"/>
              </w:rPr>
              <w:t xml:space="preserve">   </w:t>
            </w:r>
            <w:r>
              <w:rPr>
                <w:rFonts w:hint="eastAsia" w:ascii="宋体" w:hAnsi="宋体"/>
                <w:color w:val="auto"/>
                <w:sz w:val="24"/>
              </w:rPr>
              <w:t>电话：0901-66827</w:t>
            </w:r>
            <w:r>
              <w:rPr>
                <w:rFonts w:hint="eastAsia" w:ascii="宋体" w:hAnsi="宋体"/>
                <w:color w:val="auto"/>
                <w:sz w:val="24"/>
                <w:lang w:val="en-US" w:eastAsia="zh-CN"/>
              </w:rPr>
              <w:t>2</w:t>
            </w:r>
            <w:r>
              <w:rPr>
                <w:rFonts w:hint="eastAsia" w:ascii="宋体" w:hAnsi="宋体"/>
                <w:color w:val="auto"/>
                <w:sz w:val="24"/>
              </w:rPr>
              <w:t>6</w:t>
            </w:r>
            <w:r>
              <w:rPr>
                <w:rFonts w:hint="eastAsia" w:ascii="宋体" w:hAnsi="宋体"/>
                <w:color w:val="auto"/>
                <w:sz w:val="24"/>
                <w:lang w:val="en-US" w:eastAsia="zh-CN"/>
              </w:rPr>
              <w:t xml:space="preserve"> </w:t>
            </w:r>
            <w:r>
              <w:rPr>
                <w:rFonts w:hint="eastAsia" w:ascii="宋体" w:hAnsi="宋体"/>
                <w:color w:val="auto"/>
                <w:sz w:val="24"/>
              </w:rPr>
              <w:t>联系人：</w:t>
            </w:r>
            <w:r>
              <w:rPr>
                <w:rFonts w:hint="eastAsia" w:ascii="宋体" w:hAnsi="宋体"/>
                <w:color w:val="auto"/>
                <w:sz w:val="24"/>
                <w:lang w:val="en-US" w:eastAsia="zh-CN"/>
              </w:rPr>
              <w:t>王文新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7</w:t>
            </w:r>
          </w:p>
        </w:tc>
        <w:tc>
          <w:tcPr>
            <w:tcW w:w="9521" w:type="dxa"/>
            <w:noWrap w:val="0"/>
            <w:vAlign w:val="center"/>
          </w:tcPr>
          <w:p>
            <w:pPr>
              <w:pStyle w:val="9"/>
              <w:spacing w:line="420" w:lineRule="exact"/>
              <w:rPr>
                <w:rFonts w:hint="default" w:hAnsi="宋体"/>
                <w:color w:val="FF0000"/>
                <w:sz w:val="24"/>
                <w:lang w:val="en-US"/>
              </w:rPr>
            </w:pPr>
            <w:r>
              <w:rPr>
                <w:rFonts w:hint="eastAsia" w:hAnsi="宋体"/>
                <w:color w:val="auto"/>
                <w:sz w:val="24"/>
              </w:rPr>
              <w:t>递交响应文件截止时间：</w:t>
            </w:r>
            <w:r>
              <w:rPr>
                <w:rFonts w:hint="eastAsia" w:hAnsi="宋体"/>
                <w:color w:val="FF0000"/>
                <w:sz w:val="24"/>
              </w:rPr>
              <w:t>202</w:t>
            </w:r>
            <w:r>
              <w:rPr>
                <w:rFonts w:hint="eastAsia" w:hAnsi="宋体"/>
                <w:color w:val="FF0000"/>
                <w:sz w:val="24"/>
                <w:lang w:val="en-US" w:eastAsia="zh-CN"/>
              </w:rPr>
              <w:t>2</w:t>
            </w:r>
            <w:r>
              <w:rPr>
                <w:rFonts w:hint="eastAsia" w:hAnsi="宋体"/>
                <w:color w:val="FF0000"/>
                <w:sz w:val="24"/>
              </w:rPr>
              <w:t>年</w:t>
            </w:r>
            <w:r>
              <w:rPr>
                <w:rFonts w:hint="eastAsia" w:hAnsi="宋体"/>
                <w:color w:val="FF0000"/>
                <w:sz w:val="24"/>
                <w:lang w:val="en-US" w:eastAsia="zh-CN"/>
              </w:rPr>
              <w:t>5月30</w:t>
            </w:r>
            <w:r>
              <w:rPr>
                <w:rFonts w:hint="eastAsia" w:hAnsi="宋体"/>
                <w:color w:val="FF0000"/>
                <w:sz w:val="24"/>
              </w:rPr>
              <w:t>日</w:t>
            </w:r>
            <w:r>
              <w:rPr>
                <w:rFonts w:hint="eastAsia" w:hAnsi="宋体"/>
                <w:color w:val="FF0000"/>
                <w:sz w:val="24"/>
                <w:lang w:val="en-US" w:eastAsia="zh-CN"/>
              </w:rPr>
              <w:t>10:30</w:t>
            </w:r>
            <w:r>
              <w:rPr>
                <w:rFonts w:hint="eastAsia" w:hAnsi="宋体"/>
                <w:color w:val="FF0000"/>
                <w:sz w:val="24"/>
              </w:rPr>
              <w:t xml:space="preserve"> （北京时间）</w:t>
            </w:r>
            <w:r>
              <w:rPr>
                <w:rFonts w:hint="eastAsia" w:hAnsi="宋体"/>
                <w:color w:val="FF0000"/>
                <w:sz w:val="24"/>
                <w:lang w:val="en-US" w:eastAsia="zh-CN"/>
              </w:rPr>
              <w:t xml:space="preserve"> </w:t>
            </w:r>
            <w:r>
              <w:rPr>
                <w:rFonts w:hint="eastAsia" w:hAnsi="宋体"/>
                <w:color w:val="FF0000"/>
                <w:sz w:val="24"/>
              </w:rPr>
              <w:t>：</w:t>
            </w:r>
            <w:r>
              <w:rPr>
                <w:rFonts w:hint="eastAsia" w:hAnsi="宋体"/>
                <w:color w:val="FF0000"/>
                <w:sz w:val="24"/>
                <w:lang w:val="en-US" w:eastAsia="zh-CN"/>
              </w:rPr>
              <w:t xml:space="preserve"> </w:t>
            </w:r>
          </w:p>
          <w:p>
            <w:pPr>
              <w:pStyle w:val="9"/>
              <w:spacing w:line="420" w:lineRule="exact"/>
              <w:rPr>
                <w:rFonts w:hint="eastAsia" w:hAnsi="宋体"/>
                <w:color w:val="auto"/>
                <w:sz w:val="24"/>
              </w:rPr>
            </w:pPr>
            <w:r>
              <w:rPr>
                <w:rFonts w:hint="eastAsia" w:hAnsi="宋体"/>
                <w:color w:val="auto"/>
                <w:sz w:val="24"/>
              </w:rPr>
              <w:t>递交响应文件地点：</w:t>
            </w:r>
            <w:r>
              <w:rPr>
                <w:rFonts w:hint="eastAsia" w:hAnsi="宋体"/>
                <w:color w:val="FF0000"/>
                <w:sz w:val="24"/>
                <w:szCs w:val="22"/>
              </w:rPr>
              <w:t xml:space="preserve">新疆塔城地区塔城市巴克图路地市行政服务中心4楼开标厅  </w:t>
            </w:r>
            <w:r>
              <w:rPr>
                <w:rFonts w:hint="eastAsia"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dxa"/>
            <w:noWrap w:val="0"/>
            <w:vAlign w:val="center"/>
          </w:tcPr>
          <w:p>
            <w:pPr>
              <w:pStyle w:val="9"/>
              <w:spacing w:line="420" w:lineRule="exact"/>
              <w:jc w:val="center"/>
              <w:rPr>
                <w:rFonts w:hint="eastAsia" w:hAnsi="宋体"/>
                <w:color w:val="auto"/>
                <w:sz w:val="24"/>
              </w:rPr>
            </w:pPr>
            <w:r>
              <w:rPr>
                <w:rFonts w:hint="eastAsia" w:hAnsi="宋体"/>
                <w:color w:val="auto"/>
                <w:sz w:val="24"/>
              </w:rPr>
              <w:t>8</w:t>
            </w:r>
          </w:p>
        </w:tc>
        <w:tc>
          <w:tcPr>
            <w:tcW w:w="9521" w:type="dxa"/>
            <w:noWrap w:val="0"/>
            <w:vAlign w:val="center"/>
          </w:tcPr>
          <w:p>
            <w:pPr>
              <w:pStyle w:val="9"/>
              <w:spacing w:line="420" w:lineRule="exact"/>
              <w:rPr>
                <w:rFonts w:hint="default" w:hAnsi="宋体"/>
                <w:color w:val="auto"/>
                <w:sz w:val="24"/>
                <w:lang w:val="en-US"/>
              </w:rPr>
            </w:pPr>
            <w:r>
              <w:rPr>
                <w:rFonts w:hint="eastAsia" w:hAnsi="宋体"/>
                <w:color w:val="auto"/>
                <w:sz w:val="24"/>
              </w:rPr>
              <w:t>磋商时间：</w:t>
            </w:r>
            <w:r>
              <w:rPr>
                <w:rFonts w:hint="eastAsia" w:hAnsi="宋体"/>
                <w:color w:val="FF0000"/>
                <w:sz w:val="24"/>
              </w:rPr>
              <w:t>202</w:t>
            </w:r>
            <w:r>
              <w:rPr>
                <w:rFonts w:hint="eastAsia" w:hAnsi="宋体"/>
                <w:color w:val="FF0000"/>
                <w:sz w:val="24"/>
                <w:lang w:val="en-US" w:eastAsia="zh-CN"/>
              </w:rPr>
              <w:t>2</w:t>
            </w:r>
            <w:r>
              <w:rPr>
                <w:rFonts w:hint="eastAsia" w:hAnsi="宋体"/>
                <w:color w:val="FF0000"/>
                <w:sz w:val="24"/>
              </w:rPr>
              <w:t>年</w:t>
            </w:r>
            <w:r>
              <w:rPr>
                <w:rFonts w:hint="eastAsia" w:hAnsi="宋体"/>
                <w:color w:val="FF0000"/>
                <w:sz w:val="24"/>
                <w:lang w:val="en-US" w:eastAsia="zh-CN"/>
              </w:rPr>
              <w:t xml:space="preserve">5 </w:t>
            </w:r>
            <w:r>
              <w:rPr>
                <w:rFonts w:hint="eastAsia" w:hAnsi="宋体"/>
                <w:color w:val="FF0000"/>
                <w:sz w:val="24"/>
              </w:rPr>
              <w:t>月</w:t>
            </w:r>
            <w:r>
              <w:rPr>
                <w:rFonts w:hint="eastAsia" w:hAnsi="宋体"/>
                <w:color w:val="FF0000"/>
                <w:sz w:val="24"/>
                <w:lang w:val="en-US" w:eastAsia="zh-CN"/>
              </w:rPr>
              <w:t>30</w:t>
            </w:r>
            <w:r>
              <w:rPr>
                <w:rFonts w:hint="eastAsia" w:hAnsi="宋体"/>
                <w:color w:val="FF0000"/>
                <w:sz w:val="24"/>
              </w:rPr>
              <w:t>日</w:t>
            </w:r>
            <w:r>
              <w:rPr>
                <w:rFonts w:hint="eastAsia" w:hAnsi="宋体"/>
                <w:color w:val="FF0000"/>
                <w:sz w:val="24"/>
                <w:lang w:val="en-US" w:eastAsia="zh-CN"/>
              </w:rPr>
              <w:t>10:30</w:t>
            </w:r>
            <w:r>
              <w:rPr>
                <w:rFonts w:hint="eastAsia" w:hAnsi="宋体"/>
                <w:color w:val="FF0000"/>
                <w:sz w:val="24"/>
              </w:rPr>
              <w:t xml:space="preserve"> （北京时间）</w:t>
            </w:r>
            <w:r>
              <w:rPr>
                <w:rFonts w:hint="eastAsia" w:hAnsi="宋体"/>
                <w:color w:val="FF0000"/>
                <w:sz w:val="24"/>
                <w:lang w:val="en-US" w:eastAsia="zh-CN"/>
              </w:rPr>
              <w:t xml:space="preserve"> </w:t>
            </w:r>
            <w:r>
              <w:rPr>
                <w:rFonts w:hint="eastAsia" w:hAnsi="宋体"/>
                <w:color w:val="FF0000"/>
                <w:sz w:val="24"/>
              </w:rPr>
              <w:t>：</w:t>
            </w:r>
            <w:r>
              <w:rPr>
                <w:rFonts w:hint="eastAsia" w:hAnsi="宋体"/>
                <w:color w:val="FF0000"/>
                <w:sz w:val="24"/>
                <w:lang w:val="en-US" w:eastAsia="zh-CN"/>
              </w:rPr>
              <w:t xml:space="preserve"> </w:t>
            </w:r>
          </w:p>
          <w:p>
            <w:pPr>
              <w:pStyle w:val="9"/>
              <w:spacing w:line="420" w:lineRule="exact"/>
              <w:rPr>
                <w:rFonts w:hint="eastAsia" w:hAnsi="宋体"/>
                <w:color w:val="auto"/>
                <w:sz w:val="24"/>
              </w:rPr>
            </w:pPr>
            <w:r>
              <w:rPr>
                <w:rFonts w:hint="eastAsia" w:hAnsi="宋体"/>
                <w:color w:val="auto"/>
                <w:sz w:val="24"/>
              </w:rPr>
              <w:t>磋商地点：</w:t>
            </w:r>
            <w:r>
              <w:rPr>
                <w:rFonts w:hint="eastAsia" w:hAnsi="宋体"/>
                <w:color w:val="FF0000"/>
                <w:sz w:val="24"/>
                <w:szCs w:val="22"/>
              </w:rPr>
              <w:t xml:space="preserve">新疆塔城地区塔城市巴克图路地市行政服务中心4楼开标厅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dxa"/>
            <w:noWrap w:val="0"/>
            <w:vAlign w:val="center"/>
          </w:tcPr>
          <w:p>
            <w:pPr>
              <w:pStyle w:val="9"/>
              <w:spacing w:line="420" w:lineRule="exact"/>
              <w:jc w:val="center"/>
              <w:rPr>
                <w:rFonts w:hint="default" w:hAnsi="宋体" w:eastAsia="宋体"/>
                <w:color w:val="auto"/>
                <w:sz w:val="24"/>
                <w:lang w:val="en-US" w:eastAsia="zh-CN"/>
              </w:rPr>
            </w:pPr>
            <w:r>
              <w:rPr>
                <w:rFonts w:hint="eastAsia" w:hAnsi="宋体"/>
                <w:color w:val="auto"/>
                <w:sz w:val="24"/>
                <w:lang w:val="en-US" w:eastAsia="zh-CN"/>
              </w:rPr>
              <w:t>9</w:t>
            </w:r>
          </w:p>
        </w:tc>
        <w:tc>
          <w:tcPr>
            <w:tcW w:w="9521" w:type="dxa"/>
            <w:noWrap w:val="0"/>
            <w:vAlign w:val="center"/>
          </w:tcPr>
          <w:p>
            <w:pPr>
              <w:pStyle w:val="9"/>
              <w:spacing w:line="420" w:lineRule="exact"/>
              <w:rPr>
                <w:rFonts w:hint="eastAsia" w:hAnsi="宋体"/>
                <w:b/>
                <w:color w:val="auto"/>
                <w:sz w:val="24"/>
              </w:rPr>
            </w:pPr>
            <w:r>
              <w:rPr>
                <w:rFonts w:hint="eastAsia" w:hAnsi="宋体"/>
                <w:b/>
                <w:color w:val="auto"/>
                <w:sz w:val="24"/>
              </w:rPr>
              <w:t>项目需要落实的政府采购政策</w:t>
            </w:r>
          </w:p>
          <w:p>
            <w:pPr>
              <w:pStyle w:val="9"/>
              <w:spacing w:line="420" w:lineRule="exact"/>
              <w:rPr>
                <w:rFonts w:hint="eastAsia" w:hAnsi="宋体"/>
                <w:b w:val="0"/>
                <w:color w:val="auto"/>
                <w:sz w:val="24"/>
              </w:rPr>
            </w:pPr>
            <w:r>
              <w:rPr>
                <w:rFonts w:hint="eastAsia" w:hAnsi="宋体"/>
                <w:b w:val="0"/>
                <w:color w:val="auto"/>
                <w:sz w:val="24"/>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hAnsi="宋体"/>
                <w:b w:val="0"/>
                <w:color w:val="auto"/>
                <w:sz w:val="24"/>
                <w:lang w:val="en-US" w:eastAsia="zh-CN"/>
              </w:rPr>
              <w:t>中小企业</w:t>
            </w:r>
            <w:r>
              <w:rPr>
                <w:rFonts w:hint="eastAsia" w:hAnsi="宋体"/>
                <w:b w:val="0"/>
                <w:color w:val="auto"/>
                <w:sz w:val="24"/>
              </w:rPr>
              <w:t>声明函》《残疾人福利性单位声明函》或省级以上监狱管理局、戒毒管理局（含新疆生产建设兵团）出具的属于监狱企业的证明文件的投标供应商，其投标报价扣除6-10%后参与评审；本项目具体扣除比例为6％。</w:t>
            </w:r>
          </w:p>
          <w:p>
            <w:pPr>
              <w:pStyle w:val="9"/>
              <w:spacing w:line="420" w:lineRule="exact"/>
              <w:rPr>
                <w:rFonts w:hint="default" w:hAnsi="宋体"/>
                <w:b w:val="0"/>
                <w:color w:val="auto"/>
                <w:sz w:val="24"/>
                <w:lang w:val="en-US"/>
              </w:rPr>
            </w:pPr>
            <w:r>
              <w:rPr>
                <w:rFonts w:hint="eastAsia" w:hAnsi="宋体"/>
                <w:b/>
                <w:color w:val="auto"/>
                <w:sz w:val="24"/>
                <w:lang w:val="en-US" w:eastAsia="zh-CN"/>
              </w:rPr>
              <w:t>中小企业预留份额:100%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pPr>
              <w:pStyle w:val="9"/>
              <w:spacing w:line="420" w:lineRule="exact"/>
              <w:jc w:val="center"/>
              <w:rPr>
                <w:rFonts w:hint="default" w:hAnsi="宋体"/>
                <w:color w:val="auto"/>
                <w:sz w:val="24"/>
                <w:lang w:val="en-US" w:eastAsia="zh-CN"/>
              </w:rPr>
            </w:pPr>
            <w:r>
              <w:rPr>
                <w:rFonts w:hint="eastAsia" w:hAnsi="宋体"/>
                <w:color w:val="auto"/>
                <w:sz w:val="24"/>
                <w:lang w:val="en-US" w:eastAsia="zh-CN"/>
              </w:rPr>
              <w:t>10</w:t>
            </w:r>
          </w:p>
        </w:tc>
        <w:tc>
          <w:tcPr>
            <w:tcW w:w="9521" w:type="dxa"/>
            <w:noWrap w:val="0"/>
            <w:vAlign w:val="center"/>
          </w:tcPr>
          <w:p>
            <w:pPr>
              <w:pStyle w:val="9"/>
              <w:spacing w:line="420" w:lineRule="exact"/>
              <w:rPr>
                <w:rFonts w:hint="default" w:hAnsi="宋体"/>
                <w:b/>
                <w:color w:val="auto"/>
                <w:sz w:val="24"/>
                <w:lang w:val="en-US" w:eastAsia="zh-CN"/>
              </w:rPr>
            </w:pPr>
            <w:r>
              <w:rPr>
                <w:rFonts w:hint="eastAsia" w:hAnsi="宋体"/>
                <w:b/>
                <w:color w:val="auto"/>
                <w:sz w:val="24"/>
                <w:lang w:val="en-US" w:eastAsia="zh-CN"/>
              </w:rPr>
              <w:t>履行期限：合同服务期1年。在年度预算能保障的前提下，合同金额不变，经财政部门同意，采购人根据每年考核结果决定是否续签下一年合同，合同期限可以延长1年至2年，不超过2年。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28" w:type="dxa"/>
            <w:noWrap w:val="0"/>
            <w:vAlign w:val="center"/>
          </w:tcPr>
          <w:p>
            <w:pPr>
              <w:pStyle w:val="9"/>
              <w:spacing w:line="420" w:lineRule="exact"/>
              <w:jc w:val="center"/>
              <w:rPr>
                <w:rFonts w:hint="default" w:hAnsi="宋体"/>
                <w:color w:val="auto"/>
                <w:sz w:val="24"/>
                <w:lang w:val="en-US" w:eastAsia="zh-CN"/>
              </w:rPr>
            </w:pPr>
            <w:r>
              <w:rPr>
                <w:rFonts w:hint="eastAsia" w:hAnsi="宋体"/>
                <w:color w:val="auto"/>
                <w:sz w:val="24"/>
                <w:lang w:val="en-US" w:eastAsia="zh-CN"/>
              </w:rPr>
              <w:t>11</w:t>
            </w:r>
          </w:p>
        </w:tc>
        <w:tc>
          <w:tcPr>
            <w:tcW w:w="9521" w:type="dxa"/>
            <w:noWrap w:val="0"/>
            <w:vAlign w:val="center"/>
          </w:tcPr>
          <w:p>
            <w:pPr>
              <w:pStyle w:val="9"/>
              <w:spacing w:line="420" w:lineRule="exact"/>
              <w:rPr>
                <w:rFonts w:hint="eastAsia" w:hAnsi="宋体"/>
                <w:b/>
                <w:color w:val="auto"/>
                <w:sz w:val="24"/>
                <w:lang w:val="en-US" w:eastAsia="zh-CN"/>
              </w:rPr>
            </w:pPr>
            <w:r>
              <w:rPr>
                <w:rFonts w:hint="eastAsia" w:hAnsi="宋体"/>
                <w:b/>
                <w:color w:val="auto"/>
                <w:sz w:val="24"/>
                <w:highlight w:val="yellow"/>
                <w:lang w:val="en-US" w:eastAsia="zh-CN"/>
              </w:rPr>
              <w:t>采购范围：物业管理采购项目（具体服务内容详见竞争性磋商文件项目采购需求，为交钥匙项目）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28" w:type="dxa"/>
            <w:noWrap w:val="0"/>
            <w:vAlign w:val="center"/>
          </w:tcPr>
          <w:p>
            <w:pPr>
              <w:pStyle w:val="9"/>
              <w:spacing w:line="420" w:lineRule="exact"/>
              <w:jc w:val="center"/>
              <w:rPr>
                <w:rFonts w:hint="default" w:hAnsi="宋体"/>
                <w:color w:val="auto"/>
                <w:sz w:val="24"/>
                <w:lang w:val="en-US" w:eastAsia="zh-CN"/>
              </w:rPr>
            </w:pPr>
            <w:r>
              <w:rPr>
                <w:rFonts w:hint="eastAsia" w:hAnsi="宋体"/>
                <w:color w:val="auto"/>
                <w:sz w:val="24"/>
                <w:lang w:val="en-US" w:eastAsia="zh-CN"/>
              </w:rPr>
              <w:t>12</w:t>
            </w:r>
          </w:p>
        </w:tc>
        <w:tc>
          <w:tcPr>
            <w:tcW w:w="9521" w:type="dxa"/>
            <w:noWrap w:val="0"/>
            <w:vAlign w:val="center"/>
          </w:tcPr>
          <w:p>
            <w:pPr>
              <w:pStyle w:val="9"/>
              <w:spacing w:line="420" w:lineRule="exact"/>
              <w:rPr>
                <w:rFonts w:hint="eastAsia" w:hAnsi="宋体"/>
                <w:b/>
                <w:color w:val="FF0000"/>
                <w:sz w:val="24"/>
                <w:lang w:val="en-US" w:eastAsia="zh-CN"/>
              </w:rPr>
            </w:pPr>
            <w:r>
              <w:rPr>
                <w:rFonts w:hint="eastAsia" w:hAnsi="宋体"/>
                <w:b/>
                <w:color w:val="auto"/>
                <w:sz w:val="24"/>
                <w:lang w:val="en-US" w:eastAsia="zh-CN"/>
              </w:rPr>
              <w:t>采购预算：</w:t>
            </w:r>
            <w:r>
              <w:rPr>
                <w:rFonts w:hint="eastAsia" w:hAnsi="宋体"/>
                <w:b/>
                <w:color w:val="FF0000"/>
                <w:sz w:val="24"/>
                <w:lang w:val="en-US" w:eastAsia="zh-CN"/>
              </w:rPr>
              <w:t>1270000元，超出采购预算的投标供应商作废标处理。</w:t>
            </w:r>
          </w:p>
          <w:p>
            <w:pPr>
              <w:pStyle w:val="9"/>
              <w:numPr>
                <w:ilvl w:val="0"/>
                <w:numId w:val="3"/>
              </w:numPr>
              <w:spacing w:line="420" w:lineRule="exact"/>
              <w:rPr>
                <w:rFonts w:hint="eastAsia" w:hAnsi="宋体"/>
                <w:b/>
                <w:color w:val="FF0000"/>
                <w:sz w:val="24"/>
                <w:lang w:val="en-US" w:eastAsia="zh-CN"/>
              </w:rPr>
            </w:pPr>
            <w:r>
              <w:rPr>
                <w:rFonts w:hint="eastAsia" w:hAnsi="宋体"/>
                <w:b/>
                <w:color w:val="FF0000"/>
                <w:sz w:val="24"/>
                <w:lang w:val="en-US" w:eastAsia="zh-CN"/>
              </w:rPr>
              <w:t>本项目为服务类，为交钥匙项目，磋商报价应根据项目的实际需求整体报价，报价应包含合同期限内服务及其他相关工作的所有费用，总价包干方式报价。</w:t>
            </w:r>
          </w:p>
          <w:p>
            <w:pPr>
              <w:pStyle w:val="9"/>
              <w:numPr>
                <w:ilvl w:val="0"/>
                <w:numId w:val="3"/>
              </w:numPr>
              <w:spacing w:line="420" w:lineRule="exact"/>
              <w:rPr>
                <w:rFonts w:hint="default" w:hAnsi="宋体"/>
                <w:b/>
                <w:color w:val="FF0000"/>
                <w:sz w:val="24"/>
                <w:lang w:val="en-US" w:eastAsia="zh-CN"/>
              </w:rPr>
            </w:pPr>
            <w:r>
              <w:rPr>
                <w:rFonts w:hint="eastAsia" w:hAnsi="宋体"/>
                <w:b/>
                <w:color w:val="FF0000"/>
                <w:sz w:val="24"/>
                <w:lang w:val="en-US" w:eastAsia="zh-CN"/>
              </w:rPr>
              <w:t>报价应根据采购文件要求写明本项目物业管理总收费报价金额、分项收费败家金额及测算依据。</w:t>
            </w:r>
          </w:p>
          <w:p>
            <w:pPr>
              <w:pStyle w:val="9"/>
              <w:numPr>
                <w:ilvl w:val="0"/>
                <w:numId w:val="3"/>
              </w:numPr>
              <w:spacing w:line="420" w:lineRule="exact"/>
              <w:rPr>
                <w:rFonts w:hint="default" w:hAnsi="宋体"/>
                <w:b/>
                <w:color w:val="FF0000"/>
                <w:sz w:val="24"/>
                <w:lang w:val="en-US" w:eastAsia="zh-CN"/>
              </w:rPr>
            </w:pPr>
            <w:r>
              <w:rPr>
                <w:rFonts w:hint="eastAsia" w:hAnsi="宋体"/>
                <w:b/>
                <w:color w:val="FF0000"/>
                <w:sz w:val="24"/>
                <w:lang w:val="en-US" w:eastAsia="zh-CN"/>
              </w:rPr>
              <w:t>采用竞争性磋商，通过磋商，仅对满足竞争性磋商文件实质性要求的供应商进行多轮报价，每轮报价不得高于或等于上一轮报价，否则其磋商将被否决。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8" w:type="dxa"/>
            <w:noWrap w:val="0"/>
            <w:vAlign w:val="center"/>
          </w:tcPr>
          <w:p>
            <w:pPr>
              <w:pStyle w:val="9"/>
              <w:spacing w:line="420" w:lineRule="exact"/>
              <w:jc w:val="center"/>
              <w:rPr>
                <w:rFonts w:hint="default" w:hAnsi="宋体"/>
                <w:color w:val="auto"/>
                <w:sz w:val="24"/>
                <w:lang w:val="en-US" w:eastAsia="zh-CN"/>
              </w:rPr>
            </w:pPr>
            <w:r>
              <w:rPr>
                <w:rFonts w:hint="eastAsia" w:hAnsi="宋体"/>
                <w:color w:val="auto"/>
                <w:sz w:val="24"/>
                <w:lang w:val="en-US" w:eastAsia="zh-CN"/>
              </w:rPr>
              <w:t>13</w:t>
            </w:r>
          </w:p>
        </w:tc>
        <w:tc>
          <w:tcPr>
            <w:tcW w:w="9521" w:type="dxa"/>
            <w:noWrap w:val="0"/>
            <w:vAlign w:val="center"/>
          </w:tcPr>
          <w:p>
            <w:pPr>
              <w:pStyle w:val="9"/>
              <w:spacing w:line="420" w:lineRule="exact"/>
              <w:rPr>
                <w:rFonts w:hint="default" w:hAnsi="宋体"/>
                <w:b/>
                <w:color w:val="auto"/>
                <w:sz w:val="24"/>
                <w:lang w:val="en-US" w:eastAsia="zh-CN"/>
              </w:rPr>
            </w:pPr>
            <w:r>
              <w:rPr>
                <w:rFonts w:hint="default" w:hAnsi="宋体"/>
                <w:b/>
                <w:color w:val="auto"/>
                <w:sz w:val="24"/>
                <w:lang w:val="en-US" w:eastAsia="zh-CN"/>
              </w:rPr>
              <w:t>中标结果信息公布</w:t>
            </w:r>
            <w:r>
              <w:rPr>
                <w:rFonts w:hint="eastAsia" w:hAnsi="宋体"/>
                <w:b/>
                <w:color w:val="auto"/>
                <w:sz w:val="24"/>
                <w:lang w:val="en-US" w:eastAsia="zh-CN"/>
              </w:rPr>
              <w:t>：</w:t>
            </w:r>
            <w:r>
              <w:rPr>
                <w:rFonts w:hint="eastAsia" w:hAnsi="宋体"/>
                <w:b/>
                <w:bCs/>
                <w:color w:val="auto"/>
                <w:sz w:val="24"/>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dxa"/>
            <w:noWrap w:val="0"/>
            <w:vAlign w:val="center"/>
          </w:tcPr>
          <w:p>
            <w:pPr>
              <w:pStyle w:val="9"/>
              <w:spacing w:line="420" w:lineRule="exact"/>
              <w:jc w:val="center"/>
              <w:rPr>
                <w:rFonts w:hint="default" w:hAnsi="宋体" w:eastAsia="宋体"/>
                <w:color w:val="auto"/>
                <w:sz w:val="24"/>
                <w:lang w:val="en-US" w:eastAsia="zh-CN"/>
              </w:rPr>
            </w:pPr>
            <w:r>
              <w:rPr>
                <w:rFonts w:hint="eastAsia" w:hAnsi="宋体"/>
                <w:color w:val="auto"/>
                <w:sz w:val="24"/>
                <w:lang w:val="en-US" w:eastAsia="zh-CN"/>
              </w:rPr>
              <w:t>14</w:t>
            </w:r>
          </w:p>
        </w:tc>
        <w:tc>
          <w:tcPr>
            <w:tcW w:w="9521" w:type="dxa"/>
            <w:noWrap w:val="0"/>
            <w:vAlign w:val="center"/>
          </w:tcPr>
          <w:p>
            <w:pPr>
              <w:pStyle w:val="9"/>
              <w:spacing w:line="420" w:lineRule="exact"/>
              <w:rPr>
                <w:rFonts w:hint="eastAsia" w:hAnsi="宋体"/>
                <w:b/>
                <w:color w:val="auto"/>
                <w:sz w:val="24"/>
                <w:lang w:val="en-US" w:eastAsia="zh-CN"/>
              </w:rPr>
            </w:pPr>
            <w:r>
              <w:rPr>
                <w:rFonts w:hint="default" w:hAnsi="宋体"/>
                <w:b/>
                <w:color w:val="auto"/>
                <w:sz w:val="24"/>
                <w:lang w:val="en-US" w:eastAsia="zh-CN"/>
              </w:rPr>
              <w:t>招标时供应商需提供下列证件证件备查</w:t>
            </w:r>
            <w:r>
              <w:rPr>
                <w:rFonts w:hint="eastAsia" w:hAnsi="宋体"/>
                <w:b/>
                <w:color w:val="auto"/>
                <w:sz w:val="24"/>
                <w:lang w:val="en-US" w:eastAsia="zh-CN"/>
              </w:rPr>
              <w:t>：</w:t>
            </w:r>
          </w:p>
          <w:p>
            <w:pPr>
              <w:pStyle w:val="9"/>
              <w:spacing w:line="420" w:lineRule="exact"/>
              <w:rPr>
                <w:rFonts w:hint="default" w:hAnsi="宋体"/>
                <w:b/>
                <w:color w:val="FF0000"/>
                <w:sz w:val="24"/>
                <w:lang w:val="en-US" w:eastAsia="zh-CN"/>
              </w:rPr>
            </w:pPr>
            <w:r>
              <w:rPr>
                <w:rFonts w:hint="default" w:hAnsi="宋体"/>
                <w:b/>
                <w:color w:val="FF0000"/>
                <w:sz w:val="24"/>
                <w:lang w:val="en-US" w:eastAsia="zh-CN"/>
              </w:rPr>
              <w:t>1、法定代表人身份证原件或法定代表人授权委托书原件（与投标文件及到现场人员相一致）、被授权人身份证原件、法定代表人身份证复印件；</w:t>
            </w:r>
          </w:p>
          <w:p>
            <w:pPr>
              <w:pStyle w:val="9"/>
              <w:spacing w:line="420" w:lineRule="exact"/>
              <w:rPr>
                <w:rFonts w:hint="default" w:hAnsi="宋体"/>
                <w:b/>
                <w:color w:val="FF0000"/>
                <w:sz w:val="24"/>
                <w:lang w:val="en-US" w:eastAsia="zh-CN"/>
              </w:rPr>
            </w:pPr>
            <w:r>
              <w:rPr>
                <w:rFonts w:hint="default" w:hAnsi="宋体"/>
                <w:b/>
                <w:color w:val="FF0000"/>
                <w:sz w:val="24"/>
                <w:lang w:val="en-US" w:eastAsia="zh-CN"/>
              </w:rPr>
              <w:t>2、有效期内的企业营业执照复印件、税务登记证复印件、组织机构代码证复印件(三证合一的只需提供营业执照复印件)；</w:t>
            </w:r>
          </w:p>
          <w:p>
            <w:pPr>
              <w:pStyle w:val="9"/>
              <w:spacing w:line="420" w:lineRule="exact"/>
              <w:rPr>
                <w:rFonts w:hint="default" w:hAnsi="宋体"/>
                <w:b/>
                <w:color w:val="FF0000"/>
                <w:sz w:val="24"/>
                <w:lang w:val="en-US" w:eastAsia="zh-CN"/>
              </w:rPr>
            </w:pPr>
            <w:r>
              <w:rPr>
                <w:rFonts w:hint="default" w:hAnsi="宋体"/>
                <w:b/>
                <w:color w:val="FF0000"/>
                <w:sz w:val="24"/>
                <w:lang w:val="en-US" w:eastAsia="zh-CN"/>
              </w:rPr>
              <w:t>3、“信用中国”、“中国政府采购”网站截图复印件（查询渠道：“信用中国”网站www.creditchina.gov.cn、中国政府采购”网站www.ccgp.gov.cn））；</w:t>
            </w:r>
          </w:p>
          <w:p>
            <w:pPr>
              <w:pStyle w:val="9"/>
              <w:spacing w:line="420" w:lineRule="exact"/>
              <w:rPr>
                <w:rFonts w:hint="default" w:hAnsi="宋体"/>
                <w:b/>
                <w:color w:val="auto"/>
                <w:sz w:val="24"/>
                <w:lang w:val="en-US" w:eastAsia="zh-CN"/>
              </w:rPr>
            </w:pPr>
            <w:r>
              <w:rPr>
                <w:rFonts w:hint="default" w:hAnsi="宋体"/>
                <w:b/>
                <w:color w:val="auto"/>
                <w:sz w:val="24"/>
                <w:lang w:val="en-US" w:eastAsia="zh-CN"/>
              </w:rPr>
              <w:t>注：所有证件齐全、满足要求的投标供应商为有效投标供应商，证件未携带或证件不齐者视为无效投标供应商；上述证件的公证件，本次招标不予认可；由采购单位及监督人员对所有证件进行审核。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8" w:type="dxa"/>
            <w:noWrap w:val="0"/>
            <w:vAlign w:val="center"/>
          </w:tcPr>
          <w:p>
            <w:pPr>
              <w:pStyle w:val="9"/>
              <w:spacing w:line="420" w:lineRule="exact"/>
              <w:jc w:val="center"/>
              <w:rPr>
                <w:rFonts w:hint="default" w:hAnsi="宋体"/>
                <w:color w:val="auto"/>
                <w:sz w:val="24"/>
                <w:lang w:val="en-US" w:eastAsia="zh-CN"/>
              </w:rPr>
            </w:pPr>
            <w:r>
              <w:rPr>
                <w:rFonts w:hint="eastAsia" w:hAnsi="宋体"/>
                <w:color w:val="auto"/>
                <w:sz w:val="24"/>
                <w:lang w:val="en-US" w:eastAsia="zh-CN"/>
              </w:rPr>
              <w:t>15</w:t>
            </w:r>
          </w:p>
        </w:tc>
        <w:tc>
          <w:tcPr>
            <w:tcW w:w="9521" w:type="dxa"/>
            <w:noWrap w:val="0"/>
            <w:vAlign w:val="center"/>
          </w:tcPr>
          <w:p>
            <w:pPr>
              <w:pStyle w:val="9"/>
              <w:spacing w:line="420" w:lineRule="exact"/>
              <w:rPr>
                <w:rFonts w:hint="default" w:hAnsi="宋体" w:eastAsia="宋体"/>
                <w:b/>
                <w:color w:val="auto"/>
                <w:sz w:val="24"/>
                <w:lang w:val="en-US" w:eastAsia="zh-CN"/>
              </w:rPr>
            </w:pPr>
            <w:r>
              <w:rPr>
                <w:rFonts w:hint="eastAsia" w:hAnsi="宋体"/>
                <w:b/>
                <w:color w:val="auto"/>
                <w:sz w:val="24"/>
                <w:lang w:val="en-US" w:eastAsia="zh-CN"/>
              </w:rPr>
              <w:t>履约保证金：中标人在收到中标通知书后7天内，合同签订前;缴纳中标价2%的履约保证金，以银行保证金形式提交。</w:t>
            </w:r>
          </w:p>
        </w:tc>
      </w:tr>
    </w:tbl>
    <w:p>
      <w:pPr>
        <w:spacing w:line="360" w:lineRule="auto"/>
        <w:jc w:val="center"/>
        <w:rPr>
          <w:rFonts w:hint="eastAsia" w:ascii="宋体" w:hAnsi="宋体"/>
          <w:color w:val="auto"/>
          <w:sz w:val="28"/>
        </w:rPr>
      </w:pPr>
    </w:p>
    <w:p>
      <w:pPr>
        <w:spacing w:line="360" w:lineRule="auto"/>
        <w:jc w:val="center"/>
        <w:rPr>
          <w:rFonts w:hint="eastAsia" w:ascii="宋体" w:hAnsi="宋体"/>
          <w:color w:val="auto"/>
          <w:sz w:val="28"/>
        </w:rPr>
      </w:pPr>
    </w:p>
    <w:p>
      <w:pPr>
        <w:spacing w:line="360" w:lineRule="auto"/>
        <w:jc w:val="both"/>
        <w:rPr>
          <w:rFonts w:hint="eastAsia" w:ascii="宋体" w:hAnsi="宋体"/>
          <w:color w:val="auto"/>
          <w:sz w:val="28"/>
        </w:rPr>
      </w:pPr>
    </w:p>
    <w:p>
      <w:pPr>
        <w:spacing w:line="360" w:lineRule="auto"/>
        <w:jc w:val="center"/>
        <w:outlineLvl w:val="1"/>
        <w:rPr>
          <w:rFonts w:hint="eastAsia" w:ascii="宋体" w:hAnsi="宋体"/>
          <w:b/>
          <w:color w:val="auto"/>
          <w:sz w:val="28"/>
        </w:rPr>
      </w:pPr>
      <w:bookmarkStart w:id="46" w:name="_Toc7445"/>
      <w:r>
        <w:rPr>
          <w:rFonts w:hint="eastAsia" w:ascii="宋体" w:hAnsi="宋体"/>
          <w:color w:val="auto"/>
          <w:sz w:val="28"/>
        </w:rPr>
        <w:t>A</w:t>
      </w:r>
      <w:bookmarkEnd w:id="44"/>
      <w:bookmarkStart w:id="47" w:name="_Toc154996576"/>
      <w:r>
        <w:rPr>
          <w:rFonts w:hint="eastAsia" w:ascii="宋体" w:hAnsi="宋体"/>
          <w:color w:val="auto"/>
          <w:sz w:val="28"/>
          <w:lang w:val="en-US" w:eastAsia="zh-CN"/>
        </w:rPr>
        <w:t xml:space="preserve">  </w:t>
      </w:r>
      <w:r>
        <w:rPr>
          <w:rFonts w:hint="eastAsia" w:ascii="宋体" w:hAnsi="宋体"/>
          <w:b/>
          <w:color w:val="auto"/>
          <w:sz w:val="28"/>
        </w:rPr>
        <w:t>说明</w:t>
      </w:r>
      <w:bookmarkEnd w:id="46"/>
    </w:p>
    <w:p>
      <w:pPr>
        <w:spacing w:line="360" w:lineRule="auto"/>
        <w:jc w:val="center"/>
        <w:rPr>
          <w:rFonts w:hint="eastAsia" w:ascii="宋体" w:hAnsi="宋体"/>
          <w:b/>
          <w:color w:val="auto"/>
          <w:sz w:val="28"/>
        </w:rPr>
      </w:pPr>
    </w:p>
    <w:p>
      <w:pPr>
        <w:pStyle w:val="9"/>
        <w:spacing w:line="360" w:lineRule="auto"/>
        <w:ind w:firstLine="480" w:firstLineChars="200"/>
        <w:outlineLvl w:val="1"/>
        <w:rPr>
          <w:rFonts w:hint="eastAsia" w:hAnsi="宋体"/>
          <w:color w:val="auto"/>
          <w:sz w:val="24"/>
        </w:rPr>
      </w:pPr>
      <w:bookmarkStart w:id="48" w:name="_Toc233274811"/>
      <w:bookmarkStart w:id="49" w:name="_Toc243906311"/>
      <w:bookmarkStart w:id="50" w:name="_Toc246216180"/>
      <w:bookmarkStart w:id="51" w:name="_Toc243907571"/>
      <w:bookmarkStart w:id="52" w:name="_Toc9997"/>
      <w:r>
        <w:rPr>
          <w:rFonts w:hint="eastAsia" w:hAnsi="宋体"/>
          <w:color w:val="auto"/>
          <w:sz w:val="24"/>
        </w:rPr>
        <w:t>1、适用范围</w:t>
      </w:r>
      <w:bookmarkEnd w:id="48"/>
      <w:bookmarkEnd w:id="49"/>
      <w:bookmarkEnd w:id="50"/>
      <w:bookmarkEnd w:id="51"/>
      <w:r>
        <w:rPr>
          <w:rFonts w:hint="eastAsia" w:hAnsi="宋体"/>
          <w:color w:val="auto"/>
          <w:sz w:val="24"/>
        </w:rPr>
        <w:t>及磋商依据</w:t>
      </w:r>
      <w:bookmarkEnd w:id="52"/>
    </w:p>
    <w:p>
      <w:pPr>
        <w:pStyle w:val="9"/>
        <w:spacing w:line="360" w:lineRule="auto"/>
        <w:ind w:firstLine="480" w:firstLineChars="200"/>
        <w:rPr>
          <w:rFonts w:hint="eastAsia" w:hAnsi="宋体"/>
          <w:color w:val="auto"/>
          <w:sz w:val="24"/>
        </w:rPr>
      </w:pPr>
      <w:r>
        <w:rPr>
          <w:rFonts w:hint="eastAsia" w:hAnsi="宋体"/>
          <w:color w:val="auto"/>
          <w:sz w:val="24"/>
        </w:rPr>
        <w:t>1.1 适用范围</w:t>
      </w:r>
    </w:p>
    <w:p>
      <w:pPr>
        <w:pStyle w:val="9"/>
        <w:spacing w:line="360" w:lineRule="auto"/>
        <w:ind w:firstLine="480" w:firstLineChars="200"/>
        <w:rPr>
          <w:rFonts w:hint="eastAsia" w:hAnsi="宋体" w:eastAsia="宋体"/>
          <w:color w:val="auto"/>
          <w:sz w:val="24"/>
          <w:lang w:eastAsia="zh-CN"/>
        </w:rPr>
      </w:pPr>
      <w:r>
        <w:rPr>
          <w:rFonts w:hint="eastAsia" w:hAnsi="宋体"/>
          <w:color w:val="auto"/>
          <w:sz w:val="24"/>
        </w:rPr>
        <w:t>本磋商文件仅适用塔城地区政务服务与公共资源交易中心物业管理</w:t>
      </w:r>
      <w:r>
        <w:rPr>
          <w:rFonts w:hint="eastAsia" w:hAnsi="宋体"/>
          <w:color w:val="auto"/>
          <w:sz w:val="24"/>
          <w:lang w:eastAsia="zh-CN"/>
        </w:rPr>
        <w:t>竞争性磋商采购活动。</w:t>
      </w:r>
    </w:p>
    <w:p>
      <w:pPr>
        <w:pStyle w:val="9"/>
        <w:spacing w:line="360" w:lineRule="auto"/>
        <w:ind w:firstLine="480" w:firstLineChars="200"/>
        <w:rPr>
          <w:rFonts w:hint="eastAsia" w:hAnsi="宋体"/>
          <w:color w:val="auto"/>
          <w:sz w:val="24"/>
        </w:rPr>
      </w:pPr>
      <w:r>
        <w:rPr>
          <w:rFonts w:hint="eastAsia" w:hAnsi="宋体"/>
          <w:color w:val="auto"/>
          <w:sz w:val="24"/>
        </w:rPr>
        <w:t>1.2磋商依据</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ind w:firstLine="480" w:firstLineChars="200"/>
        <w:outlineLvl w:val="1"/>
        <w:rPr>
          <w:rFonts w:hint="eastAsia" w:hAnsi="宋体"/>
          <w:color w:val="auto"/>
          <w:sz w:val="24"/>
        </w:rPr>
      </w:pPr>
      <w:bookmarkStart w:id="53" w:name="_Toc22877"/>
      <w:bookmarkStart w:id="54" w:name="_Toc243906312"/>
      <w:bookmarkStart w:id="55" w:name="_Toc233274812"/>
      <w:bookmarkStart w:id="56" w:name="_Toc243907572"/>
      <w:bookmarkStart w:id="57" w:name="_Toc246216181"/>
      <w:r>
        <w:rPr>
          <w:rFonts w:hint="eastAsia" w:hAnsi="宋体"/>
          <w:color w:val="auto"/>
          <w:sz w:val="24"/>
        </w:rPr>
        <w:t>2、定义</w:t>
      </w:r>
      <w:bookmarkEnd w:id="53"/>
      <w:bookmarkEnd w:id="54"/>
      <w:bookmarkEnd w:id="55"/>
      <w:bookmarkEnd w:id="56"/>
      <w:bookmarkEnd w:id="57"/>
    </w:p>
    <w:p>
      <w:pPr>
        <w:pStyle w:val="9"/>
        <w:spacing w:line="360" w:lineRule="auto"/>
        <w:ind w:firstLine="480" w:firstLineChars="200"/>
        <w:rPr>
          <w:rFonts w:hint="eastAsia" w:hAnsi="宋体"/>
          <w:color w:val="auto"/>
          <w:sz w:val="24"/>
        </w:rPr>
      </w:pPr>
      <w:r>
        <w:rPr>
          <w:rFonts w:hint="eastAsia" w:hAnsi="宋体"/>
          <w:color w:val="auto"/>
          <w:sz w:val="24"/>
        </w:rPr>
        <w:t>2.1 “采购人”系指</w:t>
      </w:r>
      <w:r>
        <w:rPr>
          <w:rFonts w:hint="eastAsia" w:hAnsi="宋体"/>
          <w:color w:val="auto"/>
          <w:sz w:val="24"/>
          <w:lang w:eastAsia="zh-CN"/>
        </w:rPr>
        <w:t>塔城地区机关事务管理局</w:t>
      </w:r>
      <w:r>
        <w:rPr>
          <w:rFonts w:hint="eastAsia" w:hAnsi="宋体"/>
          <w:color w:val="auto"/>
          <w:sz w:val="24"/>
        </w:rPr>
        <w:t>，在签订和执行合同阶段称“买方”。</w:t>
      </w:r>
    </w:p>
    <w:p>
      <w:pPr>
        <w:pStyle w:val="9"/>
        <w:spacing w:line="360" w:lineRule="auto"/>
        <w:ind w:firstLine="480" w:firstLineChars="200"/>
        <w:rPr>
          <w:rFonts w:hint="eastAsia" w:hAnsi="宋体"/>
          <w:color w:val="auto"/>
          <w:sz w:val="24"/>
        </w:rPr>
      </w:pPr>
      <w:r>
        <w:rPr>
          <w:rFonts w:hint="eastAsia" w:hAnsi="宋体"/>
          <w:color w:val="auto"/>
          <w:sz w:val="24"/>
        </w:rPr>
        <w:t>2.2 “采购代理机构”系指塔城地区政府集中采购中心。</w:t>
      </w:r>
    </w:p>
    <w:p>
      <w:pPr>
        <w:pStyle w:val="9"/>
        <w:spacing w:line="360" w:lineRule="auto"/>
        <w:ind w:firstLine="480" w:firstLineChars="200"/>
        <w:rPr>
          <w:rFonts w:hint="eastAsia" w:hAnsi="宋体"/>
          <w:color w:val="auto"/>
          <w:sz w:val="24"/>
        </w:rPr>
      </w:pPr>
      <w:r>
        <w:rPr>
          <w:rFonts w:hint="eastAsia" w:hAnsi="宋体"/>
          <w:color w:val="auto"/>
          <w:sz w:val="24"/>
        </w:rPr>
        <w:t>2.3 “供应商”系指具备资格并响应磋商文件要求提交响应文件的法人，供应商若成交，在签订和执行合同阶段称“卖方”。</w:t>
      </w:r>
    </w:p>
    <w:p>
      <w:pPr>
        <w:pStyle w:val="9"/>
        <w:spacing w:line="360" w:lineRule="auto"/>
        <w:ind w:firstLine="480" w:firstLineChars="200"/>
        <w:rPr>
          <w:rFonts w:hint="eastAsia" w:hAnsi="宋体"/>
          <w:color w:val="auto"/>
          <w:sz w:val="24"/>
        </w:rPr>
      </w:pPr>
      <w:r>
        <w:rPr>
          <w:rFonts w:hint="eastAsia" w:hAnsi="宋体"/>
          <w:color w:val="auto"/>
          <w:sz w:val="24"/>
        </w:rPr>
        <w:t>2.4 “磋商文件”系指由采购人向供应商发出的本采购项目的全部文件（包括修改文件、补充文件、答疑纪要、各种通知和附件等）。</w:t>
      </w:r>
    </w:p>
    <w:p>
      <w:pPr>
        <w:pStyle w:val="9"/>
        <w:spacing w:line="360" w:lineRule="auto"/>
        <w:ind w:firstLine="480" w:firstLineChars="200"/>
        <w:rPr>
          <w:rFonts w:hint="eastAsia" w:hAnsi="宋体"/>
          <w:color w:val="auto"/>
          <w:sz w:val="24"/>
        </w:rPr>
      </w:pPr>
      <w:r>
        <w:rPr>
          <w:rFonts w:hint="eastAsia" w:hAnsi="宋体"/>
          <w:color w:val="auto"/>
          <w:sz w:val="24"/>
        </w:rPr>
        <w:t>2.5 “响应文件”系指供应商根据磋商文件提交的所有文件。</w:t>
      </w:r>
    </w:p>
    <w:p>
      <w:pPr>
        <w:pStyle w:val="9"/>
        <w:spacing w:line="360" w:lineRule="auto"/>
        <w:ind w:firstLine="480" w:firstLineChars="200"/>
        <w:rPr>
          <w:rFonts w:hint="default" w:hAnsi="宋体" w:eastAsia="宋体"/>
          <w:color w:val="auto"/>
          <w:sz w:val="24"/>
          <w:lang w:val="en-US" w:eastAsia="zh-CN"/>
        </w:rPr>
      </w:pPr>
      <w:r>
        <w:rPr>
          <w:rFonts w:hint="eastAsia" w:hAnsi="宋体"/>
          <w:color w:val="auto"/>
          <w:sz w:val="24"/>
          <w:lang w:val="en-US" w:eastAsia="zh-CN"/>
        </w:rPr>
        <w:t>2.6 “货物”是指各种形态和种类的物品，包括原材料、燃料、设备、产品等，详见《政府采购品目分类目录》(财库[2013]189号)；</w:t>
      </w:r>
    </w:p>
    <w:p>
      <w:pPr>
        <w:spacing w:line="360" w:lineRule="auto"/>
        <w:ind w:firstLine="480" w:firstLineChars="200"/>
        <w:rPr>
          <w:rFonts w:hint="eastAsia" w:ascii="宋体" w:hAnsi="宋体" w:eastAsia="宋体"/>
          <w:color w:val="FF0000"/>
          <w:sz w:val="24"/>
          <w:lang w:eastAsia="zh-CN"/>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“服务”是指系指合同条款、技术规范及标准、项目采购需求、本招标文件规定，中标</w:t>
      </w:r>
      <w:r>
        <w:rPr>
          <w:rFonts w:hint="eastAsia" w:ascii="宋体" w:hAnsi="宋体"/>
          <w:color w:val="auto"/>
          <w:sz w:val="24"/>
          <w:lang w:val="en-US" w:eastAsia="zh-CN"/>
        </w:rPr>
        <w:t>供应商</w:t>
      </w:r>
      <w:r>
        <w:rPr>
          <w:rFonts w:hint="eastAsia" w:ascii="宋体" w:hAnsi="宋体"/>
          <w:color w:val="auto"/>
          <w:sz w:val="24"/>
        </w:rPr>
        <w:t>在履约期限完成塔城地区机关事务管理局塔城地区政务服务与公共资源交易中心物业管理</w:t>
      </w:r>
      <w:r>
        <w:rPr>
          <w:rFonts w:hint="eastAsia" w:ascii="宋体" w:hAnsi="宋体"/>
          <w:color w:val="auto"/>
          <w:sz w:val="24"/>
          <w:lang w:eastAsia="zh-CN"/>
        </w:rPr>
        <w:t>；</w:t>
      </w:r>
    </w:p>
    <w:p>
      <w:pPr>
        <w:spacing w:line="360" w:lineRule="auto"/>
        <w:rPr>
          <w:rFonts w:hint="eastAsia" w:ascii="宋体" w:hAnsi="宋体"/>
          <w:color w:val="auto"/>
          <w:sz w:val="24"/>
        </w:rPr>
      </w:pPr>
      <w:r>
        <w:rPr>
          <w:rFonts w:hint="eastAsia" w:ascii="宋体" w:hAnsi="宋体"/>
          <w:color w:val="auto"/>
          <w:sz w:val="24"/>
          <w:lang w:val="en-US" w:eastAsia="zh-CN"/>
        </w:rPr>
        <w:t>的全部工作，并能正常交付使用以及合同条款、项目采购需求、本文件约定的全部内容。</w:t>
      </w:r>
    </w:p>
    <w:p>
      <w:pPr>
        <w:pStyle w:val="19"/>
        <w:spacing w:line="360" w:lineRule="auto"/>
        <w:ind w:firstLine="480"/>
        <w:rPr>
          <w:rFonts w:hint="eastAsia" w:ascii="宋体" w:hAnsi="宋体"/>
          <w:color w:val="auto"/>
          <w:sz w:val="24"/>
          <w:lang w:val="en-US" w:eastAsia="zh-CN"/>
        </w:rPr>
      </w:pPr>
      <w:r>
        <w:rPr>
          <w:rFonts w:hint="eastAsia" w:ascii="宋体" w:hAnsi="宋体"/>
          <w:color w:val="auto"/>
          <w:sz w:val="24"/>
          <w:lang w:val="en-US" w:eastAsia="zh-CN"/>
        </w:rPr>
        <w:t>2.8“节能产品”或者“环保产品”是指财政部发布的《节能产品政府采购清单》或者《环境标志产品政府采购清单》的产品。</w:t>
      </w:r>
    </w:p>
    <w:p>
      <w:pPr>
        <w:pStyle w:val="19"/>
        <w:spacing w:line="360" w:lineRule="auto"/>
        <w:ind w:firstLine="480"/>
        <w:rPr>
          <w:rFonts w:hint="default" w:ascii="宋体" w:hAnsi="宋体"/>
          <w:color w:val="auto"/>
          <w:sz w:val="24"/>
          <w:lang w:val="en-US" w:eastAsia="zh-CN"/>
        </w:rPr>
      </w:pPr>
      <w:r>
        <w:rPr>
          <w:rFonts w:hint="eastAsia" w:ascii="宋体" w:hAnsi="宋体"/>
          <w:color w:val="auto"/>
          <w:sz w:val="24"/>
          <w:lang w:val="en-US" w:eastAsia="zh-CN"/>
        </w:rPr>
        <w:t>2.9 “进口产品”是指通过中国海关报关验放进入中国境内且产自关境外的产品，详见《关于政府采购进口产品管理有关问题的通知》(财库[2007]119号)。</w:t>
      </w:r>
    </w:p>
    <w:p>
      <w:pPr>
        <w:pStyle w:val="9"/>
        <w:spacing w:line="360" w:lineRule="auto"/>
        <w:ind w:firstLine="480" w:firstLineChars="200"/>
        <w:rPr>
          <w:rFonts w:hint="eastAsia" w:hAnsi="宋体"/>
          <w:color w:val="auto"/>
          <w:sz w:val="24"/>
        </w:rPr>
      </w:pPr>
      <w:r>
        <w:rPr>
          <w:rFonts w:hint="eastAsia" w:hAnsi="宋体"/>
          <w:color w:val="auto"/>
          <w:sz w:val="24"/>
        </w:rPr>
        <w:t>2.</w:t>
      </w:r>
      <w:r>
        <w:rPr>
          <w:rFonts w:hint="eastAsia" w:hAnsi="宋体"/>
          <w:color w:val="auto"/>
          <w:sz w:val="24"/>
          <w:lang w:val="en-US" w:eastAsia="zh-CN"/>
        </w:rPr>
        <w:t>10</w:t>
      </w:r>
      <w:r>
        <w:rPr>
          <w:rFonts w:hint="eastAsia" w:hAnsi="宋体"/>
          <w:color w:val="auto"/>
          <w:sz w:val="24"/>
        </w:rPr>
        <w:t xml:space="preserve">凡提及的“天、日期、星期、月份和年份”系指公历日历的日历天、日期、星期、月份和年份。 </w:t>
      </w:r>
    </w:p>
    <w:p>
      <w:pPr>
        <w:pStyle w:val="9"/>
        <w:spacing w:line="360" w:lineRule="auto"/>
        <w:ind w:firstLine="482" w:firstLineChars="200"/>
        <w:outlineLvl w:val="1"/>
        <w:rPr>
          <w:rFonts w:hint="eastAsia" w:hAnsi="宋体"/>
          <w:b/>
          <w:color w:val="auto"/>
          <w:sz w:val="24"/>
        </w:rPr>
      </w:pPr>
      <w:bookmarkStart w:id="58" w:name="_Toc246216182"/>
      <w:bookmarkStart w:id="59" w:name="_Toc233274813"/>
      <w:bookmarkStart w:id="60" w:name="_Toc243906313"/>
      <w:bookmarkStart w:id="61" w:name="_Toc243907573"/>
      <w:bookmarkStart w:id="62" w:name="_Toc4723"/>
      <w:r>
        <w:rPr>
          <w:rFonts w:hint="eastAsia" w:hAnsi="宋体"/>
          <w:b/>
          <w:color w:val="auto"/>
          <w:sz w:val="24"/>
        </w:rPr>
        <w:t>3、采购范围及</w:t>
      </w:r>
      <w:bookmarkEnd w:id="58"/>
      <w:bookmarkEnd w:id="59"/>
      <w:bookmarkEnd w:id="60"/>
      <w:bookmarkEnd w:id="61"/>
      <w:r>
        <w:rPr>
          <w:rFonts w:hint="eastAsia" w:hAnsi="宋体"/>
          <w:b/>
          <w:color w:val="auto"/>
          <w:sz w:val="24"/>
        </w:rPr>
        <w:t>服务期限</w:t>
      </w:r>
      <w:bookmarkEnd w:id="62"/>
    </w:p>
    <w:p>
      <w:pPr>
        <w:adjustRightInd w:val="0"/>
        <w:snapToGrid w:val="0"/>
        <w:spacing w:line="360" w:lineRule="auto"/>
        <w:ind w:firstLine="480" w:firstLineChars="200"/>
        <w:rPr>
          <w:rFonts w:hint="eastAsia" w:ascii="宋体" w:hAnsi="宋体"/>
          <w:b/>
          <w:color w:val="auto"/>
          <w:sz w:val="24"/>
        </w:rPr>
      </w:pPr>
      <w:r>
        <w:rPr>
          <w:rFonts w:hint="eastAsia" w:ascii="宋体" w:hAnsi="宋体"/>
          <w:color w:val="auto"/>
          <w:sz w:val="24"/>
        </w:rPr>
        <w:t>3.1采购范围：</w:t>
      </w:r>
      <w:r>
        <w:rPr>
          <w:rFonts w:hint="eastAsia" w:ascii="宋体" w:hAnsi="宋体"/>
          <w:b/>
          <w:color w:val="auto"/>
          <w:sz w:val="24"/>
        </w:rPr>
        <w:t>在履约期限完成塔城地区政务服务与公共资源交易中心物业管理</w:t>
      </w:r>
      <w:r>
        <w:rPr>
          <w:rFonts w:hint="eastAsia" w:ascii="宋体" w:hAnsi="宋体"/>
          <w:b/>
          <w:color w:val="auto"/>
          <w:sz w:val="24"/>
          <w:lang w:val="en-US" w:eastAsia="zh-CN"/>
        </w:rPr>
        <w:t>的全部工作，并能正常交付使用以及合同条款、项目采购需求、本文件约定的全部内容。</w:t>
      </w:r>
    </w:p>
    <w:p>
      <w:pPr>
        <w:spacing w:line="360" w:lineRule="auto"/>
        <w:ind w:firstLine="482" w:firstLineChars="200"/>
        <w:rPr>
          <w:rFonts w:hint="eastAsia" w:ascii="宋体" w:hAnsi="宋体"/>
          <w:b/>
          <w:bCs/>
          <w:color w:val="auto"/>
          <w:sz w:val="24"/>
          <w:highlight w:val="yellow"/>
          <w:lang w:val="en-US" w:eastAsia="zh-CN"/>
        </w:rPr>
      </w:pPr>
      <w:r>
        <w:rPr>
          <w:rFonts w:hint="eastAsia" w:ascii="宋体" w:hAnsi="宋体"/>
          <w:b/>
          <w:color w:val="auto"/>
          <w:sz w:val="24"/>
        </w:rPr>
        <w:t>3.2</w:t>
      </w:r>
      <w:r>
        <w:rPr>
          <w:rFonts w:hint="eastAsia" w:ascii="宋体" w:hAnsi="宋体"/>
          <w:b/>
          <w:bCs/>
          <w:color w:val="auto"/>
          <w:sz w:val="24"/>
          <w:highlight w:val="yellow"/>
        </w:rPr>
        <w:t>合同履行期限：</w:t>
      </w:r>
      <w:bookmarkStart w:id="63" w:name="_Toc233274814"/>
      <w:bookmarkStart w:id="64" w:name="_Toc246216183"/>
      <w:bookmarkStart w:id="65" w:name="_Toc243906314"/>
      <w:bookmarkStart w:id="66" w:name="_Toc243907574"/>
      <w:r>
        <w:rPr>
          <w:rFonts w:hint="eastAsia" w:ascii="宋体" w:hAnsi="宋体"/>
          <w:b/>
          <w:bCs/>
          <w:color w:val="auto"/>
          <w:sz w:val="24"/>
          <w:highlight w:val="yellow"/>
          <w:lang w:eastAsia="zh-CN"/>
        </w:rPr>
        <w:t>合同服务期</w:t>
      </w:r>
      <w:r>
        <w:rPr>
          <w:rFonts w:hint="eastAsia" w:ascii="宋体" w:hAnsi="宋体"/>
          <w:b/>
          <w:bCs/>
          <w:color w:val="auto"/>
          <w:sz w:val="24"/>
          <w:highlight w:val="yellow"/>
          <w:lang w:val="en-US" w:eastAsia="zh-CN"/>
        </w:rPr>
        <w:t>1年。在年度预算能保障的前提下，合同金额不变，经财政部门同意，采购人根据每年考核结果决定是否续签下一年合同，合同期限可以延长1年至2年，不超过2年。</w:t>
      </w:r>
    </w:p>
    <w:p>
      <w:pPr>
        <w:spacing w:line="360" w:lineRule="auto"/>
        <w:ind w:firstLine="480" w:firstLineChars="200"/>
        <w:rPr>
          <w:rFonts w:hint="eastAsia" w:ascii="宋体" w:hAnsi="宋体"/>
          <w:color w:val="auto"/>
          <w:sz w:val="24"/>
        </w:rPr>
      </w:pPr>
      <w:r>
        <w:rPr>
          <w:rFonts w:hint="eastAsia" w:ascii="宋体" w:hAnsi="宋体"/>
          <w:color w:val="auto"/>
          <w:sz w:val="24"/>
        </w:rPr>
        <w:t>4、</w:t>
      </w:r>
      <w:bookmarkEnd w:id="63"/>
      <w:bookmarkEnd w:id="64"/>
      <w:bookmarkEnd w:id="65"/>
      <w:bookmarkEnd w:id="66"/>
      <w:r>
        <w:rPr>
          <w:rFonts w:hint="eastAsia" w:ascii="宋体" w:hAnsi="宋体"/>
          <w:color w:val="auto"/>
          <w:sz w:val="24"/>
        </w:rPr>
        <w:t>合格供应商资格要求</w:t>
      </w:r>
    </w:p>
    <w:p>
      <w:pPr>
        <w:spacing w:line="360" w:lineRule="auto"/>
        <w:ind w:firstLine="480" w:firstLineChars="200"/>
        <w:rPr>
          <w:rFonts w:hint="eastAsia" w:ascii="宋体" w:hAnsi="宋体"/>
          <w:color w:val="auto"/>
          <w:sz w:val="24"/>
        </w:rPr>
      </w:pPr>
      <w:r>
        <w:rPr>
          <w:rFonts w:hint="eastAsia" w:ascii="宋体" w:hAnsi="宋体"/>
          <w:color w:val="auto"/>
          <w:sz w:val="24"/>
        </w:rPr>
        <w:t>4.1详见第一章“竞争性磋商采购公告”中的供应商资格要求。</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4.1.</w:t>
      </w:r>
      <w:r>
        <w:rPr>
          <w:rFonts w:hint="eastAsia" w:ascii="宋体" w:hAnsi="宋体"/>
          <w:color w:val="auto"/>
          <w:sz w:val="24"/>
        </w:rPr>
        <w:t xml:space="preserve">1、应当符合《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政府采购法律法规相关规定的其他条件。 </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4.1.</w:t>
      </w:r>
      <w:r>
        <w:rPr>
          <w:rFonts w:hint="eastAsia" w:ascii="宋体" w:hAnsi="宋体"/>
          <w:color w:val="auto"/>
          <w:sz w:val="24"/>
        </w:rPr>
        <w:t>2、投标供应商信用记录应符合政府采购活动要求投标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pPr>
        <w:spacing w:line="360" w:lineRule="auto"/>
        <w:ind w:firstLine="480" w:firstLineChars="200"/>
        <w:rPr>
          <w:rFonts w:hint="default" w:ascii="宋体" w:hAnsi="宋体" w:eastAsia="宋体" w:cs="Times New Roman"/>
          <w:color w:val="auto"/>
          <w:kern w:val="2"/>
          <w:sz w:val="24"/>
          <w:lang w:val="en-US" w:eastAsia="zh-CN"/>
        </w:rPr>
      </w:pPr>
      <w:r>
        <w:rPr>
          <w:rFonts w:hint="eastAsia" w:ascii="宋体" w:hAnsi="宋体"/>
          <w:color w:val="auto"/>
          <w:sz w:val="24"/>
        </w:rPr>
        <w:t xml:space="preserve">  </w:t>
      </w:r>
      <w:r>
        <w:rPr>
          <w:rFonts w:hint="eastAsia" w:ascii="宋体" w:hAnsi="宋体"/>
          <w:color w:val="auto"/>
          <w:sz w:val="24"/>
          <w:lang w:val="en-US" w:eastAsia="zh-CN"/>
        </w:rPr>
        <w:t>4.1.</w:t>
      </w:r>
      <w:r>
        <w:rPr>
          <w:rFonts w:hint="eastAsia" w:ascii="宋体" w:hAnsi="宋体"/>
          <w:color w:val="auto"/>
          <w:sz w:val="24"/>
        </w:rPr>
        <w:t>3、依法取得企业营业执照及营业执照在有效期内；</w:t>
      </w:r>
    </w:p>
    <w:p>
      <w:pPr>
        <w:spacing w:line="360" w:lineRule="auto"/>
        <w:ind w:firstLine="720" w:firstLineChars="300"/>
        <w:rPr>
          <w:rFonts w:hint="eastAsia" w:ascii="宋体" w:hAnsi="宋体" w:eastAsia="宋体" w:cs="Times New Roman"/>
          <w:color w:val="auto"/>
          <w:kern w:val="2"/>
          <w:sz w:val="24"/>
          <w:lang w:val="en-US" w:eastAsia="zh-CN"/>
        </w:rPr>
      </w:pPr>
      <w:r>
        <w:rPr>
          <w:rFonts w:hint="eastAsia" w:ascii="宋体" w:hAnsi="宋体" w:eastAsia="宋体" w:cs="Times New Roman"/>
          <w:color w:val="auto"/>
          <w:kern w:val="2"/>
          <w:sz w:val="24"/>
          <w:lang w:val="en-US" w:eastAsia="zh-CN"/>
        </w:rPr>
        <w:t>4.1.4、本项目不接受联合体</w:t>
      </w:r>
      <w:r>
        <w:rPr>
          <w:rFonts w:hint="eastAsia" w:ascii="宋体" w:hAnsi="宋体" w:cs="Times New Roman"/>
          <w:color w:val="auto"/>
          <w:kern w:val="2"/>
          <w:sz w:val="24"/>
          <w:lang w:val="en-US" w:eastAsia="zh-CN"/>
        </w:rPr>
        <w:t>磋商</w:t>
      </w:r>
    </w:p>
    <w:p>
      <w:pPr>
        <w:spacing w:line="360" w:lineRule="auto"/>
        <w:ind w:firstLine="480" w:firstLineChars="200"/>
        <w:rPr>
          <w:rFonts w:hint="eastAsia" w:ascii="宋体" w:hAnsi="宋体"/>
          <w:color w:val="auto"/>
          <w:sz w:val="24"/>
        </w:rPr>
      </w:pPr>
      <w:r>
        <w:rPr>
          <w:rFonts w:hint="eastAsia" w:ascii="宋体" w:hAnsi="宋体"/>
          <w:color w:val="auto"/>
          <w:sz w:val="24"/>
        </w:rPr>
        <w:t>4.2采购有关规定</w:t>
      </w:r>
    </w:p>
    <w:p>
      <w:pPr>
        <w:spacing w:line="360" w:lineRule="auto"/>
        <w:ind w:firstLine="482" w:firstLineChars="200"/>
        <w:rPr>
          <w:rFonts w:hint="eastAsia" w:ascii="宋体" w:hAnsi="宋体"/>
          <w:b/>
          <w:color w:val="auto"/>
          <w:sz w:val="24"/>
        </w:rPr>
      </w:pPr>
      <w:r>
        <w:rPr>
          <w:rFonts w:hint="eastAsia" w:ascii="宋体" w:hAnsi="宋体"/>
          <w:b/>
          <w:color w:val="auto"/>
          <w:sz w:val="24"/>
        </w:rPr>
        <w:t>4.2.1供应商负责人为同一人或者存在直接控股、管理关系的不同供应商，不得参加同一合同项下的政府采购活动。</w:t>
      </w:r>
    </w:p>
    <w:p>
      <w:pPr>
        <w:spacing w:line="360" w:lineRule="auto"/>
        <w:ind w:firstLine="482" w:firstLineChars="200"/>
        <w:rPr>
          <w:rFonts w:hint="eastAsia" w:ascii="宋体" w:hAnsi="宋体"/>
          <w:b/>
          <w:color w:val="auto"/>
          <w:sz w:val="24"/>
        </w:rPr>
      </w:pPr>
      <w:r>
        <w:rPr>
          <w:rFonts w:hint="eastAsia" w:ascii="宋体" w:hAnsi="宋体"/>
          <w:b/>
          <w:color w:val="auto"/>
          <w:sz w:val="24"/>
        </w:rPr>
        <w:t>4.2.2为采购项目提供整体设计、规范编制或者项目管理、监理、检测等服务的供应商，不得再参加该采购项目的其他采购活动。</w:t>
      </w:r>
    </w:p>
    <w:p>
      <w:pPr>
        <w:spacing w:line="360" w:lineRule="auto"/>
        <w:ind w:firstLine="482" w:firstLineChars="200"/>
        <w:rPr>
          <w:rFonts w:hint="eastAsia" w:ascii="宋体" w:hAnsi="宋体"/>
          <w:b/>
          <w:color w:val="auto"/>
          <w:sz w:val="24"/>
        </w:rPr>
      </w:pPr>
      <w:r>
        <w:rPr>
          <w:rFonts w:hint="eastAsia" w:ascii="宋体" w:hAnsi="宋体"/>
          <w:b/>
          <w:color w:val="auto"/>
          <w:sz w:val="24"/>
        </w:rPr>
        <w:t>4.2.3在单一品目的货物采购中，同一品牌同一型号的产品有多家供应商参加采购，只能按照一家供应商计算。</w:t>
      </w:r>
    </w:p>
    <w:p>
      <w:pPr>
        <w:spacing w:line="360" w:lineRule="auto"/>
        <w:ind w:firstLine="482" w:firstLineChars="200"/>
        <w:rPr>
          <w:rFonts w:hint="eastAsia" w:ascii="宋体" w:hAnsi="宋体"/>
          <w:b/>
          <w:color w:val="auto"/>
          <w:sz w:val="24"/>
        </w:rPr>
      </w:pPr>
      <w:r>
        <w:rPr>
          <w:rFonts w:hint="eastAsia" w:ascii="宋体" w:hAnsi="宋体"/>
          <w:b/>
          <w:color w:val="auto"/>
          <w:sz w:val="24"/>
        </w:rPr>
        <w:t>4.2.4同一分包的货物，制造商参与采购的，不得再委托代理商参与采购。</w:t>
      </w:r>
    </w:p>
    <w:p>
      <w:pPr>
        <w:pStyle w:val="24"/>
        <w:spacing w:line="360" w:lineRule="auto"/>
        <w:ind w:left="1" w:firstLine="482" w:firstLineChars="200"/>
        <w:rPr>
          <w:rFonts w:hint="eastAsia" w:hAnsi="宋体"/>
          <w:color w:val="auto"/>
          <w:kern w:val="2"/>
          <w:sz w:val="24"/>
        </w:rPr>
      </w:pPr>
      <w:r>
        <w:rPr>
          <w:rFonts w:hint="eastAsia" w:hAnsi="宋体"/>
          <w:b/>
          <w:color w:val="auto"/>
          <w:sz w:val="24"/>
        </w:rPr>
        <w:t>5、</w:t>
      </w:r>
      <w:r>
        <w:rPr>
          <w:rFonts w:hint="eastAsia" w:hAnsi="宋体"/>
          <w:color w:val="auto"/>
          <w:kern w:val="2"/>
          <w:sz w:val="24"/>
        </w:rPr>
        <w:t>回避。政府采购活动中，采购人员及相关人员与供应商有下列利害关系之一的，应当回避：</w:t>
      </w:r>
    </w:p>
    <w:p>
      <w:pPr>
        <w:pStyle w:val="24"/>
        <w:spacing w:line="360" w:lineRule="auto"/>
        <w:ind w:left="1" w:firstLine="480" w:firstLineChars="200"/>
        <w:rPr>
          <w:rFonts w:hint="eastAsia" w:hAnsi="宋体"/>
          <w:color w:val="auto"/>
          <w:kern w:val="2"/>
          <w:sz w:val="24"/>
        </w:rPr>
      </w:pPr>
      <w:r>
        <w:rPr>
          <w:rFonts w:hint="eastAsia" w:hAnsi="宋体"/>
          <w:color w:val="auto"/>
          <w:kern w:val="2"/>
          <w:sz w:val="24"/>
        </w:rPr>
        <w:t>5.</w:t>
      </w:r>
      <w:r>
        <w:rPr>
          <w:rFonts w:hint="eastAsia" w:hAnsi="宋体"/>
          <w:color w:val="auto"/>
          <w:kern w:val="2"/>
          <w:sz w:val="24"/>
          <w:lang w:val="en-US" w:eastAsia="zh-CN"/>
        </w:rPr>
        <w:t>1</w:t>
      </w:r>
      <w:r>
        <w:rPr>
          <w:rFonts w:hint="eastAsia" w:hAnsi="宋体"/>
          <w:color w:val="auto"/>
          <w:kern w:val="2"/>
          <w:sz w:val="24"/>
        </w:rPr>
        <w:t>参加采购活动前3年内担任供应商的董事、监事；</w:t>
      </w:r>
    </w:p>
    <w:p>
      <w:pPr>
        <w:pStyle w:val="24"/>
        <w:spacing w:line="360" w:lineRule="auto"/>
        <w:ind w:left="1" w:firstLine="480" w:firstLineChars="200"/>
        <w:rPr>
          <w:rFonts w:hint="eastAsia" w:hAnsi="宋体"/>
          <w:color w:val="auto"/>
          <w:kern w:val="2"/>
          <w:sz w:val="24"/>
        </w:rPr>
      </w:pPr>
      <w:r>
        <w:rPr>
          <w:rFonts w:hint="eastAsia" w:hAnsi="宋体"/>
          <w:color w:val="auto"/>
          <w:kern w:val="2"/>
          <w:sz w:val="24"/>
        </w:rPr>
        <w:t>5.</w:t>
      </w:r>
      <w:r>
        <w:rPr>
          <w:rFonts w:hint="eastAsia" w:hAnsi="宋体"/>
          <w:color w:val="auto"/>
          <w:kern w:val="2"/>
          <w:sz w:val="24"/>
          <w:lang w:val="en-US" w:eastAsia="zh-CN"/>
        </w:rPr>
        <w:t>2</w:t>
      </w:r>
      <w:r>
        <w:rPr>
          <w:rFonts w:hint="eastAsia" w:hAnsi="宋体"/>
          <w:color w:val="auto"/>
          <w:kern w:val="2"/>
          <w:sz w:val="24"/>
        </w:rPr>
        <w:t>参加采购活动前3年内是供应商的控股股东或者实际控制人；</w:t>
      </w:r>
    </w:p>
    <w:p>
      <w:pPr>
        <w:pStyle w:val="24"/>
        <w:spacing w:line="360" w:lineRule="auto"/>
        <w:ind w:left="1" w:firstLine="480" w:firstLineChars="200"/>
        <w:rPr>
          <w:rFonts w:hint="eastAsia" w:hAnsi="宋体"/>
          <w:color w:val="auto"/>
          <w:kern w:val="2"/>
          <w:sz w:val="24"/>
        </w:rPr>
      </w:pPr>
      <w:r>
        <w:rPr>
          <w:rFonts w:hint="eastAsia" w:hAnsi="宋体"/>
          <w:color w:val="auto"/>
          <w:kern w:val="2"/>
          <w:sz w:val="24"/>
        </w:rPr>
        <w:t>5.</w:t>
      </w:r>
      <w:r>
        <w:rPr>
          <w:rFonts w:hint="eastAsia" w:hAnsi="宋体"/>
          <w:color w:val="auto"/>
          <w:kern w:val="2"/>
          <w:sz w:val="24"/>
          <w:lang w:val="en-US" w:eastAsia="zh-CN"/>
        </w:rPr>
        <w:t>3</w:t>
      </w:r>
      <w:r>
        <w:rPr>
          <w:rFonts w:hint="eastAsia" w:hAnsi="宋体"/>
          <w:color w:val="auto"/>
          <w:kern w:val="2"/>
          <w:sz w:val="24"/>
        </w:rPr>
        <w:t>与供应商的法定代表人或者负责人有夫妻、直系血亲、三代以内旁系血亲或者近姻亲关系；</w:t>
      </w:r>
    </w:p>
    <w:p>
      <w:pPr>
        <w:pStyle w:val="24"/>
        <w:spacing w:line="360" w:lineRule="auto"/>
        <w:ind w:left="1" w:firstLine="480" w:firstLineChars="200"/>
        <w:rPr>
          <w:rFonts w:hint="eastAsia" w:hAnsi="宋体"/>
          <w:color w:val="auto"/>
          <w:kern w:val="2"/>
          <w:sz w:val="24"/>
        </w:rPr>
      </w:pPr>
      <w:r>
        <w:rPr>
          <w:rFonts w:hint="eastAsia" w:hAnsi="宋体"/>
          <w:color w:val="auto"/>
          <w:kern w:val="2"/>
          <w:sz w:val="24"/>
        </w:rPr>
        <w:t>5.</w:t>
      </w:r>
      <w:r>
        <w:rPr>
          <w:rFonts w:hint="eastAsia" w:hAnsi="宋体"/>
          <w:color w:val="auto"/>
          <w:kern w:val="2"/>
          <w:sz w:val="24"/>
          <w:lang w:val="en-US" w:eastAsia="zh-CN"/>
        </w:rPr>
        <w:t>4</w:t>
      </w:r>
      <w:r>
        <w:rPr>
          <w:rFonts w:hint="eastAsia" w:hAnsi="宋体"/>
          <w:color w:val="auto"/>
          <w:kern w:val="2"/>
          <w:sz w:val="24"/>
        </w:rPr>
        <w:t>与供应商有其他可能影响政府采购活动公平、公正进行的关系。</w:t>
      </w:r>
    </w:p>
    <w:p>
      <w:pPr>
        <w:pStyle w:val="24"/>
        <w:spacing w:line="360" w:lineRule="auto"/>
        <w:ind w:left="1" w:firstLine="480" w:firstLineChars="200"/>
        <w:rPr>
          <w:rFonts w:hint="eastAsia" w:hAnsi="宋体"/>
          <w:color w:val="auto"/>
          <w:kern w:val="2"/>
          <w:sz w:val="24"/>
        </w:rPr>
      </w:pPr>
      <w:r>
        <w:rPr>
          <w:rFonts w:hint="eastAsia" w:hAnsi="宋体"/>
          <w:color w:val="auto"/>
          <w:kern w:val="2"/>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24"/>
        <w:spacing w:line="360" w:lineRule="auto"/>
        <w:ind w:left="1" w:firstLine="480" w:firstLineChars="200"/>
        <w:rPr>
          <w:rFonts w:hint="eastAsia" w:hAnsi="宋体"/>
          <w:b/>
          <w:color w:val="auto"/>
          <w:sz w:val="24"/>
        </w:rPr>
      </w:pPr>
      <w:r>
        <w:rPr>
          <w:rFonts w:hint="eastAsia" w:hAnsi="宋体"/>
          <w:color w:val="auto"/>
          <w:kern w:val="2"/>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ind w:firstLine="480" w:firstLineChars="200"/>
        <w:rPr>
          <w:rFonts w:hint="eastAsia" w:hAnsi="宋体"/>
          <w:color w:val="auto"/>
          <w:sz w:val="24"/>
        </w:rPr>
      </w:pPr>
      <w:r>
        <w:rPr>
          <w:rFonts w:hint="eastAsia" w:hAnsi="宋体"/>
          <w:color w:val="auto"/>
          <w:sz w:val="24"/>
        </w:rPr>
        <w:t>6、参与磋商费用</w:t>
      </w:r>
    </w:p>
    <w:p>
      <w:pPr>
        <w:pStyle w:val="9"/>
        <w:spacing w:line="360" w:lineRule="auto"/>
        <w:ind w:firstLine="480" w:firstLineChars="200"/>
        <w:rPr>
          <w:rFonts w:hint="eastAsia" w:hAnsi="宋体"/>
          <w:color w:val="auto"/>
          <w:sz w:val="24"/>
        </w:rPr>
      </w:pPr>
      <w:r>
        <w:rPr>
          <w:rFonts w:hint="eastAsia" w:hAnsi="宋体"/>
          <w:color w:val="auto"/>
          <w:sz w:val="24"/>
        </w:rPr>
        <w:t>6.1供应商应承担所有与磋商准备和磋商有关的全部费用，不论磋商结果如何，采购人和采购代理机构无义务和责任承担供应商所发生的一切费用。</w:t>
      </w:r>
    </w:p>
    <w:p>
      <w:pPr>
        <w:pStyle w:val="9"/>
        <w:spacing w:line="360" w:lineRule="auto"/>
        <w:ind w:firstLine="480" w:firstLineChars="200"/>
        <w:rPr>
          <w:rFonts w:hint="eastAsia" w:hAnsi="宋体"/>
          <w:color w:val="auto"/>
          <w:sz w:val="24"/>
        </w:rPr>
      </w:pPr>
      <w:r>
        <w:rPr>
          <w:rFonts w:hint="eastAsia" w:hAnsi="宋体"/>
          <w:color w:val="auto"/>
          <w:sz w:val="24"/>
        </w:rPr>
        <w:t>6.2供应商在磋商准备、实地考察和磋商的全过程中，如果发生人身伤亡、财物或其它任何损失，不论何种原因所造成，均由供应商自行承担全部责任和损失。</w:t>
      </w:r>
    </w:p>
    <w:p>
      <w:pPr>
        <w:pStyle w:val="9"/>
        <w:spacing w:line="360" w:lineRule="auto"/>
        <w:ind w:firstLine="480" w:firstLineChars="200"/>
        <w:outlineLvl w:val="1"/>
        <w:rPr>
          <w:rFonts w:hint="eastAsia" w:hAnsi="宋体"/>
          <w:color w:val="auto"/>
          <w:sz w:val="24"/>
        </w:rPr>
      </w:pPr>
      <w:bookmarkStart w:id="67" w:name="_Toc233274816"/>
      <w:bookmarkStart w:id="68" w:name="_Toc243907576"/>
      <w:bookmarkStart w:id="69" w:name="_Toc29967"/>
      <w:bookmarkStart w:id="70" w:name="_Toc243906316"/>
      <w:bookmarkStart w:id="71" w:name="_Toc245897276"/>
      <w:r>
        <w:rPr>
          <w:rFonts w:hint="eastAsia" w:hAnsi="宋体"/>
          <w:color w:val="auto"/>
          <w:sz w:val="24"/>
        </w:rPr>
        <w:t>7、法律适用</w:t>
      </w:r>
      <w:bookmarkEnd w:id="67"/>
      <w:bookmarkEnd w:id="68"/>
      <w:bookmarkEnd w:id="69"/>
      <w:bookmarkEnd w:id="70"/>
      <w:bookmarkEnd w:id="71"/>
    </w:p>
    <w:p>
      <w:pPr>
        <w:pStyle w:val="9"/>
        <w:spacing w:line="360" w:lineRule="auto"/>
        <w:ind w:firstLine="480" w:firstLineChars="200"/>
        <w:rPr>
          <w:rFonts w:hint="eastAsia" w:hAnsi="宋体"/>
          <w:color w:val="auto"/>
          <w:sz w:val="24"/>
        </w:rPr>
      </w:pPr>
      <w:r>
        <w:rPr>
          <w:rFonts w:hint="eastAsia" w:hAnsi="宋体"/>
          <w:color w:val="auto"/>
          <w:sz w:val="24"/>
        </w:rPr>
        <w:t>7.1本次磋商活动及由本次磋商产生的合同受中国法律制约和保护。</w:t>
      </w:r>
    </w:p>
    <w:p>
      <w:pPr>
        <w:pStyle w:val="9"/>
        <w:spacing w:line="360" w:lineRule="auto"/>
        <w:ind w:firstLine="480" w:firstLineChars="200"/>
        <w:outlineLvl w:val="1"/>
        <w:rPr>
          <w:rFonts w:hint="eastAsia" w:hAnsi="宋体"/>
          <w:color w:val="auto"/>
          <w:sz w:val="24"/>
        </w:rPr>
      </w:pPr>
      <w:bookmarkStart w:id="72" w:name="_Toc243906317"/>
      <w:bookmarkStart w:id="73" w:name="_Toc27096"/>
      <w:bookmarkStart w:id="74" w:name="_Toc243907577"/>
      <w:bookmarkStart w:id="75" w:name="_Toc245897277"/>
      <w:bookmarkStart w:id="76" w:name="_Toc233274817"/>
      <w:r>
        <w:rPr>
          <w:rFonts w:hint="eastAsia" w:hAnsi="宋体"/>
          <w:color w:val="auto"/>
          <w:sz w:val="24"/>
        </w:rPr>
        <w:t>8、磋商文件的约束力</w:t>
      </w:r>
      <w:bookmarkEnd w:id="72"/>
      <w:bookmarkEnd w:id="73"/>
      <w:bookmarkEnd w:id="74"/>
      <w:bookmarkEnd w:id="75"/>
      <w:bookmarkEnd w:id="76"/>
    </w:p>
    <w:p>
      <w:pPr>
        <w:pStyle w:val="9"/>
        <w:spacing w:line="360" w:lineRule="auto"/>
        <w:ind w:firstLine="480" w:firstLineChars="200"/>
        <w:rPr>
          <w:rFonts w:hint="eastAsia" w:hAnsi="宋体"/>
          <w:color w:val="auto"/>
          <w:sz w:val="24"/>
        </w:rPr>
      </w:pPr>
      <w:r>
        <w:rPr>
          <w:rFonts w:hint="eastAsia" w:hAnsi="宋体"/>
          <w:color w:val="auto"/>
          <w:sz w:val="24"/>
        </w:rPr>
        <w:t>8.1供应商若成交，即被认为接受了本磋商文件中的所有条件和规定。是采购人与</w:t>
      </w:r>
      <w:r>
        <w:rPr>
          <w:rFonts w:hint="eastAsia" w:hAnsi="宋体"/>
          <w:color w:val="auto"/>
          <w:sz w:val="24"/>
          <w:lang w:eastAsia="zh-CN"/>
        </w:rPr>
        <w:t>成交</w:t>
      </w:r>
      <w:r>
        <w:rPr>
          <w:rFonts w:hint="eastAsia" w:hAnsi="宋体"/>
          <w:color w:val="auto"/>
          <w:sz w:val="24"/>
        </w:rPr>
        <w:t>供应商签订合同的依据且是合同的组成部分。</w:t>
      </w:r>
    </w:p>
    <w:bookmarkEnd w:id="47"/>
    <w:p>
      <w:pPr>
        <w:pStyle w:val="9"/>
        <w:spacing w:line="360" w:lineRule="auto"/>
        <w:jc w:val="center"/>
        <w:outlineLvl w:val="1"/>
        <w:rPr>
          <w:rFonts w:hint="eastAsia" w:hAnsi="宋体"/>
          <w:b/>
          <w:color w:val="auto"/>
          <w:sz w:val="28"/>
        </w:rPr>
      </w:pPr>
      <w:bookmarkStart w:id="77" w:name="_Toc8983"/>
      <w:r>
        <w:rPr>
          <w:rFonts w:hint="eastAsia" w:hAnsi="宋体"/>
          <w:b/>
          <w:color w:val="auto"/>
          <w:sz w:val="28"/>
        </w:rPr>
        <w:t>B   磋商文件</w:t>
      </w:r>
      <w:bookmarkEnd w:id="77"/>
    </w:p>
    <w:p>
      <w:pPr>
        <w:pStyle w:val="9"/>
        <w:spacing w:line="360" w:lineRule="auto"/>
        <w:jc w:val="center"/>
        <w:outlineLvl w:val="9"/>
        <w:rPr>
          <w:rFonts w:hint="eastAsia" w:hAnsi="宋体"/>
          <w:b/>
          <w:color w:val="auto"/>
          <w:sz w:val="28"/>
        </w:rPr>
      </w:pPr>
    </w:p>
    <w:p>
      <w:pPr>
        <w:pStyle w:val="9"/>
        <w:spacing w:line="360" w:lineRule="auto"/>
        <w:ind w:firstLine="480" w:firstLineChars="200"/>
        <w:outlineLvl w:val="9"/>
        <w:rPr>
          <w:rFonts w:hint="eastAsia" w:hAnsi="宋体"/>
          <w:color w:val="auto"/>
          <w:sz w:val="24"/>
        </w:rPr>
      </w:pPr>
      <w:bookmarkStart w:id="78" w:name="_Toc243907579"/>
      <w:bookmarkStart w:id="79" w:name="_Toc233274819"/>
      <w:bookmarkStart w:id="80" w:name="_Toc246216188"/>
      <w:bookmarkStart w:id="81" w:name="_Toc243906319"/>
      <w:r>
        <w:rPr>
          <w:rFonts w:hint="eastAsia" w:hAnsi="宋体"/>
          <w:color w:val="auto"/>
          <w:sz w:val="24"/>
        </w:rPr>
        <w:t>9、磋商文件的组成</w:t>
      </w:r>
      <w:bookmarkEnd w:id="78"/>
      <w:bookmarkEnd w:id="79"/>
      <w:bookmarkEnd w:id="80"/>
      <w:bookmarkEnd w:id="81"/>
    </w:p>
    <w:p>
      <w:pPr>
        <w:spacing w:line="360" w:lineRule="auto"/>
        <w:ind w:firstLine="481"/>
        <w:rPr>
          <w:rFonts w:hint="eastAsia" w:ascii="宋体" w:hAnsi="宋体"/>
          <w:color w:val="auto"/>
          <w:sz w:val="24"/>
        </w:rPr>
      </w:pPr>
      <w:r>
        <w:rPr>
          <w:rFonts w:hint="eastAsia" w:ascii="宋体" w:hAnsi="宋体"/>
          <w:color w:val="auto"/>
          <w:sz w:val="24"/>
        </w:rPr>
        <w:t>9.1 本磋商文件是对塔城地区政务服务与公共资源交易中心物业管理</w:t>
      </w:r>
    </w:p>
    <w:p>
      <w:pPr>
        <w:spacing w:line="360" w:lineRule="auto"/>
        <w:ind w:firstLine="481"/>
        <w:rPr>
          <w:rFonts w:hint="eastAsia" w:ascii="宋体" w:hAnsi="宋体"/>
          <w:color w:val="auto"/>
        </w:rPr>
      </w:pPr>
      <w:r>
        <w:rPr>
          <w:rFonts w:hint="eastAsia" w:ascii="宋体" w:hAnsi="宋体"/>
          <w:color w:val="auto"/>
          <w:sz w:val="24"/>
        </w:rPr>
        <w:t>磋商程序、合同条款进行说明。磋商文件包括下列内容：</w:t>
      </w:r>
    </w:p>
    <w:p>
      <w:pPr>
        <w:pStyle w:val="9"/>
        <w:spacing w:line="360" w:lineRule="auto"/>
        <w:ind w:firstLine="440"/>
        <w:rPr>
          <w:rFonts w:hint="eastAsia" w:hAnsi="宋体"/>
          <w:color w:val="auto"/>
          <w:sz w:val="24"/>
        </w:rPr>
      </w:pPr>
      <w:r>
        <w:rPr>
          <w:rFonts w:hint="eastAsia" w:hAnsi="宋体"/>
          <w:color w:val="auto"/>
          <w:sz w:val="24"/>
        </w:rPr>
        <w:t>第一章  采购公告</w:t>
      </w:r>
    </w:p>
    <w:p>
      <w:pPr>
        <w:pStyle w:val="9"/>
        <w:spacing w:line="360" w:lineRule="auto"/>
        <w:ind w:firstLine="440"/>
        <w:rPr>
          <w:rFonts w:hint="eastAsia" w:hAnsi="宋体"/>
          <w:color w:val="auto"/>
          <w:sz w:val="24"/>
        </w:rPr>
      </w:pPr>
      <w:r>
        <w:rPr>
          <w:rFonts w:hint="eastAsia" w:hAnsi="宋体"/>
          <w:color w:val="auto"/>
          <w:sz w:val="24"/>
        </w:rPr>
        <w:t>第二章  供应商须知</w:t>
      </w:r>
    </w:p>
    <w:p>
      <w:pPr>
        <w:pStyle w:val="9"/>
        <w:spacing w:line="360" w:lineRule="auto"/>
        <w:ind w:firstLine="440"/>
        <w:rPr>
          <w:rFonts w:hint="eastAsia" w:hAnsi="宋体"/>
          <w:color w:val="auto"/>
          <w:sz w:val="24"/>
        </w:rPr>
      </w:pPr>
      <w:r>
        <w:rPr>
          <w:rFonts w:hint="eastAsia" w:hAnsi="宋体"/>
          <w:color w:val="auto"/>
          <w:sz w:val="24"/>
        </w:rPr>
        <w:t>第三章  项目采购需求及合同条款</w:t>
      </w:r>
    </w:p>
    <w:p>
      <w:pPr>
        <w:pStyle w:val="9"/>
        <w:spacing w:line="360" w:lineRule="auto"/>
        <w:ind w:firstLine="440"/>
        <w:rPr>
          <w:rFonts w:hint="eastAsia" w:hAnsi="宋体"/>
          <w:color w:val="auto"/>
          <w:sz w:val="24"/>
        </w:rPr>
      </w:pPr>
      <w:r>
        <w:rPr>
          <w:rFonts w:hint="eastAsia" w:hAnsi="宋体"/>
          <w:color w:val="auto"/>
          <w:sz w:val="24"/>
        </w:rPr>
        <w:t>第四章  响应文件格式</w:t>
      </w:r>
    </w:p>
    <w:p>
      <w:pPr>
        <w:pStyle w:val="9"/>
        <w:spacing w:line="360" w:lineRule="auto"/>
        <w:ind w:firstLine="440"/>
        <w:rPr>
          <w:rFonts w:hint="eastAsia" w:hAnsi="宋体"/>
          <w:color w:val="auto"/>
          <w:sz w:val="24"/>
        </w:rPr>
      </w:pPr>
      <w:r>
        <w:rPr>
          <w:rFonts w:hint="eastAsia" w:hAnsi="宋体"/>
          <w:color w:val="auto"/>
          <w:sz w:val="24"/>
        </w:rPr>
        <w:t>第五章  评审标准（综合评分法）</w:t>
      </w:r>
    </w:p>
    <w:p>
      <w:pPr>
        <w:pStyle w:val="9"/>
        <w:spacing w:line="360" w:lineRule="auto"/>
        <w:ind w:firstLine="480" w:firstLineChars="200"/>
        <w:rPr>
          <w:rFonts w:hint="eastAsia" w:hAnsi="宋体"/>
          <w:color w:val="auto"/>
          <w:sz w:val="24"/>
        </w:rPr>
      </w:pPr>
      <w:r>
        <w:rPr>
          <w:rFonts w:hint="eastAsia" w:hAnsi="宋体"/>
          <w:color w:val="auto"/>
          <w:sz w:val="24"/>
        </w:rPr>
        <w:t>9.2 磋商文件以中文编印，以中文文本为准。</w:t>
      </w:r>
    </w:p>
    <w:p>
      <w:pPr>
        <w:pStyle w:val="9"/>
        <w:spacing w:line="360" w:lineRule="auto"/>
        <w:ind w:firstLine="480" w:firstLineChars="200"/>
        <w:rPr>
          <w:rFonts w:hint="eastAsia" w:hAnsi="宋体"/>
          <w:color w:val="auto"/>
          <w:sz w:val="24"/>
        </w:rPr>
      </w:pPr>
      <w:r>
        <w:rPr>
          <w:rFonts w:hint="eastAsia" w:hAnsi="宋体"/>
          <w:color w:val="auto"/>
          <w:sz w:val="24"/>
        </w:rPr>
        <w:t>9.3 除非有特殊要求，磋商文件不单独提供采购项目使用地的自然环境、气候条件、劳动力及公用设施等情况，供应商被视为熟悉上述条件或若成交履行合同有关的一切情况。</w:t>
      </w:r>
    </w:p>
    <w:p>
      <w:pPr>
        <w:pStyle w:val="9"/>
        <w:spacing w:line="360" w:lineRule="auto"/>
        <w:ind w:firstLine="480" w:firstLineChars="200"/>
        <w:rPr>
          <w:rFonts w:hint="eastAsia" w:hAnsi="宋体"/>
          <w:color w:val="auto"/>
          <w:sz w:val="24"/>
        </w:rPr>
      </w:pPr>
      <w:r>
        <w:rPr>
          <w:rFonts w:hint="eastAsia" w:hAnsi="宋体"/>
          <w:color w:val="auto"/>
          <w:sz w:val="24"/>
        </w:rPr>
        <w:t>9.4采购人向供应商提供的有关数据和资料，是采购人现有的能被供应商利用的资料，供应商对此做出的推论、理解和结论自行负责。</w:t>
      </w:r>
    </w:p>
    <w:p>
      <w:pPr>
        <w:pStyle w:val="9"/>
        <w:spacing w:line="360" w:lineRule="auto"/>
        <w:ind w:firstLine="480" w:firstLineChars="200"/>
        <w:outlineLvl w:val="1"/>
        <w:rPr>
          <w:rFonts w:hint="eastAsia" w:hAnsi="宋体"/>
          <w:color w:val="auto"/>
          <w:sz w:val="24"/>
        </w:rPr>
      </w:pPr>
      <w:bookmarkStart w:id="82" w:name="_Toc233274820"/>
      <w:bookmarkStart w:id="83" w:name="_Toc10298"/>
      <w:bookmarkStart w:id="84" w:name="_Toc243907580"/>
      <w:bookmarkStart w:id="85" w:name="_Toc245897280"/>
      <w:bookmarkStart w:id="86" w:name="_Toc243906320"/>
      <w:r>
        <w:rPr>
          <w:rFonts w:hint="eastAsia" w:hAnsi="宋体"/>
          <w:color w:val="auto"/>
          <w:sz w:val="24"/>
        </w:rPr>
        <w:t>10、磋商文件的澄清</w:t>
      </w:r>
      <w:bookmarkEnd w:id="82"/>
      <w:bookmarkEnd w:id="83"/>
      <w:bookmarkEnd w:id="84"/>
      <w:bookmarkEnd w:id="85"/>
      <w:bookmarkEnd w:id="86"/>
    </w:p>
    <w:p>
      <w:pPr>
        <w:pStyle w:val="9"/>
        <w:spacing w:line="360" w:lineRule="auto"/>
        <w:ind w:firstLine="480" w:firstLineChars="200"/>
        <w:rPr>
          <w:rFonts w:hint="eastAsia" w:hAnsi="宋体"/>
          <w:color w:val="auto"/>
          <w:sz w:val="24"/>
        </w:rPr>
      </w:pPr>
      <w:r>
        <w:rPr>
          <w:rFonts w:hint="eastAsia" w:hAnsi="宋体"/>
          <w:color w:val="auto"/>
          <w:sz w:val="24"/>
        </w:rPr>
        <w:t>10.1 供应商对磋商文件如有疑问，可要求澄清，应按磋商文件“供应商须知前附表第6条”以书面形式（必须加盖供应商公章）送达至塔城地区政府集中采购中心</w:t>
      </w:r>
      <w:r>
        <w:rPr>
          <w:rFonts w:hint="eastAsia" w:hAnsi="宋体"/>
          <w:color w:val="auto"/>
          <w:sz w:val="24"/>
          <w:lang w:eastAsia="zh-CN"/>
        </w:rPr>
        <w:t>，</w:t>
      </w:r>
      <w:r>
        <w:rPr>
          <w:rFonts w:hint="eastAsia" w:hAnsi="宋体"/>
          <w:color w:val="auto"/>
          <w:sz w:val="24"/>
        </w:rPr>
        <w:t>采购人和采购代理机构将视情况以书面形式予以答复，并发至领取磋商文件的每位供应商。答复中包括所提问题，但不包括问题的来源。</w:t>
      </w:r>
    </w:p>
    <w:p>
      <w:pPr>
        <w:pStyle w:val="9"/>
        <w:spacing w:line="360" w:lineRule="auto"/>
        <w:ind w:firstLine="480" w:firstLineChars="200"/>
        <w:rPr>
          <w:rFonts w:hint="eastAsia" w:hAnsi="宋体"/>
          <w:color w:val="auto"/>
          <w:sz w:val="24"/>
        </w:rPr>
      </w:pPr>
      <w:r>
        <w:rPr>
          <w:rFonts w:hint="eastAsia" w:hAnsi="宋体"/>
          <w:color w:val="auto"/>
          <w:sz w:val="24"/>
        </w:rPr>
        <w:t>10.2 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pPr>
        <w:pStyle w:val="9"/>
        <w:spacing w:line="360" w:lineRule="auto"/>
        <w:ind w:firstLine="480" w:firstLineChars="200"/>
        <w:outlineLvl w:val="1"/>
        <w:rPr>
          <w:rFonts w:hint="eastAsia" w:hAnsi="宋体"/>
          <w:color w:val="auto"/>
          <w:sz w:val="24"/>
        </w:rPr>
      </w:pPr>
      <w:bookmarkStart w:id="87" w:name="_Toc243907581"/>
      <w:bookmarkStart w:id="88" w:name="_Toc245897281"/>
      <w:bookmarkStart w:id="89" w:name="_Toc24348"/>
      <w:bookmarkStart w:id="90" w:name="_Toc233274821"/>
      <w:bookmarkStart w:id="91" w:name="_Toc243906321"/>
      <w:r>
        <w:rPr>
          <w:rFonts w:hint="eastAsia" w:hAnsi="宋体"/>
          <w:color w:val="auto"/>
          <w:sz w:val="24"/>
        </w:rPr>
        <w:t>11、磋商文件的修改和补充</w:t>
      </w:r>
      <w:bookmarkEnd w:id="87"/>
      <w:bookmarkEnd w:id="88"/>
      <w:bookmarkEnd w:id="89"/>
      <w:bookmarkEnd w:id="90"/>
      <w:bookmarkEnd w:id="91"/>
    </w:p>
    <w:p>
      <w:pPr>
        <w:pStyle w:val="9"/>
        <w:spacing w:line="360" w:lineRule="auto"/>
        <w:ind w:firstLine="480" w:firstLineChars="200"/>
        <w:rPr>
          <w:rFonts w:hint="eastAsia" w:hAnsi="宋体"/>
          <w:color w:val="auto"/>
          <w:sz w:val="24"/>
        </w:rPr>
      </w:pPr>
      <w:r>
        <w:rPr>
          <w:rFonts w:hint="eastAsia" w:hAnsi="宋体"/>
          <w:color w:val="auto"/>
          <w:sz w:val="24"/>
        </w:rPr>
        <w:t>11.1在递交响应文件截止日期3个工作日前的任何时候，采购人可主动地或依据供应商要求澄清的疑问而修改、补充磋商文件，采购代理机构将对修改和补充的内容以书面形式发至所有获取磋商文件的每位供应商，修改和 补充文件将作为磋商文件的组成部分，对所有供应商具有约束力。</w:t>
      </w:r>
    </w:p>
    <w:p>
      <w:pPr>
        <w:pStyle w:val="9"/>
        <w:spacing w:line="360" w:lineRule="auto"/>
        <w:ind w:firstLine="480" w:firstLineChars="200"/>
        <w:rPr>
          <w:rFonts w:hint="eastAsia" w:hAnsi="宋体"/>
          <w:color w:val="auto"/>
          <w:sz w:val="24"/>
        </w:rPr>
      </w:pPr>
      <w:r>
        <w:rPr>
          <w:rFonts w:hint="eastAsia" w:hAnsi="宋体"/>
          <w:color w:val="auto"/>
          <w:sz w:val="24"/>
        </w:rPr>
        <w:t>11.2为使供应商在准备响应文件时有合理的时间考虑磋商文件的修改和/或补充，采购代理机构可延长递交响应文件截止时间和开启时间，但至少应当在规定的递交响应文件的截止时间</w:t>
      </w:r>
      <w:r>
        <w:rPr>
          <w:rFonts w:hint="eastAsia" w:hAnsi="宋体"/>
          <w:color w:val="auto"/>
          <w:sz w:val="24"/>
          <w:u w:val="single"/>
        </w:rPr>
        <w:t>3</w:t>
      </w:r>
      <w:r>
        <w:rPr>
          <w:rFonts w:hint="eastAsia" w:hAnsi="宋体"/>
          <w:color w:val="auto"/>
          <w:sz w:val="24"/>
        </w:rPr>
        <w:t>个工作日前，以书面形式通知所有领取磋商文件的每位供应商，不足3个工作日的，应当顺延提交响应文件截止日期。</w:t>
      </w:r>
    </w:p>
    <w:p>
      <w:pPr>
        <w:pStyle w:val="9"/>
        <w:spacing w:line="360" w:lineRule="auto"/>
        <w:ind w:firstLine="480" w:firstLineChars="200"/>
        <w:rPr>
          <w:rFonts w:hint="eastAsia" w:hAnsi="宋体"/>
          <w:color w:val="auto"/>
          <w:sz w:val="24"/>
        </w:rPr>
      </w:pPr>
      <w:r>
        <w:rPr>
          <w:rFonts w:hint="eastAsia" w:hAnsi="宋体"/>
          <w:color w:val="auto"/>
          <w:sz w:val="24"/>
        </w:rPr>
        <w:t>11.3供应商在每次收到采购代理机构发至的书面文件后，应在收到后24小时内以书面形式并加盖供应商公章予以确认。</w:t>
      </w:r>
    </w:p>
    <w:p>
      <w:pPr>
        <w:pStyle w:val="9"/>
        <w:spacing w:line="360" w:lineRule="auto"/>
        <w:jc w:val="center"/>
        <w:outlineLvl w:val="1"/>
        <w:rPr>
          <w:rFonts w:hint="eastAsia" w:hAnsi="宋体"/>
          <w:b/>
          <w:color w:val="auto"/>
          <w:sz w:val="28"/>
        </w:rPr>
      </w:pPr>
      <w:bookmarkStart w:id="92" w:name="_Toc243907582"/>
      <w:bookmarkStart w:id="93" w:name="_Toc233274822"/>
      <w:bookmarkStart w:id="94" w:name="_Toc243906322"/>
      <w:bookmarkStart w:id="95" w:name="_Toc7363"/>
      <w:bookmarkStart w:id="96" w:name="_Toc246216191"/>
      <w:bookmarkStart w:id="97" w:name="_Toc154996580"/>
      <w:r>
        <w:rPr>
          <w:rFonts w:hint="eastAsia" w:hAnsi="宋体"/>
          <w:b/>
          <w:color w:val="auto"/>
          <w:sz w:val="28"/>
        </w:rPr>
        <w:t>C   响应文件的编写</w:t>
      </w:r>
      <w:bookmarkEnd w:id="92"/>
      <w:bookmarkEnd w:id="93"/>
      <w:bookmarkEnd w:id="94"/>
      <w:bookmarkEnd w:id="95"/>
      <w:bookmarkEnd w:id="96"/>
    </w:p>
    <w:p>
      <w:pPr>
        <w:pStyle w:val="9"/>
        <w:spacing w:line="360" w:lineRule="auto"/>
        <w:jc w:val="center"/>
        <w:outlineLvl w:val="9"/>
        <w:rPr>
          <w:rFonts w:hint="eastAsia" w:hAnsi="宋体"/>
          <w:b/>
          <w:color w:val="auto"/>
          <w:sz w:val="28"/>
        </w:rPr>
      </w:pPr>
    </w:p>
    <w:p>
      <w:pPr>
        <w:pStyle w:val="9"/>
        <w:spacing w:line="360" w:lineRule="auto"/>
        <w:ind w:firstLine="480" w:firstLineChars="200"/>
        <w:outlineLvl w:val="9"/>
        <w:rPr>
          <w:rFonts w:hint="eastAsia" w:hAnsi="宋体"/>
          <w:color w:val="auto"/>
          <w:sz w:val="24"/>
        </w:rPr>
      </w:pPr>
      <w:bookmarkStart w:id="98" w:name="_Toc233274823"/>
      <w:bookmarkStart w:id="99" w:name="_Toc243907583"/>
      <w:bookmarkStart w:id="100" w:name="_Toc243906323"/>
      <w:bookmarkStart w:id="101" w:name="_Toc245897283"/>
      <w:r>
        <w:rPr>
          <w:rFonts w:hint="eastAsia" w:hAnsi="宋体"/>
          <w:color w:val="auto"/>
          <w:sz w:val="24"/>
        </w:rPr>
        <w:t>1</w:t>
      </w:r>
      <w:bookmarkEnd w:id="98"/>
      <w:r>
        <w:rPr>
          <w:rFonts w:hint="eastAsia" w:hAnsi="宋体"/>
          <w:color w:val="auto"/>
          <w:sz w:val="24"/>
        </w:rPr>
        <w:t>2、响应文件的编写</w:t>
      </w:r>
      <w:bookmarkEnd w:id="99"/>
      <w:bookmarkEnd w:id="100"/>
      <w:bookmarkEnd w:id="101"/>
    </w:p>
    <w:p>
      <w:pPr>
        <w:spacing w:line="360" w:lineRule="auto"/>
        <w:ind w:firstLine="481"/>
        <w:rPr>
          <w:rFonts w:hint="eastAsia" w:ascii="宋体" w:hAnsi="宋体"/>
          <w:color w:val="auto"/>
        </w:rPr>
      </w:pPr>
      <w:r>
        <w:rPr>
          <w:rFonts w:hint="eastAsia" w:ascii="宋体" w:hAnsi="宋体"/>
          <w:color w:val="auto"/>
          <w:sz w:val="24"/>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及合同条款后</w:t>
      </w:r>
      <w:r>
        <w:rPr>
          <w:rFonts w:hint="eastAsia" w:ascii="宋体" w:hAnsi="宋体"/>
          <w:b/>
          <w:color w:val="auto"/>
          <w:sz w:val="24"/>
        </w:rPr>
        <w:t>编制响应文件</w:t>
      </w:r>
      <w:r>
        <w:rPr>
          <w:rFonts w:hint="eastAsia" w:ascii="宋体" w:hAnsi="宋体"/>
          <w:color w:val="auto"/>
          <w:sz w:val="24"/>
        </w:rPr>
        <w:t>。</w:t>
      </w:r>
    </w:p>
    <w:p>
      <w:pPr>
        <w:pStyle w:val="9"/>
        <w:spacing w:line="360" w:lineRule="auto"/>
        <w:ind w:firstLine="480" w:firstLineChars="200"/>
        <w:outlineLvl w:val="1"/>
        <w:rPr>
          <w:rFonts w:hint="eastAsia" w:hAnsi="宋体"/>
          <w:color w:val="auto"/>
          <w:sz w:val="24"/>
        </w:rPr>
      </w:pPr>
      <w:bookmarkStart w:id="102" w:name="_Toc233274824"/>
      <w:bookmarkStart w:id="103" w:name="_Toc243907584"/>
      <w:bookmarkStart w:id="104" w:name="_Toc243906324"/>
      <w:bookmarkStart w:id="105" w:name="_Toc23894"/>
      <w:bookmarkStart w:id="106" w:name="_Toc245897284"/>
      <w:r>
        <w:rPr>
          <w:rFonts w:hint="eastAsia" w:hAnsi="宋体"/>
          <w:color w:val="auto"/>
          <w:sz w:val="24"/>
        </w:rPr>
        <w:t>13、响应文件的语言及计量单位</w:t>
      </w:r>
      <w:bookmarkEnd w:id="102"/>
      <w:bookmarkEnd w:id="103"/>
      <w:bookmarkEnd w:id="104"/>
      <w:bookmarkEnd w:id="105"/>
      <w:bookmarkEnd w:id="106"/>
    </w:p>
    <w:p>
      <w:pPr>
        <w:pStyle w:val="9"/>
        <w:spacing w:line="360" w:lineRule="auto"/>
        <w:ind w:firstLine="480" w:firstLineChars="200"/>
        <w:rPr>
          <w:rFonts w:hint="eastAsia" w:hAnsi="宋体"/>
          <w:color w:val="auto"/>
          <w:sz w:val="24"/>
        </w:rPr>
      </w:pPr>
      <w:r>
        <w:rPr>
          <w:rFonts w:hint="eastAsia" w:hAnsi="宋体"/>
          <w:color w:val="auto"/>
          <w:sz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hint="eastAsia" w:hAnsi="宋体"/>
          <w:color w:val="auto"/>
          <w:sz w:val="24"/>
        </w:rPr>
      </w:pPr>
      <w:r>
        <w:rPr>
          <w:rFonts w:hint="eastAsia" w:hAnsi="宋体"/>
          <w:color w:val="auto"/>
          <w:sz w:val="24"/>
        </w:rPr>
        <w:t>13.2 除在磋商文件的项目采购需求及合同条款中另有规定外，计量单位应使用中华人民共和国法定计量单位（国际单位制和国家选定的其它计量单位）。如供应商采用其它计量单位，需事先得到采购人的同意。</w:t>
      </w:r>
    </w:p>
    <w:p>
      <w:pPr>
        <w:pStyle w:val="9"/>
        <w:spacing w:line="360" w:lineRule="auto"/>
        <w:ind w:firstLine="480" w:firstLineChars="200"/>
        <w:rPr>
          <w:rFonts w:hint="eastAsia" w:hAnsi="宋体"/>
          <w:color w:val="auto"/>
          <w:sz w:val="24"/>
        </w:rPr>
      </w:pPr>
      <w:r>
        <w:rPr>
          <w:rFonts w:hint="eastAsia" w:hAnsi="宋体"/>
          <w:color w:val="auto"/>
          <w:sz w:val="24"/>
        </w:rPr>
        <w:t>14、知识产权</w:t>
      </w:r>
    </w:p>
    <w:p>
      <w:pPr>
        <w:pStyle w:val="9"/>
        <w:spacing w:line="360" w:lineRule="auto"/>
        <w:ind w:firstLine="480" w:firstLineChars="200"/>
        <w:rPr>
          <w:rFonts w:hint="eastAsia" w:hAnsi="宋体"/>
          <w:color w:val="auto"/>
          <w:sz w:val="24"/>
        </w:rPr>
      </w:pPr>
      <w:r>
        <w:rPr>
          <w:rFonts w:hint="eastAsia" w:hAnsi="宋体"/>
          <w:color w:val="auto"/>
          <w:sz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hint="eastAsia" w:hAnsi="宋体"/>
          <w:color w:val="auto"/>
          <w:sz w:val="24"/>
        </w:rPr>
      </w:pPr>
      <w:r>
        <w:rPr>
          <w:rFonts w:hint="eastAsia" w:hAnsi="宋体"/>
          <w:color w:val="auto"/>
          <w:sz w:val="24"/>
        </w:rPr>
        <w:t>14.2 采购人享有本项目实施过程中产生的知识成果及知识产权。</w:t>
      </w:r>
    </w:p>
    <w:p>
      <w:pPr>
        <w:spacing w:line="360" w:lineRule="auto"/>
        <w:ind w:firstLine="480" w:firstLineChars="200"/>
        <w:rPr>
          <w:rFonts w:hint="eastAsia" w:ascii="宋体" w:hAnsi="宋体"/>
          <w:color w:val="auto"/>
          <w:sz w:val="24"/>
        </w:rPr>
      </w:pPr>
      <w:r>
        <w:rPr>
          <w:rFonts w:hint="eastAsia" w:ascii="宋体" w:hAnsi="宋体"/>
          <w:color w:val="auto"/>
          <w:sz w:val="24"/>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hint="eastAsia" w:ascii="宋体" w:hAnsi="宋体"/>
          <w:color w:val="auto"/>
          <w:sz w:val="24"/>
        </w:rPr>
      </w:pPr>
      <w:r>
        <w:rPr>
          <w:rFonts w:hint="eastAsia" w:ascii="宋体" w:hAnsi="宋体"/>
          <w:color w:val="auto"/>
          <w:sz w:val="24"/>
        </w:rPr>
        <w:t xml:space="preserve">14.4 供应商如采用其所不拥有的知识产权，则在其商务报价中必须包括合法获取该知识产权的相关费用。 </w:t>
      </w:r>
    </w:p>
    <w:p>
      <w:pPr>
        <w:pStyle w:val="9"/>
        <w:spacing w:line="360" w:lineRule="auto"/>
        <w:ind w:firstLine="480" w:firstLineChars="200"/>
        <w:outlineLvl w:val="1"/>
        <w:rPr>
          <w:rFonts w:hint="eastAsia" w:hAnsi="宋体"/>
          <w:b/>
          <w:color w:val="auto"/>
          <w:sz w:val="24"/>
        </w:rPr>
      </w:pPr>
      <w:bookmarkStart w:id="107" w:name="_Toc245897285"/>
      <w:bookmarkStart w:id="108" w:name="_Toc243906325"/>
      <w:bookmarkStart w:id="109" w:name="_Toc243907585"/>
      <w:bookmarkStart w:id="110" w:name="_Toc233274825"/>
      <w:bookmarkStart w:id="111" w:name="_Toc3510"/>
      <w:r>
        <w:rPr>
          <w:rFonts w:hint="eastAsia" w:hAnsi="宋体"/>
          <w:color w:val="auto"/>
          <w:sz w:val="24"/>
        </w:rPr>
        <w:t>15、响应文件的组成</w:t>
      </w:r>
      <w:bookmarkEnd w:id="107"/>
      <w:bookmarkEnd w:id="108"/>
      <w:bookmarkEnd w:id="109"/>
      <w:bookmarkEnd w:id="110"/>
      <w:r>
        <w:rPr>
          <w:rFonts w:hint="eastAsia" w:hAnsi="宋体"/>
          <w:color w:val="auto"/>
          <w:sz w:val="24"/>
        </w:rPr>
        <w:t>:</w:t>
      </w:r>
      <w:r>
        <w:rPr>
          <w:rFonts w:hint="eastAsia" w:hAnsi="宋体"/>
          <w:b/>
          <w:color w:val="auto"/>
          <w:sz w:val="24"/>
        </w:rPr>
        <w:t>一式伍份，其中正本壹份，副本肆份</w:t>
      </w:r>
      <w:r>
        <w:rPr>
          <w:rFonts w:hint="eastAsia" w:hAnsi="宋体"/>
          <w:b/>
          <w:color w:val="auto"/>
          <w:sz w:val="24"/>
          <w:lang w:eastAsia="zh-CN"/>
        </w:rPr>
        <w:t>；</w:t>
      </w:r>
      <w:r>
        <w:rPr>
          <w:rFonts w:hint="eastAsia" w:hAnsi="宋体"/>
          <w:b/>
          <w:color w:val="auto"/>
          <w:sz w:val="24"/>
        </w:rPr>
        <w:t>电子版投标文件壹份（加盖企业公章）（PDF格式）；需编制目录及页码，在每一份响应文件上要明确注明“正本”或“副本”字样，如正、副本之间有差异，以正本为准。</w:t>
      </w:r>
      <w:bookmarkEnd w:id="111"/>
    </w:p>
    <w:p>
      <w:pPr>
        <w:pStyle w:val="9"/>
        <w:spacing w:line="360" w:lineRule="auto"/>
        <w:ind w:firstLine="482" w:firstLineChars="200"/>
        <w:outlineLvl w:val="1"/>
        <w:rPr>
          <w:rFonts w:hint="eastAsia" w:hAnsi="宋体"/>
          <w:b/>
          <w:color w:val="auto"/>
          <w:sz w:val="24"/>
        </w:rPr>
      </w:pPr>
      <w:bookmarkStart w:id="112" w:name="_Toc19006"/>
      <w:r>
        <w:rPr>
          <w:rFonts w:hint="eastAsia" w:hAnsi="宋体"/>
          <w:b/>
          <w:color w:val="auto"/>
          <w:sz w:val="24"/>
        </w:rPr>
        <w:t>响应文件包括但不限于以下内容，各供应商应对照“第三章 项目采购需求及合同条款”及“第五章 评审标准（综合评分法）”提供相关的证明资料：</w:t>
      </w:r>
      <w:bookmarkEnd w:id="112"/>
    </w:p>
    <w:p>
      <w:pPr>
        <w:pStyle w:val="9"/>
        <w:numPr>
          <w:ilvl w:val="0"/>
          <w:numId w:val="4"/>
        </w:numPr>
        <w:tabs>
          <w:tab w:val="left" w:pos="0"/>
        </w:tabs>
        <w:spacing w:line="360" w:lineRule="auto"/>
        <w:ind w:left="210" w:leftChars="0" w:firstLine="420" w:firstLineChars="0"/>
        <w:jc w:val="left"/>
        <w:outlineLvl w:val="1"/>
        <w:rPr>
          <w:rFonts w:hint="eastAsia" w:hAnsi="宋体"/>
          <w:color w:val="auto"/>
          <w:sz w:val="24"/>
        </w:rPr>
      </w:pPr>
      <w:bookmarkStart w:id="113" w:name="_Toc32736"/>
      <w:r>
        <w:rPr>
          <w:rFonts w:hint="eastAsia" w:hAnsi="宋体"/>
          <w:color w:val="auto"/>
          <w:sz w:val="24"/>
        </w:rPr>
        <w:t>响应文件封面；</w:t>
      </w:r>
      <w:bookmarkEnd w:id="113"/>
    </w:p>
    <w:p>
      <w:pPr>
        <w:pStyle w:val="9"/>
        <w:numPr>
          <w:ilvl w:val="0"/>
          <w:numId w:val="4"/>
        </w:numPr>
        <w:tabs>
          <w:tab w:val="left" w:pos="0"/>
        </w:tabs>
        <w:spacing w:line="360" w:lineRule="auto"/>
        <w:ind w:left="210" w:leftChars="0" w:firstLine="420" w:firstLineChars="0"/>
        <w:jc w:val="left"/>
        <w:outlineLvl w:val="1"/>
        <w:rPr>
          <w:rFonts w:hint="eastAsia" w:hAnsi="宋体"/>
          <w:color w:val="auto"/>
          <w:sz w:val="24"/>
        </w:rPr>
      </w:pPr>
      <w:bookmarkStart w:id="114" w:name="_Toc24763"/>
      <w:r>
        <w:rPr>
          <w:rFonts w:hint="eastAsia" w:hAnsi="宋体"/>
          <w:color w:val="auto"/>
          <w:sz w:val="24"/>
        </w:rPr>
        <w:t>响应函（详见格式1）；</w:t>
      </w:r>
      <w:bookmarkEnd w:id="114"/>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法定代表人资格证明书（详见格式2）；</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法定代表人授权书（详见格式3）；</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供应商资格声明（详见格式4）；</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诚信声明（详见格式5）；</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投标人企业（单位）类型声明函</w:t>
      </w:r>
      <w:r>
        <w:rPr>
          <w:rFonts w:hint="eastAsia" w:ascii="宋体" w:hAnsi="宋体"/>
          <w:color w:val="auto"/>
          <w:sz w:val="24"/>
          <w:lang w:eastAsia="zh-CN"/>
        </w:rPr>
        <w:t>；</w:t>
      </w:r>
      <w:r>
        <w:rPr>
          <w:rFonts w:hint="eastAsia" w:ascii="宋体" w:hAnsi="宋体"/>
          <w:color w:val="auto"/>
          <w:sz w:val="24"/>
          <w:lang w:val="en-US" w:eastAsia="zh-CN"/>
        </w:rPr>
        <w:t xml:space="preserve"> </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《中小企业申明函》（详见格式</w:t>
      </w: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olor w:val="auto"/>
          <w:sz w:val="24"/>
          <w:lang w:eastAsia="zh-CN"/>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《残疾人福利性单位声明函》（详见格式</w:t>
      </w:r>
      <w:r>
        <w:rPr>
          <w:rFonts w:hint="eastAsia" w:ascii="宋体" w:hAnsi="宋体"/>
          <w:color w:val="auto"/>
          <w:sz w:val="24"/>
          <w:lang w:val="en-US" w:eastAsia="zh-CN"/>
        </w:rPr>
        <w:t>7</w:t>
      </w:r>
      <w:r>
        <w:rPr>
          <w:rFonts w:hint="eastAsia" w:ascii="宋体" w:hAnsi="宋体"/>
          <w:color w:val="auto"/>
          <w:sz w:val="24"/>
        </w:rPr>
        <w:t>）</w:t>
      </w:r>
      <w:r>
        <w:rPr>
          <w:rFonts w:hint="eastAsia" w:ascii="宋体" w:hAnsi="宋体"/>
          <w:color w:val="auto"/>
          <w:sz w:val="24"/>
          <w:lang w:eastAsia="zh-CN"/>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eastAsia="zh-CN"/>
        </w:rPr>
        <w:t>《监狱企业声明函》</w:t>
      </w:r>
      <w:r>
        <w:rPr>
          <w:rFonts w:hint="eastAsia" w:ascii="宋体" w:hAnsi="宋体"/>
          <w:color w:val="auto"/>
          <w:sz w:val="24"/>
        </w:rPr>
        <w:t>（详见格式</w:t>
      </w:r>
      <w:r>
        <w:rPr>
          <w:rFonts w:hint="eastAsia" w:ascii="宋体" w:hAnsi="宋体"/>
          <w:color w:val="auto"/>
          <w:sz w:val="24"/>
          <w:lang w:val="en-US" w:eastAsia="zh-CN"/>
        </w:rPr>
        <w:t>8</w:t>
      </w:r>
      <w:r>
        <w:rPr>
          <w:rFonts w:hint="eastAsia" w:ascii="宋体" w:hAnsi="宋体"/>
          <w:color w:val="auto"/>
          <w:sz w:val="24"/>
        </w:rPr>
        <w:t>）</w:t>
      </w:r>
      <w:r>
        <w:rPr>
          <w:rFonts w:hint="eastAsia" w:ascii="宋体" w:hAnsi="宋体"/>
          <w:color w:val="auto"/>
          <w:sz w:val="24"/>
          <w:lang w:eastAsia="zh-CN"/>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val="en-US" w:eastAsia="zh-CN"/>
        </w:rPr>
        <w:t xml:space="preserve">“节能产品”、“环境标志产品”等证明材料 </w:t>
      </w:r>
      <w:r>
        <w:rPr>
          <w:rFonts w:hint="eastAsia" w:ascii="宋体" w:hAnsi="宋体"/>
          <w:color w:val="auto"/>
          <w:sz w:val="24"/>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供应商根据政府采购公告中</w:t>
      </w:r>
      <w:r>
        <w:rPr>
          <w:rFonts w:hint="eastAsia" w:ascii="宋体" w:hAnsi="宋体"/>
          <w:color w:val="auto"/>
          <w:sz w:val="24"/>
          <w:lang w:val="en-US" w:eastAsia="zh-CN"/>
        </w:rPr>
        <w:t>投标供应商</w:t>
      </w:r>
      <w:r>
        <w:rPr>
          <w:rFonts w:hint="eastAsia" w:ascii="宋体" w:hAnsi="宋体"/>
          <w:color w:val="auto"/>
          <w:sz w:val="24"/>
        </w:rPr>
        <w:t>资格要求提供响应的证明材料；</w:t>
      </w:r>
    </w:p>
    <w:p>
      <w:pPr>
        <w:numPr>
          <w:ilvl w:val="0"/>
          <w:numId w:val="5"/>
        </w:numPr>
        <w:tabs>
          <w:tab w:val="left" w:pos="0"/>
        </w:tabs>
        <w:spacing w:line="360" w:lineRule="auto"/>
        <w:ind w:left="1470" w:leftChars="0" w:firstLine="0" w:firstLineChars="0"/>
        <w:jc w:val="left"/>
        <w:rPr>
          <w:rFonts w:hint="eastAsia" w:ascii="宋体" w:hAnsi="宋体"/>
          <w:color w:val="auto"/>
          <w:sz w:val="24"/>
          <w:lang w:val="en-US" w:eastAsia="zh-CN"/>
        </w:rPr>
      </w:pPr>
      <w:r>
        <w:rPr>
          <w:rFonts w:hint="eastAsia" w:ascii="宋体" w:hAnsi="宋体"/>
          <w:color w:val="auto"/>
          <w:sz w:val="24"/>
          <w:lang w:val="en-US" w:eastAsia="zh-CN"/>
        </w:rPr>
        <w:t>营业执照复印件；</w:t>
      </w:r>
    </w:p>
    <w:p>
      <w:pPr>
        <w:numPr>
          <w:ilvl w:val="0"/>
          <w:numId w:val="5"/>
        </w:numPr>
        <w:tabs>
          <w:tab w:val="left" w:pos="0"/>
        </w:tabs>
        <w:spacing w:line="360" w:lineRule="auto"/>
        <w:ind w:left="1470" w:leftChars="0" w:firstLine="0" w:firstLineChars="0"/>
        <w:jc w:val="left"/>
        <w:rPr>
          <w:rFonts w:hint="default" w:ascii="宋体" w:hAnsi="宋体"/>
          <w:color w:val="auto"/>
          <w:sz w:val="24"/>
          <w:lang w:val="en-US" w:eastAsia="zh-CN"/>
        </w:rPr>
      </w:pPr>
      <w:r>
        <w:rPr>
          <w:rFonts w:hint="default" w:ascii="宋体" w:hAnsi="宋体"/>
          <w:color w:val="auto"/>
          <w:sz w:val="24"/>
          <w:lang w:val="en-US" w:eastAsia="zh-CN"/>
        </w:rPr>
        <w:t>税务登记证复印件或依法缴纳202</w:t>
      </w:r>
      <w:r>
        <w:rPr>
          <w:rFonts w:hint="eastAsia" w:ascii="宋体" w:hAnsi="宋体"/>
          <w:color w:val="auto"/>
          <w:sz w:val="24"/>
          <w:lang w:val="en-US" w:eastAsia="zh-CN"/>
        </w:rPr>
        <w:t>1</w:t>
      </w:r>
      <w:r>
        <w:rPr>
          <w:rFonts w:hint="default" w:ascii="宋体" w:hAnsi="宋体"/>
          <w:color w:val="auto"/>
          <w:sz w:val="24"/>
          <w:lang w:val="en-US" w:eastAsia="zh-CN"/>
        </w:rPr>
        <w:t>年</w:t>
      </w:r>
      <w:r>
        <w:rPr>
          <w:rFonts w:hint="eastAsia" w:ascii="宋体" w:hAnsi="宋体"/>
          <w:color w:val="auto"/>
          <w:sz w:val="24"/>
          <w:lang w:val="en-US" w:eastAsia="zh-CN"/>
        </w:rPr>
        <w:t>1</w:t>
      </w:r>
      <w:r>
        <w:rPr>
          <w:rFonts w:hint="default" w:ascii="宋体" w:hAnsi="宋体"/>
          <w:color w:val="auto"/>
          <w:sz w:val="24"/>
          <w:lang w:val="en-US" w:eastAsia="zh-CN"/>
        </w:rPr>
        <w:t>月1日至202</w:t>
      </w:r>
      <w:r>
        <w:rPr>
          <w:rFonts w:hint="eastAsia" w:ascii="宋体" w:hAnsi="宋体"/>
          <w:color w:val="auto"/>
          <w:sz w:val="24"/>
          <w:lang w:val="en-US" w:eastAsia="zh-CN"/>
        </w:rPr>
        <w:t>2</w:t>
      </w:r>
      <w:r>
        <w:rPr>
          <w:rFonts w:hint="default" w:ascii="宋体" w:hAnsi="宋体"/>
          <w:color w:val="auto"/>
          <w:sz w:val="24"/>
          <w:lang w:val="en-US" w:eastAsia="zh-CN"/>
        </w:rPr>
        <w:t>年</w:t>
      </w:r>
      <w:r>
        <w:rPr>
          <w:rFonts w:hint="eastAsia" w:ascii="宋体" w:hAnsi="宋体"/>
          <w:color w:val="auto"/>
          <w:sz w:val="24"/>
          <w:lang w:val="en-US" w:eastAsia="zh-CN"/>
        </w:rPr>
        <w:t>5</w:t>
      </w:r>
      <w:r>
        <w:rPr>
          <w:rFonts w:hint="default" w:ascii="宋体" w:hAnsi="宋体"/>
          <w:color w:val="auto"/>
          <w:sz w:val="24"/>
          <w:lang w:val="en-US" w:eastAsia="zh-CN"/>
        </w:rPr>
        <w:t>月1日连续三个月税收证明材料的复印件；</w:t>
      </w:r>
    </w:p>
    <w:p>
      <w:pPr>
        <w:numPr>
          <w:ilvl w:val="0"/>
          <w:numId w:val="5"/>
        </w:numPr>
        <w:tabs>
          <w:tab w:val="left" w:pos="0"/>
        </w:tabs>
        <w:spacing w:line="360" w:lineRule="auto"/>
        <w:ind w:left="1470" w:leftChars="0" w:firstLine="0" w:firstLineChars="0"/>
        <w:jc w:val="left"/>
        <w:rPr>
          <w:rFonts w:hint="default" w:ascii="宋体" w:hAnsi="宋体"/>
          <w:color w:val="auto"/>
          <w:sz w:val="24"/>
          <w:lang w:val="en-US" w:eastAsia="zh-CN"/>
        </w:rPr>
      </w:pPr>
      <w:r>
        <w:rPr>
          <w:rFonts w:hint="default" w:ascii="宋体" w:hAnsi="宋体"/>
          <w:color w:val="auto"/>
          <w:sz w:val="24"/>
          <w:lang w:val="en-US" w:eastAsia="zh-CN"/>
        </w:rPr>
        <w:t>社保登记证复印件或由社保机构出具的2021年1月1日至2022年</w:t>
      </w:r>
      <w:r>
        <w:rPr>
          <w:rFonts w:hint="eastAsia" w:ascii="宋体" w:hAnsi="宋体"/>
          <w:color w:val="auto"/>
          <w:sz w:val="24"/>
          <w:lang w:val="en-US" w:eastAsia="zh-CN"/>
        </w:rPr>
        <w:t>5</w:t>
      </w:r>
      <w:r>
        <w:rPr>
          <w:rFonts w:hint="default" w:ascii="宋体" w:hAnsi="宋体"/>
          <w:color w:val="auto"/>
          <w:sz w:val="24"/>
          <w:lang w:val="en-US" w:eastAsia="zh-CN"/>
        </w:rPr>
        <w:t>月1日连续三个月社保缴纳证明复印件；</w:t>
      </w:r>
    </w:p>
    <w:p>
      <w:pPr>
        <w:numPr>
          <w:ilvl w:val="0"/>
          <w:numId w:val="5"/>
        </w:numPr>
        <w:tabs>
          <w:tab w:val="left" w:pos="0"/>
        </w:tabs>
        <w:spacing w:line="360" w:lineRule="auto"/>
        <w:ind w:left="1470" w:leftChars="0" w:firstLine="0" w:firstLineChars="0"/>
        <w:jc w:val="left"/>
        <w:rPr>
          <w:rFonts w:hint="default" w:ascii="宋体" w:hAnsi="宋体"/>
          <w:color w:val="auto"/>
          <w:sz w:val="24"/>
          <w:lang w:val="en-US" w:eastAsia="zh-CN"/>
        </w:rPr>
      </w:pPr>
      <w:r>
        <w:rPr>
          <w:rFonts w:hint="default" w:ascii="宋体" w:hAnsi="宋体"/>
          <w:color w:val="auto"/>
          <w:sz w:val="24"/>
          <w:lang w:val="en-US" w:eastAsia="zh-CN"/>
        </w:rPr>
        <w:t>法定代表人授权委托书原件、法定代表人和委托代理人身份证复印件；</w:t>
      </w:r>
    </w:p>
    <w:p>
      <w:pPr>
        <w:numPr>
          <w:ilvl w:val="0"/>
          <w:numId w:val="5"/>
        </w:numPr>
        <w:tabs>
          <w:tab w:val="left" w:pos="0"/>
        </w:tabs>
        <w:spacing w:line="360" w:lineRule="auto"/>
        <w:ind w:left="1470" w:leftChars="0" w:firstLine="0" w:firstLineChars="0"/>
        <w:jc w:val="left"/>
        <w:rPr>
          <w:rFonts w:hint="default" w:ascii="宋体" w:hAnsi="宋体"/>
          <w:color w:val="auto"/>
          <w:sz w:val="24"/>
          <w:lang w:val="en-US" w:eastAsia="zh-CN"/>
        </w:rPr>
      </w:pPr>
      <w:r>
        <w:rPr>
          <w:rFonts w:hint="default" w:ascii="宋体" w:hAnsi="宋体"/>
          <w:color w:val="auto"/>
          <w:sz w:val="24"/>
          <w:lang w:val="en-US" w:eastAsia="zh-CN"/>
        </w:rPr>
        <w:t>提供经会计师事务所审计的</w:t>
      </w:r>
      <w:r>
        <w:rPr>
          <w:rFonts w:hint="eastAsia" w:ascii="宋体" w:hAnsi="宋体"/>
          <w:color w:val="auto"/>
          <w:sz w:val="24"/>
          <w:lang w:val="en-US" w:eastAsia="zh-CN"/>
        </w:rPr>
        <w:t>2020</w:t>
      </w:r>
      <w:r>
        <w:rPr>
          <w:rFonts w:hint="default" w:ascii="宋体" w:hAnsi="宋体"/>
          <w:color w:val="auto"/>
          <w:sz w:val="24"/>
          <w:lang w:val="en-US" w:eastAsia="zh-CN"/>
        </w:rPr>
        <w:t>年度财务审计报告或</w:t>
      </w:r>
      <w:r>
        <w:rPr>
          <w:rFonts w:hint="eastAsia" w:ascii="宋体" w:hAnsi="宋体"/>
          <w:color w:val="auto"/>
          <w:sz w:val="24"/>
          <w:lang w:val="en-US" w:eastAsia="zh-CN"/>
        </w:rPr>
        <w:t>2020</w:t>
      </w:r>
      <w:r>
        <w:rPr>
          <w:rFonts w:hint="default" w:ascii="宋体" w:hAnsi="宋体"/>
          <w:color w:val="auto"/>
          <w:sz w:val="24"/>
          <w:lang w:val="en-US" w:eastAsia="zh-CN"/>
        </w:rPr>
        <w:t>年度财务会计报表；（备注：新成立的公司提供公司的财务制度）；</w:t>
      </w:r>
    </w:p>
    <w:p>
      <w:pPr>
        <w:numPr>
          <w:ilvl w:val="0"/>
          <w:numId w:val="5"/>
        </w:numPr>
        <w:tabs>
          <w:tab w:val="left" w:pos="0"/>
        </w:tabs>
        <w:spacing w:line="360" w:lineRule="auto"/>
        <w:ind w:left="1470" w:leftChars="0" w:firstLine="0" w:firstLineChars="0"/>
        <w:jc w:val="left"/>
        <w:rPr>
          <w:rFonts w:hint="default" w:ascii="宋体" w:hAnsi="宋体"/>
          <w:color w:val="auto"/>
          <w:sz w:val="24"/>
          <w:lang w:val="en-US" w:eastAsia="zh-CN"/>
        </w:rPr>
      </w:pPr>
      <w:r>
        <w:rPr>
          <w:rFonts w:hint="default" w:ascii="宋体" w:hAnsi="宋体"/>
          <w:color w:val="auto"/>
          <w:sz w:val="24"/>
          <w:lang w:val="en-US" w:eastAsia="zh-CN"/>
        </w:rPr>
        <w:t>提供“信用中国”、“中国政府采购”网站截图复印件（查询渠道：“信用中国”网站www.creditchina.gov.cn、中国政府采购”网站（www.ccgp.gov.cn））</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商务报价一览表（详见格式</w:t>
      </w:r>
      <w:r>
        <w:rPr>
          <w:rFonts w:hint="eastAsia" w:ascii="宋体" w:hAnsi="宋体"/>
          <w:color w:val="auto"/>
          <w:sz w:val="24"/>
          <w:lang w:val="en-US" w:eastAsia="zh-CN"/>
        </w:rPr>
        <w:t>10</w:t>
      </w:r>
      <w:r>
        <w:rPr>
          <w:rFonts w:hint="eastAsia" w:ascii="宋体" w:hAnsi="宋体"/>
          <w:color w:val="auto"/>
          <w:sz w:val="24"/>
        </w:rPr>
        <w:t>），</w:t>
      </w:r>
    </w:p>
    <w:p>
      <w:pPr>
        <w:numPr>
          <w:ilvl w:val="0"/>
          <w:numId w:val="4"/>
        </w:numPr>
        <w:tabs>
          <w:tab w:val="left" w:pos="0"/>
        </w:tabs>
        <w:spacing w:line="360" w:lineRule="auto"/>
        <w:ind w:left="210" w:leftChars="0" w:firstLine="420" w:firstLineChars="0"/>
        <w:jc w:val="left"/>
        <w:rPr>
          <w:rFonts w:hint="default" w:ascii="宋体" w:hAnsi="宋体" w:eastAsia="宋体" w:cs="Times New Roman"/>
          <w:color w:val="auto"/>
          <w:kern w:val="2"/>
          <w:sz w:val="24"/>
          <w:lang w:val="en-US" w:eastAsia="zh-CN"/>
        </w:rPr>
      </w:pPr>
      <w:r>
        <w:rPr>
          <w:rFonts w:hint="eastAsia" w:ascii="宋体" w:hAnsi="宋体"/>
          <w:color w:val="auto"/>
          <w:sz w:val="24"/>
        </w:rPr>
        <w:t>商务条款偏离表（详见格式</w:t>
      </w:r>
      <w:r>
        <w:rPr>
          <w:rFonts w:hint="eastAsia" w:ascii="宋体" w:hAnsi="宋体"/>
          <w:color w:val="auto"/>
          <w:sz w:val="24"/>
          <w:lang w:val="en-US" w:eastAsia="zh-CN"/>
        </w:rPr>
        <w:t>11</w:t>
      </w:r>
      <w:r>
        <w:rPr>
          <w:rFonts w:hint="eastAsia" w:ascii="宋体" w:hAnsi="宋体"/>
          <w:color w:val="auto"/>
          <w:sz w:val="24"/>
        </w:rPr>
        <w:t>）；</w:t>
      </w:r>
    </w:p>
    <w:p>
      <w:pPr>
        <w:numPr>
          <w:ilvl w:val="0"/>
          <w:numId w:val="4"/>
        </w:numPr>
        <w:tabs>
          <w:tab w:val="left" w:pos="0"/>
        </w:tabs>
        <w:spacing w:line="360" w:lineRule="auto"/>
        <w:ind w:left="210" w:leftChars="0" w:firstLine="420" w:firstLineChars="0"/>
        <w:jc w:val="left"/>
        <w:rPr>
          <w:rFonts w:hint="default" w:ascii="宋体" w:hAnsi="宋体" w:eastAsia="宋体" w:cs="Times New Roman"/>
          <w:color w:val="auto"/>
          <w:kern w:val="2"/>
          <w:sz w:val="24"/>
          <w:lang w:val="en-US" w:eastAsia="zh-CN"/>
        </w:rPr>
      </w:pPr>
      <w:r>
        <w:rPr>
          <w:rFonts w:hint="eastAsia" w:ascii="宋体" w:hAnsi="宋体" w:eastAsia="宋体" w:cs="Times New Roman"/>
          <w:color w:val="auto"/>
          <w:kern w:val="2"/>
          <w:sz w:val="24"/>
          <w:lang w:val="en-US" w:eastAsia="zh-CN"/>
        </w:rPr>
        <w:t>本项目管理、技术服务及其他人员（详见格式12）；</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近三年（201</w:t>
      </w:r>
      <w:r>
        <w:rPr>
          <w:rFonts w:hint="eastAsia" w:ascii="宋体" w:hAnsi="宋体"/>
          <w:color w:val="auto"/>
          <w:sz w:val="24"/>
          <w:lang w:val="en-US" w:eastAsia="zh-CN"/>
        </w:rPr>
        <w:t>9</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月1日至今）承担过</w:t>
      </w:r>
      <w:r>
        <w:rPr>
          <w:rFonts w:hint="eastAsia" w:ascii="宋体" w:hAnsi="宋体"/>
          <w:color w:val="auto"/>
          <w:sz w:val="24"/>
          <w:lang w:val="en-US" w:eastAsia="zh-CN"/>
        </w:rPr>
        <w:t>类似项目</w:t>
      </w:r>
      <w:r>
        <w:rPr>
          <w:rFonts w:hint="eastAsia" w:ascii="宋体" w:hAnsi="宋体"/>
          <w:color w:val="auto"/>
          <w:sz w:val="24"/>
        </w:rPr>
        <w:t>业绩表（详见格式</w:t>
      </w:r>
      <w:r>
        <w:rPr>
          <w:rFonts w:hint="eastAsia" w:ascii="宋体" w:hAnsi="宋体"/>
          <w:color w:val="auto"/>
          <w:sz w:val="24"/>
          <w:lang w:val="en-US" w:eastAsia="zh-CN"/>
        </w:rPr>
        <w:t>13</w:t>
      </w:r>
      <w:r>
        <w:rPr>
          <w:rFonts w:hint="eastAsia" w:ascii="宋体" w:hAnsi="宋体"/>
          <w:color w:val="auto"/>
          <w:sz w:val="24"/>
        </w:rPr>
        <w:t xml:space="preserve">）；  </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val="en-US" w:eastAsia="zh-CN"/>
        </w:rPr>
        <w:t>服务方案(包括服务人员基本信息、技能岗位证书、工作方案等)；</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val="en-US" w:eastAsia="zh-CN"/>
        </w:rPr>
        <w:t>服务及实质性的承诺；</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val="en-US" w:eastAsia="zh-CN"/>
        </w:rPr>
        <w:t>采购需求及评分所需的其它资料；</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lang w:val="en-US" w:eastAsia="zh-CN"/>
        </w:rPr>
        <w:t>技术</w:t>
      </w:r>
      <w:r>
        <w:rPr>
          <w:rFonts w:hint="eastAsia" w:ascii="宋体" w:hAnsi="宋体"/>
          <w:color w:val="auto"/>
          <w:sz w:val="24"/>
        </w:rPr>
        <w:t>条款偏离表（详见格式</w:t>
      </w:r>
      <w:r>
        <w:rPr>
          <w:rFonts w:hint="eastAsia" w:ascii="宋体" w:hAnsi="宋体"/>
          <w:color w:val="auto"/>
          <w:sz w:val="24"/>
          <w:lang w:val="en-US" w:eastAsia="zh-CN"/>
        </w:rPr>
        <w:t>13</w:t>
      </w:r>
      <w:r>
        <w:rPr>
          <w:rFonts w:hint="eastAsia" w:ascii="宋体" w:hAnsi="宋体"/>
          <w:color w:val="auto"/>
          <w:sz w:val="24"/>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资格性/符合性自查表（详见文件格式</w:t>
      </w:r>
      <w:r>
        <w:rPr>
          <w:rFonts w:hint="eastAsia" w:ascii="宋体" w:hAnsi="宋体"/>
          <w:color w:val="auto"/>
          <w:sz w:val="24"/>
          <w:lang w:val="en-US" w:eastAsia="zh-CN"/>
        </w:rPr>
        <w:t>14</w:t>
      </w:r>
      <w:r>
        <w:rPr>
          <w:rFonts w:hint="eastAsia" w:ascii="宋体" w:hAnsi="宋体"/>
          <w:color w:val="auto"/>
          <w:sz w:val="24"/>
        </w:rPr>
        <w:t>）；</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其它与本项目有关的能证明企业实力的各项证明资料。</w:t>
      </w:r>
    </w:p>
    <w:p>
      <w:pPr>
        <w:numPr>
          <w:ilvl w:val="0"/>
          <w:numId w:val="4"/>
        </w:numPr>
        <w:tabs>
          <w:tab w:val="left" w:pos="0"/>
        </w:tabs>
        <w:spacing w:line="360" w:lineRule="auto"/>
        <w:ind w:left="210" w:leftChars="0" w:firstLine="420" w:firstLineChars="0"/>
        <w:jc w:val="left"/>
        <w:rPr>
          <w:rFonts w:hint="eastAsia" w:ascii="宋体" w:hAnsi="宋体"/>
          <w:color w:val="auto"/>
          <w:sz w:val="24"/>
        </w:rPr>
      </w:pPr>
      <w:r>
        <w:rPr>
          <w:rFonts w:hint="eastAsia" w:ascii="宋体" w:hAnsi="宋体"/>
          <w:color w:val="auto"/>
          <w:sz w:val="24"/>
        </w:rPr>
        <w:t>磋商文件要求提供的其它材料以及供应商认为需要提交的材料。</w:t>
      </w:r>
    </w:p>
    <w:p>
      <w:pPr>
        <w:pStyle w:val="9"/>
        <w:spacing w:line="360" w:lineRule="auto"/>
        <w:ind w:firstLine="422" w:firstLineChars="175"/>
        <w:rPr>
          <w:rFonts w:hint="eastAsia" w:hAnsi="宋体"/>
          <w:b/>
          <w:color w:val="auto"/>
          <w:sz w:val="24"/>
        </w:rPr>
      </w:pPr>
      <w:r>
        <w:rPr>
          <w:rFonts w:hint="eastAsia" w:hAnsi="宋体"/>
          <w:b/>
          <w:color w:val="auto"/>
          <w:sz w:val="24"/>
        </w:rPr>
        <w:t>特别说明：①上述各种证件、证书复印件须加盖供应商公章。如未按要求加盖供应商公章者，可能导致其响应文件无效。</w:t>
      </w:r>
    </w:p>
    <w:p>
      <w:pPr>
        <w:pStyle w:val="9"/>
        <w:spacing w:line="360" w:lineRule="auto"/>
        <w:ind w:firstLine="482" w:firstLineChars="200"/>
        <w:rPr>
          <w:rFonts w:hint="eastAsia" w:hAnsi="宋体"/>
          <w:b/>
          <w:color w:val="auto"/>
          <w:sz w:val="24"/>
        </w:rPr>
      </w:pPr>
      <w:r>
        <w:rPr>
          <w:rFonts w:hint="eastAsia" w:hAnsi="宋体"/>
          <w:b/>
          <w:color w:val="auto"/>
          <w:sz w:val="24"/>
        </w:rPr>
        <w:t>②供应商应如实提供资料，并保证真实可靠，不得弄虚作假。如供应商隐瞒事实真相、弄虚作假，一经查实，取消该供应商的磋商资格，若成交的，取消其成交资格。</w:t>
      </w:r>
    </w:p>
    <w:p>
      <w:pPr>
        <w:pStyle w:val="9"/>
        <w:spacing w:line="360" w:lineRule="auto"/>
        <w:ind w:firstLine="480"/>
        <w:outlineLvl w:val="1"/>
        <w:rPr>
          <w:rFonts w:hint="eastAsia" w:hAnsi="宋体"/>
          <w:color w:val="auto"/>
          <w:sz w:val="24"/>
        </w:rPr>
      </w:pPr>
      <w:bookmarkStart w:id="115" w:name="_Toc11926"/>
      <w:bookmarkStart w:id="116" w:name="_Toc245897286"/>
      <w:bookmarkStart w:id="117" w:name="_Toc243906326"/>
      <w:bookmarkStart w:id="118" w:name="_Toc233274827"/>
      <w:bookmarkStart w:id="119" w:name="_Toc243907587"/>
      <w:bookmarkStart w:id="120" w:name="_Toc246216196"/>
      <w:r>
        <w:rPr>
          <w:rFonts w:hint="eastAsia" w:hAnsi="宋体"/>
          <w:color w:val="auto"/>
          <w:sz w:val="24"/>
        </w:rPr>
        <w:t>16、响应文件格式</w:t>
      </w:r>
      <w:bookmarkEnd w:id="115"/>
      <w:bookmarkEnd w:id="116"/>
    </w:p>
    <w:p>
      <w:pPr>
        <w:pStyle w:val="9"/>
        <w:spacing w:line="360" w:lineRule="auto"/>
        <w:ind w:firstLine="480" w:firstLineChars="200"/>
        <w:rPr>
          <w:rFonts w:hint="eastAsia" w:hAnsi="宋体"/>
          <w:color w:val="auto"/>
          <w:sz w:val="24"/>
        </w:rPr>
      </w:pPr>
      <w:r>
        <w:rPr>
          <w:rFonts w:hint="eastAsia" w:hAnsi="宋体"/>
          <w:color w:val="auto"/>
          <w:sz w:val="24"/>
        </w:rPr>
        <w:t>16.1供应商应按磋商文件提供的格式及商务报价说明完整地填写所提供的合同项目、服务以及单价等内容。</w:t>
      </w:r>
    </w:p>
    <w:p>
      <w:pPr>
        <w:pStyle w:val="9"/>
        <w:spacing w:line="360" w:lineRule="auto"/>
        <w:ind w:firstLine="480" w:firstLineChars="200"/>
        <w:outlineLvl w:val="1"/>
        <w:rPr>
          <w:rFonts w:hint="eastAsia" w:hAnsi="宋体"/>
          <w:color w:val="auto"/>
          <w:sz w:val="24"/>
        </w:rPr>
      </w:pPr>
      <w:bookmarkStart w:id="121" w:name="_Toc21173"/>
      <w:r>
        <w:rPr>
          <w:rFonts w:hint="eastAsia" w:hAnsi="宋体"/>
          <w:color w:val="auto"/>
          <w:sz w:val="24"/>
        </w:rPr>
        <w:t>17、商务报价</w:t>
      </w:r>
      <w:bookmarkEnd w:id="117"/>
      <w:bookmarkEnd w:id="118"/>
      <w:bookmarkEnd w:id="119"/>
      <w:bookmarkEnd w:id="120"/>
      <w:bookmarkEnd w:id="121"/>
    </w:p>
    <w:p>
      <w:pPr>
        <w:spacing w:line="360" w:lineRule="auto"/>
        <w:ind w:firstLine="480" w:firstLineChars="200"/>
        <w:rPr>
          <w:rFonts w:hint="eastAsia" w:ascii="宋体" w:hAnsi="宋体"/>
          <w:color w:val="auto"/>
          <w:sz w:val="24"/>
        </w:rPr>
      </w:pPr>
      <w:r>
        <w:rPr>
          <w:rFonts w:hint="eastAsia" w:ascii="宋体" w:hAnsi="宋体"/>
          <w:color w:val="auto"/>
          <w:sz w:val="24"/>
        </w:rPr>
        <w:t>17.1供应商的商务报价应是为采购人提供全部合同货物及服务，并保证货物正常运行和使用以及技术规范及标准、项目采购需求及合同条款、本磋商文件约定的所有费用的总和。</w:t>
      </w:r>
    </w:p>
    <w:p>
      <w:pPr>
        <w:spacing w:line="360" w:lineRule="auto"/>
        <w:ind w:firstLine="480" w:firstLineChars="200"/>
        <w:rPr>
          <w:rFonts w:hint="eastAsia" w:ascii="宋体" w:hAnsi="宋体"/>
          <w:color w:val="auto"/>
          <w:sz w:val="24"/>
        </w:rPr>
      </w:pPr>
      <w:r>
        <w:rPr>
          <w:rFonts w:hint="eastAsia" w:ascii="宋体" w:hAnsi="宋体"/>
          <w:color w:val="auto"/>
          <w:sz w:val="24"/>
        </w:rPr>
        <w:t>任何因供应商忽视或误解采购范围、技术规范及标准、项目采购需求及合同条款、合同条款和项目现场情况，若成交，采购人将不予批准由此而产生的索赔或服务期限延长申请。</w:t>
      </w:r>
    </w:p>
    <w:p>
      <w:pPr>
        <w:spacing w:line="360" w:lineRule="auto"/>
        <w:ind w:firstLine="482" w:firstLineChars="200"/>
        <w:rPr>
          <w:rFonts w:hint="eastAsia" w:ascii="宋体" w:hAnsi="宋体"/>
          <w:color w:val="auto"/>
          <w:sz w:val="24"/>
        </w:rPr>
      </w:pPr>
      <w:r>
        <w:rPr>
          <w:rFonts w:hint="eastAsia" w:ascii="宋体" w:hAnsi="宋体"/>
          <w:b/>
          <w:color w:val="auto"/>
          <w:sz w:val="24"/>
        </w:rPr>
        <w:t>商务报价中不得包含技术规范及标准、项目采购需求及合同条款、本磋商文件要求以外的其他内容。</w:t>
      </w:r>
    </w:p>
    <w:p>
      <w:pPr>
        <w:spacing w:line="360" w:lineRule="auto"/>
        <w:ind w:firstLine="480" w:firstLineChars="200"/>
        <w:rPr>
          <w:rFonts w:hint="eastAsia" w:ascii="宋体" w:hAnsi="宋体"/>
          <w:color w:val="auto"/>
          <w:sz w:val="24"/>
        </w:rPr>
      </w:pPr>
      <w:r>
        <w:rPr>
          <w:rFonts w:hint="eastAsia" w:ascii="宋体" w:hAnsi="宋体"/>
          <w:color w:val="auto"/>
          <w:sz w:val="24"/>
        </w:rPr>
        <w:t>17.2商务报价总价应包括的内容和计价因素</w:t>
      </w:r>
    </w:p>
    <w:p>
      <w:pPr>
        <w:spacing w:line="360" w:lineRule="auto"/>
        <w:ind w:firstLine="480" w:firstLineChars="200"/>
        <w:rPr>
          <w:rFonts w:hint="eastAsia" w:ascii="宋体" w:hAnsi="宋体"/>
          <w:b/>
          <w:color w:val="auto"/>
          <w:sz w:val="24"/>
        </w:rPr>
      </w:pPr>
      <w:r>
        <w:rPr>
          <w:rFonts w:hint="eastAsia" w:ascii="宋体" w:hAnsi="宋体"/>
          <w:color w:val="auto"/>
          <w:sz w:val="24"/>
        </w:rPr>
        <w:t>（1）</w:t>
      </w:r>
      <w:r>
        <w:rPr>
          <w:rFonts w:hint="eastAsia" w:ascii="宋体" w:hAnsi="宋体"/>
          <w:b/>
          <w:color w:val="auto"/>
          <w:sz w:val="24"/>
        </w:rPr>
        <w:t>在履约期限完成塔城地区机关事务管理局塔城地区政务服务与公共资源交易中心物业管理</w:t>
      </w:r>
      <w:r>
        <w:rPr>
          <w:rFonts w:hint="eastAsia" w:ascii="宋体" w:hAnsi="宋体"/>
          <w:b/>
          <w:color w:val="auto"/>
          <w:sz w:val="24"/>
          <w:lang w:val="en-US" w:eastAsia="zh-CN"/>
        </w:rPr>
        <w:t>的全部工作，并能正常交付使用以及合同条款、项目采购需求、本文件约定的全部内容。</w:t>
      </w:r>
    </w:p>
    <w:p>
      <w:pPr>
        <w:spacing w:line="360" w:lineRule="auto"/>
        <w:ind w:firstLine="482" w:firstLineChars="200"/>
        <w:rPr>
          <w:rFonts w:hint="eastAsia" w:ascii="宋体" w:hAnsi="宋体"/>
          <w:color w:val="auto"/>
          <w:sz w:val="24"/>
        </w:rPr>
      </w:pPr>
      <w:r>
        <w:rPr>
          <w:rFonts w:hint="eastAsia" w:ascii="宋体" w:hAnsi="宋体"/>
          <w:b/>
          <w:color w:val="auto"/>
          <w:sz w:val="24"/>
        </w:rPr>
        <w:t>（2）</w:t>
      </w:r>
      <w:r>
        <w:rPr>
          <w:rFonts w:hint="eastAsia" w:ascii="宋体" w:hAnsi="宋体"/>
          <w:color w:val="auto"/>
          <w:sz w:val="24"/>
        </w:rPr>
        <w:t>供应商根据对本磋商文件、技术规范和标准、项目采购需求及合同条款的理解，应达到的技术指标、检验及验收标准等要求，结合市场情况进行商务报价。供应商应充分考虑合同执行期内各类合同货物的市场风险和国家政策性调整风险等因素对商务报价的影响。</w:t>
      </w:r>
    </w:p>
    <w:p>
      <w:pPr>
        <w:spacing w:line="360" w:lineRule="auto"/>
        <w:ind w:firstLine="480" w:firstLineChars="200"/>
        <w:rPr>
          <w:rFonts w:hint="eastAsia" w:ascii="宋体" w:hAnsi="宋体"/>
          <w:color w:val="auto"/>
          <w:sz w:val="24"/>
        </w:rPr>
      </w:pPr>
      <w:bookmarkStart w:id="122" w:name="_Toc233274828"/>
      <w:bookmarkStart w:id="123" w:name="_Toc243906327"/>
      <w:bookmarkStart w:id="124" w:name="_Toc246216197"/>
      <w:bookmarkStart w:id="125" w:name="_Toc243907588"/>
      <w:r>
        <w:rPr>
          <w:rFonts w:hint="eastAsia" w:ascii="宋体" w:hAnsi="宋体"/>
          <w:color w:val="auto"/>
          <w:sz w:val="24"/>
        </w:rPr>
        <w:t>17.3供应商应按照磋商文件所附的格式完整地填写商务报价一览表。</w:t>
      </w:r>
      <w:r>
        <w:rPr>
          <w:rFonts w:hint="eastAsia" w:ascii="宋体" w:hAnsi="宋体"/>
          <w:b/>
          <w:color w:val="auto"/>
          <w:sz w:val="24"/>
        </w:rPr>
        <w:t>供应商应对采购范围内的全部内容进行报价。</w:t>
      </w:r>
    </w:p>
    <w:p>
      <w:pPr>
        <w:spacing w:line="360" w:lineRule="auto"/>
        <w:ind w:firstLine="480" w:firstLineChars="200"/>
        <w:rPr>
          <w:rFonts w:hint="eastAsia" w:ascii="宋体" w:hAnsi="宋体"/>
          <w:color w:val="auto"/>
          <w:sz w:val="24"/>
        </w:rPr>
      </w:pPr>
      <w:r>
        <w:rPr>
          <w:rFonts w:hint="eastAsia" w:ascii="宋体" w:hAnsi="宋体"/>
          <w:color w:val="auto"/>
          <w:sz w:val="24"/>
        </w:rPr>
        <w:t>17.4供应商若成交，不得以任何理由在合同执行期间予以价格调整。任何包含价格调整的要求将被认为是非响应而予以拒绝。</w:t>
      </w:r>
    </w:p>
    <w:bookmarkEnd w:id="122"/>
    <w:bookmarkEnd w:id="123"/>
    <w:bookmarkEnd w:id="124"/>
    <w:bookmarkEnd w:id="125"/>
    <w:p>
      <w:pPr>
        <w:pStyle w:val="9"/>
        <w:spacing w:line="360" w:lineRule="auto"/>
        <w:ind w:firstLine="480" w:firstLineChars="200"/>
        <w:outlineLvl w:val="1"/>
        <w:rPr>
          <w:rFonts w:hint="eastAsia" w:hAnsi="宋体"/>
          <w:color w:val="auto"/>
          <w:sz w:val="24"/>
        </w:rPr>
      </w:pPr>
      <w:bookmarkStart w:id="126" w:name="_Toc24698"/>
      <w:bookmarkStart w:id="127" w:name="_Toc245897288"/>
      <w:r>
        <w:rPr>
          <w:rFonts w:hint="eastAsia" w:hAnsi="宋体"/>
          <w:color w:val="auto"/>
          <w:sz w:val="24"/>
        </w:rPr>
        <w:t>18、商务报价货币</w:t>
      </w:r>
      <w:bookmarkEnd w:id="126"/>
      <w:bookmarkEnd w:id="127"/>
    </w:p>
    <w:p>
      <w:pPr>
        <w:pStyle w:val="9"/>
        <w:spacing w:line="360" w:lineRule="auto"/>
        <w:ind w:firstLine="480" w:firstLineChars="200"/>
        <w:rPr>
          <w:rFonts w:hint="eastAsia" w:hAnsi="宋体"/>
          <w:color w:val="auto"/>
          <w:sz w:val="24"/>
        </w:rPr>
      </w:pPr>
      <w:r>
        <w:rPr>
          <w:rFonts w:hint="eastAsia" w:hAnsi="宋体"/>
          <w:color w:val="auto"/>
          <w:sz w:val="24"/>
        </w:rPr>
        <w:t>18.1商务报价一览表和响应文件中的所有报价一律使用人民币（RMB）填报。</w:t>
      </w:r>
    </w:p>
    <w:p>
      <w:pPr>
        <w:pStyle w:val="9"/>
        <w:spacing w:line="360" w:lineRule="auto"/>
        <w:ind w:firstLine="480" w:firstLineChars="200"/>
        <w:outlineLvl w:val="1"/>
        <w:rPr>
          <w:rFonts w:hint="eastAsia" w:hAnsi="宋体"/>
          <w:color w:val="auto"/>
          <w:sz w:val="24"/>
        </w:rPr>
      </w:pPr>
      <w:bookmarkStart w:id="128" w:name="_Toc243906328"/>
      <w:bookmarkStart w:id="129" w:name="_Toc233274829"/>
      <w:bookmarkStart w:id="130" w:name="_Toc245897289"/>
      <w:bookmarkStart w:id="131" w:name="_Toc243907589"/>
      <w:bookmarkStart w:id="132" w:name="_Toc7985"/>
      <w:r>
        <w:rPr>
          <w:rFonts w:hint="eastAsia" w:hAnsi="宋体"/>
          <w:color w:val="auto"/>
          <w:sz w:val="24"/>
        </w:rPr>
        <w:t>19、供应商资格证明文件</w:t>
      </w:r>
      <w:bookmarkEnd w:id="128"/>
      <w:bookmarkEnd w:id="129"/>
      <w:bookmarkEnd w:id="130"/>
      <w:bookmarkEnd w:id="131"/>
      <w:bookmarkEnd w:id="132"/>
    </w:p>
    <w:p>
      <w:pPr>
        <w:numPr>
          <w:ilvl w:val="0"/>
          <w:numId w:val="0"/>
        </w:numPr>
        <w:tabs>
          <w:tab w:val="left" w:pos="0"/>
        </w:tabs>
        <w:spacing w:line="360" w:lineRule="auto"/>
        <w:ind w:firstLine="720" w:firstLineChars="300"/>
        <w:jc w:val="left"/>
        <w:rPr>
          <w:rFonts w:hint="eastAsia" w:ascii="宋体" w:hAnsi="宋体"/>
          <w:color w:val="auto"/>
          <w:sz w:val="24"/>
          <w:lang w:val="en-US" w:eastAsia="zh-CN"/>
        </w:rPr>
      </w:pPr>
      <w:r>
        <w:rPr>
          <w:rFonts w:hint="eastAsia" w:hAnsi="宋体"/>
          <w:color w:val="auto"/>
          <w:sz w:val="24"/>
        </w:rPr>
        <w:t xml:space="preserve">19.1 </w:t>
      </w:r>
      <w:r>
        <w:rPr>
          <w:rFonts w:hint="eastAsia" w:ascii="宋体" w:hAnsi="宋体"/>
          <w:color w:val="auto"/>
          <w:sz w:val="24"/>
          <w:lang w:val="en-US" w:eastAsia="zh-CN"/>
        </w:rPr>
        <w:t>营业执照复印件；</w:t>
      </w:r>
    </w:p>
    <w:p>
      <w:pPr>
        <w:numPr>
          <w:ilvl w:val="0"/>
          <w:numId w:val="0"/>
        </w:numPr>
        <w:tabs>
          <w:tab w:val="left" w:pos="0"/>
        </w:tabs>
        <w:spacing w:line="360" w:lineRule="auto"/>
        <w:ind w:left="239" w:leftChars="114" w:firstLine="480" w:firstLineChars="200"/>
        <w:jc w:val="left"/>
        <w:rPr>
          <w:rFonts w:hint="default" w:ascii="宋体" w:hAnsi="宋体"/>
          <w:color w:val="auto"/>
          <w:sz w:val="24"/>
          <w:lang w:val="en-US" w:eastAsia="zh-CN"/>
        </w:rPr>
      </w:pPr>
      <w:r>
        <w:rPr>
          <w:rFonts w:hint="eastAsia" w:ascii="宋体" w:hAnsi="宋体"/>
          <w:color w:val="auto"/>
          <w:sz w:val="24"/>
          <w:lang w:val="en-US" w:eastAsia="zh-CN"/>
        </w:rPr>
        <w:t>19.2</w:t>
      </w:r>
      <w:r>
        <w:rPr>
          <w:rFonts w:hint="default" w:ascii="宋体" w:hAnsi="宋体"/>
          <w:color w:val="auto"/>
          <w:sz w:val="24"/>
          <w:lang w:val="en-US" w:eastAsia="zh-CN"/>
        </w:rPr>
        <w:t>税务登记证复印件或依法缴纳202</w:t>
      </w:r>
      <w:r>
        <w:rPr>
          <w:rFonts w:hint="eastAsia" w:ascii="宋体" w:hAnsi="宋体"/>
          <w:color w:val="auto"/>
          <w:sz w:val="24"/>
          <w:lang w:val="en-US" w:eastAsia="zh-CN"/>
        </w:rPr>
        <w:t>1</w:t>
      </w:r>
      <w:r>
        <w:rPr>
          <w:rFonts w:hint="default" w:ascii="宋体" w:hAnsi="宋体"/>
          <w:color w:val="auto"/>
          <w:sz w:val="24"/>
          <w:lang w:val="en-US" w:eastAsia="zh-CN"/>
        </w:rPr>
        <w:t>年</w:t>
      </w:r>
      <w:r>
        <w:rPr>
          <w:rFonts w:hint="eastAsia" w:ascii="宋体" w:hAnsi="宋体"/>
          <w:color w:val="auto"/>
          <w:sz w:val="24"/>
          <w:lang w:val="en-US" w:eastAsia="zh-CN"/>
        </w:rPr>
        <w:t>1</w:t>
      </w:r>
      <w:r>
        <w:rPr>
          <w:rFonts w:hint="default" w:ascii="宋体" w:hAnsi="宋体"/>
          <w:color w:val="auto"/>
          <w:sz w:val="24"/>
          <w:lang w:val="en-US" w:eastAsia="zh-CN"/>
        </w:rPr>
        <w:t>月1日至202</w:t>
      </w:r>
      <w:r>
        <w:rPr>
          <w:rFonts w:hint="eastAsia" w:ascii="宋体" w:hAnsi="宋体"/>
          <w:color w:val="auto"/>
          <w:sz w:val="24"/>
          <w:lang w:val="en-US" w:eastAsia="zh-CN"/>
        </w:rPr>
        <w:t>2</w:t>
      </w:r>
      <w:r>
        <w:rPr>
          <w:rFonts w:hint="default" w:ascii="宋体" w:hAnsi="宋体"/>
          <w:color w:val="auto"/>
          <w:sz w:val="24"/>
          <w:lang w:val="en-US" w:eastAsia="zh-CN"/>
        </w:rPr>
        <w:t>年</w:t>
      </w:r>
      <w:r>
        <w:rPr>
          <w:rFonts w:hint="eastAsia" w:ascii="宋体" w:hAnsi="宋体"/>
          <w:color w:val="auto"/>
          <w:sz w:val="24"/>
          <w:lang w:val="en-US" w:eastAsia="zh-CN"/>
        </w:rPr>
        <w:t>5</w:t>
      </w:r>
      <w:r>
        <w:rPr>
          <w:rFonts w:hint="default" w:ascii="宋体" w:hAnsi="宋体"/>
          <w:color w:val="auto"/>
          <w:sz w:val="24"/>
          <w:lang w:val="en-US" w:eastAsia="zh-CN"/>
        </w:rPr>
        <w:t>月1日连续三个月税收证明材料的复印件；</w:t>
      </w:r>
    </w:p>
    <w:p>
      <w:pPr>
        <w:numPr>
          <w:ilvl w:val="0"/>
          <w:numId w:val="0"/>
        </w:numPr>
        <w:tabs>
          <w:tab w:val="left" w:pos="0"/>
        </w:tabs>
        <w:spacing w:line="360" w:lineRule="auto"/>
        <w:ind w:left="479" w:leftChars="228" w:firstLine="240" w:firstLineChars="100"/>
        <w:jc w:val="left"/>
        <w:rPr>
          <w:rFonts w:hint="default" w:ascii="宋体" w:hAnsi="宋体"/>
          <w:color w:val="auto"/>
          <w:sz w:val="24"/>
          <w:lang w:val="en-US" w:eastAsia="zh-CN"/>
        </w:rPr>
      </w:pPr>
      <w:r>
        <w:rPr>
          <w:rFonts w:hint="eastAsia" w:ascii="宋体" w:hAnsi="宋体"/>
          <w:color w:val="auto"/>
          <w:sz w:val="24"/>
          <w:lang w:val="en-US" w:eastAsia="zh-CN"/>
        </w:rPr>
        <w:t>19.3</w:t>
      </w:r>
      <w:r>
        <w:rPr>
          <w:rFonts w:hint="default" w:ascii="宋体" w:hAnsi="宋体"/>
          <w:color w:val="auto"/>
          <w:sz w:val="24"/>
          <w:lang w:val="en-US" w:eastAsia="zh-CN"/>
        </w:rPr>
        <w:t>社保登记证复印件或由社保机构出具的</w:t>
      </w:r>
      <w:r>
        <w:rPr>
          <w:rFonts w:hint="eastAsia" w:ascii="宋体" w:hAnsi="宋体"/>
          <w:color w:val="auto"/>
          <w:sz w:val="24"/>
          <w:lang w:val="en-US" w:eastAsia="zh-CN"/>
        </w:rPr>
        <w:t>2</w:t>
      </w:r>
      <w:r>
        <w:rPr>
          <w:rFonts w:hint="default" w:ascii="宋体" w:hAnsi="宋体"/>
          <w:color w:val="auto"/>
          <w:sz w:val="24"/>
          <w:lang w:val="en-US" w:eastAsia="zh-CN"/>
        </w:rPr>
        <w:t>021年1月1日至2022年</w:t>
      </w:r>
      <w:r>
        <w:rPr>
          <w:rFonts w:hint="eastAsia" w:ascii="宋体" w:hAnsi="宋体"/>
          <w:color w:val="auto"/>
          <w:sz w:val="24"/>
          <w:lang w:val="en-US" w:eastAsia="zh-CN"/>
        </w:rPr>
        <w:t>5</w:t>
      </w:r>
      <w:r>
        <w:rPr>
          <w:rFonts w:hint="default" w:ascii="宋体" w:hAnsi="宋体"/>
          <w:color w:val="auto"/>
          <w:sz w:val="24"/>
          <w:lang w:val="en-US" w:eastAsia="zh-CN"/>
        </w:rPr>
        <w:t>月1日连</w:t>
      </w:r>
    </w:p>
    <w:p>
      <w:pPr>
        <w:numPr>
          <w:ilvl w:val="0"/>
          <w:numId w:val="0"/>
        </w:numPr>
        <w:tabs>
          <w:tab w:val="left" w:pos="0"/>
        </w:tabs>
        <w:spacing w:line="360" w:lineRule="auto"/>
        <w:ind w:firstLine="240" w:firstLineChars="100"/>
        <w:jc w:val="left"/>
        <w:rPr>
          <w:rFonts w:hint="default" w:ascii="宋体" w:hAnsi="宋体"/>
          <w:color w:val="auto"/>
          <w:sz w:val="24"/>
          <w:lang w:val="en-US" w:eastAsia="zh-CN"/>
        </w:rPr>
      </w:pPr>
      <w:r>
        <w:rPr>
          <w:rFonts w:hint="default" w:ascii="宋体" w:hAnsi="宋体"/>
          <w:color w:val="auto"/>
          <w:sz w:val="24"/>
          <w:lang w:val="en-US" w:eastAsia="zh-CN"/>
        </w:rPr>
        <w:t>续三个月社保缴纳证明复印件；</w:t>
      </w:r>
    </w:p>
    <w:p>
      <w:pPr>
        <w:numPr>
          <w:ilvl w:val="0"/>
          <w:numId w:val="0"/>
        </w:numPr>
        <w:tabs>
          <w:tab w:val="left" w:pos="0"/>
        </w:tabs>
        <w:spacing w:line="360" w:lineRule="auto"/>
        <w:ind w:firstLine="720" w:firstLineChars="300"/>
        <w:jc w:val="left"/>
        <w:rPr>
          <w:rFonts w:hint="default" w:ascii="宋体" w:hAnsi="宋体"/>
          <w:color w:val="auto"/>
          <w:sz w:val="24"/>
          <w:lang w:val="en-US" w:eastAsia="zh-CN"/>
        </w:rPr>
      </w:pPr>
      <w:r>
        <w:rPr>
          <w:rFonts w:hint="eastAsia" w:ascii="宋体" w:hAnsi="宋体"/>
          <w:color w:val="auto"/>
          <w:sz w:val="24"/>
          <w:lang w:val="en-US" w:eastAsia="zh-CN"/>
        </w:rPr>
        <w:t>19.4</w:t>
      </w:r>
      <w:r>
        <w:rPr>
          <w:rFonts w:hint="default" w:ascii="宋体" w:hAnsi="宋体"/>
          <w:color w:val="auto"/>
          <w:sz w:val="24"/>
          <w:lang w:val="en-US" w:eastAsia="zh-CN"/>
        </w:rPr>
        <w:t>法定代表人授权委托书原件、法定代表人和委托代理人身份证复印件；</w:t>
      </w:r>
    </w:p>
    <w:p>
      <w:pPr>
        <w:numPr>
          <w:ilvl w:val="0"/>
          <w:numId w:val="0"/>
        </w:numPr>
        <w:tabs>
          <w:tab w:val="left" w:pos="0"/>
        </w:tabs>
        <w:spacing w:line="360" w:lineRule="auto"/>
        <w:ind w:firstLine="720" w:firstLineChars="300"/>
        <w:jc w:val="left"/>
        <w:rPr>
          <w:rFonts w:hint="default" w:ascii="宋体" w:hAnsi="宋体"/>
          <w:color w:val="auto"/>
          <w:sz w:val="24"/>
          <w:lang w:val="en-US" w:eastAsia="zh-CN"/>
        </w:rPr>
      </w:pPr>
      <w:r>
        <w:rPr>
          <w:rFonts w:hint="eastAsia" w:ascii="宋体" w:hAnsi="宋体"/>
          <w:color w:val="auto"/>
          <w:sz w:val="24"/>
          <w:lang w:val="en-US" w:eastAsia="zh-CN"/>
        </w:rPr>
        <w:t>19.5</w:t>
      </w:r>
      <w:r>
        <w:rPr>
          <w:rFonts w:hint="default" w:ascii="宋体" w:hAnsi="宋体"/>
          <w:color w:val="auto"/>
          <w:sz w:val="24"/>
          <w:lang w:val="en-US" w:eastAsia="zh-CN"/>
        </w:rPr>
        <w:t>提供经会计师事务所审计的</w:t>
      </w:r>
      <w:r>
        <w:rPr>
          <w:rFonts w:hint="eastAsia" w:ascii="宋体" w:hAnsi="宋体"/>
          <w:color w:val="auto"/>
          <w:sz w:val="24"/>
          <w:lang w:val="en-US" w:eastAsia="zh-CN"/>
        </w:rPr>
        <w:t>2021</w:t>
      </w:r>
      <w:r>
        <w:rPr>
          <w:rFonts w:hint="default" w:ascii="宋体" w:hAnsi="宋体"/>
          <w:color w:val="auto"/>
          <w:sz w:val="24"/>
          <w:lang w:val="en-US" w:eastAsia="zh-CN"/>
        </w:rPr>
        <w:t>年度财务审计报告或</w:t>
      </w:r>
      <w:r>
        <w:rPr>
          <w:rFonts w:hint="eastAsia" w:ascii="宋体" w:hAnsi="宋体"/>
          <w:color w:val="auto"/>
          <w:sz w:val="24"/>
          <w:lang w:val="en-US" w:eastAsia="zh-CN"/>
        </w:rPr>
        <w:t>2021</w:t>
      </w:r>
      <w:r>
        <w:rPr>
          <w:rFonts w:hint="default" w:ascii="宋体" w:hAnsi="宋体"/>
          <w:color w:val="auto"/>
          <w:sz w:val="24"/>
          <w:lang w:val="en-US" w:eastAsia="zh-CN"/>
        </w:rPr>
        <w:t>年度财务会计报表；（备注：新成立的公司提供公司的财务制度）；</w:t>
      </w:r>
    </w:p>
    <w:p>
      <w:pPr>
        <w:numPr>
          <w:ilvl w:val="0"/>
          <w:numId w:val="0"/>
        </w:numPr>
        <w:tabs>
          <w:tab w:val="left" w:pos="0"/>
        </w:tabs>
        <w:spacing w:line="360" w:lineRule="auto"/>
        <w:ind w:firstLine="720" w:firstLineChars="300"/>
        <w:jc w:val="left"/>
        <w:rPr>
          <w:rFonts w:hint="default" w:ascii="宋体" w:hAnsi="宋体"/>
          <w:color w:val="auto"/>
          <w:sz w:val="24"/>
          <w:lang w:val="en-US" w:eastAsia="zh-CN"/>
        </w:rPr>
      </w:pPr>
      <w:r>
        <w:rPr>
          <w:rFonts w:hint="eastAsia" w:ascii="宋体" w:hAnsi="宋体"/>
          <w:color w:val="auto"/>
          <w:sz w:val="24"/>
          <w:lang w:val="en-US" w:eastAsia="zh-CN"/>
        </w:rPr>
        <w:t>19.6</w:t>
      </w:r>
      <w:r>
        <w:rPr>
          <w:rFonts w:hint="default" w:ascii="宋体" w:hAnsi="宋体"/>
          <w:color w:val="auto"/>
          <w:sz w:val="24"/>
          <w:lang w:val="en-US" w:eastAsia="zh-CN"/>
        </w:rPr>
        <w:t>提供“信用中国”、“中国政府采购”网站截图复印件（查询渠道：“信用中</w:t>
      </w:r>
    </w:p>
    <w:p>
      <w:pPr>
        <w:pStyle w:val="9"/>
        <w:spacing w:line="360" w:lineRule="auto"/>
        <w:ind w:firstLine="480" w:firstLineChars="200"/>
        <w:rPr>
          <w:rFonts w:hint="default" w:ascii="宋体" w:hAnsi="宋体"/>
          <w:color w:val="auto"/>
          <w:sz w:val="24"/>
          <w:lang w:val="en-US" w:eastAsia="zh-CN"/>
        </w:rPr>
      </w:pPr>
      <w:r>
        <w:rPr>
          <w:rFonts w:hint="default" w:ascii="宋体" w:hAnsi="宋体"/>
          <w:color w:val="auto"/>
          <w:sz w:val="24"/>
          <w:lang w:val="en-US" w:eastAsia="zh-CN"/>
        </w:rPr>
        <w:t>国”网站www.creditchina.gov.cn、中国政府采购”网站（www.ccgp.gov.cn））</w:t>
      </w:r>
    </w:p>
    <w:p>
      <w:pPr>
        <w:pStyle w:val="9"/>
        <w:spacing w:line="360" w:lineRule="auto"/>
        <w:ind w:firstLine="480" w:firstLineChars="200"/>
        <w:outlineLvl w:val="1"/>
        <w:rPr>
          <w:rFonts w:hint="eastAsia" w:hAnsi="宋体"/>
          <w:color w:val="auto"/>
          <w:sz w:val="24"/>
        </w:rPr>
      </w:pPr>
      <w:bookmarkStart w:id="133" w:name="_Toc26535"/>
      <w:bookmarkStart w:id="134" w:name="_Toc233274830"/>
      <w:bookmarkStart w:id="135" w:name="_Toc243907590"/>
      <w:bookmarkStart w:id="136" w:name="_Toc243906329"/>
      <w:bookmarkStart w:id="137" w:name="_Toc245897290"/>
      <w:r>
        <w:rPr>
          <w:rFonts w:hint="eastAsia" w:hAnsi="宋体"/>
          <w:color w:val="auto"/>
          <w:sz w:val="24"/>
        </w:rPr>
        <w:t>20、提供的货物符合磋商文件规定的技术响应文件</w:t>
      </w:r>
      <w:bookmarkEnd w:id="133"/>
      <w:bookmarkEnd w:id="134"/>
      <w:bookmarkEnd w:id="135"/>
      <w:bookmarkEnd w:id="136"/>
      <w:bookmarkEnd w:id="137"/>
    </w:p>
    <w:p>
      <w:pPr>
        <w:pStyle w:val="9"/>
        <w:spacing w:line="360" w:lineRule="auto"/>
        <w:ind w:firstLine="480" w:firstLineChars="200"/>
        <w:rPr>
          <w:rFonts w:hint="eastAsia" w:hAnsi="宋体"/>
          <w:color w:val="auto"/>
          <w:sz w:val="24"/>
        </w:rPr>
      </w:pPr>
      <w:r>
        <w:rPr>
          <w:rFonts w:hint="eastAsia" w:hAnsi="宋体"/>
          <w:color w:val="auto"/>
          <w:sz w:val="24"/>
        </w:rPr>
        <w:t>20.1 供应商须提交证明其拟供货物和服务符合磋商文件、技术规范及标准、项目采购需求及合同条款规定的技术响应文件，作为响应文件的一部分；</w:t>
      </w:r>
    </w:p>
    <w:p>
      <w:pPr>
        <w:pStyle w:val="9"/>
        <w:spacing w:line="360" w:lineRule="auto"/>
        <w:ind w:firstLine="480" w:firstLineChars="200"/>
        <w:rPr>
          <w:rFonts w:hint="eastAsia" w:hAnsi="宋体"/>
          <w:color w:val="auto"/>
          <w:sz w:val="24"/>
        </w:rPr>
      </w:pPr>
      <w:r>
        <w:rPr>
          <w:rFonts w:hint="eastAsia" w:hAnsi="宋体"/>
          <w:color w:val="auto"/>
          <w:sz w:val="24"/>
        </w:rPr>
        <w:t>20.2上述文件可以是文字资料、图纸和数据，并须提供货物主要技术性能的详细描述及设备清单和所提供服务的详细说明；</w:t>
      </w:r>
    </w:p>
    <w:p>
      <w:pPr>
        <w:spacing w:line="360" w:lineRule="auto"/>
        <w:ind w:firstLine="481"/>
        <w:rPr>
          <w:rFonts w:hint="eastAsia" w:ascii="宋体" w:hAnsi="宋体"/>
          <w:color w:val="auto"/>
          <w:sz w:val="24"/>
        </w:rPr>
      </w:pPr>
      <w:r>
        <w:rPr>
          <w:rFonts w:hint="eastAsia" w:ascii="宋体" w:hAnsi="宋体"/>
          <w:color w:val="auto"/>
          <w:sz w:val="24"/>
        </w:rPr>
        <w:t>20.3供应商应逐条对磋商文件、项目采购需求及合同条款等进行仔细阅读，提出自己提供的货物和服务是否对其做出了实质性的响应。</w:t>
      </w:r>
    </w:p>
    <w:p>
      <w:pPr>
        <w:pStyle w:val="9"/>
        <w:spacing w:line="360" w:lineRule="auto"/>
        <w:ind w:firstLine="480" w:firstLineChars="200"/>
        <w:outlineLvl w:val="1"/>
        <w:rPr>
          <w:rFonts w:hint="eastAsia" w:hAnsi="宋体"/>
          <w:color w:val="auto"/>
          <w:sz w:val="24"/>
        </w:rPr>
      </w:pPr>
      <w:bookmarkStart w:id="138" w:name="_Toc233274831"/>
      <w:bookmarkStart w:id="139" w:name="_Toc2663"/>
      <w:bookmarkStart w:id="140" w:name="_Toc243907591"/>
      <w:bookmarkStart w:id="141" w:name="_Toc243906330"/>
      <w:bookmarkStart w:id="142" w:name="_Toc245897291"/>
      <w:r>
        <w:rPr>
          <w:rFonts w:hint="eastAsia" w:hAnsi="宋体"/>
          <w:color w:val="auto"/>
          <w:sz w:val="24"/>
        </w:rPr>
        <w:t>21、响应文件有效期</w:t>
      </w:r>
      <w:bookmarkEnd w:id="138"/>
      <w:bookmarkEnd w:id="139"/>
      <w:bookmarkEnd w:id="140"/>
      <w:bookmarkEnd w:id="141"/>
      <w:bookmarkEnd w:id="142"/>
    </w:p>
    <w:p>
      <w:pPr>
        <w:pStyle w:val="9"/>
        <w:spacing w:line="360" w:lineRule="auto"/>
        <w:ind w:firstLine="480" w:firstLineChars="200"/>
        <w:rPr>
          <w:rFonts w:hint="eastAsia" w:hAnsi="宋体"/>
          <w:color w:val="auto"/>
          <w:sz w:val="24"/>
        </w:rPr>
      </w:pPr>
      <w:r>
        <w:rPr>
          <w:rFonts w:hint="eastAsia" w:hAnsi="宋体"/>
          <w:color w:val="auto"/>
          <w:sz w:val="24"/>
        </w:rPr>
        <w:t>21.1</w:t>
      </w:r>
      <w:r>
        <w:rPr>
          <w:rFonts w:hint="eastAsia" w:hAnsi="宋体"/>
          <w:b/>
          <w:color w:val="auto"/>
          <w:sz w:val="24"/>
          <w:highlight w:val="yellow"/>
        </w:rPr>
        <w:t>响应文件</w:t>
      </w:r>
      <w:r>
        <w:rPr>
          <w:rFonts w:hint="eastAsia" w:hAnsi="宋体"/>
          <w:color w:val="auto"/>
          <w:sz w:val="24"/>
          <w:highlight w:val="yellow"/>
        </w:rPr>
        <w:t>有效期为递交响应文件截止之日起</w:t>
      </w:r>
      <w:r>
        <w:rPr>
          <w:rFonts w:hint="eastAsia" w:hAnsi="宋体"/>
          <w:color w:val="auto"/>
          <w:sz w:val="24"/>
          <w:highlight w:val="yellow"/>
          <w:lang w:val="en-US" w:eastAsia="zh-CN"/>
        </w:rPr>
        <w:t>60</w:t>
      </w:r>
      <w:r>
        <w:rPr>
          <w:rFonts w:hint="eastAsia" w:hAnsi="宋体"/>
          <w:color w:val="auto"/>
          <w:sz w:val="24"/>
          <w:highlight w:val="yellow"/>
        </w:rPr>
        <w:t>天（日历日）。</w:t>
      </w:r>
      <w:r>
        <w:rPr>
          <w:rFonts w:hint="eastAsia" w:hAnsi="宋体"/>
          <w:color w:val="auto"/>
          <w:sz w:val="24"/>
        </w:rPr>
        <w:t>供应商的响应文件有效期比规定的有效期短的，将被视为非响应而予以拒绝。</w:t>
      </w:r>
    </w:p>
    <w:p>
      <w:pPr>
        <w:pStyle w:val="9"/>
        <w:spacing w:line="360" w:lineRule="auto"/>
        <w:ind w:firstLine="480" w:firstLineChars="200"/>
        <w:rPr>
          <w:rFonts w:hint="eastAsia" w:hAnsi="宋体"/>
          <w:color w:val="auto"/>
          <w:sz w:val="24"/>
        </w:rPr>
      </w:pPr>
      <w:r>
        <w:rPr>
          <w:rFonts w:hint="eastAsia" w:hAnsi="宋体"/>
          <w:color w:val="auto"/>
          <w:sz w:val="24"/>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9"/>
        <w:spacing w:line="360" w:lineRule="auto"/>
        <w:ind w:firstLine="480" w:firstLineChars="200"/>
        <w:outlineLvl w:val="1"/>
        <w:rPr>
          <w:rFonts w:hint="eastAsia" w:hAnsi="宋体"/>
          <w:color w:val="auto"/>
          <w:sz w:val="24"/>
        </w:rPr>
      </w:pPr>
      <w:bookmarkStart w:id="143" w:name="_Toc233274832"/>
      <w:bookmarkStart w:id="144" w:name="_Toc245897292"/>
      <w:bookmarkStart w:id="145" w:name="_Toc243906331"/>
      <w:bookmarkStart w:id="146" w:name="_Toc20462"/>
      <w:bookmarkStart w:id="147" w:name="_Toc243907592"/>
      <w:r>
        <w:rPr>
          <w:rFonts w:hint="eastAsia" w:hAnsi="宋体"/>
          <w:color w:val="auto"/>
          <w:sz w:val="24"/>
        </w:rPr>
        <w:t>22、响应文件的签署及规定</w:t>
      </w:r>
      <w:bookmarkEnd w:id="143"/>
      <w:bookmarkEnd w:id="144"/>
      <w:bookmarkEnd w:id="145"/>
      <w:bookmarkEnd w:id="146"/>
      <w:bookmarkEnd w:id="147"/>
    </w:p>
    <w:p>
      <w:pPr>
        <w:spacing w:line="360" w:lineRule="auto"/>
        <w:ind w:firstLine="480" w:firstLineChars="200"/>
        <w:rPr>
          <w:rFonts w:hint="eastAsia" w:ascii="宋体" w:hAnsi="宋体"/>
          <w:b/>
          <w:color w:val="auto"/>
          <w:sz w:val="24"/>
        </w:rPr>
      </w:pPr>
      <w:r>
        <w:rPr>
          <w:rFonts w:hint="eastAsia" w:ascii="宋体" w:hAnsi="宋体"/>
          <w:color w:val="auto"/>
          <w:sz w:val="24"/>
        </w:rPr>
        <w:t>22.1供应商应提交本须知第14条规定的</w:t>
      </w:r>
      <w:r>
        <w:rPr>
          <w:rFonts w:hint="eastAsia" w:ascii="宋体" w:hAnsi="宋体"/>
          <w:b/>
          <w:color w:val="auto"/>
          <w:sz w:val="24"/>
        </w:rPr>
        <w:t>书面响应文件一式</w:t>
      </w:r>
      <w:r>
        <w:rPr>
          <w:rFonts w:hint="eastAsia" w:ascii="宋体" w:hAnsi="宋体"/>
          <w:b/>
          <w:color w:val="auto"/>
          <w:sz w:val="24"/>
          <w:u w:val="single"/>
        </w:rPr>
        <w:t>伍</w:t>
      </w:r>
      <w:r>
        <w:rPr>
          <w:rFonts w:hint="eastAsia" w:ascii="宋体" w:hAnsi="宋体"/>
          <w:b/>
          <w:color w:val="auto"/>
          <w:sz w:val="24"/>
        </w:rPr>
        <w:t>份</w:t>
      </w:r>
      <w:r>
        <w:rPr>
          <w:rFonts w:hint="eastAsia" w:ascii="宋体" w:hAnsi="宋体"/>
          <w:color w:val="auto"/>
          <w:sz w:val="24"/>
        </w:rPr>
        <w:t>，</w:t>
      </w:r>
      <w:r>
        <w:rPr>
          <w:rFonts w:hint="eastAsia" w:hAnsi="宋体"/>
          <w:b/>
          <w:color w:val="auto"/>
          <w:sz w:val="24"/>
        </w:rPr>
        <w:t>电子版投标文件壹份（加盖企业公章）（PDF格式）；</w:t>
      </w:r>
      <w:r>
        <w:rPr>
          <w:rFonts w:hint="eastAsia" w:ascii="宋体" w:hAnsi="宋体"/>
          <w:color w:val="auto"/>
          <w:sz w:val="24"/>
        </w:rPr>
        <w:t>其中：</w:t>
      </w:r>
      <w:r>
        <w:rPr>
          <w:rFonts w:hint="eastAsia" w:ascii="宋体" w:hAnsi="宋体"/>
          <w:b/>
          <w:color w:val="auto"/>
          <w:sz w:val="24"/>
          <w:u w:val="single"/>
        </w:rPr>
        <w:t>壹份正本</w:t>
      </w:r>
      <w:r>
        <w:rPr>
          <w:rFonts w:hint="eastAsia" w:ascii="宋体" w:hAnsi="宋体"/>
          <w:b/>
          <w:color w:val="auto"/>
          <w:sz w:val="24"/>
        </w:rPr>
        <w:t>和</w:t>
      </w:r>
      <w:r>
        <w:rPr>
          <w:rFonts w:hint="eastAsia" w:ascii="宋体" w:hAnsi="宋体"/>
          <w:b/>
          <w:color w:val="auto"/>
          <w:sz w:val="24"/>
          <w:u w:val="single"/>
        </w:rPr>
        <w:t>肆份副本</w:t>
      </w:r>
      <w:r>
        <w:rPr>
          <w:rFonts w:hint="eastAsia" w:ascii="宋体" w:hAnsi="宋体"/>
          <w:color w:val="auto"/>
          <w:sz w:val="24"/>
        </w:rPr>
        <w:t>，在每一份响应文件上应明确注明“正本”或“副本”字样，如正、副本之间有差异，以正本为准。</w:t>
      </w:r>
    </w:p>
    <w:p>
      <w:pPr>
        <w:pStyle w:val="9"/>
        <w:spacing w:line="360" w:lineRule="auto"/>
        <w:ind w:firstLine="480" w:firstLineChars="200"/>
        <w:rPr>
          <w:rFonts w:hint="eastAsia" w:hAnsi="宋体"/>
          <w:color w:val="auto"/>
          <w:sz w:val="24"/>
        </w:rPr>
      </w:pPr>
      <w:r>
        <w:rPr>
          <w:rFonts w:hint="eastAsia" w:hAnsi="宋体"/>
          <w:color w:val="auto"/>
          <w:sz w:val="24"/>
        </w:rPr>
        <w:t>22.2响应文件正本和副本须打印并由法定代表人或委托代理人签字或盖章。响应文件应加盖供应商的公章。</w:t>
      </w:r>
    </w:p>
    <w:p>
      <w:pPr>
        <w:pStyle w:val="9"/>
        <w:spacing w:line="360" w:lineRule="auto"/>
        <w:ind w:firstLine="480" w:firstLineChars="200"/>
        <w:rPr>
          <w:rFonts w:hint="eastAsia" w:hAnsi="宋体"/>
          <w:color w:val="auto"/>
          <w:sz w:val="24"/>
        </w:rPr>
      </w:pPr>
      <w:r>
        <w:rPr>
          <w:rFonts w:hint="eastAsia" w:hAnsi="宋体"/>
          <w:color w:val="auto"/>
          <w:sz w:val="24"/>
        </w:rPr>
        <w:t>22.3 除供应商对错误做必要修改外，响应文件中不许有增删、涂改或改写。若确有修改必须由签署响应文件的委托代理人签字或盖章。</w:t>
      </w:r>
    </w:p>
    <w:p>
      <w:pPr>
        <w:pStyle w:val="9"/>
        <w:spacing w:line="360" w:lineRule="auto"/>
        <w:ind w:firstLine="480" w:firstLineChars="200"/>
        <w:rPr>
          <w:rFonts w:hint="eastAsia" w:hAnsi="宋体"/>
          <w:color w:val="auto"/>
          <w:sz w:val="24"/>
        </w:rPr>
      </w:pPr>
      <w:r>
        <w:rPr>
          <w:rFonts w:hint="eastAsia" w:hAnsi="宋体"/>
          <w:color w:val="auto"/>
          <w:sz w:val="24"/>
        </w:rPr>
        <w:t>22.4响应文件副本的上述签名及盖章之处既可由供应商的法定代表人或其委托代理人签字或盖章，也可通过复印正本将上述签名及盖章复制到副本上。</w:t>
      </w:r>
    </w:p>
    <w:p>
      <w:pPr>
        <w:pStyle w:val="9"/>
        <w:spacing w:line="360" w:lineRule="auto"/>
        <w:ind w:firstLine="480" w:firstLineChars="200"/>
        <w:rPr>
          <w:rFonts w:hint="eastAsia" w:hAnsi="宋体"/>
          <w:color w:val="auto"/>
          <w:sz w:val="24"/>
        </w:rPr>
      </w:pPr>
      <w:r>
        <w:rPr>
          <w:rFonts w:hint="eastAsia" w:hAnsi="宋体"/>
          <w:color w:val="auto"/>
          <w:sz w:val="24"/>
        </w:rPr>
        <w:t>22.5 采购人概不接受电报、电传、电话、邮寄以及电子邮件等方式的磋商。</w:t>
      </w:r>
    </w:p>
    <w:bookmarkEnd w:id="97"/>
    <w:p>
      <w:pPr>
        <w:pStyle w:val="9"/>
        <w:spacing w:line="360" w:lineRule="auto"/>
        <w:jc w:val="center"/>
        <w:outlineLvl w:val="9"/>
        <w:rPr>
          <w:rFonts w:hint="eastAsia" w:hAnsi="宋体"/>
          <w:b/>
          <w:color w:val="auto"/>
          <w:sz w:val="28"/>
        </w:rPr>
      </w:pPr>
      <w:bookmarkStart w:id="148" w:name="_Toc243906333"/>
      <w:bookmarkStart w:id="149" w:name="_Toc233274834"/>
      <w:bookmarkStart w:id="150" w:name="_Toc243907594"/>
      <w:bookmarkStart w:id="151" w:name="_Toc246216203"/>
    </w:p>
    <w:p>
      <w:pPr>
        <w:pStyle w:val="9"/>
        <w:spacing w:line="360" w:lineRule="auto"/>
        <w:jc w:val="center"/>
        <w:outlineLvl w:val="1"/>
        <w:rPr>
          <w:rFonts w:hint="eastAsia" w:hAnsi="宋体"/>
          <w:b/>
          <w:color w:val="auto"/>
          <w:sz w:val="28"/>
        </w:rPr>
      </w:pPr>
      <w:bookmarkStart w:id="152" w:name="_Toc20338"/>
      <w:r>
        <w:rPr>
          <w:rFonts w:hint="eastAsia" w:hAnsi="宋体"/>
          <w:b/>
          <w:color w:val="auto"/>
          <w:sz w:val="28"/>
        </w:rPr>
        <w:t>D  响应文件的递交、修改和撤回</w:t>
      </w:r>
      <w:bookmarkEnd w:id="148"/>
      <w:bookmarkEnd w:id="149"/>
      <w:bookmarkEnd w:id="150"/>
      <w:bookmarkEnd w:id="151"/>
      <w:bookmarkEnd w:id="152"/>
    </w:p>
    <w:p>
      <w:pPr>
        <w:pStyle w:val="9"/>
        <w:spacing w:line="360" w:lineRule="auto"/>
        <w:jc w:val="center"/>
        <w:outlineLvl w:val="9"/>
        <w:rPr>
          <w:rFonts w:hint="eastAsia" w:hAnsi="宋体"/>
          <w:b/>
          <w:color w:val="auto"/>
          <w:sz w:val="28"/>
        </w:rPr>
      </w:pPr>
    </w:p>
    <w:p>
      <w:pPr>
        <w:spacing w:line="360" w:lineRule="auto"/>
        <w:ind w:firstLine="480" w:firstLineChars="200"/>
        <w:outlineLvl w:val="9"/>
        <w:rPr>
          <w:rFonts w:hint="eastAsia" w:ascii="宋体" w:hAnsi="宋体"/>
          <w:color w:val="auto"/>
          <w:sz w:val="24"/>
        </w:rPr>
      </w:pPr>
      <w:bookmarkStart w:id="153" w:name="_Toc243906334"/>
      <w:bookmarkStart w:id="154" w:name="_Toc233274835"/>
      <w:bookmarkStart w:id="155" w:name="_Toc243907595"/>
      <w:bookmarkStart w:id="156" w:name="_Toc245897295"/>
      <w:r>
        <w:rPr>
          <w:rFonts w:hint="eastAsia" w:ascii="宋体" w:hAnsi="宋体"/>
          <w:color w:val="auto"/>
          <w:sz w:val="24"/>
        </w:rPr>
        <w:t>23、响应文件的密封和标记</w:t>
      </w:r>
      <w:bookmarkEnd w:id="153"/>
      <w:bookmarkEnd w:id="154"/>
      <w:bookmarkEnd w:id="155"/>
      <w:bookmarkEnd w:id="156"/>
    </w:p>
    <w:p>
      <w:pPr>
        <w:spacing w:line="360" w:lineRule="auto"/>
        <w:ind w:firstLine="480" w:firstLineChars="200"/>
        <w:outlineLvl w:val="9"/>
        <w:rPr>
          <w:rFonts w:hint="eastAsia" w:ascii="宋体" w:hAnsi="宋体"/>
          <w:b/>
          <w:color w:val="auto"/>
        </w:rPr>
      </w:pPr>
      <w:r>
        <w:rPr>
          <w:rFonts w:hint="eastAsia" w:ascii="宋体" w:hAnsi="宋体"/>
          <w:color w:val="auto"/>
          <w:sz w:val="24"/>
        </w:rPr>
        <w:t>23.1</w:t>
      </w:r>
      <w:r>
        <w:rPr>
          <w:rFonts w:hint="eastAsia" w:ascii="宋体" w:hAnsi="宋体"/>
          <w:b/>
          <w:color w:val="auto"/>
          <w:sz w:val="24"/>
        </w:rPr>
        <w:t>响应文件均按A4复印纸页面编制、装订。所有响应文件均为明标。</w:t>
      </w:r>
    </w:p>
    <w:p>
      <w:pPr>
        <w:spacing w:line="360" w:lineRule="auto"/>
        <w:ind w:firstLine="480" w:firstLineChars="200"/>
        <w:rPr>
          <w:rFonts w:hint="eastAsia" w:ascii="宋体" w:hAnsi="宋体"/>
          <w:b/>
          <w:color w:val="auto"/>
          <w:sz w:val="24"/>
        </w:rPr>
      </w:pPr>
      <w:r>
        <w:rPr>
          <w:rFonts w:hint="eastAsia" w:ascii="宋体" w:hAnsi="宋体"/>
          <w:color w:val="auto"/>
          <w:sz w:val="24"/>
        </w:rPr>
        <w:t>23.2</w:t>
      </w:r>
      <w:r>
        <w:rPr>
          <w:rFonts w:hint="eastAsia" w:ascii="宋体" w:hAnsi="宋体"/>
          <w:b/>
          <w:color w:val="auto"/>
          <w:sz w:val="24"/>
        </w:rPr>
        <w:t>供应商应将响应文件装订、密封，并在密封处加盖供应商公章。</w:t>
      </w:r>
    </w:p>
    <w:p>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23.3响应文件密封袋上均应写明“采购人”、“项目名称”、“磋商文件编号”、“供应商名称”和“地址”等事项并注明“开启前不准启封”等字样。</w:t>
      </w:r>
    </w:p>
    <w:p>
      <w:pPr>
        <w:spacing w:line="360" w:lineRule="auto"/>
        <w:ind w:firstLine="480" w:firstLineChars="200"/>
        <w:rPr>
          <w:rFonts w:hint="eastAsia" w:ascii="宋体" w:hAnsi="宋体"/>
          <w:color w:val="auto"/>
        </w:rPr>
      </w:pPr>
      <w:r>
        <w:rPr>
          <w:rFonts w:hint="eastAsia" w:ascii="宋体" w:hAnsi="宋体"/>
          <w:color w:val="auto"/>
          <w:sz w:val="24"/>
        </w:rPr>
        <w:t>23.4未按本要求密封、标记的响应文件，采购人（或采购代理机构）不对后果负责。</w:t>
      </w:r>
    </w:p>
    <w:p>
      <w:pPr>
        <w:pStyle w:val="9"/>
        <w:spacing w:line="360" w:lineRule="auto"/>
        <w:ind w:firstLine="480" w:firstLineChars="200"/>
        <w:outlineLvl w:val="1"/>
        <w:rPr>
          <w:rFonts w:hint="eastAsia" w:hAnsi="宋体"/>
          <w:color w:val="auto"/>
          <w:sz w:val="24"/>
        </w:rPr>
      </w:pPr>
      <w:bookmarkStart w:id="157" w:name="_Toc233274836"/>
      <w:bookmarkStart w:id="158" w:name="_Toc5194"/>
      <w:bookmarkStart w:id="159" w:name="_Toc243906335"/>
      <w:bookmarkStart w:id="160" w:name="_Toc245897296"/>
      <w:bookmarkStart w:id="161" w:name="_Toc243907596"/>
      <w:r>
        <w:rPr>
          <w:rFonts w:hint="eastAsia" w:hAnsi="宋体"/>
          <w:color w:val="auto"/>
          <w:sz w:val="24"/>
        </w:rPr>
        <w:t>24、递交响应文件截止时间</w:t>
      </w:r>
      <w:bookmarkEnd w:id="157"/>
      <w:bookmarkEnd w:id="158"/>
      <w:bookmarkEnd w:id="159"/>
      <w:bookmarkEnd w:id="160"/>
      <w:bookmarkEnd w:id="161"/>
    </w:p>
    <w:p>
      <w:pPr>
        <w:pStyle w:val="9"/>
        <w:spacing w:line="360" w:lineRule="auto"/>
        <w:ind w:firstLine="480" w:firstLineChars="200"/>
        <w:rPr>
          <w:rFonts w:hint="eastAsia" w:hAnsi="宋体"/>
          <w:color w:val="auto"/>
          <w:sz w:val="24"/>
        </w:rPr>
      </w:pPr>
      <w:r>
        <w:rPr>
          <w:rFonts w:hint="eastAsia" w:hAnsi="宋体"/>
          <w:color w:val="auto"/>
          <w:sz w:val="24"/>
        </w:rPr>
        <w:t>24.1 所有响应文件都必须按采购人在供应商须知前附表中规定的截止时间之前送达。</w:t>
      </w:r>
    </w:p>
    <w:p>
      <w:pPr>
        <w:pStyle w:val="9"/>
        <w:spacing w:line="360" w:lineRule="auto"/>
        <w:ind w:firstLine="480" w:firstLineChars="200"/>
        <w:rPr>
          <w:rFonts w:hint="eastAsia" w:hAnsi="宋体"/>
          <w:color w:val="auto"/>
          <w:sz w:val="24"/>
        </w:rPr>
      </w:pPr>
      <w:r>
        <w:rPr>
          <w:rFonts w:hint="eastAsia" w:hAnsi="宋体"/>
          <w:color w:val="auto"/>
          <w:sz w:val="24"/>
        </w:rPr>
        <w:t>24.2出现因磋商文件的修改推迟截止日期时，则按采购代理机构修改通知规定的时间递交响应文件。在此情况下，采购人和采购代理机构与供应商之间受截止期制约的所有权利和义务应延长至新的截止期。</w:t>
      </w:r>
    </w:p>
    <w:p>
      <w:pPr>
        <w:pStyle w:val="9"/>
        <w:spacing w:line="360" w:lineRule="auto"/>
        <w:ind w:firstLine="480" w:firstLineChars="200"/>
        <w:outlineLvl w:val="1"/>
        <w:rPr>
          <w:rFonts w:hint="eastAsia" w:hAnsi="宋体"/>
          <w:color w:val="auto"/>
          <w:sz w:val="24"/>
        </w:rPr>
      </w:pPr>
      <w:bookmarkStart w:id="162" w:name="_Toc233274837"/>
      <w:bookmarkStart w:id="163" w:name="_Toc243906336"/>
      <w:bookmarkStart w:id="164" w:name="_Toc8325"/>
      <w:bookmarkStart w:id="165" w:name="_Toc245897297"/>
      <w:bookmarkStart w:id="166" w:name="_Toc243907597"/>
      <w:r>
        <w:rPr>
          <w:rFonts w:hint="eastAsia" w:hAnsi="宋体"/>
          <w:color w:val="auto"/>
          <w:sz w:val="24"/>
        </w:rPr>
        <w:t>25、迟交的响应文件</w:t>
      </w:r>
      <w:bookmarkEnd w:id="162"/>
      <w:bookmarkEnd w:id="163"/>
      <w:bookmarkEnd w:id="164"/>
      <w:bookmarkEnd w:id="165"/>
      <w:bookmarkEnd w:id="166"/>
    </w:p>
    <w:p>
      <w:pPr>
        <w:pStyle w:val="9"/>
        <w:spacing w:line="360" w:lineRule="auto"/>
        <w:ind w:firstLine="480" w:firstLineChars="200"/>
        <w:rPr>
          <w:rFonts w:hint="eastAsia" w:hAnsi="宋体"/>
          <w:color w:val="auto"/>
          <w:sz w:val="24"/>
        </w:rPr>
      </w:pPr>
      <w:r>
        <w:rPr>
          <w:rFonts w:hint="eastAsia" w:hAnsi="宋体"/>
          <w:color w:val="auto"/>
          <w:sz w:val="24"/>
        </w:rPr>
        <w:t>25.1 采购人将拒绝并原封退回在其规定的截止时间后送达的响应文件。</w:t>
      </w:r>
    </w:p>
    <w:p>
      <w:pPr>
        <w:pStyle w:val="9"/>
        <w:spacing w:line="360" w:lineRule="auto"/>
        <w:ind w:firstLine="480" w:firstLineChars="200"/>
        <w:outlineLvl w:val="1"/>
        <w:rPr>
          <w:rFonts w:hint="eastAsia" w:hAnsi="宋体"/>
          <w:color w:val="auto"/>
          <w:sz w:val="24"/>
        </w:rPr>
      </w:pPr>
      <w:bookmarkStart w:id="167" w:name="_Toc233274838"/>
      <w:bookmarkStart w:id="168" w:name="_Toc243906337"/>
      <w:bookmarkStart w:id="169" w:name="_Toc15548"/>
      <w:bookmarkStart w:id="170" w:name="_Toc245897298"/>
      <w:bookmarkStart w:id="171" w:name="_Toc243907598"/>
      <w:r>
        <w:rPr>
          <w:rFonts w:hint="eastAsia" w:hAnsi="宋体"/>
          <w:color w:val="auto"/>
          <w:sz w:val="24"/>
        </w:rPr>
        <w:t>26、响应文件的修改和撤回</w:t>
      </w:r>
      <w:bookmarkEnd w:id="167"/>
      <w:bookmarkEnd w:id="168"/>
      <w:bookmarkEnd w:id="169"/>
      <w:bookmarkEnd w:id="170"/>
      <w:bookmarkEnd w:id="171"/>
    </w:p>
    <w:p>
      <w:pPr>
        <w:pStyle w:val="9"/>
        <w:spacing w:line="360" w:lineRule="auto"/>
        <w:ind w:firstLine="480" w:firstLineChars="200"/>
        <w:rPr>
          <w:rFonts w:hint="eastAsia" w:hAnsi="宋体"/>
          <w:color w:val="auto"/>
          <w:sz w:val="24"/>
        </w:rPr>
      </w:pPr>
      <w:r>
        <w:rPr>
          <w:rFonts w:hint="eastAsia" w:hAnsi="宋体"/>
          <w:color w:val="auto"/>
          <w:sz w:val="24"/>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9"/>
        <w:spacing w:line="360" w:lineRule="auto"/>
        <w:ind w:firstLine="480" w:firstLineChars="200"/>
        <w:rPr>
          <w:rFonts w:hint="eastAsia" w:hAnsi="宋体"/>
          <w:color w:val="auto"/>
          <w:sz w:val="24"/>
        </w:rPr>
      </w:pPr>
      <w:r>
        <w:rPr>
          <w:rFonts w:hint="eastAsia" w:hAnsi="宋体"/>
          <w:color w:val="auto"/>
          <w:sz w:val="24"/>
        </w:rPr>
        <w:t>26.2 供应商对响应文件修改的书面材料或撤回的通知应按第22条和第23条规定进行编写、密封、标记和递交，并注明“修改响应文件”或“撤回响应文件”字样。</w:t>
      </w:r>
    </w:p>
    <w:p>
      <w:pPr>
        <w:pStyle w:val="9"/>
        <w:spacing w:line="360" w:lineRule="auto"/>
        <w:ind w:firstLine="480" w:firstLineChars="200"/>
        <w:rPr>
          <w:rFonts w:hint="eastAsia" w:hAnsi="宋体"/>
          <w:color w:val="auto"/>
          <w:sz w:val="24"/>
        </w:rPr>
      </w:pPr>
      <w:r>
        <w:rPr>
          <w:rFonts w:hint="eastAsia" w:hAnsi="宋体"/>
          <w:color w:val="auto"/>
          <w:sz w:val="24"/>
        </w:rPr>
        <w:t>25.3截止时间之后，供应商不得对响应文件做任何修改。</w:t>
      </w:r>
    </w:p>
    <w:p>
      <w:pPr>
        <w:pStyle w:val="9"/>
        <w:spacing w:line="360" w:lineRule="auto"/>
        <w:ind w:firstLine="480" w:firstLineChars="200"/>
        <w:rPr>
          <w:rFonts w:hint="eastAsia" w:hAnsi="宋体"/>
          <w:color w:val="auto"/>
          <w:sz w:val="24"/>
        </w:rPr>
      </w:pPr>
      <w:r>
        <w:rPr>
          <w:rFonts w:hint="eastAsia" w:hAnsi="宋体"/>
          <w:color w:val="auto"/>
          <w:sz w:val="24"/>
        </w:rPr>
        <w:t>25.4 供应商不得在截止时间起至响应文件有效期期满前撤回响应文件。</w:t>
      </w:r>
    </w:p>
    <w:p>
      <w:pPr>
        <w:spacing w:line="360" w:lineRule="auto"/>
        <w:ind w:firstLine="480" w:firstLineChars="200"/>
        <w:outlineLvl w:val="1"/>
        <w:rPr>
          <w:rFonts w:hint="eastAsia" w:ascii="宋体" w:hAnsi="宋体"/>
          <w:color w:val="auto"/>
          <w:sz w:val="24"/>
        </w:rPr>
      </w:pPr>
      <w:bookmarkStart w:id="172" w:name="_Toc243907599"/>
      <w:bookmarkStart w:id="173" w:name="_Toc29134"/>
      <w:bookmarkStart w:id="174" w:name="_Toc243906338"/>
      <w:bookmarkStart w:id="175" w:name="_Toc233274839"/>
      <w:bookmarkStart w:id="176" w:name="_Toc245897299"/>
      <w:r>
        <w:rPr>
          <w:rFonts w:hint="eastAsia" w:ascii="宋体" w:hAnsi="宋体"/>
          <w:color w:val="auto"/>
          <w:sz w:val="24"/>
        </w:rPr>
        <w:t>27、递交响应文件</w:t>
      </w:r>
      <w:bookmarkEnd w:id="172"/>
      <w:bookmarkEnd w:id="173"/>
      <w:bookmarkEnd w:id="174"/>
      <w:bookmarkEnd w:id="175"/>
      <w:bookmarkEnd w:id="176"/>
    </w:p>
    <w:p>
      <w:pPr>
        <w:spacing w:line="360" w:lineRule="auto"/>
        <w:ind w:firstLine="480" w:firstLineChars="200"/>
        <w:rPr>
          <w:rFonts w:hint="eastAsia" w:ascii="宋体" w:hAnsi="宋体"/>
          <w:color w:val="auto"/>
          <w:sz w:val="24"/>
        </w:rPr>
      </w:pPr>
      <w:r>
        <w:rPr>
          <w:rFonts w:hint="eastAsia" w:ascii="宋体" w:hAnsi="宋体"/>
          <w:color w:val="auto"/>
          <w:sz w:val="24"/>
        </w:rPr>
        <w:t>27.1供应商应按本供应商须知前附表第7项规定的时间及地点递交响应文件。</w:t>
      </w:r>
    </w:p>
    <w:p>
      <w:pPr>
        <w:spacing w:line="360" w:lineRule="auto"/>
        <w:ind w:firstLine="482" w:firstLineChars="200"/>
        <w:rPr>
          <w:rFonts w:hint="eastAsia" w:ascii="宋体" w:hAnsi="宋体"/>
          <w:b/>
          <w:color w:val="auto"/>
          <w:sz w:val="24"/>
        </w:rPr>
      </w:pPr>
      <w:r>
        <w:rPr>
          <w:rFonts w:hint="eastAsia" w:ascii="宋体" w:hAnsi="宋体"/>
          <w:b/>
          <w:color w:val="auto"/>
          <w:sz w:val="24"/>
        </w:rPr>
        <w:t>27.2有下列情形之一的，采购人不予接收其响应文件：</w:t>
      </w:r>
    </w:p>
    <w:p>
      <w:pPr>
        <w:spacing w:line="360" w:lineRule="auto"/>
        <w:ind w:firstLine="480" w:firstLineChars="200"/>
        <w:rPr>
          <w:rFonts w:hint="eastAsia" w:ascii="宋体" w:hAnsi="宋体"/>
          <w:color w:val="auto"/>
          <w:sz w:val="24"/>
        </w:rPr>
      </w:pPr>
      <w:r>
        <w:rPr>
          <w:rFonts w:hint="eastAsia" w:ascii="宋体" w:hAnsi="宋体"/>
          <w:color w:val="auto"/>
          <w:sz w:val="24"/>
        </w:rPr>
        <w:t>27.2.1供应商在递交响应文件截止时间后送达或未送达到指定地点的响应文件；</w:t>
      </w:r>
    </w:p>
    <w:p>
      <w:pPr>
        <w:spacing w:line="360" w:lineRule="auto"/>
        <w:ind w:firstLine="480" w:firstLineChars="200"/>
        <w:rPr>
          <w:rFonts w:hint="eastAsia" w:ascii="宋体" w:hAnsi="宋体"/>
          <w:color w:val="auto"/>
          <w:sz w:val="24"/>
        </w:rPr>
      </w:pPr>
      <w:r>
        <w:rPr>
          <w:rFonts w:hint="eastAsia" w:ascii="宋体" w:hAnsi="宋体"/>
          <w:color w:val="auto"/>
          <w:sz w:val="24"/>
        </w:rPr>
        <w:t>27.2.2 响应文件未按磋商文件要求密封的。</w:t>
      </w:r>
    </w:p>
    <w:p>
      <w:pPr>
        <w:spacing w:line="360" w:lineRule="auto"/>
        <w:ind w:firstLine="480" w:firstLineChars="200"/>
        <w:rPr>
          <w:rFonts w:hint="eastAsia" w:ascii="宋体" w:hAnsi="宋体"/>
          <w:color w:val="auto"/>
          <w:sz w:val="24"/>
        </w:rPr>
      </w:pPr>
    </w:p>
    <w:p>
      <w:pPr>
        <w:spacing w:line="360" w:lineRule="auto"/>
        <w:jc w:val="center"/>
        <w:outlineLvl w:val="1"/>
        <w:rPr>
          <w:rFonts w:hint="eastAsia" w:ascii="宋体" w:hAnsi="宋体"/>
          <w:b/>
          <w:color w:val="auto"/>
          <w:sz w:val="28"/>
        </w:rPr>
      </w:pPr>
      <w:bookmarkStart w:id="177" w:name="_Toc246216209"/>
      <w:bookmarkStart w:id="178" w:name="_Toc243907600"/>
      <w:bookmarkStart w:id="179" w:name="_Toc233274840"/>
      <w:bookmarkStart w:id="180" w:name="_Toc243906339"/>
      <w:bookmarkStart w:id="181" w:name="_Toc4134"/>
      <w:r>
        <w:rPr>
          <w:rFonts w:hint="eastAsia" w:ascii="宋体" w:hAnsi="宋体"/>
          <w:b/>
          <w:color w:val="auto"/>
          <w:sz w:val="28"/>
        </w:rPr>
        <w:t>E  磋商、评审、</w:t>
      </w:r>
      <w:bookmarkEnd w:id="177"/>
      <w:bookmarkEnd w:id="178"/>
      <w:bookmarkEnd w:id="179"/>
      <w:bookmarkEnd w:id="180"/>
      <w:r>
        <w:rPr>
          <w:rFonts w:hint="eastAsia" w:ascii="宋体" w:hAnsi="宋体"/>
          <w:b/>
          <w:color w:val="auto"/>
          <w:sz w:val="28"/>
        </w:rPr>
        <w:t>确定</w:t>
      </w:r>
      <w:r>
        <w:rPr>
          <w:rFonts w:hint="eastAsia" w:ascii="宋体" w:hAnsi="宋体"/>
          <w:b/>
          <w:color w:val="auto"/>
          <w:sz w:val="28"/>
          <w:lang w:val="en-US" w:eastAsia="zh-CN"/>
        </w:rPr>
        <w:t>成交</w:t>
      </w:r>
      <w:r>
        <w:rPr>
          <w:rFonts w:hint="eastAsia" w:ascii="宋体" w:hAnsi="宋体"/>
          <w:b/>
          <w:color w:val="auto"/>
          <w:sz w:val="28"/>
        </w:rPr>
        <w:t>供应商</w:t>
      </w:r>
      <w:bookmarkEnd w:id="181"/>
    </w:p>
    <w:p>
      <w:pPr>
        <w:spacing w:line="360" w:lineRule="auto"/>
        <w:jc w:val="center"/>
        <w:outlineLvl w:val="9"/>
        <w:rPr>
          <w:rFonts w:hint="eastAsia" w:ascii="宋体" w:hAnsi="宋体"/>
          <w:b/>
          <w:color w:val="auto"/>
          <w:sz w:val="28"/>
        </w:rPr>
      </w:pPr>
    </w:p>
    <w:p>
      <w:pPr>
        <w:spacing w:line="360" w:lineRule="auto"/>
        <w:ind w:firstLine="480" w:firstLineChars="200"/>
        <w:outlineLvl w:val="9"/>
        <w:rPr>
          <w:rFonts w:hint="eastAsia" w:ascii="宋体" w:hAnsi="宋体"/>
          <w:color w:val="auto"/>
          <w:sz w:val="24"/>
        </w:rPr>
      </w:pPr>
      <w:bookmarkStart w:id="182" w:name="_Toc243906340"/>
      <w:bookmarkStart w:id="183" w:name="_Toc245897301"/>
      <w:bookmarkStart w:id="184" w:name="_Toc233274841"/>
      <w:bookmarkStart w:id="185" w:name="_Toc243907601"/>
      <w:r>
        <w:rPr>
          <w:rFonts w:hint="eastAsia" w:ascii="宋体" w:hAnsi="宋体"/>
          <w:color w:val="auto"/>
          <w:sz w:val="24"/>
        </w:rPr>
        <w:t>28、</w:t>
      </w:r>
      <w:bookmarkEnd w:id="182"/>
      <w:bookmarkEnd w:id="183"/>
      <w:bookmarkEnd w:id="184"/>
      <w:bookmarkEnd w:id="185"/>
      <w:r>
        <w:rPr>
          <w:rFonts w:hint="eastAsia" w:ascii="宋体" w:hAnsi="宋体"/>
          <w:color w:val="auto"/>
          <w:sz w:val="24"/>
        </w:rPr>
        <w:t>磋商会议</w:t>
      </w:r>
    </w:p>
    <w:p>
      <w:pPr>
        <w:spacing w:line="360" w:lineRule="auto"/>
        <w:ind w:firstLine="480" w:firstLineChars="200"/>
        <w:rPr>
          <w:rFonts w:hint="eastAsia" w:ascii="宋体" w:hAnsi="宋体"/>
          <w:color w:val="auto"/>
          <w:sz w:val="24"/>
        </w:rPr>
      </w:pPr>
      <w:r>
        <w:rPr>
          <w:rFonts w:hint="eastAsia" w:ascii="宋体" w:hAnsi="宋体"/>
          <w:color w:val="auto"/>
          <w:sz w:val="24"/>
        </w:rPr>
        <w:t>28.1采购人在本供应商须知前附表第8项规定的时间和地点组织磋商会议。</w:t>
      </w:r>
    </w:p>
    <w:p>
      <w:pPr>
        <w:spacing w:line="360" w:lineRule="auto"/>
        <w:ind w:firstLine="480" w:firstLineChars="200"/>
        <w:rPr>
          <w:rFonts w:hint="eastAsia" w:ascii="宋体" w:hAnsi="宋体"/>
          <w:color w:val="auto"/>
          <w:sz w:val="24"/>
        </w:rPr>
      </w:pPr>
      <w:r>
        <w:rPr>
          <w:rFonts w:hint="eastAsia" w:ascii="宋体" w:hAnsi="宋体"/>
          <w:color w:val="auto"/>
          <w:sz w:val="24"/>
        </w:rPr>
        <w:t>28.2供应商应委派代表参加磋商会议。</w:t>
      </w:r>
      <w:r>
        <w:rPr>
          <w:rFonts w:hint="eastAsia" w:ascii="宋体" w:hAnsi="宋体"/>
          <w:b/>
          <w:color w:val="auto"/>
          <w:sz w:val="24"/>
        </w:rPr>
        <w:t>参加磋商会议的代表应持有法定代表人身份证原件或法定代表人授权委托书及委托代理人身份证原件</w:t>
      </w:r>
      <w:r>
        <w:rPr>
          <w:rFonts w:hint="eastAsia" w:ascii="宋体" w:hAnsi="宋体"/>
          <w:b/>
          <w:color w:val="auto"/>
          <w:sz w:val="24"/>
          <w:lang w:val="en-US" w:eastAsia="zh-CN"/>
        </w:rPr>
        <w:t>及投标须知前附表中规定的其他所有证件</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28.3磋商会议由采购代理机构组织并主持。</w:t>
      </w:r>
    </w:p>
    <w:p>
      <w:pPr>
        <w:spacing w:line="360" w:lineRule="auto"/>
        <w:ind w:firstLine="480" w:firstLineChars="200"/>
        <w:rPr>
          <w:rFonts w:hint="eastAsia" w:ascii="宋体" w:hAnsi="宋体"/>
          <w:color w:val="auto"/>
          <w:sz w:val="24"/>
        </w:rPr>
      </w:pPr>
      <w:r>
        <w:rPr>
          <w:rFonts w:hint="eastAsia" w:ascii="宋体" w:hAnsi="宋体"/>
          <w:color w:val="auto"/>
          <w:sz w:val="24"/>
        </w:rPr>
        <w:t>28.4在磋商过程中，工作人员如发现响应文件组成部分不齐全，由磋商小组认定其有效性。磋商小组认定的无效响应文件将不进入磋商、评审阶段。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color w:val="auto"/>
          <w:sz w:val="24"/>
        </w:rPr>
      </w:pPr>
      <w:bookmarkStart w:id="186" w:name="_Toc11372"/>
      <w:bookmarkStart w:id="187" w:name="_Toc245897302"/>
      <w:bookmarkStart w:id="188" w:name="_Toc243906341"/>
      <w:bookmarkStart w:id="189" w:name="_Toc233274842"/>
      <w:bookmarkStart w:id="190" w:name="_Toc243907602"/>
      <w:r>
        <w:rPr>
          <w:rFonts w:hint="eastAsia" w:ascii="宋体" w:hAnsi="宋体"/>
          <w:color w:val="auto"/>
          <w:sz w:val="24"/>
        </w:rPr>
        <w:t>29、磋商小组</w:t>
      </w:r>
      <w:bookmarkEnd w:id="186"/>
      <w:bookmarkEnd w:id="187"/>
      <w:bookmarkEnd w:id="188"/>
      <w:bookmarkEnd w:id="189"/>
      <w:bookmarkEnd w:id="190"/>
    </w:p>
    <w:p>
      <w:pPr>
        <w:widowControl/>
        <w:spacing w:line="360" w:lineRule="auto"/>
        <w:ind w:firstLine="480" w:firstLineChars="200"/>
        <w:rPr>
          <w:rFonts w:hint="eastAsia" w:ascii="宋体" w:hAnsi="宋体"/>
          <w:color w:val="auto"/>
          <w:sz w:val="24"/>
        </w:rPr>
      </w:pPr>
      <w:r>
        <w:rPr>
          <w:rFonts w:hint="eastAsia" w:ascii="宋体" w:hAnsi="宋体"/>
          <w:color w:val="auto"/>
          <w:sz w:val="24"/>
        </w:rPr>
        <w:t>29.1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w:t>
      </w:r>
      <w:r>
        <w:rPr>
          <w:rFonts w:hint="eastAsia" w:ascii="宋体" w:hAnsi="宋体"/>
          <w:color w:val="auto"/>
          <w:sz w:val="24"/>
          <w:lang w:eastAsia="zh-CN"/>
        </w:rPr>
        <w:t>成交</w:t>
      </w:r>
      <w:r>
        <w:rPr>
          <w:rFonts w:hint="eastAsia" w:ascii="宋体" w:hAnsi="宋体"/>
          <w:color w:val="auto"/>
          <w:sz w:val="24"/>
        </w:rPr>
        <w:t>供应商。</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30、磋商</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30.3供应商应当按照磋商文件的变动情况和磋商小组的要求重新提交响应文件，并由其法定代表或委托代理人签字或者加盖公章。由委托代理人签字的，应当附法定代表授权书。</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30.6已提交响应文件的供应商，在提交最后报价之前，可以根据磋商情况退出磋商。</w:t>
      </w:r>
    </w:p>
    <w:p>
      <w:pPr>
        <w:spacing w:line="360" w:lineRule="auto"/>
        <w:ind w:firstLine="480" w:firstLineChars="200"/>
        <w:rPr>
          <w:rFonts w:hint="eastAsia" w:ascii="宋体" w:hAnsi="宋体"/>
          <w:color w:val="auto"/>
          <w:sz w:val="24"/>
        </w:rPr>
      </w:pPr>
      <w:r>
        <w:rPr>
          <w:rFonts w:hint="eastAsia" w:ascii="宋体" w:hAnsi="宋体"/>
          <w:color w:val="auto"/>
          <w:sz w:val="24"/>
        </w:rPr>
        <w:t>30.7磋商小组判断响应文件的响应性仅基于响应文件本身而不依靠任何外部证据，但响应文件有不真实、不正确的内容除外。</w:t>
      </w:r>
    </w:p>
    <w:p>
      <w:pPr>
        <w:spacing w:line="360" w:lineRule="auto"/>
        <w:ind w:firstLine="480" w:firstLineChars="200"/>
        <w:rPr>
          <w:rFonts w:hint="eastAsia" w:ascii="宋体" w:hAnsi="宋体"/>
          <w:color w:val="auto"/>
          <w:sz w:val="24"/>
        </w:rPr>
      </w:pPr>
      <w:r>
        <w:rPr>
          <w:rFonts w:hint="eastAsia" w:ascii="宋体" w:hAnsi="宋体"/>
          <w:color w:val="auto"/>
          <w:sz w:val="24"/>
        </w:rPr>
        <w:t>30.8如果响应文件实质上没有响应磋商文件的要求，磋商小组将予以拒绝，供应商不得通过修正或撤消不符合要求的偏离或保留，而使其成为实质上响应。</w:t>
      </w:r>
    </w:p>
    <w:p>
      <w:pPr>
        <w:spacing w:line="360" w:lineRule="auto"/>
        <w:ind w:firstLine="480" w:firstLineChars="200"/>
        <w:outlineLvl w:val="1"/>
        <w:rPr>
          <w:rFonts w:hint="eastAsia" w:ascii="宋体" w:hAnsi="宋体"/>
          <w:color w:val="auto"/>
          <w:sz w:val="24"/>
        </w:rPr>
      </w:pPr>
      <w:bookmarkStart w:id="191" w:name="_Toc243907605"/>
      <w:bookmarkStart w:id="192" w:name="_Toc243906344"/>
      <w:bookmarkStart w:id="193" w:name="_Toc245897304"/>
      <w:bookmarkStart w:id="194" w:name="_Toc8670"/>
      <w:bookmarkStart w:id="195" w:name="_Toc233274843"/>
      <w:bookmarkStart w:id="196" w:name="_Toc224620150"/>
      <w:bookmarkStart w:id="197" w:name="_Toc224624767"/>
      <w:bookmarkStart w:id="198" w:name="_Toc243907606"/>
      <w:bookmarkStart w:id="199" w:name="_Toc224623451"/>
      <w:bookmarkStart w:id="200" w:name="_Toc224622928"/>
      <w:bookmarkStart w:id="201" w:name="_Toc224624628"/>
      <w:bookmarkStart w:id="202" w:name="_Toc224624488"/>
      <w:bookmarkStart w:id="203" w:name="_Toc224620071"/>
      <w:bookmarkStart w:id="204" w:name="_Toc224623557"/>
      <w:bookmarkStart w:id="205" w:name="_Toc243906345"/>
      <w:bookmarkStart w:id="206" w:name="_Toc224623663"/>
      <w:bookmarkStart w:id="207" w:name="_Toc245897305"/>
      <w:r>
        <w:rPr>
          <w:rFonts w:hint="eastAsia" w:ascii="宋体" w:hAnsi="宋体"/>
          <w:color w:val="auto"/>
          <w:sz w:val="24"/>
        </w:rPr>
        <w:t>31、评审</w:t>
      </w:r>
      <w:bookmarkEnd w:id="191"/>
      <w:bookmarkEnd w:id="192"/>
      <w:bookmarkEnd w:id="193"/>
      <w:bookmarkEnd w:id="194"/>
      <w:bookmarkEnd w:id="195"/>
    </w:p>
    <w:p>
      <w:pPr>
        <w:spacing w:line="360" w:lineRule="auto"/>
        <w:ind w:firstLine="480" w:firstLineChars="200"/>
        <w:outlineLvl w:val="1"/>
        <w:rPr>
          <w:rFonts w:hint="eastAsia" w:ascii="宋体" w:hAnsi="宋体"/>
          <w:b/>
          <w:color w:val="auto"/>
          <w:sz w:val="24"/>
        </w:rPr>
      </w:pPr>
      <w:bookmarkStart w:id="208" w:name="_Toc4648"/>
      <w:r>
        <w:rPr>
          <w:rFonts w:hint="eastAsia" w:ascii="宋体" w:hAnsi="宋体"/>
          <w:color w:val="auto"/>
          <w:sz w:val="24"/>
        </w:rPr>
        <w:t>31.1经磋商确定最终采购需求和提交最后报价的供应商后，</w:t>
      </w:r>
      <w:r>
        <w:rPr>
          <w:rFonts w:hint="eastAsia" w:ascii="宋体" w:hAnsi="宋体"/>
          <w:b/>
          <w:color w:val="auto"/>
          <w:sz w:val="24"/>
        </w:rPr>
        <w:t>由磋商小组采用综合评分法对提交最后报价的供应商响应文件和最后报价进行综合评分。</w:t>
      </w:r>
      <w:bookmarkEnd w:id="208"/>
    </w:p>
    <w:p>
      <w:pPr>
        <w:spacing w:line="360" w:lineRule="auto"/>
        <w:ind w:firstLine="480" w:firstLineChars="200"/>
        <w:rPr>
          <w:rFonts w:hint="eastAsia" w:ascii="宋体" w:hAnsi="宋体"/>
          <w:color w:val="auto"/>
          <w:sz w:val="24"/>
        </w:rPr>
      </w:pPr>
      <w:r>
        <w:rPr>
          <w:rFonts w:hint="eastAsia" w:ascii="宋体" w:hAnsi="宋体"/>
          <w:color w:val="auto"/>
          <w:sz w:val="24"/>
        </w:rPr>
        <w:t>31.2磋商小组将对实质性响应磋商文件的响应文件进行详细评审和比较。对服务、价格等进行比较，并与磋商文件、项目采购需求及合同条款和采购人的实际需要进行比较和评价。</w:t>
      </w:r>
    </w:p>
    <w:p>
      <w:pPr>
        <w:spacing w:line="360" w:lineRule="auto"/>
        <w:ind w:firstLine="480" w:firstLineChars="200"/>
        <w:rPr>
          <w:rFonts w:hint="eastAsia" w:ascii="宋体" w:hAnsi="宋体"/>
          <w:color w:val="auto"/>
          <w:sz w:val="24"/>
        </w:rPr>
      </w:pPr>
      <w:r>
        <w:rPr>
          <w:rFonts w:hint="eastAsia" w:ascii="宋体" w:hAnsi="宋体"/>
          <w:color w:val="auto"/>
          <w:sz w:val="24"/>
        </w:rPr>
        <w:t>31.3商务报价错误的修正</w:t>
      </w:r>
    </w:p>
    <w:p>
      <w:pPr>
        <w:spacing w:line="360" w:lineRule="auto"/>
        <w:ind w:firstLine="480" w:firstLineChars="200"/>
        <w:rPr>
          <w:rFonts w:hint="eastAsia" w:ascii="宋体" w:hAnsi="宋体"/>
          <w:color w:val="auto"/>
          <w:sz w:val="24"/>
        </w:rPr>
      </w:pPr>
      <w:r>
        <w:rPr>
          <w:rFonts w:hint="eastAsia" w:ascii="宋体" w:hAnsi="宋体"/>
          <w:color w:val="auto"/>
          <w:sz w:val="24"/>
        </w:rPr>
        <w:t>如果发现商务报价存在计算或表达上错误，则按下列原则进行修正：</w:t>
      </w:r>
    </w:p>
    <w:p>
      <w:pPr>
        <w:spacing w:line="360" w:lineRule="auto"/>
        <w:ind w:firstLine="480" w:firstLineChars="200"/>
        <w:rPr>
          <w:rFonts w:hint="eastAsia" w:ascii="宋体" w:hAnsi="宋体"/>
          <w:color w:val="auto"/>
          <w:sz w:val="24"/>
        </w:rPr>
      </w:pPr>
      <w:r>
        <w:rPr>
          <w:rFonts w:hint="eastAsia" w:ascii="宋体" w:hAnsi="宋体"/>
          <w:color w:val="auto"/>
          <w:sz w:val="24"/>
        </w:rPr>
        <w:t>（1）用数字表示的数额与用文字表示的数额不一致时，以文字数额为准；</w:t>
      </w:r>
    </w:p>
    <w:p>
      <w:pPr>
        <w:spacing w:line="360" w:lineRule="auto"/>
        <w:ind w:firstLine="480" w:firstLineChars="200"/>
        <w:rPr>
          <w:rFonts w:hint="eastAsia" w:ascii="宋体" w:hAnsi="宋体"/>
          <w:color w:val="auto"/>
          <w:sz w:val="24"/>
        </w:rPr>
      </w:pPr>
      <w:r>
        <w:rPr>
          <w:rFonts w:hint="eastAsia" w:ascii="宋体" w:hAnsi="宋体"/>
          <w:color w:val="auto"/>
          <w:sz w:val="24"/>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color w:val="auto"/>
          <w:sz w:val="24"/>
        </w:rPr>
      </w:pPr>
      <w:r>
        <w:rPr>
          <w:rFonts w:hint="eastAsia" w:ascii="宋体" w:hAnsi="宋体"/>
          <w:color w:val="auto"/>
          <w:sz w:val="24"/>
        </w:rPr>
        <w:t>31.4磋商小组将按第30.3条原则修正商务报价，并要求供应商进行确认。确认后的报价和文件将对供应商具有约束力。并以修正后的报价作为评审的依据。</w:t>
      </w:r>
    </w:p>
    <w:bookmarkEnd w:id="196"/>
    <w:bookmarkEnd w:id="197"/>
    <w:bookmarkEnd w:id="198"/>
    <w:bookmarkEnd w:id="199"/>
    <w:bookmarkEnd w:id="200"/>
    <w:bookmarkEnd w:id="201"/>
    <w:bookmarkEnd w:id="202"/>
    <w:bookmarkEnd w:id="203"/>
    <w:bookmarkEnd w:id="204"/>
    <w:bookmarkEnd w:id="205"/>
    <w:bookmarkEnd w:id="206"/>
    <w:bookmarkEnd w:id="207"/>
    <w:p>
      <w:pPr>
        <w:spacing w:line="360" w:lineRule="auto"/>
        <w:ind w:firstLine="480" w:firstLineChars="200"/>
        <w:outlineLvl w:val="1"/>
        <w:rPr>
          <w:rFonts w:hint="eastAsia" w:ascii="宋体" w:hAnsi="宋体"/>
          <w:color w:val="auto"/>
        </w:rPr>
      </w:pPr>
      <w:bookmarkStart w:id="209" w:name="_Toc282"/>
      <w:bookmarkStart w:id="210" w:name="_Toc243906346"/>
      <w:bookmarkStart w:id="211" w:name="_Toc243907607"/>
      <w:bookmarkStart w:id="212" w:name="_Toc245897306"/>
      <w:bookmarkStart w:id="213" w:name="_Toc233274845"/>
      <w:r>
        <w:rPr>
          <w:rFonts w:hint="eastAsia" w:ascii="宋体" w:hAnsi="宋体"/>
          <w:color w:val="auto"/>
          <w:sz w:val="24"/>
        </w:rPr>
        <w:t>32、响应文件的澄清</w:t>
      </w:r>
      <w:bookmarkEnd w:id="209"/>
    </w:p>
    <w:p>
      <w:pPr>
        <w:spacing w:line="360" w:lineRule="auto"/>
        <w:ind w:firstLine="480" w:firstLineChars="200"/>
        <w:rPr>
          <w:rFonts w:hint="eastAsia" w:ascii="宋体" w:hAnsi="宋体"/>
          <w:color w:val="auto"/>
          <w:sz w:val="24"/>
        </w:rPr>
      </w:pPr>
      <w:r>
        <w:rPr>
          <w:rFonts w:hint="eastAsia" w:ascii="宋体" w:hAnsi="宋体"/>
          <w:color w:val="auto"/>
          <w:sz w:val="24"/>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hint="eastAsia" w:ascii="宋体" w:hAnsi="宋体"/>
          <w:color w:val="auto"/>
          <w:sz w:val="24"/>
        </w:rPr>
      </w:pPr>
      <w:r>
        <w:rPr>
          <w:rFonts w:hint="eastAsia" w:ascii="宋体" w:hAnsi="宋体"/>
          <w:color w:val="auto"/>
          <w:sz w:val="24"/>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color w:val="auto"/>
          <w:sz w:val="24"/>
        </w:rPr>
      </w:pPr>
      <w:r>
        <w:rPr>
          <w:rFonts w:hint="eastAsia" w:ascii="宋体" w:hAnsi="宋体"/>
          <w:color w:val="auto"/>
          <w:sz w:val="24"/>
        </w:rPr>
        <w:t>32.3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color w:val="auto"/>
          <w:sz w:val="24"/>
        </w:rPr>
      </w:pPr>
      <w:r>
        <w:rPr>
          <w:rFonts w:hint="eastAsia" w:ascii="宋体" w:hAnsi="宋体"/>
          <w:b/>
          <w:color w:val="auto"/>
          <w:sz w:val="24"/>
        </w:rPr>
        <w:t>32.4如果供应商在响应文件中未对磋商文件、技术规格及标准、项目采购需求及合同条款等提出偏离意见或澄清，将视同供应商同意上述文件的全部条款和要求。</w:t>
      </w:r>
    </w:p>
    <w:p>
      <w:pPr>
        <w:spacing w:line="360" w:lineRule="auto"/>
        <w:ind w:firstLine="482" w:firstLineChars="200"/>
        <w:outlineLvl w:val="1"/>
        <w:rPr>
          <w:rFonts w:hint="eastAsia" w:ascii="宋体" w:hAnsi="宋体"/>
          <w:color w:val="auto"/>
          <w:sz w:val="24"/>
        </w:rPr>
      </w:pPr>
      <w:bookmarkStart w:id="214" w:name="_Toc8137"/>
      <w:r>
        <w:rPr>
          <w:rFonts w:hint="eastAsia" w:ascii="宋体" w:hAnsi="宋体"/>
          <w:b/>
          <w:color w:val="auto"/>
          <w:sz w:val="24"/>
        </w:rPr>
        <w:t>33、重大偏离</w:t>
      </w:r>
      <w:bookmarkEnd w:id="210"/>
      <w:bookmarkEnd w:id="211"/>
      <w:bookmarkEnd w:id="212"/>
      <w:bookmarkEnd w:id="213"/>
      <w:bookmarkEnd w:id="214"/>
    </w:p>
    <w:p>
      <w:pPr>
        <w:spacing w:line="360" w:lineRule="auto"/>
        <w:ind w:firstLine="482" w:firstLineChars="200"/>
        <w:rPr>
          <w:rFonts w:hint="eastAsia" w:ascii="宋体" w:hAnsi="宋体"/>
          <w:b/>
          <w:color w:val="auto"/>
          <w:sz w:val="24"/>
        </w:rPr>
      </w:pPr>
      <w:bookmarkStart w:id="215" w:name="_Toc243906347"/>
      <w:bookmarkStart w:id="216" w:name="_Toc233274846"/>
      <w:bookmarkStart w:id="217" w:name="_Toc245897307"/>
      <w:bookmarkStart w:id="218" w:name="_Toc243907608"/>
      <w:r>
        <w:rPr>
          <w:rFonts w:hint="eastAsia" w:ascii="宋体" w:hAnsi="宋体"/>
          <w:b/>
          <w:color w:val="auto"/>
          <w:sz w:val="24"/>
        </w:rPr>
        <w:t>重大偏离是指实质上影响合同的供货范围、质量和性能、</w:t>
      </w:r>
      <w:r>
        <w:rPr>
          <w:rFonts w:hint="eastAsia" w:ascii="宋体" w:hAnsi="宋体"/>
          <w:b/>
          <w:color w:val="auto"/>
          <w:sz w:val="24"/>
          <w:lang w:val="en-US" w:eastAsia="zh-CN"/>
        </w:rPr>
        <w:t>履约</w:t>
      </w:r>
      <w:r>
        <w:rPr>
          <w:rFonts w:hint="eastAsia" w:ascii="宋体" w:hAnsi="宋体"/>
          <w:b/>
          <w:color w:val="auto"/>
          <w:sz w:val="24"/>
        </w:rPr>
        <w:t>期限等，或者实质上不满足磋商文件的要求，而且限制了采购人的权力或减轻了供应商的义务。纠正或承认这些偏离将会对其他实质上响应要求的供应商合理的竞争地位产生不公正的影响。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b/>
          <w:color w:val="auto"/>
          <w:sz w:val="24"/>
        </w:rPr>
      </w:pPr>
      <w:bookmarkStart w:id="219" w:name="_Toc16473"/>
      <w:r>
        <w:rPr>
          <w:rFonts w:hint="eastAsia" w:ascii="宋体" w:hAnsi="宋体"/>
          <w:b/>
          <w:color w:val="auto"/>
          <w:sz w:val="24"/>
        </w:rPr>
        <w:t>34、</w:t>
      </w:r>
      <w:bookmarkEnd w:id="215"/>
      <w:bookmarkEnd w:id="216"/>
      <w:bookmarkEnd w:id="217"/>
      <w:bookmarkEnd w:id="218"/>
      <w:r>
        <w:rPr>
          <w:rFonts w:hint="eastAsia" w:ascii="宋体" w:hAnsi="宋体"/>
          <w:b/>
          <w:color w:val="auto"/>
          <w:sz w:val="24"/>
        </w:rPr>
        <w:t>无效响应文件</w:t>
      </w:r>
      <w:bookmarkEnd w:id="219"/>
    </w:p>
    <w:p>
      <w:pPr>
        <w:spacing w:line="360" w:lineRule="auto"/>
        <w:ind w:firstLine="482" w:firstLineChars="200"/>
        <w:rPr>
          <w:rFonts w:hint="eastAsia" w:ascii="宋体" w:hAnsi="宋体"/>
          <w:b/>
          <w:color w:val="auto"/>
          <w:sz w:val="24"/>
        </w:rPr>
      </w:pPr>
      <w:r>
        <w:rPr>
          <w:rFonts w:hint="eastAsia" w:ascii="宋体" w:hAnsi="宋体"/>
          <w:b/>
          <w:color w:val="auto"/>
          <w:sz w:val="24"/>
        </w:rPr>
        <w:t>响应文件有下列情形之一的，由磋商小组评审后按无效响应文件处理：</w:t>
      </w:r>
    </w:p>
    <w:p>
      <w:pPr>
        <w:spacing w:line="360" w:lineRule="auto"/>
        <w:ind w:firstLine="480" w:firstLineChars="200"/>
        <w:rPr>
          <w:rFonts w:hint="eastAsia" w:ascii="宋体" w:hAnsi="宋体"/>
          <w:color w:val="auto"/>
          <w:sz w:val="24"/>
        </w:rPr>
      </w:pPr>
      <w:r>
        <w:rPr>
          <w:rFonts w:hint="eastAsia" w:ascii="宋体" w:hAnsi="宋体"/>
          <w:color w:val="auto"/>
          <w:sz w:val="24"/>
        </w:rPr>
        <w:t>34.1</w:t>
      </w:r>
      <w:r>
        <w:rPr>
          <w:rFonts w:hint="eastAsia" w:ascii="宋体" w:hAnsi="宋体"/>
          <w:b/>
          <w:color w:val="auto"/>
          <w:kern w:val="0"/>
          <w:sz w:val="24"/>
        </w:rPr>
        <w:t>供应商的商务报价高于采购项目预算；</w:t>
      </w:r>
    </w:p>
    <w:p>
      <w:pPr>
        <w:spacing w:line="360" w:lineRule="auto"/>
        <w:ind w:firstLine="480" w:firstLineChars="200"/>
        <w:rPr>
          <w:rFonts w:hint="eastAsia" w:ascii="宋体" w:hAnsi="宋体"/>
          <w:color w:val="auto"/>
          <w:sz w:val="24"/>
        </w:rPr>
      </w:pPr>
      <w:r>
        <w:rPr>
          <w:rFonts w:hint="eastAsia" w:ascii="宋体" w:hAnsi="宋体"/>
          <w:color w:val="auto"/>
          <w:sz w:val="24"/>
        </w:rPr>
        <w:t>34.2响应文件附有采购人不能接受条件的；</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34.3出现重大偏离的；</w:t>
      </w:r>
    </w:p>
    <w:p>
      <w:pPr>
        <w:widowControl/>
        <w:spacing w:line="360" w:lineRule="auto"/>
        <w:ind w:firstLine="480" w:firstLineChars="200"/>
        <w:rPr>
          <w:rFonts w:hint="eastAsia" w:ascii="宋体" w:hAnsi="宋体"/>
          <w:color w:val="auto"/>
          <w:sz w:val="24"/>
        </w:rPr>
      </w:pPr>
      <w:r>
        <w:rPr>
          <w:rFonts w:hint="eastAsia" w:ascii="宋体" w:hAnsi="宋体"/>
          <w:color w:val="auto"/>
          <w:sz w:val="24"/>
        </w:rPr>
        <w:t>34.4对磋商文件提出的实质性要求和条件未能实质性响应；</w:t>
      </w:r>
    </w:p>
    <w:p>
      <w:pPr>
        <w:spacing w:line="360" w:lineRule="auto"/>
        <w:ind w:firstLine="480" w:firstLineChars="200"/>
        <w:rPr>
          <w:rFonts w:hint="eastAsia" w:ascii="宋体" w:hAnsi="宋体"/>
          <w:color w:val="auto"/>
          <w:sz w:val="24"/>
        </w:rPr>
      </w:pPr>
      <w:r>
        <w:rPr>
          <w:rFonts w:hint="eastAsia" w:ascii="宋体" w:hAnsi="宋体"/>
          <w:color w:val="auto"/>
          <w:sz w:val="24"/>
        </w:rPr>
        <w:t>34.5《中华人民共和国政府采购法》、《中华人民共和国政府采购实施条例》、《政府采购竞争性磋商采购方式管理暂行办法》及相关法律法规及磋商文件明确规定可以作无效响应的其他情形。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b/>
          <w:color w:val="auto"/>
          <w:sz w:val="24"/>
        </w:rPr>
      </w:pPr>
      <w:bookmarkStart w:id="220" w:name="_Toc233274847"/>
      <w:bookmarkStart w:id="221" w:name="_Toc243907609"/>
      <w:bookmarkStart w:id="222" w:name="_Toc243906348"/>
      <w:bookmarkStart w:id="223" w:name="_Toc245897308"/>
      <w:bookmarkStart w:id="224" w:name="_Toc27457"/>
      <w:r>
        <w:rPr>
          <w:rFonts w:hint="eastAsia" w:ascii="宋体" w:hAnsi="宋体"/>
          <w:b/>
          <w:color w:val="auto"/>
          <w:sz w:val="24"/>
        </w:rPr>
        <w:t>35、评审</w:t>
      </w:r>
      <w:bookmarkEnd w:id="220"/>
      <w:bookmarkEnd w:id="221"/>
      <w:bookmarkEnd w:id="222"/>
      <w:bookmarkEnd w:id="223"/>
      <w:r>
        <w:rPr>
          <w:rFonts w:hint="eastAsia" w:ascii="宋体" w:hAnsi="宋体"/>
          <w:b/>
          <w:color w:val="auto"/>
          <w:sz w:val="24"/>
        </w:rPr>
        <w:t>标准</w:t>
      </w:r>
      <w:bookmarkEnd w:id="224"/>
    </w:p>
    <w:p>
      <w:pPr>
        <w:spacing w:line="360" w:lineRule="auto"/>
        <w:ind w:firstLine="482" w:firstLineChars="200"/>
        <w:rPr>
          <w:rFonts w:hint="eastAsia" w:ascii="宋体" w:hAnsi="宋体"/>
          <w:color w:val="auto"/>
          <w:sz w:val="24"/>
        </w:rPr>
      </w:pPr>
      <w:r>
        <w:rPr>
          <w:rFonts w:hint="eastAsia" w:ascii="宋体" w:hAnsi="宋体"/>
          <w:b/>
          <w:color w:val="auto"/>
          <w:sz w:val="24"/>
        </w:rPr>
        <w:t>35.1</w:t>
      </w:r>
      <w:r>
        <w:rPr>
          <w:rFonts w:hint="eastAsia" w:ascii="宋体" w:hAnsi="宋体"/>
          <w:color w:val="auto"/>
          <w:sz w:val="24"/>
        </w:rPr>
        <w:t>本项目评审</w:t>
      </w:r>
      <w:r>
        <w:rPr>
          <w:rFonts w:hint="eastAsia" w:ascii="宋体" w:hAnsi="宋体"/>
          <w:b/>
          <w:color w:val="auto"/>
          <w:sz w:val="24"/>
        </w:rPr>
        <w:t>采用综合评分法</w:t>
      </w:r>
      <w:r>
        <w:rPr>
          <w:rFonts w:hint="eastAsia" w:ascii="宋体" w:hAnsi="宋体"/>
          <w:color w:val="auto"/>
          <w:sz w:val="24"/>
        </w:rPr>
        <w:t>，严格按照磋商文件的要求和条件进行。</w:t>
      </w:r>
    </w:p>
    <w:p>
      <w:pPr>
        <w:spacing w:line="360" w:lineRule="auto"/>
        <w:ind w:firstLine="482" w:firstLineChars="200"/>
        <w:rPr>
          <w:rFonts w:hint="eastAsia" w:ascii="宋体" w:hAnsi="宋体"/>
          <w:b/>
          <w:color w:val="auto"/>
          <w:sz w:val="24"/>
        </w:rPr>
      </w:pPr>
      <w:r>
        <w:rPr>
          <w:rFonts w:hint="eastAsia" w:ascii="宋体" w:hAnsi="宋体"/>
          <w:b/>
          <w:color w:val="auto"/>
          <w:sz w:val="24"/>
        </w:rPr>
        <w:t>35.2信用查询</w:t>
      </w:r>
    </w:p>
    <w:p>
      <w:pPr>
        <w:spacing w:line="360" w:lineRule="auto"/>
        <w:ind w:firstLine="482" w:firstLineChars="200"/>
        <w:rPr>
          <w:rFonts w:hint="eastAsia" w:ascii="宋体" w:hAnsi="宋体" w:eastAsia="宋体"/>
          <w:b/>
          <w:color w:val="auto"/>
          <w:sz w:val="24"/>
          <w:lang w:eastAsia="zh-CN"/>
        </w:rPr>
      </w:pPr>
      <w:r>
        <w:rPr>
          <w:rFonts w:hint="eastAsia" w:ascii="宋体" w:hAnsi="宋体"/>
          <w:b/>
          <w:color w:val="auto"/>
          <w:sz w:val="24"/>
        </w:rPr>
        <w:t>按照《财政部关于在政府采购活动中查询及使用信用记录有关问题的通知》（财库〔2016〕125号）的要求，</w:t>
      </w:r>
      <w:r>
        <w:rPr>
          <w:rFonts w:hint="eastAsia" w:ascii="宋体" w:hAnsi="宋体"/>
          <w:b/>
          <w:color w:val="auto"/>
          <w:sz w:val="24"/>
          <w:lang w:val="en-US" w:eastAsia="zh-CN"/>
        </w:rPr>
        <w:t>在</w:t>
      </w:r>
      <w:r>
        <w:rPr>
          <w:rFonts w:hint="eastAsia" w:ascii="宋体" w:hAnsi="宋体"/>
          <w:b/>
          <w:color w:val="auto"/>
          <w:sz w:val="24"/>
        </w:rPr>
        <w:t>“信用中国”网站（</w:t>
      </w:r>
      <w:r>
        <w:rPr>
          <w:rFonts w:hint="eastAsia" w:ascii="宋体" w:hAnsi="宋体"/>
          <w:color w:val="auto"/>
        </w:rPr>
        <w:fldChar w:fldCharType="begin"/>
      </w:r>
      <w:r>
        <w:rPr>
          <w:rFonts w:hint="eastAsia" w:ascii="宋体" w:hAnsi="宋体"/>
          <w:color w:val="auto"/>
        </w:rPr>
        <w:instrText xml:space="preserve">HYPERLINK "qq://txfile/"</w:instrText>
      </w:r>
      <w:r>
        <w:rPr>
          <w:rFonts w:hint="eastAsia" w:ascii="宋体" w:hAnsi="宋体"/>
          <w:color w:val="auto"/>
        </w:rPr>
        <w:fldChar w:fldCharType="separate"/>
      </w:r>
      <w:r>
        <w:rPr>
          <w:rFonts w:hint="eastAsia" w:ascii="宋体" w:hAnsi="宋体"/>
          <w:b/>
          <w:color w:val="auto"/>
          <w:sz w:val="24"/>
        </w:rPr>
        <w:t>www.creditchina.gov.cn</w:t>
      </w:r>
      <w:r>
        <w:rPr>
          <w:rFonts w:hint="eastAsia" w:ascii="宋体" w:hAnsi="宋体"/>
          <w:color w:val="auto"/>
        </w:rPr>
        <w:fldChar w:fldCharType="end"/>
      </w:r>
      <w:r>
        <w:rPr>
          <w:rFonts w:hint="eastAsia" w:ascii="宋体" w:hAnsi="宋体"/>
          <w:b/>
          <w:color w:val="auto"/>
          <w:sz w:val="24"/>
        </w:rPr>
        <w:t>）、中国政府采购网（</w:t>
      </w:r>
      <w:r>
        <w:rPr>
          <w:rFonts w:hint="eastAsia" w:ascii="宋体" w:hAnsi="宋体"/>
          <w:color w:val="auto"/>
        </w:rPr>
        <w:fldChar w:fldCharType="begin"/>
      </w:r>
      <w:r>
        <w:rPr>
          <w:rFonts w:hint="eastAsia" w:ascii="宋体" w:hAnsi="宋体"/>
          <w:color w:val="auto"/>
        </w:rPr>
        <w:instrText xml:space="preserve">HYPERLINK "qq://txfile/"</w:instrText>
      </w:r>
      <w:r>
        <w:rPr>
          <w:rFonts w:hint="eastAsia" w:ascii="宋体" w:hAnsi="宋体"/>
          <w:color w:val="auto"/>
        </w:rPr>
        <w:fldChar w:fldCharType="separate"/>
      </w:r>
      <w:r>
        <w:rPr>
          <w:rFonts w:hint="eastAsia" w:ascii="宋体" w:hAnsi="宋体"/>
          <w:b/>
          <w:color w:val="auto"/>
          <w:sz w:val="24"/>
        </w:rPr>
        <w:t>www.ccgp.gov.cn</w:t>
      </w:r>
      <w:r>
        <w:rPr>
          <w:rFonts w:hint="eastAsia" w:ascii="宋体" w:hAnsi="宋体"/>
          <w:color w:val="auto"/>
        </w:rPr>
        <w:fldChar w:fldCharType="end"/>
      </w:r>
      <w:r>
        <w:rPr>
          <w:rFonts w:hint="eastAsia" w:ascii="宋体" w:hAnsi="宋体"/>
          <w:b/>
          <w:color w:val="auto"/>
          <w:sz w:val="24"/>
        </w:rPr>
        <w:t>）的信息，对列入失信被执行人、重大税收违法案件当事人名单、政府采购严重违法失信行为记录名单及其他不符合《中华人民共和国政府采购法》第二十二条规定条件的供应商，拒绝参与政府采购活动</w:t>
      </w:r>
      <w:r>
        <w:rPr>
          <w:rFonts w:hint="eastAsia" w:ascii="宋体" w:hAnsi="宋体"/>
          <w:b/>
          <w:color w:val="auto"/>
          <w:sz w:val="24"/>
          <w:lang w:eastAsia="zh-CN"/>
        </w:rPr>
        <w:t>。</w:t>
      </w:r>
    </w:p>
    <w:p>
      <w:pPr>
        <w:spacing w:line="360" w:lineRule="auto"/>
        <w:ind w:firstLine="482" w:firstLineChars="200"/>
        <w:rPr>
          <w:rFonts w:hint="eastAsia" w:ascii="宋体" w:hAnsi="宋体"/>
          <w:b/>
          <w:color w:val="auto"/>
          <w:sz w:val="24"/>
        </w:rPr>
      </w:pPr>
      <w:r>
        <w:rPr>
          <w:rFonts w:hint="eastAsia" w:ascii="宋体" w:hAnsi="宋体"/>
          <w:b/>
          <w:color w:val="auto"/>
          <w:sz w:val="24"/>
        </w:rPr>
        <w:t>35.3响应文件初审。初审分为资格性审查和符合性审查。响应文件初审由磋商小组根据各供应商响应文件进行评审，初审内容详见第</w:t>
      </w:r>
      <w:r>
        <w:rPr>
          <w:rFonts w:hint="eastAsia" w:ascii="宋体" w:hAnsi="宋体"/>
          <w:b/>
          <w:color w:val="auto"/>
          <w:sz w:val="24"/>
          <w:lang w:eastAsia="zh-CN"/>
        </w:rPr>
        <w:t>六</w:t>
      </w:r>
      <w:r>
        <w:rPr>
          <w:rFonts w:hint="eastAsia" w:ascii="宋体" w:hAnsi="宋体"/>
          <w:b/>
          <w:color w:val="auto"/>
          <w:sz w:val="24"/>
        </w:rPr>
        <w:t>章“评审标准（综合评分法）”。未通过初审的供应商其响应文件将按照无效磋商处理。</w:t>
      </w:r>
    </w:p>
    <w:p>
      <w:pPr>
        <w:spacing w:line="360" w:lineRule="auto"/>
        <w:ind w:firstLine="482" w:firstLineChars="200"/>
        <w:rPr>
          <w:rFonts w:hint="eastAsia" w:ascii="宋体" w:hAnsi="宋体"/>
          <w:b/>
          <w:color w:val="auto"/>
          <w:sz w:val="24"/>
        </w:rPr>
      </w:pPr>
      <w:r>
        <w:rPr>
          <w:rFonts w:hint="eastAsia" w:ascii="宋体" w:hAnsi="宋体"/>
          <w:b/>
          <w:color w:val="auto"/>
          <w:sz w:val="24"/>
        </w:rPr>
        <w:t>35.3.1资格性审查。依据法律法规和磋商文件的规定，对响应文件中的资格证明等进行审查，以确定供应商是否具备磋商资格。</w:t>
      </w:r>
    </w:p>
    <w:p>
      <w:pPr>
        <w:spacing w:line="360" w:lineRule="auto"/>
        <w:ind w:firstLine="482" w:firstLineChars="200"/>
        <w:rPr>
          <w:rFonts w:hint="eastAsia" w:ascii="宋体" w:hAnsi="宋体"/>
          <w:b/>
          <w:color w:val="auto"/>
          <w:sz w:val="24"/>
        </w:rPr>
      </w:pPr>
      <w:r>
        <w:rPr>
          <w:rFonts w:hint="eastAsia" w:ascii="宋体" w:hAnsi="宋体"/>
          <w:b/>
          <w:color w:val="auto"/>
          <w:sz w:val="24"/>
        </w:rPr>
        <w:t>35.3.2符合性审查。依据磋商文件的规定，从响应文件的有效性、完整性和对磋商文件的响应程度进行审查，以确定是否对磋商文件的实质性要求作出响应。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b/>
          <w:color w:val="auto"/>
          <w:sz w:val="24"/>
        </w:rPr>
      </w:pPr>
      <w:r>
        <w:rPr>
          <w:rFonts w:hint="eastAsia" w:ascii="宋体" w:hAnsi="宋体"/>
          <w:b/>
          <w:color w:val="auto"/>
          <w:sz w:val="24"/>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pPr>
        <w:spacing w:line="360" w:lineRule="auto"/>
        <w:ind w:firstLine="482" w:firstLineChars="200"/>
        <w:rPr>
          <w:rFonts w:hint="eastAsia" w:ascii="宋体" w:hAnsi="宋体"/>
          <w:b/>
          <w:color w:val="auto"/>
          <w:sz w:val="24"/>
        </w:rPr>
      </w:pPr>
      <w:r>
        <w:rPr>
          <w:rFonts w:hint="eastAsia" w:ascii="宋体" w:hAnsi="宋体"/>
          <w:b/>
          <w:color w:val="auto"/>
          <w:sz w:val="24"/>
        </w:rPr>
        <w:t>35.3.2.2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b/>
          <w:color w:val="auto"/>
          <w:sz w:val="24"/>
        </w:rPr>
      </w:pPr>
      <w:r>
        <w:rPr>
          <w:rFonts w:hint="eastAsia" w:ascii="宋体" w:hAnsi="宋体"/>
          <w:b/>
          <w:color w:val="auto"/>
          <w:sz w:val="24"/>
        </w:rPr>
        <w:t>35.4比较与评价。磋商小组按磋商文件中规定的评审方法和标准，对资格性检查和符合性检查合格的响应文件进行商务和技术评估，综合比较与评价。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hint="eastAsia" w:ascii="宋体" w:hAnsi="宋体"/>
          <w:b/>
          <w:color w:val="auto"/>
          <w:sz w:val="24"/>
        </w:rPr>
      </w:pPr>
      <w:r>
        <w:rPr>
          <w:rFonts w:hint="eastAsia" w:ascii="宋体" w:hAnsi="宋体"/>
          <w:b/>
          <w:color w:val="auto"/>
          <w:sz w:val="24"/>
        </w:rPr>
        <w:t>35.5评审分值：总分值为10</w:t>
      </w:r>
      <w:r>
        <w:rPr>
          <w:rFonts w:hint="eastAsia" w:ascii="宋体" w:hAnsi="宋体"/>
          <w:b/>
          <w:color w:val="auto"/>
          <w:sz w:val="24"/>
          <w:lang w:val="en-US" w:eastAsia="zh-CN"/>
        </w:rPr>
        <w:t>0</w:t>
      </w:r>
      <w:r>
        <w:rPr>
          <w:rFonts w:hint="eastAsia" w:ascii="宋体" w:hAnsi="宋体"/>
          <w:b/>
          <w:color w:val="auto"/>
          <w:sz w:val="24"/>
        </w:rPr>
        <w:t>分，其中价格分值为</w:t>
      </w:r>
      <w:r>
        <w:rPr>
          <w:rFonts w:hint="eastAsia" w:ascii="宋体" w:hAnsi="宋体"/>
          <w:b/>
          <w:color w:val="auto"/>
          <w:sz w:val="24"/>
          <w:lang w:val="en-US" w:eastAsia="zh-CN"/>
        </w:rPr>
        <w:t>25</w:t>
      </w:r>
      <w:r>
        <w:rPr>
          <w:rFonts w:hint="eastAsia" w:ascii="宋体" w:hAnsi="宋体"/>
          <w:b/>
          <w:color w:val="auto"/>
          <w:sz w:val="24"/>
        </w:rPr>
        <w:t>分，其余部分分值为</w:t>
      </w:r>
      <w:r>
        <w:rPr>
          <w:rFonts w:hint="eastAsia" w:ascii="宋体" w:hAnsi="宋体"/>
          <w:b/>
          <w:color w:val="auto"/>
          <w:sz w:val="24"/>
          <w:lang w:val="en-US" w:eastAsia="zh-CN"/>
        </w:rPr>
        <w:t>75</w:t>
      </w:r>
      <w:r>
        <w:rPr>
          <w:rFonts w:hint="eastAsia" w:ascii="宋体" w:hAnsi="宋体"/>
          <w:b/>
          <w:color w:val="auto"/>
          <w:sz w:val="24"/>
        </w:rPr>
        <w:t>分，具体评审评分内容详本磋商文件第</w:t>
      </w:r>
      <w:r>
        <w:rPr>
          <w:rFonts w:hint="eastAsia" w:ascii="宋体" w:hAnsi="宋体"/>
          <w:b/>
          <w:color w:val="auto"/>
          <w:sz w:val="24"/>
          <w:lang w:eastAsia="zh-CN"/>
        </w:rPr>
        <w:t>六</w:t>
      </w:r>
      <w:r>
        <w:rPr>
          <w:rFonts w:hint="eastAsia" w:ascii="宋体" w:hAnsi="宋体"/>
          <w:b/>
          <w:color w:val="auto"/>
          <w:sz w:val="24"/>
        </w:rPr>
        <w:t>章“评审标准（综合评分法）”。</w:t>
      </w:r>
    </w:p>
    <w:p>
      <w:pPr>
        <w:spacing w:line="360" w:lineRule="auto"/>
        <w:ind w:firstLine="482" w:firstLineChars="200"/>
        <w:rPr>
          <w:rFonts w:hint="eastAsia" w:ascii="宋体" w:hAnsi="宋体" w:eastAsia="宋体"/>
          <w:b/>
          <w:color w:val="auto"/>
          <w:sz w:val="24"/>
        </w:rPr>
      </w:pPr>
      <w:bookmarkStart w:id="225" w:name="_Toc243907610"/>
      <w:bookmarkStart w:id="226" w:name="_Toc233274848"/>
      <w:bookmarkStart w:id="227" w:name="_Toc245897309"/>
      <w:bookmarkStart w:id="228" w:name="_Toc243906349"/>
      <w:r>
        <w:rPr>
          <w:rFonts w:hint="eastAsia" w:ascii="宋体" w:hAnsi="宋体" w:eastAsia="宋体"/>
          <w:b/>
          <w:color w:val="auto"/>
          <w:sz w:val="24"/>
        </w:rPr>
        <w:t>3</w:t>
      </w:r>
      <w:r>
        <w:rPr>
          <w:rFonts w:hint="eastAsia" w:ascii="宋体" w:hAnsi="宋体" w:eastAsia="宋体"/>
          <w:b/>
          <w:color w:val="auto"/>
          <w:sz w:val="24"/>
          <w:lang w:val="en-US" w:eastAsia="zh-CN"/>
        </w:rPr>
        <w:t>5</w:t>
      </w:r>
      <w:r>
        <w:rPr>
          <w:rFonts w:hint="eastAsia" w:ascii="宋体" w:hAnsi="宋体" w:eastAsia="宋体"/>
          <w:b/>
          <w:color w:val="auto"/>
          <w:sz w:val="24"/>
        </w:rPr>
        <w:t>.6推荐成交候选供应商</w:t>
      </w:r>
    </w:p>
    <w:p>
      <w:pPr>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3</w:t>
      </w:r>
      <w:r>
        <w:rPr>
          <w:rFonts w:hint="eastAsia" w:ascii="宋体" w:hAnsi="宋体" w:eastAsia="宋体"/>
          <w:b/>
          <w:color w:val="auto"/>
          <w:sz w:val="24"/>
          <w:lang w:val="en-US" w:eastAsia="zh-CN"/>
        </w:rPr>
        <w:t>5</w:t>
      </w:r>
      <w:r>
        <w:rPr>
          <w:rFonts w:hint="eastAsia" w:ascii="宋体" w:hAnsi="宋体" w:eastAsia="宋体"/>
          <w:b/>
          <w:color w:val="auto"/>
          <w:sz w:val="24"/>
        </w:rPr>
        <w:t>.6.1各供应商的评审得分由高至低排序，评审得分排列前3名的供应商被推荐为成交候选供应商。评审得分相同的，按照最后报价由低到高的顺序推荐。评审得分且最后报价相同的，按照技术指标优劣顺序推荐。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宋体" w:hAnsi="宋体" w:eastAsia="宋体"/>
          <w:b/>
          <w:color w:val="auto"/>
          <w:sz w:val="24"/>
        </w:rPr>
      </w:pPr>
      <w:r>
        <w:rPr>
          <w:rFonts w:hint="eastAsia" w:ascii="宋体" w:hAnsi="宋体" w:eastAsia="宋体"/>
          <w:b/>
          <w:color w:val="auto"/>
          <w:sz w:val="24"/>
        </w:rPr>
        <w:t>3</w:t>
      </w:r>
      <w:r>
        <w:rPr>
          <w:rFonts w:hint="eastAsia" w:ascii="宋体" w:hAnsi="宋体" w:eastAsia="宋体"/>
          <w:b/>
          <w:color w:val="auto"/>
          <w:sz w:val="24"/>
          <w:lang w:val="en-US" w:eastAsia="zh-CN"/>
        </w:rPr>
        <w:t>5</w:t>
      </w:r>
      <w:r>
        <w:rPr>
          <w:rFonts w:hint="eastAsia" w:ascii="宋体" w:hAnsi="宋体" w:eastAsia="宋体"/>
          <w:b/>
          <w:color w:val="auto"/>
          <w:sz w:val="24"/>
        </w:rPr>
        <w:t>.6.2评分计算结果保留两位小数，第三位小数四舍五入。</w:t>
      </w:r>
    </w:p>
    <w:p>
      <w:pPr>
        <w:spacing w:line="360" w:lineRule="auto"/>
        <w:ind w:firstLine="482" w:firstLineChars="200"/>
        <w:rPr>
          <w:rFonts w:hint="eastAsia" w:ascii="黑体" w:hAnsi="黑体" w:eastAsia="黑体"/>
          <w:b/>
          <w:color w:val="auto"/>
          <w:sz w:val="24"/>
        </w:rPr>
      </w:pPr>
      <w:r>
        <w:rPr>
          <w:rFonts w:hint="eastAsia" w:ascii="黑体" w:hAnsi="黑体" w:eastAsia="黑体"/>
          <w:b/>
          <w:color w:val="auto"/>
          <w:sz w:val="24"/>
        </w:rPr>
        <w:t>3</w:t>
      </w:r>
      <w:r>
        <w:rPr>
          <w:rFonts w:hint="eastAsia" w:ascii="黑体" w:hAnsi="黑体" w:eastAsia="黑体"/>
          <w:b/>
          <w:color w:val="auto"/>
          <w:sz w:val="24"/>
          <w:lang w:val="en-US" w:eastAsia="zh-CN"/>
        </w:rPr>
        <w:t>5</w:t>
      </w:r>
      <w:r>
        <w:rPr>
          <w:rFonts w:hint="eastAsia" w:ascii="黑体" w:hAnsi="黑体" w:eastAsia="黑体"/>
          <w:b/>
          <w:color w:val="auto"/>
          <w:sz w:val="24"/>
        </w:rPr>
        <w:t>.7磋商小组复核。磋商小组评分汇总结束后，磋商小组应当进行评审复核，对拟推荐为成交候选供应商的、报价最低的、供应商资格审查未通过的、供应商响应文件作无效处理的重点复核。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rPr>
          <w:rFonts w:hint="eastAsia" w:ascii="宋体" w:hAnsi="宋体" w:eastAsia="宋体"/>
          <w:b/>
          <w:color w:val="auto"/>
          <w:sz w:val="24"/>
          <w:szCs w:val="22"/>
        </w:rPr>
      </w:pPr>
      <w:r>
        <w:rPr>
          <w:rFonts w:hint="eastAsia" w:ascii="宋体" w:hAnsi="宋体" w:eastAsia="宋体"/>
          <w:b/>
          <w:color w:val="auto"/>
          <w:sz w:val="24"/>
          <w:szCs w:val="22"/>
        </w:rPr>
        <w:t>3</w:t>
      </w:r>
      <w:r>
        <w:rPr>
          <w:rFonts w:hint="eastAsia" w:ascii="宋体" w:hAnsi="宋体" w:eastAsia="宋体"/>
          <w:b/>
          <w:color w:val="auto"/>
          <w:sz w:val="24"/>
          <w:szCs w:val="22"/>
          <w:lang w:val="en-US" w:eastAsia="zh-CN"/>
        </w:rPr>
        <w:t>5</w:t>
      </w:r>
      <w:r>
        <w:rPr>
          <w:rFonts w:hint="eastAsia" w:ascii="宋体" w:hAnsi="宋体" w:eastAsia="宋体"/>
          <w:b/>
          <w:color w:val="auto"/>
          <w:sz w:val="24"/>
          <w:szCs w:val="22"/>
        </w:rPr>
        <w:t>.8招标代理机构应当在评审结束后2个工作日内将评标报告送采购单位确认。</w:t>
      </w:r>
    </w:p>
    <w:p>
      <w:pPr>
        <w:spacing w:line="360" w:lineRule="auto"/>
        <w:ind w:firstLine="482" w:firstLineChars="200"/>
        <w:rPr>
          <w:rFonts w:hint="eastAsia" w:ascii="宋体" w:hAnsi="宋体" w:eastAsia="宋体"/>
          <w:b/>
          <w:color w:val="auto"/>
          <w:sz w:val="24"/>
          <w:szCs w:val="22"/>
        </w:rPr>
      </w:pPr>
      <w:r>
        <w:rPr>
          <w:rFonts w:hint="eastAsia" w:ascii="宋体" w:hAnsi="宋体" w:eastAsia="宋体"/>
          <w:b/>
          <w:color w:val="auto"/>
          <w:sz w:val="24"/>
          <w:szCs w:val="22"/>
        </w:rPr>
        <w:t xml:space="preserve">   </w:t>
      </w:r>
      <w:r>
        <w:rPr>
          <w:rFonts w:hint="eastAsia" w:ascii="宋体" w:hAnsi="宋体" w:eastAsia="宋体"/>
          <w:b/>
          <w:color w:val="auto"/>
          <w:sz w:val="24"/>
          <w:szCs w:val="22"/>
          <w:lang w:val="en-US" w:eastAsia="zh-CN"/>
        </w:rPr>
        <w:t xml:space="preserve"> 采</w:t>
      </w:r>
      <w:r>
        <w:rPr>
          <w:rFonts w:hint="eastAsia" w:ascii="宋体" w:hAnsi="宋体" w:eastAsia="宋体"/>
          <w:b/>
          <w:color w:val="auto"/>
          <w:sz w:val="24"/>
          <w:szCs w:val="22"/>
        </w:rPr>
        <w:t>购单位应当在收到评标报告后5个工作日内，从评标报告提出的中标候选人中，根据质量和服务均能满足采购文件实质性要求，评标总得分最高的原则确定中标供应商，也可以书面授权评标委员会直接确定中标供应商。</w:t>
      </w:r>
    </w:p>
    <w:p>
      <w:pPr>
        <w:spacing w:line="360" w:lineRule="auto"/>
        <w:ind w:firstLine="480" w:firstLineChars="200"/>
        <w:outlineLvl w:val="1"/>
        <w:rPr>
          <w:rFonts w:hint="eastAsia" w:ascii="宋体" w:hAnsi="宋体"/>
          <w:color w:val="auto"/>
          <w:sz w:val="24"/>
        </w:rPr>
      </w:pPr>
      <w:bookmarkStart w:id="229" w:name="_Toc32117"/>
      <w:r>
        <w:rPr>
          <w:rFonts w:hint="eastAsia" w:ascii="宋体" w:hAnsi="宋体"/>
          <w:color w:val="auto"/>
          <w:sz w:val="24"/>
        </w:rPr>
        <w:t>36、采购人依法接受和拒绝任一或所有供应商的权力</w:t>
      </w:r>
      <w:bookmarkEnd w:id="229"/>
    </w:p>
    <w:p>
      <w:pPr>
        <w:spacing w:line="360" w:lineRule="auto"/>
        <w:ind w:firstLine="480" w:firstLineChars="200"/>
        <w:rPr>
          <w:rFonts w:hint="eastAsia" w:ascii="宋体" w:hAnsi="宋体"/>
          <w:color w:val="auto"/>
          <w:sz w:val="24"/>
        </w:rPr>
      </w:pPr>
      <w:r>
        <w:rPr>
          <w:rFonts w:hint="eastAsia" w:ascii="宋体" w:hAnsi="宋体"/>
          <w:color w:val="auto"/>
          <w:sz w:val="24"/>
        </w:rPr>
        <w:t>采购人保留确定</w:t>
      </w:r>
      <w:r>
        <w:rPr>
          <w:rFonts w:hint="eastAsia" w:ascii="宋体" w:hAnsi="宋体"/>
          <w:color w:val="auto"/>
          <w:sz w:val="24"/>
          <w:lang w:eastAsia="zh-CN"/>
        </w:rPr>
        <w:t>成交</w:t>
      </w:r>
      <w:r>
        <w:rPr>
          <w:rFonts w:hint="eastAsia" w:ascii="宋体" w:hAnsi="宋体"/>
          <w:color w:val="auto"/>
          <w:sz w:val="24"/>
        </w:rPr>
        <w:t>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color w:val="auto"/>
          <w:sz w:val="24"/>
        </w:rPr>
      </w:pPr>
      <w:bookmarkStart w:id="230" w:name="_Toc9217"/>
      <w:r>
        <w:rPr>
          <w:rFonts w:hint="eastAsia" w:ascii="宋体" w:hAnsi="宋体"/>
          <w:color w:val="auto"/>
          <w:sz w:val="24"/>
        </w:rPr>
        <w:t>37、成交通知</w:t>
      </w:r>
      <w:bookmarkEnd w:id="225"/>
      <w:bookmarkEnd w:id="226"/>
      <w:bookmarkEnd w:id="227"/>
      <w:bookmarkEnd w:id="228"/>
      <w:r>
        <w:rPr>
          <w:rFonts w:hint="eastAsia" w:ascii="宋体" w:hAnsi="宋体"/>
          <w:color w:val="auto"/>
          <w:sz w:val="24"/>
        </w:rPr>
        <w:t>书</w:t>
      </w:r>
      <w:bookmarkEnd w:id="230"/>
    </w:p>
    <w:p>
      <w:pPr>
        <w:spacing w:line="360" w:lineRule="auto"/>
        <w:ind w:firstLine="480" w:firstLineChars="200"/>
        <w:rPr>
          <w:rFonts w:hint="eastAsia" w:ascii="宋体" w:hAnsi="宋体"/>
          <w:color w:val="auto"/>
          <w:sz w:val="24"/>
        </w:rPr>
      </w:pPr>
      <w:r>
        <w:rPr>
          <w:rFonts w:hint="eastAsia" w:ascii="宋体" w:hAnsi="宋体"/>
          <w:color w:val="auto"/>
          <w:sz w:val="24"/>
        </w:rPr>
        <w:t>37.1采购人确定</w:t>
      </w:r>
      <w:r>
        <w:rPr>
          <w:rFonts w:hint="eastAsia" w:ascii="宋体" w:hAnsi="宋体"/>
          <w:color w:val="auto"/>
          <w:sz w:val="24"/>
          <w:lang w:eastAsia="zh-CN"/>
        </w:rPr>
        <w:t>成交</w:t>
      </w:r>
      <w:r>
        <w:rPr>
          <w:rFonts w:hint="eastAsia" w:ascii="宋体" w:hAnsi="宋体"/>
          <w:color w:val="auto"/>
          <w:sz w:val="24"/>
        </w:rPr>
        <w:t>供应商后，及时通知采购代理机构，采购代理机构将按程序公告成交结果，同时向</w:t>
      </w:r>
      <w:r>
        <w:rPr>
          <w:rFonts w:hint="eastAsia" w:ascii="宋体" w:hAnsi="宋体"/>
          <w:color w:val="auto"/>
          <w:sz w:val="24"/>
          <w:lang w:eastAsia="zh-CN"/>
        </w:rPr>
        <w:t>成交</w:t>
      </w:r>
      <w:r>
        <w:rPr>
          <w:rFonts w:hint="eastAsia" w:ascii="宋体" w:hAnsi="宋体"/>
          <w:color w:val="auto"/>
          <w:sz w:val="24"/>
        </w:rPr>
        <w:t>供应商发出成交通知书，成交通知书一经发出即发生法律效力。</w:t>
      </w:r>
    </w:p>
    <w:p>
      <w:pPr>
        <w:spacing w:line="360" w:lineRule="auto"/>
        <w:ind w:firstLine="480" w:firstLineChars="200"/>
        <w:rPr>
          <w:rFonts w:hint="eastAsia" w:ascii="宋体" w:hAnsi="宋体"/>
          <w:color w:val="auto"/>
          <w:sz w:val="24"/>
        </w:rPr>
      </w:pPr>
      <w:r>
        <w:rPr>
          <w:rFonts w:hint="eastAsia" w:ascii="宋体" w:hAnsi="宋体"/>
          <w:color w:val="auto"/>
          <w:sz w:val="24"/>
        </w:rPr>
        <w:t>37.2《成交通知书》将是合同的组成部分。</w:t>
      </w:r>
    </w:p>
    <w:p>
      <w:pPr>
        <w:spacing w:line="360" w:lineRule="auto"/>
        <w:ind w:firstLine="480" w:firstLineChars="200"/>
        <w:rPr>
          <w:rFonts w:hint="eastAsia" w:ascii="宋体" w:hAnsi="宋体"/>
          <w:color w:val="auto"/>
          <w:sz w:val="24"/>
        </w:rPr>
      </w:pPr>
      <w:r>
        <w:rPr>
          <w:rFonts w:hint="eastAsia" w:ascii="宋体" w:hAnsi="宋体"/>
          <w:color w:val="auto"/>
          <w:sz w:val="24"/>
        </w:rPr>
        <w:t>37.3采购人将通知其他未成交的供应商。</w:t>
      </w:r>
    </w:p>
    <w:p>
      <w:pPr>
        <w:spacing w:line="360" w:lineRule="auto"/>
        <w:ind w:firstLine="480" w:firstLineChars="200"/>
        <w:outlineLvl w:val="1"/>
        <w:rPr>
          <w:rFonts w:hint="eastAsia" w:ascii="宋体" w:hAnsi="宋体"/>
          <w:color w:val="auto"/>
          <w:sz w:val="24"/>
        </w:rPr>
      </w:pPr>
      <w:bookmarkStart w:id="231" w:name="_Toc5905"/>
      <w:bookmarkStart w:id="232" w:name="_Toc243907611"/>
      <w:bookmarkStart w:id="233" w:name="_Toc245897310"/>
      <w:bookmarkStart w:id="234" w:name="_Toc243906350"/>
      <w:bookmarkStart w:id="235" w:name="_Toc233274849"/>
      <w:r>
        <w:rPr>
          <w:rFonts w:hint="eastAsia" w:ascii="宋体" w:hAnsi="宋体"/>
          <w:color w:val="auto"/>
          <w:sz w:val="24"/>
        </w:rPr>
        <w:t>38、纪律与保密事项</w:t>
      </w:r>
      <w:bookmarkEnd w:id="231"/>
      <w:bookmarkEnd w:id="232"/>
      <w:bookmarkEnd w:id="233"/>
      <w:bookmarkEnd w:id="234"/>
      <w:bookmarkEnd w:id="235"/>
    </w:p>
    <w:p>
      <w:pPr>
        <w:spacing w:line="360" w:lineRule="auto"/>
        <w:ind w:firstLine="480" w:firstLineChars="200"/>
        <w:rPr>
          <w:rFonts w:hint="eastAsia" w:ascii="宋体" w:hAnsi="宋体"/>
          <w:color w:val="auto"/>
          <w:sz w:val="24"/>
        </w:rPr>
      </w:pPr>
      <w:r>
        <w:rPr>
          <w:rFonts w:hint="eastAsia" w:ascii="宋体" w:hAnsi="宋体"/>
          <w:color w:val="auto"/>
          <w:sz w:val="24"/>
        </w:rPr>
        <w:t>38.1凡参与磋商工作的有关人员均应自觉接受有关主管部门的监督，不得向他人透露可能影响公平竞争的有关磋商的其他情况。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color w:val="auto"/>
          <w:sz w:val="24"/>
        </w:rPr>
      </w:pPr>
      <w:r>
        <w:rPr>
          <w:rFonts w:hint="eastAsia" w:ascii="宋体" w:hAnsi="宋体"/>
          <w:color w:val="auto"/>
          <w:sz w:val="24"/>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b/>
          <w:color w:val="auto"/>
          <w:sz w:val="24"/>
        </w:rPr>
      </w:pPr>
      <w:r>
        <w:rPr>
          <w:rFonts w:hint="eastAsia" w:ascii="宋体" w:hAnsi="宋体"/>
          <w:color w:val="auto"/>
          <w:sz w:val="24"/>
        </w:rPr>
        <w:t>38.3供应商不得与采购人串通磋商，不得向采购人或者磋商小组成员行贿谋取成交，不得以他人名义参与磋商或者以其它任何方式弄虚作假骗取参与磋商。供应商不得以任何方式干扰、影响评审工作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宋体" w:hAnsi="宋体"/>
          <w:b/>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color w:val="auto"/>
          <w:sz w:val="24"/>
        </w:rPr>
      </w:pPr>
      <w:r>
        <w:rPr>
          <w:rFonts w:hint="eastAsia" w:ascii="宋体" w:hAnsi="宋体"/>
          <w:color w:val="auto"/>
          <w:sz w:val="24"/>
        </w:rPr>
        <w:t>38.5 磋商之日起直至授予</w:t>
      </w:r>
      <w:r>
        <w:rPr>
          <w:rFonts w:hint="eastAsia" w:ascii="宋体" w:hAnsi="宋体"/>
          <w:color w:val="auto"/>
          <w:sz w:val="24"/>
          <w:lang w:eastAsia="zh-CN"/>
        </w:rPr>
        <w:t>成交</w:t>
      </w:r>
      <w:r>
        <w:rPr>
          <w:rFonts w:hint="eastAsia" w:ascii="宋体" w:hAnsi="宋体"/>
          <w:color w:val="auto"/>
          <w:sz w:val="24"/>
        </w:rPr>
        <w:t>供应商合同为止，凡属于对响应文件的审查、澄清、评价、比较有关的资料和成交候选人的推荐情况及与评审有关的其他任何情况均严格保密。</w:t>
      </w:r>
    </w:p>
    <w:p>
      <w:pPr>
        <w:spacing w:line="360" w:lineRule="auto"/>
        <w:ind w:firstLine="480" w:firstLineChars="200"/>
        <w:rPr>
          <w:rFonts w:hint="eastAsia" w:ascii="宋体" w:hAnsi="宋体"/>
          <w:color w:val="auto"/>
          <w:sz w:val="24"/>
        </w:rPr>
      </w:pPr>
      <w:r>
        <w:rPr>
          <w:rFonts w:hint="eastAsia" w:ascii="宋体" w:hAnsi="宋体"/>
          <w:color w:val="auto"/>
          <w:sz w:val="24"/>
        </w:rPr>
        <w:t>38.6从磋商之日起至授予合同期间，供应商试图向磋商小组、采购代理机构施加任何影响或对采购人的比较及授予合同的决定进行影响，都可能导致其响应文件被拒绝。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color w:val="auto"/>
          <w:sz w:val="24"/>
        </w:rPr>
      </w:pPr>
      <w:r>
        <w:rPr>
          <w:rFonts w:hint="eastAsia" w:ascii="宋体" w:hAnsi="宋体"/>
          <w:color w:val="auto"/>
          <w:sz w:val="24"/>
        </w:rPr>
        <w:t>38.7除供应商被要求对响应文件进行澄清外，从磋商之时起至授予合同期间，供应商不得就与其响应文件有关的事项主动与磋商小组、采购代理机构以及采购人联系。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color w:val="auto"/>
          <w:sz w:val="24"/>
        </w:rPr>
      </w:pPr>
      <w:r>
        <w:rPr>
          <w:rFonts w:hint="eastAsia" w:ascii="宋体" w:hAnsi="宋体"/>
          <w:color w:val="auto"/>
          <w:sz w:val="24"/>
        </w:rPr>
        <w:t>38.8</w:t>
      </w:r>
      <w:r>
        <w:rPr>
          <w:rFonts w:hint="eastAsia" w:ascii="宋体" w:hAnsi="宋体"/>
          <w:color w:val="auto"/>
          <w:sz w:val="24"/>
          <w:lang w:eastAsia="zh-CN"/>
        </w:rPr>
        <w:t>成交</w:t>
      </w:r>
      <w:r>
        <w:rPr>
          <w:rFonts w:hint="eastAsia" w:ascii="宋体" w:hAnsi="宋体"/>
          <w:color w:val="auto"/>
          <w:sz w:val="24"/>
        </w:rPr>
        <w:t>供应商确定后，采购人不对未</w:t>
      </w:r>
      <w:r>
        <w:rPr>
          <w:rFonts w:hint="eastAsia" w:ascii="宋体" w:hAnsi="宋体"/>
          <w:color w:val="auto"/>
          <w:sz w:val="24"/>
          <w:lang w:eastAsia="zh-CN"/>
        </w:rPr>
        <w:t>成交</w:t>
      </w:r>
      <w:r>
        <w:rPr>
          <w:rFonts w:hint="eastAsia" w:ascii="宋体" w:hAnsi="宋体"/>
          <w:color w:val="auto"/>
          <w:sz w:val="24"/>
        </w:rPr>
        <w:t>供应商就评审过程以及未能成交原因作出任何解释，未</w:t>
      </w:r>
      <w:r>
        <w:rPr>
          <w:rFonts w:hint="eastAsia" w:ascii="宋体" w:hAnsi="宋体"/>
          <w:color w:val="auto"/>
          <w:sz w:val="24"/>
          <w:lang w:eastAsia="zh-CN"/>
        </w:rPr>
        <w:t>成交</w:t>
      </w:r>
      <w:r>
        <w:rPr>
          <w:rFonts w:hint="eastAsia" w:ascii="宋体" w:hAnsi="宋体"/>
          <w:color w:val="auto"/>
          <w:sz w:val="24"/>
        </w:rPr>
        <w:t>供应商不得向磋商小组或其他有关人员询问评审过程的情况和索取评审过程的资料。</w:t>
      </w:r>
    </w:p>
    <w:p>
      <w:pPr>
        <w:pStyle w:val="9"/>
        <w:spacing w:line="360" w:lineRule="auto"/>
        <w:jc w:val="center"/>
        <w:outlineLvl w:val="9"/>
        <w:rPr>
          <w:rFonts w:hint="eastAsia" w:hAnsi="宋体"/>
          <w:b/>
          <w:color w:val="auto"/>
          <w:sz w:val="28"/>
        </w:rPr>
      </w:pPr>
    </w:p>
    <w:p>
      <w:pPr>
        <w:pStyle w:val="9"/>
        <w:spacing w:line="360" w:lineRule="auto"/>
        <w:jc w:val="center"/>
        <w:outlineLvl w:val="9"/>
        <w:rPr>
          <w:rFonts w:hint="eastAsia" w:hAnsi="宋体"/>
          <w:b/>
          <w:color w:val="auto"/>
          <w:sz w:val="28"/>
        </w:rPr>
      </w:pPr>
    </w:p>
    <w:p>
      <w:pPr>
        <w:pStyle w:val="9"/>
        <w:spacing w:line="360" w:lineRule="auto"/>
        <w:jc w:val="center"/>
        <w:outlineLvl w:val="9"/>
        <w:rPr>
          <w:rFonts w:hint="eastAsia" w:hAnsi="宋体"/>
          <w:b/>
          <w:color w:val="auto"/>
          <w:sz w:val="28"/>
        </w:rPr>
      </w:pPr>
    </w:p>
    <w:p>
      <w:pPr>
        <w:pStyle w:val="9"/>
        <w:spacing w:line="360" w:lineRule="auto"/>
        <w:jc w:val="center"/>
        <w:outlineLvl w:val="1"/>
        <w:rPr>
          <w:rFonts w:hint="eastAsia" w:hAnsi="宋体"/>
          <w:b/>
          <w:color w:val="auto"/>
          <w:sz w:val="28"/>
        </w:rPr>
      </w:pPr>
      <w:bookmarkStart w:id="236" w:name="_Toc20281"/>
      <w:r>
        <w:rPr>
          <w:rFonts w:hint="eastAsia" w:hAnsi="宋体"/>
          <w:b/>
          <w:color w:val="auto"/>
          <w:sz w:val="28"/>
        </w:rPr>
        <w:t>F   授予合同</w:t>
      </w:r>
      <w:bookmarkEnd w:id="236"/>
    </w:p>
    <w:p>
      <w:pPr>
        <w:pStyle w:val="9"/>
        <w:spacing w:line="360" w:lineRule="auto"/>
        <w:jc w:val="center"/>
        <w:outlineLvl w:val="9"/>
        <w:rPr>
          <w:rFonts w:hint="eastAsia" w:hAnsi="宋体"/>
          <w:b/>
          <w:color w:val="auto"/>
          <w:sz w:val="28"/>
        </w:rPr>
      </w:pPr>
    </w:p>
    <w:p>
      <w:pPr>
        <w:pStyle w:val="9"/>
        <w:spacing w:line="360" w:lineRule="auto"/>
        <w:ind w:firstLine="480" w:firstLineChars="200"/>
        <w:outlineLvl w:val="9"/>
        <w:rPr>
          <w:rFonts w:hint="eastAsia" w:hAnsi="宋体"/>
          <w:color w:val="auto"/>
          <w:sz w:val="24"/>
        </w:rPr>
      </w:pPr>
      <w:r>
        <w:rPr>
          <w:rFonts w:hint="eastAsia" w:hAnsi="宋体"/>
          <w:color w:val="auto"/>
          <w:sz w:val="24"/>
        </w:rPr>
        <w:t>39、授予合同标准</w:t>
      </w:r>
    </w:p>
    <w:p>
      <w:pPr>
        <w:pStyle w:val="9"/>
        <w:spacing w:line="360" w:lineRule="auto"/>
        <w:ind w:firstLine="480" w:firstLineChars="200"/>
        <w:rPr>
          <w:rFonts w:hint="eastAsia" w:hAnsi="宋体"/>
          <w:color w:val="auto"/>
          <w:sz w:val="24"/>
        </w:rPr>
      </w:pPr>
      <w:r>
        <w:rPr>
          <w:rFonts w:hint="eastAsia" w:hAnsi="宋体"/>
          <w:color w:val="auto"/>
          <w:sz w:val="24"/>
        </w:rPr>
        <w:t>39.1本采购项目的采购合同将授予按本须知第34.7条所确定</w:t>
      </w:r>
      <w:r>
        <w:rPr>
          <w:rFonts w:hint="eastAsia" w:hAnsi="宋体"/>
          <w:color w:val="auto"/>
          <w:sz w:val="24"/>
          <w:lang w:eastAsia="zh-CN"/>
        </w:rPr>
        <w:t>成交</w:t>
      </w:r>
      <w:r>
        <w:rPr>
          <w:rFonts w:hint="eastAsia" w:hAnsi="宋体"/>
          <w:color w:val="auto"/>
          <w:sz w:val="24"/>
        </w:rPr>
        <w:t>供应商。</w:t>
      </w:r>
    </w:p>
    <w:p>
      <w:pPr>
        <w:pStyle w:val="9"/>
        <w:spacing w:line="360" w:lineRule="auto"/>
        <w:ind w:firstLine="480" w:firstLineChars="200"/>
        <w:outlineLvl w:val="1"/>
        <w:rPr>
          <w:rFonts w:hint="eastAsia" w:hAnsi="宋体"/>
          <w:color w:val="auto"/>
          <w:sz w:val="24"/>
        </w:rPr>
      </w:pPr>
      <w:bookmarkStart w:id="237" w:name="_Toc243906357"/>
      <w:bookmarkStart w:id="238" w:name="_Toc233274855"/>
      <w:bookmarkStart w:id="239" w:name="_Toc25194"/>
      <w:bookmarkStart w:id="240" w:name="_Toc245897317"/>
      <w:bookmarkStart w:id="241" w:name="_Toc243907620"/>
      <w:r>
        <w:rPr>
          <w:rFonts w:hint="eastAsia" w:hAnsi="宋体"/>
          <w:color w:val="auto"/>
          <w:sz w:val="24"/>
        </w:rPr>
        <w:t>40、签订合同</w:t>
      </w:r>
      <w:bookmarkEnd w:id="237"/>
      <w:bookmarkEnd w:id="238"/>
      <w:bookmarkEnd w:id="239"/>
      <w:bookmarkEnd w:id="240"/>
      <w:bookmarkEnd w:id="241"/>
    </w:p>
    <w:p>
      <w:pPr>
        <w:pStyle w:val="9"/>
        <w:spacing w:line="360" w:lineRule="auto"/>
        <w:ind w:firstLine="480" w:firstLineChars="200"/>
        <w:rPr>
          <w:rFonts w:hint="eastAsia" w:hAnsi="宋体"/>
          <w:color w:val="auto"/>
          <w:sz w:val="24"/>
        </w:rPr>
      </w:pPr>
      <w:r>
        <w:rPr>
          <w:rFonts w:hint="eastAsia" w:hAnsi="宋体"/>
          <w:color w:val="auto"/>
          <w:sz w:val="24"/>
        </w:rPr>
        <w:t>40.1</w:t>
      </w:r>
      <w:r>
        <w:rPr>
          <w:rFonts w:hint="eastAsia" w:hAnsi="宋体"/>
          <w:color w:val="auto"/>
          <w:sz w:val="24"/>
          <w:lang w:eastAsia="zh-CN"/>
        </w:rPr>
        <w:t>成交</w:t>
      </w:r>
      <w:r>
        <w:rPr>
          <w:rFonts w:hint="eastAsia" w:hAnsi="宋体"/>
          <w:color w:val="auto"/>
          <w:sz w:val="24"/>
        </w:rPr>
        <w:t>供应商应当自成交通知书发出之日起三十日内，按照磋商文件和</w:t>
      </w:r>
      <w:r>
        <w:rPr>
          <w:rFonts w:hint="eastAsia" w:hAnsi="宋体"/>
          <w:color w:val="auto"/>
          <w:sz w:val="24"/>
          <w:lang w:eastAsia="zh-CN"/>
        </w:rPr>
        <w:t>成交</w:t>
      </w:r>
      <w:r>
        <w:rPr>
          <w:rFonts w:hint="eastAsia" w:hAnsi="宋体"/>
          <w:color w:val="auto"/>
          <w:sz w:val="24"/>
        </w:rPr>
        <w:t>供应商的响应文件订立书面合同。</w:t>
      </w:r>
      <w:r>
        <w:rPr>
          <w:rFonts w:hint="eastAsia" w:hAnsi="宋体"/>
          <w:color w:val="auto"/>
          <w:sz w:val="24"/>
          <w:lang w:eastAsia="zh-CN"/>
        </w:rPr>
        <w:t>成交</w:t>
      </w:r>
      <w:r>
        <w:rPr>
          <w:rFonts w:hint="eastAsia" w:hAnsi="宋体"/>
          <w:color w:val="auto"/>
          <w:sz w:val="24"/>
        </w:rPr>
        <w:t>供应商不得要求订立背离本响应文件合同主要内容等响应文件实质性内容的其他协议。</w:t>
      </w:r>
    </w:p>
    <w:p>
      <w:pPr>
        <w:pStyle w:val="9"/>
        <w:spacing w:line="360" w:lineRule="auto"/>
        <w:ind w:firstLine="480" w:firstLineChars="200"/>
        <w:rPr>
          <w:rFonts w:hint="eastAsia" w:hAnsi="宋体"/>
          <w:color w:val="auto"/>
          <w:sz w:val="24"/>
        </w:rPr>
      </w:pPr>
      <w:r>
        <w:rPr>
          <w:rFonts w:hint="eastAsia" w:hAnsi="宋体"/>
          <w:color w:val="auto"/>
          <w:sz w:val="24"/>
        </w:rPr>
        <w:t>40.2 成交通知书、</w:t>
      </w:r>
      <w:r>
        <w:rPr>
          <w:rFonts w:hint="eastAsia" w:hAnsi="宋体"/>
          <w:color w:val="auto"/>
          <w:sz w:val="24"/>
          <w:lang w:eastAsia="zh-CN"/>
        </w:rPr>
        <w:t>成交</w:t>
      </w:r>
      <w:r>
        <w:rPr>
          <w:rFonts w:hint="eastAsia" w:hAnsi="宋体"/>
          <w:color w:val="auto"/>
          <w:sz w:val="24"/>
        </w:rPr>
        <w:t>供应商的响应文件及其澄清文件、技术规范及标准、项目采购需求及合同条款、本磋商文件（含修改文件或补充文件）及答疑纪要等，均为签订合同的依据。</w:t>
      </w:r>
    </w:p>
    <w:p>
      <w:pPr>
        <w:pStyle w:val="9"/>
        <w:spacing w:line="360" w:lineRule="auto"/>
        <w:ind w:firstLine="480" w:firstLineChars="200"/>
        <w:rPr>
          <w:rFonts w:hint="eastAsia" w:hAnsi="宋体"/>
          <w:color w:val="auto"/>
          <w:sz w:val="24"/>
        </w:rPr>
      </w:pPr>
      <w:r>
        <w:rPr>
          <w:rFonts w:hint="eastAsia" w:hAnsi="宋体"/>
          <w:color w:val="auto"/>
          <w:sz w:val="24"/>
        </w:rPr>
        <w:t>40.3采购人如不按本须知39.1条规定与</w:t>
      </w:r>
      <w:r>
        <w:rPr>
          <w:rFonts w:hint="eastAsia" w:hAnsi="宋体"/>
          <w:color w:val="auto"/>
          <w:sz w:val="24"/>
          <w:lang w:eastAsia="zh-CN"/>
        </w:rPr>
        <w:t>成交</w:t>
      </w:r>
      <w:r>
        <w:rPr>
          <w:rFonts w:hint="eastAsia" w:hAnsi="宋体"/>
          <w:color w:val="auto"/>
          <w:sz w:val="24"/>
        </w:rPr>
        <w:t>供应商签订合同，或者采购人、</w:t>
      </w:r>
      <w:r>
        <w:rPr>
          <w:rFonts w:hint="eastAsia" w:hAnsi="宋体"/>
          <w:color w:val="auto"/>
          <w:sz w:val="24"/>
          <w:lang w:eastAsia="zh-CN"/>
        </w:rPr>
        <w:t>成交</w:t>
      </w:r>
      <w:r>
        <w:rPr>
          <w:rFonts w:hint="eastAsia" w:hAnsi="宋体"/>
          <w:color w:val="auto"/>
          <w:sz w:val="24"/>
        </w:rPr>
        <w:t>供应商签订背离合同实质性内容的协议，由监督管理部门责令其改正。</w:t>
      </w:r>
    </w:p>
    <w:p>
      <w:pPr>
        <w:pStyle w:val="9"/>
        <w:spacing w:line="360" w:lineRule="auto"/>
        <w:ind w:firstLine="480" w:firstLineChars="200"/>
        <w:rPr>
          <w:rFonts w:hint="eastAsia" w:hAnsi="宋体"/>
          <w:color w:val="auto"/>
          <w:sz w:val="24"/>
        </w:rPr>
      </w:pPr>
      <w:r>
        <w:rPr>
          <w:rFonts w:hint="eastAsia" w:hAnsi="宋体"/>
          <w:color w:val="auto"/>
          <w:sz w:val="24"/>
        </w:rPr>
        <w:t>40.4</w:t>
      </w:r>
      <w:r>
        <w:rPr>
          <w:rFonts w:hint="eastAsia" w:hAnsi="宋体"/>
          <w:color w:val="auto"/>
          <w:sz w:val="24"/>
          <w:lang w:eastAsia="zh-CN"/>
        </w:rPr>
        <w:t>成交</w:t>
      </w:r>
      <w:r>
        <w:rPr>
          <w:rFonts w:hint="eastAsia" w:hAnsi="宋体"/>
          <w:color w:val="auto"/>
          <w:sz w:val="24"/>
        </w:rPr>
        <w:t>供应商如不按本须知39.1条规定与采购人签订合同，则按违约处理，采购人将有权取消</w:t>
      </w:r>
      <w:r>
        <w:rPr>
          <w:rFonts w:hint="eastAsia" w:hAnsi="宋体"/>
          <w:color w:val="auto"/>
          <w:sz w:val="24"/>
          <w:lang w:eastAsia="zh-CN"/>
        </w:rPr>
        <w:t>成交</w:t>
      </w:r>
      <w:r>
        <w:rPr>
          <w:rFonts w:hint="eastAsia" w:hAnsi="宋体"/>
          <w:color w:val="auto"/>
          <w:sz w:val="24"/>
        </w:rPr>
        <w:t>供应商资格，给采购人造成损失的，还应当予以赔偿，同时依法承担相应的法律责任。</w:t>
      </w:r>
    </w:p>
    <w:p>
      <w:pPr>
        <w:spacing w:line="360" w:lineRule="auto"/>
        <w:ind w:firstLine="482" w:firstLineChars="200"/>
        <w:rPr>
          <w:rFonts w:hint="eastAsia" w:ascii="宋体" w:hAnsi="宋体"/>
          <w:color w:val="auto"/>
        </w:rPr>
      </w:pPr>
      <w:r>
        <w:rPr>
          <w:rFonts w:hint="eastAsia" w:ascii="宋体" w:hAnsi="宋体"/>
          <w:b/>
          <w:color w:val="auto"/>
          <w:sz w:val="24"/>
        </w:rPr>
        <w:t>40.5</w:t>
      </w:r>
      <w:r>
        <w:rPr>
          <w:rFonts w:hint="eastAsia" w:ascii="宋体" w:hAnsi="宋体"/>
          <w:b/>
          <w:color w:val="auto"/>
          <w:sz w:val="24"/>
          <w:lang w:eastAsia="zh-CN"/>
        </w:rPr>
        <w:t>成交</w:t>
      </w:r>
      <w:r>
        <w:rPr>
          <w:rFonts w:hint="eastAsia" w:ascii="宋体" w:hAnsi="宋体"/>
          <w:b/>
          <w:color w:val="auto"/>
          <w:sz w:val="24"/>
        </w:rPr>
        <w:t>供应商因不可抗力或者自身原因不能履行政府采购合同的，采购人可以按照评审报告推荐的成交候选人名单排序，确定下一候选人为</w:t>
      </w:r>
      <w:r>
        <w:rPr>
          <w:rFonts w:hint="eastAsia" w:ascii="宋体" w:hAnsi="宋体"/>
          <w:b/>
          <w:color w:val="auto"/>
          <w:sz w:val="24"/>
          <w:lang w:eastAsia="zh-CN"/>
        </w:rPr>
        <w:t>成交</w:t>
      </w:r>
      <w:r>
        <w:rPr>
          <w:rFonts w:hint="eastAsia" w:ascii="宋体" w:hAnsi="宋体"/>
          <w:b/>
          <w:color w:val="auto"/>
          <w:sz w:val="24"/>
        </w:rPr>
        <w:t>供应商，也可以重新开展政府采购活动。</w:t>
      </w:r>
    </w:p>
    <w:p>
      <w:pPr>
        <w:spacing w:line="360" w:lineRule="auto"/>
        <w:ind w:firstLine="480" w:firstLineChars="200"/>
        <w:outlineLvl w:val="1"/>
        <w:rPr>
          <w:rFonts w:hint="eastAsia" w:ascii="宋体" w:hAnsi="宋体"/>
          <w:color w:val="auto"/>
        </w:rPr>
      </w:pPr>
      <w:bookmarkStart w:id="242" w:name="_Toc245897318"/>
      <w:bookmarkStart w:id="243" w:name="_Toc26320"/>
      <w:bookmarkStart w:id="244" w:name="_Toc243907621"/>
      <w:r>
        <w:rPr>
          <w:rFonts w:hint="eastAsia" w:ascii="宋体" w:hAnsi="宋体"/>
          <w:color w:val="auto"/>
          <w:sz w:val="24"/>
        </w:rPr>
        <w:t>41、合同的签订准则</w:t>
      </w:r>
      <w:bookmarkEnd w:id="242"/>
      <w:bookmarkEnd w:id="243"/>
      <w:bookmarkEnd w:id="244"/>
    </w:p>
    <w:p>
      <w:pPr>
        <w:spacing w:line="360" w:lineRule="auto"/>
        <w:ind w:firstLine="480" w:firstLineChars="200"/>
        <w:rPr>
          <w:rFonts w:hint="eastAsia" w:ascii="宋体" w:hAnsi="宋体"/>
          <w:color w:val="auto"/>
          <w:sz w:val="24"/>
        </w:rPr>
      </w:pPr>
      <w:r>
        <w:rPr>
          <w:rFonts w:hint="eastAsia" w:ascii="宋体" w:hAnsi="宋体"/>
          <w:color w:val="auto"/>
          <w:sz w:val="24"/>
        </w:rPr>
        <w:t>41.1合同签订必须由采购人、</w:t>
      </w:r>
      <w:r>
        <w:rPr>
          <w:rFonts w:hint="eastAsia" w:ascii="宋体" w:hAnsi="宋体"/>
          <w:color w:val="auto"/>
          <w:sz w:val="24"/>
          <w:lang w:eastAsia="zh-CN"/>
        </w:rPr>
        <w:t>成交</w:t>
      </w:r>
      <w:r>
        <w:rPr>
          <w:rFonts w:hint="eastAsia" w:ascii="宋体" w:hAnsi="宋体"/>
          <w:color w:val="auto"/>
          <w:sz w:val="24"/>
        </w:rPr>
        <w:t>供应商双方法定代表或其委托代理人签署并加盖法人公章后方能生效。</w:t>
      </w:r>
    </w:p>
    <w:p>
      <w:pPr>
        <w:spacing w:line="360" w:lineRule="auto"/>
        <w:ind w:firstLine="480" w:firstLineChars="200"/>
        <w:rPr>
          <w:rFonts w:hint="eastAsia" w:ascii="宋体" w:hAnsi="宋体"/>
          <w:color w:val="auto"/>
          <w:sz w:val="24"/>
        </w:rPr>
      </w:pPr>
      <w:r>
        <w:rPr>
          <w:rFonts w:hint="eastAsia" w:ascii="宋体" w:hAnsi="宋体"/>
          <w:color w:val="auto"/>
          <w:sz w:val="24"/>
        </w:rPr>
        <w:t>41.2合同转包（实质性要求）</w:t>
      </w:r>
    </w:p>
    <w:p>
      <w:pPr>
        <w:spacing w:line="360" w:lineRule="auto"/>
        <w:ind w:firstLine="480" w:firstLineChars="200"/>
        <w:rPr>
          <w:rFonts w:hint="eastAsia" w:ascii="宋体" w:hAnsi="宋体"/>
          <w:color w:val="auto"/>
          <w:sz w:val="24"/>
        </w:rPr>
      </w:pPr>
      <w:r>
        <w:rPr>
          <w:rFonts w:hint="eastAsia" w:ascii="宋体" w:hAnsi="宋体"/>
          <w:color w:val="auto"/>
          <w:sz w:val="24"/>
        </w:rPr>
        <w:t>本采购项目严禁</w:t>
      </w:r>
      <w:r>
        <w:rPr>
          <w:rFonts w:hint="eastAsia" w:ascii="宋体" w:hAnsi="宋体"/>
          <w:color w:val="auto"/>
          <w:sz w:val="24"/>
          <w:lang w:eastAsia="zh-CN"/>
        </w:rPr>
        <w:t>成交</w:t>
      </w:r>
      <w:r>
        <w:rPr>
          <w:rFonts w:hint="eastAsia" w:ascii="宋体" w:hAnsi="宋体"/>
          <w:color w:val="auto"/>
          <w:sz w:val="24"/>
        </w:rPr>
        <w:t>供应商将任何政府采购合同义务转包。本项目所称转包，是指</w:t>
      </w:r>
      <w:r>
        <w:rPr>
          <w:rFonts w:hint="eastAsia" w:ascii="宋体" w:hAnsi="宋体"/>
          <w:color w:val="auto"/>
          <w:sz w:val="24"/>
          <w:lang w:eastAsia="zh-CN"/>
        </w:rPr>
        <w:t>成交</w:t>
      </w:r>
      <w:r>
        <w:rPr>
          <w:rFonts w:hint="eastAsia" w:ascii="宋体" w:hAnsi="宋体"/>
          <w:color w:val="auto"/>
          <w:sz w:val="24"/>
        </w:rPr>
        <w:t>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color w:val="auto"/>
          <w:sz w:val="24"/>
        </w:rPr>
      </w:pPr>
      <w:r>
        <w:rPr>
          <w:rFonts w:hint="eastAsia" w:ascii="宋体" w:hAnsi="宋体"/>
          <w:color w:val="auto"/>
          <w:sz w:val="24"/>
          <w:lang w:eastAsia="zh-CN"/>
        </w:rPr>
        <w:t>成交</w:t>
      </w:r>
      <w:r>
        <w:rPr>
          <w:rFonts w:hint="eastAsia" w:ascii="宋体" w:hAnsi="宋体"/>
          <w:color w:val="auto"/>
          <w:sz w:val="24"/>
        </w:rPr>
        <w:t>供应商转包的，视同拒绝履行政府采购合同义务，将依法追究法律责任。</w:t>
      </w:r>
    </w:p>
    <w:p>
      <w:pPr>
        <w:spacing w:line="360" w:lineRule="auto"/>
        <w:ind w:firstLine="482" w:firstLineChars="200"/>
        <w:rPr>
          <w:rFonts w:hint="eastAsia" w:ascii="宋体" w:hAnsi="宋体"/>
          <w:b/>
          <w:color w:val="auto"/>
          <w:sz w:val="24"/>
        </w:rPr>
      </w:pPr>
      <w:r>
        <w:rPr>
          <w:rFonts w:hint="eastAsia" w:ascii="宋体" w:hAnsi="宋体"/>
          <w:b/>
          <w:color w:val="auto"/>
          <w:sz w:val="24"/>
        </w:rPr>
        <w:t>41.3补充合同</w:t>
      </w:r>
    </w:p>
    <w:p>
      <w:pPr>
        <w:spacing w:line="360" w:lineRule="auto"/>
        <w:ind w:firstLine="482" w:firstLineChars="200"/>
        <w:rPr>
          <w:rFonts w:hint="eastAsia" w:ascii="宋体" w:hAnsi="宋体"/>
          <w:b/>
          <w:color w:val="auto"/>
          <w:sz w:val="24"/>
        </w:rPr>
      </w:pPr>
      <w:r>
        <w:rPr>
          <w:rFonts w:hint="eastAsia" w:ascii="宋体" w:hAnsi="宋体"/>
          <w:b/>
          <w:color w:val="auto"/>
          <w:sz w:val="24"/>
        </w:rPr>
        <w:t>采购合同履行过程中，采购人需要追加与合同标的相同的货物或者服务的，在不改变合同其他条款的前提下，可以与</w:t>
      </w:r>
      <w:r>
        <w:rPr>
          <w:rFonts w:hint="eastAsia" w:ascii="宋体" w:hAnsi="宋体"/>
          <w:b/>
          <w:color w:val="auto"/>
          <w:sz w:val="24"/>
          <w:lang w:eastAsia="zh-CN"/>
        </w:rPr>
        <w:t>成交</w:t>
      </w:r>
      <w:r>
        <w:rPr>
          <w:rFonts w:hint="eastAsia" w:ascii="宋体" w:hAnsi="宋体"/>
          <w:b/>
          <w:color w:val="auto"/>
          <w:sz w:val="24"/>
        </w:rPr>
        <w:t xml:space="preserve">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361" w:firstLineChars="150"/>
        <w:rPr>
          <w:rFonts w:hint="eastAsia" w:ascii="宋体" w:hAnsi="宋体"/>
          <w:b/>
          <w:color w:val="auto"/>
          <w:sz w:val="24"/>
        </w:rPr>
      </w:pPr>
      <w:r>
        <w:rPr>
          <w:rFonts w:hint="eastAsia" w:ascii="宋体" w:hAnsi="宋体"/>
          <w:b/>
          <w:color w:val="auto"/>
          <w:sz w:val="24"/>
        </w:rPr>
        <w:t>42、验收</w:t>
      </w:r>
    </w:p>
    <w:p>
      <w:pPr>
        <w:snapToGrid w:val="0"/>
        <w:spacing w:line="360" w:lineRule="auto"/>
        <w:ind w:firstLine="562" w:firstLineChars="200"/>
        <w:jc w:val="center"/>
        <w:rPr>
          <w:rFonts w:hint="eastAsia" w:ascii="宋体" w:hAnsi="宋体"/>
          <w:b/>
          <w:color w:val="auto"/>
          <w:kern w:val="0"/>
          <w:sz w:val="28"/>
        </w:rPr>
      </w:pPr>
    </w:p>
    <w:p>
      <w:pPr>
        <w:snapToGrid w:val="0"/>
        <w:spacing w:line="360" w:lineRule="auto"/>
        <w:ind w:firstLine="562" w:firstLineChars="200"/>
        <w:jc w:val="center"/>
        <w:outlineLvl w:val="1"/>
        <w:rPr>
          <w:rFonts w:hint="eastAsia" w:ascii="宋体" w:hAnsi="宋体"/>
          <w:b/>
          <w:color w:val="auto"/>
          <w:kern w:val="0"/>
          <w:sz w:val="28"/>
        </w:rPr>
      </w:pPr>
      <w:bookmarkStart w:id="245" w:name="_Toc3297"/>
      <w:r>
        <w:rPr>
          <w:rFonts w:hint="eastAsia" w:ascii="宋体" w:hAnsi="宋体"/>
          <w:b/>
          <w:color w:val="auto"/>
          <w:kern w:val="0"/>
          <w:sz w:val="28"/>
        </w:rPr>
        <w:t>G  询问、质疑、投诉</w:t>
      </w:r>
      <w:bookmarkEnd w:id="245"/>
    </w:p>
    <w:p>
      <w:pPr>
        <w:snapToGrid w:val="0"/>
        <w:spacing w:line="360" w:lineRule="auto"/>
        <w:ind w:firstLine="482" w:firstLineChars="200"/>
        <w:jc w:val="left"/>
        <w:rPr>
          <w:rFonts w:hint="eastAsia" w:ascii="宋体" w:hAnsi="宋体"/>
          <w:b/>
          <w:color w:val="auto"/>
          <w:sz w:val="24"/>
        </w:rPr>
      </w:pPr>
      <w:r>
        <w:rPr>
          <w:rFonts w:hint="eastAsia" w:ascii="宋体" w:hAnsi="宋体"/>
          <w:b/>
          <w:color w:val="auto"/>
          <w:sz w:val="24"/>
        </w:rPr>
        <w:t>43、询问</w:t>
      </w:r>
    </w:p>
    <w:p>
      <w:pPr>
        <w:spacing w:line="440" w:lineRule="exact"/>
        <w:ind w:firstLine="480" w:firstLineChars="200"/>
        <w:rPr>
          <w:rFonts w:hint="eastAsia" w:ascii="宋体" w:hAnsi="宋体"/>
          <w:color w:val="auto"/>
          <w:sz w:val="24"/>
        </w:rPr>
      </w:pPr>
      <w:r>
        <w:rPr>
          <w:rFonts w:hint="eastAsia" w:ascii="宋体" w:hAnsi="宋体"/>
          <w:color w:val="auto"/>
          <w:sz w:val="24"/>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ind w:firstLine="482" w:firstLineChars="200"/>
        <w:rPr>
          <w:rFonts w:hint="eastAsia" w:ascii="宋体" w:hAnsi="宋体"/>
          <w:b/>
          <w:color w:val="auto"/>
          <w:sz w:val="24"/>
        </w:rPr>
      </w:pPr>
      <w:r>
        <w:rPr>
          <w:rFonts w:hint="eastAsia" w:ascii="宋体" w:hAnsi="宋体"/>
          <w:b/>
          <w:color w:val="auto"/>
          <w:sz w:val="24"/>
        </w:rPr>
        <w:t>44、质疑</w:t>
      </w:r>
    </w:p>
    <w:p>
      <w:pPr>
        <w:spacing w:line="440" w:lineRule="exact"/>
        <w:ind w:firstLine="480" w:firstLineChars="200"/>
        <w:rPr>
          <w:rFonts w:hint="eastAsia" w:ascii="宋体" w:hAnsi="宋体"/>
          <w:color w:val="auto"/>
          <w:sz w:val="24"/>
        </w:rPr>
      </w:pPr>
      <w:r>
        <w:rPr>
          <w:rFonts w:hint="eastAsia" w:ascii="宋体" w:hAnsi="宋体"/>
          <w:color w:val="auto"/>
          <w:sz w:val="24"/>
        </w:rPr>
        <w:t>44.1 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color w:val="auto"/>
          <w:sz w:val="24"/>
        </w:rPr>
      </w:pPr>
      <w:r>
        <w:rPr>
          <w:rFonts w:hint="eastAsia" w:ascii="宋体" w:hAnsi="宋体"/>
          <w:color w:val="auto"/>
          <w:sz w:val="24"/>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44.3上述应知其权益受到损害之日是指：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（1）对采购文件提出质疑的，为采购文件公告期限届满之日起计算； </w:t>
      </w:r>
    </w:p>
    <w:p>
      <w:pPr>
        <w:spacing w:line="440" w:lineRule="exact"/>
        <w:ind w:firstLine="480" w:firstLineChars="200"/>
        <w:rPr>
          <w:rFonts w:hint="eastAsia" w:ascii="宋体" w:hAnsi="宋体"/>
          <w:color w:val="auto"/>
          <w:sz w:val="24"/>
        </w:rPr>
      </w:pPr>
      <w:r>
        <w:rPr>
          <w:rFonts w:hint="eastAsia" w:ascii="宋体" w:hAnsi="宋体"/>
          <w:color w:val="auto"/>
          <w:sz w:val="24"/>
        </w:rPr>
        <w:t>（2）对采购过程提出质疑的，自采购程序环节结束之日起计算；</w:t>
      </w:r>
    </w:p>
    <w:p>
      <w:pPr>
        <w:spacing w:line="440" w:lineRule="exact"/>
        <w:ind w:firstLine="480" w:firstLineChars="200"/>
        <w:rPr>
          <w:rFonts w:hint="eastAsia" w:ascii="宋体" w:hAnsi="宋体"/>
          <w:color w:val="auto"/>
          <w:sz w:val="24"/>
        </w:rPr>
      </w:pPr>
      <w:r>
        <w:rPr>
          <w:rFonts w:hint="eastAsia" w:ascii="宋体" w:hAnsi="宋体"/>
          <w:color w:val="auto"/>
          <w:sz w:val="24"/>
        </w:rPr>
        <w:t>（3）对中标或者成交结果提出质疑的，自中标或者成交结果公告期限届满之日起计算。</w:t>
      </w:r>
    </w:p>
    <w:p>
      <w:pPr>
        <w:spacing w:line="440" w:lineRule="exact"/>
        <w:ind w:firstLine="480" w:firstLineChars="200"/>
        <w:rPr>
          <w:rFonts w:hint="eastAsia" w:ascii="宋体" w:hAnsi="宋体"/>
          <w:color w:val="auto"/>
          <w:sz w:val="24"/>
        </w:rPr>
      </w:pPr>
      <w:r>
        <w:rPr>
          <w:rFonts w:hint="eastAsia" w:ascii="宋体" w:hAnsi="宋体"/>
          <w:color w:val="auto"/>
          <w:sz w:val="24"/>
        </w:rPr>
        <w:t>44.4质疑供应商在法定质疑期内应当一次性提出针对同一采购环节提出质疑。</w:t>
      </w:r>
    </w:p>
    <w:p>
      <w:pPr>
        <w:spacing w:line="440" w:lineRule="exact"/>
        <w:ind w:firstLine="482" w:firstLineChars="200"/>
        <w:rPr>
          <w:rFonts w:hint="eastAsia" w:ascii="宋体" w:hAnsi="宋体"/>
          <w:b/>
          <w:color w:val="auto"/>
          <w:sz w:val="24"/>
        </w:rPr>
      </w:pPr>
      <w:r>
        <w:rPr>
          <w:rFonts w:hint="eastAsia" w:ascii="宋体" w:hAnsi="宋体"/>
          <w:b/>
          <w:color w:val="auto"/>
          <w:sz w:val="24"/>
        </w:rPr>
        <w:t>44.5质疑文件应包括以下主要内容，并按照“谁主张、谁举证”的原则，附上相关证明材料。否则，采购代理机构不予受理</w:t>
      </w:r>
      <w:r>
        <w:rPr>
          <w:rFonts w:hint="eastAsia" w:ascii="宋体" w:hAnsi="宋体"/>
          <w:b/>
          <w:color w:val="auto"/>
          <w:sz w:val="24"/>
          <w:lang w:eastAsia="zh-CN"/>
        </w:rPr>
        <w:t>。</w:t>
      </w:r>
      <w:r>
        <w:rPr>
          <w:rFonts w:hint="eastAsia" w:ascii="宋体" w:hAnsi="宋体"/>
          <w:b/>
          <w:color w:val="auto"/>
          <w:sz w:val="24"/>
        </w:rPr>
        <w:t>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（1）供应商的姓名或者名称、地址、邮编、联系人及联系电话（包括座机、手机、传真号码等）；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（2）质疑项目的名称、项目编号、包号、采购公告发布时间、递交响应文件或响应文件截止时间；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（3）具体、明确的质疑事项和与质疑事项相关的请求；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（5）必要的法律依据； </w:t>
      </w:r>
    </w:p>
    <w:p>
      <w:pPr>
        <w:spacing w:line="440" w:lineRule="exact"/>
        <w:ind w:firstLine="480" w:firstLineChars="200"/>
        <w:rPr>
          <w:rFonts w:hint="eastAsia" w:ascii="宋体" w:hAnsi="宋体"/>
          <w:color w:val="auto"/>
          <w:sz w:val="24"/>
        </w:rPr>
      </w:pPr>
      <w:r>
        <w:rPr>
          <w:rFonts w:hint="eastAsia" w:ascii="宋体" w:hAnsi="宋体"/>
          <w:color w:val="auto"/>
          <w:sz w:val="24"/>
        </w:rPr>
        <w:t>（6）提起质疑的日期；</w:t>
      </w:r>
    </w:p>
    <w:p>
      <w:pPr>
        <w:spacing w:line="440" w:lineRule="exact"/>
        <w:ind w:firstLine="480" w:firstLineChars="200"/>
        <w:rPr>
          <w:rFonts w:hint="eastAsia" w:ascii="宋体" w:hAnsi="宋体"/>
          <w:color w:val="auto"/>
          <w:sz w:val="24"/>
        </w:rPr>
      </w:pPr>
      <w:r>
        <w:rPr>
          <w:rFonts w:hint="eastAsia" w:ascii="宋体" w:hAnsi="宋体"/>
          <w:color w:val="auto"/>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color w:val="auto"/>
          <w:sz w:val="24"/>
        </w:rPr>
      </w:pPr>
      <w:r>
        <w:rPr>
          <w:rFonts w:hint="eastAsia" w:ascii="宋体" w:hAnsi="宋体"/>
          <w:color w:val="auto"/>
          <w:sz w:val="24"/>
        </w:rPr>
        <w:t>（8）供应商委托代理质疑的，应当提交授权委托书，并载明代理人的姓名或者名称、代理事项、具体权限、期限和相关事项。</w:t>
      </w:r>
    </w:p>
    <w:p>
      <w:pPr>
        <w:spacing w:line="440" w:lineRule="exact"/>
        <w:ind w:firstLine="480" w:firstLineChars="200"/>
        <w:rPr>
          <w:rFonts w:hint="eastAsia" w:ascii="宋体" w:hAnsi="宋体"/>
          <w:color w:val="auto"/>
          <w:sz w:val="24"/>
        </w:rPr>
      </w:pPr>
      <w:r>
        <w:rPr>
          <w:rFonts w:hint="eastAsia" w:ascii="宋体" w:hAnsi="宋体"/>
          <w:color w:val="auto"/>
          <w:sz w:val="24"/>
        </w:rPr>
        <w:t>44.6质疑供应商是指直接参加本项目采购活动的供应商，未参加政府采购活动的供应商或在采购活动中自身权益未受到损害的供应商所提出的质疑不予受理。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hint="eastAsia" w:ascii="宋体" w:hAnsi="宋体"/>
          <w:color w:val="auto"/>
          <w:sz w:val="24"/>
        </w:rPr>
      </w:pPr>
      <w:r>
        <w:rPr>
          <w:rFonts w:hint="eastAsia" w:ascii="宋体" w:hAnsi="宋体"/>
          <w:color w:val="auto"/>
          <w:sz w:val="24"/>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ind w:firstLine="482" w:firstLineChars="200"/>
        <w:rPr>
          <w:rFonts w:hint="eastAsia" w:ascii="宋体" w:hAnsi="宋体"/>
          <w:b/>
          <w:color w:val="auto"/>
          <w:sz w:val="24"/>
        </w:rPr>
      </w:pPr>
      <w:r>
        <w:rPr>
          <w:rFonts w:hint="eastAsia" w:ascii="宋体" w:hAnsi="宋体"/>
          <w:b/>
          <w:color w:val="auto"/>
          <w:sz w:val="24"/>
        </w:rPr>
        <w:t>45、投诉</w:t>
      </w:r>
    </w:p>
    <w:p>
      <w:pPr>
        <w:spacing w:line="440" w:lineRule="exact"/>
        <w:ind w:firstLine="480" w:firstLineChars="200"/>
        <w:rPr>
          <w:rFonts w:hint="eastAsia" w:ascii="宋体" w:hAnsi="宋体"/>
          <w:color w:val="auto"/>
          <w:sz w:val="24"/>
        </w:rPr>
      </w:pPr>
      <w:r>
        <w:rPr>
          <w:rFonts w:hint="eastAsia" w:ascii="宋体" w:hAnsi="宋体"/>
          <w:color w:val="auto"/>
          <w:sz w:val="24"/>
        </w:rPr>
        <w:t>45.1质疑供应商对采购人、采购代理机构的答复不满意，或采购人、采购代理机构未在规定的时间内作出答复的，可以在答复期满后十五个工作日内向采购项目</w:t>
      </w:r>
      <w:r>
        <w:rPr>
          <w:rFonts w:hint="eastAsia" w:ascii="宋体" w:hAnsi="宋体"/>
          <w:color w:val="auto"/>
          <w:sz w:val="24"/>
          <w:lang w:val="en-US" w:eastAsia="zh-CN"/>
        </w:rPr>
        <w:t>上级主管部门</w:t>
      </w:r>
      <w:r>
        <w:rPr>
          <w:rFonts w:hint="eastAsia" w:ascii="宋体" w:hAnsi="宋体"/>
          <w:color w:val="auto"/>
          <w:sz w:val="24"/>
        </w:rPr>
        <w:t>提起投诉。</w:t>
      </w:r>
    </w:p>
    <w:p>
      <w:pPr>
        <w:spacing w:line="440" w:lineRule="exact"/>
        <w:ind w:firstLine="480" w:firstLineChars="200"/>
        <w:rPr>
          <w:rFonts w:hint="eastAsia" w:ascii="宋体" w:hAnsi="宋体"/>
          <w:color w:val="auto"/>
          <w:sz w:val="24"/>
        </w:rPr>
      </w:pPr>
      <w:r>
        <w:rPr>
          <w:rFonts w:hint="eastAsia" w:ascii="宋体" w:hAnsi="宋体"/>
          <w:color w:val="auto"/>
          <w:sz w:val="24"/>
        </w:rPr>
        <w:t>45.2供应商投诉的事项不得超出已质疑事项的范围，但基于质疑答复内容提出的投诉事项除外。</w:t>
      </w:r>
    </w:p>
    <w:p>
      <w:pPr>
        <w:spacing w:line="440" w:lineRule="exact"/>
        <w:ind w:firstLine="482" w:firstLineChars="200"/>
        <w:rPr>
          <w:rFonts w:hint="eastAsia" w:ascii="宋体" w:hAnsi="宋体"/>
          <w:b/>
          <w:color w:val="auto"/>
          <w:sz w:val="24"/>
        </w:rPr>
      </w:pPr>
      <w:r>
        <w:rPr>
          <w:rFonts w:hint="eastAsia" w:ascii="宋体" w:hAnsi="宋体"/>
          <w:b/>
          <w:color w:val="auto"/>
          <w:sz w:val="24"/>
        </w:rPr>
        <w:t>46、诚实信用</w:t>
      </w:r>
    </w:p>
    <w:p>
      <w:pPr>
        <w:spacing w:line="440" w:lineRule="exact"/>
        <w:ind w:firstLine="480" w:firstLineChars="200"/>
        <w:rPr>
          <w:rFonts w:hint="eastAsia" w:ascii="宋体" w:hAnsi="宋体"/>
          <w:color w:val="auto"/>
          <w:sz w:val="24"/>
        </w:rPr>
      </w:pPr>
      <w:r>
        <w:rPr>
          <w:rFonts w:hint="eastAsia" w:ascii="宋体" w:hAnsi="宋体"/>
          <w:color w:val="auto"/>
          <w:sz w:val="24"/>
        </w:rPr>
        <w:t>46.1供应商不得虚假质疑和恶意质疑，并对质疑内容的真实性承担责任。</w:t>
      </w:r>
    </w:p>
    <w:p>
      <w:pPr>
        <w:spacing w:line="440" w:lineRule="exact"/>
        <w:ind w:firstLine="480" w:firstLineChars="200"/>
        <w:rPr>
          <w:rFonts w:hint="eastAsia" w:ascii="宋体" w:hAnsi="宋体"/>
          <w:b/>
          <w:color w:val="auto"/>
          <w:kern w:val="0"/>
          <w:sz w:val="28"/>
        </w:rPr>
      </w:pPr>
      <w:r>
        <w:rPr>
          <w:rFonts w:hint="eastAsia" w:ascii="宋体" w:hAnsi="宋体"/>
          <w:color w:val="auto"/>
          <w:sz w:val="24"/>
        </w:rPr>
        <w:t>46.2 供应商不得虚假承诺，否则，按照提供虚假材料谋取中标或成交处理。</w:t>
      </w:r>
      <w:bookmarkStart w:id="246" w:name="_Toc31058"/>
    </w:p>
    <w:p>
      <w:pPr>
        <w:snapToGrid w:val="0"/>
        <w:spacing w:line="360" w:lineRule="auto"/>
        <w:jc w:val="center"/>
        <w:outlineLvl w:val="1"/>
        <w:rPr>
          <w:rFonts w:hint="eastAsia" w:ascii="宋体" w:hAnsi="宋体"/>
          <w:b/>
          <w:color w:val="auto"/>
          <w:kern w:val="0"/>
          <w:sz w:val="28"/>
        </w:rPr>
      </w:pPr>
      <w:r>
        <w:rPr>
          <w:rFonts w:hint="eastAsia" w:ascii="宋体" w:hAnsi="宋体"/>
          <w:b/>
          <w:color w:val="auto"/>
          <w:kern w:val="0"/>
          <w:sz w:val="28"/>
        </w:rPr>
        <w:t>H   义务、工作纪律</w:t>
      </w:r>
      <w:bookmarkEnd w:id="246"/>
    </w:p>
    <w:p>
      <w:pPr>
        <w:snapToGrid w:val="0"/>
        <w:spacing w:line="360" w:lineRule="auto"/>
        <w:rPr>
          <w:rFonts w:hint="eastAsia" w:ascii="宋体" w:hAnsi="宋体"/>
          <w:b/>
          <w:color w:val="auto"/>
          <w:kern w:val="0"/>
          <w:sz w:val="28"/>
        </w:rPr>
      </w:pPr>
    </w:p>
    <w:p>
      <w:pPr>
        <w:tabs>
          <w:tab w:val="left" w:pos="7665"/>
        </w:tabs>
        <w:spacing w:line="360" w:lineRule="auto"/>
        <w:ind w:firstLine="482" w:firstLineChars="200"/>
        <w:rPr>
          <w:rFonts w:hint="eastAsia" w:ascii="宋体" w:hAnsi="宋体"/>
          <w:b/>
          <w:color w:val="auto"/>
          <w:sz w:val="24"/>
        </w:rPr>
      </w:pPr>
      <w:r>
        <w:rPr>
          <w:rFonts w:hint="eastAsia" w:ascii="宋体" w:hAnsi="宋体"/>
          <w:b/>
          <w:color w:val="auto"/>
          <w:sz w:val="24"/>
        </w:rPr>
        <w:t>47、磋商小组在政府采购活动中承担以下义务：</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（一）遵守评审工作纪律；</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（三）不得泄露评审文件、评审情况和在评审过程中获悉的商业秘密；</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（六）及时向财政、监察等部门举报在评审过程中受到非法干预的情况；</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（七）配合答复处理供应商的询问、质疑和投诉等事项；</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（八）法律、法规和规章规定的其他义务。</w:t>
      </w:r>
    </w:p>
    <w:p>
      <w:pPr>
        <w:tabs>
          <w:tab w:val="left" w:pos="7665"/>
        </w:tabs>
        <w:spacing w:line="360" w:lineRule="auto"/>
        <w:ind w:firstLine="482" w:firstLineChars="200"/>
        <w:rPr>
          <w:rFonts w:hint="eastAsia" w:ascii="宋体" w:hAnsi="宋体"/>
          <w:color w:val="auto"/>
          <w:sz w:val="24"/>
        </w:rPr>
      </w:pPr>
      <w:r>
        <w:rPr>
          <w:rFonts w:hint="eastAsia" w:ascii="宋体" w:hAnsi="宋体"/>
          <w:b/>
          <w:color w:val="auto"/>
          <w:sz w:val="24"/>
        </w:rPr>
        <w:t>48、评审专家在政府采购活动中应当遵守以下工作纪律</w:t>
      </w:r>
      <w:r>
        <w:rPr>
          <w:rFonts w:hint="eastAsia" w:ascii="宋体" w:hAnsi="宋体"/>
          <w:color w:val="auto"/>
          <w:sz w:val="24"/>
        </w:rPr>
        <w:t>：</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（二）评审前，应当将通讯工具或者相关电子设备交由采购代理机构统一保管；</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color w:val="auto"/>
          <w:sz w:val="24"/>
        </w:rPr>
      </w:pPr>
      <w:r>
        <w:rPr>
          <w:rFonts w:hint="eastAsia" w:ascii="宋体" w:hAnsi="宋体"/>
          <w:color w:val="auto"/>
          <w:sz w:val="24"/>
        </w:rPr>
        <w:t>（七）遵守有关廉洁自律规定，不得私下接触供应商，不得收受供应商及有关业务单位和个人的财物或好处，不得接受采购代理机构的请托。</w:t>
      </w:r>
    </w:p>
    <w:p>
      <w:pPr>
        <w:spacing w:line="360" w:lineRule="auto"/>
        <w:ind w:firstLine="482"/>
        <w:rPr>
          <w:rFonts w:hint="eastAsia" w:ascii="宋体" w:hAnsi="宋体"/>
          <w:color w:val="auto"/>
          <w:sz w:val="24"/>
        </w:rPr>
      </w:pPr>
    </w:p>
    <w:p>
      <w:pPr>
        <w:pStyle w:val="6"/>
        <w:rPr>
          <w:rFonts w:hint="eastAsia"/>
        </w:rPr>
      </w:pPr>
    </w:p>
    <w:p>
      <w:pPr>
        <w:pStyle w:val="19"/>
        <w:rPr>
          <w:rFonts w:hint="eastAsia" w:ascii="宋体" w:hAnsi="宋体"/>
          <w:color w:val="auto"/>
          <w:sz w:val="24"/>
        </w:rPr>
      </w:pPr>
    </w:p>
    <w:p>
      <w:pPr>
        <w:pStyle w:val="19"/>
        <w:rPr>
          <w:rFonts w:hint="eastAsia" w:ascii="宋体" w:hAnsi="宋体"/>
          <w:color w:val="auto"/>
          <w:sz w:val="24"/>
        </w:rPr>
      </w:pPr>
    </w:p>
    <w:p>
      <w:pPr>
        <w:pStyle w:val="9"/>
        <w:adjustRightInd w:val="0"/>
        <w:snapToGrid w:val="0"/>
        <w:spacing w:line="360" w:lineRule="auto"/>
        <w:jc w:val="center"/>
        <w:outlineLvl w:val="0"/>
        <w:rPr>
          <w:rFonts w:hint="eastAsia" w:hAnsi="宋体"/>
          <w:b/>
          <w:color w:val="auto"/>
          <w:sz w:val="28"/>
        </w:rPr>
      </w:pPr>
      <w:bookmarkStart w:id="247" w:name="_Toc28350"/>
      <w:r>
        <w:rPr>
          <w:rFonts w:hint="eastAsia" w:hAnsi="宋体"/>
          <w:b/>
          <w:color w:val="auto"/>
          <w:sz w:val="28"/>
        </w:rPr>
        <w:t>第三章  项目采购需求及合同条款</w:t>
      </w:r>
      <w:bookmarkEnd w:id="247"/>
    </w:p>
    <w:p>
      <w:pPr>
        <w:pStyle w:val="9"/>
        <w:adjustRightInd w:val="0"/>
        <w:snapToGrid w:val="0"/>
        <w:spacing w:line="360" w:lineRule="auto"/>
        <w:jc w:val="center"/>
        <w:outlineLvl w:val="0"/>
        <w:rPr>
          <w:rFonts w:hint="eastAsia" w:hAnsi="宋体"/>
          <w:b/>
          <w:color w:val="auto"/>
          <w:sz w:val="28"/>
        </w:rPr>
      </w:pPr>
    </w:p>
    <w:p>
      <w:pPr>
        <w:pStyle w:val="19"/>
        <w:numPr>
          <w:ilvl w:val="0"/>
          <w:numId w:val="6"/>
        </w:numPr>
        <w:spacing w:line="480" w:lineRule="auto"/>
        <w:ind w:left="420" w:leftChars="0" w:firstLineChars="0"/>
        <w:outlineLvl w:val="1"/>
        <w:rPr>
          <w:rFonts w:hint="default" w:ascii="宋体" w:hAnsi="宋体" w:eastAsia="宋体" w:cs="宋体"/>
          <w:b/>
          <w:bCs w:val="0"/>
          <w:color w:val="000000"/>
          <w:sz w:val="24"/>
          <w:szCs w:val="24"/>
          <w:lang w:val="en-US" w:eastAsia="zh-CN"/>
        </w:rPr>
      </w:pPr>
      <w:bookmarkStart w:id="248" w:name="_Toc6704"/>
      <w:r>
        <w:rPr>
          <w:rFonts w:hint="eastAsia" w:ascii="宋体" w:hAnsi="宋体" w:eastAsia="宋体" w:cs="宋体"/>
          <w:b/>
          <w:bCs w:val="0"/>
          <w:color w:val="000000"/>
          <w:sz w:val="24"/>
          <w:szCs w:val="24"/>
          <w:lang w:val="en-US" w:eastAsia="zh-CN"/>
        </w:rPr>
        <w:t>项目名称：</w:t>
      </w:r>
      <w:bookmarkEnd w:id="248"/>
      <w:bookmarkStart w:id="249" w:name="_Toc235"/>
      <w:r>
        <w:rPr>
          <w:rFonts w:hint="eastAsia" w:ascii="宋体" w:hAnsi="宋体" w:eastAsia="宋体" w:cs="宋体"/>
          <w:b w:val="0"/>
          <w:bCs/>
          <w:color w:val="000000"/>
          <w:sz w:val="24"/>
          <w:szCs w:val="24"/>
          <w:lang w:val="en-US" w:eastAsia="zh-CN"/>
        </w:rPr>
        <w:t>塔城地区机关事务管理局塔城地区政务服务与公共资源交易中心物业管理</w:t>
      </w:r>
    </w:p>
    <w:bookmarkEnd w:id="249"/>
    <w:p>
      <w:pPr>
        <w:pStyle w:val="19"/>
        <w:numPr>
          <w:ilvl w:val="0"/>
          <w:numId w:val="6"/>
        </w:numPr>
        <w:spacing w:line="480" w:lineRule="auto"/>
        <w:ind w:left="420" w:leftChars="0" w:firstLineChars="0"/>
        <w:outlineLvl w:val="1"/>
        <w:rPr>
          <w:rFonts w:hint="default" w:ascii="宋体" w:hAnsi="宋体" w:eastAsia="宋体" w:cs="宋体"/>
          <w:b/>
          <w:bCs w:val="0"/>
          <w:color w:val="000000"/>
          <w:sz w:val="24"/>
          <w:szCs w:val="24"/>
          <w:lang w:val="en-US" w:eastAsia="zh-CN"/>
        </w:rPr>
      </w:pPr>
      <w:bookmarkStart w:id="250" w:name="_Toc11512"/>
      <w:r>
        <w:rPr>
          <w:rFonts w:hint="default" w:ascii="宋体" w:hAnsi="宋体" w:eastAsia="宋体" w:cs="宋体"/>
          <w:b/>
          <w:bCs w:val="0"/>
          <w:color w:val="000000"/>
          <w:sz w:val="24"/>
          <w:szCs w:val="24"/>
          <w:highlight w:val="yellow"/>
          <w:lang w:val="en-US" w:eastAsia="zh-CN"/>
        </w:rPr>
        <w:t>合同履约期限：</w:t>
      </w:r>
      <w:bookmarkEnd w:id="250"/>
      <w:bookmarkStart w:id="251" w:name="_Toc30148"/>
      <w:r>
        <w:rPr>
          <w:rFonts w:hint="default" w:ascii="宋体" w:hAnsi="宋体" w:eastAsia="宋体" w:cs="宋体"/>
          <w:b/>
          <w:bCs w:val="0"/>
          <w:color w:val="000000"/>
          <w:sz w:val="24"/>
          <w:szCs w:val="24"/>
          <w:highlight w:val="yellow"/>
          <w:lang w:val="en-US" w:eastAsia="zh-CN"/>
        </w:rPr>
        <w:t>合同服务期1年。在年度预算能保障的前提下，合同金额不变，经财政部门同意，采购人根据每年考核结果决定是否续签下一年合同，合同期限可以延长1年至2年，不超过2年。</w:t>
      </w:r>
    </w:p>
    <w:p>
      <w:pPr>
        <w:pStyle w:val="19"/>
        <w:numPr>
          <w:ilvl w:val="0"/>
          <w:numId w:val="6"/>
        </w:numPr>
        <w:spacing w:line="480" w:lineRule="auto"/>
        <w:ind w:left="420" w:leftChars="0" w:firstLineChars="0"/>
        <w:outlineLvl w:val="1"/>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采购需求</w:t>
      </w:r>
      <w:r>
        <w:rPr>
          <w:rFonts w:hint="eastAsia" w:ascii="宋体" w:hAnsi="宋体" w:eastAsia="宋体" w:cs="宋体"/>
          <w:b/>
          <w:bCs w:val="0"/>
          <w:color w:val="000000"/>
          <w:sz w:val="24"/>
          <w:szCs w:val="24"/>
          <w:lang w:val="en-US" w:eastAsia="zh-CN"/>
        </w:rPr>
        <w:t>：</w:t>
      </w:r>
      <w:bookmarkEnd w:id="251"/>
      <w:r>
        <w:rPr>
          <w:rFonts w:hint="default" w:ascii="宋体" w:hAnsi="宋体" w:eastAsia="宋体" w:cs="宋体"/>
          <w:b w:val="0"/>
          <w:bCs/>
          <w:color w:val="000000"/>
          <w:sz w:val="24"/>
          <w:szCs w:val="24"/>
          <w:lang w:val="en-US" w:eastAsia="zh-CN"/>
        </w:rPr>
        <w:t>塔城地区机关事务管理局塔城地区政务服务与公共资源交易中心物业管理，办公楼建筑面积19998.55平方米；占地面积22126.54平方米，</w:t>
      </w:r>
    </w:p>
    <w:p>
      <w:pPr>
        <w:pStyle w:val="9"/>
        <w:numPr>
          <w:ilvl w:val="0"/>
          <w:numId w:val="6"/>
        </w:numPr>
        <w:spacing w:line="240" w:lineRule="auto"/>
        <w:ind w:left="420" w:leftChars="0" w:firstLine="0" w:firstLineChars="0"/>
        <w:jc w:val="left"/>
        <w:outlineLvl w:val="1"/>
        <w:rPr>
          <w:rFonts w:hint="eastAsia" w:ascii="宋体" w:hAnsi="宋体" w:eastAsia="宋体" w:cs="宋体"/>
          <w:b/>
          <w:bCs w:val="0"/>
          <w:color w:val="000000"/>
          <w:sz w:val="24"/>
          <w:szCs w:val="24"/>
          <w:lang w:val="en-US" w:eastAsia="zh-CN"/>
        </w:rPr>
      </w:pPr>
      <w:bookmarkStart w:id="252" w:name="_Toc13613"/>
      <w:r>
        <w:rPr>
          <w:rFonts w:hint="eastAsia" w:ascii="宋体" w:hAnsi="宋体" w:eastAsia="宋体" w:cs="宋体"/>
          <w:b/>
          <w:bCs w:val="0"/>
          <w:color w:val="000000"/>
          <w:sz w:val="24"/>
          <w:szCs w:val="24"/>
          <w:lang w:val="en-US" w:eastAsia="zh-CN"/>
        </w:rPr>
        <w:t>具体</w:t>
      </w:r>
      <w:r>
        <w:rPr>
          <w:rFonts w:hint="eastAsia" w:hAnsi="宋体" w:cs="宋体"/>
          <w:b/>
          <w:bCs w:val="0"/>
          <w:color w:val="000000"/>
          <w:sz w:val="24"/>
          <w:szCs w:val="24"/>
          <w:lang w:val="en-US" w:eastAsia="zh-CN"/>
        </w:rPr>
        <w:t>要求</w:t>
      </w:r>
      <w:r>
        <w:rPr>
          <w:rFonts w:hint="eastAsia" w:ascii="宋体" w:hAnsi="宋体" w:eastAsia="宋体" w:cs="宋体"/>
          <w:b/>
          <w:bCs w:val="0"/>
          <w:color w:val="000000"/>
          <w:sz w:val="24"/>
          <w:szCs w:val="24"/>
          <w:lang w:val="en-US" w:eastAsia="zh-CN"/>
        </w:rPr>
        <w:t>要求如下：</w:t>
      </w:r>
      <w:bookmarkEnd w:id="252"/>
    </w:p>
    <w:p>
      <w:pPr>
        <w:keepNext w:val="0"/>
        <w:keepLines w:val="0"/>
        <w:pageBreakBefore w:val="0"/>
        <w:widowControl/>
        <w:pBdr>
          <w:top w:val="none" w:color="000000" w:sz="0" w:space="3"/>
          <w:left w:val="none" w:color="000000" w:sz="0" w:space="3"/>
          <w:bottom w:val="none" w:color="000000" w:sz="0" w:space="3"/>
          <w:right w:val="none" w:color="000000" w:sz="0" w:space="3"/>
          <w:between w:val="none" w:color="000000" w:sz="0" w:space="0"/>
        </w:pBdr>
        <w:shd w:val="clear" w:color="000000" w:fill="FFFFFF"/>
        <w:kinsoku/>
        <w:wordWrap/>
        <w:overflowPunct/>
        <w:topLinePunct w:val="0"/>
        <w:autoSpaceDE/>
        <w:autoSpaceDN/>
        <w:bidi w:val="0"/>
        <w:adjustRightInd/>
        <w:snapToGrid/>
        <w:spacing w:line="520" w:lineRule="exact"/>
        <w:ind w:firstLine="361" w:firstLineChars="150"/>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一</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、服务内容及区域</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地区政务服务与公共资源交易中心物业管理；地</w:t>
      </w:r>
      <w:r>
        <w:rPr>
          <w:rFonts w:hint="eastAsia" w:ascii="宋体" w:hAnsi="宋体" w:eastAsia="宋体" w:cs="宋体"/>
          <w:sz w:val="24"/>
          <w:lang w:bidi="ar-SA"/>
        </w:rPr>
        <w:t>址</w:t>
      </w:r>
      <w:r>
        <w:rPr>
          <w:rFonts w:hint="eastAsia" w:ascii="宋体" w:hAnsi="宋体" w:eastAsia="宋体" w:cs="宋体"/>
          <w:sz w:val="24"/>
          <w:szCs w:val="24"/>
          <w:lang w:bidi="ar-SA"/>
        </w:rPr>
        <w:t>:塔城市迎宾路六合广场环路3号；办公楼建筑面积19998.55平方米；占地面积22126.54平方米。</w:t>
      </w:r>
    </w:p>
    <w:p>
      <w:pPr>
        <w:keepNext w:val="0"/>
        <w:keepLines w:val="0"/>
        <w:pageBreakBefore w:val="0"/>
        <w:numPr>
          <w:ilvl w:val="0"/>
          <w:numId w:val="0"/>
        </w:numPr>
        <w:kinsoku/>
        <w:wordWrap/>
        <w:overflowPunct/>
        <w:topLinePunct w:val="0"/>
        <w:autoSpaceDE/>
        <w:autoSpaceDN/>
        <w:bidi w:val="0"/>
        <w:adjustRightInd/>
        <w:snapToGrid/>
        <w:spacing w:line="520" w:lineRule="exact"/>
        <w:ind w:left="420" w:leftChars="0"/>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（二）</w:t>
      </w:r>
      <w:r>
        <w:rPr>
          <w:rFonts w:hint="eastAsia" w:ascii="黑体" w:hAnsi="黑体" w:eastAsia="黑体" w:cs="黑体"/>
          <w:b/>
          <w:bCs/>
          <w:sz w:val="24"/>
          <w:szCs w:val="24"/>
          <w:lang w:bidi="ar-SA"/>
        </w:rPr>
        <w:t>委托事项</w:t>
      </w:r>
    </w:p>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宋体" w:cs="宋体"/>
          <w:sz w:val="24"/>
          <w:szCs w:val="24"/>
          <w:lang w:bidi="ar-SA"/>
        </w:rPr>
      </w:pPr>
      <w:r>
        <w:rPr>
          <w:rFonts w:hint="eastAsia" w:ascii="黑体" w:hAnsi="黑体" w:eastAsia="黑体" w:cs="黑体"/>
          <w:b/>
          <w:bCs/>
          <w:sz w:val="24"/>
          <w:szCs w:val="24"/>
          <w:lang w:bidi="ar-SA"/>
        </w:rPr>
        <w:t xml:space="preserve">  </w:t>
      </w:r>
      <w:r>
        <w:rPr>
          <w:rFonts w:hint="eastAsia" w:ascii="宋体" w:hAnsi="宋体" w:eastAsia="宋体" w:cs="宋体"/>
          <w:sz w:val="24"/>
          <w:szCs w:val="24"/>
          <w:lang w:bidi="ar-SA"/>
        </w:rPr>
        <w:t xml:space="preserve"> 1、房屋建筑本体共用部位（楼盖、屋顶、梁、柱、内外墙体和基础等承重结构部位、外墙面、楼梯间、走廊通道、门厅、设备机房、）的维修、养护和管理。</w:t>
      </w:r>
    </w:p>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宋体" w:cs="宋体"/>
          <w:sz w:val="24"/>
          <w:szCs w:val="24"/>
          <w:lang w:bidi="ar-SA"/>
        </w:rPr>
      </w:pPr>
      <w:r>
        <w:rPr>
          <w:rFonts w:hint="eastAsia" w:ascii="宋体" w:hAnsi="宋体" w:eastAsia="宋体" w:cs="宋体"/>
          <w:sz w:val="24"/>
          <w:szCs w:val="24"/>
          <w:lang w:bidi="ar-SA"/>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keepNext w:val="0"/>
        <w:keepLines w:val="0"/>
        <w:pageBreakBefore w:val="0"/>
        <w:kinsoku/>
        <w:wordWrap/>
        <w:overflowPunct/>
        <w:topLinePunct w:val="0"/>
        <w:autoSpaceDE/>
        <w:autoSpaceDN/>
        <w:bidi w:val="0"/>
        <w:adjustRightInd/>
        <w:snapToGrid/>
        <w:spacing w:line="520" w:lineRule="exact"/>
        <w:textAlignment w:val="auto"/>
        <w:rPr>
          <w:rFonts w:ascii="宋体" w:hAnsi="宋体" w:eastAsia="宋体" w:cs="宋体"/>
          <w:b/>
          <w:bCs/>
          <w:sz w:val="24"/>
          <w:szCs w:val="24"/>
          <w:lang w:bidi="ar-SA"/>
        </w:rPr>
      </w:pPr>
      <w:r>
        <w:rPr>
          <w:rFonts w:hint="eastAsia" w:ascii="宋体" w:hAnsi="宋体" w:eastAsia="宋体" w:cs="宋体"/>
          <w:b/>
          <w:bCs/>
          <w:sz w:val="24"/>
          <w:szCs w:val="24"/>
          <w:lang w:bidi="ar-SA"/>
        </w:rPr>
        <w:t>（含：地区政务服务与公共资源交易中心卫生间、开水房、电梯、会议室、楼梯走道、门厅、院落、停车场（院、内外）等范围内的室内外日常清洁及维修、养护。）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3、本物业规划红线内属于物业管理范围的市政公用设施（道路、室外上下水管道、化粪池、沟渠、沟池、绿化、室外泵房、路灯、停车场）的维修、养护和管理。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4、本物业规划红线内属的配套服务设施。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5、公共环境（包括公共场地、房屋建筑共用部位）的清洁卫生，垃圾收集、清运。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6、交通、车辆行驶及停泊。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7、</w:t>
      </w:r>
      <w:r>
        <w:rPr>
          <w:rFonts w:hint="eastAsia" w:ascii="宋体" w:hAnsi="宋体" w:eastAsia="宋体" w:cs="宋体"/>
          <w:sz w:val="24"/>
          <w:szCs w:val="24"/>
          <w:lang w:val="en-US" w:eastAsia="zh-CN" w:bidi="ar-SA"/>
        </w:rPr>
        <w:t>全权服务办公区内</w:t>
      </w:r>
      <w:r>
        <w:rPr>
          <w:rFonts w:hint="eastAsia" w:ascii="宋体" w:hAnsi="宋体" w:eastAsia="宋体" w:cs="宋体"/>
          <w:sz w:val="24"/>
          <w:szCs w:val="24"/>
          <w:lang w:bidi="ar-SA"/>
        </w:rPr>
        <w:t>消防、安全监控和巡视、检查、警卫等安保工作。认真配合和无条件协助当地相关部门的所有工作安排。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kern w:val="2"/>
          <w:sz w:val="24"/>
          <w:lang w:val="en-US" w:eastAsia="zh-CN" w:bidi="ar-SA"/>
        </w:rPr>
      </w:pPr>
      <w:r>
        <w:rPr>
          <w:rFonts w:hint="eastAsia" w:ascii="宋体" w:hAnsi="宋体" w:eastAsia="宋体" w:cs="宋体"/>
          <w:kern w:val="2"/>
          <w:sz w:val="24"/>
          <w:szCs w:val="24"/>
          <w:lang w:val="en-US" w:eastAsia="zh-CN" w:bidi="ar-SA"/>
        </w:rPr>
        <w:t>8、落实安全生产和消防安全责任制，由供应商承担主体责任。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9</w:t>
      </w:r>
      <w:r>
        <w:rPr>
          <w:rFonts w:hint="eastAsia" w:ascii="宋体" w:hAnsi="宋体" w:eastAsia="宋体" w:cs="宋体"/>
          <w:sz w:val="24"/>
          <w:szCs w:val="24"/>
          <w:lang w:bidi="ar-SA"/>
        </w:rPr>
        <w:t>、建立建全物业管理档案、资料和数据，严格保密管理并规范保存和拷贝。随时接受业主的检查和调用。服务合同届满或终止服务合同时，必须在12小时内无条件向业主完整移交。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Times New Roman" w:hAnsi="Times New Roman" w:eastAsia="宋体" w:cs="Times New Roman"/>
          <w:kern w:val="2"/>
          <w:sz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10</w:t>
      </w:r>
      <w:r>
        <w:rPr>
          <w:rFonts w:hint="eastAsia" w:ascii="宋体" w:hAnsi="宋体" w:eastAsia="宋体" w:cs="宋体"/>
          <w:sz w:val="24"/>
          <w:szCs w:val="24"/>
          <w:lang w:bidi="ar-SA"/>
        </w:rPr>
        <w:t>、《物业管理条例》中所有工作内容及法规和政策规定由物业管理公司管理的其他事项。</w:t>
      </w:r>
    </w:p>
    <w:p>
      <w:pPr>
        <w:keepNext w:val="0"/>
        <w:keepLines w:val="0"/>
        <w:pageBreakBefore w:val="0"/>
        <w:numPr>
          <w:ilvl w:val="0"/>
          <w:numId w:val="0"/>
        </w:numPr>
        <w:kinsoku/>
        <w:wordWrap/>
        <w:overflowPunct/>
        <w:topLinePunct w:val="0"/>
        <w:autoSpaceDE/>
        <w:autoSpaceDN/>
        <w:bidi w:val="0"/>
        <w:adjustRightInd/>
        <w:snapToGrid/>
        <w:spacing w:line="520" w:lineRule="exact"/>
        <w:ind w:left="420" w:leftChars="0" w:firstLine="241" w:firstLineChars="100"/>
        <w:textAlignment w:val="auto"/>
        <w:rPr>
          <w:rFonts w:hint="eastAsia"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三</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、物业费（报价）说明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1、物业费包含：服务期内【地区政务服务与公共资源交易中心】所有电费、水费。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FF"/>
          <w:sz w:val="24"/>
          <w:szCs w:val="24"/>
          <w:lang w:val="en-US" w:eastAsia="zh-CN" w:bidi="ar-SA"/>
        </w:rPr>
      </w:pPr>
      <w:r>
        <w:rPr>
          <w:rFonts w:hint="eastAsia" w:ascii="宋体" w:hAnsi="宋体" w:eastAsia="宋体" w:cs="宋体"/>
          <w:sz w:val="24"/>
          <w:szCs w:val="24"/>
          <w:lang w:bidi="ar-SA"/>
        </w:rPr>
        <w:t>2、服务期内所有相关设施、设备、维护、保养、保洁使用费用以及其消耗品、清洁、消杀用品等</w:t>
      </w:r>
      <w:r>
        <w:rPr>
          <w:rFonts w:hint="eastAsia" w:ascii="宋体" w:hAnsi="宋体" w:eastAsia="宋体" w:cs="宋体"/>
          <w:color w:val="0000FF"/>
          <w:sz w:val="24"/>
          <w:szCs w:val="24"/>
          <w:lang w:bidi="ar-SA"/>
        </w:rPr>
        <w:t>。</w:t>
      </w:r>
      <w:r>
        <w:rPr>
          <w:rFonts w:hint="eastAsia" w:ascii="宋体" w:hAnsi="宋体" w:eastAsia="宋体" w:cs="宋体"/>
          <w:color w:val="0000FF"/>
          <w:sz w:val="24"/>
          <w:szCs w:val="24"/>
          <w:lang w:val="en-US" w:eastAsia="zh-CN" w:bidi="ar-SA"/>
        </w:rPr>
        <w:t>办公区内绿化、积雪清扫费用。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3、含服务期内【地区政务服务与公共资源交易中心】所有公共区域易耗易损等零部件费用。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4、含服务期内电梯安检</w:t>
      </w: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val="en-US" w:eastAsia="zh-CN" w:bidi="ar-SA"/>
        </w:rPr>
        <w:t>维保、校验</w:t>
      </w:r>
      <w:r>
        <w:rPr>
          <w:rFonts w:hint="eastAsia" w:ascii="宋体" w:hAnsi="宋体" w:eastAsia="宋体" w:cs="宋体"/>
          <w:sz w:val="24"/>
          <w:szCs w:val="24"/>
          <w:highlight w:val="none"/>
          <w:lang w:bidi="ar-SA"/>
        </w:rPr>
        <w:t>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kern w:val="2"/>
          <w:sz w:val="24"/>
          <w:highlight w:val="none"/>
          <w:lang w:val="en-US" w:eastAsia="zh-CN" w:bidi="ar-SA"/>
        </w:rPr>
      </w:pPr>
      <w:r>
        <w:rPr>
          <w:rFonts w:hint="eastAsia" w:ascii="宋体" w:hAnsi="宋体" w:eastAsia="宋体" w:cs="宋体"/>
          <w:kern w:val="2"/>
          <w:sz w:val="24"/>
          <w:szCs w:val="24"/>
          <w:highlight w:val="none"/>
          <w:lang w:val="en-US" w:eastAsia="zh-CN" w:bidi="ar-SA"/>
        </w:rPr>
        <w:t>5、含服务期内消防设施更换、维修、安检费用。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6、服务期内所有相关工作人员费用。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t>7、服务期内相关工作人员社保费用。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8</w:t>
      </w:r>
      <w:r>
        <w:rPr>
          <w:rFonts w:hint="eastAsia" w:ascii="宋体" w:hAnsi="宋体" w:eastAsia="宋体" w:cs="宋体"/>
          <w:sz w:val="24"/>
          <w:szCs w:val="24"/>
          <w:lang w:bidi="ar-SA"/>
        </w:rPr>
        <w:t>、本项目为服务类，为交钥匙项目招标，投标报价应根据项目的实际需要整体报价，报价应包含合同期限内服务及其他相关工作的所有费用，总价包干方式报价不得以任何理由、任何名目，增加任何费用。</w:t>
      </w:r>
    </w:p>
    <w:p>
      <w:pPr>
        <w:keepNext w:val="0"/>
        <w:keepLines w:val="0"/>
        <w:pageBreakBefore w:val="0"/>
        <w:numPr>
          <w:ilvl w:val="0"/>
          <w:numId w:val="0"/>
        </w:numPr>
        <w:kinsoku/>
        <w:wordWrap/>
        <w:overflowPunct/>
        <w:topLinePunct w:val="0"/>
        <w:autoSpaceDE/>
        <w:autoSpaceDN/>
        <w:bidi w:val="0"/>
        <w:adjustRightInd/>
        <w:snapToGrid/>
        <w:spacing w:line="520" w:lineRule="exact"/>
        <w:ind w:left="420" w:leftChars="0" w:firstLine="241" w:firstLineChars="100"/>
        <w:textAlignment w:val="auto"/>
        <w:rPr>
          <w:rFonts w:hint="eastAsia"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四</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、保洁内容及要求</w:t>
      </w:r>
    </w:p>
    <w:p>
      <w:pPr>
        <w:keepNext w:val="0"/>
        <w:keepLines w:val="0"/>
        <w:pageBreakBefore w:val="0"/>
        <w:widowControl w:val="0"/>
        <w:kinsoku/>
        <w:wordWrap/>
        <w:overflowPunct/>
        <w:topLinePunct w:val="0"/>
        <w:autoSpaceDE/>
        <w:autoSpaceDN/>
        <w:bidi w:val="0"/>
        <w:adjustRightInd/>
        <w:snapToGrid/>
        <w:spacing w:line="520" w:lineRule="exact"/>
        <w:ind w:firstLine="561" w:firstLineChars="233"/>
        <w:textAlignment w:val="auto"/>
        <w:rPr>
          <w:rFonts w:ascii="宋体" w:hAnsi="宋体" w:eastAsia="宋体" w:cs="宋体"/>
          <w:b/>
          <w:bCs/>
          <w:sz w:val="24"/>
          <w:szCs w:val="24"/>
          <w:lang w:bidi="ar-SA"/>
        </w:rPr>
      </w:pPr>
      <w:r>
        <w:rPr>
          <w:rFonts w:hint="eastAsia" w:ascii="宋体" w:hAnsi="宋体" w:eastAsia="宋体" w:cs="宋体"/>
          <w:b/>
          <w:bCs/>
          <w:sz w:val="24"/>
          <w:szCs w:val="24"/>
          <w:lang w:val="en-US" w:eastAsia="zh-CN" w:bidi="ar-SA"/>
        </w:rPr>
        <w:t>1.</w:t>
      </w:r>
      <w:r>
        <w:rPr>
          <w:rFonts w:hint="eastAsia" w:ascii="宋体" w:hAnsi="宋体" w:eastAsia="宋体" w:cs="宋体"/>
          <w:b/>
          <w:bCs/>
          <w:sz w:val="24"/>
          <w:szCs w:val="24"/>
          <w:lang w:bidi="ar-SA"/>
        </w:rPr>
        <w:t>保洁内容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服务标准：建立环境卫生制度并认真落实，环卫设施、工具、清扫保洁耗材备齐；实行标准化清扫保洁、由专人负责定时清扫、清扫保洁区域洁净无异味；水、电、暖、空调使用正常无故障。及时清扫服务区无积水，防止人员滑到。确保清扫保洁区容貌整洁。有随时增加人员的能力（遇到需要增派保洁人员的需求时，有能力增派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会议服务：协助主办单位做好宣传标语悬挂、搬运器材桌椅、鲜花水果摆放、上会、紧急事件处理、会务期间服务以及会务后清场等会议所需服务。</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每日办公、生活垃圾回收及垃圾站的管理，随时清理各楼层垃圾桶，办公楼内垃圾不得溢出、不过夜，垃圾桶每日清倒不得少于2次。要求垃圾袋标装化，垃圾袋随满随换不得散倒垃圾。各楼层生活垃圾的收运必须由专人负责，定时收集完毕，并运送至指定的垃圾暂存点。</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日常保洁、办公楼内走廊、楼梯、门窗、平台、电梯、墙面、卫生间、垃圾桶、宣传栏、标牌、开水房、开水器、淋浴器、开关插座、消防设施、扶梯、花架、消防栓、楼内防滑地毯铺设、楼宇自延外台阶等清洁。</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5）</w:t>
      </w:r>
      <w:r>
        <w:rPr>
          <w:rFonts w:hint="eastAsia" w:ascii="宋体" w:hAnsi="宋体" w:eastAsia="宋体" w:cs="宋体"/>
          <w:sz w:val="24"/>
          <w:szCs w:val="24"/>
          <w:lang w:bidi="ar-SA"/>
        </w:rPr>
        <w:t>、办公楼所有公共区域，无纸屑、蛛网、灰尘，无积水、痰迹、杂物，楼梯、扶手干净。门窗、玻璃洁净、光亮，无乱贴乱画。</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bidi="ar-SA"/>
        </w:rPr>
        <w:t>、每月清理窗外悬挂物、各楼层内外墙、雨篷及延伸墙体部位及</w:t>
      </w:r>
      <w:r>
        <w:rPr>
          <w:rFonts w:ascii="宋体" w:hAnsi="宋体" w:eastAsia="宋体" w:cs="宋体"/>
          <w:sz w:val="24"/>
          <w:szCs w:val="24"/>
          <w:lang w:bidi="ar-SA"/>
        </w:rPr>
        <w:t>2</w:t>
      </w:r>
      <w:r>
        <w:rPr>
          <w:rFonts w:hint="eastAsia" w:ascii="宋体" w:hAnsi="宋体" w:eastAsia="宋体" w:cs="宋体"/>
          <w:sz w:val="24"/>
          <w:szCs w:val="24"/>
          <w:lang w:bidi="ar-SA"/>
        </w:rPr>
        <w:t>米以下外墙清洗等工作。</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7）</w:t>
      </w:r>
      <w:r>
        <w:rPr>
          <w:rFonts w:hint="eastAsia" w:ascii="宋体" w:hAnsi="宋体" w:eastAsia="宋体" w:cs="宋体"/>
          <w:sz w:val="24"/>
          <w:szCs w:val="24"/>
          <w:lang w:bidi="ar-SA"/>
        </w:rPr>
        <w:t>、采购人如有需要增减室内保洁面积，经过双方确认按照当月实际清扫面积结算保洁费用。</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8）</w:t>
      </w:r>
      <w:r>
        <w:rPr>
          <w:rFonts w:hint="eastAsia" w:ascii="宋体" w:hAnsi="宋体" w:eastAsia="宋体" w:cs="宋体"/>
          <w:sz w:val="24"/>
          <w:szCs w:val="24"/>
          <w:lang w:bidi="ar-SA"/>
        </w:rPr>
        <w:t>、公共区域及办公区域的所有洁具，如遇堵塞应由专业技术人员负责在2小时内疏通。</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9）</w:t>
      </w:r>
      <w:r>
        <w:rPr>
          <w:rFonts w:hint="eastAsia" w:ascii="宋体" w:hAnsi="宋体" w:eastAsia="宋体" w:cs="宋体"/>
          <w:sz w:val="24"/>
          <w:szCs w:val="24"/>
          <w:lang w:bidi="ar-SA"/>
        </w:rPr>
        <w:t>、供应商负责服务区域内每月的清洁消毒及灭虫、灭鼠、灭蟑工作，药剂由供应商提供。如发生防治不达标情况，采购人将扣除相关费用，长期不达标区域将扣除相关区域防治费用并邀请专业消杀公司进行灭杀，所有费用由中标供应商承担。</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bidi="ar-SA"/>
        </w:rPr>
        <w:t>1</w:t>
      </w:r>
      <w:r>
        <w:rPr>
          <w:rFonts w:hint="eastAsia" w:ascii="宋体" w:hAnsi="宋体" w:eastAsia="宋体" w:cs="宋体"/>
          <w:sz w:val="24"/>
          <w:szCs w:val="24"/>
          <w:lang w:val="en-US" w:eastAsia="zh-CN" w:bidi="ar-SA"/>
        </w:rPr>
        <w:t>0）</w:t>
      </w:r>
      <w:r>
        <w:rPr>
          <w:rFonts w:hint="eastAsia" w:ascii="宋体" w:hAnsi="宋体" w:eastAsia="宋体" w:cs="宋体"/>
          <w:sz w:val="24"/>
          <w:szCs w:val="24"/>
          <w:lang w:bidi="ar-SA"/>
        </w:rPr>
        <w:t>、保洁用具要摆放在指定位置，要求整洁、整齐。用具及其用料使用得当、用具保持洁净。</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宋体" w:hAnsi="宋体" w:eastAsia="宋体" w:cs="宋体"/>
          <w:b/>
          <w:bCs/>
          <w:sz w:val="24"/>
          <w:szCs w:val="24"/>
          <w:lang w:bidi="ar-SA"/>
        </w:rPr>
      </w:pPr>
      <w:r>
        <w:rPr>
          <w:rFonts w:hint="eastAsia" w:ascii="宋体" w:hAnsi="宋体" w:eastAsia="宋体" w:cs="宋体"/>
          <w:b/>
          <w:bCs/>
          <w:sz w:val="24"/>
          <w:szCs w:val="24"/>
          <w:lang w:val="en-US" w:eastAsia="zh-CN" w:bidi="ar-SA"/>
        </w:rPr>
        <w:t>2.</w:t>
      </w:r>
      <w:r>
        <w:rPr>
          <w:rFonts w:hint="eastAsia" w:ascii="宋体" w:hAnsi="宋体" w:eastAsia="宋体" w:cs="宋体"/>
          <w:b/>
          <w:bCs/>
          <w:sz w:val="24"/>
          <w:szCs w:val="24"/>
          <w:lang w:bidi="ar-SA"/>
        </w:rPr>
        <w:t>安全要求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牢固树立“安全第一”思想，确保安全操作。如有异常情况立即报告主管。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保洁人员在进行外围高空作业时，必须有两人以上的保洁人员相互配合、互相帮助，需配备相应的作业安全防护用具，方可进行作业；需要清洁带电物体时，需确定已关闭电源或须有维修工在场，方可进行。否则发生安全事故，一切责任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供应商须做好保洁人员消毒、消杀、安全、防护的相关专业的培训工作。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保洁人员应身体健康无疾患，年龄18-45岁，其中</w:t>
      </w:r>
      <w:r>
        <w:rPr>
          <w:rFonts w:ascii="宋体" w:hAnsi="宋体" w:eastAsia="宋体" w:cs="宋体"/>
          <w:sz w:val="24"/>
          <w:szCs w:val="24"/>
          <w:lang w:bidi="ar-SA"/>
        </w:rPr>
        <w:t>50</w:t>
      </w:r>
      <w:r>
        <w:rPr>
          <w:rFonts w:hint="eastAsia" w:ascii="宋体" w:hAnsi="宋体" w:eastAsia="宋体" w:cs="宋体"/>
          <w:sz w:val="24"/>
          <w:szCs w:val="24"/>
          <w:lang w:bidi="ar-SA"/>
        </w:rPr>
        <w:t>岁以上人员应控制在总聘人数的</w:t>
      </w:r>
      <w:r>
        <w:rPr>
          <w:rFonts w:ascii="宋体" w:hAnsi="宋体" w:eastAsia="宋体" w:cs="宋体"/>
          <w:sz w:val="24"/>
          <w:szCs w:val="24"/>
          <w:lang w:bidi="ar-SA"/>
        </w:rPr>
        <w:t>10%</w:t>
      </w:r>
      <w:r>
        <w:rPr>
          <w:rFonts w:hint="eastAsia" w:ascii="宋体" w:hAnsi="宋体" w:eastAsia="宋体" w:cs="宋体"/>
          <w:sz w:val="24"/>
          <w:szCs w:val="24"/>
          <w:lang w:bidi="ar-SA"/>
        </w:rPr>
        <w:t>以内，55岁以上人员不得录用。保洁人员应具有国语表达能力。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5）、</w:t>
      </w:r>
      <w:r>
        <w:rPr>
          <w:rFonts w:hint="eastAsia" w:ascii="宋体" w:hAnsi="宋体" w:eastAsia="宋体" w:cs="宋体"/>
          <w:sz w:val="24"/>
          <w:szCs w:val="24"/>
          <w:lang w:bidi="ar-SA"/>
        </w:rPr>
        <w:t>保洁人员工作期间，要做好地面防滑措施，配合采购人做好楼宇外悬挂物的安全防护提醒工作。如因保洁人员未铺设防滑地毯或未放置防滑提示牌，造成滑倒摔伤事件，一切责任、费用由供应商承担。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bidi="ar-SA"/>
        </w:rPr>
        <w:t>保洁人员在保洁工作中，如果损坏采购方的物品，应该照价赔偿。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Times New Roman" w:hAnsi="Times New Roman" w:eastAsia="宋体" w:cs="Times New Roman"/>
          <w:sz w:val="24"/>
          <w:szCs w:val="24"/>
          <w:lang w:val="en-US" w:eastAsia="zh-CN" w:bidi="ar-SA"/>
        </w:rPr>
        <w:t>7）、</w:t>
      </w:r>
      <w:r>
        <w:rPr>
          <w:rFonts w:ascii="Times New Roman" w:hAnsi="Times New Roman" w:eastAsia="宋体" w:cs="Times New Roman"/>
          <w:sz w:val="24"/>
          <w:szCs w:val="24"/>
          <w:lang w:bidi="ar-SA"/>
        </w:rPr>
        <w:t>供应商应对保洁人员开展保密教育，不该说的不说，不该做的不做</w:t>
      </w:r>
      <w:r>
        <w:rPr>
          <w:rFonts w:hint="eastAsia" w:ascii="Times New Roman" w:hAnsi="Times New Roman" w:eastAsia="宋体" w:cs="Times New Roman"/>
          <w:sz w:val="24"/>
          <w:szCs w:val="24"/>
          <w:lang w:bidi="ar-SA"/>
        </w:rPr>
        <w:t>、不该打听的不打听、不该外传的不外传</w:t>
      </w:r>
      <w:r>
        <w:rPr>
          <w:rFonts w:ascii="Times New Roman" w:hAnsi="Times New Roman" w:eastAsia="宋体" w:cs="Times New Roman"/>
          <w:sz w:val="24"/>
          <w:szCs w:val="24"/>
          <w:lang w:bidi="ar-SA"/>
        </w:rPr>
        <w:t>。</w:t>
      </w:r>
      <w:r>
        <w:rPr>
          <w:rFonts w:hint="eastAsia" w:ascii="宋体" w:hAnsi="宋体" w:eastAsia="宋体" w:cs="宋体"/>
          <w:sz w:val="24"/>
          <w:szCs w:val="24"/>
          <w:lang w:bidi="ar-SA"/>
        </w:rPr>
        <w:t>严禁保洁人员倒卖办公废物、</w:t>
      </w:r>
      <w:r>
        <w:rPr>
          <w:rFonts w:ascii="Times New Roman" w:hAnsi="Times New Roman" w:eastAsia="宋体" w:cs="Times New Roman"/>
          <w:sz w:val="24"/>
          <w:szCs w:val="24"/>
          <w:lang w:bidi="ar-SA"/>
        </w:rPr>
        <w:t>不得利用职务之便进行违法犯罪行为。</w:t>
      </w:r>
      <w:r>
        <w:rPr>
          <w:rFonts w:hint="eastAsia" w:ascii="宋体" w:hAnsi="宋体" w:eastAsia="宋体" w:cs="宋体"/>
          <w:sz w:val="24"/>
          <w:szCs w:val="24"/>
          <w:lang w:bidi="ar-SA"/>
        </w:rPr>
        <w:t>严禁保洁人员在厅内任何时间、地点参与各种宗教仪式、活动。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sz w:val="24"/>
          <w:szCs w:val="24"/>
          <w:lang w:bidi="ar-SA"/>
        </w:rPr>
      </w:pPr>
      <w:r>
        <w:rPr>
          <w:rFonts w:hint="eastAsia" w:ascii="Times New Roman" w:hAnsi="Times New Roman" w:eastAsia="宋体" w:cs="Times New Roman"/>
          <w:sz w:val="24"/>
          <w:szCs w:val="24"/>
          <w:lang w:val="en-US" w:eastAsia="zh-CN" w:bidi="ar-SA"/>
        </w:rPr>
        <w:t>8）、</w:t>
      </w:r>
      <w:r>
        <w:rPr>
          <w:rFonts w:ascii="Times New Roman" w:hAnsi="Times New Roman" w:eastAsia="宋体" w:cs="Times New Roman"/>
          <w:sz w:val="24"/>
          <w:szCs w:val="24"/>
          <w:lang w:bidi="ar-SA"/>
        </w:rPr>
        <w:t>保洁人员</w:t>
      </w:r>
      <w:r>
        <w:rPr>
          <w:rFonts w:hint="eastAsia" w:ascii="宋体" w:hAnsi="宋体" w:eastAsia="宋体" w:cs="宋体"/>
          <w:sz w:val="24"/>
          <w:szCs w:val="24"/>
          <w:lang w:bidi="ar-SA"/>
        </w:rPr>
        <w:t>应该严格遵守防火制度</w:t>
      </w:r>
      <w:r>
        <w:rPr>
          <w:rFonts w:ascii="Times New Roman" w:hAnsi="Times New Roman" w:eastAsia="宋体" w:cs="Times New Roman"/>
          <w:sz w:val="24"/>
          <w:szCs w:val="24"/>
          <w:lang w:bidi="ar-SA"/>
        </w:rPr>
        <w:t>，不得使用明火，乱接乱拉电线，不得使用电炉子、电热毯等不安全取暖物，</w:t>
      </w:r>
      <w:r>
        <w:rPr>
          <w:rFonts w:hint="eastAsia" w:ascii="宋体" w:hAnsi="宋体" w:eastAsia="宋体" w:cs="宋体"/>
          <w:sz w:val="24"/>
          <w:szCs w:val="24"/>
          <w:lang w:bidi="ar-SA"/>
        </w:rPr>
        <w:t>易燃易爆物品要妥善保管和存放，</w:t>
      </w:r>
      <w:r>
        <w:rPr>
          <w:rFonts w:ascii="Times New Roman" w:hAnsi="Times New Roman" w:eastAsia="宋体" w:cs="Times New Roman"/>
          <w:sz w:val="24"/>
          <w:szCs w:val="24"/>
          <w:lang w:bidi="ar-SA"/>
        </w:rPr>
        <w:t>以免造成火灾等严重后果。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sz w:val="24"/>
          <w:szCs w:val="24"/>
          <w:lang w:bidi="ar-SA"/>
        </w:rPr>
      </w:pPr>
      <w:r>
        <w:rPr>
          <w:rFonts w:hint="eastAsia" w:ascii="Times New Roman" w:hAnsi="Times New Roman" w:eastAsia="宋体" w:cs="Times New Roman"/>
          <w:sz w:val="24"/>
          <w:szCs w:val="24"/>
          <w:lang w:val="en-US" w:eastAsia="zh-CN" w:bidi="ar-SA"/>
        </w:rPr>
        <w:t>9）、</w:t>
      </w:r>
      <w:r>
        <w:rPr>
          <w:rFonts w:ascii="Times New Roman" w:hAnsi="Times New Roman" w:eastAsia="宋体" w:cs="Times New Roman"/>
          <w:sz w:val="24"/>
          <w:szCs w:val="24"/>
          <w:lang w:bidi="ar-SA"/>
        </w:rPr>
        <w:t>清洁过程中若发现异常现象，如跑、漏、冒水和设施、设备损坏、故障时，及时报告主管领导或专管人员。</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宋体" w:hAnsi="宋体" w:eastAsia="宋体" w:cs="宋体"/>
          <w:b/>
          <w:bCs/>
          <w:sz w:val="24"/>
          <w:szCs w:val="24"/>
          <w:lang w:bidi="ar-SA"/>
        </w:rPr>
      </w:pPr>
      <w:r>
        <w:rPr>
          <w:rFonts w:hint="eastAsia" w:ascii="宋体" w:hAnsi="宋体" w:eastAsia="宋体" w:cs="宋体"/>
          <w:b/>
          <w:bCs/>
          <w:sz w:val="24"/>
          <w:szCs w:val="24"/>
          <w:lang w:val="en-US" w:eastAsia="zh-CN" w:bidi="ar-SA"/>
        </w:rPr>
        <w:t>3.</w:t>
      </w:r>
      <w:r>
        <w:rPr>
          <w:rFonts w:hint="eastAsia" w:ascii="宋体" w:hAnsi="宋体" w:eastAsia="宋体" w:cs="宋体"/>
          <w:b/>
          <w:bCs/>
          <w:sz w:val="24"/>
          <w:szCs w:val="24"/>
          <w:lang w:bidi="ar-SA"/>
        </w:rPr>
        <w:t>其它要求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所有工作人员应文明服务、礼貌待人，并注意保持个人的仪容仪表，着装统一、标牌佩戴、辨识明确。树立良好形象。爱岗敬业、听从上级领导指挥在规定时间内完成责任区的所有约定的服务工作。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供应商按照采购人要求时间进驻，供应商进驻前要做好人员及机具、物料等配备的准备工作，在约定之日前，完成保洁及消毒等工作。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不迟到、不早退、不旷工离岗，有事向管理人员请假。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供应商向采购人报备保洁各级人员工作职责、日常工作流程、保洁人员配备清单、每月物耗投入清单，必须按照采购人认可的保洁操作流程要求执行。打蜡、地毯清洗、高空作业、外墙清洗、重点科室保洁等重要保洁项目需提前报备采购人监管人员，做好必要的协调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5）、</w:t>
      </w:r>
      <w:r>
        <w:rPr>
          <w:rFonts w:hint="eastAsia" w:ascii="宋体" w:hAnsi="宋体" w:eastAsia="宋体" w:cs="宋体"/>
          <w:sz w:val="24"/>
          <w:szCs w:val="24"/>
          <w:lang w:bidi="ar-SA"/>
        </w:rPr>
        <w:t>保洁时间：每日早9点50（北京时间）前完成早上的第一次保洁，每日保证早上10：</w:t>
      </w:r>
      <w:r>
        <w:rPr>
          <w:rFonts w:ascii="宋体" w:hAnsi="宋体" w:eastAsia="宋体" w:cs="宋体"/>
          <w:sz w:val="24"/>
          <w:szCs w:val="24"/>
          <w:lang w:bidi="ar-SA"/>
        </w:rPr>
        <w:t xml:space="preserve">00 </w:t>
      </w:r>
      <w:r>
        <w:rPr>
          <w:rFonts w:hint="eastAsia" w:ascii="宋体" w:hAnsi="宋体" w:eastAsia="宋体" w:cs="宋体"/>
          <w:sz w:val="24"/>
          <w:szCs w:val="24"/>
          <w:lang w:bidi="ar-SA"/>
        </w:rPr>
        <w:t>（北京时间）至晚上20</w:t>
      </w:r>
      <w:r>
        <w:rPr>
          <w:rFonts w:ascii="宋体" w:hAnsi="宋体" w:eastAsia="宋体" w:cs="宋体"/>
          <w:sz w:val="24"/>
          <w:szCs w:val="24"/>
          <w:lang w:bidi="ar-SA"/>
        </w:rPr>
        <w:t>:</w:t>
      </w:r>
      <w:r>
        <w:rPr>
          <w:rFonts w:hint="eastAsia" w:ascii="宋体" w:hAnsi="宋体" w:eastAsia="宋体" w:cs="宋体"/>
          <w:sz w:val="24"/>
          <w:szCs w:val="24"/>
          <w:lang w:bidi="ar-SA"/>
        </w:rPr>
        <w:t>3</w:t>
      </w:r>
      <w:r>
        <w:rPr>
          <w:rFonts w:ascii="宋体" w:hAnsi="宋体" w:eastAsia="宋体" w:cs="宋体"/>
          <w:sz w:val="24"/>
          <w:szCs w:val="24"/>
          <w:lang w:bidi="ar-SA"/>
        </w:rPr>
        <w:t xml:space="preserve">0 </w:t>
      </w:r>
      <w:r>
        <w:rPr>
          <w:rFonts w:hint="eastAsia" w:ascii="宋体" w:hAnsi="宋体" w:eastAsia="宋体" w:cs="宋体"/>
          <w:sz w:val="24"/>
          <w:szCs w:val="24"/>
          <w:lang w:bidi="ar-SA"/>
        </w:rPr>
        <w:t>（北京时间）期间卫生干净整洁。中午用餐时间、下午下班后，供应商须确保值班及夜班人员做好应急保洁安排，固定值班联系电话。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bidi="ar-SA"/>
        </w:rPr>
        <w:t>领班及管理人员应按照流程及质量要求完成日常巡视检查工作。下班前半小时，检查当天保洁区域的完成情况，从墙壁到地板，应做到干净、整洁，无任何杂物及痕迹；办公、生活垃圾分类存放清运及时，楼梯楼道地面干净；卫生间要清洁、干燥、无异味，工具摆放至指定位置，各类清洗消毒工作全部完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7）、</w:t>
      </w:r>
      <w:r>
        <w:rPr>
          <w:rFonts w:hint="eastAsia" w:ascii="宋体" w:hAnsi="宋体" w:eastAsia="宋体" w:cs="宋体"/>
          <w:sz w:val="24"/>
          <w:szCs w:val="24"/>
          <w:lang w:bidi="ar-SA"/>
        </w:rPr>
        <w:t>要求所有保洁人员必须培训合格方可上岗，并配备口罩、帽子、手套等必需的防护用品。在岗期间，要求所有保洁人员必须遵纪守法、服从领导。统一着装、挂牌上岗，文明服务，做到三轻：说话清（轻）、走路轻、动作轻。供应商应定期送洗员工工装，保证员工仪表得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b/>
          <w:bCs/>
          <w:sz w:val="24"/>
          <w:szCs w:val="24"/>
          <w:lang w:bidi="ar-SA"/>
        </w:rPr>
      </w:pPr>
      <w:r>
        <w:rPr>
          <w:rFonts w:hint="eastAsia" w:ascii="宋体" w:hAnsi="宋体" w:eastAsia="宋体" w:cs="宋体"/>
          <w:sz w:val="24"/>
          <w:szCs w:val="24"/>
          <w:lang w:val="en-US" w:eastAsia="zh-CN" w:bidi="ar-SA"/>
        </w:rPr>
        <w:t>8）、</w:t>
      </w:r>
      <w:r>
        <w:rPr>
          <w:rFonts w:hint="eastAsia" w:ascii="宋体" w:hAnsi="宋体" w:eastAsia="宋体" w:cs="宋体"/>
          <w:sz w:val="24"/>
          <w:szCs w:val="24"/>
          <w:lang w:bidi="ar-SA"/>
        </w:rPr>
        <w:t>消毒药剂、防治药剂、所有保洁设备、工具、生活垃圾袋、一层大厅防滑地毯等保洁耗材均由供应商自行承担提供，并妥善保管。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9）、</w:t>
      </w:r>
      <w:r>
        <w:rPr>
          <w:rFonts w:hint="eastAsia" w:ascii="宋体" w:hAnsi="宋体" w:eastAsia="宋体" w:cs="宋体"/>
          <w:sz w:val="24"/>
          <w:szCs w:val="24"/>
          <w:lang w:bidi="ar-SA"/>
        </w:rPr>
        <w:t>供应商需对物业定期开展自查工作，制定奖惩办法，并向采购人报备相关书面资料。</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宋体" w:hAnsi="宋体" w:eastAsia="宋体" w:cs="宋体"/>
          <w:b/>
          <w:bCs/>
          <w:sz w:val="24"/>
          <w:szCs w:val="24"/>
          <w:lang w:bidi="ar-SA"/>
        </w:rPr>
      </w:pPr>
      <w:r>
        <w:rPr>
          <w:rFonts w:hint="eastAsia" w:ascii="宋体" w:hAnsi="宋体" w:eastAsia="宋体" w:cs="宋体"/>
          <w:b/>
          <w:bCs/>
          <w:sz w:val="24"/>
          <w:szCs w:val="24"/>
          <w:lang w:val="en-US" w:eastAsia="zh-CN" w:bidi="ar-SA"/>
        </w:rPr>
        <w:t>4.</w:t>
      </w:r>
      <w:r>
        <w:rPr>
          <w:rFonts w:hint="eastAsia" w:ascii="宋体" w:hAnsi="宋体" w:eastAsia="宋体" w:cs="宋体"/>
          <w:b/>
          <w:bCs/>
          <w:sz w:val="24"/>
          <w:szCs w:val="24"/>
          <w:lang w:bidi="ar-SA"/>
        </w:rPr>
        <w:t>保洁质量的检查、验收、考核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合同生效后，采购人将不定期的按照合同约定及本【采购文件】中要求的工作范围、质量标准，进行检查验收。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在检查中发现的问题，将以书面（整改通知单）形式通知供应商。供应商必须在采购人规定的时间内按标准进行整改，将整改结果以书面形式上报给采购人并及时组织复检、复验。双方均应做好记录存档工作。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双方均应对所查问题的落实整改情况进行复查确认，以双方签字单为准。如结果不符合质量要求的，采购人有权对供应商进行经济处罚，并且供应商必须在 24 小时内完成整改并达到合同要求的质量标准。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采购人每月进行保洁、服务质控检查，每三个月进行质控评分，质控评分由采购人、驻楼单位以实卷测评形式进行、评分内容涉及供应商保洁质量、工作人员配备、出勤情况、设备配备情况、服务态度、设备、设施完好率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5）、</w:t>
      </w:r>
      <w:r>
        <w:rPr>
          <w:rFonts w:hint="eastAsia" w:ascii="宋体" w:hAnsi="宋体" w:eastAsia="宋体" w:cs="宋体"/>
          <w:sz w:val="24"/>
          <w:szCs w:val="24"/>
          <w:lang w:bidi="ar-SA"/>
        </w:rPr>
        <w:t>评分不达标将扣除相应费用同时发出【限时整改通知书】对发现的问题未能及整改的，采购人再以书面形式发出【警告通知书】，采购人发出三次【警告通知书】后将终止合同并扣除履约保证金、供应商必须在15日内无条件向采购人移交所有资料并退出。</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（五）</w:t>
      </w:r>
      <w:r>
        <w:rPr>
          <w:rFonts w:hint="eastAsia" w:ascii="黑体" w:hAnsi="黑体" w:eastAsia="黑体" w:cs="黑体"/>
          <w:b/>
          <w:bCs/>
          <w:sz w:val="24"/>
          <w:szCs w:val="24"/>
          <w:lang w:bidi="ar-SA"/>
        </w:rPr>
        <w:t>、绿化养护内容及标准</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服务范围：绿化带树木、灌木、草坪、花卉的种植，树木、草坪、花卉的浇水、排水、施肥、除草、中耕松土，树木加固、绑扎、防冻保暖、树木修剪、草坪修剪、填平坑洼、补植、喷药除虫。</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灌木整齐、形态美观、控制高度适度、边缘齐整、无破残、徒长枝不高于10厘米，灌木内无明显杂草，定期修剪；无死树、无缺株。</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草坪长势茂盛，覆盖度98%以上；每平方米杂草率不高于3%；草坪修剪高度适中，平坦整齐、无病虫害。每周浇水不少于1次。</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树木修剪及时合理，花卉开花正常，花后修剪及时，行道树木无缺株，绿地内无死株、无缺株。</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按照需要每年施肥三次。</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严防病虫害，严格按操作规程施药，无明显病虫害。</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花坛、花带轮廓清晰，整齐美观，适时浇水、开花无残缺，并适时进行修剪整理。</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及时清除已枯死的花草树木并无偿补种。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以上所有绿化所需养护的农药、肥料及设备由供应商自行提供。</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六</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、冬季清雪内容及标准</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ascii="Times New Roman" w:hAnsi="Times New Roman" w:eastAsia="宋体" w:cs="Times New Roman"/>
          <w:sz w:val="24"/>
          <w:szCs w:val="24"/>
          <w:lang w:bidi="ar-SA"/>
        </w:rPr>
        <w:t>清雪区域：院外大门人行通道、三包区、院内硬化范围、院内外停车场。</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hint="eastAsia" w:ascii="宋体" w:hAnsi="宋体" w:eastAsia="宋体" w:cs="宋体"/>
          <w:sz w:val="24"/>
          <w:szCs w:val="24"/>
          <w:lang w:bidi="ar-SA"/>
        </w:rPr>
        <w:t>清雪标准：</w:t>
      </w:r>
      <w:r>
        <w:rPr>
          <w:rFonts w:ascii="宋体" w:hAnsi="宋体" w:eastAsia="宋体" w:cs="宋体"/>
          <w:sz w:val="24"/>
          <w:szCs w:val="24"/>
          <w:lang w:bidi="ar-SA"/>
        </w:rPr>
        <w:t>路面清雪</w:t>
      </w:r>
      <w:r>
        <w:rPr>
          <w:rFonts w:hint="eastAsia" w:ascii="宋体" w:hAnsi="宋体" w:eastAsia="宋体" w:cs="宋体"/>
          <w:sz w:val="24"/>
          <w:szCs w:val="24"/>
          <w:lang w:bidi="ar-SA"/>
        </w:rPr>
        <w:t>需达到“根清、面净”、无积冰、无残雪，</w:t>
      </w:r>
      <w:r>
        <w:rPr>
          <w:rFonts w:ascii="宋体" w:hAnsi="宋体" w:eastAsia="宋体" w:cs="宋体"/>
          <w:sz w:val="24"/>
          <w:szCs w:val="24"/>
          <w:lang w:bidi="ar-SA"/>
        </w:rPr>
        <w:t>路牙子达到无积雪</w:t>
      </w:r>
      <w:r>
        <w:rPr>
          <w:rFonts w:hint="eastAsia" w:ascii="宋体" w:hAnsi="宋体" w:eastAsia="宋体" w:cs="宋体"/>
          <w:sz w:val="24"/>
          <w:szCs w:val="24"/>
          <w:lang w:bidi="ar-SA"/>
        </w:rPr>
        <w:t>。清扫的积雪不得随意就近推放。人员及设备不得占用楼内固定配置。</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textAlignment w:val="auto"/>
        <w:rPr>
          <w:rFonts w:ascii="宋体" w:hAnsi="宋体" w:eastAsia="宋体" w:cs="宋体"/>
          <w:sz w:val="24"/>
          <w:szCs w:val="24"/>
          <w:lang w:bidi="ar-SA"/>
        </w:rPr>
      </w:pPr>
      <w:r>
        <w:rPr>
          <w:rFonts w:ascii="宋体" w:hAnsi="宋体" w:eastAsia="宋体" w:cs="宋体"/>
          <w:sz w:val="24"/>
          <w:szCs w:val="24"/>
          <w:lang w:bidi="ar-SA"/>
        </w:rPr>
        <w:t>清雪时限：以雪为令，雪停即清（节假日正常清雪）</w:t>
      </w:r>
      <w:r>
        <w:rPr>
          <w:rFonts w:hint="eastAsia" w:ascii="宋体" w:hAnsi="宋体" w:eastAsia="宋体" w:cs="宋体"/>
          <w:sz w:val="24"/>
          <w:szCs w:val="24"/>
          <w:lang w:bidi="ar-SA"/>
        </w:rPr>
        <w:t>。夜间下雪，早9点30分（北京时间）前将积雪清理完毕，上班期间持续降雪的，需保证院内外人行道无积雪，雪停后两小时将积雪清扫干净。</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七</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、水电暖工程师维修内容及标准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1、日常维修耗材由供应商提供。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2、保障供暖、供水、供电等正常运行，认真填写工作记录。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3、对使用的设备、工具进行检查，使其处于完好状态。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4、维修及时准确，管理好材料，杜绝材料浪、流失。不得私拉管线。</w:t>
      </w:r>
      <w:r>
        <w:rPr>
          <w:rFonts w:ascii="宋体" w:hAnsi="宋体" w:eastAsia="宋体" w:cs="宋体"/>
          <w:sz w:val="24"/>
          <w:szCs w:val="24"/>
          <w:lang w:bidi="ar-SA"/>
        </w:rPr>
        <w:t>服从上级的调度和工作安排，及时、保质、保量地完成工作任务。</w:t>
      </w:r>
      <w:r>
        <w:rPr>
          <w:rFonts w:hint="eastAsia" w:ascii="宋体" w:hAnsi="宋体" w:eastAsia="宋体" w:cs="宋体"/>
          <w:sz w:val="24"/>
          <w:szCs w:val="24"/>
          <w:lang w:bidi="ar-SA"/>
        </w:rPr>
        <w:t>接到维修通知后，立即响应，并及时解决故障、问题，大问题24小时内解决。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5、</w:t>
      </w:r>
      <w:r>
        <w:rPr>
          <w:rFonts w:ascii="宋体" w:hAnsi="宋体" w:eastAsia="宋体" w:cs="宋体"/>
          <w:sz w:val="24"/>
          <w:szCs w:val="24"/>
          <w:lang w:bidi="ar-SA"/>
        </w:rPr>
        <w:t>值班人员</w:t>
      </w:r>
      <w:r>
        <w:rPr>
          <w:rFonts w:hint="eastAsia" w:ascii="宋体" w:hAnsi="宋体" w:eastAsia="宋体" w:cs="宋体"/>
          <w:sz w:val="24"/>
          <w:szCs w:val="24"/>
          <w:lang w:bidi="ar-SA"/>
        </w:rPr>
        <w:t>不迟到、早退、坚守</w:t>
      </w:r>
      <w:r>
        <w:rPr>
          <w:rFonts w:ascii="宋体" w:hAnsi="宋体" w:eastAsia="宋体" w:cs="宋体"/>
          <w:sz w:val="24"/>
          <w:szCs w:val="24"/>
          <w:lang w:bidi="ar-SA"/>
        </w:rPr>
        <w:t>岗位，不准</w:t>
      </w:r>
      <w:r>
        <w:rPr>
          <w:rFonts w:hint="eastAsia" w:ascii="宋体" w:hAnsi="宋体" w:eastAsia="宋体" w:cs="宋体"/>
          <w:sz w:val="24"/>
          <w:szCs w:val="24"/>
          <w:lang w:bidi="ar-SA"/>
        </w:rPr>
        <w:t>脱</w:t>
      </w:r>
      <w:r>
        <w:rPr>
          <w:rFonts w:ascii="宋体" w:hAnsi="宋体" w:eastAsia="宋体" w:cs="宋体"/>
          <w:sz w:val="24"/>
          <w:szCs w:val="24"/>
          <w:lang w:bidi="ar-SA"/>
        </w:rPr>
        <w:t>岗、睡岗</w:t>
      </w:r>
      <w:r>
        <w:rPr>
          <w:rFonts w:hint="eastAsia" w:ascii="宋体" w:hAnsi="宋体" w:eastAsia="宋体" w:cs="宋体"/>
          <w:sz w:val="24"/>
          <w:szCs w:val="24"/>
          <w:lang w:bidi="ar-SA"/>
        </w:rPr>
        <w:t>，不得进行与值班工作无关的一切活动</w:t>
      </w:r>
      <w:r>
        <w:rPr>
          <w:rFonts w:ascii="宋体" w:hAnsi="宋体" w:eastAsia="宋体" w:cs="宋体"/>
          <w:sz w:val="24"/>
          <w:szCs w:val="24"/>
          <w:lang w:bidi="ar-SA"/>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6、定期清洁所管设备和设备房，确保设施、设备和机房的整洁。认真执行本岗位的安全操作规程</w:t>
      </w:r>
      <w:r>
        <w:rPr>
          <w:rFonts w:ascii="宋体" w:hAnsi="宋体" w:eastAsia="宋体" w:cs="宋体"/>
          <w:sz w:val="24"/>
          <w:szCs w:val="24"/>
          <w:lang w:bidi="ar-SA"/>
        </w:rPr>
        <w:t>，</w:t>
      </w:r>
      <w:r>
        <w:rPr>
          <w:rFonts w:hint="eastAsia" w:ascii="宋体" w:hAnsi="宋体" w:eastAsia="宋体" w:cs="宋体"/>
          <w:sz w:val="24"/>
          <w:szCs w:val="24"/>
          <w:lang w:bidi="ar-SA"/>
        </w:rPr>
        <w:t>遵守各项规章制度，</w:t>
      </w:r>
      <w:r>
        <w:rPr>
          <w:rFonts w:ascii="宋体" w:hAnsi="宋体" w:eastAsia="宋体" w:cs="宋体"/>
          <w:sz w:val="24"/>
          <w:szCs w:val="24"/>
          <w:lang w:bidi="ar-SA"/>
        </w:rPr>
        <w:t>确保安全</w:t>
      </w:r>
      <w:r>
        <w:rPr>
          <w:rFonts w:hint="eastAsia" w:ascii="宋体" w:hAnsi="宋体" w:eastAsia="宋体" w:cs="宋体"/>
          <w:sz w:val="24"/>
          <w:szCs w:val="24"/>
          <w:lang w:bidi="ar-SA"/>
        </w:rPr>
        <w:t>作业</w:t>
      </w:r>
      <w:r>
        <w:rPr>
          <w:rFonts w:ascii="宋体" w:hAnsi="宋体" w:eastAsia="宋体" w:cs="宋体"/>
          <w:sz w:val="24"/>
          <w:szCs w:val="24"/>
          <w:lang w:bidi="ar-SA"/>
        </w:rPr>
        <w:t>，不准冒险作业，杜绝人身和设备事故的发生</w:t>
      </w:r>
      <w:r>
        <w:rPr>
          <w:rFonts w:hint="eastAsia" w:ascii="宋体" w:hAnsi="宋体" w:eastAsia="宋体" w:cs="宋体"/>
          <w:sz w:val="24"/>
          <w:szCs w:val="24"/>
          <w:lang w:bidi="ar-SA"/>
        </w:rPr>
        <w:t>，如发生安全事故，一切责任由供应商自行承担</w:t>
      </w:r>
      <w:r>
        <w:rPr>
          <w:rFonts w:ascii="宋体" w:hAnsi="宋体" w:eastAsia="宋体" w:cs="宋体"/>
          <w:sz w:val="24"/>
          <w:szCs w:val="24"/>
          <w:lang w:bidi="ar-SA"/>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7、定期对室外供热管道进行巡检、维护。供热管道运行期间，每月不少于一次，非运行期间，每季度不少于一次。定期对室外供热阀门进行维护修养，每月不少于1次，保证阀门随时可以开启或关闭，并做好记录。</w:t>
      </w:r>
      <w:r>
        <w:rPr>
          <w:rFonts w:ascii="宋体" w:hAnsi="宋体" w:eastAsia="宋体" w:cs="宋体"/>
          <w:sz w:val="24"/>
          <w:szCs w:val="24"/>
          <w:lang w:bidi="ar-SA"/>
        </w:rPr>
        <w:t>每天巡视变配电间一次，观察电压表、电流表、计量表是否正常，认真做好各种运行记录，发现问题及时处理，每天对变配电间清扫一次，保持室内的设备的整洁。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8</w:t>
      </w:r>
      <w:r>
        <w:rPr>
          <w:rFonts w:hint="eastAsia" w:ascii="宋体" w:hAnsi="宋体" w:eastAsia="宋体" w:cs="宋体"/>
          <w:sz w:val="24"/>
          <w:szCs w:val="24"/>
          <w:lang w:bidi="ar-SA"/>
        </w:rPr>
        <w:t>、巡视路面有无损坏；污水、雨水管道，污水、雨水无外溢现象；井盖无丢失、损坏、松动。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9</w:t>
      </w:r>
      <w:r>
        <w:rPr>
          <w:rFonts w:hint="eastAsia" w:ascii="宋体" w:hAnsi="宋体" w:eastAsia="宋体" w:cs="宋体"/>
          <w:sz w:val="24"/>
          <w:szCs w:val="24"/>
          <w:lang w:bidi="ar-SA"/>
        </w:rPr>
        <w:t>、</w:t>
      </w:r>
      <w:r>
        <w:rPr>
          <w:rFonts w:ascii="宋体" w:hAnsi="宋体" w:eastAsia="宋体" w:cs="宋体"/>
          <w:sz w:val="24"/>
          <w:szCs w:val="24"/>
          <w:lang w:bidi="ar-SA"/>
        </w:rPr>
        <w:t>负责排水设备、设施的操作维修保养工作，确保</w:t>
      </w:r>
      <w:r>
        <w:rPr>
          <w:rFonts w:hint="eastAsia" w:ascii="宋体" w:hAnsi="宋体" w:eastAsia="宋体" w:cs="宋体"/>
          <w:sz w:val="24"/>
          <w:szCs w:val="24"/>
          <w:lang w:bidi="ar-SA"/>
        </w:rPr>
        <w:t>辖区</w:t>
      </w:r>
      <w:r>
        <w:rPr>
          <w:rFonts w:ascii="宋体" w:hAnsi="宋体" w:eastAsia="宋体" w:cs="宋体"/>
          <w:sz w:val="24"/>
          <w:szCs w:val="24"/>
          <w:lang w:bidi="ar-SA"/>
        </w:rPr>
        <w:t>内24小时正常供水。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10</w:t>
      </w:r>
      <w:r>
        <w:rPr>
          <w:rFonts w:hint="eastAsia" w:ascii="宋体" w:hAnsi="宋体" w:eastAsia="宋体" w:cs="宋体"/>
          <w:sz w:val="24"/>
          <w:szCs w:val="24"/>
          <w:lang w:bidi="ar-SA"/>
        </w:rPr>
        <w:t>、</w:t>
      </w:r>
      <w:r>
        <w:rPr>
          <w:rFonts w:ascii="宋体" w:hAnsi="宋体" w:eastAsia="宋体" w:cs="宋体"/>
          <w:sz w:val="24"/>
          <w:szCs w:val="24"/>
          <w:lang w:bidi="ar-SA"/>
        </w:rPr>
        <w:t>负责</w:t>
      </w:r>
      <w:r>
        <w:rPr>
          <w:rFonts w:hint="eastAsia" w:ascii="宋体" w:hAnsi="宋体" w:eastAsia="宋体" w:cs="宋体"/>
          <w:sz w:val="24"/>
          <w:szCs w:val="24"/>
          <w:lang w:bidi="ar-SA"/>
        </w:rPr>
        <w:t>辖区</w:t>
      </w:r>
      <w:r>
        <w:rPr>
          <w:rFonts w:ascii="宋体" w:hAnsi="宋体" w:eastAsia="宋体" w:cs="宋体"/>
          <w:sz w:val="24"/>
          <w:szCs w:val="24"/>
          <w:lang w:bidi="ar-SA"/>
        </w:rPr>
        <w:t>内电气设施、设备的操作维修保养工作，确保公共部位灯具完好率达98%。</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11</w:t>
      </w:r>
      <w:r>
        <w:rPr>
          <w:rFonts w:hint="eastAsia" w:ascii="宋体" w:hAnsi="宋体" w:eastAsia="宋体" w:cs="宋体"/>
          <w:sz w:val="24"/>
          <w:szCs w:val="24"/>
          <w:lang w:bidi="ar-SA"/>
        </w:rPr>
        <w:t>、</w:t>
      </w:r>
      <w:r>
        <w:rPr>
          <w:rFonts w:ascii="宋体" w:hAnsi="宋体" w:eastAsia="宋体" w:cs="宋体"/>
          <w:sz w:val="24"/>
          <w:szCs w:val="24"/>
          <w:lang w:bidi="ar-SA"/>
        </w:rPr>
        <w:t>负责消防设施、设备的检修、保养工作。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w:t>
      </w: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w:t>
      </w:r>
      <w:r>
        <w:rPr>
          <w:rFonts w:ascii="宋体" w:hAnsi="宋体" w:eastAsia="宋体" w:cs="宋体"/>
          <w:sz w:val="24"/>
          <w:szCs w:val="24"/>
          <w:lang w:bidi="ar-SA"/>
        </w:rPr>
        <w:t>负责公共部位设施的维修保养管理工作。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w:t>
      </w: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、在检查、巡视过程中，发现问题及时处理。如遇突发情况，应迅速赶往现场，及时采取应急措施，保证设施、设备完好。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w:t>
      </w: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w:t>
      </w:r>
      <w:r>
        <w:rPr>
          <w:rFonts w:ascii="宋体" w:hAnsi="宋体" w:eastAsia="宋体" w:cs="宋体"/>
          <w:sz w:val="24"/>
          <w:szCs w:val="24"/>
          <w:lang w:bidi="ar-SA"/>
        </w:rPr>
        <w:t>完成上级交办的其他工作。</w:t>
      </w:r>
    </w:p>
    <w:p>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宋体" w:hAnsi="宋体" w:eastAsia="宋体" w:cs="宋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八</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、安保人员工作职责及要求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1、安保人员要求24小时不间断值班、值守。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2、安保人员必须有保安员上岗资格。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3、安保人员年龄为18至50岁。</w:t>
      </w:r>
      <w:r>
        <w:rPr>
          <w:rFonts w:ascii="宋体" w:hAnsi="宋体" w:eastAsia="宋体" w:cs="宋体"/>
          <w:sz w:val="24"/>
          <w:szCs w:val="24"/>
          <w:lang w:bidi="ar-SA"/>
        </w:rPr>
        <w:t>上班</w:t>
      </w:r>
      <w:r>
        <w:rPr>
          <w:rFonts w:hint="eastAsia" w:ascii="宋体" w:hAnsi="宋体" w:eastAsia="宋体" w:cs="宋体"/>
          <w:sz w:val="24"/>
          <w:szCs w:val="24"/>
          <w:lang w:bidi="ar-SA"/>
        </w:rPr>
        <w:t>期间必须穿着工作服</w:t>
      </w:r>
      <w:r>
        <w:rPr>
          <w:rFonts w:ascii="宋体" w:hAnsi="宋体" w:eastAsia="宋体" w:cs="宋体"/>
          <w:sz w:val="24"/>
          <w:szCs w:val="24"/>
          <w:lang w:bidi="ar-SA"/>
        </w:rPr>
        <w:t>，仪容端庄，精神饱满</w:t>
      </w:r>
      <w:r>
        <w:rPr>
          <w:rFonts w:hint="eastAsia" w:ascii="宋体" w:hAnsi="宋体" w:eastAsia="宋体" w:cs="宋体"/>
          <w:sz w:val="24"/>
          <w:szCs w:val="24"/>
          <w:lang w:bidi="ar-SA"/>
        </w:rPr>
        <w:t>，忠于值守，上班期间不得从事一切与安保工作无关的活动。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4、安保人员要求</w:t>
      </w:r>
      <w:r>
        <w:rPr>
          <w:rFonts w:ascii="宋体" w:hAnsi="宋体" w:eastAsia="宋体" w:cs="宋体"/>
          <w:sz w:val="24"/>
          <w:szCs w:val="24"/>
          <w:lang w:bidi="ar-SA"/>
        </w:rPr>
        <w:t>按章办事</w:t>
      </w:r>
      <w:r>
        <w:rPr>
          <w:rFonts w:hint="eastAsia" w:ascii="宋体" w:hAnsi="宋体" w:eastAsia="宋体" w:cs="宋体"/>
          <w:sz w:val="24"/>
          <w:szCs w:val="24"/>
          <w:lang w:bidi="ar-SA"/>
        </w:rPr>
        <w:t>、熟悉相关法律知识和地区的各项维稳、疫情防控要求，并要</w:t>
      </w:r>
      <w:r>
        <w:rPr>
          <w:rFonts w:ascii="宋体" w:hAnsi="宋体" w:eastAsia="宋体" w:cs="宋体"/>
          <w:sz w:val="24"/>
          <w:szCs w:val="24"/>
          <w:lang w:bidi="ar-SA"/>
        </w:rPr>
        <w:t xml:space="preserve">坚持文明礼貌执勤，严禁打人骂人、侵犯他人人身权利。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5、</w:t>
      </w:r>
      <w:r>
        <w:rPr>
          <w:rFonts w:ascii="宋体" w:hAnsi="宋体" w:eastAsia="宋体" w:cs="宋体"/>
          <w:sz w:val="24"/>
          <w:szCs w:val="24"/>
          <w:lang w:bidi="ar-SA"/>
        </w:rPr>
        <w:t>认真学习各项制度和部门规定，严于律己、克己奉公，认真学习法律知识，加强法律观念，遵纪守法。</w:t>
      </w:r>
      <w:r>
        <w:rPr>
          <w:rFonts w:hint="eastAsia" w:ascii="宋体" w:hAnsi="宋体" w:eastAsia="宋体" w:cs="宋体"/>
          <w:sz w:val="24"/>
          <w:szCs w:val="24"/>
          <w:lang w:bidi="ar-SA"/>
        </w:rPr>
        <w:t>安保人员及安保人员需熟悉公司区域环境，了解周边情况，要</w:t>
      </w:r>
      <w:r>
        <w:rPr>
          <w:rFonts w:ascii="宋体" w:hAnsi="宋体" w:eastAsia="宋体" w:cs="宋体"/>
          <w:sz w:val="24"/>
          <w:szCs w:val="24"/>
          <w:lang w:bidi="ar-SA"/>
        </w:rPr>
        <w:t>敢于与一切不良行为作斗争，发现违法犯罪分子</w:t>
      </w:r>
      <w:r>
        <w:rPr>
          <w:rFonts w:hint="eastAsia" w:ascii="宋体" w:hAnsi="宋体" w:eastAsia="宋体" w:cs="宋体"/>
          <w:sz w:val="24"/>
          <w:szCs w:val="24"/>
          <w:lang w:bidi="ar-SA"/>
        </w:rPr>
        <w:t>及时上报，并在确保自身安全的前提及时处置一切破坏公共秩序和威胁他人安全的问题</w:t>
      </w:r>
      <w:r>
        <w:rPr>
          <w:rFonts w:ascii="宋体" w:hAnsi="宋体" w:eastAsia="宋体" w:cs="宋体"/>
          <w:sz w:val="24"/>
          <w:szCs w:val="24"/>
          <w:lang w:bidi="ar-SA"/>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6、按</w:t>
      </w:r>
      <w:r>
        <w:rPr>
          <w:rFonts w:ascii="宋体" w:hAnsi="宋体" w:eastAsia="宋体" w:cs="宋体"/>
          <w:sz w:val="24"/>
          <w:szCs w:val="24"/>
          <w:lang w:bidi="ar-SA"/>
        </w:rPr>
        <w:t>时上下班，不迟到、不早退、不擅离岗位、工作时间不办私事，不得利用工作之便进行违法犯罪活动。</w:t>
      </w:r>
      <w:r>
        <w:rPr>
          <w:rFonts w:hint="eastAsia" w:ascii="宋体" w:hAnsi="宋体" w:eastAsia="宋体" w:cs="宋体"/>
          <w:sz w:val="24"/>
          <w:szCs w:val="24"/>
          <w:lang w:bidi="ar-SA"/>
        </w:rPr>
        <w:t>安保人员</w:t>
      </w:r>
      <w:r>
        <w:rPr>
          <w:rFonts w:ascii="宋体" w:hAnsi="宋体" w:eastAsia="宋体" w:cs="宋体"/>
          <w:sz w:val="24"/>
          <w:szCs w:val="24"/>
          <w:lang w:bidi="ar-SA"/>
        </w:rPr>
        <w:t>上下班</w:t>
      </w:r>
      <w:r>
        <w:rPr>
          <w:rFonts w:hint="eastAsia" w:ascii="宋体" w:hAnsi="宋体" w:eastAsia="宋体" w:cs="宋体"/>
          <w:sz w:val="24"/>
          <w:szCs w:val="24"/>
          <w:lang w:bidi="ar-SA"/>
        </w:rPr>
        <w:t>要严格办理</w:t>
      </w:r>
      <w:r>
        <w:rPr>
          <w:rFonts w:ascii="宋体" w:hAnsi="宋体" w:eastAsia="宋体" w:cs="宋体"/>
          <w:sz w:val="24"/>
          <w:szCs w:val="24"/>
          <w:lang w:bidi="ar-SA"/>
        </w:rPr>
        <w:t>交接</w:t>
      </w:r>
      <w:r>
        <w:rPr>
          <w:rFonts w:hint="eastAsia" w:ascii="宋体" w:hAnsi="宋体" w:eastAsia="宋体" w:cs="宋体"/>
          <w:sz w:val="24"/>
          <w:szCs w:val="24"/>
          <w:lang w:bidi="ar-SA"/>
        </w:rPr>
        <w:t>班，并做好相关记录。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7、负责停车场车辆管理工作，确保车辆在指定区域按规定停放。大门口不得停放任何车辆或堆放物品。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8、</w:t>
      </w:r>
      <w:r>
        <w:rPr>
          <w:rFonts w:ascii="宋体" w:hAnsi="宋体" w:eastAsia="宋体" w:cs="宋体"/>
          <w:sz w:val="24"/>
          <w:szCs w:val="24"/>
          <w:lang w:bidi="ar-SA"/>
        </w:rPr>
        <w:t>做好五防 (防盗、防火、防抢、防破坏、防治安灾害事故)工作。</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九</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、电梯安全员职责及要求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1、根据国家有关政策、法规，制定相应的电梯管理方法，不断提高电梯管理服务水平。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2、进行电梯运行的日常巡视、及时检查、记录电梯的日常使用情况，纠正和制止违规使用电梯的行为。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3、制定和落实电梯的定期检验计划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4、妥善保管电梯钥匙及安全提示牌。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5、发现电梯运行事故隐患需要停止使用的，需作出停止使用的决定，并且立即通知有关单位，排除隐患，确保电梯安全运行。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6、遇到电梯故障，第一时间采取措施，排除电梯故障，避免造成人员伤亡和财产损失。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7</w:t>
      </w:r>
      <w:r>
        <w:rPr>
          <w:rFonts w:hint="eastAsia" w:ascii="宋体" w:hAnsi="宋体" w:eastAsia="宋体" w:cs="宋体"/>
          <w:sz w:val="24"/>
          <w:szCs w:val="24"/>
          <w:lang w:bidi="ar-SA"/>
        </w:rPr>
        <w:t>、正确使用操作工具和防护用品，规范作业，确保安全生产。</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黑体" w:hAnsi="黑体" w:eastAsia="黑体" w:cs="黑体"/>
          <w:b/>
          <w:bCs/>
          <w:sz w:val="24"/>
          <w:szCs w:val="24"/>
          <w:lang w:bidi="ar-SA"/>
        </w:rPr>
      </w:pP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十</w:t>
      </w:r>
      <w:r>
        <w:rPr>
          <w:rFonts w:hint="eastAsia" w:ascii="黑体" w:hAnsi="黑体" w:eastAsia="黑体" w:cs="黑体"/>
          <w:b/>
          <w:bCs/>
          <w:sz w:val="24"/>
          <w:szCs w:val="24"/>
          <w:lang w:eastAsia="zh-CN" w:bidi="ar-SA"/>
        </w:rPr>
        <w:t>）</w:t>
      </w:r>
      <w:r>
        <w:rPr>
          <w:rFonts w:hint="eastAsia" w:ascii="黑体" w:hAnsi="黑体" w:eastAsia="黑体" w:cs="黑体"/>
          <w:b/>
          <w:bCs/>
          <w:sz w:val="24"/>
          <w:szCs w:val="24"/>
          <w:lang w:bidi="ar-SA"/>
        </w:rPr>
        <w:t>、消防安全管理员职责及要求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1、消防安全管理员必须持证上岗，并要严格贯彻执行消防法规，保障单位消防安全符合规定，掌握工作区域消防安全情况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2、消防安全管理员制定灭火和应急疏散预案，并组织实施演练。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3、每日进行防火巡检，并填写巡检记录。督促落实火灾隐患整改，及时处理涉及消防安全的重大问题。确保消防车通道畅通、消防水源充足。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bidi="ar-SA"/>
        </w:rPr>
        <w:t>、根据消防法的规定建立义务消防队，定期开展消防业务学习和灭火技能训练，提高预防和扑救火灾的能力。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5</w:t>
      </w:r>
      <w:r>
        <w:rPr>
          <w:rFonts w:hint="eastAsia" w:ascii="宋体" w:hAnsi="宋体" w:eastAsia="宋体" w:cs="宋体"/>
          <w:sz w:val="24"/>
          <w:szCs w:val="24"/>
          <w:lang w:bidi="ar-SA"/>
        </w:rPr>
        <w:t>、组织实施对服务区域消防设施、灭火器材和消防安全标志的维护保养，确保其完好有效，确保疏散通道和安全出口畅通。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bidi="ar-SA"/>
        </w:rPr>
        <w:t>、发生火灾时，应当立即实施灭火和应急疏散预案，务必做到及时报警，迅速扑救火灾，及时疏散人员。火灾扑灭后，保护现场，接受事故调查，如实提供火灾事故情况，协助公安消防机构调查火灾原因，核定火灾损失，查明火灾事故责任。未经公安消防机构同意，不得擅自清理火灾现场。</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sz w:val="24"/>
          <w:szCs w:val="24"/>
          <w:lang w:bidi="ar-SA"/>
        </w:rPr>
      </w:pPr>
      <w:r>
        <w:rPr>
          <w:rFonts w:hint="eastAsia" w:ascii="宋体" w:hAnsi="宋体" w:eastAsia="宋体" w:cs="宋体"/>
          <w:b/>
          <w:bCs/>
          <w:sz w:val="24"/>
          <w:szCs w:val="24"/>
          <w:lang w:eastAsia="zh-CN" w:bidi="ar-SA"/>
        </w:rPr>
        <w:t>（</w:t>
      </w:r>
      <w:r>
        <w:rPr>
          <w:rFonts w:hint="eastAsia" w:ascii="宋体" w:hAnsi="宋体" w:eastAsia="宋体" w:cs="宋体"/>
          <w:b/>
          <w:bCs/>
          <w:sz w:val="24"/>
          <w:szCs w:val="24"/>
          <w:lang w:bidi="ar-SA"/>
        </w:rPr>
        <w:t>十一</w:t>
      </w:r>
      <w:r>
        <w:rPr>
          <w:rFonts w:hint="eastAsia" w:ascii="宋体" w:hAnsi="宋体" w:eastAsia="宋体" w:cs="宋体"/>
          <w:b/>
          <w:bCs/>
          <w:sz w:val="24"/>
          <w:szCs w:val="24"/>
          <w:lang w:eastAsia="zh-CN" w:bidi="ar-SA"/>
        </w:rPr>
        <w:t>）</w:t>
      </w:r>
      <w:r>
        <w:rPr>
          <w:rFonts w:hint="eastAsia" w:ascii="宋体" w:hAnsi="宋体" w:eastAsia="宋体" w:cs="宋体"/>
          <w:b/>
          <w:bCs/>
          <w:sz w:val="24"/>
          <w:szCs w:val="24"/>
          <w:lang w:bidi="ar-SA"/>
        </w:rPr>
        <w:t>、培训要求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供应商具备自行组织业务培训的能力，有完善的机制和年度培训计划。对员工进行多种形式不同的内容培训，包括政治思想、职业道德、业务技术、劳动安全及有关规章制度等的教育和培训。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bidi="ar-SA"/>
        </w:rPr>
        <w:t>新员工入职前要进行岗前培训，有培训记录。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bidi="ar-SA"/>
        </w:rPr>
        <w:t>按年度培训计划实施培训，并做好相关记录，培训完成后1周内向采购人备案。</w:t>
      </w:r>
    </w:p>
    <w:p>
      <w:pPr>
        <w:keepNext w:val="0"/>
        <w:keepLines w:val="0"/>
        <w:pageBreakBefore w:val="0"/>
        <w:widowControl w:val="0"/>
        <w:kinsoku/>
        <w:wordWrap/>
        <w:overflowPunct/>
        <w:topLinePunct w:val="0"/>
        <w:autoSpaceDE/>
        <w:autoSpaceDN/>
        <w:bidi w:val="0"/>
        <w:adjustRightInd/>
        <w:snapToGrid/>
        <w:spacing w:line="520" w:lineRule="exact"/>
        <w:ind w:left="5" w:firstLine="635"/>
        <w:textAlignment w:val="auto"/>
        <w:rPr>
          <w:rFonts w:ascii="宋体" w:hAnsi="宋体" w:eastAsia="宋体" w:cs="宋体"/>
          <w:sz w:val="24"/>
          <w:szCs w:val="24"/>
          <w:lang w:bidi="ar-SA"/>
        </w:rPr>
      </w:pPr>
      <w:r>
        <w:rPr>
          <w:rFonts w:hint="eastAsia" w:ascii="宋体" w:hAnsi="宋体" w:eastAsia="宋体" w:cs="宋体"/>
          <w:sz w:val="24"/>
          <w:szCs w:val="24"/>
          <w:lang w:bidi="ar-SA"/>
        </w:rPr>
        <w:t>4、培训不到位造成纠纷事故的，供应商须承担事故责任、及相应处罚。</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bCs/>
          <w:sz w:val="24"/>
          <w:szCs w:val="24"/>
          <w:lang w:bidi="ar-SA"/>
        </w:rPr>
      </w:pPr>
      <w:r>
        <w:rPr>
          <w:rFonts w:hint="eastAsia" w:ascii="宋体" w:hAnsi="宋体" w:eastAsia="宋体" w:cs="宋体"/>
          <w:b/>
          <w:bCs/>
          <w:sz w:val="24"/>
          <w:szCs w:val="24"/>
          <w:lang w:eastAsia="zh-CN" w:bidi="ar-SA"/>
        </w:rPr>
        <w:t>（</w:t>
      </w:r>
      <w:r>
        <w:rPr>
          <w:rFonts w:hint="eastAsia" w:ascii="宋体" w:hAnsi="宋体" w:eastAsia="宋体" w:cs="宋体"/>
          <w:b/>
          <w:bCs/>
          <w:sz w:val="24"/>
          <w:szCs w:val="24"/>
          <w:lang w:bidi="ar-SA"/>
        </w:rPr>
        <w:t>十二</w:t>
      </w:r>
      <w:r>
        <w:rPr>
          <w:rFonts w:hint="eastAsia" w:ascii="宋体" w:hAnsi="宋体" w:eastAsia="宋体" w:cs="宋体"/>
          <w:b/>
          <w:bCs/>
          <w:sz w:val="24"/>
          <w:szCs w:val="24"/>
          <w:lang w:eastAsia="zh-CN" w:bidi="ar-SA"/>
        </w:rPr>
        <w:t>）</w:t>
      </w:r>
      <w:r>
        <w:rPr>
          <w:rFonts w:hint="eastAsia" w:ascii="宋体" w:hAnsi="宋体" w:eastAsia="宋体" w:cs="宋体"/>
          <w:b/>
          <w:bCs/>
          <w:sz w:val="24"/>
          <w:szCs w:val="24"/>
          <w:lang w:bidi="ar-SA"/>
        </w:rPr>
        <w:t>：人员数量要求</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bidi="ar-SA"/>
        </w:rPr>
        <w:t xml:space="preserve">保安人员不少于8人；保洁人员不少于7人；维修人员不少于2人（兼电梯安全员）；消防安全员不少于1人，视频监控人员不少于1人，业务主管不少于1人，采购人如有需求增加人员，供应商必须按采购人要求增加人员。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lang w:bidi="ar-SA"/>
        </w:rPr>
      </w:pPr>
      <w:r>
        <w:rPr>
          <w:rFonts w:hint="eastAsia" w:ascii="宋体" w:hAnsi="宋体" w:eastAsia="宋体" w:cs="宋体"/>
          <w:sz w:val="24"/>
          <w:szCs w:val="24"/>
          <w:lang w:eastAsia="zh-CN" w:bidi="ar-SA"/>
        </w:rPr>
        <w:t>（</w:t>
      </w:r>
      <w:r>
        <w:rPr>
          <w:rFonts w:hint="eastAsia" w:ascii="宋体" w:hAnsi="宋体" w:eastAsia="宋体" w:cs="宋体"/>
          <w:sz w:val="24"/>
          <w:szCs w:val="24"/>
          <w:lang w:bidi="ar-SA"/>
        </w:rPr>
        <w:t>十三</w:t>
      </w:r>
      <w:r>
        <w:rPr>
          <w:rFonts w:hint="eastAsia" w:ascii="宋体" w:hAnsi="宋体" w:eastAsia="宋体" w:cs="宋体"/>
          <w:sz w:val="24"/>
          <w:szCs w:val="24"/>
          <w:lang w:eastAsia="zh-CN" w:bidi="ar-SA"/>
        </w:rPr>
        <w:t>）</w:t>
      </w:r>
      <w:r>
        <w:rPr>
          <w:rFonts w:hint="eastAsia" w:ascii="宋体" w:hAnsi="宋体" w:eastAsia="宋体" w:cs="宋体"/>
          <w:sz w:val="24"/>
          <w:szCs w:val="24"/>
          <w:lang w:bidi="ar-SA"/>
        </w:rPr>
        <w:t>、所有配备人员必须具有健康证、及相关专业证书；疫情防控阶段做好防控、防护措施，并配合、服从相关部门安排。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（十四）、供应商在工作过程中必须加强劳动保护，在工作过程中如发生意外事故、人员伤亡由供应商自行处理、自行承担，采购人概不负责。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（十五）、若供应商调用本合同规定编制内人员，承接不属于本合同内的工作，一经查实，采购单位将予供应商每人每次1000元处罚。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（十六）、不允许供应商随意调换人员，如有人员调换必须提前两天向采购人报备，采购人同意方可调换。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（十七）、中标与采购人签订《涉密协议》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备注：就以上所有工作要求制定一套完整的服务措施计划及应急方案。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宋体" w:cs="Times New Roman"/>
          <w:sz w:val="24"/>
          <w:lang w:bidi="ar-SA"/>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ind w:left="420" w:leftChars="0"/>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jc w:val="left"/>
        <w:rPr>
          <w:rFonts w:hint="default" w:ascii="宋体" w:hAnsi="宋体" w:eastAsia="宋体" w:cs="宋体"/>
          <w:b/>
          <w:bCs w:val="0"/>
          <w:color w:val="000000"/>
          <w:sz w:val="24"/>
          <w:szCs w:val="24"/>
          <w:lang w:val="en-US" w:eastAsia="zh-CN"/>
        </w:rPr>
      </w:pPr>
    </w:p>
    <w:p>
      <w:pPr>
        <w:pStyle w:val="9"/>
        <w:numPr>
          <w:ilvl w:val="0"/>
          <w:numId w:val="0"/>
        </w:numPr>
        <w:spacing w:line="360" w:lineRule="auto"/>
        <w:jc w:val="left"/>
        <w:rPr>
          <w:rFonts w:hint="default" w:ascii="宋体" w:hAnsi="宋体" w:eastAsia="宋体" w:cs="宋体"/>
          <w:b/>
          <w:bCs w:val="0"/>
          <w:color w:val="000000"/>
          <w:sz w:val="24"/>
          <w:szCs w:val="24"/>
          <w:lang w:val="en-US" w:eastAsia="zh-CN"/>
        </w:rPr>
      </w:pP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第四章 合同条款</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1、定义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1.1“合同”系指甲乙双方共同签署的、合同中载明的甲乙双方所达成的协议，包括：成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交通知书；合同条款；响应文件及承诺；项目采购需求；单一来源文件（含补充文件、修改文件） 及答疑纪要；双方约定的其他所有文件等构成合同的所有文件的总称。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1.2“甲方”系指</w:t>
      </w:r>
      <w:r>
        <w:rPr>
          <w:rFonts w:hint="eastAsia" w:ascii="宋体" w:hAnsi="宋体" w:cs="宋体"/>
          <w:color w:val="FF0000"/>
          <w:kern w:val="0"/>
          <w:sz w:val="24"/>
          <w:szCs w:val="24"/>
          <w:lang w:val="en-US" w:eastAsia="zh-CN" w:bidi="ar"/>
        </w:rPr>
        <w:t>塔城地区机关事务管理局</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1.3“乙方”系指取得成交资格，提供合同服务的成交供应商。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1.4“合同价款”系指根据合同条款、技术规范及标准、项目采购需求、本单一来源文件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的规定，乙方在正确、完整地履行合同义务后，甲方应支付给乙方实际提供合同服务的金额。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1.5“服务”系指合同条款、技术规范及标准、项目采购需求、本单一来源文件规定，乙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方为</w:t>
      </w:r>
      <w:r>
        <w:rPr>
          <w:rFonts w:hint="eastAsia" w:ascii="宋体" w:hAnsi="宋体" w:eastAsia="宋体" w:cs="宋体"/>
          <w:b/>
          <w:bCs/>
          <w:color w:val="000000"/>
          <w:kern w:val="0"/>
          <w:sz w:val="24"/>
          <w:szCs w:val="24"/>
          <w:lang w:val="en-US" w:eastAsia="zh-CN" w:bidi="ar"/>
        </w:rPr>
        <w:t xml:space="preserve">完成塔城地区机关事务管理局塔城地区政务服务与公共资源交易中心物业管理的全部工作，并能正常交付使用以及合同条款、项目采购需求、本竞争性磋商文件约定的全部内容。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1.6“技术规范及标准”系指适用于本项目维护等所有的规范及标准。当新的规范及标准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颁布后以新颁布的规范及标准执行。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1.7 凡提及的“天、日期、星期、月份和年份”系指公历日历的日历天、日期、星期、月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份和年份。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2、适用范围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2.1 本合同条款适用于本次塔城地区人民医院预算和成本管理系统项目。</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3、合同价格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3.1 合同价款为：人民币元(大写：人民币 )。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3.2 合同价款：</w:t>
      </w:r>
      <w:r>
        <w:rPr>
          <w:rFonts w:hint="eastAsia" w:ascii="宋体" w:hAnsi="宋体" w:eastAsia="宋体" w:cs="宋体"/>
          <w:b/>
          <w:bCs/>
          <w:color w:val="000000"/>
          <w:kern w:val="0"/>
          <w:sz w:val="24"/>
          <w:szCs w:val="24"/>
          <w:lang w:val="en-US" w:eastAsia="zh-CN" w:bidi="ar"/>
        </w:rPr>
        <w:t>完成塔城地区机关事务管理局塔城地区政务服务与公共资源交易中心物业管理的全部工作，并能正常交付使用以及合同条款、项目采购需求、本竞争性磋商文件约定的全部内容的全部费用。</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4、支付条款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4.1 本合同的支付币种为人民币。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4.2合同价款支付方式：</w:t>
      </w:r>
      <w:r>
        <w:rPr>
          <w:rFonts w:hint="eastAsia" w:ascii="宋体" w:hAnsi="宋体" w:eastAsia="宋体" w:cs="宋体"/>
          <w:b/>
          <w:bCs/>
          <w:color w:val="000000"/>
          <w:kern w:val="0"/>
          <w:sz w:val="24"/>
          <w:szCs w:val="24"/>
          <w:lang w:val="en-US" w:eastAsia="zh-CN" w:bidi="ar"/>
        </w:rPr>
        <w:t xml:space="preserve">详细条款由甲乙双方自行约定。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5、</w:t>
      </w:r>
      <w:r>
        <w:rPr>
          <w:rFonts w:hint="eastAsia" w:ascii="宋体" w:hAnsi="宋体" w:cs="宋体"/>
          <w:b/>
          <w:bCs/>
          <w:color w:val="000000"/>
          <w:kern w:val="0"/>
          <w:sz w:val="24"/>
          <w:szCs w:val="24"/>
          <w:lang w:val="en-US" w:eastAsia="zh-CN" w:bidi="ar"/>
        </w:rPr>
        <w:t>履约期限</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6、技术资料</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6.1 乙方应准备与服务相符的技术资料，并于合同生效后七日内送（或寄）至甲方，例如：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手册、标准和服务手册等。如本条款所述资料有不完整或丢失，乙方应在收到甲方通知后 3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日内免费另寄（送）。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7、乙方人员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7.1 乙方应委派有经验的技术人员对塔城地区人民医院预算和成本管理系统项目相关的质量负责，使其符合技术规范和有关标准的要求。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7.2 如果甲方认为乙方派遣的执行本项目的有关人员不称职，将有权要求乙方更换，乙方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对于甲方的此类要求应予以满足。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8、乙方履约延误和延期赔偿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8.1 如果乙方未能按合同规定的时间按期提供服务，将加收延期赔偿或终止合同。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8.2 在履约过程中，如果乙方可能遇到妨碍按时提供服务的情况时，应及时以书面形式将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迟延的事实、可能迟延的期限和原因通知甲方。甲方在收到乙方通知后，应尽快对情况进行分析，并确定是否同意延长工期以及是否收取误期赔偿费。延期应通过修改合同的方式由乙方认可。如乙方在原定提供服务期限后 7 天未提供服务，则甲方有权终止合同。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8.3 如乙方未能就合理提供服务日期达成一致意见，甲方有权将服务价降低到双方同意的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水平，并由乙方赔偿由此造成的所有损失。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9、违约责任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9.1 若乙方未按本项目采购需求承担相关工作，由此造成的责任和损失由乙方自行承担。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10、不可抗力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10.1 甲乙双方任一方由于受不可抗力事件的影响而不能履行合同时，履行合同的期限应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10.2 在不可抗力事件发生后，受不可抗力影响的一方应尽快以书面形式（如电报、传真或电传）将不可抗力的情况和原因通知对方，并于事件发生后 14 天内将有关当局出具的证明文件用特快专递或挂号信寄给对方审阅确认。除对方书面另行要求外，受不可抗力影响的一方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应尽实际可能继续履行合同义务，并积极寻求采取合理的方案履行未受不可抗力影响的其他合同事项。</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10.3 如果不可抗力事件的影响持续45天以上，双方应通过友好协商在合理的时间内达成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进一步履行合同的协议。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10.4 如果因不可抗力而导致合同实施延误或不能履行合同义务的，受不可抗力影响的一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方不应承担违约责任。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11、税费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11.1 根据国家现行税法规定对与本合同有关的一切税费，包括按税法规定应由甲方承担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的税费，均已包括在合同总价款之中，甲方不再与乙方另行结算税费。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12、争端的解决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12.1 甲乙双方应通过友好协商，解决在执行本合同过程中所发生的或与本合同有关的一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切争端。当事人不愿和解、调解或者和解、调解不成，向项目所在地人民法院提出诉讼。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12.2 在双方之间的争议尚未解决之前，如甲方以书面形式坚持要求乙方按其意见行事，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则乙方应按甲方的意见执行，但由此产生的一切不良后果和责任均应有乙方承担。但乙方不能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因此而故意采取可能导致不良后果的行为。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13、违约终止合同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13.1 在甲方对乙方违约而采取的任何补救措施不受影响的情况下，甲方可在下列情况下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向乙方发出书面通知书，提出终止部分或全部合同：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(1)乙方未能在合同规定的限期或甲方同意延长的限期内提供服务。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(2)乙方未能履行合同规定的其他任何义务。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13.2 如果甲方根据上述第 13.1 条的规定，终止了部分或全部合同，乙方除应退还终止的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部分或全部合同价款外，还应按本合同第 9.1 条的规定承担的违约责任。同时，乙方仍应继续执行合同中未终止的部分。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13.3 在终止合同后，甲方有权按下面方式对乙方进行处置；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(1)赔偿设备、材料损失和因乙方违约而造成的维护管理期延期的损失；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(2)乙方退场，并向甲方赔偿因乙方违约而造成的维护管理期延期的损失，以及甲方更换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新单位所发生的一切费用。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14、破产终止合同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14.1 当乙方破产或丧失清偿能力，甲方可在任何时候以书面形式通知乙方终止合同而不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给乙方补偿。该终止合同的行为将不损害或影响甲方在本合同项下已经或将要采取的任何其他行动或补救措施的权力。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15、合同修改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15.1 欲对合同条款作出任何改动，均须由甲乙双方签署书面的合同修改书。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15.2 乙方的书面承诺被甲方接受后视作合同附件，与合同具有同等法律效力。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16、转让和分包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16.1 本项目不允许以任何形式的转让和分包。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17、适用法律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17.1 本合同的适用法律为中华人民共和国的现行法律和地方法规。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18、适用语言和计量单位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18.1 本合同的适用语言为中文，所有与本合同有关的来往函件、通知及其他文件均应使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用中文。</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18.2 乙方可以提交用其他语言(原文)打印的资料，但必须翻译成中文，当原文和译文(中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文)之间存有差异和/或矛盾时，以中文为准。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18.3 除“项目采购需求”另有规定外，计量单位应使用国家标准规定的法定计量单位。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19、通知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19.1 本合同一方给另一方的通知均应以书面或电报、电传或传真的形式发送，而另一方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应以书面形式确认并送到对方明确的地址。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19.2 通知以送到日期或通知书的生效日期为生效日期，两者中以晚的一个日期为准。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20、合同文件及资料的使用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20.1 除了乙方执行合同人员外，在未经甲方同意的情况下，乙方不得将合同、合同中规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定、规格、计划、或乙方为上述内容向甲方提供的资料透露给任何人。乙方须在对外保密的前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提下，对其工作人员提供有关情况，所提供情况仅限于执行合同必不可少的范围内。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20.2 除非执行合同需要，在事先未得到甲方书面同意的情况下，乙方不得使用第 21.1 款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所列的任何文件和资料。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20.3 除合同本身以外列明的所有资料始终为甲方财产，若甲方要求，乙方应于其合同义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务履行完毕后将这些资料（包括所有副本）退还甲方。 </w:t>
      </w:r>
    </w:p>
    <w:p>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21、合同生效及其它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21.1 合同正本一式贰份，甲乙双方各执壹份；副本一式陆份，以满足甲乙双方及相关备 </w:t>
      </w:r>
    </w:p>
    <w:p>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案部门的需求。本合同经双方法定代表人或其授权的委托代理人签署并加盖法人公章后生效。 </w:t>
      </w:r>
    </w:p>
    <w:p>
      <w:pPr>
        <w:pStyle w:val="9"/>
        <w:numPr>
          <w:ilvl w:val="0"/>
          <w:numId w:val="0"/>
        </w:numPr>
        <w:spacing w:line="360" w:lineRule="auto"/>
        <w:ind w:left="640" w:leftChars="0"/>
        <w:jc w:val="left"/>
        <w:rPr>
          <w:rFonts w:hint="eastAsia" w:hAnsi="宋体"/>
          <w:b/>
          <w:color w:val="auto"/>
          <w:sz w:val="28"/>
          <w:lang w:val="en-US" w:eastAsia="zh-CN"/>
        </w:rPr>
      </w:pPr>
    </w:p>
    <w:p>
      <w:pPr>
        <w:pStyle w:val="19"/>
        <w:rPr>
          <w:rFonts w:hint="default" w:ascii="宋体" w:hAnsi="宋体" w:eastAsia="宋体"/>
          <w:sz w:val="24"/>
          <w:lang w:val="en-US" w:eastAsia="zh-CN"/>
        </w:rPr>
      </w:pPr>
    </w:p>
    <w:p>
      <w:pPr>
        <w:pStyle w:val="19"/>
        <w:rPr>
          <w:rFonts w:hint="default" w:ascii="宋体" w:hAnsi="宋体" w:eastAsia="宋体"/>
          <w:sz w:val="24"/>
          <w:lang w:val="en-US" w:eastAsia="zh-CN"/>
        </w:rPr>
      </w:pPr>
    </w:p>
    <w:p>
      <w:pPr>
        <w:spacing w:line="440" w:lineRule="exact"/>
        <w:jc w:val="both"/>
        <w:rPr>
          <w:rFonts w:hint="eastAsia" w:ascii="宋体" w:hAnsi="宋体"/>
          <w:b/>
          <w:color w:val="auto"/>
          <w:sz w:val="28"/>
        </w:rPr>
      </w:pPr>
    </w:p>
    <w:p>
      <w:pPr>
        <w:pStyle w:val="7"/>
        <w:rPr>
          <w:rFonts w:hint="eastAsia"/>
        </w:rPr>
      </w:pPr>
    </w:p>
    <w:p>
      <w:pPr>
        <w:numPr>
          <w:ilvl w:val="0"/>
          <w:numId w:val="0"/>
        </w:numPr>
        <w:spacing w:line="440" w:lineRule="exact"/>
        <w:jc w:val="center"/>
        <w:outlineLvl w:val="0"/>
        <w:rPr>
          <w:rFonts w:hint="eastAsia" w:ascii="宋体" w:hAnsi="宋体"/>
          <w:b/>
          <w:color w:val="auto"/>
          <w:sz w:val="28"/>
          <w:lang w:val="en-US" w:eastAsia="zh-CN"/>
        </w:rPr>
      </w:pPr>
      <w:bookmarkStart w:id="253" w:name="_Toc16011"/>
    </w:p>
    <w:p>
      <w:pPr>
        <w:numPr>
          <w:ilvl w:val="0"/>
          <w:numId w:val="0"/>
        </w:numPr>
        <w:spacing w:line="440" w:lineRule="exact"/>
        <w:jc w:val="center"/>
        <w:outlineLvl w:val="0"/>
        <w:rPr>
          <w:rFonts w:hint="eastAsia" w:ascii="宋体" w:hAnsi="宋体"/>
          <w:b/>
          <w:color w:val="auto"/>
          <w:sz w:val="28"/>
        </w:rPr>
      </w:pPr>
      <w:r>
        <w:rPr>
          <w:rFonts w:hint="eastAsia" w:ascii="宋体" w:hAnsi="宋体"/>
          <w:b/>
          <w:color w:val="auto"/>
          <w:sz w:val="28"/>
          <w:lang w:val="en-US" w:eastAsia="zh-CN"/>
        </w:rPr>
        <w:t xml:space="preserve">第五章  </w:t>
      </w:r>
      <w:r>
        <w:rPr>
          <w:rFonts w:hint="eastAsia" w:ascii="宋体" w:hAnsi="宋体"/>
          <w:b/>
          <w:color w:val="auto"/>
          <w:sz w:val="28"/>
        </w:rPr>
        <w:t>响应文件格式</w:t>
      </w:r>
      <w:bookmarkEnd w:id="253"/>
    </w:p>
    <w:p>
      <w:pPr>
        <w:pStyle w:val="19"/>
        <w:numPr>
          <w:ilvl w:val="0"/>
          <w:numId w:val="0"/>
        </w:numPr>
        <w:rPr>
          <w:rFonts w:hint="eastAsia"/>
        </w:rPr>
      </w:pPr>
    </w:p>
    <w:p>
      <w:pPr>
        <w:spacing w:line="360" w:lineRule="auto"/>
        <w:ind w:firstLine="573"/>
        <w:jc w:val="left"/>
        <w:rPr>
          <w:rFonts w:hint="eastAsia" w:ascii="宋体" w:hAnsi="宋体"/>
          <w:color w:val="auto"/>
          <w:sz w:val="24"/>
        </w:rPr>
      </w:pP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响应文件封面 </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1 响应函 </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2 法定代表人资格证明书 </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3 法定代表人授权委托书 </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4 供应商资格声明 </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5 诚信声明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格式 6 中小企业声明函</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格式 7 残疾人福利性单位声明函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格式 8 监狱企业声明函</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 xml:space="preserve">格式 9 </w:t>
      </w:r>
      <w:r>
        <w:rPr>
          <w:rFonts w:hint="eastAsia" w:ascii="宋体" w:hAnsi="宋体" w:eastAsia="宋体" w:cs="宋体"/>
          <w:b/>
          <w:bCs/>
          <w:color w:val="000000"/>
          <w:kern w:val="0"/>
          <w:sz w:val="24"/>
          <w:szCs w:val="24"/>
          <w:lang w:val="en-US" w:eastAsia="zh-CN" w:bidi="ar"/>
        </w:rPr>
        <w:t>商务报价</w:t>
      </w:r>
      <w:r>
        <w:rPr>
          <w:rFonts w:hint="eastAsia" w:ascii="宋体" w:hAnsi="宋体" w:eastAsia="宋体" w:cs="宋体"/>
          <w:color w:val="000000"/>
          <w:kern w:val="0"/>
          <w:sz w:val="24"/>
          <w:szCs w:val="24"/>
          <w:lang w:val="en-US" w:eastAsia="zh-CN" w:bidi="ar"/>
        </w:rPr>
        <w:t xml:space="preserve">一览表 </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格式 10 商务条款偏离表 </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格式 11 本项目管理、技术服务及其他人员情况表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格式 12 近三年（201</w:t>
      </w:r>
      <w:r>
        <w:rPr>
          <w:rFonts w:hint="eastAsia" w:ascii="宋体" w:hAnsi="宋体" w:cs="宋体"/>
          <w:b w:val="0"/>
          <w:bCs w:val="0"/>
          <w:color w:val="000000"/>
          <w:kern w:val="0"/>
          <w:sz w:val="24"/>
          <w:szCs w:val="24"/>
          <w:lang w:val="en-US" w:eastAsia="zh-CN" w:bidi="ar"/>
        </w:rPr>
        <w:t>9</w:t>
      </w:r>
      <w:r>
        <w:rPr>
          <w:rFonts w:hint="eastAsia" w:ascii="宋体" w:hAnsi="宋体" w:eastAsia="宋体" w:cs="宋体"/>
          <w:b w:val="0"/>
          <w:bCs w:val="0"/>
          <w:color w:val="000000"/>
          <w:kern w:val="0"/>
          <w:sz w:val="24"/>
          <w:szCs w:val="24"/>
          <w:lang w:val="en-US" w:eastAsia="zh-CN" w:bidi="ar"/>
        </w:rPr>
        <w:t xml:space="preserve"> 年</w:t>
      </w: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月1日至今）同类项目业绩表</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格式13  技术条款响应偏离表</w:t>
      </w:r>
    </w:p>
    <w:p>
      <w:pPr>
        <w:keepNext w:val="0"/>
        <w:keepLines w:val="0"/>
        <w:widowControl/>
        <w:suppressLineNumbers w:val="0"/>
        <w:spacing w:line="360" w:lineRule="auto"/>
        <w:jc w:val="left"/>
        <w:rPr>
          <w:rFonts w:ascii="Times New Roman" w:hAnsi="Times New Roman" w:eastAsia="宋体" w:cs="Times New Roman"/>
        </w:rPr>
      </w:pPr>
      <w:r>
        <w:rPr>
          <w:rFonts w:hint="eastAsia" w:ascii="宋体" w:hAnsi="宋体" w:eastAsia="宋体" w:cs="宋体"/>
          <w:b w:val="0"/>
          <w:bCs w:val="0"/>
          <w:color w:val="000000"/>
          <w:kern w:val="0"/>
          <w:sz w:val="24"/>
          <w:szCs w:val="24"/>
          <w:lang w:val="en-US" w:eastAsia="zh-CN" w:bidi="ar"/>
        </w:rPr>
        <w:t>格式 14 资格性/符合性自查</w:t>
      </w:r>
      <w:r>
        <w:rPr>
          <w:rFonts w:hint="eastAsia" w:ascii="宋体" w:hAnsi="宋体" w:eastAsia="宋体" w:cs="宋体"/>
          <w:color w:val="000000"/>
          <w:kern w:val="0"/>
          <w:sz w:val="24"/>
          <w:szCs w:val="24"/>
          <w:lang w:val="en-US" w:eastAsia="zh-CN" w:bidi="ar"/>
        </w:rPr>
        <w:t>表</w:t>
      </w:r>
    </w:p>
    <w:p>
      <w:pPr>
        <w:spacing w:line="360" w:lineRule="auto"/>
        <w:jc w:val="center"/>
        <w:rPr>
          <w:rFonts w:hint="eastAsia" w:ascii="宋体" w:hAnsi="宋体"/>
          <w:b/>
          <w:color w:val="auto"/>
          <w:sz w:val="36"/>
        </w:rPr>
      </w:pPr>
    </w:p>
    <w:p>
      <w:pPr>
        <w:spacing w:line="360" w:lineRule="auto"/>
        <w:jc w:val="center"/>
        <w:rPr>
          <w:rFonts w:hint="eastAsia" w:ascii="宋体" w:hAnsi="宋体"/>
          <w:b/>
          <w:color w:val="auto"/>
          <w:sz w:val="36"/>
        </w:rPr>
      </w:pPr>
    </w:p>
    <w:p>
      <w:pPr>
        <w:spacing w:line="360" w:lineRule="auto"/>
        <w:jc w:val="center"/>
        <w:rPr>
          <w:rFonts w:hint="eastAsia" w:ascii="宋体" w:hAnsi="宋体"/>
          <w:b/>
          <w:color w:val="auto"/>
          <w:sz w:val="36"/>
        </w:rPr>
      </w:pPr>
    </w:p>
    <w:p>
      <w:pPr>
        <w:spacing w:line="360" w:lineRule="auto"/>
        <w:jc w:val="center"/>
        <w:rPr>
          <w:rFonts w:hint="eastAsia" w:ascii="宋体" w:hAnsi="宋体"/>
          <w:b/>
          <w:color w:val="auto"/>
          <w:sz w:val="36"/>
        </w:rPr>
      </w:pPr>
    </w:p>
    <w:p>
      <w:pPr>
        <w:spacing w:line="360" w:lineRule="auto"/>
        <w:jc w:val="both"/>
        <w:rPr>
          <w:rFonts w:hint="eastAsia" w:ascii="宋体" w:hAnsi="宋体"/>
          <w:b/>
          <w:color w:val="auto"/>
          <w:sz w:val="36"/>
        </w:rPr>
      </w:pPr>
    </w:p>
    <w:p>
      <w:pPr>
        <w:pStyle w:val="19"/>
        <w:rPr>
          <w:rFonts w:hint="eastAsia" w:ascii="宋体" w:hAnsi="宋体"/>
          <w:b/>
          <w:color w:val="auto"/>
          <w:sz w:val="36"/>
        </w:rPr>
      </w:pPr>
    </w:p>
    <w:p>
      <w:pPr>
        <w:pStyle w:val="19"/>
        <w:rPr>
          <w:rFonts w:hint="eastAsia" w:ascii="宋体" w:hAnsi="宋体"/>
          <w:b/>
          <w:color w:val="auto"/>
          <w:sz w:val="36"/>
        </w:rPr>
      </w:pPr>
    </w:p>
    <w:p>
      <w:pPr>
        <w:pStyle w:val="19"/>
        <w:rPr>
          <w:rFonts w:hint="eastAsia" w:ascii="宋体" w:hAnsi="宋体"/>
          <w:b/>
          <w:color w:val="auto"/>
          <w:sz w:val="36"/>
        </w:rPr>
      </w:pPr>
    </w:p>
    <w:p>
      <w:pPr>
        <w:jc w:val="both"/>
        <w:rPr>
          <w:rFonts w:hint="eastAsia" w:ascii="宋体" w:hAnsi="宋体"/>
          <w:b/>
          <w:color w:val="auto"/>
          <w:sz w:val="52"/>
          <w:szCs w:val="52"/>
        </w:rPr>
      </w:pPr>
    </w:p>
    <w:p>
      <w:pPr>
        <w:jc w:val="center"/>
        <w:rPr>
          <w:rFonts w:hint="eastAsia" w:ascii="宋体" w:hAnsi="宋体"/>
          <w:b/>
          <w:color w:val="auto"/>
          <w:sz w:val="52"/>
          <w:szCs w:val="52"/>
          <w:lang w:eastAsia="zh-CN"/>
        </w:rPr>
      </w:pPr>
    </w:p>
    <w:p>
      <w:pPr>
        <w:jc w:val="center"/>
        <w:rPr>
          <w:rFonts w:hint="eastAsia" w:ascii="宋体" w:hAnsi="宋体"/>
          <w:b/>
          <w:color w:val="auto"/>
          <w:sz w:val="72"/>
        </w:rPr>
      </w:pPr>
      <w:r>
        <w:rPr>
          <w:rFonts w:hint="eastAsia" w:ascii="宋体" w:hAnsi="宋体"/>
          <w:b/>
          <w:color w:val="auto"/>
          <w:sz w:val="72"/>
        </w:rPr>
        <w:t>塔城地区机关事务管理局塔城地区政务服务与公共资源交易中心物业管理</w:t>
      </w:r>
    </w:p>
    <w:p>
      <w:pPr>
        <w:pStyle w:val="7"/>
        <w:rPr>
          <w:rFonts w:hint="eastAsia" w:ascii="宋体" w:hAnsi="宋体"/>
          <w:b/>
          <w:color w:val="auto"/>
          <w:sz w:val="72"/>
        </w:rPr>
      </w:pPr>
    </w:p>
    <w:p>
      <w:pPr>
        <w:rPr>
          <w:rFonts w:hint="eastAsia"/>
        </w:rPr>
      </w:pPr>
    </w:p>
    <w:p>
      <w:pPr>
        <w:jc w:val="center"/>
        <w:rPr>
          <w:rFonts w:hint="eastAsia" w:ascii="宋体" w:hAnsi="宋体"/>
          <w:b/>
          <w:color w:val="auto"/>
          <w:sz w:val="52"/>
          <w:szCs w:val="52"/>
        </w:rPr>
      </w:pPr>
      <w:r>
        <w:rPr>
          <w:rFonts w:hint="eastAsia" w:ascii="宋体" w:hAnsi="宋体"/>
          <w:b/>
          <w:color w:val="auto"/>
          <w:sz w:val="52"/>
          <w:szCs w:val="52"/>
        </w:rPr>
        <w:t>响  应  文  件</w:t>
      </w:r>
    </w:p>
    <w:p>
      <w:pPr>
        <w:pStyle w:val="19"/>
        <w:jc w:val="center"/>
        <w:rPr>
          <w:rFonts w:hint="eastAsia" w:ascii="宋体" w:hAnsi="宋体"/>
          <w:b/>
          <w:color w:val="auto"/>
          <w:sz w:val="72"/>
        </w:rPr>
      </w:pPr>
      <w:r>
        <w:rPr>
          <w:rFonts w:hint="eastAsia" w:ascii="宋体" w:hAnsi="宋体"/>
          <w:b/>
          <w:color w:val="auto"/>
          <w:kern w:val="0"/>
          <w:sz w:val="24"/>
        </w:rPr>
        <w:t>磋商采购文件编号</w:t>
      </w:r>
      <w:r>
        <w:rPr>
          <w:rFonts w:hint="eastAsia" w:ascii="宋体" w:hAnsi="宋体"/>
          <w:b/>
          <w:color w:val="auto"/>
          <w:w w:val="95"/>
          <w:sz w:val="24"/>
        </w:rPr>
        <w:t>：TCZFCG-001</w:t>
      </w:r>
    </w:p>
    <w:p>
      <w:pPr>
        <w:pStyle w:val="19"/>
        <w:rPr>
          <w:rFonts w:hint="eastAsia" w:ascii="宋体" w:hAnsi="宋体"/>
          <w:b/>
          <w:color w:val="auto"/>
          <w:sz w:val="72"/>
        </w:rPr>
      </w:pPr>
    </w:p>
    <w:p>
      <w:pPr>
        <w:pStyle w:val="19"/>
        <w:rPr>
          <w:rFonts w:hint="eastAsia"/>
        </w:rPr>
      </w:pPr>
    </w:p>
    <w:p>
      <w:pPr>
        <w:spacing w:line="360" w:lineRule="auto"/>
        <w:rPr>
          <w:rFonts w:hint="eastAsia" w:ascii="宋体" w:hAnsi="宋体"/>
          <w:b/>
          <w:color w:val="auto"/>
        </w:rPr>
      </w:pPr>
    </w:p>
    <w:p>
      <w:pPr>
        <w:spacing w:line="360" w:lineRule="auto"/>
        <w:ind w:firstLine="602"/>
        <w:rPr>
          <w:rFonts w:hint="eastAsia" w:ascii="宋体" w:hAnsi="宋体"/>
          <w:b/>
          <w:color w:val="auto"/>
          <w:sz w:val="30"/>
          <w:szCs w:val="30"/>
        </w:rPr>
      </w:pPr>
      <w:r>
        <w:rPr>
          <w:rFonts w:hint="eastAsia" w:ascii="宋体" w:hAnsi="宋体"/>
          <w:b/>
          <w:color w:val="auto"/>
          <w:sz w:val="30"/>
          <w:szCs w:val="30"/>
        </w:rPr>
        <w:t>供应商： （单位名称）盖章</w:t>
      </w:r>
    </w:p>
    <w:p>
      <w:pPr>
        <w:spacing w:line="360" w:lineRule="auto"/>
        <w:rPr>
          <w:rFonts w:hint="eastAsia" w:ascii="宋体" w:hAnsi="宋体"/>
          <w:b/>
          <w:color w:val="auto"/>
          <w:sz w:val="30"/>
          <w:szCs w:val="30"/>
        </w:rPr>
      </w:pPr>
    </w:p>
    <w:p>
      <w:pPr>
        <w:spacing w:line="360" w:lineRule="auto"/>
        <w:ind w:firstLine="602"/>
        <w:rPr>
          <w:rFonts w:hint="eastAsia" w:ascii="宋体" w:hAnsi="宋体"/>
          <w:b/>
          <w:color w:val="auto"/>
          <w:sz w:val="30"/>
          <w:szCs w:val="30"/>
        </w:rPr>
      </w:pPr>
      <w:r>
        <w:rPr>
          <w:rFonts w:hint="eastAsia" w:ascii="宋体" w:hAnsi="宋体"/>
          <w:b/>
          <w:color w:val="auto"/>
          <w:sz w:val="30"/>
          <w:szCs w:val="30"/>
        </w:rPr>
        <w:t>单位地址：</w:t>
      </w:r>
    </w:p>
    <w:p>
      <w:pPr>
        <w:spacing w:line="360" w:lineRule="auto"/>
        <w:ind w:firstLine="602"/>
        <w:rPr>
          <w:rFonts w:hint="eastAsia" w:ascii="宋体" w:hAnsi="宋体"/>
          <w:b/>
          <w:color w:val="auto"/>
          <w:sz w:val="30"/>
          <w:szCs w:val="30"/>
        </w:rPr>
      </w:pPr>
    </w:p>
    <w:p>
      <w:pPr>
        <w:pStyle w:val="9"/>
        <w:ind w:firstLine="744" w:firstLineChars="247"/>
        <w:outlineLvl w:val="0"/>
        <w:rPr>
          <w:rFonts w:hint="eastAsia" w:hAnsi="宋体"/>
          <w:b/>
          <w:color w:val="auto"/>
          <w:sz w:val="30"/>
          <w:szCs w:val="30"/>
        </w:rPr>
      </w:pPr>
      <w:bookmarkStart w:id="254" w:name="_Toc30165"/>
      <w:r>
        <w:rPr>
          <w:rFonts w:hint="eastAsia" w:hAnsi="宋体"/>
          <w:b/>
          <w:color w:val="auto"/>
          <w:sz w:val="30"/>
          <w:szCs w:val="30"/>
        </w:rPr>
        <w:t>联系人：                   联系电话：</w:t>
      </w:r>
      <w:bookmarkEnd w:id="254"/>
    </w:p>
    <w:p>
      <w:pPr>
        <w:pStyle w:val="9"/>
        <w:ind w:firstLine="744" w:firstLineChars="247"/>
        <w:outlineLvl w:val="9"/>
        <w:rPr>
          <w:rFonts w:hint="eastAsia" w:hAnsi="宋体"/>
          <w:b/>
          <w:color w:val="auto"/>
          <w:sz w:val="30"/>
        </w:rPr>
      </w:pPr>
    </w:p>
    <w:p>
      <w:pPr>
        <w:pStyle w:val="9"/>
        <w:ind w:firstLine="744" w:firstLineChars="247"/>
        <w:outlineLvl w:val="9"/>
        <w:rPr>
          <w:rFonts w:hint="eastAsia" w:hAnsi="宋体"/>
          <w:b/>
          <w:color w:val="auto"/>
          <w:sz w:val="30"/>
        </w:rPr>
      </w:pPr>
    </w:p>
    <w:p>
      <w:pPr>
        <w:pStyle w:val="9"/>
        <w:ind w:firstLine="744" w:firstLineChars="247"/>
        <w:outlineLvl w:val="9"/>
        <w:rPr>
          <w:rFonts w:hint="eastAsia" w:hAnsi="宋体"/>
          <w:b/>
          <w:color w:val="auto"/>
          <w:sz w:val="30"/>
        </w:rPr>
      </w:pPr>
    </w:p>
    <w:p>
      <w:pPr>
        <w:pStyle w:val="4"/>
        <w:jc w:val="both"/>
        <w:rPr>
          <w:rFonts w:hint="eastAsia" w:ascii="宋体" w:hAnsi="宋体" w:eastAsia="宋体"/>
          <w:color w:val="auto"/>
          <w:sz w:val="24"/>
        </w:rPr>
      </w:pPr>
      <w:bookmarkStart w:id="255" w:name="_Toc18262"/>
    </w:p>
    <w:p>
      <w:pPr>
        <w:pStyle w:val="4"/>
        <w:jc w:val="center"/>
        <w:rPr>
          <w:rFonts w:hint="eastAsia" w:ascii="宋体" w:hAnsi="宋体" w:eastAsia="宋体"/>
          <w:color w:val="auto"/>
          <w:sz w:val="24"/>
        </w:rPr>
      </w:pPr>
      <w:r>
        <w:rPr>
          <w:rFonts w:hint="eastAsia" w:ascii="宋体" w:hAnsi="宋体" w:eastAsia="宋体"/>
          <w:color w:val="auto"/>
          <w:sz w:val="24"/>
        </w:rPr>
        <w:t>格式1    响   应  函</w:t>
      </w:r>
      <w:bookmarkEnd w:id="255"/>
    </w:p>
    <w:p>
      <w:pPr>
        <w:spacing w:line="360" w:lineRule="auto"/>
        <w:ind w:firstLine="480" w:firstLineChars="200"/>
        <w:jc w:val="left"/>
        <w:rPr>
          <w:rFonts w:hint="eastAsia" w:ascii="宋体" w:hAnsi="宋体"/>
          <w:color w:val="auto"/>
          <w:sz w:val="24"/>
        </w:rPr>
      </w:pPr>
      <w:r>
        <w:rPr>
          <w:rFonts w:hint="eastAsia" w:ascii="宋体" w:hAnsi="宋体"/>
          <w:color w:val="auto"/>
          <w:kern w:val="0"/>
          <w:sz w:val="24"/>
          <w:lang w:eastAsia="zh-CN"/>
        </w:rPr>
        <w:t>塔城地区机关事务管理局</w:t>
      </w:r>
      <w:r>
        <w:rPr>
          <w:rFonts w:hint="eastAsia" w:ascii="宋体" w:hAnsi="宋体"/>
          <w:color w:val="auto"/>
          <w:sz w:val="32"/>
        </w:rPr>
        <w:t>：</w:t>
      </w:r>
    </w:p>
    <w:p>
      <w:pPr>
        <w:pStyle w:val="11"/>
        <w:ind w:left="0" w:firstLine="480" w:firstLineChars="200"/>
        <w:jc w:val="left"/>
        <w:rPr>
          <w:rFonts w:hint="eastAsia" w:ascii="宋体" w:hAnsi="宋体"/>
          <w:b w:val="0"/>
          <w:color w:val="auto"/>
        </w:rPr>
      </w:pPr>
      <w:r>
        <w:rPr>
          <w:rFonts w:hint="eastAsia" w:ascii="宋体" w:hAnsi="宋体"/>
          <w:b w:val="0"/>
          <w:color w:val="auto"/>
        </w:rPr>
        <w:t>我方全面研究了 “</w:t>
      </w:r>
      <w:r>
        <w:rPr>
          <w:rFonts w:hint="eastAsia" w:ascii="宋体" w:hAnsi="宋体"/>
          <w:b w:val="0"/>
          <w:color w:val="auto"/>
          <w:u w:val="single"/>
        </w:rPr>
        <w:t xml:space="preserve">     </w:t>
      </w:r>
      <w:r>
        <w:rPr>
          <w:rFonts w:hint="eastAsia" w:ascii="宋体" w:hAnsi="宋体"/>
          <w:b w:val="0"/>
          <w:color w:val="auto"/>
        </w:rPr>
        <w:t>”项目磋商文件（文件编号：</w:t>
      </w:r>
      <w:r>
        <w:rPr>
          <w:rFonts w:hint="eastAsia" w:ascii="宋体" w:hAnsi="宋体"/>
          <w:b w:val="0"/>
          <w:color w:val="auto"/>
          <w:u w:val="single"/>
        </w:rPr>
        <w:t xml:space="preserve">       </w:t>
      </w:r>
      <w:r>
        <w:rPr>
          <w:rFonts w:hint="eastAsia" w:ascii="宋体" w:hAnsi="宋体"/>
          <w:b w:val="0"/>
          <w:color w:val="auto"/>
        </w:rPr>
        <w:t>），决定参加本项目竞争性磋商。我方授权（姓名、职务）</w:t>
      </w:r>
      <w:r>
        <w:rPr>
          <w:rFonts w:hint="eastAsia" w:ascii="宋体" w:hAnsi="宋体"/>
          <w:b w:val="0"/>
          <w:color w:val="auto"/>
          <w:u w:val="single"/>
        </w:rPr>
        <w:t xml:space="preserve">     </w:t>
      </w:r>
      <w:r>
        <w:rPr>
          <w:rFonts w:hint="eastAsia" w:ascii="宋体" w:hAnsi="宋体"/>
          <w:b w:val="0"/>
          <w:color w:val="auto"/>
        </w:rPr>
        <w:t>代表我</w:t>
      </w:r>
      <w:r>
        <w:rPr>
          <w:rFonts w:hint="eastAsia" w:ascii="宋体" w:hAnsi="宋体"/>
          <w:b w:val="0"/>
          <w:color w:val="auto"/>
          <w:u w:val="single"/>
        </w:rPr>
        <w:t xml:space="preserve">      </w:t>
      </w:r>
      <w:r>
        <w:rPr>
          <w:rFonts w:hint="eastAsia" w:ascii="宋体" w:hAnsi="宋体"/>
          <w:b w:val="0"/>
          <w:color w:val="auto"/>
        </w:rPr>
        <w:t>方（供应商的名称）全权处理本项目磋商的有关事宜。</w:t>
      </w:r>
    </w:p>
    <w:p>
      <w:pPr>
        <w:pStyle w:val="11"/>
        <w:numPr>
          <w:ilvl w:val="0"/>
          <w:numId w:val="10"/>
        </w:numPr>
        <w:ind w:left="0" w:firstLine="480" w:firstLineChars="200"/>
        <w:jc w:val="left"/>
        <w:rPr>
          <w:rFonts w:hint="eastAsia" w:ascii="宋体" w:hAnsi="宋体"/>
          <w:b w:val="0"/>
          <w:color w:val="auto"/>
        </w:rPr>
      </w:pPr>
      <w:r>
        <w:rPr>
          <w:rFonts w:hint="eastAsia" w:ascii="宋体" w:hAnsi="宋体"/>
          <w:b w:val="0"/>
          <w:color w:val="auto"/>
        </w:rPr>
        <w:t>我方自愿按照磋商文件规定的各项要求向采购人提供所需工作内容。</w:t>
      </w:r>
    </w:p>
    <w:p>
      <w:pPr>
        <w:pStyle w:val="11"/>
        <w:numPr>
          <w:ilvl w:val="0"/>
          <w:numId w:val="10"/>
        </w:numPr>
        <w:ind w:left="0" w:firstLine="480" w:firstLineChars="200"/>
        <w:jc w:val="left"/>
        <w:rPr>
          <w:rFonts w:hint="eastAsia" w:ascii="宋体" w:hAnsi="宋体"/>
          <w:b w:val="0"/>
          <w:color w:val="auto"/>
        </w:rPr>
      </w:pPr>
      <w:r>
        <w:rPr>
          <w:rFonts w:hint="eastAsia" w:ascii="宋体" w:hAnsi="宋体"/>
          <w:b w:val="0"/>
          <w:color w:val="auto"/>
        </w:rPr>
        <w:t>若我方成交，我方将严格履行合同规定的责任和义务，保证按采购人要求及我方承诺完成所需服务及应尽义务。</w:t>
      </w:r>
    </w:p>
    <w:p>
      <w:pPr>
        <w:pStyle w:val="11"/>
        <w:ind w:left="0" w:firstLine="482" w:firstLineChars="200"/>
        <w:jc w:val="left"/>
        <w:rPr>
          <w:rFonts w:hint="eastAsia" w:ascii="宋体" w:hAnsi="宋体"/>
          <w:color w:val="auto"/>
        </w:rPr>
      </w:pPr>
      <w:r>
        <w:rPr>
          <w:rFonts w:hint="eastAsia" w:ascii="宋体" w:hAnsi="宋体"/>
          <w:color w:val="auto"/>
        </w:rPr>
        <w:t>3．其投标自递交响应文件截止之日起有效期为</w:t>
      </w:r>
      <w:r>
        <w:rPr>
          <w:rFonts w:hint="eastAsia" w:ascii="宋体" w:hAnsi="宋体"/>
          <w:b w:val="0"/>
          <w:color w:val="auto"/>
          <w:u w:val="single"/>
        </w:rPr>
        <w:t xml:space="preserve"> </w:t>
      </w:r>
      <w:r>
        <w:rPr>
          <w:rFonts w:hint="eastAsia" w:ascii="宋体" w:hAnsi="宋体"/>
          <w:b w:val="0"/>
          <w:color w:val="auto"/>
          <w:u w:val="single"/>
          <w:lang w:val="en-US" w:eastAsia="zh-CN"/>
        </w:rPr>
        <w:t>9</w:t>
      </w:r>
      <w:r>
        <w:rPr>
          <w:rFonts w:hint="eastAsia" w:ascii="宋体" w:hAnsi="宋体"/>
          <w:b w:val="0"/>
          <w:color w:val="auto"/>
          <w:u w:val="single"/>
        </w:rPr>
        <w:t xml:space="preserve">0 </w:t>
      </w:r>
      <w:r>
        <w:rPr>
          <w:rFonts w:hint="eastAsia" w:ascii="宋体" w:hAnsi="宋体"/>
          <w:color w:val="auto"/>
        </w:rPr>
        <w:t>个日历日。如果我们的投标被接受，则至合同生效时止，本投标始终有效，我们将按服务协议、投标承诺及采购文件的规定履行合同责任和义务。</w:t>
      </w:r>
    </w:p>
    <w:p>
      <w:pPr>
        <w:pStyle w:val="11"/>
        <w:ind w:left="0" w:firstLine="480" w:firstLineChars="200"/>
        <w:jc w:val="left"/>
        <w:rPr>
          <w:rFonts w:hint="eastAsia" w:ascii="宋体" w:hAnsi="宋体"/>
          <w:b w:val="0"/>
          <w:color w:val="auto"/>
        </w:rPr>
      </w:pPr>
      <w:r>
        <w:rPr>
          <w:rFonts w:hint="eastAsia" w:ascii="宋体" w:hAnsi="宋体"/>
          <w:b w:val="0"/>
          <w:color w:val="auto"/>
        </w:rPr>
        <w:t>4、我方为本项目提交的响应文件一式</w:t>
      </w:r>
      <w:r>
        <w:rPr>
          <w:rFonts w:hint="eastAsia" w:ascii="宋体" w:hAnsi="宋体"/>
          <w:b w:val="0"/>
          <w:color w:val="auto"/>
          <w:u w:val="single"/>
        </w:rPr>
        <w:t>伍</w:t>
      </w:r>
      <w:r>
        <w:rPr>
          <w:rFonts w:hint="eastAsia" w:ascii="宋体" w:hAnsi="宋体"/>
          <w:b w:val="0"/>
          <w:color w:val="auto"/>
        </w:rPr>
        <w:t>份，正本</w:t>
      </w:r>
      <w:r>
        <w:rPr>
          <w:rFonts w:hint="eastAsia" w:ascii="宋体" w:hAnsi="宋体"/>
          <w:b w:val="0"/>
          <w:color w:val="auto"/>
          <w:u w:val="single"/>
        </w:rPr>
        <w:t>壹</w:t>
      </w:r>
      <w:r>
        <w:rPr>
          <w:rFonts w:hint="eastAsia" w:ascii="宋体" w:hAnsi="宋体"/>
          <w:b w:val="0"/>
          <w:color w:val="auto"/>
        </w:rPr>
        <w:t>份，副本</w:t>
      </w:r>
      <w:r>
        <w:rPr>
          <w:rFonts w:hint="eastAsia" w:ascii="宋体" w:hAnsi="宋体"/>
          <w:b w:val="0"/>
          <w:color w:val="auto"/>
          <w:u w:val="single"/>
        </w:rPr>
        <w:t>肆</w:t>
      </w:r>
      <w:r>
        <w:rPr>
          <w:rFonts w:hint="eastAsia" w:ascii="宋体" w:hAnsi="宋体"/>
          <w:b w:val="0"/>
          <w:color w:val="auto"/>
        </w:rPr>
        <w:t>份</w:t>
      </w:r>
      <w:r>
        <w:rPr>
          <w:rFonts w:hint="eastAsia" w:ascii="宋体" w:hAnsi="宋体"/>
          <w:b w:val="0"/>
          <w:color w:val="auto"/>
          <w:lang w:eastAsia="zh-CN"/>
        </w:rPr>
        <w:t>；</w:t>
      </w:r>
      <w:r>
        <w:rPr>
          <w:rFonts w:hint="eastAsia" w:ascii="宋体" w:hAnsi="宋体"/>
          <w:b w:val="0"/>
          <w:color w:val="auto"/>
          <w:lang w:val="en-US" w:eastAsia="zh-CN"/>
        </w:rPr>
        <w:t>电子版投标文件壹份</w:t>
      </w:r>
      <w:r>
        <w:rPr>
          <w:rFonts w:hint="eastAsia" w:ascii="宋体" w:hAnsi="宋体"/>
          <w:b w:val="0"/>
          <w:color w:val="auto"/>
        </w:rPr>
        <w:t>。</w:t>
      </w:r>
    </w:p>
    <w:p>
      <w:pPr>
        <w:pStyle w:val="11"/>
        <w:ind w:left="0" w:firstLine="480" w:firstLineChars="200"/>
        <w:jc w:val="left"/>
        <w:rPr>
          <w:rFonts w:hint="eastAsia" w:ascii="宋体" w:hAnsi="宋体"/>
          <w:b w:val="0"/>
          <w:color w:val="auto"/>
        </w:rPr>
      </w:pPr>
      <w:r>
        <w:rPr>
          <w:rFonts w:hint="eastAsia" w:ascii="宋体" w:hAnsi="宋体"/>
          <w:b w:val="0"/>
          <w:color w:val="auto"/>
        </w:rPr>
        <w:t>5、我方愿意提供采购人可能另外要求的，与磋商有关的文件资料，并保证我方已提供和将要提供的文件资料是真实、准确的。</w:t>
      </w:r>
    </w:p>
    <w:p>
      <w:pPr>
        <w:pStyle w:val="11"/>
        <w:ind w:left="0" w:firstLine="480" w:firstLineChars="200"/>
        <w:jc w:val="left"/>
        <w:rPr>
          <w:rFonts w:hint="eastAsia" w:ascii="宋体" w:hAnsi="宋体"/>
          <w:b w:val="0"/>
          <w:color w:val="auto"/>
        </w:rPr>
      </w:pPr>
      <w:r>
        <w:rPr>
          <w:rFonts w:hint="eastAsia" w:ascii="宋体" w:hAnsi="宋体"/>
          <w:b w:val="0"/>
          <w:color w:val="auto"/>
        </w:rPr>
        <w:t>6、我方完全理解采购人不一定将合同授予最低报价的供应商的行为。</w:t>
      </w:r>
    </w:p>
    <w:p>
      <w:pPr>
        <w:spacing w:line="360" w:lineRule="auto"/>
        <w:ind w:firstLine="480" w:firstLineChars="200"/>
        <w:jc w:val="left"/>
        <w:rPr>
          <w:rFonts w:hint="eastAsia" w:ascii="宋体" w:hAnsi="宋体"/>
          <w:color w:val="auto"/>
          <w:sz w:val="24"/>
        </w:rPr>
      </w:pPr>
    </w:p>
    <w:p>
      <w:pPr>
        <w:spacing w:line="360" w:lineRule="auto"/>
        <w:ind w:firstLine="480" w:firstLineChars="200"/>
        <w:jc w:val="left"/>
        <w:rPr>
          <w:rFonts w:hint="eastAsia" w:ascii="宋体" w:hAnsi="宋体"/>
          <w:color w:val="auto"/>
          <w:sz w:val="24"/>
        </w:rPr>
      </w:pPr>
    </w:p>
    <w:p>
      <w:pPr>
        <w:pStyle w:val="11"/>
        <w:ind w:left="838" w:firstLine="480" w:firstLineChars="200"/>
        <w:jc w:val="left"/>
        <w:rPr>
          <w:rFonts w:hint="eastAsia" w:ascii="宋体" w:hAnsi="宋体"/>
          <w:b w:val="0"/>
          <w:color w:val="auto"/>
        </w:rPr>
      </w:pPr>
      <w:r>
        <w:rPr>
          <w:rFonts w:hint="eastAsia" w:ascii="宋体" w:hAnsi="宋体"/>
          <w:b w:val="0"/>
          <w:color w:val="auto"/>
        </w:rPr>
        <w:t>供应商名称：        （盖章）</w:t>
      </w:r>
    </w:p>
    <w:p>
      <w:pPr>
        <w:pStyle w:val="11"/>
        <w:ind w:left="838" w:firstLine="480" w:firstLineChars="200"/>
        <w:jc w:val="left"/>
        <w:rPr>
          <w:rFonts w:hint="eastAsia" w:ascii="宋体" w:hAnsi="宋体"/>
          <w:b w:val="0"/>
          <w:color w:val="auto"/>
        </w:rPr>
      </w:pPr>
      <w:r>
        <w:rPr>
          <w:rFonts w:hint="eastAsia" w:ascii="宋体" w:hAnsi="宋体"/>
          <w:b w:val="0"/>
          <w:color w:val="auto"/>
        </w:rPr>
        <w:t>法定代表人或授权代表（签字）或盖章：</w:t>
      </w:r>
    </w:p>
    <w:p>
      <w:pPr>
        <w:pStyle w:val="11"/>
        <w:ind w:left="838" w:firstLine="480" w:firstLineChars="200"/>
        <w:jc w:val="left"/>
        <w:rPr>
          <w:rFonts w:hint="eastAsia" w:ascii="宋体" w:hAnsi="宋体"/>
          <w:b w:val="0"/>
          <w:color w:val="auto"/>
        </w:rPr>
      </w:pPr>
      <w:r>
        <w:rPr>
          <w:rFonts w:hint="eastAsia" w:ascii="宋体" w:hAnsi="宋体"/>
          <w:b w:val="0"/>
          <w:color w:val="auto"/>
        </w:rPr>
        <w:t>通讯地址：</w:t>
      </w:r>
    </w:p>
    <w:p>
      <w:pPr>
        <w:pStyle w:val="11"/>
        <w:ind w:left="838" w:firstLine="480" w:firstLineChars="200"/>
        <w:jc w:val="left"/>
        <w:rPr>
          <w:rFonts w:hint="eastAsia" w:ascii="宋体" w:hAnsi="宋体"/>
          <w:b w:val="0"/>
          <w:color w:val="auto"/>
        </w:rPr>
      </w:pPr>
      <w:r>
        <w:rPr>
          <w:rFonts w:hint="eastAsia" w:ascii="宋体" w:hAnsi="宋体"/>
          <w:b w:val="0"/>
          <w:color w:val="auto"/>
        </w:rPr>
        <w:t>邮政编码：</w:t>
      </w:r>
    </w:p>
    <w:p>
      <w:pPr>
        <w:pStyle w:val="11"/>
        <w:ind w:left="838" w:firstLine="480" w:firstLineChars="200"/>
        <w:jc w:val="left"/>
        <w:rPr>
          <w:rFonts w:hint="eastAsia" w:ascii="宋体" w:hAnsi="宋体"/>
          <w:b w:val="0"/>
          <w:color w:val="auto"/>
        </w:rPr>
      </w:pPr>
      <w:r>
        <w:rPr>
          <w:rFonts w:hint="eastAsia" w:ascii="宋体" w:hAnsi="宋体"/>
          <w:b w:val="0"/>
          <w:color w:val="auto"/>
        </w:rPr>
        <w:t>联系电话：</w:t>
      </w:r>
    </w:p>
    <w:p>
      <w:pPr>
        <w:pStyle w:val="11"/>
        <w:ind w:left="838" w:firstLine="480" w:firstLineChars="200"/>
        <w:jc w:val="left"/>
        <w:rPr>
          <w:rFonts w:hint="eastAsia" w:ascii="宋体" w:hAnsi="宋体"/>
          <w:b w:val="0"/>
          <w:color w:val="auto"/>
        </w:rPr>
      </w:pPr>
      <w:r>
        <w:rPr>
          <w:rFonts w:hint="eastAsia" w:ascii="宋体" w:hAnsi="宋体"/>
          <w:b w:val="0"/>
          <w:color w:val="auto"/>
        </w:rPr>
        <w:t>传    真：</w:t>
      </w:r>
    </w:p>
    <w:p>
      <w:pPr>
        <w:pStyle w:val="11"/>
        <w:ind w:left="838" w:firstLine="480" w:firstLineChars="200"/>
        <w:jc w:val="left"/>
        <w:rPr>
          <w:rFonts w:hint="eastAsia" w:ascii="宋体" w:hAnsi="宋体"/>
          <w:b w:val="0"/>
          <w:color w:val="auto"/>
        </w:rPr>
      </w:pPr>
      <w:r>
        <w:rPr>
          <w:rFonts w:hint="eastAsia" w:ascii="宋体" w:hAnsi="宋体"/>
          <w:b w:val="0"/>
          <w:color w:val="auto"/>
        </w:rPr>
        <w:t>日    期：      年  月  日</w:t>
      </w:r>
    </w:p>
    <w:p>
      <w:pPr>
        <w:tabs>
          <w:tab w:val="left" w:pos="360"/>
          <w:tab w:val="left" w:pos="1800"/>
        </w:tabs>
        <w:spacing w:line="360" w:lineRule="auto"/>
        <w:jc w:val="center"/>
        <w:rPr>
          <w:rFonts w:hint="eastAsia" w:ascii="宋体" w:hAnsi="宋体"/>
          <w:b/>
          <w:color w:val="auto"/>
          <w:sz w:val="24"/>
        </w:rPr>
      </w:pPr>
    </w:p>
    <w:p>
      <w:pPr>
        <w:tabs>
          <w:tab w:val="left" w:pos="360"/>
          <w:tab w:val="left" w:pos="1800"/>
        </w:tabs>
        <w:spacing w:line="360" w:lineRule="auto"/>
        <w:jc w:val="center"/>
        <w:rPr>
          <w:rFonts w:hint="eastAsia" w:ascii="宋体" w:hAnsi="宋体"/>
          <w:b/>
          <w:color w:val="auto"/>
          <w:sz w:val="24"/>
        </w:rPr>
      </w:pPr>
    </w:p>
    <w:p>
      <w:pPr>
        <w:tabs>
          <w:tab w:val="left" w:pos="360"/>
          <w:tab w:val="left" w:pos="1800"/>
        </w:tabs>
        <w:spacing w:line="360" w:lineRule="auto"/>
        <w:jc w:val="center"/>
        <w:rPr>
          <w:rFonts w:hint="eastAsia" w:ascii="宋体" w:hAnsi="宋体"/>
          <w:b/>
          <w:color w:val="auto"/>
          <w:sz w:val="24"/>
        </w:rPr>
      </w:pPr>
    </w:p>
    <w:p>
      <w:pPr>
        <w:tabs>
          <w:tab w:val="left" w:pos="360"/>
          <w:tab w:val="left" w:pos="1800"/>
        </w:tabs>
        <w:spacing w:line="360" w:lineRule="auto"/>
        <w:jc w:val="center"/>
        <w:rPr>
          <w:rFonts w:hint="eastAsia" w:ascii="宋体" w:hAnsi="宋体"/>
          <w:b/>
          <w:color w:val="auto"/>
          <w:sz w:val="24"/>
        </w:rPr>
      </w:pPr>
    </w:p>
    <w:p>
      <w:pPr>
        <w:tabs>
          <w:tab w:val="left" w:pos="360"/>
          <w:tab w:val="left" w:pos="1800"/>
        </w:tabs>
        <w:spacing w:line="360" w:lineRule="auto"/>
        <w:jc w:val="center"/>
        <w:rPr>
          <w:rFonts w:hint="eastAsia" w:ascii="宋体" w:hAnsi="宋体"/>
          <w:b/>
          <w:color w:val="auto"/>
          <w:sz w:val="24"/>
        </w:rPr>
      </w:pPr>
    </w:p>
    <w:p>
      <w:pPr>
        <w:tabs>
          <w:tab w:val="left" w:pos="360"/>
          <w:tab w:val="left" w:pos="1800"/>
        </w:tabs>
        <w:spacing w:line="360" w:lineRule="auto"/>
        <w:jc w:val="center"/>
        <w:outlineLvl w:val="1"/>
        <w:rPr>
          <w:rFonts w:hint="eastAsia" w:ascii="宋体" w:hAnsi="宋体"/>
          <w:b/>
          <w:color w:val="auto"/>
          <w:sz w:val="24"/>
        </w:rPr>
      </w:pPr>
      <w:bookmarkStart w:id="256" w:name="_Toc7723"/>
      <w:r>
        <w:rPr>
          <w:rFonts w:hint="eastAsia" w:ascii="宋体" w:hAnsi="宋体"/>
          <w:b/>
          <w:color w:val="auto"/>
          <w:sz w:val="24"/>
        </w:rPr>
        <w:t>格式2  法定代表人资格证明书</w:t>
      </w:r>
      <w:bookmarkEnd w:id="256"/>
    </w:p>
    <w:p>
      <w:pPr>
        <w:tabs>
          <w:tab w:val="left" w:pos="360"/>
          <w:tab w:val="left" w:pos="1800"/>
        </w:tabs>
        <w:spacing w:line="360" w:lineRule="auto"/>
        <w:ind w:left="540"/>
        <w:rPr>
          <w:rFonts w:hint="eastAsia" w:ascii="宋体" w:hAnsi="宋体"/>
          <w:color w:val="auto"/>
          <w:sz w:val="24"/>
        </w:rPr>
      </w:pP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单位名称：</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地址：</w:t>
      </w:r>
    </w:p>
    <w:p>
      <w:pPr>
        <w:tabs>
          <w:tab w:val="left" w:pos="360"/>
          <w:tab w:val="left" w:pos="720"/>
          <w:tab w:val="left" w:pos="90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 xml:space="preserve">姓名：        性别：       年龄：         职务： </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单位）的法定代表。为的</w:t>
      </w:r>
      <w:r>
        <w:rPr>
          <w:rFonts w:hint="eastAsia" w:ascii="宋体" w:hAnsi="宋体"/>
          <w:color w:val="auto"/>
          <w:sz w:val="24"/>
          <w:u w:val="single"/>
        </w:rPr>
        <w:t xml:space="preserve">                  </w:t>
      </w:r>
      <w:r>
        <w:rPr>
          <w:rFonts w:hint="eastAsia" w:ascii="宋体" w:hAnsi="宋体"/>
          <w:color w:val="auto"/>
          <w:sz w:val="24"/>
        </w:rPr>
        <w:t>项目提供服务，签署上述项目的相应文件、进行合同磋商、签署合同和处理与之有关的一切事务。</w:t>
      </w:r>
    </w:p>
    <w:p>
      <w:pPr>
        <w:tabs>
          <w:tab w:val="left" w:pos="360"/>
          <w:tab w:val="left" w:pos="1800"/>
        </w:tabs>
        <w:spacing w:line="360" w:lineRule="auto"/>
        <w:rPr>
          <w:rFonts w:hint="eastAsia" w:ascii="宋体" w:hAnsi="宋体"/>
          <w:color w:val="auto"/>
          <w:sz w:val="24"/>
        </w:rPr>
      </w:pP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特此证明。</w:t>
      </w:r>
    </w:p>
    <w:p>
      <w:pPr>
        <w:tabs>
          <w:tab w:val="left" w:pos="360"/>
          <w:tab w:val="left" w:pos="1800"/>
        </w:tabs>
        <w:spacing w:line="360" w:lineRule="auto"/>
        <w:ind w:left="4500"/>
        <w:rPr>
          <w:rFonts w:hint="eastAsia" w:ascii="宋体" w:hAnsi="宋体"/>
          <w:color w:val="auto"/>
          <w:sz w:val="24"/>
        </w:rPr>
      </w:pPr>
      <w:r>
        <w:rPr>
          <w:rFonts w:hint="eastAsia" w:ascii="宋体" w:hAnsi="宋体"/>
          <w:color w:val="auto"/>
          <w:sz w:val="24"/>
        </w:rPr>
        <w:t>供应商：（盖章）</w:t>
      </w:r>
    </w:p>
    <w:p>
      <w:pPr>
        <w:tabs>
          <w:tab w:val="left" w:pos="360"/>
          <w:tab w:val="left" w:pos="1800"/>
        </w:tabs>
        <w:spacing w:line="360" w:lineRule="auto"/>
        <w:ind w:left="4500"/>
        <w:rPr>
          <w:rFonts w:hint="eastAsia" w:ascii="宋体" w:hAnsi="宋体"/>
          <w:color w:val="auto"/>
          <w:sz w:val="24"/>
        </w:rPr>
      </w:pPr>
      <w:r>
        <w:rPr>
          <w:rFonts w:hint="eastAsia" w:ascii="宋体" w:hAnsi="宋体"/>
          <w:color w:val="auto"/>
          <w:sz w:val="24"/>
        </w:rPr>
        <w:t>日期：    年   月   日</w:t>
      </w:r>
    </w:p>
    <w:p>
      <w:pPr>
        <w:tabs>
          <w:tab w:val="left" w:pos="360"/>
          <w:tab w:val="left" w:pos="1800"/>
        </w:tabs>
        <w:spacing w:line="360" w:lineRule="auto"/>
        <w:ind w:firstLine="6000" w:firstLineChars="2500"/>
        <w:rPr>
          <w:rFonts w:hint="eastAsia" w:ascii="宋体" w:hAnsi="宋体"/>
          <w:color w:val="auto"/>
          <w:sz w:val="24"/>
        </w:rPr>
      </w:pPr>
    </w:p>
    <w:tbl>
      <w:tblPr>
        <w:tblStyle w:val="1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pacing w:line="360" w:lineRule="auto"/>
              <w:jc w:val="center"/>
              <w:rPr>
                <w:rFonts w:hint="eastAsia" w:ascii="宋体" w:hAnsi="宋体"/>
                <w:color w:val="auto"/>
                <w:sz w:val="24"/>
              </w:rPr>
            </w:pPr>
          </w:p>
          <w:p>
            <w:pPr>
              <w:tabs>
                <w:tab w:val="left" w:pos="360"/>
                <w:tab w:val="left" w:pos="1800"/>
              </w:tabs>
              <w:spacing w:line="360" w:lineRule="auto"/>
              <w:jc w:val="center"/>
              <w:rPr>
                <w:rFonts w:hint="eastAsia" w:ascii="宋体" w:hAnsi="宋体"/>
                <w:color w:val="auto"/>
                <w:sz w:val="24"/>
              </w:rPr>
            </w:pPr>
          </w:p>
          <w:p>
            <w:pPr>
              <w:tabs>
                <w:tab w:val="left" w:pos="360"/>
                <w:tab w:val="left" w:pos="1800"/>
              </w:tabs>
              <w:spacing w:line="360" w:lineRule="auto"/>
              <w:jc w:val="center"/>
              <w:rPr>
                <w:rFonts w:hint="eastAsia" w:ascii="宋体" w:hAnsi="宋体"/>
                <w:color w:val="auto"/>
                <w:sz w:val="24"/>
              </w:rPr>
            </w:pPr>
            <w:r>
              <w:rPr>
                <w:rFonts w:hint="eastAsia" w:ascii="宋体" w:hAnsi="宋体"/>
                <w:color w:val="auto"/>
                <w:sz w:val="24"/>
              </w:rPr>
              <w:t>法定代表身份证复印件或扫描件（正、反两面）</w:t>
            </w:r>
          </w:p>
        </w:tc>
      </w:tr>
    </w:tbl>
    <w:p>
      <w:pPr>
        <w:tabs>
          <w:tab w:val="left" w:pos="360"/>
          <w:tab w:val="left" w:pos="1800"/>
        </w:tabs>
        <w:spacing w:line="360" w:lineRule="auto"/>
        <w:jc w:val="center"/>
        <w:rPr>
          <w:rFonts w:hint="eastAsia" w:ascii="宋体" w:hAnsi="宋体"/>
          <w:b/>
          <w:color w:val="auto"/>
          <w:sz w:val="24"/>
        </w:rPr>
      </w:pPr>
      <w:r>
        <w:rPr>
          <w:rFonts w:hint="eastAsia" w:ascii="宋体" w:hAnsi="宋体"/>
          <w:b/>
          <w:color w:val="auto"/>
          <w:sz w:val="24"/>
        </w:rPr>
        <w:t>注：法定代表身份证复印件或扫描件应反映出证件有效期等所载内容。</w:t>
      </w:r>
    </w:p>
    <w:p>
      <w:pPr>
        <w:tabs>
          <w:tab w:val="left" w:pos="360"/>
          <w:tab w:val="left" w:pos="1800"/>
        </w:tabs>
        <w:spacing w:line="360" w:lineRule="auto"/>
        <w:ind w:left="1980" w:firstLine="1080"/>
        <w:rPr>
          <w:rFonts w:hint="eastAsia" w:ascii="宋体" w:hAnsi="宋体"/>
          <w:color w:val="auto"/>
        </w:rPr>
      </w:pPr>
    </w:p>
    <w:p>
      <w:pPr>
        <w:tabs>
          <w:tab w:val="left" w:pos="360"/>
          <w:tab w:val="left" w:pos="1800"/>
        </w:tabs>
        <w:spacing w:line="360" w:lineRule="auto"/>
        <w:rPr>
          <w:rFonts w:hint="eastAsia" w:ascii="宋体" w:hAnsi="宋体"/>
          <w:color w:val="auto"/>
          <w:sz w:val="24"/>
        </w:rPr>
      </w:pPr>
    </w:p>
    <w:p>
      <w:pPr>
        <w:tabs>
          <w:tab w:val="left" w:pos="360"/>
          <w:tab w:val="left" w:pos="1800"/>
        </w:tabs>
        <w:spacing w:line="360" w:lineRule="auto"/>
        <w:rPr>
          <w:rFonts w:hint="eastAsia" w:ascii="宋体" w:hAnsi="宋体"/>
          <w:color w:val="auto"/>
          <w:sz w:val="24"/>
        </w:rPr>
      </w:pPr>
    </w:p>
    <w:p>
      <w:pPr>
        <w:tabs>
          <w:tab w:val="left" w:pos="360"/>
          <w:tab w:val="left" w:pos="1800"/>
        </w:tabs>
        <w:spacing w:line="360" w:lineRule="auto"/>
        <w:rPr>
          <w:rFonts w:hint="eastAsia" w:ascii="宋体" w:hAnsi="宋体"/>
          <w:color w:val="auto"/>
          <w:sz w:val="24"/>
        </w:rPr>
      </w:pPr>
    </w:p>
    <w:p>
      <w:pPr>
        <w:tabs>
          <w:tab w:val="left" w:pos="360"/>
          <w:tab w:val="left" w:pos="1800"/>
        </w:tabs>
        <w:spacing w:line="360" w:lineRule="auto"/>
        <w:rPr>
          <w:rFonts w:hint="eastAsia" w:ascii="宋体" w:hAnsi="宋体"/>
          <w:color w:val="auto"/>
          <w:sz w:val="24"/>
        </w:rPr>
      </w:pPr>
    </w:p>
    <w:p>
      <w:pPr>
        <w:tabs>
          <w:tab w:val="left" w:pos="360"/>
          <w:tab w:val="left" w:pos="1800"/>
        </w:tabs>
        <w:spacing w:line="360" w:lineRule="auto"/>
        <w:jc w:val="center"/>
        <w:outlineLvl w:val="1"/>
        <w:rPr>
          <w:rFonts w:hint="eastAsia" w:ascii="宋体" w:hAnsi="宋体"/>
          <w:b/>
          <w:color w:val="auto"/>
          <w:sz w:val="24"/>
        </w:rPr>
      </w:pPr>
      <w:bookmarkStart w:id="257" w:name="_Toc25430"/>
      <w:r>
        <w:rPr>
          <w:rFonts w:hint="eastAsia" w:ascii="宋体" w:hAnsi="宋体"/>
          <w:b/>
          <w:color w:val="auto"/>
          <w:sz w:val="24"/>
        </w:rPr>
        <w:t>格式3  法定代表授权书</w:t>
      </w:r>
      <w:bookmarkEnd w:id="257"/>
    </w:p>
    <w:p>
      <w:pPr>
        <w:pStyle w:val="19"/>
        <w:rPr>
          <w:rFonts w:hint="eastAsia"/>
        </w:rPr>
      </w:pPr>
    </w:p>
    <w:p>
      <w:pPr>
        <w:tabs>
          <w:tab w:val="left" w:pos="360"/>
          <w:tab w:val="left" w:pos="1800"/>
        </w:tabs>
        <w:spacing w:line="360" w:lineRule="auto"/>
        <w:ind w:left="19" w:leftChars="9" w:firstLine="458" w:firstLineChars="191"/>
        <w:rPr>
          <w:rFonts w:hint="eastAsia" w:ascii="宋体" w:hAnsi="宋体"/>
          <w:color w:val="auto"/>
          <w:sz w:val="24"/>
          <w:u w:val="single"/>
        </w:rPr>
      </w:pPr>
      <w:r>
        <w:rPr>
          <w:rFonts w:hint="eastAsia" w:ascii="宋体" w:hAnsi="宋体"/>
          <w:color w:val="auto"/>
          <w:sz w:val="24"/>
        </w:rPr>
        <w:t>本授权委托书声明：我（姓名）</w:t>
      </w:r>
      <w:r>
        <w:rPr>
          <w:rFonts w:hint="eastAsia" w:ascii="宋体" w:hAnsi="宋体"/>
          <w:color w:val="auto"/>
          <w:sz w:val="24"/>
          <w:u w:val="single"/>
        </w:rPr>
        <w:t xml:space="preserve">        </w:t>
      </w:r>
      <w:r>
        <w:rPr>
          <w:rFonts w:hint="eastAsia" w:ascii="宋体" w:hAnsi="宋体"/>
          <w:color w:val="auto"/>
          <w:sz w:val="24"/>
        </w:rPr>
        <w:t>系（供应商名称）</w:t>
      </w:r>
      <w:r>
        <w:rPr>
          <w:rFonts w:hint="eastAsia" w:ascii="宋体" w:hAnsi="宋体"/>
          <w:color w:val="auto"/>
          <w:sz w:val="24"/>
          <w:u w:val="single"/>
        </w:rPr>
        <w:t xml:space="preserve">        </w:t>
      </w:r>
      <w:r>
        <w:rPr>
          <w:rFonts w:hint="eastAsia" w:ascii="宋体" w:hAnsi="宋体"/>
          <w:color w:val="auto"/>
          <w:sz w:val="24"/>
        </w:rPr>
        <w:t>的法定代表，现授权委托（供应商名称）</w:t>
      </w:r>
      <w:r>
        <w:rPr>
          <w:rFonts w:hint="eastAsia" w:ascii="宋体" w:hAnsi="宋体"/>
          <w:color w:val="auto"/>
          <w:sz w:val="24"/>
          <w:u w:val="single"/>
        </w:rPr>
        <w:t xml:space="preserve">          </w:t>
      </w:r>
      <w:r>
        <w:rPr>
          <w:rFonts w:hint="eastAsia" w:ascii="宋体" w:hAnsi="宋体"/>
          <w:color w:val="auto"/>
          <w:sz w:val="24"/>
        </w:rPr>
        <w:t>的（姓名）</w:t>
      </w:r>
      <w:r>
        <w:rPr>
          <w:rFonts w:hint="eastAsia" w:ascii="宋体" w:hAnsi="宋体"/>
          <w:color w:val="auto"/>
          <w:sz w:val="24"/>
          <w:u w:val="single"/>
        </w:rPr>
        <w:t xml:space="preserve">        </w:t>
      </w:r>
      <w:r>
        <w:rPr>
          <w:rFonts w:hint="eastAsia" w:ascii="宋体" w:hAnsi="宋体"/>
          <w:color w:val="auto"/>
          <w:sz w:val="24"/>
        </w:rPr>
        <w:t>，其身份证号为</w:t>
      </w:r>
      <w:r>
        <w:rPr>
          <w:rFonts w:hint="eastAsia" w:ascii="宋体" w:hAnsi="宋体"/>
          <w:color w:val="auto"/>
          <w:sz w:val="24"/>
          <w:u w:val="single"/>
        </w:rPr>
        <w:t xml:space="preserve">           </w:t>
      </w:r>
      <w:r>
        <w:rPr>
          <w:rFonts w:hint="eastAsia" w:ascii="宋体" w:hAnsi="宋体"/>
          <w:color w:val="auto"/>
          <w:sz w:val="24"/>
        </w:rPr>
        <w:t>为我供应商代理人，以本供应商的名义参加 （采购人</w:t>
      </w:r>
      <w:r>
        <w:rPr>
          <w:rFonts w:hint="eastAsia" w:ascii="宋体" w:hAnsi="宋体"/>
          <w:color w:val="auto"/>
          <w:sz w:val="24"/>
          <w:u w:val="single"/>
        </w:rPr>
        <w:t xml:space="preserve">）           </w:t>
      </w:r>
      <w:r>
        <w:rPr>
          <w:rFonts w:hint="eastAsia" w:ascii="宋体" w:hAnsi="宋体"/>
          <w:color w:val="auto"/>
          <w:sz w:val="24"/>
        </w:rPr>
        <w:t>（磋商项目名称）</w:t>
      </w:r>
      <w:r>
        <w:rPr>
          <w:rFonts w:hint="eastAsia" w:ascii="宋体" w:hAnsi="宋体"/>
          <w:color w:val="auto"/>
          <w:sz w:val="24"/>
          <w:u w:val="single"/>
        </w:rPr>
        <w:t xml:space="preserve">           </w:t>
      </w:r>
      <w:r>
        <w:rPr>
          <w:rFonts w:hint="eastAsia" w:ascii="宋体" w:hAnsi="宋体"/>
          <w:color w:val="auto"/>
          <w:sz w:val="24"/>
        </w:rPr>
        <w:t>的磋商活动。</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hint="eastAsia" w:ascii="宋体" w:hAnsi="宋体"/>
          <w:color w:val="auto"/>
          <w:sz w:val="24"/>
          <w:u w:val="single"/>
        </w:rPr>
      </w:pPr>
      <w:r>
        <w:rPr>
          <w:rFonts w:hint="eastAsia" w:ascii="宋体" w:hAnsi="宋体"/>
          <w:color w:val="auto"/>
          <w:sz w:val="24"/>
        </w:rPr>
        <w:t>本授权委托书期限自</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委托代理人无转委权。特此委托。</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委托代理人：            性别：           年龄：</w:t>
      </w:r>
    </w:p>
    <w:p>
      <w:pPr>
        <w:tabs>
          <w:tab w:val="left" w:pos="360"/>
          <w:tab w:val="left" w:pos="1800"/>
        </w:tabs>
        <w:spacing w:line="360" w:lineRule="auto"/>
        <w:ind w:firstLine="480" w:firstLineChars="200"/>
        <w:rPr>
          <w:rFonts w:hint="eastAsia" w:ascii="宋体" w:hAnsi="宋体"/>
          <w:color w:val="auto"/>
          <w:sz w:val="24"/>
        </w:rPr>
      </w:pPr>
      <w:r>
        <w:rPr>
          <w:rFonts w:hint="eastAsia" w:ascii="宋体" w:hAnsi="宋体"/>
          <w:color w:val="auto"/>
          <w:sz w:val="24"/>
        </w:rPr>
        <w:t>单位：                  部门：           职务：</w:t>
      </w:r>
    </w:p>
    <w:p>
      <w:pPr>
        <w:tabs>
          <w:tab w:val="left" w:pos="360"/>
          <w:tab w:val="left" w:pos="1800"/>
        </w:tabs>
        <w:spacing w:line="360" w:lineRule="auto"/>
        <w:ind w:firstLine="3600"/>
        <w:rPr>
          <w:rFonts w:hint="eastAsia" w:ascii="宋体" w:hAnsi="宋体"/>
          <w:color w:val="auto"/>
          <w:sz w:val="24"/>
        </w:rPr>
      </w:pPr>
      <w:r>
        <w:rPr>
          <w:rFonts w:hint="eastAsia" w:ascii="宋体" w:hAnsi="宋体"/>
          <w:color w:val="auto"/>
          <w:sz w:val="24"/>
        </w:rPr>
        <w:t>供应商：（盖章）</w:t>
      </w:r>
    </w:p>
    <w:p>
      <w:pPr>
        <w:tabs>
          <w:tab w:val="left" w:pos="360"/>
          <w:tab w:val="left" w:pos="1800"/>
        </w:tabs>
        <w:spacing w:line="360" w:lineRule="auto"/>
        <w:ind w:firstLine="3600"/>
        <w:rPr>
          <w:rFonts w:hint="eastAsia" w:ascii="宋体" w:hAnsi="宋体"/>
          <w:color w:val="auto"/>
          <w:sz w:val="24"/>
        </w:rPr>
      </w:pPr>
      <w:r>
        <w:rPr>
          <w:rFonts w:hint="eastAsia" w:ascii="宋体" w:hAnsi="宋体"/>
          <w:color w:val="auto"/>
          <w:sz w:val="24"/>
        </w:rPr>
        <w:t>法定代表：（签字或盖章）</w:t>
      </w:r>
    </w:p>
    <w:p>
      <w:pPr>
        <w:tabs>
          <w:tab w:val="left" w:pos="360"/>
          <w:tab w:val="left" w:pos="1800"/>
        </w:tabs>
        <w:spacing w:line="360" w:lineRule="auto"/>
        <w:ind w:firstLine="3600"/>
        <w:rPr>
          <w:rFonts w:hint="eastAsia" w:ascii="宋体" w:hAnsi="宋体"/>
          <w:color w:val="auto"/>
          <w:sz w:val="24"/>
        </w:rPr>
      </w:pPr>
      <w:r>
        <w:rPr>
          <w:rFonts w:hint="eastAsia" w:ascii="宋体" w:hAnsi="宋体"/>
          <w:color w:val="auto"/>
          <w:sz w:val="24"/>
        </w:rPr>
        <w:t>委托代理人：（签字或盖章）</w:t>
      </w:r>
    </w:p>
    <w:p>
      <w:pPr>
        <w:tabs>
          <w:tab w:val="left" w:pos="360"/>
          <w:tab w:val="left" w:pos="1800"/>
        </w:tabs>
        <w:spacing w:line="360" w:lineRule="auto"/>
        <w:ind w:firstLine="3600"/>
        <w:rPr>
          <w:rFonts w:hint="eastAsia" w:ascii="宋体" w:hAnsi="宋体"/>
          <w:color w:val="auto"/>
          <w:sz w:val="24"/>
        </w:rPr>
      </w:pPr>
      <w:r>
        <w:rPr>
          <w:rFonts w:hint="eastAsia" w:ascii="宋体" w:hAnsi="宋体"/>
          <w:color w:val="auto"/>
          <w:sz w:val="24"/>
        </w:rPr>
        <w:t>日期：      年     月     日</w:t>
      </w:r>
    </w:p>
    <w:tbl>
      <w:tblPr>
        <w:tblStyle w:val="1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noWrap w:val="0"/>
            <w:vAlign w:val="top"/>
          </w:tcPr>
          <w:p>
            <w:pPr>
              <w:tabs>
                <w:tab w:val="left" w:pos="360"/>
                <w:tab w:val="left" w:pos="1800"/>
              </w:tabs>
              <w:spacing w:line="360" w:lineRule="auto"/>
              <w:jc w:val="center"/>
              <w:rPr>
                <w:rFonts w:hint="eastAsia" w:ascii="宋体" w:hAnsi="宋体"/>
                <w:color w:val="auto"/>
                <w:sz w:val="24"/>
              </w:rPr>
            </w:pPr>
          </w:p>
          <w:p>
            <w:pPr>
              <w:tabs>
                <w:tab w:val="left" w:pos="360"/>
                <w:tab w:val="left" w:pos="1800"/>
              </w:tabs>
              <w:spacing w:line="360" w:lineRule="auto"/>
              <w:jc w:val="center"/>
              <w:rPr>
                <w:rFonts w:hint="eastAsia" w:ascii="宋体" w:hAnsi="宋体"/>
                <w:color w:val="auto"/>
                <w:sz w:val="24"/>
              </w:rPr>
            </w:pPr>
          </w:p>
          <w:p>
            <w:pPr>
              <w:tabs>
                <w:tab w:val="left" w:pos="360"/>
                <w:tab w:val="left" w:pos="1800"/>
              </w:tabs>
              <w:spacing w:line="360" w:lineRule="auto"/>
              <w:jc w:val="center"/>
              <w:rPr>
                <w:rFonts w:hint="eastAsia" w:ascii="宋体" w:hAnsi="宋体"/>
                <w:color w:val="auto"/>
                <w:sz w:val="24"/>
              </w:rPr>
            </w:pPr>
            <w:r>
              <w:rPr>
                <w:rFonts w:hint="eastAsia" w:ascii="宋体" w:hAnsi="宋体"/>
                <w:color w:val="auto"/>
                <w:sz w:val="24"/>
              </w:rPr>
              <w:t>委托代理人身份证复印件或扫描件（正、反两面）</w:t>
            </w:r>
          </w:p>
        </w:tc>
      </w:tr>
    </w:tbl>
    <w:p>
      <w:pPr>
        <w:tabs>
          <w:tab w:val="left" w:pos="360"/>
          <w:tab w:val="left" w:pos="1800"/>
        </w:tabs>
        <w:spacing w:line="360" w:lineRule="auto"/>
        <w:jc w:val="left"/>
        <w:rPr>
          <w:rFonts w:hint="eastAsia" w:ascii="宋体" w:hAnsi="宋体"/>
          <w:b/>
          <w:color w:val="auto"/>
          <w:sz w:val="24"/>
        </w:rPr>
      </w:pPr>
      <w:r>
        <w:rPr>
          <w:rFonts w:hint="eastAsia" w:ascii="宋体" w:hAnsi="宋体"/>
          <w:b/>
          <w:color w:val="auto"/>
          <w:sz w:val="24"/>
        </w:rPr>
        <w:t>注：委托代理人身份证复印件或扫描件应反映出证件有效期等所载内容，作为本法定代表人授权书的附件。</w:t>
      </w:r>
    </w:p>
    <w:p>
      <w:pPr>
        <w:tabs>
          <w:tab w:val="left" w:pos="360"/>
          <w:tab w:val="left" w:pos="1800"/>
        </w:tabs>
        <w:spacing w:line="360" w:lineRule="auto"/>
        <w:jc w:val="left"/>
        <w:rPr>
          <w:rFonts w:hint="eastAsia" w:ascii="宋体" w:hAnsi="宋体"/>
          <w:b/>
          <w:color w:val="auto"/>
          <w:sz w:val="24"/>
        </w:rPr>
      </w:pPr>
    </w:p>
    <w:p>
      <w:pPr>
        <w:tabs>
          <w:tab w:val="left" w:pos="360"/>
          <w:tab w:val="left" w:pos="1800"/>
        </w:tabs>
        <w:spacing w:line="360" w:lineRule="auto"/>
        <w:jc w:val="left"/>
        <w:rPr>
          <w:rFonts w:hint="eastAsia" w:ascii="宋体" w:hAnsi="宋体"/>
          <w:b/>
          <w:color w:val="auto"/>
          <w:sz w:val="24"/>
        </w:rPr>
      </w:pPr>
    </w:p>
    <w:p>
      <w:pPr>
        <w:pStyle w:val="4"/>
        <w:spacing w:before="0" w:beforeLines="0" w:beforeAutospacing="0" w:after="0" w:afterLines="0" w:afterAutospacing="0" w:line="360" w:lineRule="auto"/>
        <w:jc w:val="center"/>
        <w:outlineLvl w:val="1"/>
        <w:rPr>
          <w:rFonts w:hint="eastAsia" w:ascii="宋体" w:hAnsi="宋体"/>
          <w:color w:val="auto"/>
          <w:sz w:val="24"/>
        </w:rPr>
      </w:pPr>
      <w:bookmarkStart w:id="258" w:name="_Toc29637"/>
      <w:r>
        <w:rPr>
          <w:rFonts w:hint="eastAsia" w:ascii="宋体" w:hAnsi="宋体"/>
          <w:color w:val="auto"/>
          <w:sz w:val="24"/>
        </w:rPr>
        <w:t>格式4  供应商资格声明</w:t>
      </w:r>
      <w:bookmarkEnd w:id="258"/>
    </w:p>
    <w:p>
      <w:pPr>
        <w:rPr>
          <w:rFonts w:hint="eastAsia"/>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423"/>
        <w:gridCol w:w="11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noWrap w:val="0"/>
            <w:vAlign w:val="center"/>
          </w:tcPr>
          <w:p>
            <w:pPr>
              <w:spacing w:line="360" w:lineRule="auto"/>
              <w:rPr>
                <w:rFonts w:hint="eastAsia" w:ascii="宋体" w:hAnsi="宋体"/>
                <w:color w:val="auto"/>
              </w:rPr>
            </w:pPr>
            <w:r>
              <w:rPr>
                <w:rFonts w:hint="eastAsia" w:ascii="宋体" w:hAnsi="宋体"/>
                <w:color w:val="auto"/>
              </w:rPr>
              <w:t>供应商名称</w:t>
            </w:r>
          </w:p>
        </w:tc>
        <w:tc>
          <w:tcPr>
            <w:tcW w:w="8161" w:type="dxa"/>
            <w:gridSpan w:val="6"/>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noWrap w:val="0"/>
            <w:vAlign w:val="center"/>
          </w:tcPr>
          <w:p>
            <w:pPr>
              <w:spacing w:line="360" w:lineRule="auto"/>
              <w:ind w:firstLine="210" w:firstLineChars="100"/>
              <w:rPr>
                <w:rFonts w:hint="eastAsia" w:ascii="宋体" w:hAnsi="宋体"/>
                <w:color w:val="auto"/>
              </w:rPr>
            </w:pPr>
            <w:r>
              <w:rPr>
                <w:rFonts w:hint="eastAsia" w:ascii="宋体" w:hAnsi="宋体"/>
                <w:color w:val="auto"/>
              </w:rPr>
              <w:t>地 址</w:t>
            </w:r>
          </w:p>
        </w:tc>
        <w:tc>
          <w:tcPr>
            <w:tcW w:w="8161" w:type="dxa"/>
            <w:gridSpan w:val="6"/>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noWrap w:val="0"/>
            <w:vAlign w:val="center"/>
          </w:tcPr>
          <w:p>
            <w:pPr>
              <w:spacing w:line="360" w:lineRule="auto"/>
              <w:rPr>
                <w:rFonts w:hint="eastAsia" w:ascii="宋体" w:hAnsi="宋体"/>
                <w:color w:val="auto"/>
              </w:rPr>
            </w:pPr>
            <w:r>
              <w:rPr>
                <w:rFonts w:hint="eastAsia" w:ascii="宋体" w:hAnsi="宋体"/>
                <w:color w:val="auto"/>
              </w:rPr>
              <w:t>主管部门</w:t>
            </w:r>
          </w:p>
        </w:tc>
        <w:tc>
          <w:tcPr>
            <w:tcW w:w="1380" w:type="dxa"/>
            <w:noWrap w:val="0"/>
            <w:vAlign w:val="center"/>
          </w:tcPr>
          <w:p>
            <w:pPr>
              <w:spacing w:line="360" w:lineRule="auto"/>
              <w:rPr>
                <w:rFonts w:hint="eastAsia" w:ascii="宋体" w:hAnsi="宋体"/>
                <w:color w:val="auto"/>
              </w:rPr>
            </w:pPr>
          </w:p>
        </w:tc>
        <w:tc>
          <w:tcPr>
            <w:tcW w:w="1549" w:type="dxa"/>
            <w:noWrap w:val="0"/>
            <w:vAlign w:val="center"/>
          </w:tcPr>
          <w:p>
            <w:pPr>
              <w:spacing w:line="360" w:lineRule="auto"/>
              <w:rPr>
                <w:rFonts w:hint="eastAsia" w:ascii="宋体" w:hAnsi="宋体"/>
                <w:color w:val="auto"/>
              </w:rPr>
            </w:pPr>
            <w:r>
              <w:rPr>
                <w:rFonts w:hint="eastAsia" w:ascii="宋体" w:hAnsi="宋体"/>
                <w:color w:val="auto"/>
              </w:rPr>
              <w:t>法定代表人</w:t>
            </w:r>
          </w:p>
        </w:tc>
        <w:tc>
          <w:tcPr>
            <w:tcW w:w="1549" w:type="dxa"/>
            <w:noWrap w:val="0"/>
            <w:vAlign w:val="center"/>
          </w:tcPr>
          <w:p>
            <w:pPr>
              <w:spacing w:line="360" w:lineRule="auto"/>
              <w:rPr>
                <w:rFonts w:hint="eastAsia" w:ascii="宋体" w:hAnsi="宋体"/>
                <w:color w:val="auto"/>
              </w:rPr>
            </w:pPr>
          </w:p>
        </w:tc>
        <w:tc>
          <w:tcPr>
            <w:tcW w:w="1583" w:type="dxa"/>
            <w:gridSpan w:val="2"/>
            <w:noWrap w:val="0"/>
            <w:vAlign w:val="center"/>
          </w:tcPr>
          <w:p>
            <w:pPr>
              <w:spacing w:line="360" w:lineRule="auto"/>
              <w:ind w:firstLine="210" w:firstLineChars="100"/>
              <w:rPr>
                <w:rFonts w:hint="eastAsia" w:ascii="宋体" w:hAnsi="宋体"/>
                <w:color w:val="auto"/>
              </w:rPr>
            </w:pPr>
            <w:r>
              <w:rPr>
                <w:rFonts w:hint="eastAsia" w:ascii="宋体" w:hAnsi="宋体"/>
                <w:color w:val="auto"/>
              </w:rPr>
              <w:t>职 务</w:t>
            </w:r>
          </w:p>
        </w:tc>
        <w:tc>
          <w:tcPr>
            <w:tcW w:w="2100"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noWrap w:val="0"/>
            <w:vAlign w:val="center"/>
          </w:tcPr>
          <w:p>
            <w:pPr>
              <w:spacing w:line="360" w:lineRule="auto"/>
              <w:rPr>
                <w:rFonts w:hint="eastAsia" w:ascii="宋体" w:hAnsi="宋体"/>
                <w:color w:val="auto"/>
              </w:rPr>
            </w:pPr>
            <w:r>
              <w:rPr>
                <w:rFonts w:hint="eastAsia" w:ascii="宋体" w:hAnsi="宋体"/>
                <w:color w:val="auto"/>
              </w:rPr>
              <w:t>注册时间</w:t>
            </w:r>
          </w:p>
        </w:tc>
        <w:tc>
          <w:tcPr>
            <w:tcW w:w="2929" w:type="dxa"/>
            <w:gridSpan w:val="2"/>
            <w:noWrap w:val="0"/>
            <w:vAlign w:val="top"/>
          </w:tcPr>
          <w:p>
            <w:pPr>
              <w:spacing w:line="360" w:lineRule="auto"/>
              <w:rPr>
                <w:rFonts w:hint="eastAsia" w:ascii="宋体" w:hAnsi="宋体"/>
                <w:color w:val="auto"/>
              </w:rPr>
            </w:pPr>
          </w:p>
        </w:tc>
        <w:tc>
          <w:tcPr>
            <w:tcW w:w="1549" w:type="dxa"/>
            <w:noWrap w:val="0"/>
            <w:vAlign w:val="top"/>
          </w:tcPr>
          <w:p>
            <w:pPr>
              <w:spacing w:line="360" w:lineRule="auto"/>
              <w:rPr>
                <w:rFonts w:hint="eastAsia" w:ascii="宋体" w:hAnsi="宋体"/>
                <w:color w:val="auto"/>
              </w:rPr>
            </w:pPr>
            <w:r>
              <w:rPr>
                <w:rFonts w:hint="eastAsia" w:ascii="宋体" w:hAnsi="宋体"/>
                <w:color w:val="auto"/>
              </w:rPr>
              <w:t>经济类型</w:t>
            </w:r>
          </w:p>
        </w:tc>
        <w:tc>
          <w:tcPr>
            <w:tcW w:w="3683" w:type="dxa"/>
            <w:gridSpan w:val="3"/>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spacing w:line="360" w:lineRule="auto"/>
              <w:rPr>
                <w:rFonts w:hint="eastAsia" w:ascii="宋体" w:hAnsi="宋体"/>
                <w:color w:val="auto"/>
              </w:rPr>
            </w:pPr>
            <w:r>
              <w:rPr>
                <w:rFonts w:hint="eastAsia" w:ascii="宋体" w:hAnsi="宋体"/>
                <w:color w:val="auto"/>
              </w:rPr>
              <w:t>营业执照号</w:t>
            </w:r>
          </w:p>
        </w:tc>
        <w:tc>
          <w:tcPr>
            <w:tcW w:w="5232" w:type="dxa"/>
            <w:gridSpan w:val="4"/>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spacing w:line="360" w:lineRule="auto"/>
              <w:rPr>
                <w:rFonts w:hint="eastAsia" w:ascii="宋体" w:hAnsi="宋体"/>
                <w:color w:val="auto"/>
              </w:rPr>
            </w:pPr>
            <w:r>
              <w:rPr>
                <w:rFonts w:hint="eastAsia" w:ascii="宋体" w:hAnsi="宋体"/>
                <w:color w:val="auto"/>
              </w:rPr>
              <w:t>近三年内经营活动中有无重大违法纪录</w:t>
            </w:r>
          </w:p>
        </w:tc>
        <w:tc>
          <w:tcPr>
            <w:tcW w:w="5232" w:type="dxa"/>
            <w:gridSpan w:val="4"/>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0"/>
            <w:vAlign w:val="center"/>
          </w:tcPr>
          <w:p>
            <w:pPr>
              <w:spacing w:line="360" w:lineRule="auto"/>
              <w:rPr>
                <w:rFonts w:hint="eastAsia" w:ascii="宋体" w:hAnsi="宋体"/>
                <w:color w:val="auto"/>
              </w:rPr>
            </w:pPr>
            <w:r>
              <w:rPr>
                <w:rFonts w:hint="eastAsia" w:ascii="宋体" w:hAnsi="宋体"/>
                <w:color w:val="auto"/>
              </w:rPr>
              <w:t>是否依法缴纳税收</w:t>
            </w:r>
          </w:p>
        </w:tc>
        <w:tc>
          <w:tcPr>
            <w:tcW w:w="2929" w:type="dxa"/>
            <w:gridSpan w:val="2"/>
            <w:noWrap w:val="0"/>
            <w:vAlign w:val="top"/>
          </w:tcPr>
          <w:p>
            <w:pPr>
              <w:spacing w:line="360" w:lineRule="auto"/>
              <w:rPr>
                <w:rFonts w:hint="eastAsia" w:ascii="宋体" w:hAnsi="宋体"/>
                <w:color w:val="auto"/>
              </w:rPr>
            </w:pPr>
          </w:p>
        </w:tc>
        <w:tc>
          <w:tcPr>
            <w:tcW w:w="1972" w:type="dxa"/>
            <w:gridSpan w:val="2"/>
            <w:noWrap w:val="0"/>
            <w:vAlign w:val="top"/>
          </w:tcPr>
          <w:p>
            <w:pPr>
              <w:spacing w:line="360" w:lineRule="auto"/>
              <w:rPr>
                <w:rFonts w:hint="eastAsia" w:ascii="宋体" w:hAnsi="宋体"/>
                <w:color w:val="auto"/>
              </w:rPr>
            </w:pPr>
            <w:r>
              <w:rPr>
                <w:rFonts w:hint="eastAsia" w:ascii="宋体" w:hAnsi="宋体"/>
                <w:color w:val="auto"/>
              </w:rPr>
              <w:t>是否依法缴纳社会保障资金</w:t>
            </w:r>
          </w:p>
        </w:tc>
        <w:tc>
          <w:tcPr>
            <w:tcW w:w="3260" w:type="dxa"/>
            <w:gridSpan w:val="2"/>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noWrap w:val="0"/>
            <w:vAlign w:val="top"/>
          </w:tcPr>
          <w:p>
            <w:pPr>
              <w:spacing w:line="360" w:lineRule="auto"/>
              <w:jc w:val="center"/>
              <w:rPr>
                <w:rFonts w:hint="eastAsia" w:ascii="宋体" w:hAnsi="宋体"/>
                <w:color w:val="auto"/>
              </w:rPr>
            </w:pPr>
            <w:r>
              <w:rPr>
                <w:rFonts w:hint="eastAsia" w:ascii="宋体" w:hAnsi="宋体"/>
                <w:color w:val="auto"/>
              </w:rPr>
              <w:t>单</w:t>
            </w:r>
          </w:p>
          <w:p>
            <w:pPr>
              <w:spacing w:line="360" w:lineRule="auto"/>
              <w:jc w:val="center"/>
              <w:rPr>
                <w:rFonts w:hint="eastAsia" w:ascii="宋体" w:hAnsi="宋体"/>
                <w:color w:val="auto"/>
              </w:rPr>
            </w:pPr>
            <w:r>
              <w:rPr>
                <w:rFonts w:hint="eastAsia" w:ascii="宋体" w:hAnsi="宋体"/>
                <w:color w:val="auto"/>
              </w:rPr>
              <w:t>位</w:t>
            </w:r>
          </w:p>
          <w:p>
            <w:pPr>
              <w:spacing w:line="360" w:lineRule="auto"/>
              <w:jc w:val="center"/>
              <w:rPr>
                <w:rFonts w:hint="eastAsia" w:ascii="宋体" w:hAnsi="宋体"/>
                <w:color w:val="auto"/>
              </w:rPr>
            </w:pPr>
            <w:r>
              <w:rPr>
                <w:rFonts w:hint="eastAsia" w:ascii="宋体" w:hAnsi="宋体"/>
                <w:color w:val="auto"/>
              </w:rPr>
              <w:t>概</w:t>
            </w:r>
          </w:p>
          <w:p>
            <w:pPr>
              <w:spacing w:line="360" w:lineRule="auto"/>
              <w:jc w:val="center"/>
              <w:rPr>
                <w:rFonts w:hint="eastAsia" w:ascii="宋体" w:hAnsi="宋体"/>
                <w:color w:val="auto"/>
              </w:rPr>
            </w:pPr>
            <w:r>
              <w:rPr>
                <w:rFonts w:hint="eastAsia" w:ascii="宋体" w:hAnsi="宋体"/>
                <w:color w:val="auto"/>
              </w:rPr>
              <w:t>况</w:t>
            </w:r>
          </w:p>
        </w:tc>
        <w:tc>
          <w:tcPr>
            <w:tcW w:w="1380" w:type="dxa"/>
            <w:noWrap w:val="0"/>
            <w:vAlign w:val="center"/>
          </w:tcPr>
          <w:p>
            <w:pPr>
              <w:spacing w:line="360" w:lineRule="auto"/>
              <w:rPr>
                <w:rFonts w:hint="eastAsia" w:ascii="宋体" w:hAnsi="宋体"/>
                <w:color w:val="auto"/>
              </w:rPr>
            </w:pPr>
            <w:r>
              <w:rPr>
                <w:rFonts w:hint="eastAsia" w:ascii="宋体" w:hAnsi="宋体"/>
                <w:color w:val="auto"/>
              </w:rPr>
              <w:t>注册资本</w:t>
            </w:r>
          </w:p>
        </w:tc>
        <w:tc>
          <w:tcPr>
            <w:tcW w:w="1549" w:type="dxa"/>
            <w:noWrap w:val="0"/>
            <w:vAlign w:val="top"/>
          </w:tcPr>
          <w:p>
            <w:pPr>
              <w:spacing w:line="360" w:lineRule="auto"/>
              <w:rPr>
                <w:rFonts w:hint="eastAsia" w:ascii="宋体" w:hAnsi="宋体"/>
                <w:color w:val="auto"/>
              </w:rPr>
            </w:pPr>
            <w:r>
              <w:rPr>
                <w:rFonts w:hint="eastAsia" w:ascii="宋体" w:hAnsi="宋体"/>
                <w:color w:val="auto"/>
              </w:rPr>
              <w:t xml:space="preserve">     万元</w:t>
            </w:r>
          </w:p>
        </w:tc>
        <w:tc>
          <w:tcPr>
            <w:tcW w:w="1972" w:type="dxa"/>
            <w:gridSpan w:val="2"/>
            <w:noWrap w:val="0"/>
            <w:vAlign w:val="top"/>
          </w:tcPr>
          <w:p>
            <w:pPr>
              <w:spacing w:line="360" w:lineRule="auto"/>
              <w:rPr>
                <w:rFonts w:hint="eastAsia" w:ascii="宋体" w:hAnsi="宋体"/>
                <w:color w:val="auto"/>
              </w:rPr>
            </w:pPr>
            <w:r>
              <w:rPr>
                <w:rFonts w:hint="eastAsia" w:ascii="宋体" w:hAnsi="宋体"/>
                <w:color w:val="auto"/>
              </w:rPr>
              <w:t>占地面积</w:t>
            </w:r>
          </w:p>
        </w:tc>
        <w:tc>
          <w:tcPr>
            <w:tcW w:w="3260" w:type="dxa"/>
            <w:gridSpan w:val="2"/>
            <w:noWrap w:val="0"/>
            <w:vAlign w:val="top"/>
          </w:tcPr>
          <w:p>
            <w:pPr>
              <w:spacing w:line="360" w:lineRule="auto"/>
              <w:rPr>
                <w:rFonts w:hint="eastAsia" w:ascii="宋体" w:hAnsi="宋体"/>
                <w:color w:val="auto"/>
              </w:rPr>
            </w:pPr>
            <w:r>
              <w:rPr>
                <w:rFonts w:hint="eastAsia" w:ascii="宋体" w:hAnsi="宋体"/>
                <w:color w:val="auto"/>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noWrap w:val="0"/>
            <w:vAlign w:val="top"/>
          </w:tcPr>
          <w:p>
            <w:pPr>
              <w:spacing w:line="360" w:lineRule="auto"/>
              <w:rPr>
                <w:rFonts w:hint="eastAsia" w:ascii="宋体" w:hAnsi="宋体"/>
                <w:color w:val="auto"/>
              </w:rPr>
            </w:pPr>
          </w:p>
        </w:tc>
        <w:tc>
          <w:tcPr>
            <w:tcW w:w="1380" w:type="dxa"/>
            <w:noWrap w:val="0"/>
            <w:vAlign w:val="center"/>
          </w:tcPr>
          <w:p>
            <w:pPr>
              <w:spacing w:line="360" w:lineRule="auto"/>
              <w:rPr>
                <w:rFonts w:hint="eastAsia" w:ascii="宋体" w:hAnsi="宋体"/>
                <w:color w:val="auto"/>
              </w:rPr>
            </w:pPr>
            <w:r>
              <w:rPr>
                <w:rFonts w:hint="eastAsia" w:ascii="宋体" w:hAnsi="宋体"/>
                <w:color w:val="auto"/>
              </w:rPr>
              <w:t>职工总数</w:t>
            </w:r>
          </w:p>
        </w:tc>
        <w:tc>
          <w:tcPr>
            <w:tcW w:w="1549" w:type="dxa"/>
            <w:noWrap w:val="0"/>
            <w:vAlign w:val="top"/>
          </w:tcPr>
          <w:p>
            <w:pPr>
              <w:spacing w:line="360" w:lineRule="auto"/>
              <w:rPr>
                <w:rFonts w:hint="eastAsia" w:ascii="宋体" w:hAnsi="宋体"/>
                <w:color w:val="auto"/>
              </w:rPr>
            </w:pPr>
            <w:r>
              <w:rPr>
                <w:rFonts w:hint="eastAsia" w:ascii="宋体" w:hAnsi="宋体"/>
                <w:color w:val="auto"/>
              </w:rPr>
              <w:t xml:space="preserve">       人</w:t>
            </w:r>
          </w:p>
        </w:tc>
        <w:tc>
          <w:tcPr>
            <w:tcW w:w="1972" w:type="dxa"/>
            <w:gridSpan w:val="2"/>
            <w:noWrap w:val="0"/>
            <w:vAlign w:val="top"/>
          </w:tcPr>
          <w:p>
            <w:pPr>
              <w:spacing w:line="360" w:lineRule="auto"/>
              <w:rPr>
                <w:rFonts w:hint="eastAsia" w:ascii="宋体" w:hAnsi="宋体"/>
                <w:color w:val="auto"/>
              </w:rPr>
            </w:pPr>
            <w:r>
              <w:rPr>
                <w:rFonts w:hint="eastAsia" w:ascii="宋体" w:hAnsi="宋体"/>
                <w:color w:val="auto"/>
              </w:rPr>
              <w:t>建筑面积</w:t>
            </w:r>
          </w:p>
        </w:tc>
        <w:tc>
          <w:tcPr>
            <w:tcW w:w="3260" w:type="dxa"/>
            <w:gridSpan w:val="2"/>
            <w:noWrap w:val="0"/>
            <w:vAlign w:val="top"/>
          </w:tcPr>
          <w:p>
            <w:pPr>
              <w:spacing w:line="360" w:lineRule="auto"/>
              <w:ind w:firstLine="1575" w:firstLineChars="750"/>
              <w:rPr>
                <w:rFonts w:hint="eastAsia" w:ascii="宋体" w:hAnsi="宋体"/>
                <w:color w:val="auto"/>
              </w:rPr>
            </w:pPr>
            <w:r>
              <w:rPr>
                <w:rFonts w:hint="eastAsia" w:ascii="宋体" w:hAnsi="宋体"/>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noWrap w:val="0"/>
            <w:vAlign w:val="top"/>
          </w:tcPr>
          <w:p>
            <w:pPr>
              <w:spacing w:line="360" w:lineRule="auto"/>
              <w:rPr>
                <w:rFonts w:hint="eastAsia" w:ascii="宋体" w:hAnsi="宋体"/>
                <w:color w:val="auto"/>
              </w:rPr>
            </w:pPr>
          </w:p>
        </w:tc>
        <w:tc>
          <w:tcPr>
            <w:tcW w:w="1380" w:type="dxa"/>
            <w:vMerge w:val="restart"/>
            <w:noWrap w:val="0"/>
            <w:vAlign w:val="center"/>
          </w:tcPr>
          <w:p>
            <w:pPr>
              <w:spacing w:line="360" w:lineRule="auto"/>
              <w:ind w:firstLine="210" w:firstLineChars="100"/>
              <w:rPr>
                <w:rFonts w:hint="eastAsia" w:ascii="宋体" w:hAnsi="宋体"/>
                <w:color w:val="auto"/>
              </w:rPr>
            </w:pPr>
            <w:r>
              <w:rPr>
                <w:rFonts w:hint="eastAsia" w:ascii="宋体" w:hAnsi="宋体"/>
                <w:color w:val="auto"/>
              </w:rPr>
              <w:t>资产</w:t>
            </w:r>
          </w:p>
          <w:p>
            <w:pPr>
              <w:spacing w:line="360" w:lineRule="auto"/>
              <w:ind w:firstLine="210" w:firstLineChars="100"/>
              <w:rPr>
                <w:rFonts w:hint="eastAsia" w:ascii="宋体" w:hAnsi="宋体"/>
                <w:color w:val="auto"/>
              </w:rPr>
            </w:pPr>
            <w:r>
              <w:rPr>
                <w:rFonts w:hint="eastAsia" w:ascii="宋体" w:hAnsi="宋体"/>
                <w:color w:val="auto"/>
              </w:rPr>
              <w:t>情况</w:t>
            </w:r>
          </w:p>
        </w:tc>
        <w:tc>
          <w:tcPr>
            <w:tcW w:w="3521" w:type="dxa"/>
            <w:gridSpan w:val="3"/>
            <w:noWrap w:val="0"/>
            <w:vAlign w:val="center"/>
          </w:tcPr>
          <w:p>
            <w:pPr>
              <w:spacing w:line="360" w:lineRule="auto"/>
              <w:rPr>
                <w:rFonts w:hint="eastAsia" w:ascii="宋体" w:hAnsi="宋体"/>
                <w:color w:val="auto"/>
              </w:rPr>
            </w:pPr>
            <w:r>
              <w:rPr>
                <w:rFonts w:hint="eastAsia" w:ascii="宋体" w:hAnsi="宋体"/>
                <w:color w:val="auto"/>
              </w:rPr>
              <w:t>净资产：        万元</w:t>
            </w:r>
          </w:p>
        </w:tc>
        <w:tc>
          <w:tcPr>
            <w:tcW w:w="3260" w:type="dxa"/>
            <w:gridSpan w:val="2"/>
            <w:vMerge w:val="restart"/>
            <w:noWrap w:val="0"/>
            <w:vAlign w:val="top"/>
          </w:tcPr>
          <w:p>
            <w:pPr>
              <w:spacing w:line="360" w:lineRule="auto"/>
              <w:rPr>
                <w:rFonts w:hint="eastAsia" w:ascii="宋体" w:hAnsi="宋体"/>
                <w:color w:val="auto"/>
              </w:rPr>
            </w:pPr>
            <w:r>
              <w:rPr>
                <w:rFonts w:hint="eastAsia" w:ascii="宋体" w:hAnsi="宋体"/>
                <w:color w:val="auto"/>
              </w:rPr>
              <w:t>固定资产原值 ：      万元</w:t>
            </w:r>
          </w:p>
          <w:p>
            <w:pPr>
              <w:spacing w:line="360" w:lineRule="auto"/>
              <w:rPr>
                <w:rFonts w:hint="eastAsia" w:ascii="宋体" w:hAnsi="宋体"/>
                <w:color w:val="auto"/>
              </w:rPr>
            </w:pPr>
            <w:r>
              <w:rPr>
                <w:rFonts w:hint="eastAsia" w:ascii="宋体" w:hAnsi="宋体"/>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noWrap w:val="0"/>
            <w:vAlign w:val="top"/>
          </w:tcPr>
          <w:p>
            <w:pPr>
              <w:spacing w:line="360" w:lineRule="auto"/>
              <w:rPr>
                <w:rFonts w:hint="eastAsia" w:ascii="宋体" w:hAnsi="宋体"/>
                <w:color w:val="auto"/>
              </w:rPr>
            </w:pPr>
          </w:p>
        </w:tc>
        <w:tc>
          <w:tcPr>
            <w:tcW w:w="1380" w:type="dxa"/>
            <w:vMerge w:val="continue"/>
            <w:noWrap w:val="0"/>
            <w:vAlign w:val="top"/>
          </w:tcPr>
          <w:p>
            <w:pPr>
              <w:spacing w:line="360" w:lineRule="auto"/>
              <w:rPr>
                <w:rFonts w:hint="eastAsia" w:ascii="宋体" w:hAnsi="宋体"/>
                <w:color w:val="auto"/>
              </w:rPr>
            </w:pPr>
          </w:p>
        </w:tc>
        <w:tc>
          <w:tcPr>
            <w:tcW w:w="3521" w:type="dxa"/>
            <w:gridSpan w:val="3"/>
            <w:noWrap w:val="0"/>
            <w:vAlign w:val="center"/>
          </w:tcPr>
          <w:p>
            <w:pPr>
              <w:spacing w:line="360" w:lineRule="auto"/>
              <w:rPr>
                <w:rFonts w:hint="eastAsia" w:ascii="宋体" w:hAnsi="宋体"/>
                <w:color w:val="auto"/>
              </w:rPr>
            </w:pPr>
            <w:r>
              <w:rPr>
                <w:rFonts w:hint="eastAsia" w:ascii="宋体" w:hAnsi="宋体"/>
                <w:color w:val="auto"/>
              </w:rPr>
              <w:t>负 债：         万元</w:t>
            </w:r>
          </w:p>
        </w:tc>
        <w:tc>
          <w:tcPr>
            <w:tcW w:w="3260" w:type="dxa"/>
            <w:gridSpan w:val="2"/>
            <w:vMerge w:val="continue"/>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0"/>
            <w:vAlign w:val="center"/>
          </w:tcPr>
          <w:p>
            <w:pPr>
              <w:ind w:firstLine="105" w:firstLineChars="50"/>
              <w:rPr>
                <w:rFonts w:hint="eastAsia" w:ascii="宋体" w:hAnsi="宋体"/>
                <w:color w:val="auto"/>
              </w:rPr>
            </w:pPr>
            <w:r>
              <w:rPr>
                <w:rFonts w:hint="eastAsia" w:ascii="宋体" w:hAnsi="宋体"/>
                <w:color w:val="auto"/>
              </w:rPr>
              <w:t>财务状况</w:t>
            </w:r>
          </w:p>
          <w:p>
            <w:pPr>
              <w:rPr>
                <w:rFonts w:hint="eastAsia" w:ascii="宋体" w:hAnsi="宋体"/>
                <w:color w:val="auto"/>
              </w:rPr>
            </w:pPr>
            <w:r>
              <w:rPr>
                <w:rFonts w:hint="eastAsia" w:ascii="宋体" w:hAnsi="宋体"/>
                <w:color w:val="auto"/>
              </w:rPr>
              <w:t>（201</w:t>
            </w:r>
            <w:r>
              <w:rPr>
                <w:rFonts w:hint="eastAsia" w:ascii="宋体" w:hAnsi="宋体"/>
                <w:color w:val="auto"/>
                <w:lang w:val="en-US" w:eastAsia="zh-CN"/>
              </w:rPr>
              <w:t>8-2020</w:t>
            </w:r>
            <w:r>
              <w:rPr>
                <w:rFonts w:hint="eastAsia" w:ascii="宋体" w:hAnsi="宋体"/>
                <w:color w:val="auto"/>
              </w:rPr>
              <w:t>年）</w:t>
            </w:r>
          </w:p>
        </w:tc>
        <w:tc>
          <w:tcPr>
            <w:tcW w:w="1380" w:type="dxa"/>
            <w:noWrap w:val="0"/>
            <w:vAlign w:val="top"/>
          </w:tcPr>
          <w:p>
            <w:pPr>
              <w:jc w:val="center"/>
              <w:rPr>
                <w:rFonts w:hint="eastAsia" w:ascii="宋体" w:hAnsi="宋体"/>
                <w:color w:val="auto"/>
              </w:rPr>
            </w:pPr>
            <w:r>
              <w:rPr>
                <w:rFonts w:hint="eastAsia" w:ascii="宋体" w:hAnsi="宋体"/>
                <w:color w:val="auto"/>
              </w:rPr>
              <w:t>年份</w:t>
            </w:r>
          </w:p>
        </w:tc>
        <w:tc>
          <w:tcPr>
            <w:tcW w:w="1549" w:type="dxa"/>
            <w:noWrap w:val="0"/>
            <w:vAlign w:val="center"/>
          </w:tcPr>
          <w:p>
            <w:pPr>
              <w:rPr>
                <w:rFonts w:hint="eastAsia" w:ascii="宋体" w:hAnsi="宋体"/>
                <w:color w:val="auto"/>
              </w:rPr>
            </w:pPr>
            <w:r>
              <w:rPr>
                <w:rFonts w:hint="eastAsia" w:ascii="宋体" w:hAnsi="宋体"/>
                <w:color w:val="auto"/>
              </w:rPr>
              <w:t>主营收入</w:t>
            </w:r>
          </w:p>
          <w:p>
            <w:pPr>
              <w:rPr>
                <w:rFonts w:hint="eastAsia" w:ascii="宋体" w:hAnsi="宋体"/>
                <w:color w:val="auto"/>
              </w:rPr>
            </w:pPr>
            <w:r>
              <w:rPr>
                <w:rFonts w:hint="eastAsia" w:ascii="宋体" w:hAnsi="宋体"/>
                <w:color w:val="auto"/>
              </w:rPr>
              <w:t>（万元）</w:t>
            </w:r>
          </w:p>
        </w:tc>
        <w:tc>
          <w:tcPr>
            <w:tcW w:w="1972" w:type="dxa"/>
            <w:gridSpan w:val="2"/>
            <w:noWrap w:val="0"/>
            <w:vAlign w:val="center"/>
          </w:tcPr>
          <w:p>
            <w:pPr>
              <w:rPr>
                <w:rFonts w:hint="eastAsia" w:ascii="宋体" w:hAnsi="宋体"/>
                <w:color w:val="auto"/>
              </w:rPr>
            </w:pPr>
            <w:r>
              <w:rPr>
                <w:rFonts w:hint="eastAsia" w:ascii="宋体" w:hAnsi="宋体"/>
                <w:color w:val="auto"/>
              </w:rPr>
              <w:t>收入总额</w:t>
            </w:r>
          </w:p>
          <w:p>
            <w:pPr>
              <w:rPr>
                <w:rFonts w:hint="eastAsia" w:ascii="宋体" w:hAnsi="宋体"/>
                <w:color w:val="auto"/>
              </w:rPr>
            </w:pPr>
            <w:r>
              <w:rPr>
                <w:rFonts w:hint="eastAsia" w:ascii="宋体" w:hAnsi="宋体"/>
                <w:color w:val="auto"/>
              </w:rPr>
              <w:t>（万元）</w:t>
            </w:r>
          </w:p>
        </w:tc>
        <w:tc>
          <w:tcPr>
            <w:tcW w:w="1160" w:type="dxa"/>
            <w:noWrap w:val="0"/>
            <w:vAlign w:val="center"/>
          </w:tcPr>
          <w:p>
            <w:pPr>
              <w:rPr>
                <w:rFonts w:hint="eastAsia" w:ascii="宋体" w:hAnsi="宋体"/>
                <w:color w:val="auto"/>
              </w:rPr>
            </w:pPr>
            <w:r>
              <w:rPr>
                <w:rFonts w:hint="eastAsia" w:ascii="宋体" w:hAnsi="宋体"/>
                <w:color w:val="auto"/>
              </w:rPr>
              <w:t>利润总额</w:t>
            </w:r>
          </w:p>
          <w:p>
            <w:pPr>
              <w:rPr>
                <w:rFonts w:hint="eastAsia" w:ascii="宋体" w:hAnsi="宋体"/>
                <w:color w:val="auto"/>
              </w:rPr>
            </w:pPr>
            <w:r>
              <w:rPr>
                <w:rFonts w:hint="eastAsia" w:ascii="宋体" w:hAnsi="宋体"/>
                <w:color w:val="auto"/>
              </w:rPr>
              <w:t>（万元）</w:t>
            </w:r>
          </w:p>
        </w:tc>
        <w:tc>
          <w:tcPr>
            <w:tcW w:w="2100" w:type="dxa"/>
            <w:noWrap w:val="0"/>
            <w:vAlign w:val="center"/>
          </w:tcPr>
          <w:p>
            <w:pPr>
              <w:ind w:firstLine="210" w:firstLineChars="100"/>
              <w:rPr>
                <w:rFonts w:hint="eastAsia" w:ascii="宋体" w:hAnsi="宋体"/>
                <w:color w:val="auto"/>
              </w:rPr>
            </w:pPr>
            <w:r>
              <w:rPr>
                <w:rFonts w:hint="eastAsia" w:ascii="宋体" w:hAnsi="宋体"/>
                <w:color w:val="auto"/>
              </w:rPr>
              <w:t>净利润</w:t>
            </w:r>
          </w:p>
          <w:p>
            <w:pPr>
              <w:ind w:firstLine="210" w:firstLineChars="100"/>
              <w:rPr>
                <w:rFonts w:hint="eastAsia" w:ascii="宋体" w:hAnsi="宋体"/>
                <w:color w:val="auto"/>
              </w:rPr>
            </w:pPr>
            <w:r>
              <w:rPr>
                <w:rFonts w:hint="eastAsia" w:ascii="宋体" w:hAnsi="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0"/>
            <w:vAlign w:val="center"/>
          </w:tcPr>
          <w:p>
            <w:pPr>
              <w:rPr>
                <w:rFonts w:hint="eastAsia" w:ascii="宋体" w:hAnsi="宋体"/>
                <w:color w:val="auto"/>
              </w:rPr>
            </w:pPr>
          </w:p>
        </w:tc>
        <w:tc>
          <w:tcPr>
            <w:tcW w:w="1380" w:type="dxa"/>
            <w:noWrap w:val="0"/>
            <w:vAlign w:val="center"/>
          </w:tcPr>
          <w:p>
            <w:pPr>
              <w:rPr>
                <w:rFonts w:hint="default" w:ascii="宋体" w:hAnsi="宋体" w:eastAsia="宋体"/>
                <w:color w:val="auto"/>
                <w:lang w:val="en-US" w:eastAsia="zh-CN"/>
              </w:rPr>
            </w:pPr>
            <w:r>
              <w:rPr>
                <w:rFonts w:hint="eastAsia" w:ascii="宋体" w:hAnsi="宋体"/>
                <w:color w:val="auto"/>
                <w:lang w:val="en-US" w:eastAsia="zh-CN"/>
              </w:rPr>
              <w:t>2018</w:t>
            </w:r>
          </w:p>
        </w:tc>
        <w:tc>
          <w:tcPr>
            <w:tcW w:w="1549" w:type="dxa"/>
            <w:noWrap w:val="0"/>
            <w:vAlign w:val="center"/>
          </w:tcPr>
          <w:p>
            <w:pPr>
              <w:rPr>
                <w:rFonts w:hint="eastAsia" w:ascii="宋体" w:hAnsi="宋体"/>
                <w:color w:val="auto"/>
              </w:rPr>
            </w:pPr>
          </w:p>
        </w:tc>
        <w:tc>
          <w:tcPr>
            <w:tcW w:w="1972" w:type="dxa"/>
            <w:gridSpan w:val="2"/>
            <w:noWrap w:val="0"/>
            <w:vAlign w:val="center"/>
          </w:tcPr>
          <w:p>
            <w:pPr>
              <w:rPr>
                <w:rFonts w:hint="eastAsia" w:ascii="宋体" w:hAnsi="宋体"/>
                <w:color w:val="auto"/>
              </w:rPr>
            </w:pPr>
          </w:p>
        </w:tc>
        <w:tc>
          <w:tcPr>
            <w:tcW w:w="1160" w:type="dxa"/>
            <w:noWrap w:val="0"/>
            <w:vAlign w:val="center"/>
          </w:tcPr>
          <w:p>
            <w:pPr>
              <w:rPr>
                <w:rFonts w:hint="eastAsia" w:ascii="宋体" w:hAnsi="宋体"/>
                <w:color w:val="auto"/>
              </w:rPr>
            </w:pPr>
          </w:p>
        </w:tc>
        <w:tc>
          <w:tcPr>
            <w:tcW w:w="2100"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rPr>
                <w:rFonts w:hint="eastAsia" w:ascii="宋体" w:hAnsi="宋体"/>
                <w:color w:val="auto"/>
              </w:rPr>
            </w:pPr>
          </w:p>
        </w:tc>
        <w:tc>
          <w:tcPr>
            <w:tcW w:w="1380" w:type="dxa"/>
            <w:noWrap w:val="0"/>
            <w:vAlign w:val="center"/>
          </w:tcPr>
          <w:p>
            <w:pPr>
              <w:rPr>
                <w:rFonts w:hint="default" w:ascii="宋体" w:hAnsi="宋体" w:eastAsia="宋体"/>
                <w:color w:val="auto"/>
                <w:lang w:val="en-US" w:eastAsia="zh-CN"/>
              </w:rPr>
            </w:pPr>
            <w:r>
              <w:rPr>
                <w:rFonts w:hint="eastAsia" w:ascii="宋体" w:hAnsi="宋体"/>
                <w:color w:val="auto"/>
                <w:lang w:val="en-US" w:eastAsia="zh-CN"/>
              </w:rPr>
              <w:t>2019</w:t>
            </w:r>
          </w:p>
        </w:tc>
        <w:tc>
          <w:tcPr>
            <w:tcW w:w="1549" w:type="dxa"/>
            <w:noWrap w:val="0"/>
            <w:vAlign w:val="top"/>
          </w:tcPr>
          <w:p>
            <w:pPr>
              <w:rPr>
                <w:rFonts w:hint="eastAsia" w:ascii="宋体" w:hAnsi="宋体"/>
                <w:color w:val="auto"/>
              </w:rPr>
            </w:pPr>
          </w:p>
        </w:tc>
        <w:tc>
          <w:tcPr>
            <w:tcW w:w="1972" w:type="dxa"/>
            <w:gridSpan w:val="2"/>
            <w:noWrap w:val="0"/>
            <w:vAlign w:val="top"/>
          </w:tcPr>
          <w:p>
            <w:pPr>
              <w:rPr>
                <w:rFonts w:hint="eastAsia" w:ascii="宋体" w:hAnsi="宋体"/>
                <w:color w:val="auto"/>
              </w:rPr>
            </w:pPr>
          </w:p>
        </w:tc>
        <w:tc>
          <w:tcPr>
            <w:tcW w:w="1160" w:type="dxa"/>
            <w:noWrap w:val="0"/>
            <w:vAlign w:val="top"/>
          </w:tcPr>
          <w:p>
            <w:pPr>
              <w:rPr>
                <w:rFonts w:hint="eastAsia" w:ascii="宋体" w:hAnsi="宋体"/>
                <w:color w:val="auto"/>
              </w:rPr>
            </w:pPr>
          </w:p>
        </w:tc>
        <w:tc>
          <w:tcPr>
            <w:tcW w:w="2100" w:type="dxa"/>
            <w:noWrap w:val="0"/>
            <w:vAlign w:val="top"/>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rPr>
                <w:rFonts w:hint="eastAsia" w:ascii="宋体" w:hAnsi="宋体"/>
                <w:color w:val="auto"/>
              </w:rPr>
            </w:pPr>
          </w:p>
        </w:tc>
        <w:tc>
          <w:tcPr>
            <w:tcW w:w="1380" w:type="dxa"/>
            <w:noWrap w:val="0"/>
            <w:vAlign w:val="center"/>
          </w:tcPr>
          <w:p>
            <w:pPr>
              <w:rPr>
                <w:rFonts w:hint="default" w:ascii="宋体" w:hAnsi="宋体" w:eastAsia="宋体"/>
                <w:color w:val="auto"/>
                <w:lang w:val="en-US" w:eastAsia="zh-CN"/>
              </w:rPr>
            </w:pPr>
            <w:r>
              <w:rPr>
                <w:rFonts w:hint="eastAsia" w:ascii="宋体" w:hAnsi="宋体"/>
                <w:color w:val="auto"/>
                <w:lang w:val="en-US" w:eastAsia="zh-CN"/>
              </w:rPr>
              <w:t>2020</w:t>
            </w:r>
          </w:p>
        </w:tc>
        <w:tc>
          <w:tcPr>
            <w:tcW w:w="1549" w:type="dxa"/>
            <w:noWrap w:val="0"/>
            <w:vAlign w:val="top"/>
          </w:tcPr>
          <w:p>
            <w:pPr>
              <w:rPr>
                <w:rFonts w:hint="eastAsia" w:ascii="宋体" w:hAnsi="宋体"/>
                <w:color w:val="auto"/>
              </w:rPr>
            </w:pPr>
          </w:p>
        </w:tc>
        <w:tc>
          <w:tcPr>
            <w:tcW w:w="1972" w:type="dxa"/>
            <w:gridSpan w:val="2"/>
            <w:noWrap w:val="0"/>
            <w:vAlign w:val="top"/>
          </w:tcPr>
          <w:p>
            <w:pPr>
              <w:rPr>
                <w:rFonts w:hint="eastAsia" w:ascii="宋体" w:hAnsi="宋体"/>
                <w:color w:val="auto"/>
              </w:rPr>
            </w:pPr>
          </w:p>
        </w:tc>
        <w:tc>
          <w:tcPr>
            <w:tcW w:w="1160" w:type="dxa"/>
            <w:noWrap w:val="0"/>
            <w:vAlign w:val="top"/>
          </w:tcPr>
          <w:p>
            <w:pPr>
              <w:rPr>
                <w:rFonts w:hint="eastAsia" w:ascii="宋体" w:hAnsi="宋体"/>
                <w:color w:val="auto"/>
              </w:rPr>
            </w:pPr>
          </w:p>
        </w:tc>
        <w:tc>
          <w:tcPr>
            <w:tcW w:w="2100" w:type="dxa"/>
            <w:noWrap w:val="0"/>
            <w:vAlign w:val="top"/>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noWrap w:val="0"/>
            <w:vAlign w:val="top"/>
          </w:tcPr>
          <w:p>
            <w:pPr>
              <w:rPr>
                <w:rFonts w:hint="eastAsia" w:ascii="宋体" w:hAnsi="宋体"/>
                <w:color w:val="auto"/>
              </w:rPr>
            </w:pPr>
            <w:r>
              <w:rPr>
                <w:rFonts w:hint="eastAsia" w:ascii="宋体" w:hAnsi="宋体"/>
                <w:color w:val="auto"/>
              </w:rPr>
              <w:t>经营范围</w:t>
            </w:r>
          </w:p>
        </w:tc>
        <w:tc>
          <w:tcPr>
            <w:tcW w:w="8161" w:type="dxa"/>
            <w:gridSpan w:val="6"/>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1728" w:type="dxa"/>
            <w:noWrap w:val="0"/>
            <w:vAlign w:val="top"/>
          </w:tcPr>
          <w:p>
            <w:pPr>
              <w:rPr>
                <w:rFonts w:hint="eastAsia" w:ascii="宋体" w:hAnsi="宋体"/>
                <w:color w:val="auto"/>
              </w:rPr>
            </w:pPr>
            <w:r>
              <w:rPr>
                <w:rFonts w:hint="eastAsia" w:ascii="宋体" w:hAnsi="宋体"/>
                <w:color w:val="auto"/>
              </w:rPr>
              <w:t xml:space="preserve">备注 </w:t>
            </w:r>
          </w:p>
        </w:tc>
        <w:tc>
          <w:tcPr>
            <w:tcW w:w="8161" w:type="dxa"/>
            <w:gridSpan w:val="6"/>
            <w:noWrap w:val="0"/>
            <w:vAlign w:val="center"/>
          </w:tcPr>
          <w:p>
            <w:pPr>
              <w:rPr>
                <w:rFonts w:hint="eastAsia" w:ascii="宋体" w:hAnsi="宋体"/>
                <w:color w:val="auto"/>
              </w:rPr>
            </w:pPr>
          </w:p>
        </w:tc>
      </w:tr>
    </w:tbl>
    <w:p>
      <w:pPr>
        <w:rPr>
          <w:rFonts w:hint="eastAsia" w:ascii="宋体" w:hAnsi="宋体"/>
          <w:color w:val="auto"/>
        </w:rPr>
      </w:pPr>
      <w:r>
        <w:rPr>
          <w:rFonts w:hint="eastAsia" w:ascii="宋体" w:hAnsi="宋体"/>
          <w:color w:val="auto"/>
        </w:rPr>
        <w:t>我们保证上述声明中的资料和数据是真实的、正确的，我们同意如贵方要求，可以出示相关证明文件。</w:t>
      </w:r>
    </w:p>
    <w:p>
      <w:pPr>
        <w:rPr>
          <w:rFonts w:hint="eastAsia" w:ascii="宋体" w:hAnsi="宋体"/>
          <w:color w:val="auto"/>
          <w:u w:val="single"/>
        </w:rPr>
      </w:pPr>
      <w:r>
        <w:rPr>
          <w:rFonts w:hint="eastAsia" w:ascii="宋体" w:hAnsi="宋体"/>
          <w:color w:val="auto"/>
        </w:rPr>
        <w:t>供应商（盖章）：</w:t>
      </w:r>
    </w:p>
    <w:p>
      <w:pPr>
        <w:rPr>
          <w:rFonts w:hint="eastAsia" w:ascii="宋体" w:hAnsi="宋体"/>
          <w:color w:val="auto"/>
        </w:rPr>
      </w:pPr>
      <w:r>
        <w:rPr>
          <w:rFonts w:hint="eastAsia" w:ascii="宋体" w:hAnsi="宋体"/>
          <w:color w:val="auto"/>
        </w:rPr>
        <w:t>法定代表人或委托代理人（签字或盖章）：</w:t>
      </w:r>
    </w:p>
    <w:p>
      <w:pPr>
        <w:rPr>
          <w:rFonts w:hint="eastAsia" w:ascii="宋体" w:hAnsi="宋体"/>
          <w:color w:val="auto"/>
        </w:rPr>
      </w:pPr>
      <w:r>
        <w:rPr>
          <w:rFonts w:hint="eastAsia" w:ascii="宋体" w:hAnsi="宋体"/>
          <w:color w:val="auto"/>
        </w:rPr>
        <w:t>电话号和传真号：</w:t>
      </w:r>
    </w:p>
    <w:p>
      <w:pPr>
        <w:ind w:firstLine="105" w:firstLineChars="50"/>
        <w:jc w:val="center"/>
        <w:rPr>
          <w:rFonts w:hint="eastAsia" w:ascii="宋体" w:hAnsi="宋体"/>
          <w:color w:val="auto"/>
        </w:rPr>
      </w:pPr>
      <w:r>
        <w:rPr>
          <w:rFonts w:hint="eastAsia" w:ascii="宋体" w:hAnsi="宋体"/>
          <w:color w:val="auto"/>
        </w:rPr>
        <w:t xml:space="preserve">                                                      日期：  年  月  日</w:t>
      </w:r>
    </w:p>
    <w:p>
      <w:pPr>
        <w:tabs>
          <w:tab w:val="left" w:pos="6300"/>
        </w:tabs>
        <w:snapToGrid w:val="0"/>
        <w:spacing w:line="360" w:lineRule="auto"/>
        <w:jc w:val="center"/>
        <w:rPr>
          <w:rFonts w:hint="eastAsia" w:ascii="宋体" w:hAnsi="宋体"/>
          <w:b/>
          <w:color w:val="auto"/>
          <w:sz w:val="24"/>
        </w:rPr>
      </w:pPr>
    </w:p>
    <w:p>
      <w:pPr>
        <w:tabs>
          <w:tab w:val="left" w:pos="6300"/>
        </w:tabs>
        <w:snapToGrid w:val="0"/>
        <w:spacing w:line="360" w:lineRule="auto"/>
        <w:jc w:val="center"/>
        <w:rPr>
          <w:rFonts w:hint="eastAsia" w:ascii="宋体" w:hAnsi="宋体"/>
          <w:b/>
          <w:color w:val="auto"/>
          <w:sz w:val="24"/>
        </w:rPr>
      </w:pPr>
    </w:p>
    <w:p>
      <w:pPr>
        <w:tabs>
          <w:tab w:val="left" w:pos="6300"/>
        </w:tabs>
        <w:snapToGrid w:val="0"/>
        <w:spacing w:line="360" w:lineRule="auto"/>
        <w:jc w:val="center"/>
        <w:rPr>
          <w:rFonts w:hint="eastAsia" w:ascii="宋体" w:hAnsi="宋体"/>
          <w:b/>
          <w:color w:val="auto"/>
          <w:sz w:val="24"/>
        </w:rPr>
      </w:pPr>
    </w:p>
    <w:p>
      <w:pPr>
        <w:tabs>
          <w:tab w:val="left" w:pos="6300"/>
        </w:tabs>
        <w:snapToGrid w:val="0"/>
        <w:spacing w:line="360" w:lineRule="auto"/>
        <w:jc w:val="both"/>
        <w:rPr>
          <w:rFonts w:hint="eastAsia" w:ascii="宋体" w:hAnsi="宋体"/>
          <w:b/>
          <w:color w:val="auto"/>
          <w:sz w:val="24"/>
        </w:rPr>
      </w:pPr>
    </w:p>
    <w:p>
      <w:pPr>
        <w:tabs>
          <w:tab w:val="left" w:pos="6300"/>
        </w:tabs>
        <w:snapToGrid w:val="0"/>
        <w:spacing w:line="360" w:lineRule="auto"/>
        <w:jc w:val="center"/>
        <w:outlineLvl w:val="1"/>
        <w:rPr>
          <w:rFonts w:hint="eastAsia" w:ascii="宋体" w:hAnsi="宋体"/>
          <w:b/>
          <w:color w:val="auto"/>
          <w:sz w:val="24"/>
        </w:rPr>
      </w:pPr>
      <w:bookmarkStart w:id="259" w:name="_Toc11223"/>
      <w:r>
        <w:rPr>
          <w:rFonts w:hint="eastAsia" w:ascii="宋体" w:hAnsi="宋体"/>
          <w:b/>
          <w:color w:val="auto"/>
          <w:sz w:val="24"/>
        </w:rPr>
        <w:t>格式5  诚信声明</w:t>
      </w:r>
      <w:bookmarkEnd w:id="259"/>
    </w:p>
    <w:p>
      <w:pPr>
        <w:tabs>
          <w:tab w:val="left" w:pos="6300"/>
        </w:tabs>
        <w:snapToGrid w:val="0"/>
        <w:spacing w:line="360" w:lineRule="auto"/>
        <w:ind w:firstLine="570"/>
        <w:rPr>
          <w:rFonts w:hint="eastAsia" w:ascii="宋体" w:hAnsi="宋体"/>
          <w:color w:val="auto"/>
          <w:sz w:val="24"/>
        </w:rPr>
      </w:pPr>
    </w:p>
    <w:p>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采购项目名称：</w:t>
      </w:r>
    </w:p>
    <w:p>
      <w:pPr>
        <w:tabs>
          <w:tab w:val="left" w:pos="6300"/>
        </w:tabs>
        <w:snapToGrid w:val="0"/>
        <w:spacing w:line="360" w:lineRule="auto"/>
        <w:ind w:firstLine="570"/>
        <w:rPr>
          <w:rFonts w:hint="eastAsia" w:ascii="宋体" w:hAnsi="宋体"/>
          <w:color w:val="auto"/>
          <w:sz w:val="24"/>
        </w:rPr>
      </w:pPr>
    </w:p>
    <w:p>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致：（采购代理机构名称）</w:t>
      </w:r>
    </w:p>
    <w:p>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特此声明。</w:t>
      </w:r>
    </w:p>
    <w:p>
      <w:pPr>
        <w:tabs>
          <w:tab w:val="left" w:pos="6300"/>
        </w:tabs>
        <w:snapToGrid w:val="0"/>
        <w:spacing w:line="360" w:lineRule="auto"/>
        <w:ind w:firstLine="570"/>
        <w:rPr>
          <w:rFonts w:hint="eastAsia" w:ascii="宋体" w:hAnsi="宋体"/>
          <w:color w:val="auto"/>
          <w:sz w:val="24"/>
        </w:rPr>
      </w:pPr>
    </w:p>
    <w:p>
      <w:pPr>
        <w:tabs>
          <w:tab w:val="left" w:pos="6300"/>
        </w:tabs>
        <w:snapToGrid w:val="0"/>
        <w:spacing w:line="360" w:lineRule="auto"/>
        <w:ind w:firstLine="570"/>
        <w:rPr>
          <w:rFonts w:hint="eastAsia" w:ascii="宋体" w:hAnsi="宋体"/>
          <w:color w:val="auto"/>
          <w:sz w:val="24"/>
        </w:rPr>
      </w:pPr>
    </w:p>
    <w:p>
      <w:pPr>
        <w:tabs>
          <w:tab w:val="left" w:pos="6300"/>
        </w:tabs>
        <w:snapToGrid w:val="0"/>
        <w:spacing w:line="360" w:lineRule="auto"/>
        <w:ind w:firstLine="570"/>
        <w:rPr>
          <w:rFonts w:hint="eastAsia" w:ascii="宋体" w:hAnsi="宋体"/>
          <w:color w:val="auto"/>
          <w:sz w:val="24"/>
        </w:rPr>
      </w:pPr>
    </w:p>
    <w:p>
      <w:pPr>
        <w:tabs>
          <w:tab w:val="left" w:pos="6300"/>
        </w:tabs>
        <w:snapToGrid w:val="0"/>
        <w:spacing w:line="360" w:lineRule="auto"/>
        <w:ind w:right="424"/>
        <w:jc w:val="center"/>
        <w:rPr>
          <w:rFonts w:hint="eastAsia" w:ascii="宋体" w:hAnsi="宋体"/>
          <w:color w:val="auto"/>
          <w:sz w:val="24"/>
        </w:rPr>
      </w:pPr>
      <w:r>
        <w:rPr>
          <w:rFonts w:hint="eastAsia" w:ascii="宋体" w:hAnsi="宋体"/>
          <w:color w:val="auto"/>
          <w:sz w:val="24"/>
        </w:rPr>
        <w:t xml:space="preserve">                              （供应商公章）</w:t>
      </w:r>
    </w:p>
    <w:p>
      <w:pPr>
        <w:tabs>
          <w:tab w:val="left" w:pos="6300"/>
        </w:tabs>
        <w:snapToGrid w:val="0"/>
        <w:spacing w:line="360" w:lineRule="auto"/>
        <w:ind w:right="480"/>
        <w:jc w:val="center"/>
        <w:rPr>
          <w:rFonts w:hint="eastAsia" w:ascii="宋体" w:hAnsi="宋体"/>
          <w:color w:val="auto"/>
          <w:sz w:val="24"/>
        </w:rPr>
      </w:pPr>
      <w:r>
        <w:rPr>
          <w:rFonts w:hint="eastAsia" w:ascii="宋体" w:hAnsi="宋体"/>
          <w:color w:val="auto"/>
          <w:sz w:val="24"/>
        </w:rPr>
        <w:t xml:space="preserve">                                  年   月   日</w:t>
      </w:r>
    </w:p>
    <w:p>
      <w:pPr>
        <w:adjustRightInd w:val="0"/>
        <w:snapToGrid w:val="0"/>
        <w:spacing w:line="360" w:lineRule="auto"/>
        <w:jc w:val="center"/>
        <w:outlineLvl w:val="1"/>
        <w:rPr>
          <w:rFonts w:hint="eastAsia" w:ascii="宋体" w:hAnsi="宋体"/>
          <w:b/>
          <w:sz w:val="28"/>
        </w:rPr>
      </w:pPr>
      <w:r>
        <w:rPr>
          <w:rFonts w:hint="eastAsia" w:ascii="宋体" w:hAnsi="宋体"/>
          <w:color w:val="auto"/>
          <w:sz w:val="24"/>
        </w:rPr>
        <w:br w:type="page"/>
      </w:r>
      <w:bookmarkStart w:id="260" w:name="_Toc27637"/>
      <w:r>
        <w:rPr>
          <w:rFonts w:hint="eastAsia" w:ascii="宋体" w:hAnsi="宋体"/>
          <w:b/>
          <w:color w:val="auto"/>
          <w:sz w:val="24"/>
        </w:rPr>
        <w:t xml:space="preserve">  </w:t>
      </w:r>
      <w:bookmarkStart w:id="261" w:name="_Toc23346_WPSOffice_Level2"/>
      <w:bookmarkStart w:id="262" w:name="_Toc21956_WPSOffice_Level1"/>
      <w:bookmarkStart w:id="263" w:name="_Toc428276789"/>
      <w:r>
        <w:rPr>
          <w:rFonts w:hint="eastAsia" w:ascii="宋体" w:hAnsi="宋体"/>
          <w:b/>
          <w:color w:val="auto"/>
          <w:sz w:val="24"/>
        </w:rPr>
        <w:t>投标人企业（单位）类型声明函</w:t>
      </w:r>
      <w:bookmarkEnd w:id="260"/>
      <w:bookmarkEnd w:id="261"/>
      <w:bookmarkEnd w:id="262"/>
    </w:p>
    <w:p>
      <w:pPr>
        <w:spacing w:line="360" w:lineRule="auto"/>
        <w:jc w:val="center"/>
        <w:rPr>
          <w:rFonts w:hint="eastAsia" w:ascii="宋体" w:hAnsi="宋体"/>
          <w:b/>
          <w:sz w:val="32"/>
        </w:rPr>
      </w:pPr>
    </w:p>
    <w:p>
      <w:pPr>
        <w:adjustRightInd w:val="0"/>
        <w:snapToGrid w:val="0"/>
        <w:spacing w:line="360" w:lineRule="auto"/>
        <w:ind w:firstLine="480" w:firstLineChars="200"/>
        <w:rPr>
          <w:rFonts w:hint="eastAsia" w:ascii="宋体" w:hAnsi="宋体"/>
          <w:sz w:val="24"/>
        </w:rPr>
      </w:pPr>
      <w:r>
        <w:rPr>
          <w:rFonts w:hint="eastAsia" w:ascii="宋体" w:hAnsi="宋体"/>
          <w:sz w:val="24"/>
        </w:rPr>
        <w:t>本企业（单位）郑重声明下列事项（按照实际情况勾选或填空）：</w:t>
      </w:r>
    </w:p>
    <w:p>
      <w:pPr>
        <w:adjustRightInd w:val="0"/>
        <w:snapToGrid w:val="0"/>
        <w:spacing w:line="360" w:lineRule="auto"/>
        <w:ind w:firstLine="480" w:firstLineChars="200"/>
        <w:rPr>
          <w:rFonts w:hint="eastAsia" w:ascii="宋体" w:hAnsi="宋体"/>
          <w:sz w:val="24"/>
        </w:rPr>
      </w:pPr>
      <w:r>
        <w:rPr>
          <w:rFonts w:hint="eastAsia" w:ascii="宋体" w:hAnsi="宋体"/>
          <w:sz w:val="24"/>
        </w:rPr>
        <w:t>1、□本企业（单位）为直接投标人，提供本企业（单位）制造的货物。</w:t>
      </w:r>
    </w:p>
    <w:p>
      <w:pPr>
        <w:adjustRightInd w:val="0"/>
        <w:snapToGrid w:val="0"/>
        <w:spacing w:line="360" w:lineRule="auto"/>
        <w:rPr>
          <w:rFonts w:hint="eastAsia" w:ascii="宋体" w:hAnsi="宋体"/>
          <w:sz w:val="24"/>
        </w:rPr>
      </w:pPr>
      <w:r>
        <w:rPr>
          <w:rFonts w:hint="eastAsia" w:ascii="宋体" w:hAnsi="宋体"/>
          <w:sz w:val="24"/>
        </w:rPr>
        <w:t>（1）根据《工业和信息化部、国家统计局、国家发展和改革委员会、财政部关于印发中小企业划型标准规定的通知》（工信部联企业[2011]300号）规定的划分标准，本企业为______（请填写：大型、中型、小型、微型）企业。</w:t>
      </w:r>
    </w:p>
    <w:p>
      <w:pPr>
        <w:adjustRightInd w:val="0"/>
        <w:snapToGrid w:val="0"/>
        <w:spacing w:line="360" w:lineRule="auto"/>
        <w:ind w:firstLine="480" w:firstLineChars="200"/>
        <w:rPr>
          <w:rFonts w:hint="eastAsia" w:ascii="宋体" w:hAnsi="宋体"/>
          <w:sz w:val="24"/>
        </w:rPr>
      </w:pPr>
      <w:r>
        <w:rPr>
          <w:rFonts w:hint="eastAsia" w:ascii="宋体" w:hAnsi="宋体"/>
          <w:sz w:val="24"/>
        </w:rPr>
        <w:t>（2）本企业（单位）为联合体一方，提供本企业（单位）制造的货物，由本企业（单位）承担工程、提供服务。本企业（单位）提供协议合同金额占到共同投标协议合同总金额的比例为</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firstLineChars="200"/>
        <w:rPr>
          <w:rFonts w:hint="eastAsia" w:ascii="宋体" w:hAnsi="宋体"/>
          <w:sz w:val="24"/>
        </w:rPr>
      </w:pPr>
      <w:r>
        <w:rPr>
          <w:rFonts w:hint="eastAsia" w:ascii="宋体" w:hAnsi="宋体"/>
          <w:sz w:val="24"/>
        </w:rPr>
        <w:t>2、□本企业（单位）为代理商，提供其他______（请填写：大型、中型、小型、微型）企业、监狱企业或残疾人福利性单位制造的货物。本条所称货物不包括使用大型企业注册商标的货物。（后附制造商企业（单位）类型声明函）</w:t>
      </w:r>
    </w:p>
    <w:p>
      <w:pPr>
        <w:adjustRightInd w:val="0"/>
        <w:snapToGrid w:val="0"/>
        <w:spacing w:line="360" w:lineRule="auto"/>
        <w:rPr>
          <w:rFonts w:hint="eastAsia" w:ascii="宋体" w:hAnsi="宋体"/>
          <w:sz w:val="24"/>
        </w:rPr>
      </w:pPr>
      <w:r>
        <w:rPr>
          <w:rFonts w:hint="eastAsia" w:ascii="宋体" w:hAnsi="宋体"/>
          <w:sz w:val="24"/>
        </w:rPr>
        <w:t>　　本企业（单位）对上述声明的真实性负责。如有虚假，将依法承担相应责任。</w:t>
      </w:r>
    </w:p>
    <w:p>
      <w:pPr>
        <w:adjustRightInd w:val="0"/>
        <w:snapToGrid w:val="0"/>
        <w:spacing w:line="360" w:lineRule="auto"/>
        <w:ind w:firstLine="5760" w:firstLineChars="2400"/>
        <w:rPr>
          <w:rFonts w:hint="eastAsia" w:ascii="宋体" w:hAnsi="宋体"/>
          <w:sz w:val="24"/>
        </w:rPr>
      </w:pPr>
    </w:p>
    <w:p>
      <w:pPr>
        <w:adjustRightInd w:val="0"/>
        <w:snapToGrid w:val="0"/>
        <w:spacing w:line="360" w:lineRule="auto"/>
        <w:ind w:firstLine="5760" w:firstLineChars="2400"/>
        <w:rPr>
          <w:rFonts w:hint="eastAsia" w:ascii="宋体" w:hAnsi="宋体"/>
          <w:sz w:val="24"/>
        </w:rPr>
      </w:pPr>
      <w:r>
        <w:rPr>
          <w:rFonts w:hint="eastAsia" w:ascii="宋体" w:hAnsi="宋体"/>
          <w:sz w:val="24"/>
        </w:rPr>
        <w:t xml:space="preserve">投标人（盖公章）：             </w:t>
      </w:r>
    </w:p>
    <w:p>
      <w:pPr>
        <w:adjustRightInd w:val="0"/>
        <w:snapToGrid w:val="0"/>
        <w:spacing w:line="360" w:lineRule="auto"/>
        <w:rPr>
          <w:rFonts w:hint="eastAsia" w:ascii="仿宋" w:hAnsi="仿宋" w:eastAsia="仿宋"/>
          <w:kern w:val="0"/>
          <w:sz w:val="24"/>
          <w:u w:val="single"/>
        </w:rPr>
      </w:pPr>
      <w:r>
        <w:rPr>
          <w:rFonts w:hint="eastAsia" w:ascii="宋体" w:hAnsi="宋体"/>
          <w:sz w:val="24"/>
        </w:rPr>
        <w:t xml:space="preserve">　                                              日　期： </w:t>
      </w:r>
      <w:r>
        <w:rPr>
          <w:rFonts w:hint="eastAsia" w:ascii="宋体" w:hAnsi="宋体"/>
          <w:kern w:val="0"/>
          <w:sz w:val="24"/>
          <w:u w:val="single"/>
        </w:rPr>
        <w:t xml:space="preserve">   </w:t>
      </w:r>
      <w:r>
        <w:rPr>
          <w:rFonts w:hint="eastAsia" w:ascii="仿宋" w:hAnsi="仿宋" w:eastAsia="仿宋"/>
          <w:kern w:val="0"/>
          <w:sz w:val="24"/>
          <w:u w:val="single"/>
        </w:rPr>
        <w:t xml:space="preserve">        </w:t>
      </w:r>
    </w:p>
    <w:p>
      <w:pPr>
        <w:adjustRightInd w:val="0"/>
        <w:snapToGrid w:val="0"/>
        <w:spacing w:line="360" w:lineRule="auto"/>
        <w:rPr>
          <w:rFonts w:hint="eastAsia" w:ascii="仿宋" w:hAnsi="仿宋" w:eastAsia="仿宋"/>
          <w:kern w:val="0"/>
          <w:sz w:val="24"/>
          <w:u w:val="single"/>
        </w:rPr>
      </w:pPr>
    </w:p>
    <w:p>
      <w:pPr>
        <w:adjustRightInd w:val="0"/>
        <w:snapToGrid w:val="0"/>
        <w:spacing w:line="360" w:lineRule="auto"/>
        <w:rPr>
          <w:rFonts w:hint="eastAsia" w:ascii="宋体" w:hAnsi="宋体"/>
          <w:sz w:val="22"/>
        </w:rPr>
      </w:pPr>
      <w:r>
        <w:rPr>
          <w:rFonts w:hint="eastAsia" w:ascii="宋体" w:hAnsi="宋体"/>
          <w:sz w:val="22"/>
        </w:rPr>
        <w:t>说明：1、填写前请认真阅读《工业和信息化部、国家统计局、国家发展和改革委员会、财政部关于印发中小企业划型标准规定的通知》（工信部联企业[2011]300号）、《财政部 工业和信息化部关于印发</w:t>
      </w:r>
      <w:r>
        <w:rPr>
          <w:rFonts w:hint="eastAsia" w:ascii="宋体" w:hAnsi="宋体" w:eastAsia="宋体" w:cs="Times New Roman"/>
          <w:sz w:val="22"/>
          <w:lang w:val="en-US" w:eastAsia="zh-CN"/>
        </w:rPr>
        <w:t>《政府采购促进中小企业发展管理办法》（财库〔2020〕46号）</w:t>
      </w:r>
      <w:r>
        <w:rPr>
          <w:rFonts w:hint="eastAsia" w:ascii="宋体" w:hAnsi="宋体"/>
          <w:sz w:val="22"/>
        </w:rPr>
        <w:t>、《财政部 司法部关于政府采购支持监狱企业发展有关问题的通知》（财库〔2014〕68号）以及《三部门联合发布关于促进残疾人就业政府采购政策的通知》（财库〔2017〕141号）相关规定（提供上述文件中要求的相关证明材料）。</w:t>
      </w:r>
    </w:p>
    <w:p>
      <w:pPr>
        <w:adjustRightInd w:val="0"/>
        <w:snapToGrid w:val="0"/>
        <w:spacing w:line="360" w:lineRule="auto"/>
        <w:rPr>
          <w:rFonts w:hint="eastAsia" w:ascii="宋体" w:hAnsi="宋体"/>
          <w:sz w:val="22"/>
        </w:rPr>
      </w:pPr>
      <w:r>
        <w:rPr>
          <w:rFonts w:hint="eastAsia" w:ascii="宋体" w:hAnsi="宋体"/>
          <w:sz w:val="22"/>
        </w:rPr>
        <w:t>2、中小企业、监狱企业、残疾人福利性单位提供制造货物的应另附说明，并与后面的报价一栏表保持一致。</w:t>
      </w:r>
    </w:p>
    <w:p>
      <w:pPr>
        <w:adjustRightInd w:val="0"/>
        <w:snapToGrid w:val="0"/>
        <w:spacing w:line="360" w:lineRule="auto"/>
        <w:rPr>
          <w:rFonts w:hint="eastAsia" w:ascii="宋体" w:hAnsi="宋体"/>
        </w:rPr>
        <w:sectPr>
          <w:footerReference r:id="rId6" w:type="default"/>
          <w:pgSz w:w="11906" w:h="16838"/>
          <w:pgMar w:top="1440" w:right="1117" w:bottom="1440" w:left="1117" w:header="851" w:footer="992" w:gutter="0"/>
          <w:pgNumType w:fmt="decimal" w:start="1"/>
          <w:cols w:space="720" w:num="1"/>
          <w:docGrid w:linePitch="312" w:charSpace="0"/>
        </w:sectPr>
      </w:pPr>
      <w:r>
        <w:rPr>
          <w:rFonts w:hint="eastAsia" w:ascii="宋体" w:hAnsi="宋体"/>
          <w:sz w:val="22"/>
        </w:rPr>
        <w:t>3、未按上述要求提供、填写的，评审时不予以考虑。</w:t>
      </w:r>
    </w:p>
    <w:bookmarkEnd w:id="263"/>
    <w:p>
      <w:pPr>
        <w:pStyle w:val="9"/>
        <w:adjustRightInd w:val="0"/>
        <w:snapToGrid w:val="0"/>
        <w:spacing w:line="360" w:lineRule="auto"/>
        <w:jc w:val="center"/>
        <w:rPr>
          <w:rFonts w:hint="eastAsia" w:ascii="宋体" w:hAnsi="宋体"/>
          <w:b/>
          <w:color w:val="auto"/>
          <w:sz w:val="24"/>
        </w:rPr>
      </w:pPr>
    </w:p>
    <w:p>
      <w:pPr>
        <w:pStyle w:val="9"/>
        <w:adjustRightInd w:val="0"/>
        <w:snapToGrid w:val="0"/>
        <w:spacing w:line="360" w:lineRule="auto"/>
        <w:jc w:val="center"/>
        <w:outlineLvl w:val="1"/>
        <w:rPr>
          <w:rFonts w:hint="eastAsia" w:ascii="宋体" w:hAnsi="宋体"/>
          <w:b/>
          <w:color w:val="auto"/>
          <w:sz w:val="24"/>
          <w:lang w:eastAsia="zh-CN"/>
        </w:rPr>
      </w:pPr>
      <w:bookmarkStart w:id="264" w:name="_Toc17740"/>
      <w:r>
        <w:rPr>
          <w:rFonts w:hint="eastAsia" w:ascii="宋体" w:hAnsi="宋体"/>
          <w:b/>
          <w:color w:val="auto"/>
          <w:sz w:val="24"/>
        </w:rPr>
        <w:t>格式</w:t>
      </w:r>
      <w:r>
        <w:rPr>
          <w:rFonts w:hint="eastAsia" w:hAnsi="宋体"/>
          <w:b/>
          <w:color w:val="auto"/>
          <w:sz w:val="24"/>
          <w:lang w:val="en-US" w:eastAsia="zh-CN"/>
        </w:rPr>
        <w:t>6</w:t>
      </w:r>
      <w:r>
        <w:rPr>
          <w:rFonts w:hint="eastAsia" w:ascii="宋体" w:hAnsi="宋体"/>
          <w:b/>
          <w:color w:val="auto"/>
          <w:sz w:val="24"/>
        </w:rPr>
        <w:t xml:space="preserve">  </w:t>
      </w:r>
      <w:r>
        <w:rPr>
          <w:rFonts w:hint="eastAsia" w:ascii="宋体" w:hAnsi="宋体"/>
          <w:b/>
          <w:color w:val="auto"/>
          <w:sz w:val="24"/>
          <w:lang w:val="en-US" w:eastAsia="zh-CN"/>
        </w:rPr>
        <w:t>中小</w:t>
      </w:r>
      <w:r>
        <w:rPr>
          <w:rFonts w:hint="eastAsia" w:ascii="宋体" w:hAnsi="宋体"/>
          <w:b/>
          <w:color w:val="auto"/>
          <w:sz w:val="24"/>
        </w:rPr>
        <w:t>声明函</w:t>
      </w:r>
      <w:r>
        <w:rPr>
          <w:rFonts w:hint="eastAsia" w:ascii="宋体" w:hAnsi="宋体"/>
          <w:b/>
          <w:color w:val="auto"/>
          <w:sz w:val="24"/>
          <w:lang w:eastAsia="zh-CN"/>
        </w:rPr>
        <w:t>（</w:t>
      </w:r>
      <w:r>
        <w:rPr>
          <w:rFonts w:hint="eastAsia" w:hAnsi="宋体"/>
          <w:b/>
          <w:color w:val="auto"/>
          <w:sz w:val="24"/>
          <w:lang w:val="en-US" w:eastAsia="zh-CN"/>
        </w:rPr>
        <w:t>服务</w:t>
      </w:r>
      <w:r>
        <w:rPr>
          <w:rFonts w:hint="eastAsia" w:ascii="宋体" w:hAnsi="宋体"/>
          <w:b/>
          <w:color w:val="auto"/>
          <w:sz w:val="24"/>
          <w:lang w:eastAsia="zh-CN"/>
        </w:rPr>
        <w:t>）</w:t>
      </w:r>
      <w:bookmarkEnd w:id="264"/>
    </w:p>
    <w:p>
      <w:pPr>
        <w:pStyle w:val="9"/>
        <w:adjustRightInd w:val="0"/>
        <w:snapToGrid w:val="0"/>
        <w:spacing w:line="360" w:lineRule="auto"/>
        <w:jc w:val="center"/>
        <w:rPr>
          <w:rFonts w:hint="eastAsia" w:ascii="宋体" w:hAnsi="宋体"/>
          <w:b/>
          <w:color w:val="auto"/>
          <w:sz w:val="24"/>
          <w:lang w:eastAsia="zh-CN"/>
        </w:rPr>
      </w:pP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000000"/>
          <w:kern w:val="0"/>
          <w:sz w:val="24"/>
          <w:szCs w:val="24"/>
          <w:highlight w:val="none"/>
          <w:u w:val="single"/>
          <w:lang w:val="en-US" w:eastAsia="zh-CN" w:bidi="ar"/>
        </w:rPr>
        <w:t>（单位名称）</w:t>
      </w:r>
      <w:r>
        <w:rPr>
          <w:rFonts w:hint="eastAsia" w:ascii="宋体" w:hAnsi="宋体" w:eastAsia="宋体" w:cs="宋体"/>
          <w:i w:val="0"/>
          <w:iCs w:val="0"/>
          <w:color w:val="000000"/>
          <w:kern w:val="0"/>
          <w:sz w:val="24"/>
          <w:szCs w:val="24"/>
          <w:highlight w:val="none"/>
          <w:lang w:val="en-US" w:eastAsia="zh-CN" w:bidi="ar"/>
        </w:rPr>
        <w:t>的</w:t>
      </w:r>
      <w:r>
        <w:rPr>
          <w:rFonts w:hint="eastAsia" w:ascii="宋体" w:hAnsi="宋体" w:eastAsia="宋体" w:cs="宋体"/>
          <w:i w:val="0"/>
          <w:iCs w:val="0"/>
          <w:color w:val="000000"/>
          <w:kern w:val="0"/>
          <w:sz w:val="24"/>
          <w:szCs w:val="24"/>
          <w:highlight w:val="none"/>
          <w:u w:val="single"/>
          <w:lang w:val="en-US" w:eastAsia="zh-CN" w:bidi="ar"/>
        </w:rPr>
        <w:t>（项目名称）</w:t>
      </w:r>
      <w:r>
        <w:rPr>
          <w:rFonts w:hint="eastAsia" w:ascii="宋体" w:hAnsi="宋体" w:eastAsia="宋体" w:cs="宋体"/>
          <w:i w:val="0"/>
          <w:iCs w:val="0"/>
          <w:color w:val="000000"/>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single"/>
          <w:lang w:val="en-US" w:eastAsia="zh-CN" w:bidi="ar"/>
        </w:rPr>
        <w:t>（标的名称）</w:t>
      </w:r>
      <w:r>
        <w:rPr>
          <w:rFonts w:hint="eastAsia" w:ascii="宋体" w:hAnsi="宋体" w:eastAsia="宋体" w:cs="宋体"/>
          <w:i w:val="0"/>
          <w:iCs w:val="0"/>
          <w:color w:val="000000"/>
          <w:kern w:val="0"/>
          <w:sz w:val="24"/>
          <w:szCs w:val="24"/>
          <w:highlight w:val="none"/>
          <w:lang w:val="en-US" w:eastAsia="zh-CN" w:bidi="ar"/>
        </w:rPr>
        <w:t>，属于</w:t>
      </w:r>
      <w:r>
        <w:rPr>
          <w:rFonts w:hint="eastAsia" w:ascii="宋体" w:hAnsi="宋体" w:eastAsia="宋体" w:cs="宋体"/>
          <w:i w:val="0"/>
          <w:iCs w:val="0"/>
          <w:color w:val="000000"/>
          <w:kern w:val="0"/>
          <w:sz w:val="24"/>
          <w:szCs w:val="24"/>
          <w:highlight w:val="none"/>
          <w:u w:val="single"/>
          <w:lang w:val="en-US" w:eastAsia="zh-CN" w:bidi="ar"/>
        </w:rPr>
        <w:t>（采购文件中明确的所属行业）</w:t>
      </w:r>
      <w:r>
        <w:rPr>
          <w:rFonts w:hint="eastAsia" w:ascii="宋体" w:hAnsi="宋体" w:eastAsia="宋体" w:cs="宋体"/>
          <w:i w:val="0"/>
          <w:iCs w:val="0"/>
          <w:color w:val="000000"/>
          <w:kern w:val="0"/>
          <w:sz w:val="24"/>
          <w:szCs w:val="24"/>
          <w:highlight w:val="none"/>
          <w:lang w:val="en-US" w:eastAsia="zh-CN" w:bidi="ar"/>
        </w:rPr>
        <w:t>；承建（承接）企业为</w:t>
      </w:r>
      <w:r>
        <w:rPr>
          <w:rFonts w:hint="eastAsia" w:ascii="宋体" w:hAnsi="宋体" w:eastAsia="宋体" w:cs="宋体"/>
          <w:i w:val="0"/>
          <w:iCs w:val="0"/>
          <w:color w:val="000000"/>
          <w:kern w:val="0"/>
          <w:sz w:val="24"/>
          <w:szCs w:val="24"/>
          <w:highlight w:val="none"/>
          <w:u w:val="single"/>
          <w:lang w:val="en-US" w:eastAsia="zh-CN" w:bidi="ar"/>
        </w:rPr>
        <w:t>（企业名称），</w:t>
      </w:r>
      <w:r>
        <w:rPr>
          <w:rFonts w:hint="eastAsia" w:ascii="宋体" w:hAnsi="宋体" w:eastAsia="宋体" w:cs="宋体"/>
          <w:i w:val="0"/>
          <w:iCs w:val="0"/>
          <w:color w:val="000000"/>
          <w:kern w:val="0"/>
          <w:sz w:val="24"/>
          <w:szCs w:val="24"/>
          <w:highlight w:val="none"/>
          <w:lang w:val="en-US" w:eastAsia="zh-CN" w:bidi="ar"/>
        </w:rPr>
        <w:t>从业人员</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人，营业收入为</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万元，资产总额为</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万元，属于（中型企业、小型企业、微型企业）；</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2.</w:t>
      </w:r>
      <w:r>
        <w:rPr>
          <w:rFonts w:hint="eastAsia" w:ascii="宋体" w:hAnsi="宋体" w:eastAsia="宋体" w:cs="宋体"/>
          <w:i w:val="0"/>
          <w:iCs w:val="0"/>
          <w:color w:val="000000"/>
          <w:kern w:val="0"/>
          <w:sz w:val="24"/>
          <w:szCs w:val="24"/>
          <w:highlight w:val="none"/>
          <w:u w:val="single"/>
          <w:lang w:val="en-US" w:eastAsia="zh-CN" w:bidi="ar"/>
        </w:rPr>
        <w:t>（标的名称）</w:t>
      </w:r>
      <w:r>
        <w:rPr>
          <w:rFonts w:hint="eastAsia" w:ascii="宋体" w:hAnsi="宋体" w:eastAsia="宋体" w:cs="宋体"/>
          <w:i w:val="0"/>
          <w:iCs w:val="0"/>
          <w:color w:val="000000"/>
          <w:kern w:val="0"/>
          <w:sz w:val="24"/>
          <w:szCs w:val="24"/>
          <w:highlight w:val="none"/>
          <w:lang w:val="en-US" w:eastAsia="zh-CN" w:bidi="ar"/>
        </w:rPr>
        <w:t>，属于</w:t>
      </w:r>
      <w:r>
        <w:rPr>
          <w:rFonts w:hint="eastAsia" w:ascii="宋体" w:hAnsi="宋体" w:eastAsia="宋体" w:cs="宋体"/>
          <w:i w:val="0"/>
          <w:iCs w:val="0"/>
          <w:color w:val="000000"/>
          <w:kern w:val="0"/>
          <w:sz w:val="24"/>
          <w:szCs w:val="24"/>
          <w:highlight w:val="none"/>
          <w:u w:val="single"/>
          <w:lang w:val="en-US" w:eastAsia="zh-CN" w:bidi="ar"/>
        </w:rPr>
        <w:t>（采购文件中明确的所属行业）</w:t>
      </w:r>
      <w:r>
        <w:rPr>
          <w:rFonts w:hint="eastAsia" w:ascii="宋体" w:hAnsi="宋体" w:eastAsia="宋体" w:cs="宋体"/>
          <w:i w:val="0"/>
          <w:iCs w:val="0"/>
          <w:color w:val="000000"/>
          <w:kern w:val="0"/>
          <w:sz w:val="24"/>
          <w:szCs w:val="24"/>
          <w:highlight w:val="none"/>
          <w:lang w:val="en-US" w:eastAsia="zh-CN" w:bidi="ar"/>
        </w:rPr>
        <w:t>；承建（承接）企业为</w:t>
      </w:r>
      <w:r>
        <w:rPr>
          <w:rFonts w:hint="eastAsia" w:ascii="宋体" w:hAnsi="宋体" w:eastAsia="宋体" w:cs="宋体"/>
          <w:i w:val="0"/>
          <w:iCs w:val="0"/>
          <w:color w:val="000000"/>
          <w:kern w:val="0"/>
          <w:sz w:val="24"/>
          <w:szCs w:val="24"/>
          <w:highlight w:val="none"/>
          <w:u w:val="single"/>
          <w:lang w:val="en-US" w:eastAsia="zh-CN" w:bidi="ar"/>
        </w:rPr>
        <w:t>（企业名称）</w:t>
      </w:r>
      <w:r>
        <w:rPr>
          <w:rFonts w:hint="eastAsia" w:ascii="宋体" w:hAnsi="宋体" w:eastAsia="宋体" w:cs="宋体"/>
          <w:i w:val="0"/>
          <w:iCs w:val="0"/>
          <w:color w:val="000000"/>
          <w:kern w:val="0"/>
          <w:sz w:val="24"/>
          <w:szCs w:val="24"/>
          <w:highlight w:val="none"/>
          <w:lang w:val="en-US" w:eastAsia="zh-CN" w:bidi="ar"/>
        </w:rPr>
        <w:t>，从业人员</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人，营业收入为</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万元，资产总额为</w:t>
      </w:r>
      <w:r>
        <w:rPr>
          <w:rFonts w:hint="eastAsia" w:ascii="宋体" w:hAnsi="宋体" w:eastAsia="宋体" w:cs="宋体"/>
          <w:i w:val="0"/>
          <w:iCs w:val="0"/>
          <w:color w:val="000000"/>
          <w:kern w:val="0"/>
          <w:sz w:val="24"/>
          <w:szCs w:val="24"/>
          <w:highlight w:val="none"/>
          <w:u w:val="single"/>
          <w:lang w:val="en-US" w:eastAsia="zh-CN" w:bidi="ar"/>
        </w:rPr>
        <w:t>  </w:t>
      </w:r>
      <w:r>
        <w:rPr>
          <w:rFonts w:hint="eastAsia" w:ascii="宋体" w:hAnsi="宋体" w:eastAsia="宋体" w:cs="宋体"/>
          <w:i w:val="0"/>
          <w:iCs w:val="0"/>
          <w:color w:val="000000"/>
          <w:kern w:val="0"/>
          <w:sz w:val="24"/>
          <w:szCs w:val="24"/>
          <w:highlight w:val="none"/>
          <w:lang w:val="en-US" w:eastAsia="zh-CN" w:bidi="ar"/>
        </w:rPr>
        <w:t>万元，属于</w:t>
      </w:r>
      <w:r>
        <w:rPr>
          <w:rFonts w:hint="eastAsia" w:ascii="宋体" w:hAnsi="宋体" w:eastAsia="宋体" w:cs="宋体"/>
          <w:i w:val="0"/>
          <w:iCs w:val="0"/>
          <w:color w:val="000000"/>
          <w:kern w:val="0"/>
          <w:sz w:val="24"/>
          <w:szCs w:val="24"/>
          <w:highlight w:val="none"/>
          <w:u w:val="single"/>
          <w:lang w:val="en-US" w:eastAsia="zh-CN" w:bidi="ar"/>
        </w:rPr>
        <w:t>（中型企业、小型企业、微型企业）</w:t>
      </w:r>
      <w:r>
        <w:rPr>
          <w:rFonts w:hint="eastAsia" w:ascii="宋体" w:hAnsi="宋体" w:eastAsia="宋体" w:cs="宋体"/>
          <w:i w:val="0"/>
          <w:iCs w:val="0"/>
          <w:color w:val="000000"/>
          <w:kern w:val="0"/>
          <w:sz w:val="24"/>
          <w:szCs w:val="24"/>
          <w:highlight w:val="none"/>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本企业对上述声明内容的真实性负责。如有虚假，将依法承担相应责任。</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p>
    <w:p>
      <w:pPr>
        <w:keepNext w:val="0"/>
        <w:keepLines w:val="0"/>
        <w:widowControl/>
        <w:suppressLineNumbers w:val="0"/>
        <w:spacing w:line="360" w:lineRule="auto"/>
        <w:ind w:firstLine="5280" w:firstLineChars="2200"/>
        <w:jc w:val="left"/>
        <w:rPr>
          <w:rFonts w:hint="eastAsia" w:ascii="宋体" w:hAnsi="宋体" w:eastAsia="宋体" w:cs="宋体"/>
          <w:i w:val="0"/>
          <w:iCs w:val="0"/>
          <w:sz w:val="24"/>
          <w:szCs w:val="24"/>
          <w:highlight w:val="none"/>
        </w:rPr>
      </w:pPr>
      <w:r>
        <w:rPr>
          <w:rFonts w:hint="eastAsia" w:ascii="宋体" w:hAnsi="宋体" w:eastAsia="宋体" w:cs="宋体"/>
          <w:i w:val="0"/>
          <w:iCs w:val="0"/>
          <w:color w:val="000000"/>
          <w:kern w:val="0"/>
          <w:sz w:val="24"/>
          <w:szCs w:val="24"/>
          <w:highlight w:val="none"/>
          <w:lang w:val="en-US" w:eastAsia="zh-CN" w:bidi="ar"/>
        </w:rPr>
        <w:t xml:space="preserve">企业名称（盖章）： </w:t>
      </w:r>
    </w:p>
    <w:p>
      <w:pPr>
        <w:keepNext w:val="0"/>
        <w:keepLines w:val="0"/>
        <w:widowControl/>
        <w:suppressLineNumbers w:val="0"/>
        <w:spacing w:line="360" w:lineRule="auto"/>
        <w:ind w:firstLine="5280" w:firstLineChars="2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 xml:space="preserve">日 期： </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从业人员、营业收入、资产总额填报上一年度数据，无上一年度数据的新成立企业可不填报。</w:t>
      </w:r>
    </w:p>
    <w:p>
      <w:pPr>
        <w:widowControl w:val="0"/>
        <w:autoSpaceDE w:val="0"/>
        <w:autoSpaceDN w:val="0"/>
        <w:adjustRightInd w:val="0"/>
        <w:rPr>
          <w:rFonts w:hint="eastAsia" w:ascii="宋体" w:hAnsi="宋体" w:eastAsia="宋体" w:cs="宋体"/>
          <w:i w:val="0"/>
          <w:iCs w:val="0"/>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lang w:val="en-US" w:eastAsia="zh-CN" w:bidi="ar"/>
        </w:rPr>
        <w:t xml:space="preserve">  </w:t>
      </w:r>
    </w:p>
    <w:p>
      <w:pPr>
        <w:widowControl w:val="0"/>
        <w:autoSpaceDE w:val="0"/>
        <w:autoSpaceDN w:val="0"/>
        <w:adjustRightInd w:val="0"/>
        <w:rPr>
          <w:rFonts w:hint="eastAsia" w:ascii="宋体" w:hAnsi="宋体" w:eastAsia="宋体" w:cs="宋体"/>
          <w:i w:val="0"/>
          <w:iCs w:val="0"/>
          <w:color w:val="000000"/>
          <w:kern w:val="0"/>
          <w:sz w:val="24"/>
          <w:szCs w:val="24"/>
          <w:highlight w:val="none"/>
          <w:lang w:val="en-US" w:eastAsia="zh-CN" w:bidi="ar"/>
        </w:rPr>
      </w:pPr>
    </w:p>
    <w:p>
      <w:pPr>
        <w:widowControl w:val="0"/>
        <w:autoSpaceDE w:val="0"/>
        <w:autoSpaceDN w:val="0"/>
        <w:adjustRightInd w:val="0"/>
        <w:rPr>
          <w:rFonts w:hint="default" w:ascii="Arial" w:hAnsi="Arial" w:eastAsia="宋体" w:cs="Times New Roman"/>
          <w:color w:val="000000"/>
          <w:sz w:val="24"/>
          <w:szCs w:val="24"/>
          <w:highlight w:val="none"/>
          <w:lang w:val="en-US" w:eastAsia="zh-CN"/>
        </w:rPr>
      </w:pPr>
      <w:r>
        <w:rPr>
          <w:rFonts w:hint="eastAsia" w:ascii="宋体" w:hAnsi="宋体" w:eastAsia="宋体" w:cs="宋体"/>
          <w:i w:val="0"/>
          <w:iCs w:val="0"/>
          <w:color w:val="000000"/>
          <w:kern w:val="0"/>
          <w:sz w:val="24"/>
          <w:szCs w:val="24"/>
          <w:highlight w:val="none"/>
          <w:lang w:val="en-US" w:eastAsia="zh-CN" w:bidi="ar"/>
        </w:rPr>
        <w:t xml:space="preserve"> 不属于中小企业则不需提供此函。</w:t>
      </w:r>
    </w:p>
    <w:p>
      <w:pPr>
        <w:spacing w:line="360" w:lineRule="auto"/>
        <w:ind w:firstLine="420"/>
        <w:jc w:val="both"/>
        <w:rPr>
          <w:rFonts w:hint="eastAsia" w:ascii="宋体" w:hAnsi="宋体"/>
          <w:b/>
          <w:bCs/>
          <w:sz w:val="24"/>
          <w:szCs w:val="24"/>
        </w:rPr>
      </w:pPr>
    </w:p>
    <w:p>
      <w:pPr>
        <w:pStyle w:val="19"/>
        <w:rPr>
          <w:rFonts w:hint="eastAsia" w:ascii="宋体" w:hAnsi="宋体"/>
          <w:b/>
          <w:bCs/>
          <w:sz w:val="24"/>
          <w:szCs w:val="24"/>
        </w:rPr>
      </w:pPr>
    </w:p>
    <w:p>
      <w:pPr>
        <w:pStyle w:val="19"/>
        <w:rPr>
          <w:rFonts w:hint="eastAsia" w:ascii="宋体" w:hAnsi="宋体"/>
          <w:b/>
          <w:bCs/>
          <w:sz w:val="24"/>
          <w:szCs w:val="24"/>
        </w:rPr>
      </w:pPr>
    </w:p>
    <w:p>
      <w:pPr>
        <w:pStyle w:val="19"/>
        <w:rPr>
          <w:rFonts w:hint="eastAsia" w:ascii="宋体" w:hAnsi="宋体"/>
          <w:b/>
          <w:bCs/>
          <w:sz w:val="24"/>
          <w:szCs w:val="24"/>
        </w:rPr>
      </w:pPr>
    </w:p>
    <w:p>
      <w:pPr>
        <w:pStyle w:val="19"/>
        <w:rPr>
          <w:rFonts w:hint="eastAsia" w:ascii="宋体" w:hAnsi="宋体"/>
          <w:b/>
          <w:bCs/>
          <w:szCs w:val="21"/>
        </w:rPr>
      </w:pPr>
    </w:p>
    <w:p>
      <w:pPr>
        <w:pStyle w:val="19"/>
        <w:rPr>
          <w:rFonts w:hint="eastAsia" w:ascii="宋体" w:hAnsi="宋体"/>
          <w:b/>
          <w:bCs/>
          <w:szCs w:val="21"/>
        </w:rPr>
      </w:pPr>
    </w:p>
    <w:p>
      <w:pPr>
        <w:spacing w:line="440" w:lineRule="exact"/>
        <w:ind w:firstLine="420"/>
        <w:jc w:val="center"/>
        <w:outlineLvl w:val="9"/>
        <w:rPr>
          <w:rFonts w:hint="eastAsia" w:ascii="宋体" w:hAnsi="宋体"/>
          <w:b/>
          <w:color w:val="auto"/>
          <w:sz w:val="24"/>
        </w:rPr>
      </w:pPr>
    </w:p>
    <w:p>
      <w:pPr>
        <w:spacing w:line="440" w:lineRule="exact"/>
        <w:ind w:firstLine="420"/>
        <w:jc w:val="center"/>
        <w:outlineLvl w:val="1"/>
        <w:rPr>
          <w:rFonts w:hint="default" w:ascii="宋体" w:hAnsi="宋体" w:eastAsia="宋体"/>
          <w:b/>
          <w:bCs/>
          <w:sz w:val="24"/>
          <w:szCs w:val="24"/>
          <w:lang w:val="en-US" w:eastAsia="zh-CN"/>
        </w:rPr>
      </w:pPr>
      <w:bookmarkStart w:id="265" w:name="_Toc13346"/>
      <w:r>
        <w:rPr>
          <w:rFonts w:hint="eastAsia" w:ascii="宋体" w:hAnsi="宋体"/>
          <w:b/>
          <w:color w:val="auto"/>
          <w:sz w:val="24"/>
        </w:rPr>
        <w:t>格式</w:t>
      </w:r>
      <w:r>
        <w:rPr>
          <w:rFonts w:hint="eastAsia" w:ascii="宋体" w:hAnsi="宋体"/>
          <w:b/>
          <w:color w:val="auto"/>
          <w:sz w:val="24"/>
          <w:lang w:val="en-US" w:eastAsia="zh-CN"/>
        </w:rPr>
        <w:t>7</w:t>
      </w:r>
      <w:r>
        <w:rPr>
          <w:rFonts w:hint="eastAsia" w:ascii="宋体" w:hAnsi="宋体"/>
          <w:b/>
          <w:color w:val="auto"/>
          <w:sz w:val="24"/>
        </w:rPr>
        <w:t xml:space="preserve">  </w:t>
      </w:r>
      <w:bookmarkStart w:id="266" w:name="_Toc17353"/>
      <w:r>
        <w:rPr>
          <w:rFonts w:hint="eastAsia" w:ascii="宋体" w:hAnsi="宋体" w:eastAsia="宋体"/>
          <w:b/>
          <w:bCs/>
          <w:sz w:val="24"/>
          <w:szCs w:val="24"/>
          <w:lang w:val="en-US" w:eastAsia="zh-CN"/>
        </w:rPr>
        <w:t>残疾人福利性单位声明函</w:t>
      </w:r>
      <w:bookmarkEnd w:id="265"/>
      <w:bookmarkEnd w:id="266"/>
    </w:p>
    <w:p>
      <w:pPr>
        <w:spacing w:line="360" w:lineRule="auto"/>
        <w:ind w:left="1080" w:leftChars="257" w:hanging="540"/>
        <w:jc w:val="center"/>
        <w:rPr>
          <w:rFonts w:ascii="仿宋_GB2312" w:hAnsi="Arial" w:eastAsia="仿宋_GB2312"/>
          <w:kern w:val="0"/>
          <w:sz w:val="24"/>
          <w:szCs w:val="24"/>
        </w:rPr>
      </w:pPr>
    </w:p>
    <w:p>
      <w:pPr>
        <w:spacing w:line="360" w:lineRule="auto"/>
        <w:ind w:firstLine="567"/>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spacing w:line="360" w:lineRule="auto"/>
        <w:ind w:left="1080" w:leftChars="257" w:hanging="540"/>
        <w:jc w:val="center"/>
        <w:rPr>
          <w:rFonts w:hint="eastAsia" w:ascii="宋体" w:hAnsi="宋体" w:eastAsia="宋体" w:cs="宋体"/>
          <w:kern w:val="0"/>
          <w:sz w:val="24"/>
          <w:szCs w:val="24"/>
        </w:rPr>
      </w:pPr>
    </w:p>
    <w:p>
      <w:pPr>
        <w:spacing w:line="360" w:lineRule="auto"/>
        <w:ind w:left="1080" w:leftChars="257" w:hanging="540"/>
        <w:jc w:val="center"/>
        <w:rPr>
          <w:rFonts w:hint="eastAsia" w:ascii="宋体" w:hAnsi="宋体" w:eastAsia="宋体" w:cs="宋体"/>
          <w:kern w:val="0"/>
          <w:sz w:val="24"/>
          <w:szCs w:val="24"/>
        </w:rPr>
      </w:pPr>
    </w:p>
    <w:p>
      <w:pPr>
        <w:spacing w:line="360" w:lineRule="auto"/>
        <w:ind w:left="1080" w:leftChars="257" w:hanging="540"/>
        <w:jc w:val="center"/>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残疾人福利性单位（盖章）：</w:t>
      </w:r>
      <w:r>
        <w:rPr>
          <w:rFonts w:hint="eastAsia" w:ascii="宋体" w:hAnsi="宋体" w:eastAsia="宋体" w:cs="宋体"/>
          <w:kern w:val="0"/>
          <w:sz w:val="24"/>
          <w:szCs w:val="24"/>
          <w:u w:val="single"/>
        </w:rPr>
        <w:t xml:space="preserve">                  </w:t>
      </w:r>
    </w:p>
    <w:p>
      <w:pPr>
        <w:spacing w:line="360" w:lineRule="auto"/>
        <w:ind w:left="1080" w:leftChars="257" w:hanging="54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line="360" w:lineRule="auto"/>
        <w:ind w:left="645" w:leftChars="307" w:firstLine="3840" w:firstLineChars="1600"/>
        <w:rPr>
          <w:rFonts w:hint="eastAsia" w:ascii="宋体" w:hAnsi="宋体" w:eastAsia="宋体" w:cs="宋体"/>
          <w:kern w:val="0"/>
          <w:sz w:val="24"/>
          <w:szCs w:val="24"/>
          <w:u w:val="single"/>
        </w:rPr>
      </w:pPr>
      <w:r>
        <w:rPr>
          <w:rFonts w:hint="eastAsia" w:ascii="宋体" w:hAnsi="宋体" w:eastAsia="宋体" w:cs="宋体"/>
          <w:kern w:val="0"/>
          <w:sz w:val="24"/>
          <w:szCs w:val="24"/>
        </w:rPr>
        <w:t>日  期：</w:t>
      </w:r>
      <w:r>
        <w:rPr>
          <w:rFonts w:hint="eastAsia" w:ascii="宋体" w:hAnsi="宋体" w:eastAsia="宋体" w:cs="宋体"/>
          <w:kern w:val="0"/>
          <w:sz w:val="24"/>
          <w:szCs w:val="24"/>
          <w:u w:val="single"/>
        </w:rPr>
        <w:t xml:space="preserve">                             </w:t>
      </w:r>
    </w:p>
    <w:p>
      <w:pPr>
        <w:spacing w:line="440" w:lineRule="exact"/>
        <w:ind w:firstLine="420"/>
        <w:jc w:val="center"/>
        <w:rPr>
          <w:rFonts w:hint="eastAsia" w:ascii="宋体" w:hAnsi="宋体" w:eastAsia="宋体" w:cs="宋体"/>
          <w:b/>
          <w:bCs/>
          <w:sz w:val="24"/>
          <w:szCs w:val="24"/>
        </w:rPr>
      </w:pPr>
    </w:p>
    <w:p>
      <w:pPr>
        <w:spacing w:line="440" w:lineRule="exact"/>
        <w:ind w:firstLine="420"/>
        <w:jc w:val="center"/>
        <w:rPr>
          <w:rFonts w:hint="eastAsia" w:ascii="宋体" w:hAnsi="宋体" w:eastAsia="宋体" w:cs="宋体"/>
          <w:b/>
          <w:bCs/>
          <w:sz w:val="24"/>
          <w:szCs w:val="24"/>
        </w:rPr>
      </w:pPr>
    </w:p>
    <w:p>
      <w:pPr>
        <w:spacing w:line="440" w:lineRule="exact"/>
        <w:ind w:firstLine="420"/>
        <w:jc w:val="center"/>
        <w:rPr>
          <w:rFonts w:hint="eastAsia" w:ascii="宋体" w:hAnsi="宋体"/>
          <w:b/>
          <w:bCs/>
          <w:sz w:val="24"/>
          <w:szCs w:val="24"/>
        </w:rPr>
      </w:pPr>
    </w:p>
    <w:p>
      <w:pPr>
        <w:spacing w:line="440" w:lineRule="exact"/>
        <w:ind w:firstLine="420"/>
        <w:jc w:val="center"/>
        <w:rPr>
          <w:rFonts w:hint="eastAsia" w:ascii="宋体" w:hAnsi="宋体"/>
          <w:b/>
          <w:bCs/>
          <w:sz w:val="24"/>
          <w:szCs w:val="24"/>
        </w:rPr>
      </w:pPr>
    </w:p>
    <w:p>
      <w:pPr>
        <w:spacing w:line="440" w:lineRule="exact"/>
        <w:ind w:firstLine="420"/>
        <w:jc w:val="center"/>
        <w:rPr>
          <w:rFonts w:hint="eastAsia" w:ascii="宋体" w:hAnsi="宋体"/>
          <w:b/>
          <w:bCs/>
          <w:sz w:val="24"/>
          <w:szCs w:val="24"/>
        </w:rPr>
      </w:pPr>
    </w:p>
    <w:p>
      <w:pPr>
        <w:spacing w:line="440" w:lineRule="exact"/>
        <w:ind w:firstLine="420"/>
        <w:jc w:val="center"/>
        <w:rPr>
          <w:rFonts w:hint="eastAsia" w:ascii="宋体" w:hAnsi="宋体"/>
          <w:b/>
          <w:bCs/>
          <w:sz w:val="24"/>
          <w:szCs w:val="24"/>
        </w:rPr>
      </w:pPr>
    </w:p>
    <w:p>
      <w:pPr>
        <w:spacing w:line="440" w:lineRule="exact"/>
        <w:ind w:firstLine="420"/>
        <w:jc w:val="center"/>
        <w:rPr>
          <w:rFonts w:hint="eastAsia" w:ascii="宋体" w:hAnsi="宋体"/>
          <w:b/>
          <w:bCs/>
          <w:sz w:val="24"/>
          <w:szCs w:val="24"/>
        </w:rPr>
      </w:pPr>
    </w:p>
    <w:p>
      <w:pPr>
        <w:spacing w:line="440" w:lineRule="exact"/>
        <w:ind w:firstLine="420"/>
        <w:jc w:val="center"/>
        <w:rPr>
          <w:rFonts w:hint="eastAsia" w:ascii="宋体" w:hAnsi="宋体"/>
          <w:b/>
          <w:bCs/>
          <w:sz w:val="24"/>
          <w:szCs w:val="24"/>
        </w:rPr>
      </w:pPr>
    </w:p>
    <w:p>
      <w:pPr>
        <w:spacing w:line="440" w:lineRule="exact"/>
        <w:jc w:val="both"/>
        <w:rPr>
          <w:rFonts w:hint="eastAsia" w:ascii="宋体" w:hAnsi="宋体"/>
          <w:b/>
          <w:bCs/>
          <w:sz w:val="24"/>
          <w:szCs w:val="24"/>
        </w:rPr>
      </w:pPr>
    </w:p>
    <w:p>
      <w:pPr>
        <w:spacing w:line="440" w:lineRule="exact"/>
        <w:jc w:val="both"/>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 xml:space="preserve"> 不属于残疾人福利性单位则不需提供此函。</w:t>
      </w:r>
    </w:p>
    <w:p>
      <w:pPr>
        <w:pStyle w:val="9"/>
        <w:adjustRightInd w:val="0"/>
        <w:snapToGrid w:val="0"/>
        <w:spacing w:line="360" w:lineRule="auto"/>
        <w:jc w:val="center"/>
        <w:rPr>
          <w:rFonts w:hint="eastAsia" w:ascii="宋体" w:hAnsi="宋体"/>
          <w:b/>
          <w:color w:val="auto"/>
          <w:sz w:val="24"/>
          <w:szCs w:val="24"/>
          <w:lang w:eastAsia="zh-CN"/>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pStyle w:val="19"/>
        <w:rPr>
          <w:rFonts w:hint="eastAsia" w:ascii="宋体" w:hAnsi="宋体"/>
          <w:b/>
          <w:bCs/>
          <w:szCs w:val="21"/>
        </w:rPr>
      </w:pPr>
    </w:p>
    <w:p>
      <w:pPr>
        <w:spacing w:line="440" w:lineRule="exact"/>
        <w:ind w:firstLine="420"/>
        <w:jc w:val="center"/>
        <w:outlineLvl w:val="9"/>
        <w:rPr>
          <w:rFonts w:hint="eastAsia" w:ascii="宋体" w:hAnsi="宋体"/>
          <w:b/>
          <w:color w:val="auto"/>
          <w:sz w:val="24"/>
        </w:rPr>
      </w:pPr>
    </w:p>
    <w:p>
      <w:pPr>
        <w:spacing w:line="440" w:lineRule="exact"/>
        <w:ind w:firstLine="420"/>
        <w:jc w:val="center"/>
        <w:outlineLvl w:val="1"/>
        <w:rPr>
          <w:rFonts w:hint="default" w:ascii="宋体" w:hAnsi="宋体" w:eastAsia="宋体"/>
          <w:b/>
          <w:bCs/>
          <w:sz w:val="24"/>
          <w:szCs w:val="24"/>
          <w:lang w:val="en-US" w:eastAsia="zh-CN"/>
        </w:rPr>
      </w:pPr>
      <w:bookmarkStart w:id="267" w:name="_Toc24380"/>
      <w:r>
        <w:rPr>
          <w:rFonts w:hint="eastAsia" w:ascii="宋体" w:hAnsi="宋体"/>
          <w:b/>
          <w:color w:val="auto"/>
          <w:sz w:val="24"/>
        </w:rPr>
        <w:t>格式</w:t>
      </w:r>
      <w:r>
        <w:rPr>
          <w:rFonts w:hint="eastAsia" w:ascii="宋体" w:hAnsi="宋体"/>
          <w:b/>
          <w:color w:val="auto"/>
          <w:sz w:val="24"/>
          <w:lang w:val="en-US" w:eastAsia="zh-CN"/>
        </w:rPr>
        <w:t>8</w:t>
      </w:r>
      <w:r>
        <w:rPr>
          <w:rFonts w:hint="eastAsia" w:ascii="宋体" w:hAnsi="宋体"/>
          <w:b/>
          <w:color w:val="auto"/>
          <w:sz w:val="24"/>
        </w:rPr>
        <w:t xml:space="preserve"> </w:t>
      </w:r>
      <w:r>
        <w:rPr>
          <w:rFonts w:hint="eastAsia" w:ascii="宋体" w:hAnsi="宋体" w:eastAsia="宋体"/>
          <w:b/>
          <w:bCs/>
          <w:sz w:val="24"/>
          <w:szCs w:val="24"/>
          <w:lang w:val="en-US" w:eastAsia="zh-CN"/>
        </w:rPr>
        <w:t>监狱企业声明函</w:t>
      </w:r>
      <w:bookmarkEnd w:id="267"/>
    </w:p>
    <w:p>
      <w:pPr>
        <w:spacing w:line="360" w:lineRule="auto"/>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本企业（单位）郑重声明下列事项（按照实际情况勾选或填空）：</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本企业（单位）为直接投标人提供本企业（单位）制造的货物。</w:t>
      </w:r>
    </w:p>
    <w:p>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本企业（单位）对上述声明的真实性负责。如有虚假，将依法承担相应责任。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360" w:lineRule="auto"/>
        <w:jc w:val="left"/>
        <w:rPr>
          <w:rFonts w:hint="eastAsia" w:ascii="宋体" w:hAnsi="宋体" w:eastAsia="宋体" w:cs="宋体"/>
          <w:kern w:val="0"/>
          <w:sz w:val="24"/>
          <w:szCs w:val="24"/>
        </w:rPr>
      </w:pPr>
    </w:p>
    <w:p>
      <w:pPr>
        <w:widowControl/>
        <w:spacing w:before="100" w:beforeAutospacing="1" w:after="100" w:afterAutospacing="1" w:line="360" w:lineRule="auto"/>
        <w:jc w:val="left"/>
        <w:rPr>
          <w:rFonts w:hint="eastAsia" w:ascii="宋体" w:hAnsi="宋体" w:eastAsia="宋体" w:cs="宋体"/>
          <w:kern w:val="0"/>
          <w:sz w:val="24"/>
          <w:szCs w:val="24"/>
        </w:rPr>
      </w:pPr>
    </w:p>
    <w:p>
      <w:pPr>
        <w:spacing w:line="360" w:lineRule="auto"/>
        <w:ind w:left="1080" w:leftChars="257" w:hanging="540"/>
        <w:jc w:val="center"/>
        <w:rPr>
          <w:rFonts w:hint="eastAsia" w:ascii="宋体" w:hAnsi="宋体" w:eastAsia="宋体" w:cs="宋体"/>
          <w:b/>
          <w:kern w:val="0"/>
          <w:sz w:val="24"/>
          <w:szCs w:val="24"/>
        </w:rPr>
      </w:pPr>
      <w:r>
        <w:rPr>
          <w:rFonts w:hint="eastAsia" w:ascii="宋体" w:hAnsi="宋体" w:eastAsia="宋体" w:cs="宋体"/>
          <w:b/>
          <w:kern w:val="0"/>
          <w:sz w:val="24"/>
          <w:szCs w:val="24"/>
        </w:rPr>
        <w:t>　</w:t>
      </w:r>
    </w:p>
    <w:p>
      <w:pPr>
        <w:spacing w:line="360" w:lineRule="auto"/>
        <w:rPr>
          <w:rFonts w:hint="eastAsia" w:ascii="宋体" w:hAnsi="宋体" w:eastAsia="宋体" w:cs="宋体"/>
          <w:b/>
          <w:sz w:val="24"/>
          <w:szCs w:val="24"/>
        </w:rPr>
      </w:pPr>
    </w:p>
    <w:p>
      <w:pPr>
        <w:widowControl/>
        <w:spacing w:before="100" w:beforeAutospacing="1" w:after="100" w:afterAutospacing="1" w:line="360" w:lineRule="auto"/>
        <w:ind w:firstLine="3960" w:firstLineChars="16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企业名称</w:t>
      </w:r>
      <w:r>
        <w:rPr>
          <w:rFonts w:hint="eastAsia" w:ascii="宋体" w:hAnsi="宋体" w:eastAsia="宋体" w:cs="宋体"/>
          <w:kern w:val="0"/>
          <w:sz w:val="24"/>
          <w:szCs w:val="24"/>
        </w:rPr>
        <w:t>（盖章）：</w:t>
      </w:r>
      <w:r>
        <w:rPr>
          <w:rFonts w:hint="eastAsia" w:ascii="宋体" w:hAnsi="宋体" w:eastAsia="宋体" w:cs="宋体"/>
          <w:kern w:val="0"/>
          <w:sz w:val="24"/>
          <w:szCs w:val="24"/>
          <w:u w:val="single"/>
        </w:rPr>
        <w:t xml:space="preserve">             </w:t>
      </w:r>
    </w:p>
    <w:p>
      <w:pPr>
        <w:widowControl/>
        <w:spacing w:before="100" w:beforeAutospacing="1" w:after="100" w:afterAutospacing="1" w:line="360" w:lineRule="auto"/>
        <w:ind w:firstLine="3720" w:firstLineChars="1550"/>
        <w:jc w:val="left"/>
        <w:rPr>
          <w:rFonts w:hint="eastAsia" w:ascii="宋体" w:hAnsi="宋体" w:eastAsia="宋体" w:cs="宋体"/>
          <w:kern w:val="0"/>
          <w:sz w:val="24"/>
          <w:szCs w:val="24"/>
          <w:u w:val="single"/>
        </w:rPr>
      </w:pPr>
      <w:r>
        <w:rPr>
          <w:rFonts w:hint="eastAsia" w:ascii="宋体" w:hAnsi="宋体" w:eastAsia="宋体" w:cs="宋体"/>
          <w:kern w:val="0"/>
          <w:sz w:val="24"/>
          <w:szCs w:val="24"/>
        </w:rPr>
        <w:t>　日　期：</w:t>
      </w:r>
      <w:r>
        <w:rPr>
          <w:rFonts w:hint="eastAsia" w:ascii="宋体" w:hAnsi="宋体" w:eastAsia="宋体" w:cs="宋体"/>
          <w:kern w:val="0"/>
          <w:sz w:val="24"/>
          <w:szCs w:val="24"/>
          <w:u w:val="single"/>
        </w:rPr>
        <w:t xml:space="preserve">             </w:t>
      </w:r>
    </w:p>
    <w:p>
      <w:pPr>
        <w:pStyle w:val="19"/>
        <w:rPr>
          <w:rFonts w:hint="eastAsia"/>
          <w:lang w:val="en-US" w:eastAsia="zh-CN"/>
        </w:rPr>
      </w:pPr>
    </w:p>
    <w:p>
      <w:pPr>
        <w:spacing w:line="440" w:lineRule="exact"/>
        <w:jc w:val="both"/>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 xml:space="preserve"> 不属于监狱企业则不需提供此函；若为监狱企业则后附相关证明材料</w:t>
      </w:r>
    </w:p>
    <w:p>
      <w:pPr>
        <w:pStyle w:val="19"/>
        <w:rPr>
          <w:rFonts w:hint="eastAsia" w:ascii="宋体" w:hAnsi="宋体"/>
          <w:b/>
          <w:bCs/>
          <w:szCs w:val="21"/>
        </w:rPr>
      </w:pPr>
    </w:p>
    <w:p>
      <w:pPr>
        <w:pStyle w:val="9"/>
        <w:adjustRightInd w:val="0"/>
        <w:snapToGrid w:val="0"/>
        <w:spacing w:line="360" w:lineRule="auto"/>
        <w:jc w:val="center"/>
        <w:rPr>
          <w:rFonts w:hint="eastAsia" w:ascii="宋体" w:hAnsi="宋体"/>
          <w:b/>
          <w:color w:val="auto"/>
          <w:sz w:val="24"/>
        </w:rPr>
      </w:pPr>
    </w:p>
    <w:p>
      <w:pPr>
        <w:pStyle w:val="9"/>
        <w:adjustRightInd w:val="0"/>
        <w:snapToGrid w:val="0"/>
        <w:spacing w:line="360" w:lineRule="auto"/>
        <w:jc w:val="center"/>
        <w:rPr>
          <w:rFonts w:hint="eastAsia" w:ascii="宋体" w:hAnsi="宋体"/>
          <w:b/>
          <w:color w:val="auto"/>
          <w:sz w:val="24"/>
        </w:rPr>
      </w:pPr>
    </w:p>
    <w:p>
      <w:pPr>
        <w:spacing w:line="440" w:lineRule="exact"/>
        <w:jc w:val="center"/>
        <w:rPr>
          <w:rFonts w:hint="eastAsia" w:ascii="宋体" w:hAnsi="宋体"/>
          <w:b/>
          <w:color w:val="auto"/>
          <w:sz w:val="24"/>
        </w:rPr>
      </w:pPr>
    </w:p>
    <w:p>
      <w:pPr>
        <w:spacing w:line="440" w:lineRule="exact"/>
        <w:jc w:val="center"/>
        <w:outlineLvl w:val="1"/>
        <w:rPr>
          <w:rFonts w:hint="eastAsia" w:ascii="宋体" w:hAnsi="宋体"/>
          <w:b/>
          <w:color w:val="auto"/>
          <w:sz w:val="24"/>
        </w:rPr>
      </w:pPr>
      <w:bookmarkStart w:id="268" w:name="_Toc26737"/>
      <w:r>
        <w:rPr>
          <w:rFonts w:hint="eastAsia" w:ascii="宋体" w:hAnsi="宋体"/>
          <w:b/>
          <w:color w:val="auto"/>
          <w:sz w:val="24"/>
        </w:rPr>
        <w:t>格式</w:t>
      </w:r>
      <w:r>
        <w:rPr>
          <w:rFonts w:hint="eastAsia" w:ascii="宋体" w:hAnsi="宋体"/>
          <w:b/>
          <w:color w:val="auto"/>
          <w:sz w:val="24"/>
          <w:lang w:val="en-US" w:eastAsia="zh-CN"/>
        </w:rPr>
        <w:t>9</w:t>
      </w:r>
      <w:r>
        <w:rPr>
          <w:rFonts w:hint="eastAsia" w:ascii="宋体" w:hAnsi="宋体"/>
          <w:b/>
          <w:color w:val="auto"/>
          <w:sz w:val="24"/>
        </w:rPr>
        <w:t xml:space="preserve">  商务报价一览表</w:t>
      </w:r>
      <w:bookmarkEnd w:id="268"/>
    </w:p>
    <w:p>
      <w:pPr>
        <w:pStyle w:val="19"/>
        <w:rPr>
          <w:rFonts w:hint="eastAsia"/>
        </w:rPr>
      </w:pPr>
    </w:p>
    <w:p>
      <w:pPr>
        <w:spacing w:line="360" w:lineRule="exact"/>
        <w:rPr>
          <w:rFonts w:hint="eastAsia" w:ascii="宋体" w:hAnsi="宋体"/>
          <w:color w:val="auto"/>
          <w:sz w:val="24"/>
        </w:rPr>
      </w:pPr>
      <w:r>
        <w:rPr>
          <w:rFonts w:hint="eastAsia" w:ascii="宋体" w:hAnsi="宋体"/>
          <w:color w:val="auto"/>
          <w:sz w:val="24"/>
        </w:rPr>
        <w:t>项目名称：                                                  币种：人民币</w:t>
      </w:r>
    </w:p>
    <w:tbl>
      <w:tblPr>
        <w:tblStyle w:val="16"/>
        <w:tblW w:w="958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40"/>
        <w:gridCol w:w="2507"/>
        <w:gridCol w:w="1638"/>
        <w:gridCol w:w="1906"/>
        <w:gridCol w:w="13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00" w:hRule="atLeast"/>
        </w:trPr>
        <w:tc>
          <w:tcPr>
            <w:tcW w:w="720" w:type="dxa"/>
            <w:noWrap w:val="0"/>
            <w:vAlign w:val="center"/>
          </w:tcPr>
          <w:p>
            <w:pPr>
              <w:spacing w:line="440" w:lineRule="exact"/>
              <w:jc w:val="center"/>
              <w:rPr>
                <w:rFonts w:hint="eastAsia" w:ascii="宋体" w:hAnsi="宋体"/>
                <w:sz w:val="24"/>
                <w:szCs w:val="24"/>
              </w:rPr>
            </w:pPr>
            <w:r>
              <w:rPr>
                <w:rFonts w:hint="eastAsia" w:ascii="宋体" w:hAnsi="宋体"/>
                <w:sz w:val="24"/>
                <w:szCs w:val="24"/>
              </w:rPr>
              <w:t>序号</w:t>
            </w:r>
          </w:p>
        </w:tc>
        <w:tc>
          <w:tcPr>
            <w:tcW w:w="1440" w:type="dxa"/>
            <w:noWrap w:val="0"/>
            <w:vAlign w:val="center"/>
          </w:tcPr>
          <w:p>
            <w:pPr>
              <w:spacing w:line="440" w:lineRule="exact"/>
              <w:jc w:val="center"/>
              <w:rPr>
                <w:rFonts w:hint="eastAsia" w:ascii="宋体" w:hAnsi="宋体"/>
                <w:sz w:val="24"/>
                <w:szCs w:val="24"/>
              </w:rPr>
            </w:pPr>
            <w:r>
              <w:rPr>
                <w:rFonts w:hint="eastAsia" w:ascii="宋体" w:hAnsi="宋体"/>
                <w:sz w:val="24"/>
                <w:szCs w:val="24"/>
              </w:rPr>
              <w:t>项目名称</w:t>
            </w:r>
          </w:p>
        </w:tc>
        <w:tc>
          <w:tcPr>
            <w:tcW w:w="2507" w:type="dxa"/>
            <w:noWrap w:val="0"/>
            <w:vAlign w:val="center"/>
          </w:tcPr>
          <w:p>
            <w:pPr>
              <w:spacing w:line="440" w:lineRule="exact"/>
              <w:ind w:firstLine="420"/>
              <w:jc w:val="center"/>
              <w:rPr>
                <w:rFonts w:hint="eastAsia" w:ascii="宋体" w:hAnsi="宋体"/>
                <w:sz w:val="24"/>
                <w:szCs w:val="24"/>
              </w:rPr>
            </w:pPr>
            <w:r>
              <w:rPr>
                <w:rFonts w:hint="eastAsia" w:ascii="宋体" w:hAnsi="宋体"/>
                <w:sz w:val="24"/>
                <w:szCs w:val="24"/>
              </w:rPr>
              <w:t>投标报价</w:t>
            </w:r>
          </w:p>
        </w:tc>
        <w:tc>
          <w:tcPr>
            <w:tcW w:w="1638" w:type="dxa"/>
            <w:noWrap w:val="0"/>
            <w:vAlign w:val="center"/>
          </w:tcPr>
          <w:p>
            <w:pPr>
              <w:spacing w:line="440" w:lineRule="exact"/>
              <w:jc w:val="center"/>
              <w:rPr>
                <w:rFonts w:hint="eastAsia" w:ascii="宋体" w:hAnsi="宋体"/>
                <w:sz w:val="24"/>
                <w:szCs w:val="24"/>
                <w:lang w:eastAsia="zh-CN"/>
              </w:rPr>
            </w:pPr>
            <w:r>
              <w:rPr>
                <w:rFonts w:hint="eastAsia" w:ascii="宋体" w:hAnsi="宋体"/>
                <w:sz w:val="24"/>
                <w:szCs w:val="24"/>
                <w:lang w:eastAsia="zh-CN"/>
              </w:rPr>
              <w:t>合同履行</w:t>
            </w:r>
          </w:p>
          <w:p>
            <w:pPr>
              <w:spacing w:line="440" w:lineRule="exact"/>
              <w:jc w:val="center"/>
              <w:rPr>
                <w:rFonts w:hint="eastAsia" w:ascii="宋体" w:hAnsi="宋体"/>
                <w:sz w:val="24"/>
                <w:szCs w:val="24"/>
                <w:lang w:val="en-US" w:eastAsia="zh-CN"/>
              </w:rPr>
            </w:pPr>
            <w:r>
              <w:rPr>
                <w:rFonts w:hint="eastAsia" w:ascii="宋体" w:hAnsi="宋体"/>
                <w:sz w:val="24"/>
                <w:szCs w:val="24"/>
                <w:lang w:eastAsia="zh-CN"/>
              </w:rPr>
              <w:t>期限</w:t>
            </w:r>
          </w:p>
        </w:tc>
        <w:tc>
          <w:tcPr>
            <w:tcW w:w="1906" w:type="dxa"/>
            <w:noWrap w:val="0"/>
            <w:vAlign w:val="center"/>
          </w:tcPr>
          <w:p>
            <w:pPr>
              <w:spacing w:line="440" w:lineRule="exact"/>
              <w:jc w:val="both"/>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 xml:space="preserve">供应商其它说明（由各供应商根 </w:t>
            </w:r>
          </w:p>
          <w:p>
            <w:pPr>
              <w:spacing w:line="440" w:lineRule="exact"/>
              <w:jc w:val="both"/>
              <w:rPr>
                <w:rFonts w:hint="eastAsia" w:ascii="宋体" w:hAnsi="宋体"/>
                <w:sz w:val="24"/>
                <w:szCs w:val="24"/>
              </w:rPr>
            </w:pPr>
            <w:r>
              <w:rPr>
                <w:rFonts w:hint="eastAsia" w:ascii="宋体" w:hAnsi="宋体" w:eastAsia="宋体" w:cs="Times New Roman"/>
                <w:sz w:val="21"/>
                <w:szCs w:val="21"/>
                <w:lang w:val="en-US" w:eastAsia="zh-CN"/>
              </w:rPr>
              <w:t>据本采购项目要求自行列出需 说明及承诺内容）</w:t>
            </w:r>
          </w:p>
        </w:tc>
        <w:tc>
          <w:tcPr>
            <w:tcW w:w="1372" w:type="dxa"/>
            <w:noWrap w:val="0"/>
            <w:vAlign w:val="center"/>
          </w:tcPr>
          <w:p>
            <w:pPr>
              <w:spacing w:line="440" w:lineRule="exact"/>
              <w:ind w:firstLine="420"/>
              <w:jc w:val="both"/>
              <w:rPr>
                <w:rFonts w:hint="eastAsia" w:ascii="宋体" w:hAnsi="宋体"/>
                <w:sz w:val="24"/>
                <w:szCs w:val="24"/>
              </w:rPr>
            </w:pPr>
            <w:r>
              <w:rPr>
                <w:rFonts w:hint="eastAsia" w:ascii="宋体" w:hAnsi="宋体"/>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720" w:type="dxa"/>
            <w:noWrap w:val="0"/>
            <w:vAlign w:val="center"/>
          </w:tcPr>
          <w:p>
            <w:pPr>
              <w:spacing w:line="440" w:lineRule="exact"/>
              <w:ind w:firstLine="240" w:firstLineChars="100"/>
              <w:rPr>
                <w:rFonts w:hint="eastAsia" w:ascii="宋体" w:hAnsi="宋体"/>
                <w:sz w:val="24"/>
                <w:szCs w:val="24"/>
              </w:rPr>
            </w:pPr>
            <w:r>
              <w:rPr>
                <w:rFonts w:hint="eastAsia" w:ascii="宋体" w:hAnsi="宋体"/>
                <w:sz w:val="24"/>
                <w:szCs w:val="24"/>
              </w:rPr>
              <w:t>1</w:t>
            </w:r>
          </w:p>
        </w:tc>
        <w:tc>
          <w:tcPr>
            <w:tcW w:w="1440" w:type="dxa"/>
            <w:noWrap w:val="0"/>
            <w:vAlign w:val="center"/>
          </w:tcPr>
          <w:p>
            <w:pPr>
              <w:spacing w:line="440" w:lineRule="exact"/>
              <w:ind w:firstLine="420"/>
              <w:rPr>
                <w:rFonts w:hint="eastAsia" w:ascii="宋体" w:hAnsi="宋体"/>
                <w:sz w:val="24"/>
                <w:szCs w:val="24"/>
              </w:rPr>
            </w:pPr>
          </w:p>
        </w:tc>
        <w:tc>
          <w:tcPr>
            <w:tcW w:w="2507" w:type="dxa"/>
            <w:noWrap w:val="0"/>
            <w:vAlign w:val="center"/>
          </w:tcPr>
          <w:p>
            <w:pPr>
              <w:spacing w:line="440" w:lineRule="exact"/>
              <w:rPr>
                <w:rFonts w:hint="eastAsia" w:ascii="宋体" w:hAnsi="宋体"/>
                <w:sz w:val="24"/>
                <w:szCs w:val="24"/>
              </w:rPr>
            </w:pPr>
            <w:r>
              <w:rPr>
                <w:rFonts w:hint="eastAsia" w:ascii="宋体" w:hAnsi="宋体"/>
                <w:sz w:val="24"/>
                <w:szCs w:val="24"/>
              </w:rPr>
              <w:t>大写：           元</w:t>
            </w:r>
          </w:p>
          <w:p>
            <w:pPr>
              <w:spacing w:line="440" w:lineRule="exact"/>
              <w:rPr>
                <w:rFonts w:hint="eastAsia" w:ascii="宋体" w:hAnsi="宋体"/>
                <w:sz w:val="24"/>
                <w:szCs w:val="24"/>
              </w:rPr>
            </w:pPr>
            <w:r>
              <w:rPr>
                <w:rFonts w:hint="eastAsia" w:ascii="宋体" w:hAnsi="宋体"/>
                <w:sz w:val="24"/>
                <w:szCs w:val="24"/>
              </w:rPr>
              <w:t>小写：           元</w:t>
            </w:r>
          </w:p>
        </w:tc>
        <w:tc>
          <w:tcPr>
            <w:tcW w:w="1638" w:type="dxa"/>
            <w:noWrap w:val="0"/>
            <w:vAlign w:val="center"/>
          </w:tcPr>
          <w:p>
            <w:pPr>
              <w:spacing w:line="440" w:lineRule="exact"/>
              <w:ind w:firstLine="420"/>
              <w:rPr>
                <w:rFonts w:hint="eastAsia" w:ascii="宋体" w:hAnsi="宋体"/>
                <w:sz w:val="24"/>
                <w:szCs w:val="24"/>
              </w:rPr>
            </w:pPr>
          </w:p>
        </w:tc>
        <w:tc>
          <w:tcPr>
            <w:tcW w:w="1906" w:type="dxa"/>
            <w:noWrap w:val="0"/>
            <w:vAlign w:val="center"/>
          </w:tcPr>
          <w:p>
            <w:pPr>
              <w:spacing w:line="440" w:lineRule="exact"/>
              <w:ind w:firstLine="420"/>
              <w:rPr>
                <w:rFonts w:hint="eastAsia" w:ascii="宋体" w:hAnsi="宋体"/>
                <w:sz w:val="24"/>
                <w:szCs w:val="24"/>
              </w:rPr>
            </w:pPr>
          </w:p>
        </w:tc>
        <w:tc>
          <w:tcPr>
            <w:tcW w:w="1372" w:type="dxa"/>
            <w:noWrap w:val="0"/>
            <w:vAlign w:val="center"/>
          </w:tcPr>
          <w:p>
            <w:pPr>
              <w:spacing w:line="440" w:lineRule="exact"/>
              <w:ind w:firstLine="420"/>
              <w:rPr>
                <w:rFonts w:hint="eastAsia" w:ascii="宋体" w:hAnsi="宋体"/>
                <w:sz w:val="24"/>
                <w:szCs w:val="24"/>
              </w:rPr>
            </w:pPr>
          </w:p>
        </w:tc>
      </w:tr>
    </w:tbl>
    <w:p>
      <w:pPr>
        <w:spacing w:line="440" w:lineRule="exact"/>
        <w:ind w:firstLine="420"/>
        <w:rPr>
          <w:rFonts w:hint="eastAsia" w:ascii="宋体" w:hAnsi="宋体"/>
          <w:sz w:val="24"/>
          <w:szCs w:val="24"/>
        </w:rPr>
      </w:pPr>
    </w:p>
    <w:p>
      <w:pPr>
        <w:spacing w:line="480" w:lineRule="auto"/>
        <w:ind w:firstLine="420"/>
        <w:rPr>
          <w:rFonts w:hint="eastAsia" w:ascii="宋体" w:hAnsi="宋体"/>
          <w:b/>
          <w:bCs/>
          <w:sz w:val="24"/>
          <w:szCs w:val="24"/>
        </w:rPr>
      </w:pPr>
      <w:r>
        <w:rPr>
          <w:rFonts w:hint="eastAsia" w:ascii="宋体" w:hAnsi="宋体"/>
          <w:b/>
          <w:bCs/>
          <w:sz w:val="24"/>
          <w:szCs w:val="24"/>
        </w:rPr>
        <w:t>注: 1、报价一经涂改，应在涂改处加盖单位公章或者由法定代表人或授权委托人签字或盖章，否则其投标作无效标处理。</w:t>
      </w:r>
    </w:p>
    <w:p>
      <w:pPr>
        <w:spacing w:line="480" w:lineRule="auto"/>
        <w:ind w:firstLine="420"/>
        <w:rPr>
          <w:rFonts w:hint="eastAsia" w:ascii="宋体" w:hAnsi="宋体"/>
          <w:sz w:val="24"/>
          <w:szCs w:val="24"/>
        </w:rPr>
      </w:pPr>
      <w:r>
        <w:rPr>
          <w:rFonts w:hint="eastAsia" w:ascii="宋体" w:hAnsi="宋体"/>
          <w:sz w:val="24"/>
          <w:szCs w:val="24"/>
        </w:rPr>
        <w:t>2、投标报价应与“价格</w:t>
      </w:r>
      <w:r>
        <w:rPr>
          <w:rFonts w:hint="eastAsia" w:ascii="宋体" w:hAnsi="宋体"/>
          <w:sz w:val="24"/>
          <w:szCs w:val="24"/>
          <w:lang w:val="en-US" w:eastAsia="zh-CN"/>
        </w:rPr>
        <w:t>明细</w:t>
      </w:r>
      <w:r>
        <w:rPr>
          <w:rFonts w:hint="eastAsia" w:ascii="宋体" w:hAnsi="宋体"/>
          <w:sz w:val="24"/>
          <w:szCs w:val="24"/>
        </w:rPr>
        <w:t>表”中的“投标总价”相一致。</w:t>
      </w:r>
    </w:p>
    <w:p>
      <w:pPr>
        <w:pStyle w:val="19"/>
        <w:spacing w:line="360" w:lineRule="auto"/>
        <w:rPr>
          <w:rFonts w:hint="default" w:eastAsia="宋体"/>
          <w:lang w:val="en-US" w:eastAsia="zh-CN"/>
        </w:rPr>
      </w:pPr>
      <w:r>
        <w:rPr>
          <w:rFonts w:hint="eastAsia" w:ascii="宋体" w:hAnsi="宋体"/>
          <w:b/>
          <w:bCs/>
          <w:sz w:val="24"/>
          <w:szCs w:val="24"/>
          <w:lang w:val="en-US" w:eastAsia="zh-CN"/>
        </w:rPr>
        <w:t xml:space="preserve">   3、供应商须按本商务报价一览表格式制作“最终报价表”，并加盖单位公章后自行带至磋商现场，经磋商后由各供应商填写最后报价；</w:t>
      </w:r>
    </w:p>
    <w:p>
      <w:pPr>
        <w:spacing w:line="440" w:lineRule="exact"/>
        <w:ind w:firstLine="420"/>
        <w:rPr>
          <w:rFonts w:hint="eastAsia" w:ascii="宋体" w:hAnsi="宋体"/>
          <w:sz w:val="24"/>
          <w:szCs w:val="24"/>
        </w:rPr>
      </w:pPr>
    </w:p>
    <w:p>
      <w:pPr>
        <w:spacing w:line="360" w:lineRule="auto"/>
        <w:ind w:firstLine="420"/>
        <w:rPr>
          <w:rFonts w:hint="eastAsia" w:ascii="宋体" w:hAnsi="宋体"/>
          <w:sz w:val="24"/>
          <w:szCs w:val="24"/>
        </w:rPr>
      </w:pPr>
      <w:r>
        <w:rPr>
          <w:rFonts w:hint="eastAsia" w:ascii="宋体" w:hAnsi="宋体"/>
          <w:sz w:val="24"/>
          <w:szCs w:val="24"/>
        </w:rPr>
        <w:t>供应商（盖单位章）：</w:t>
      </w:r>
    </w:p>
    <w:p>
      <w:pPr>
        <w:spacing w:line="360" w:lineRule="auto"/>
        <w:ind w:firstLine="420"/>
        <w:rPr>
          <w:rFonts w:hint="eastAsia" w:ascii="宋体" w:hAnsi="宋体"/>
          <w:sz w:val="24"/>
          <w:szCs w:val="24"/>
        </w:rPr>
      </w:pPr>
      <w:r>
        <w:rPr>
          <w:rFonts w:hint="eastAsia" w:ascii="宋体" w:hAnsi="宋体"/>
          <w:sz w:val="24"/>
          <w:szCs w:val="24"/>
        </w:rPr>
        <w:t>法定代表人或其委托代理人</w:t>
      </w:r>
      <w:r>
        <w:rPr>
          <w:rFonts w:hint="eastAsia" w:ascii="宋体" w:hAnsi="宋体"/>
          <w:sz w:val="24"/>
          <w:szCs w:val="24"/>
          <w:lang w:eastAsia="zh-CN"/>
        </w:rPr>
        <w:t>（签字或签章）</w:t>
      </w:r>
      <w:r>
        <w:rPr>
          <w:rFonts w:hint="eastAsia" w:ascii="宋体" w:hAnsi="宋体"/>
          <w:sz w:val="24"/>
          <w:szCs w:val="24"/>
        </w:rPr>
        <w:t xml:space="preserve">：       </w:t>
      </w:r>
    </w:p>
    <w:p>
      <w:pPr>
        <w:pStyle w:val="9"/>
        <w:spacing w:line="360" w:lineRule="auto"/>
        <w:ind w:right="86" w:firstLine="480" w:firstLineChars="200"/>
        <w:jc w:val="left"/>
        <w:outlineLvl w:val="0"/>
        <w:rPr>
          <w:rFonts w:hint="eastAsia" w:ascii="宋体" w:hAnsi="宋体"/>
          <w:sz w:val="24"/>
          <w:szCs w:val="24"/>
        </w:rPr>
      </w:pPr>
      <w:bookmarkStart w:id="269" w:name="_Toc5685"/>
      <w:r>
        <w:rPr>
          <w:rFonts w:hint="eastAsia" w:ascii="宋体" w:hAnsi="宋体"/>
          <w:sz w:val="24"/>
          <w:szCs w:val="24"/>
        </w:rPr>
        <w:t>日期：         年    月     日</w:t>
      </w:r>
      <w:bookmarkEnd w:id="269"/>
    </w:p>
    <w:p>
      <w:pPr>
        <w:pStyle w:val="9"/>
        <w:spacing w:line="360" w:lineRule="auto"/>
        <w:ind w:right="86" w:firstLine="480" w:firstLineChars="200"/>
        <w:jc w:val="left"/>
        <w:outlineLvl w:val="0"/>
        <w:rPr>
          <w:rFonts w:hint="eastAsia" w:ascii="宋体" w:hAnsi="宋体"/>
          <w:sz w:val="24"/>
          <w:szCs w:val="24"/>
        </w:rPr>
      </w:pPr>
    </w:p>
    <w:p>
      <w:pPr>
        <w:pStyle w:val="9"/>
        <w:spacing w:line="360" w:lineRule="auto"/>
        <w:ind w:right="86" w:firstLine="480" w:firstLineChars="200"/>
        <w:jc w:val="left"/>
        <w:outlineLvl w:val="0"/>
        <w:rPr>
          <w:rFonts w:hint="eastAsia" w:ascii="宋体" w:hAnsi="宋体"/>
          <w:sz w:val="24"/>
          <w:szCs w:val="24"/>
        </w:rPr>
      </w:pPr>
    </w:p>
    <w:p>
      <w:pPr>
        <w:pStyle w:val="9"/>
        <w:spacing w:line="360" w:lineRule="auto"/>
        <w:ind w:right="86" w:firstLine="480" w:firstLineChars="200"/>
        <w:jc w:val="left"/>
        <w:outlineLvl w:val="0"/>
        <w:rPr>
          <w:rFonts w:hint="eastAsia" w:ascii="宋体" w:hAnsi="宋体"/>
          <w:sz w:val="24"/>
          <w:szCs w:val="24"/>
        </w:rPr>
      </w:pPr>
    </w:p>
    <w:p>
      <w:pPr>
        <w:pStyle w:val="9"/>
        <w:spacing w:line="360" w:lineRule="auto"/>
        <w:ind w:right="86" w:firstLine="480" w:firstLineChars="200"/>
        <w:jc w:val="left"/>
        <w:outlineLvl w:val="0"/>
        <w:rPr>
          <w:rFonts w:hint="eastAsia" w:ascii="宋体" w:hAnsi="宋体"/>
          <w:sz w:val="24"/>
          <w:szCs w:val="24"/>
        </w:rPr>
      </w:pPr>
    </w:p>
    <w:p>
      <w:pPr>
        <w:pStyle w:val="9"/>
        <w:spacing w:line="360" w:lineRule="auto"/>
        <w:ind w:right="86"/>
        <w:jc w:val="left"/>
        <w:outlineLvl w:val="9"/>
        <w:rPr>
          <w:rFonts w:hint="eastAsia" w:hAnsi="宋体"/>
          <w:color w:val="auto"/>
          <w:sz w:val="24"/>
        </w:rPr>
      </w:pPr>
    </w:p>
    <w:p>
      <w:pPr>
        <w:pStyle w:val="9"/>
        <w:spacing w:line="360" w:lineRule="auto"/>
        <w:ind w:right="86"/>
        <w:jc w:val="left"/>
        <w:outlineLvl w:val="9"/>
        <w:rPr>
          <w:rFonts w:hint="eastAsia" w:hAnsi="宋体"/>
          <w:color w:val="auto"/>
          <w:sz w:val="24"/>
        </w:rPr>
      </w:pPr>
    </w:p>
    <w:p>
      <w:pPr>
        <w:pStyle w:val="9"/>
        <w:spacing w:line="360" w:lineRule="auto"/>
        <w:ind w:right="86"/>
        <w:jc w:val="left"/>
        <w:outlineLvl w:val="9"/>
        <w:rPr>
          <w:rFonts w:hint="eastAsia" w:hAnsi="宋体"/>
          <w:color w:val="auto"/>
          <w:sz w:val="24"/>
        </w:rPr>
      </w:pPr>
    </w:p>
    <w:p>
      <w:pPr>
        <w:pStyle w:val="9"/>
        <w:spacing w:line="360" w:lineRule="auto"/>
        <w:ind w:right="86"/>
        <w:jc w:val="left"/>
        <w:outlineLvl w:val="9"/>
        <w:rPr>
          <w:rFonts w:hint="eastAsia" w:hAnsi="宋体"/>
          <w:color w:val="auto"/>
          <w:sz w:val="24"/>
        </w:rPr>
      </w:pPr>
    </w:p>
    <w:p>
      <w:pPr>
        <w:spacing w:line="440" w:lineRule="exact"/>
        <w:ind w:firstLine="420"/>
        <w:jc w:val="center"/>
        <w:outlineLvl w:val="2"/>
        <w:rPr>
          <w:rFonts w:hint="eastAsia" w:ascii="宋体" w:hAnsi="宋体" w:eastAsia="宋体" w:cs="宋体"/>
          <w:b/>
          <w:bCs/>
          <w:szCs w:val="21"/>
          <w:lang w:bidi="ar-SA"/>
        </w:rPr>
      </w:pPr>
      <w:bookmarkStart w:id="270" w:name="_Toc26833"/>
      <w:r>
        <w:rPr>
          <w:rFonts w:hint="eastAsia" w:ascii="宋体" w:hAnsi="宋体" w:eastAsia="宋体" w:cs="宋体"/>
          <w:b/>
          <w:bCs/>
          <w:szCs w:val="21"/>
          <w:lang w:bidi="ar-SA"/>
        </w:rPr>
        <w:t>分项价格表</w:t>
      </w:r>
      <w:bookmarkEnd w:id="270"/>
    </w:p>
    <w:p>
      <w:pPr>
        <w:spacing w:line="440" w:lineRule="exact"/>
        <w:ind w:firstLine="420"/>
        <w:rPr>
          <w:rFonts w:hint="eastAsia" w:ascii="宋体" w:hAnsi="宋体" w:eastAsia="宋体" w:cs="宋体"/>
          <w:szCs w:val="21"/>
          <w:lang w:bidi="ar-SA"/>
        </w:rPr>
      </w:pPr>
    </w:p>
    <w:p>
      <w:pPr>
        <w:spacing w:line="440" w:lineRule="exact"/>
        <w:ind w:firstLine="420"/>
        <w:rPr>
          <w:rFonts w:hint="eastAsia" w:ascii="宋体" w:hAnsi="宋体" w:eastAsia="宋体" w:cs="宋体"/>
          <w:szCs w:val="21"/>
          <w:lang w:bidi="ar-SA"/>
        </w:rPr>
      </w:pPr>
      <w:r>
        <w:rPr>
          <w:rFonts w:hint="eastAsia" w:ascii="宋体" w:hAnsi="宋体" w:eastAsia="宋体" w:cs="宋体"/>
          <w:szCs w:val="21"/>
          <w:lang w:bidi="ar-SA"/>
        </w:rPr>
        <w:t xml:space="preserve">项目名称： </w:t>
      </w:r>
    </w:p>
    <w:p>
      <w:pPr>
        <w:spacing w:line="440" w:lineRule="exact"/>
        <w:ind w:firstLine="420"/>
        <w:rPr>
          <w:rFonts w:hint="eastAsia" w:ascii="宋体" w:hAnsi="宋体" w:eastAsia="宋体" w:cs="宋体"/>
          <w:szCs w:val="21"/>
          <w:lang w:bidi="ar-SA"/>
        </w:rPr>
      </w:pPr>
      <w:r>
        <w:rPr>
          <w:rFonts w:hint="eastAsia" w:ascii="宋体" w:hAnsi="宋体" w:eastAsia="宋体" w:cs="宋体"/>
          <w:szCs w:val="21"/>
          <w:lang w:bidi="ar-SA"/>
        </w:rPr>
        <w:t>招标编号：                                                    金额单位：元</w:t>
      </w:r>
    </w:p>
    <w:tbl>
      <w:tblPr>
        <w:tblStyle w:val="16"/>
        <w:tblW w:w="8972"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19"/>
        <w:gridCol w:w="778"/>
        <w:gridCol w:w="1022"/>
        <w:gridCol w:w="1187"/>
        <w:gridCol w:w="1418"/>
        <w:gridCol w:w="18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6"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序号</w:t>
            </w:r>
          </w:p>
        </w:tc>
        <w:tc>
          <w:tcPr>
            <w:tcW w:w="1919"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val="en-US" w:eastAsia="zh-CN" w:bidi="ar-SA"/>
              </w:rPr>
              <w:t>伴随服务</w:t>
            </w:r>
            <w:r>
              <w:rPr>
                <w:rFonts w:hint="eastAsia" w:ascii="宋体" w:hAnsi="宋体" w:eastAsia="宋体" w:cs="宋体"/>
                <w:szCs w:val="21"/>
                <w:lang w:bidi="ar-SA"/>
              </w:rPr>
              <w:t>名称</w:t>
            </w:r>
          </w:p>
        </w:tc>
        <w:tc>
          <w:tcPr>
            <w:tcW w:w="778"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单位</w:t>
            </w:r>
          </w:p>
        </w:tc>
        <w:tc>
          <w:tcPr>
            <w:tcW w:w="1022"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数量</w:t>
            </w:r>
          </w:p>
        </w:tc>
        <w:tc>
          <w:tcPr>
            <w:tcW w:w="1187"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单价</w:t>
            </w:r>
          </w:p>
        </w:tc>
        <w:tc>
          <w:tcPr>
            <w:tcW w:w="1418"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合计</w:t>
            </w:r>
          </w:p>
        </w:tc>
        <w:tc>
          <w:tcPr>
            <w:tcW w:w="1872" w:type="dxa"/>
            <w:noWrap w:val="0"/>
            <w:vAlign w:val="center"/>
          </w:tcPr>
          <w:p>
            <w:pPr>
              <w:spacing w:line="440" w:lineRule="exact"/>
              <w:jc w:val="center"/>
              <w:rPr>
                <w:rFonts w:hint="eastAsia" w:ascii="宋体" w:hAnsi="宋体" w:eastAsia="宋体" w:cs="宋体"/>
                <w:szCs w:val="21"/>
                <w:lang w:bidi="ar-SA"/>
              </w:rPr>
            </w:pPr>
            <w:r>
              <w:rPr>
                <w:rFonts w:hint="eastAsia" w:ascii="宋体" w:hAnsi="宋体" w:eastAsia="宋体" w:cs="宋体"/>
                <w:szCs w:val="21"/>
                <w:lang w:bidi="ar-S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spacing w:line="440" w:lineRule="exact"/>
              <w:ind w:firstLine="420"/>
              <w:rPr>
                <w:rFonts w:hint="eastAsia" w:ascii="宋体" w:hAnsi="宋体" w:eastAsia="宋体" w:cs="宋体"/>
                <w:szCs w:val="21"/>
                <w:lang w:bidi="ar-SA"/>
              </w:rPr>
            </w:pPr>
          </w:p>
        </w:tc>
        <w:tc>
          <w:tcPr>
            <w:tcW w:w="1919" w:type="dxa"/>
            <w:noWrap w:val="0"/>
            <w:vAlign w:val="center"/>
          </w:tcPr>
          <w:p>
            <w:pPr>
              <w:spacing w:line="440" w:lineRule="exact"/>
              <w:ind w:firstLine="420"/>
              <w:rPr>
                <w:rFonts w:hint="eastAsia" w:ascii="宋体" w:hAnsi="宋体" w:eastAsia="宋体" w:cs="宋体"/>
                <w:szCs w:val="21"/>
                <w:lang w:bidi="ar-SA"/>
              </w:rPr>
            </w:pPr>
          </w:p>
        </w:tc>
        <w:tc>
          <w:tcPr>
            <w:tcW w:w="778" w:type="dxa"/>
            <w:noWrap w:val="0"/>
            <w:vAlign w:val="top"/>
          </w:tcPr>
          <w:p>
            <w:pPr>
              <w:spacing w:line="440" w:lineRule="exact"/>
              <w:ind w:firstLine="420"/>
              <w:rPr>
                <w:rFonts w:hint="eastAsia" w:ascii="宋体" w:hAnsi="宋体" w:eastAsia="宋体" w:cs="宋体"/>
                <w:szCs w:val="21"/>
                <w:lang w:bidi="ar-SA"/>
              </w:rPr>
            </w:pPr>
          </w:p>
        </w:tc>
        <w:tc>
          <w:tcPr>
            <w:tcW w:w="1022" w:type="dxa"/>
            <w:noWrap w:val="0"/>
            <w:vAlign w:val="top"/>
          </w:tcPr>
          <w:p>
            <w:pPr>
              <w:spacing w:line="440" w:lineRule="exact"/>
              <w:ind w:firstLine="420"/>
              <w:rPr>
                <w:rFonts w:hint="eastAsia" w:ascii="宋体" w:hAnsi="宋体" w:eastAsia="宋体" w:cs="宋体"/>
                <w:szCs w:val="21"/>
                <w:lang w:bidi="ar-SA"/>
              </w:rPr>
            </w:pPr>
          </w:p>
        </w:tc>
        <w:tc>
          <w:tcPr>
            <w:tcW w:w="1187" w:type="dxa"/>
            <w:noWrap w:val="0"/>
            <w:vAlign w:val="center"/>
          </w:tcPr>
          <w:p>
            <w:pPr>
              <w:spacing w:line="440" w:lineRule="exact"/>
              <w:ind w:firstLine="420"/>
              <w:rPr>
                <w:rFonts w:hint="eastAsia" w:ascii="宋体" w:hAnsi="宋体" w:eastAsia="宋体" w:cs="宋体"/>
                <w:szCs w:val="21"/>
                <w:lang w:bidi="ar-SA"/>
              </w:rPr>
            </w:pPr>
          </w:p>
        </w:tc>
        <w:tc>
          <w:tcPr>
            <w:tcW w:w="1418" w:type="dxa"/>
            <w:noWrap w:val="0"/>
            <w:vAlign w:val="top"/>
          </w:tcPr>
          <w:p>
            <w:pPr>
              <w:spacing w:line="440" w:lineRule="exact"/>
              <w:ind w:firstLine="420"/>
              <w:rPr>
                <w:rFonts w:hint="eastAsia" w:ascii="宋体" w:hAnsi="宋体" w:eastAsia="宋体" w:cs="宋体"/>
                <w:szCs w:val="21"/>
                <w:lang w:bidi="ar-SA"/>
              </w:rPr>
            </w:pPr>
          </w:p>
        </w:tc>
        <w:tc>
          <w:tcPr>
            <w:tcW w:w="1872" w:type="dxa"/>
            <w:noWrap w:val="0"/>
            <w:vAlign w:val="center"/>
          </w:tcPr>
          <w:p>
            <w:pPr>
              <w:spacing w:line="440" w:lineRule="exact"/>
              <w:ind w:firstLine="420"/>
              <w:rPr>
                <w:rFonts w:hint="eastAsia" w:ascii="宋体" w:hAnsi="宋体" w:eastAsia="宋体" w:cs="宋体"/>
                <w:szCs w:val="21"/>
                <w:lang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spacing w:line="440" w:lineRule="exact"/>
              <w:ind w:firstLine="420"/>
              <w:rPr>
                <w:rFonts w:hint="eastAsia" w:ascii="宋体" w:hAnsi="宋体" w:eastAsia="宋体" w:cs="宋体"/>
                <w:szCs w:val="21"/>
                <w:lang w:bidi="ar-SA"/>
              </w:rPr>
            </w:pPr>
          </w:p>
        </w:tc>
        <w:tc>
          <w:tcPr>
            <w:tcW w:w="1919" w:type="dxa"/>
            <w:noWrap w:val="0"/>
            <w:vAlign w:val="center"/>
          </w:tcPr>
          <w:p>
            <w:pPr>
              <w:spacing w:line="440" w:lineRule="exact"/>
              <w:ind w:firstLine="420"/>
              <w:rPr>
                <w:rFonts w:hint="eastAsia" w:ascii="宋体" w:hAnsi="宋体" w:eastAsia="宋体" w:cs="宋体"/>
                <w:szCs w:val="21"/>
                <w:lang w:bidi="ar-SA"/>
              </w:rPr>
            </w:pPr>
          </w:p>
        </w:tc>
        <w:tc>
          <w:tcPr>
            <w:tcW w:w="778" w:type="dxa"/>
            <w:noWrap w:val="0"/>
            <w:vAlign w:val="top"/>
          </w:tcPr>
          <w:p>
            <w:pPr>
              <w:spacing w:line="440" w:lineRule="exact"/>
              <w:ind w:firstLine="420"/>
              <w:rPr>
                <w:rFonts w:hint="eastAsia" w:ascii="宋体" w:hAnsi="宋体" w:eastAsia="宋体" w:cs="宋体"/>
                <w:szCs w:val="21"/>
                <w:lang w:bidi="ar-SA"/>
              </w:rPr>
            </w:pPr>
          </w:p>
        </w:tc>
        <w:tc>
          <w:tcPr>
            <w:tcW w:w="1022" w:type="dxa"/>
            <w:noWrap w:val="0"/>
            <w:vAlign w:val="top"/>
          </w:tcPr>
          <w:p>
            <w:pPr>
              <w:spacing w:line="440" w:lineRule="exact"/>
              <w:ind w:firstLine="420"/>
              <w:rPr>
                <w:rFonts w:hint="eastAsia" w:ascii="宋体" w:hAnsi="宋体" w:eastAsia="宋体" w:cs="宋体"/>
                <w:szCs w:val="21"/>
                <w:lang w:bidi="ar-SA"/>
              </w:rPr>
            </w:pPr>
          </w:p>
        </w:tc>
        <w:tc>
          <w:tcPr>
            <w:tcW w:w="1187" w:type="dxa"/>
            <w:noWrap w:val="0"/>
            <w:vAlign w:val="center"/>
          </w:tcPr>
          <w:p>
            <w:pPr>
              <w:spacing w:line="440" w:lineRule="exact"/>
              <w:ind w:firstLine="420"/>
              <w:rPr>
                <w:rFonts w:hint="eastAsia" w:ascii="宋体" w:hAnsi="宋体" w:eastAsia="宋体" w:cs="宋体"/>
                <w:szCs w:val="21"/>
                <w:lang w:bidi="ar-SA"/>
              </w:rPr>
            </w:pPr>
          </w:p>
        </w:tc>
        <w:tc>
          <w:tcPr>
            <w:tcW w:w="1418" w:type="dxa"/>
            <w:noWrap w:val="0"/>
            <w:vAlign w:val="top"/>
          </w:tcPr>
          <w:p>
            <w:pPr>
              <w:spacing w:line="440" w:lineRule="exact"/>
              <w:ind w:firstLine="420"/>
              <w:rPr>
                <w:rFonts w:hint="eastAsia" w:ascii="宋体" w:hAnsi="宋体" w:eastAsia="宋体" w:cs="宋体"/>
                <w:szCs w:val="21"/>
                <w:lang w:bidi="ar-SA"/>
              </w:rPr>
            </w:pPr>
          </w:p>
        </w:tc>
        <w:tc>
          <w:tcPr>
            <w:tcW w:w="1872" w:type="dxa"/>
            <w:noWrap w:val="0"/>
            <w:vAlign w:val="center"/>
          </w:tcPr>
          <w:p>
            <w:pPr>
              <w:spacing w:line="440" w:lineRule="exact"/>
              <w:ind w:firstLine="420"/>
              <w:rPr>
                <w:rFonts w:hint="eastAsia" w:ascii="宋体" w:hAnsi="宋体" w:eastAsia="宋体" w:cs="宋体"/>
                <w:szCs w:val="21"/>
                <w:lang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spacing w:line="440" w:lineRule="exact"/>
              <w:ind w:firstLine="420"/>
              <w:rPr>
                <w:rFonts w:hint="eastAsia" w:ascii="宋体" w:hAnsi="宋体" w:eastAsia="宋体" w:cs="宋体"/>
                <w:szCs w:val="21"/>
                <w:lang w:bidi="ar-SA"/>
              </w:rPr>
            </w:pPr>
          </w:p>
        </w:tc>
        <w:tc>
          <w:tcPr>
            <w:tcW w:w="1919" w:type="dxa"/>
            <w:noWrap w:val="0"/>
            <w:vAlign w:val="center"/>
          </w:tcPr>
          <w:p>
            <w:pPr>
              <w:spacing w:line="440" w:lineRule="exact"/>
              <w:ind w:firstLine="420"/>
              <w:rPr>
                <w:rFonts w:hint="eastAsia" w:ascii="宋体" w:hAnsi="宋体" w:eastAsia="宋体" w:cs="宋体"/>
                <w:szCs w:val="21"/>
                <w:lang w:bidi="ar-SA"/>
              </w:rPr>
            </w:pPr>
            <w:r>
              <w:rPr>
                <w:rFonts w:hint="eastAsia" w:ascii="宋体" w:hAnsi="宋体" w:eastAsia="宋体" w:cs="宋体"/>
                <w:szCs w:val="21"/>
                <w:lang w:bidi="ar-SA"/>
              </w:rPr>
              <w:t>合计</w:t>
            </w:r>
          </w:p>
        </w:tc>
        <w:tc>
          <w:tcPr>
            <w:tcW w:w="778" w:type="dxa"/>
            <w:noWrap w:val="0"/>
            <w:vAlign w:val="top"/>
          </w:tcPr>
          <w:p>
            <w:pPr>
              <w:spacing w:line="440" w:lineRule="exact"/>
              <w:ind w:firstLine="420"/>
              <w:rPr>
                <w:rFonts w:hint="eastAsia" w:ascii="宋体" w:hAnsi="宋体" w:eastAsia="宋体" w:cs="宋体"/>
                <w:szCs w:val="21"/>
                <w:lang w:bidi="ar-SA"/>
              </w:rPr>
            </w:pPr>
          </w:p>
        </w:tc>
        <w:tc>
          <w:tcPr>
            <w:tcW w:w="1022" w:type="dxa"/>
            <w:noWrap w:val="0"/>
            <w:vAlign w:val="top"/>
          </w:tcPr>
          <w:p>
            <w:pPr>
              <w:spacing w:line="440" w:lineRule="exact"/>
              <w:ind w:firstLine="420"/>
              <w:rPr>
                <w:rFonts w:hint="eastAsia" w:ascii="宋体" w:hAnsi="宋体" w:eastAsia="宋体" w:cs="宋体"/>
                <w:szCs w:val="21"/>
                <w:lang w:bidi="ar-SA"/>
              </w:rPr>
            </w:pPr>
          </w:p>
        </w:tc>
        <w:tc>
          <w:tcPr>
            <w:tcW w:w="1187" w:type="dxa"/>
            <w:noWrap w:val="0"/>
            <w:vAlign w:val="center"/>
          </w:tcPr>
          <w:p>
            <w:pPr>
              <w:spacing w:line="440" w:lineRule="exact"/>
              <w:ind w:firstLine="420"/>
              <w:rPr>
                <w:rFonts w:hint="eastAsia" w:ascii="宋体" w:hAnsi="宋体" w:eastAsia="宋体" w:cs="宋体"/>
                <w:szCs w:val="21"/>
                <w:lang w:bidi="ar-SA"/>
              </w:rPr>
            </w:pPr>
          </w:p>
        </w:tc>
        <w:tc>
          <w:tcPr>
            <w:tcW w:w="1418" w:type="dxa"/>
            <w:noWrap w:val="0"/>
            <w:vAlign w:val="top"/>
          </w:tcPr>
          <w:p>
            <w:pPr>
              <w:spacing w:line="440" w:lineRule="exact"/>
              <w:ind w:firstLine="420"/>
              <w:rPr>
                <w:rFonts w:hint="eastAsia" w:ascii="宋体" w:hAnsi="宋体" w:eastAsia="宋体" w:cs="宋体"/>
                <w:szCs w:val="21"/>
                <w:lang w:bidi="ar-SA"/>
              </w:rPr>
            </w:pPr>
          </w:p>
        </w:tc>
        <w:tc>
          <w:tcPr>
            <w:tcW w:w="1872" w:type="dxa"/>
            <w:noWrap w:val="0"/>
            <w:vAlign w:val="center"/>
          </w:tcPr>
          <w:p>
            <w:pPr>
              <w:spacing w:line="440" w:lineRule="exact"/>
              <w:ind w:firstLine="420"/>
              <w:rPr>
                <w:rFonts w:hint="eastAsia" w:ascii="宋体" w:hAnsi="宋体" w:eastAsia="宋体" w:cs="宋体"/>
                <w:szCs w:val="21"/>
                <w:lang w:bidi="ar-SA"/>
              </w:rPr>
            </w:pPr>
          </w:p>
        </w:tc>
      </w:tr>
    </w:tbl>
    <w:p>
      <w:pPr>
        <w:spacing w:line="440" w:lineRule="exact"/>
        <w:rPr>
          <w:rFonts w:hint="eastAsia" w:ascii="宋体" w:hAnsi="宋体" w:eastAsia="宋体" w:cs="宋体"/>
          <w:szCs w:val="21"/>
          <w:lang w:eastAsia="zh-CN" w:bidi="ar-SA"/>
        </w:rPr>
      </w:pPr>
      <w:r>
        <w:rPr>
          <w:rFonts w:hint="eastAsia" w:ascii="宋体" w:hAnsi="宋体" w:eastAsia="宋体" w:cs="宋体"/>
          <w:szCs w:val="21"/>
          <w:lang w:bidi="ar-SA"/>
        </w:rPr>
        <w:t>备注：</w:t>
      </w:r>
      <w:r>
        <w:rPr>
          <w:rFonts w:hint="eastAsia" w:ascii="宋体" w:hAnsi="宋体" w:eastAsia="宋体" w:cs="宋体"/>
          <w:szCs w:val="21"/>
          <w:lang w:val="en-US" w:eastAsia="zh-CN" w:bidi="ar-SA"/>
        </w:rPr>
        <w:t>1、</w:t>
      </w:r>
      <w:r>
        <w:rPr>
          <w:rFonts w:hint="eastAsia" w:ascii="宋体" w:hAnsi="宋体" w:eastAsia="宋体" w:cs="宋体"/>
          <w:szCs w:val="21"/>
          <w:lang w:bidi="ar-SA"/>
        </w:rPr>
        <w:t>上述全部报价均应包括本招标文件及合同约定等完成本采购项目的全部费用（包括：运输费、人工费、保管费、税费等所有相关费用）</w:t>
      </w:r>
      <w:r>
        <w:rPr>
          <w:rFonts w:hint="eastAsia" w:ascii="宋体" w:hAnsi="宋体" w:eastAsia="宋体" w:cs="宋体"/>
          <w:szCs w:val="21"/>
          <w:lang w:eastAsia="zh-CN" w:bidi="ar-SA"/>
        </w:rPr>
        <w:t>；相关产品的品牌规格型号必须提供。</w:t>
      </w:r>
    </w:p>
    <w:p>
      <w:pPr>
        <w:spacing w:line="440" w:lineRule="exact"/>
        <w:ind w:firstLine="630" w:firstLineChars="300"/>
        <w:rPr>
          <w:rFonts w:hint="default" w:eastAsia="宋体"/>
          <w:szCs w:val="24"/>
          <w:lang w:val="en-US" w:eastAsia="zh-CN" w:bidi="ar-SA"/>
        </w:rPr>
      </w:pPr>
      <w:r>
        <w:rPr>
          <w:rFonts w:hint="eastAsia" w:ascii="宋体" w:hAnsi="宋体" w:eastAsia="宋体" w:cs="宋体"/>
          <w:szCs w:val="21"/>
          <w:lang w:val="en-US" w:eastAsia="zh-CN" w:bidi="ar-SA"/>
        </w:rPr>
        <w:t>2、此表的内容只可增加不可删减。</w:t>
      </w:r>
    </w:p>
    <w:p>
      <w:pPr>
        <w:spacing w:line="440" w:lineRule="exact"/>
        <w:ind w:firstLine="420"/>
        <w:rPr>
          <w:rFonts w:hint="eastAsia" w:ascii="宋体" w:hAnsi="宋体" w:eastAsia="宋体" w:cs="宋体"/>
          <w:szCs w:val="21"/>
          <w:lang w:bidi="ar-SA"/>
        </w:rPr>
      </w:pPr>
    </w:p>
    <w:p>
      <w:pPr>
        <w:spacing w:line="440" w:lineRule="exact"/>
        <w:ind w:firstLine="420"/>
        <w:rPr>
          <w:rFonts w:hint="eastAsia" w:ascii="宋体" w:hAnsi="宋体" w:eastAsia="宋体" w:cs="宋体"/>
          <w:szCs w:val="21"/>
          <w:lang w:bidi="ar-SA"/>
        </w:rPr>
      </w:pPr>
    </w:p>
    <w:p>
      <w:pPr>
        <w:spacing w:line="440" w:lineRule="exact"/>
        <w:ind w:firstLine="420"/>
        <w:rPr>
          <w:rFonts w:hint="eastAsia" w:ascii="宋体" w:hAnsi="宋体" w:eastAsia="宋体" w:cs="宋体"/>
          <w:szCs w:val="21"/>
          <w:lang w:bidi="ar-SA"/>
        </w:rPr>
      </w:pPr>
      <w:r>
        <w:rPr>
          <w:rFonts w:hint="eastAsia" w:ascii="宋体" w:hAnsi="宋体" w:eastAsia="宋体" w:cs="宋体"/>
          <w:szCs w:val="21"/>
          <w:lang w:bidi="ar-SA"/>
        </w:rPr>
        <w:t>供应商（盖单位章）：</w:t>
      </w:r>
    </w:p>
    <w:p>
      <w:pPr>
        <w:spacing w:line="440" w:lineRule="exact"/>
        <w:ind w:firstLine="420"/>
        <w:rPr>
          <w:rFonts w:hint="eastAsia" w:ascii="宋体" w:hAnsi="宋体" w:eastAsia="宋体" w:cs="宋体"/>
          <w:szCs w:val="21"/>
          <w:lang w:bidi="ar-SA"/>
        </w:rPr>
      </w:pPr>
      <w:r>
        <w:rPr>
          <w:rFonts w:hint="eastAsia" w:ascii="宋体" w:hAnsi="宋体" w:eastAsia="宋体" w:cs="宋体"/>
          <w:szCs w:val="21"/>
          <w:lang w:bidi="ar-SA"/>
        </w:rPr>
        <w:t xml:space="preserve">法定代表人或其委托代理人签字：       </w:t>
      </w:r>
    </w:p>
    <w:p>
      <w:pPr>
        <w:tabs>
          <w:tab w:val="left" w:pos="5372"/>
        </w:tabs>
        <w:spacing w:line="440" w:lineRule="exact"/>
        <w:ind w:firstLine="420"/>
        <w:rPr>
          <w:rFonts w:hint="eastAsia" w:ascii="宋体" w:hAnsi="宋体" w:eastAsia="宋体" w:cs="宋体"/>
          <w:szCs w:val="21"/>
          <w:lang w:eastAsia="zh-CN"/>
        </w:rPr>
        <w:sectPr>
          <w:footerReference r:id="rId7" w:type="default"/>
          <w:pgSz w:w="11906" w:h="16838"/>
          <w:pgMar w:top="1440" w:right="1797" w:bottom="1440" w:left="1797" w:header="851" w:footer="992" w:gutter="0"/>
          <w:cols w:space="720" w:num="1"/>
          <w:docGrid w:linePitch="312" w:charSpace="0"/>
        </w:sectPr>
      </w:pPr>
      <w:r>
        <w:rPr>
          <w:rFonts w:hint="eastAsia" w:ascii="宋体" w:hAnsi="宋体" w:eastAsia="宋体" w:cs="宋体"/>
          <w:szCs w:val="21"/>
          <w:lang w:bidi="ar-SA"/>
        </w:rPr>
        <w:t xml:space="preserve">日期：         年    月   </w:t>
      </w:r>
      <w:r>
        <w:rPr>
          <w:rFonts w:hint="eastAsia" w:ascii="宋体" w:hAnsi="宋体" w:eastAsia="宋体" w:cs="宋体"/>
          <w:szCs w:val="21"/>
          <w:lang w:eastAsia="zh-CN" w:bidi="ar-SA"/>
        </w:rPr>
        <w:t>日</w:t>
      </w:r>
    </w:p>
    <w:p>
      <w:pPr>
        <w:rPr>
          <w:rFonts w:hint="eastAsia"/>
        </w:rPr>
      </w:pPr>
    </w:p>
    <w:p>
      <w:pPr>
        <w:pStyle w:val="19"/>
        <w:rPr>
          <w:rFonts w:hint="eastAsia"/>
        </w:rPr>
      </w:pPr>
    </w:p>
    <w:p>
      <w:pPr>
        <w:spacing w:line="360" w:lineRule="auto"/>
        <w:jc w:val="center"/>
        <w:outlineLvl w:val="1"/>
        <w:rPr>
          <w:rFonts w:hint="eastAsia" w:ascii="宋体" w:hAnsi="宋体"/>
          <w:b/>
          <w:color w:val="auto"/>
          <w:sz w:val="24"/>
        </w:rPr>
      </w:pPr>
      <w:bookmarkStart w:id="271" w:name="_Toc19413"/>
      <w:bookmarkStart w:id="272" w:name="_Toc30064"/>
      <w:bookmarkStart w:id="273" w:name="_Toc11429"/>
      <w:bookmarkStart w:id="274" w:name="_Toc8505"/>
      <w:bookmarkStart w:id="275" w:name="_Toc26815"/>
      <w:r>
        <w:rPr>
          <w:rFonts w:hint="eastAsia" w:ascii="宋体" w:hAnsi="宋体"/>
          <w:b/>
          <w:color w:val="auto"/>
          <w:sz w:val="24"/>
        </w:rPr>
        <w:t>格式</w:t>
      </w:r>
      <w:r>
        <w:rPr>
          <w:rFonts w:hint="eastAsia" w:ascii="宋体" w:hAnsi="宋体"/>
          <w:b/>
          <w:color w:val="auto"/>
          <w:sz w:val="24"/>
          <w:lang w:val="en-US" w:eastAsia="zh-CN"/>
        </w:rPr>
        <w:t>10</w:t>
      </w:r>
      <w:r>
        <w:rPr>
          <w:rFonts w:hint="eastAsia" w:ascii="宋体" w:hAnsi="宋体"/>
          <w:b/>
          <w:color w:val="auto"/>
          <w:sz w:val="24"/>
        </w:rPr>
        <w:t xml:space="preserve">   商务条款响应偏离表</w:t>
      </w:r>
      <w:bookmarkEnd w:id="271"/>
    </w:p>
    <w:p>
      <w:pPr>
        <w:pStyle w:val="15"/>
        <w:rPr>
          <w:rFonts w:hint="eastAsia"/>
        </w:rPr>
      </w:pPr>
    </w:p>
    <w:tbl>
      <w:tblPr>
        <w:tblStyle w:val="16"/>
        <w:tblW w:w="10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noWrap w:val="0"/>
            <w:vAlign w:val="center"/>
          </w:tcPr>
          <w:p>
            <w:pPr>
              <w:pStyle w:val="9"/>
              <w:spacing w:line="360" w:lineRule="auto"/>
              <w:jc w:val="center"/>
              <w:rPr>
                <w:rFonts w:hint="eastAsia" w:hAnsi="宋体"/>
                <w:color w:val="auto"/>
              </w:rPr>
            </w:pPr>
            <w:r>
              <w:rPr>
                <w:rFonts w:hint="eastAsia" w:hAnsi="宋体"/>
                <w:color w:val="auto"/>
              </w:rPr>
              <w:t>序号</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磋商文件商务条款</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响应文件商务条款</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响应/偏离说明</w:t>
            </w: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bl>
    <w:p>
      <w:pPr>
        <w:spacing w:line="360" w:lineRule="auto"/>
        <w:jc w:val="center"/>
        <w:outlineLvl w:val="9"/>
        <w:rPr>
          <w:rFonts w:hint="eastAsia" w:ascii="宋体" w:hAnsi="宋体"/>
          <w:color w:val="auto"/>
        </w:rPr>
      </w:pPr>
    </w:p>
    <w:p>
      <w:pPr>
        <w:pStyle w:val="9"/>
        <w:spacing w:line="360" w:lineRule="auto"/>
        <w:ind w:firstLine="472" w:firstLineChars="196"/>
        <w:rPr>
          <w:rFonts w:hint="eastAsia" w:hAnsi="宋体"/>
          <w:color w:val="auto"/>
          <w:sz w:val="24"/>
        </w:rPr>
      </w:pPr>
      <w:r>
        <w:rPr>
          <w:rFonts w:hint="eastAsia" w:hAnsi="宋体"/>
          <w:b/>
          <w:color w:val="auto"/>
          <w:sz w:val="24"/>
        </w:rPr>
        <w:t>注：供应商按此表格式列出不影响竞争性磋商实质性响应的商务偏差（原则上应优于商务条款），没有说明的其他条款将被认为完全响应竞争性磋商文件的规定。</w:t>
      </w:r>
    </w:p>
    <w:p>
      <w:pPr>
        <w:pStyle w:val="9"/>
        <w:spacing w:line="360" w:lineRule="auto"/>
        <w:ind w:firstLine="480" w:firstLineChars="200"/>
        <w:rPr>
          <w:rFonts w:hint="eastAsia" w:hAnsi="宋体"/>
          <w:color w:val="auto"/>
          <w:sz w:val="24"/>
        </w:rPr>
      </w:pPr>
      <w:r>
        <w:rPr>
          <w:rFonts w:hint="eastAsia" w:hAnsi="宋体"/>
          <w:color w:val="auto"/>
          <w:sz w:val="24"/>
        </w:rPr>
        <w:t>供应商（盖章）：</w:t>
      </w:r>
    </w:p>
    <w:p>
      <w:pPr>
        <w:pStyle w:val="9"/>
        <w:spacing w:line="360" w:lineRule="auto"/>
        <w:ind w:firstLine="480" w:firstLineChars="200"/>
        <w:rPr>
          <w:rFonts w:hint="eastAsia" w:hAnsi="宋体"/>
          <w:color w:val="auto"/>
          <w:sz w:val="24"/>
        </w:rPr>
      </w:pPr>
      <w:r>
        <w:rPr>
          <w:rFonts w:hint="eastAsia" w:hAnsi="宋体"/>
          <w:color w:val="auto"/>
          <w:sz w:val="24"/>
        </w:rPr>
        <w:t xml:space="preserve">法定代表人或委托代理人（签字或盖章）： </w:t>
      </w:r>
    </w:p>
    <w:p>
      <w:pPr>
        <w:pStyle w:val="9"/>
        <w:spacing w:line="360" w:lineRule="auto"/>
        <w:rPr>
          <w:rFonts w:hint="eastAsia" w:hAnsi="宋体"/>
          <w:color w:val="auto"/>
        </w:rPr>
      </w:pPr>
    </w:p>
    <w:p>
      <w:pPr>
        <w:pStyle w:val="9"/>
        <w:spacing w:line="360" w:lineRule="auto"/>
        <w:jc w:val="right"/>
        <w:rPr>
          <w:rFonts w:hint="eastAsia" w:hAnsi="宋体"/>
          <w:color w:val="auto"/>
          <w:sz w:val="24"/>
        </w:rPr>
      </w:pPr>
      <w:r>
        <w:rPr>
          <w:rFonts w:hint="eastAsia" w:hAnsi="宋体"/>
          <w:color w:val="auto"/>
          <w:sz w:val="24"/>
        </w:rPr>
        <w:t xml:space="preserve">   年  月  日</w:t>
      </w:r>
    </w:p>
    <w:p>
      <w:pPr>
        <w:jc w:val="center"/>
        <w:outlineLvl w:val="9"/>
        <w:rPr>
          <w:rFonts w:hint="eastAsia" w:ascii="宋体" w:hAnsi="宋体" w:eastAsia="宋体" w:cs="宋体"/>
          <w:b/>
          <w:bCs/>
          <w:color w:val="auto"/>
          <w:sz w:val="24"/>
          <w:szCs w:val="24"/>
          <w:lang w:eastAsia="zh-CN"/>
        </w:rPr>
      </w:pPr>
    </w:p>
    <w:p>
      <w:pPr>
        <w:jc w:val="center"/>
        <w:outlineLvl w:val="9"/>
        <w:rPr>
          <w:rFonts w:hint="eastAsia" w:ascii="宋体" w:hAnsi="宋体" w:eastAsia="宋体" w:cs="宋体"/>
          <w:b/>
          <w:bCs/>
          <w:color w:val="auto"/>
          <w:sz w:val="24"/>
          <w:szCs w:val="24"/>
          <w:lang w:eastAsia="zh-CN"/>
        </w:rPr>
      </w:pPr>
    </w:p>
    <w:p>
      <w:pPr>
        <w:jc w:val="center"/>
        <w:outlineLvl w:val="9"/>
        <w:rPr>
          <w:rFonts w:hint="eastAsia" w:ascii="宋体" w:hAnsi="宋体" w:eastAsia="宋体" w:cs="宋体"/>
          <w:b/>
          <w:bCs/>
          <w:color w:val="auto"/>
          <w:sz w:val="24"/>
          <w:szCs w:val="24"/>
          <w:lang w:eastAsia="zh-CN"/>
        </w:rPr>
      </w:pPr>
    </w:p>
    <w:p>
      <w:pPr>
        <w:jc w:val="both"/>
        <w:outlineLvl w:val="9"/>
        <w:rPr>
          <w:rFonts w:hint="eastAsia" w:ascii="宋体" w:hAnsi="宋体" w:eastAsia="宋体" w:cs="宋体"/>
          <w:b/>
          <w:bCs/>
          <w:color w:val="auto"/>
          <w:sz w:val="24"/>
          <w:szCs w:val="24"/>
          <w:lang w:eastAsia="zh-CN"/>
        </w:rPr>
      </w:pPr>
    </w:p>
    <w:p>
      <w:pPr>
        <w:jc w:val="center"/>
        <w:outlineLvl w:val="1"/>
        <w:rPr>
          <w:rFonts w:hint="eastAsia" w:ascii="宋体" w:hAnsi="宋体" w:eastAsia="宋体" w:cs="宋体"/>
          <w:b/>
          <w:bCs/>
          <w:color w:val="auto"/>
          <w:sz w:val="24"/>
          <w:szCs w:val="24"/>
          <w:lang w:eastAsia="zh-CN"/>
        </w:rPr>
      </w:pPr>
      <w:bookmarkStart w:id="276" w:name="_Toc4380"/>
      <w:r>
        <w:rPr>
          <w:rFonts w:hint="eastAsia" w:ascii="宋体" w:hAnsi="宋体" w:eastAsia="宋体" w:cs="宋体"/>
          <w:b/>
          <w:bCs/>
          <w:color w:val="auto"/>
          <w:sz w:val="24"/>
          <w:szCs w:val="24"/>
          <w:lang w:eastAsia="zh-CN"/>
        </w:rPr>
        <w:t>格式</w:t>
      </w: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lang w:eastAsia="zh-CN"/>
        </w:rPr>
        <w:t xml:space="preserve"> 本项目管理、技术服务及其他人员情况表</w:t>
      </w:r>
      <w:bookmarkEnd w:id="272"/>
      <w:bookmarkEnd w:id="273"/>
      <w:bookmarkEnd w:id="274"/>
      <w:bookmarkEnd w:id="276"/>
    </w:p>
    <w:p>
      <w:pPr>
        <w:pStyle w:val="15"/>
        <w:rPr>
          <w:rFonts w:hint="eastAsia"/>
          <w:lang w:eastAsia="zh-CN"/>
        </w:rPr>
      </w:pPr>
    </w:p>
    <w:tbl>
      <w:tblPr>
        <w:tblStyle w:val="16"/>
        <w:tblpPr w:leftFromText="180" w:rightFromText="180" w:vertAnchor="text" w:horzAnchor="margin" w:tblpXSpec="center" w:tblpY="14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二、技术服务人员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三、其他人员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val="0"/>
                <w:color w:val="auto"/>
                <w:sz w:val="24"/>
                <w:szCs w:val="24"/>
                <w:lang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注：需完整反映本项目要求的所有拟派人员信息，所提供的资料均附于本表后。</w:t>
            </w:r>
          </w:p>
        </w:tc>
      </w:tr>
    </w:tbl>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供应商（盖章）：</w:t>
      </w:r>
    </w:p>
    <w:p>
      <w:pPr>
        <w:rPr>
          <w:rFonts w:hint="eastAsia" w:ascii="宋体" w:hAnsi="宋体" w:eastAsia="宋体" w:cs="宋体"/>
          <w:b w:val="0"/>
          <w:bCs w:val="0"/>
          <w:color w:val="auto"/>
          <w:sz w:val="24"/>
          <w:szCs w:val="24"/>
          <w:lang w:eastAsia="zh-CN"/>
        </w:rPr>
      </w:pPr>
    </w:p>
    <w:p>
      <w:pP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法人代表人或委托代理人（签字或签章）：</w:t>
      </w:r>
    </w:p>
    <w:p>
      <w:pPr>
        <w:rPr>
          <w:rFonts w:hint="eastAsia" w:ascii="宋体" w:hAnsi="宋体" w:eastAsia="宋体" w:cs="宋体"/>
          <w:b w:val="0"/>
          <w:bCs w:val="0"/>
          <w:color w:val="auto"/>
          <w:sz w:val="24"/>
          <w:szCs w:val="24"/>
          <w:lang w:eastAsia="zh-CN"/>
        </w:rPr>
      </w:pPr>
    </w:p>
    <w:p>
      <w:pPr>
        <w:jc w:val="center"/>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                                  </w:t>
      </w:r>
      <w:bookmarkStart w:id="277" w:name="_Toc20752"/>
      <w:bookmarkStart w:id="278" w:name="_Toc4982"/>
      <w:bookmarkStart w:id="279" w:name="_Toc17512"/>
      <w:bookmarkStart w:id="280" w:name="_Toc2518"/>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 xml:space="preserve">  月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 xml:space="preserve"> 日</w:t>
      </w:r>
      <w:bookmarkEnd w:id="277"/>
      <w:bookmarkEnd w:id="278"/>
      <w:bookmarkEnd w:id="279"/>
      <w:bookmarkEnd w:id="280"/>
    </w:p>
    <w:p>
      <w:pPr>
        <w:rPr>
          <w:rFonts w:hint="eastAsia" w:ascii="宋体" w:hAnsi="宋体" w:eastAsia="宋体" w:cs="宋体"/>
          <w:b w:val="0"/>
          <w:bCs w:val="0"/>
          <w:color w:val="auto"/>
          <w:sz w:val="24"/>
          <w:szCs w:val="24"/>
        </w:rPr>
      </w:pPr>
    </w:p>
    <w:bookmarkEnd w:id="275"/>
    <w:p>
      <w:pPr>
        <w:jc w:val="both"/>
        <w:rPr>
          <w:rFonts w:hint="eastAsia" w:ascii="宋体" w:hAnsi="宋体" w:eastAsia="宋体" w:cs="宋体"/>
          <w:b/>
          <w:bCs/>
          <w:color w:val="auto"/>
          <w:sz w:val="24"/>
          <w:szCs w:val="24"/>
          <w:lang w:eastAsia="zh-CN"/>
        </w:rPr>
      </w:pPr>
    </w:p>
    <w:p>
      <w:pPr>
        <w:pStyle w:val="19"/>
        <w:rPr>
          <w:rFonts w:hint="eastAsia"/>
          <w:sz w:val="22"/>
          <w:szCs w:val="18"/>
        </w:rPr>
      </w:pPr>
    </w:p>
    <w:p>
      <w:pPr>
        <w:pStyle w:val="4"/>
        <w:jc w:val="center"/>
        <w:rPr>
          <w:rFonts w:hint="eastAsia" w:ascii="宋体" w:hAnsi="宋体" w:eastAsia="宋体"/>
          <w:color w:val="auto"/>
          <w:sz w:val="28"/>
        </w:rPr>
      </w:pPr>
      <w:bookmarkStart w:id="281" w:name="_Toc32585"/>
      <w:r>
        <w:rPr>
          <w:rFonts w:hint="eastAsia" w:ascii="宋体" w:hAnsi="宋体" w:eastAsia="宋体"/>
          <w:color w:val="auto"/>
          <w:sz w:val="24"/>
        </w:rPr>
        <w:t>格式</w:t>
      </w:r>
      <w:r>
        <w:rPr>
          <w:rFonts w:hint="eastAsia" w:ascii="宋体" w:hAnsi="宋体" w:eastAsia="宋体"/>
          <w:color w:val="auto"/>
          <w:sz w:val="24"/>
          <w:lang w:val="en-US" w:eastAsia="zh-CN"/>
        </w:rPr>
        <w:t>12</w:t>
      </w:r>
      <w:r>
        <w:rPr>
          <w:rFonts w:hint="eastAsia" w:ascii="宋体" w:hAnsi="宋体" w:eastAsia="宋体"/>
          <w:color w:val="auto"/>
          <w:sz w:val="24"/>
        </w:rPr>
        <w:t xml:space="preserve">  近三年（201</w:t>
      </w:r>
      <w:r>
        <w:rPr>
          <w:rFonts w:hint="eastAsia" w:ascii="宋体" w:hAnsi="宋体" w:eastAsia="宋体"/>
          <w:color w:val="auto"/>
          <w:sz w:val="24"/>
          <w:lang w:val="en-US" w:eastAsia="zh-CN"/>
        </w:rPr>
        <w:t>9</w:t>
      </w:r>
      <w:r>
        <w:rPr>
          <w:rFonts w:hint="eastAsia" w:ascii="宋体" w:hAnsi="宋体" w:eastAsia="宋体"/>
          <w:color w:val="auto"/>
          <w:sz w:val="24"/>
        </w:rPr>
        <w:t>年</w:t>
      </w:r>
      <w:r>
        <w:rPr>
          <w:rFonts w:hint="eastAsia" w:ascii="宋体" w:hAnsi="宋体" w:eastAsia="宋体"/>
          <w:color w:val="auto"/>
          <w:sz w:val="24"/>
          <w:lang w:val="en-US" w:eastAsia="zh-CN"/>
        </w:rPr>
        <w:t>1</w:t>
      </w:r>
      <w:r>
        <w:rPr>
          <w:rFonts w:hint="eastAsia" w:ascii="宋体" w:hAnsi="宋体" w:eastAsia="宋体"/>
          <w:color w:val="auto"/>
          <w:sz w:val="24"/>
        </w:rPr>
        <w:t>月1日至今）承担过</w:t>
      </w:r>
      <w:r>
        <w:rPr>
          <w:rFonts w:hint="eastAsia" w:ascii="宋体" w:hAnsi="宋体" w:eastAsia="宋体"/>
          <w:color w:val="auto"/>
          <w:sz w:val="24"/>
          <w:lang w:eastAsia="zh-CN"/>
        </w:rPr>
        <w:t>类似项目</w:t>
      </w:r>
      <w:r>
        <w:rPr>
          <w:rFonts w:hint="eastAsia" w:ascii="宋体" w:hAnsi="宋体" w:eastAsia="宋体"/>
          <w:color w:val="auto"/>
          <w:sz w:val="24"/>
        </w:rPr>
        <w:t>业绩表</w:t>
      </w:r>
      <w:bookmarkEnd w:id="281"/>
    </w:p>
    <w:tbl>
      <w:tblPr>
        <w:tblStyle w:val="16"/>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754"/>
        <w:gridCol w:w="1940"/>
        <w:gridCol w:w="992"/>
        <w:gridCol w:w="1134"/>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noWrap w:val="0"/>
            <w:vAlign w:val="center"/>
          </w:tcPr>
          <w:p>
            <w:pPr>
              <w:spacing w:line="400" w:lineRule="exact"/>
              <w:jc w:val="center"/>
              <w:rPr>
                <w:rFonts w:hint="eastAsia" w:ascii="宋体" w:hAnsi="宋体"/>
                <w:b/>
                <w:color w:val="auto"/>
              </w:rPr>
            </w:pPr>
            <w:r>
              <w:rPr>
                <w:rFonts w:hint="eastAsia" w:ascii="宋体" w:hAnsi="宋体"/>
                <w:b/>
                <w:color w:val="auto"/>
              </w:rPr>
              <w:t>年份</w:t>
            </w:r>
          </w:p>
        </w:tc>
        <w:tc>
          <w:tcPr>
            <w:tcW w:w="754" w:type="dxa"/>
            <w:noWrap w:val="0"/>
            <w:vAlign w:val="center"/>
          </w:tcPr>
          <w:p>
            <w:pPr>
              <w:spacing w:line="400" w:lineRule="exact"/>
              <w:jc w:val="center"/>
              <w:rPr>
                <w:rFonts w:hint="eastAsia" w:ascii="宋体" w:hAnsi="宋体"/>
                <w:b/>
                <w:color w:val="auto"/>
              </w:rPr>
            </w:pPr>
            <w:r>
              <w:rPr>
                <w:rFonts w:hint="eastAsia" w:ascii="宋体" w:hAnsi="宋体"/>
                <w:b/>
                <w:color w:val="auto"/>
              </w:rPr>
              <w:t>项目名称</w:t>
            </w:r>
          </w:p>
        </w:tc>
        <w:tc>
          <w:tcPr>
            <w:tcW w:w="1940" w:type="dxa"/>
            <w:tcBorders>
              <w:right w:val="single" w:color="auto" w:sz="4" w:space="0"/>
            </w:tcBorders>
            <w:noWrap w:val="0"/>
            <w:vAlign w:val="center"/>
          </w:tcPr>
          <w:p>
            <w:pPr>
              <w:spacing w:line="400" w:lineRule="exact"/>
              <w:jc w:val="center"/>
              <w:rPr>
                <w:rFonts w:hint="eastAsia" w:ascii="宋体" w:hAnsi="宋体" w:eastAsia="宋体"/>
                <w:b/>
                <w:color w:val="auto"/>
                <w:lang w:eastAsia="zh-CN"/>
              </w:rPr>
            </w:pPr>
            <w:r>
              <w:rPr>
                <w:rFonts w:hint="eastAsia" w:ascii="宋体" w:hAnsi="宋体"/>
                <w:b/>
                <w:color w:val="auto"/>
                <w:lang w:eastAsia="zh-CN"/>
              </w:rPr>
              <w:t>服务内容</w:t>
            </w:r>
          </w:p>
        </w:tc>
        <w:tc>
          <w:tcPr>
            <w:tcW w:w="992" w:type="dxa"/>
            <w:tcBorders>
              <w:left w:val="single" w:color="auto" w:sz="4" w:space="0"/>
            </w:tcBorders>
            <w:noWrap w:val="0"/>
            <w:vAlign w:val="center"/>
          </w:tcPr>
          <w:p>
            <w:pPr>
              <w:spacing w:line="400" w:lineRule="exact"/>
              <w:jc w:val="center"/>
              <w:rPr>
                <w:rFonts w:hint="eastAsia" w:ascii="宋体" w:hAnsi="宋体"/>
                <w:b/>
                <w:color w:val="auto"/>
              </w:rPr>
            </w:pPr>
            <w:r>
              <w:rPr>
                <w:rFonts w:hint="eastAsia" w:ascii="宋体" w:hAnsi="宋体"/>
                <w:b/>
                <w:color w:val="auto"/>
              </w:rPr>
              <w:t>用户名称</w:t>
            </w:r>
          </w:p>
        </w:tc>
        <w:tc>
          <w:tcPr>
            <w:tcW w:w="1134" w:type="dxa"/>
            <w:noWrap w:val="0"/>
            <w:vAlign w:val="center"/>
          </w:tcPr>
          <w:p>
            <w:pPr>
              <w:spacing w:line="400" w:lineRule="exact"/>
              <w:jc w:val="center"/>
              <w:rPr>
                <w:rFonts w:hint="eastAsia" w:ascii="宋体" w:hAnsi="宋体"/>
                <w:b/>
                <w:color w:val="auto"/>
              </w:rPr>
            </w:pPr>
            <w:r>
              <w:rPr>
                <w:rFonts w:hint="eastAsia" w:ascii="宋体" w:hAnsi="宋体"/>
                <w:b/>
                <w:color w:val="auto"/>
              </w:rPr>
              <w:t>完成时间</w:t>
            </w:r>
          </w:p>
        </w:tc>
        <w:tc>
          <w:tcPr>
            <w:tcW w:w="1134" w:type="dxa"/>
            <w:noWrap w:val="0"/>
            <w:vAlign w:val="center"/>
          </w:tcPr>
          <w:p>
            <w:pPr>
              <w:spacing w:line="400" w:lineRule="exact"/>
              <w:jc w:val="center"/>
              <w:rPr>
                <w:rFonts w:hint="eastAsia" w:ascii="宋体" w:hAnsi="宋体"/>
                <w:b/>
                <w:color w:val="auto"/>
              </w:rPr>
            </w:pPr>
            <w:r>
              <w:rPr>
                <w:rFonts w:hint="eastAsia" w:ascii="宋体" w:hAnsi="宋体"/>
                <w:b/>
                <w:color w:val="auto"/>
              </w:rPr>
              <w:t>合同金额</w:t>
            </w:r>
          </w:p>
        </w:tc>
        <w:tc>
          <w:tcPr>
            <w:tcW w:w="1276" w:type="dxa"/>
            <w:tcBorders>
              <w:left w:val="single" w:color="auto" w:sz="4" w:space="0"/>
            </w:tcBorders>
            <w:noWrap w:val="0"/>
            <w:vAlign w:val="center"/>
          </w:tcPr>
          <w:p>
            <w:pPr>
              <w:spacing w:line="400" w:lineRule="exact"/>
              <w:jc w:val="center"/>
              <w:rPr>
                <w:rFonts w:hint="eastAsia" w:ascii="宋体" w:hAnsi="宋体"/>
                <w:b/>
                <w:color w:val="auto"/>
              </w:rPr>
            </w:pPr>
            <w:r>
              <w:rPr>
                <w:rFonts w:hint="eastAsia" w:ascii="宋体" w:hAnsi="宋体"/>
                <w:b/>
                <w:color w:val="auto"/>
              </w:rPr>
              <w:t>用户联系电话</w:t>
            </w:r>
          </w:p>
        </w:tc>
        <w:tc>
          <w:tcPr>
            <w:tcW w:w="992" w:type="dxa"/>
            <w:tcBorders>
              <w:left w:val="single" w:color="auto" w:sz="4" w:space="0"/>
            </w:tcBorders>
            <w:noWrap w:val="0"/>
            <w:vAlign w:val="top"/>
          </w:tcPr>
          <w:p>
            <w:pPr>
              <w:spacing w:line="400" w:lineRule="exact"/>
              <w:jc w:val="center"/>
              <w:rPr>
                <w:rFonts w:hint="eastAsia"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noWrap w:val="0"/>
            <w:vAlign w:val="center"/>
          </w:tcPr>
          <w:p>
            <w:pPr>
              <w:spacing w:line="400" w:lineRule="exact"/>
              <w:jc w:val="center"/>
              <w:rPr>
                <w:rFonts w:hint="eastAsia" w:ascii="宋体" w:hAnsi="宋体"/>
                <w:color w:val="auto"/>
              </w:rPr>
            </w:pPr>
          </w:p>
        </w:tc>
        <w:tc>
          <w:tcPr>
            <w:tcW w:w="1940" w:type="dxa"/>
            <w:tcBorders>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noWrap w:val="0"/>
            <w:vAlign w:val="center"/>
          </w:tcPr>
          <w:p>
            <w:pPr>
              <w:spacing w:line="400" w:lineRule="exact"/>
              <w:jc w:val="center"/>
              <w:rPr>
                <w:rFonts w:hint="eastAsia" w:ascii="宋体" w:hAnsi="宋体"/>
                <w:color w:val="auto"/>
              </w:rPr>
            </w:pPr>
          </w:p>
        </w:tc>
        <w:tc>
          <w:tcPr>
            <w:tcW w:w="1940" w:type="dxa"/>
            <w:tcBorders>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noWrap w:val="0"/>
            <w:vAlign w:val="center"/>
          </w:tcPr>
          <w:p>
            <w:pPr>
              <w:spacing w:line="400" w:lineRule="exact"/>
              <w:jc w:val="center"/>
              <w:rPr>
                <w:rFonts w:hint="eastAsia" w:ascii="宋体" w:hAnsi="宋体"/>
                <w:color w:val="auto"/>
              </w:rPr>
            </w:pPr>
          </w:p>
        </w:tc>
        <w:tc>
          <w:tcPr>
            <w:tcW w:w="1940" w:type="dxa"/>
            <w:tcBorders>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tcBorders>
              <w:right w:val="single" w:color="auto" w:sz="4" w:space="0"/>
            </w:tcBorders>
            <w:noWrap w:val="0"/>
            <w:vAlign w:val="center"/>
          </w:tcPr>
          <w:p>
            <w:pPr>
              <w:spacing w:line="400" w:lineRule="exact"/>
              <w:jc w:val="center"/>
              <w:rPr>
                <w:rFonts w:hint="eastAsia" w:ascii="宋体" w:hAnsi="宋体"/>
                <w:color w:val="auto"/>
              </w:rPr>
            </w:pPr>
          </w:p>
        </w:tc>
        <w:tc>
          <w:tcPr>
            <w:tcW w:w="1940" w:type="dxa"/>
            <w:tcBorders>
              <w:left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noWrap w:val="0"/>
            <w:vAlign w:val="center"/>
          </w:tcPr>
          <w:p>
            <w:pPr>
              <w:spacing w:line="400" w:lineRule="exact"/>
              <w:rPr>
                <w:rFonts w:hint="eastAsia" w:ascii="宋体" w:hAnsi="宋体"/>
                <w:color w:val="auto"/>
              </w:rPr>
            </w:pPr>
          </w:p>
        </w:tc>
        <w:tc>
          <w:tcPr>
            <w:tcW w:w="754" w:type="dxa"/>
            <w:tcBorders>
              <w:left w:val="single" w:color="auto" w:sz="4" w:space="0"/>
              <w:right w:val="single" w:color="auto" w:sz="4" w:space="0"/>
            </w:tcBorders>
            <w:noWrap w:val="0"/>
            <w:vAlign w:val="center"/>
          </w:tcPr>
          <w:p>
            <w:pPr>
              <w:spacing w:line="400" w:lineRule="exact"/>
              <w:rPr>
                <w:rFonts w:hint="eastAsia" w:ascii="宋体" w:hAnsi="宋体"/>
                <w:color w:val="auto"/>
              </w:rPr>
            </w:pPr>
          </w:p>
        </w:tc>
        <w:tc>
          <w:tcPr>
            <w:tcW w:w="1940" w:type="dxa"/>
            <w:tcBorders>
              <w:left w:val="single" w:color="auto" w:sz="4" w:space="0"/>
              <w:right w:val="single" w:color="auto" w:sz="4" w:space="0"/>
            </w:tcBorders>
            <w:noWrap w:val="0"/>
            <w:vAlign w:val="center"/>
          </w:tcPr>
          <w:p>
            <w:pPr>
              <w:spacing w:line="400" w:lineRule="exact"/>
              <w:rPr>
                <w:rFonts w:hint="eastAsia" w:ascii="宋体" w:hAnsi="宋体"/>
                <w:color w:val="auto"/>
              </w:rPr>
            </w:pPr>
          </w:p>
        </w:tc>
        <w:tc>
          <w:tcPr>
            <w:tcW w:w="992" w:type="dxa"/>
            <w:tcBorders>
              <w:left w:val="single" w:color="auto" w:sz="4" w:space="0"/>
              <w:right w:val="single" w:color="auto" w:sz="4" w:space="0"/>
            </w:tcBorders>
            <w:noWrap w:val="0"/>
            <w:vAlign w:val="center"/>
          </w:tcPr>
          <w:p>
            <w:pPr>
              <w:spacing w:line="400" w:lineRule="exact"/>
              <w:rPr>
                <w:rFonts w:hint="eastAsia" w:ascii="宋体" w:hAnsi="宋体"/>
                <w:color w:val="auto"/>
              </w:rPr>
            </w:pPr>
          </w:p>
        </w:tc>
        <w:tc>
          <w:tcPr>
            <w:tcW w:w="1134" w:type="dxa"/>
            <w:tcBorders>
              <w:left w:val="single" w:color="auto" w:sz="4" w:space="0"/>
              <w:right w:val="single" w:color="auto" w:sz="4" w:space="0"/>
            </w:tcBorders>
            <w:noWrap w:val="0"/>
            <w:vAlign w:val="center"/>
          </w:tcPr>
          <w:p>
            <w:pPr>
              <w:spacing w:line="400" w:lineRule="exact"/>
              <w:rPr>
                <w:rFonts w:hint="eastAsia" w:ascii="宋体" w:hAnsi="宋体"/>
                <w:color w:val="auto"/>
              </w:rPr>
            </w:pPr>
          </w:p>
        </w:tc>
        <w:tc>
          <w:tcPr>
            <w:tcW w:w="1134" w:type="dxa"/>
            <w:tcBorders>
              <w:left w:val="single" w:color="auto" w:sz="4" w:space="0"/>
              <w:right w:val="single" w:color="auto" w:sz="4" w:space="0"/>
            </w:tcBorders>
            <w:noWrap w:val="0"/>
            <w:vAlign w:val="center"/>
          </w:tcPr>
          <w:p>
            <w:pPr>
              <w:spacing w:line="400" w:lineRule="exact"/>
              <w:rPr>
                <w:rFonts w:hint="eastAsia" w:ascii="宋体" w:hAnsi="宋体"/>
                <w:color w:val="auto"/>
              </w:rPr>
            </w:pPr>
          </w:p>
        </w:tc>
        <w:tc>
          <w:tcPr>
            <w:tcW w:w="1276" w:type="dxa"/>
            <w:tcBorders>
              <w:left w:val="single" w:color="auto" w:sz="4" w:space="0"/>
            </w:tcBorders>
            <w:noWrap w:val="0"/>
            <w:vAlign w:val="center"/>
          </w:tcPr>
          <w:p>
            <w:pPr>
              <w:spacing w:line="400" w:lineRule="exact"/>
              <w:rPr>
                <w:rFonts w:hint="eastAsia" w:ascii="宋体" w:hAnsi="宋体"/>
                <w:color w:val="auto"/>
              </w:rPr>
            </w:pPr>
          </w:p>
        </w:tc>
        <w:tc>
          <w:tcPr>
            <w:tcW w:w="992" w:type="dxa"/>
            <w:tcBorders>
              <w:left w:val="single" w:color="auto" w:sz="4" w:space="0"/>
            </w:tcBorders>
            <w:noWrap w:val="0"/>
            <w:vAlign w:val="top"/>
          </w:tcPr>
          <w:p>
            <w:pPr>
              <w:spacing w:line="40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rPr>
                <w:rFonts w:hint="eastAsia" w:ascii="宋体" w:hAnsi="宋体"/>
                <w:color w:val="auto"/>
              </w:rPr>
            </w:pPr>
          </w:p>
        </w:tc>
        <w:tc>
          <w:tcPr>
            <w:tcW w:w="754" w:type="dxa"/>
            <w:noWrap w:val="0"/>
            <w:vAlign w:val="center"/>
          </w:tcPr>
          <w:p>
            <w:pPr>
              <w:spacing w:line="400" w:lineRule="exact"/>
              <w:rPr>
                <w:rFonts w:hint="eastAsia" w:ascii="宋体" w:hAnsi="宋体"/>
                <w:color w:val="auto"/>
              </w:rPr>
            </w:pPr>
          </w:p>
        </w:tc>
        <w:tc>
          <w:tcPr>
            <w:tcW w:w="1940" w:type="dxa"/>
            <w:tcBorders>
              <w:right w:val="single" w:color="auto" w:sz="4" w:space="0"/>
            </w:tcBorders>
            <w:noWrap w:val="0"/>
            <w:vAlign w:val="center"/>
          </w:tcPr>
          <w:p>
            <w:pPr>
              <w:spacing w:line="400" w:lineRule="exact"/>
              <w:rPr>
                <w:rFonts w:hint="eastAsia" w:ascii="宋体" w:hAnsi="宋体"/>
                <w:color w:val="auto"/>
              </w:rPr>
            </w:pPr>
          </w:p>
        </w:tc>
        <w:tc>
          <w:tcPr>
            <w:tcW w:w="992" w:type="dxa"/>
            <w:tcBorders>
              <w:left w:val="single" w:color="auto" w:sz="4" w:space="0"/>
            </w:tcBorders>
            <w:noWrap w:val="0"/>
            <w:vAlign w:val="center"/>
          </w:tcPr>
          <w:p>
            <w:pPr>
              <w:spacing w:line="400" w:lineRule="exact"/>
              <w:rPr>
                <w:rFonts w:hint="eastAsia" w:ascii="宋体" w:hAnsi="宋体"/>
                <w:color w:val="auto"/>
              </w:rPr>
            </w:pPr>
          </w:p>
        </w:tc>
        <w:tc>
          <w:tcPr>
            <w:tcW w:w="1134" w:type="dxa"/>
            <w:noWrap w:val="0"/>
            <w:vAlign w:val="center"/>
          </w:tcPr>
          <w:p>
            <w:pPr>
              <w:spacing w:line="400" w:lineRule="exact"/>
              <w:rPr>
                <w:rFonts w:hint="eastAsia" w:ascii="宋体" w:hAnsi="宋体"/>
                <w:color w:val="auto"/>
              </w:rPr>
            </w:pPr>
          </w:p>
        </w:tc>
        <w:tc>
          <w:tcPr>
            <w:tcW w:w="1134" w:type="dxa"/>
            <w:tcBorders>
              <w:right w:val="single" w:color="auto" w:sz="4" w:space="0"/>
            </w:tcBorders>
            <w:noWrap w:val="0"/>
            <w:vAlign w:val="center"/>
          </w:tcPr>
          <w:p>
            <w:pPr>
              <w:spacing w:line="400" w:lineRule="exact"/>
              <w:rPr>
                <w:rFonts w:hint="eastAsia" w:ascii="宋体" w:hAnsi="宋体"/>
                <w:color w:val="auto"/>
              </w:rPr>
            </w:pPr>
          </w:p>
        </w:tc>
        <w:tc>
          <w:tcPr>
            <w:tcW w:w="1276" w:type="dxa"/>
            <w:tcBorders>
              <w:left w:val="single" w:color="auto" w:sz="4" w:space="0"/>
            </w:tcBorders>
            <w:noWrap w:val="0"/>
            <w:vAlign w:val="center"/>
          </w:tcPr>
          <w:p>
            <w:pPr>
              <w:spacing w:line="400" w:lineRule="exact"/>
              <w:rPr>
                <w:rFonts w:hint="eastAsia" w:ascii="宋体" w:hAnsi="宋体"/>
                <w:color w:val="auto"/>
              </w:rPr>
            </w:pPr>
          </w:p>
        </w:tc>
        <w:tc>
          <w:tcPr>
            <w:tcW w:w="992" w:type="dxa"/>
            <w:tcBorders>
              <w:left w:val="single" w:color="auto" w:sz="4" w:space="0"/>
            </w:tcBorders>
            <w:noWrap w:val="0"/>
            <w:vAlign w:val="top"/>
          </w:tcPr>
          <w:p>
            <w:pPr>
              <w:spacing w:line="40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noWrap w:val="0"/>
            <w:vAlign w:val="center"/>
          </w:tcPr>
          <w:p>
            <w:pPr>
              <w:spacing w:line="400" w:lineRule="exact"/>
              <w:jc w:val="center"/>
              <w:rPr>
                <w:rFonts w:hint="eastAsia" w:ascii="宋体" w:hAnsi="宋体"/>
                <w:color w:val="auto"/>
              </w:rPr>
            </w:pPr>
          </w:p>
        </w:tc>
        <w:tc>
          <w:tcPr>
            <w:tcW w:w="1940" w:type="dxa"/>
            <w:tcBorders>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tcBorders>
              <w:right w:val="single" w:color="auto" w:sz="4" w:space="0"/>
            </w:tcBorders>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noWrap w:val="0"/>
            <w:vAlign w:val="center"/>
          </w:tcPr>
          <w:p>
            <w:pPr>
              <w:spacing w:line="400" w:lineRule="exact"/>
              <w:jc w:val="center"/>
              <w:rPr>
                <w:rFonts w:hint="eastAsia" w:ascii="宋体" w:hAnsi="宋体"/>
                <w:color w:val="auto"/>
              </w:rPr>
            </w:pPr>
          </w:p>
        </w:tc>
        <w:tc>
          <w:tcPr>
            <w:tcW w:w="754" w:type="dxa"/>
            <w:noWrap w:val="0"/>
            <w:vAlign w:val="center"/>
          </w:tcPr>
          <w:p>
            <w:pPr>
              <w:spacing w:line="400" w:lineRule="exact"/>
              <w:jc w:val="center"/>
              <w:rPr>
                <w:rFonts w:hint="eastAsia" w:ascii="宋体" w:hAnsi="宋体"/>
                <w:color w:val="auto"/>
              </w:rPr>
            </w:pPr>
          </w:p>
        </w:tc>
        <w:tc>
          <w:tcPr>
            <w:tcW w:w="1940" w:type="dxa"/>
            <w:tcBorders>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center"/>
          </w:tcPr>
          <w:p>
            <w:pPr>
              <w:spacing w:line="400" w:lineRule="exact"/>
              <w:jc w:val="center"/>
              <w:rPr>
                <w:rFonts w:hint="eastAsia" w:ascii="宋体" w:hAnsi="宋体"/>
                <w:color w:val="auto"/>
              </w:rPr>
            </w:pPr>
          </w:p>
        </w:tc>
        <w:tc>
          <w:tcPr>
            <w:tcW w:w="1134" w:type="dxa"/>
            <w:noWrap w:val="0"/>
            <w:vAlign w:val="center"/>
          </w:tcPr>
          <w:p>
            <w:pPr>
              <w:spacing w:line="400" w:lineRule="exact"/>
              <w:jc w:val="center"/>
              <w:rPr>
                <w:rFonts w:hint="eastAsia" w:ascii="宋体" w:hAnsi="宋体"/>
                <w:color w:val="auto"/>
              </w:rPr>
            </w:pPr>
          </w:p>
        </w:tc>
        <w:tc>
          <w:tcPr>
            <w:tcW w:w="1134" w:type="dxa"/>
            <w:tcBorders>
              <w:right w:val="single" w:color="auto" w:sz="4" w:space="0"/>
            </w:tcBorders>
            <w:noWrap w:val="0"/>
            <w:vAlign w:val="center"/>
          </w:tcPr>
          <w:p>
            <w:pPr>
              <w:spacing w:line="400" w:lineRule="exact"/>
              <w:jc w:val="center"/>
              <w:rPr>
                <w:rFonts w:hint="eastAsia" w:ascii="宋体" w:hAnsi="宋体"/>
                <w:color w:val="auto"/>
              </w:rPr>
            </w:pPr>
          </w:p>
        </w:tc>
        <w:tc>
          <w:tcPr>
            <w:tcW w:w="1276" w:type="dxa"/>
            <w:tcBorders>
              <w:lef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noWrap w:val="0"/>
            <w:vAlign w:val="center"/>
          </w:tcPr>
          <w:p>
            <w:pPr>
              <w:spacing w:line="400" w:lineRule="exact"/>
              <w:jc w:val="center"/>
              <w:rPr>
                <w:rFonts w:hint="eastAsia" w:ascii="宋体" w:hAnsi="宋体"/>
                <w:color w:val="auto"/>
              </w:rPr>
            </w:pPr>
          </w:p>
        </w:tc>
        <w:tc>
          <w:tcPr>
            <w:tcW w:w="754" w:type="dxa"/>
            <w:tcBorders>
              <w:bottom w:val="single" w:color="auto" w:sz="4" w:space="0"/>
            </w:tcBorders>
            <w:noWrap w:val="0"/>
            <w:vAlign w:val="center"/>
          </w:tcPr>
          <w:p>
            <w:pPr>
              <w:spacing w:line="400" w:lineRule="exact"/>
              <w:jc w:val="center"/>
              <w:rPr>
                <w:rFonts w:hint="eastAsia" w:ascii="宋体" w:hAnsi="宋体"/>
                <w:color w:val="auto"/>
              </w:rPr>
            </w:pPr>
          </w:p>
        </w:tc>
        <w:tc>
          <w:tcPr>
            <w:tcW w:w="1940" w:type="dxa"/>
            <w:tcBorders>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bottom w:val="single" w:color="auto" w:sz="4" w:space="0"/>
            </w:tcBorders>
            <w:noWrap w:val="0"/>
            <w:vAlign w:val="center"/>
          </w:tcPr>
          <w:p>
            <w:pPr>
              <w:spacing w:line="400" w:lineRule="exact"/>
              <w:jc w:val="center"/>
              <w:rPr>
                <w:rFonts w:hint="eastAsia" w:ascii="宋体" w:hAnsi="宋体"/>
                <w:color w:val="auto"/>
              </w:rPr>
            </w:pPr>
          </w:p>
        </w:tc>
        <w:tc>
          <w:tcPr>
            <w:tcW w:w="1134" w:type="dxa"/>
            <w:tcBorders>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38"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tcBorders>
            <w:noWrap w:val="0"/>
            <w:vAlign w:val="top"/>
          </w:tcPr>
          <w:p>
            <w:pPr>
              <w:spacing w:line="40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38" w:type="dxa"/>
            <w:tcBorders>
              <w:top w:val="single" w:color="auto" w:sz="4" w:space="0"/>
            </w:tcBorders>
            <w:noWrap w:val="0"/>
            <w:vAlign w:val="center"/>
          </w:tcPr>
          <w:p>
            <w:pPr>
              <w:spacing w:line="400" w:lineRule="exact"/>
              <w:jc w:val="center"/>
              <w:rPr>
                <w:rFonts w:hint="eastAsia" w:ascii="宋体" w:hAnsi="宋体"/>
                <w:color w:val="auto"/>
              </w:rPr>
            </w:pPr>
          </w:p>
        </w:tc>
        <w:tc>
          <w:tcPr>
            <w:tcW w:w="754" w:type="dxa"/>
            <w:tcBorders>
              <w:top w:val="single" w:color="auto" w:sz="4" w:space="0"/>
            </w:tcBorders>
            <w:noWrap w:val="0"/>
            <w:vAlign w:val="center"/>
          </w:tcPr>
          <w:p>
            <w:pPr>
              <w:spacing w:line="400" w:lineRule="exact"/>
              <w:jc w:val="center"/>
              <w:rPr>
                <w:rFonts w:hint="eastAsia" w:ascii="宋体" w:hAnsi="宋体"/>
                <w:color w:val="auto"/>
              </w:rPr>
            </w:pPr>
          </w:p>
        </w:tc>
        <w:tc>
          <w:tcPr>
            <w:tcW w:w="1940" w:type="dxa"/>
            <w:tcBorders>
              <w:top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tcBorders>
            <w:noWrap w:val="0"/>
            <w:vAlign w:val="center"/>
          </w:tcPr>
          <w:p>
            <w:pPr>
              <w:spacing w:line="400" w:lineRule="exact"/>
              <w:jc w:val="center"/>
              <w:rPr>
                <w:rFonts w:hint="eastAsia" w:ascii="宋体" w:hAnsi="宋体"/>
                <w:color w:val="auto"/>
              </w:rPr>
            </w:pPr>
          </w:p>
        </w:tc>
        <w:tc>
          <w:tcPr>
            <w:tcW w:w="1134" w:type="dxa"/>
            <w:tcBorders>
              <w:top w:val="single" w:color="auto" w:sz="4" w:space="0"/>
              <w:right w:val="single" w:color="auto" w:sz="4" w:space="0"/>
            </w:tcBorders>
            <w:noWrap w:val="0"/>
            <w:vAlign w:val="center"/>
          </w:tcPr>
          <w:p>
            <w:pPr>
              <w:spacing w:line="400" w:lineRule="exact"/>
              <w:jc w:val="center"/>
              <w:rPr>
                <w:rFonts w:hint="eastAsia" w:ascii="宋体" w:hAnsi="宋体"/>
                <w:color w:val="auto"/>
              </w:rPr>
            </w:pPr>
          </w:p>
        </w:tc>
        <w:tc>
          <w:tcPr>
            <w:tcW w:w="1276" w:type="dxa"/>
            <w:tcBorders>
              <w:top w:val="single" w:color="auto" w:sz="4" w:space="0"/>
              <w:left w:val="single" w:color="auto" w:sz="4" w:space="0"/>
            </w:tcBorders>
            <w:noWrap w:val="0"/>
            <w:vAlign w:val="center"/>
          </w:tcPr>
          <w:p>
            <w:pPr>
              <w:spacing w:line="400" w:lineRule="exact"/>
              <w:jc w:val="center"/>
              <w:rPr>
                <w:rFonts w:hint="eastAsia" w:ascii="宋体" w:hAnsi="宋体"/>
                <w:color w:val="auto"/>
              </w:rPr>
            </w:pPr>
          </w:p>
        </w:tc>
        <w:tc>
          <w:tcPr>
            <w:tcW w:w="992" w:type="dxa"/>
            <w:tcBorders>
              <w:top w:val="single" w:color="auto" w:sz="4" w:space="0"/>
              <w:left w:val="single" w:color="auto" w:sz="4" w:space="0"/>
            </w:tcBorders>
            <w:noWrap w:val="0"/>
            <w:vAlign w:val="top"/>
          </w:tcPr>
          <w:p>
            <w:pPr>
              <w:spacing w:line="400" w:lineRule="exact"/>
              <w:jc w:val="center"/>
              <w:rPr>
                <w:rFonts w:hint="eastAsia" w:ascii="宋体" w:hAnsi="宋体"/>
                <w:color w:val="auto"/>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color w:val="auto"/>
          <w:sz w:val="24"/>
        </w:rPr>
      </w:pPr>
      <w:r>
        <w:rPr>
          <w:rFonts w:hint="eastAsia" w:ascii="宋体" w:hAnsi="宋体"/>
          <w:color w:val="auto"/>
          <w:sz w:val="24"/>
        </w:rPr>
        <w:t>注：供应商（仅限于供应商自身实施的）以上业绩需提供有关书面证明材料（如中标通知书/成交通知书或采购合同）。</w:t>
      </w:r>
    </w:p>
    <w:p>
      <w:pPr>
        <w:spacing w:line="400" w:lineRule="exact"/>
        <w:rPr>
          <w:rFonts w:hint="eastAsia" w:ascii="宋体" w:hAnsi="宋体"/>
          <w:color w:val="auto"/>
        </w:rPr>
      </w:pPr>
    </w:p>
    <w:p>
      <w:pPr>
        <w:adjustRightInd w:val="0"/>
        <w:spacing w:line="400" w:lineRule="exact"/>
        <w:ind w:firstLine="480" w:firstLineChars="200"/>
        <w:jc w:val="left"/>
        <w:rPr>
          <w:rFonts w:hint="eastAsia" w:ascii="宋体" w:hAnsi="宋体"/>
          <w:color w:val="auto"/>
          <w:sz w:val="24"/>
        </w:rPr>
      </w:pPr>
      <w:r>
        <w:rPr>
          <w:rFonts w:hint="eastAsia" w:ascii="宋体" w:hAnsi="宋体"/>
          <w:color w:val="auto"/>
          <w:sz w:val="24"/>
        </w:rPr>
        <w:t xml:space="preserve">供应商（盖章）：         </w:t>
      </w:r>
    </w:p>
    <w:p>
      <w:pPr>
        <w:adjustRightInd w:val="0"/>
        <w:spacing w:line="400" w:lineRule="exact"/>
        <w:ind w:firstLine="480" w:firstLineChars="200"/>
        <w:jc w:val="left"/>
        <w:rPr>
          <w:rFonts w:hint="eastAsia" w:ascii="宋体" w:hAnsi="宋体"/>
          <w:color w:val="auto"/>
          <w:sz w:val="24"/>
        </w:rPr>
      </w:pPr>
    </w:p>
    <w:p>
      <w:pPr>
        <w:spacing w:line="400" w:lineRule="exact"/>
        <w:ind w:right="480" w:firstLine="480" w:firstLineChars="200"/>
        <w:jc w:val="left"/>
        <w:rPr>
          <w:rFonts w:hint="eastAsia" w:ascii="宋体" w:hAnsi="宋体"/>
          <w:color w:val="auto"/>
          <w:sz w:val="24"/>
        </w:rPr>
      </w:pPr>
      <w:r>
        <w:rPr>
          <w:rFonts w:hint="eastAsia" w:ascii="宋体" w:hAnsi="宋体"/>
          <w:color w:val="auto"/>
          <w:sz w:val="24"/>
        </w:rPr>
        <w:t>法定代表人或委托代理人（签字或盖章）：</w:t>
      </w:r>
    </w:p>
    <w:p>
      <w:pPr>
        <w:spacing w:line="400" w:lineRule="exact"/>
        <w:ind w:right="480" w:firstLine="480" w:firstLineChars="200"/>
        <w:jc w:val="right"/>
        <w:rPr>
          <w:rFonts w:hint="eastAsia" w:ascii="宋体" w:hAnsi="宋体"/>
          <w:b/>
          <w:color w:val="auto"/>
          <w:sz w:val="24"/>
        </w:rPr>
      </w:pPr>
      <w:r>
        <w:rPr>
          <w:rFonts w:hint="eastAsia" w:ascii="宋体" w:hAnsi="宋体"/>
          <w:color w:val="auto"/>
          <w:sz w:val="24"/>
        </w:rPr>
        <w:t>年  月  日</w:t>
      </w:r>
    </w:p>
    <w:p>
      <w:pPr>
        <w:pStyle w:val="9"/>
        <w:spacing w:line="360" w:lineRule="auto"/>
        <w:ind w:right="86"/>
        <w:jc w:val="left"/>
        <w:outlineLvl w:val="9"/>
        <w:rPr>
          <w:rFonts w:hint="eastAsia" w:hAnsi="宋体"/>
          <w:color w:val="auto"/>
          <w:sz w:val="24"/>
        </w:rPr>
      </w:pPr>
    </w:p>
    <w:p>
      <w:pPr>
        <w:pStyle w:val="9"/>
        <w:adjustRightInd w:val="0"/>
        <w:snapToGrid w:val="0"/>
        <w:spacing w:line="360" w:lineRule="auto"/>
        <w:jc w:val="center"/>
        <w:rPr>
          <w:rFonts w:hint="eastAsia" w:hAnsi="宋体"/>
          <w:b/>
          <w:sz w:val="28"/>
        </w:rPr>
      </w:pPr>
    </w:p>
    <w:p>
      <w:pPr>
        <w:spacing w:line="360" w:lineRule="auto"/>
        <w:jc w:val="center"/>
        <w:outlineLvl w:val="1"/>
        <w:rPr>
          <w:rFonts w:hint="eastAsia" w:ascii="宋体" w:hAnsi="宋体"/>
          <w:b/>
          <w:color w:val="auto"/>
          <w:sz w:val="28"/>
        </w:rPr>
      </w:pPr>
      <w:bookmarkStart w:id="282" w:name="_Toc4620"/>
      <w:r>
        <w:rPr>
          <w:rFonts w:hint="eastAsia" w:ascii="宋体" w:hAnsi="宋体"/>
          <w:b/>
          <w:color w:val="auto"/>
          <w:sz w:val="24"/>
        </w:rPr>
        <w:t>格式</w:t>
      </w:r>
      <w:r>
        <w:rPr>
          <w:rFonts w:hint="eastAsia" w:ascii="宋体" w:hAnsi="宋体"/>
          <w:b/>
          <w:color w:val="auto"/>
          <w:sz w:val="24"/>
          <w:lang w:val="en-US" w:eastAsia="zh-CN"/>
        </w:rPr>
        <w:t>13</w:t>
      </w:r>
      <w:r>
        <w:rPr>
          <w:rFonts w:hint="eastAsia" w:ascii="宋体" w:hAnsi="宋体"/>
          <w:b/>
          <w:color w:val="auto"/>
          <w:sz w:val="24"/>
        </w:rPr>
        <w:t xml:space="preserve">   </w:t>
      </w:r>
      <w:r>
        <w:rPr>
          <w:rFonts w:hint="eastAsia" w:ascii="宋体" w:hAnsi="宋体"/>
          <w:b/>
          <w:color w:val="auto"/>
          <w:sz w:val="24"/>
          <w:lang w:val="en-US" w:eastAsia="zh-CN"/>
        </w:rPr>
        <w:t>技术</w:t>
      </w:r>
      <w:r>
        <w:rPr>
          <w:rFonts w:hint="eastAsia" w:ascii="宋体" w:hAnsi="宋体"/>
          <w:b/>
          <w:color w:val="auto"/>
          <w:sz w:val="24"/>
        </w:rPr>
        <w:t>条款响应偏离表</w:t>
      </w:r>
      <w:bookmarkEnd w:id="282"/>
    </w:p>
    <w:tbl>
      <w:tblPr>
        <w:tblStyle w:val="16"/>
        <w:tblW w:w="10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noWrap w:val="0"/>
            <w:vAlign w:val="center"/>
          </w:tcPr>
          <w:p>
            <w:pPr>
              <w:pStyle w:val="9"/>
              <w:spacing w:line="360" w:lineRule="auto"/>
              <w:jc w:val="center"/>
              <w:rPr>
                <w:rFonts w:hint="eastAsia" w:hAnsi="宋体"/>
                <w:color w:val="auto"/>
              </w:rPr>
            </w:pPr>
            <w:r>
              <w:rPr>
                <w:rFonts w:hint="eastAsia" w:hAnsi="宋体"/>
                <w:color w:val="auto"/>
              </w:rPr>
              <w:t>序号</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磋商文件商务条款</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响应文件商务条款</w:t>
            </w:r>
          </w:p>
        </w:tc>
        <w:tc>
          <w:tcPr>
            <w:tcW w:w="2356" w:type="dxa"/>
            <w:noWrap w:val="0"/>
            <w:vAlign w:val="center"/>
          </w:tcPr>
          <w:p>
            <w:pPr>
              <w:pStyle w:val="9"/>
              <w:spacing w:line="360" w:lineRule="auto"/>
              <w:jc w:val="center"/>
              <w:rPr>
                <w:rFonts w:hint="eastAsia" w:hAnsi="宋体"/>
                <w:color w:val="auto"/>
              </w:rPr>
            </w:pPr>
            <w:r>
              <w:rPr>
                <w:rFonts w:hint="eastAsia" w:hAnsi="宋体"/>
                <w:color w:val="auto"/>
              </w:rPr>
              <w:t>响应/偏离说明</w:t>
            </w: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pStyle w:val="9"/>
              <w:spacing w:line="360" w:lineRule="auto"/>
              <w:jc w:val="center"/>
              <w:rPr>
                <w:rFonts w:hint="eastAsia" w:hAnsi="宋体"/>
                <w:color w:val="auto"/>
              </w:rPr>
            </w:pPr>
            <w:r>
              <w:rPr>
                <w:rFonts w:hint="eastAsia"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6" w:type="dxa"/>
            <w:noWrap w:val="0"/>
            <w:vAlign w:val="center"/>
          </w:tcPr>
          <w:p>
            <w:pPr>
              <w:pStyle w:val="9"/>
              <w:spacing w:line="360" w:lineRule="auto"/>
              <w:jc w:val="center"/>
              <w:rPr>
                <w:rFonts w:hint="eastAsia" w:hAnsi="宋体"/>
                <w:color w:val="auto"/>
              </w:rPr>
            </w:pPr>
          </w:p>
        </w:tc>
        <w:tc>
          <w:tcPr>
            <w:tcW w:w="2358" w:type="dxa"/>
            <w:noWrap w:val="0"/>
            <w:vAlign w:val="center"/>
          </w:tcPr>
          <w:p>
            <w:pPr>
              <w:spacing w:line="360" w:lineRule="auto"/>
              <w:jc w:val="center"/>
              <w:rPr>
                <w:rFonts w:hint="eastAsia" w:ascii="宋体" w:hAnsi="宋体"/>
                <w:color w:val="auto"/>
              </w:rPr>
            </w:pPr>
            <w:r>
              <w:rPr>
                <w:rFonts w:hint="eastAsia" w:ascii="宋体" w:hAnsi="宋体"/>
                <w:color w:val="auto"/>
              </w:rPr>
              <w:t>见磋商文件（）页</w:t>
            </w:r>
          </w:p>
        </w:tc>
      </w:tr>
    </w:tbl>
    <w:p>
      <w:pPr>
        <w:spacing w:line="360" w:lineRule="auto"/>
        <w:jc w:val="center"/>
        <w:outlineLvl w:val="9"/>
        <w:rPr>
          <w:rFonts w:hint="eastAsia" w:ascii="宋体" w:hAnsi="宋体"/>
          <w:color w:val="auto"/>
        </w:rPr>
      </w:pPr>
    </w:p>
    <w:p>
      <w:pPr>
        <w:pStyle w:val="9"/>
        <w:spacing w:line="360" w:lineRule="auto"/>
        <w:ind w:firstLine="472" w:firstLineChars="196"/>
        <w:rPr>
          <w:rFonts w:hint="eastAsia" w:hAnsi="宋体"/>
          <w:color w:val="auto"/>
          <w:sz w:val="24"/>
        </w:rPr>
      </w:pPr>
      <w:r>
        <w:rPr>
          <w:rFonts w:hint="eastAsia" w:hAnsi="宋体"/>
          <w:b/>
          <w:color w:val="auto"/>
          <w:sz w:val="24"/>
        </w:rPr>
        <w:t>注：供应商按此表格式列出不影响竞争性磋商实质性响应的商务偏差（原则上应优于商务条款），没有说明的其他条款将被认为完全响应竞争性磋商文件的规定。</w:t>
      </w:r>
    </w:p>
    <w:p>
      <w:pPr>
        <w:pStyle w:val="9"/>
        <w:spacing w:line="360" w:lineRule="auto"/>
        <w:ind w:firstLine="480" w:firstLineChars="200"/>
        <w:rPr>
          <w:rFonts w:hint="eastAsia" w:hAnsi="宋体"/>
          <w:color w:val="auto"/>
          <w:sz w:val="24"/>
        </w:rPr>
      </w:pPr>
      <w:r>
        <w:rPr>
          <w:rFonts w:hint="eastAsia" w:hAnsi="宋体"/>
          <w:color w:val="auto"/>
          <w:sz w:val="24"/>
        </w:rPr>
        <w:t>供应商（盖章）：</w:t>
      </w:r>
    </w:p>
    <w:p>
      <w:pPr>
        <w:pStyle w:val="9"/>
        <w:spacing w:line="360" w:lineRule="auto"/>
        <w:ind w:firstLine="480" w:firstLineChars="200"/>
        <w:rPr>
          <w:rFonts w:hint="eastAsia" w:hAnsi="宋体"/>
          <w:color w:val="auto"/>
          <w:sz w:val="24"/>
        </w:rPr>
      </w:pPr>
      <w:r>
        <w:rPr>
          <w:rFonts w:hint="eastAsia" w:hAnsi="宋体"/>
          <w:color w:val="auto"/>
          <w:sz w:val="24"/>
        </w:rPr>
        <w:t xml:space="preserve">法定代表人或委托代理人（签字或盖章）： </w:t>
      </w:r>
    </w:p>
    <w:p>
      <w:pPr>
        <w:pStyle w:val="9"/>
        <w:spacing w:line="360" w:lineRule="auto"/>
        <w:rPr>
          <w:rFonts w:hint="eastAsia" w:hAnsi="宋体"/>
          <w:color w:val="auto"/>
        </w:rPr>
      </w:pPr>
    </w:p>
    <w:p>
      <w:pPr>
        <w:pStyle w:val="9"/>
        <w:spacing w:line="360" w:lineRule="auto"/>
        <w:jc w:val="right"/>
        <w:rPr>
          <w:rFonts w:hint="eastAsia" w:hAnsi="宋体"/>
          <w:color w:val="auto"/>
          <w:sz w:val="24"/>
        </w:rPr>
      </w:pPr>
      <w:r>
        <w:rPr>
          <w:rFonts w:hint="eastAsia" w:hAnsi="宋体"/>
          <w:color w:val="auto"/>
          <w:sz w:val="24"/>
        </w:rPr>
        <w:t xml:space="preserve">   年  月  日</w:t>
      </w:r>
    </w:p>
    <w:p>
      <w:pPr>
        <w:pStyle w:val="9"/>
        <w:adjustRightInd w:val="0"/>
        <w:snapToGrid w:val="0"/>
        <w:spacing w:line="360" w:lineRule="auto"/>
        <w:jc w:val="center"/>
        <w:rPr>
          <w:rFonts w:hint="eastAsia" w:hAnsi="宋体"/>
          <w:b/>
          <w:sz w:val="28"/>
        </w:rPr>
      </w:pPr>
    </w:p>
    <w:p>
      <w:pPr>
        <w:pStyle w:val="9"/>
        <w:adjustRightInd w:val="0"/>
        <w:snapToGrid w:val="0"/>
        <w:spacing w:line="360" w:lineRule="auto"/>
        <w:jc w:val="center"/>
        <w:rPr>
          <w:rFonts w:hint="eastAsia" w:hAnsi="宋体"/>
          <w:b/>
          <w:sz w:val="28"/>
        </w:rPr>
      </w:pPr>
    </w:p>
    <w:p>
      <w:pPr>
        <w:pStyle w:val="9"/>
        <w:adjustRightInd w:val="0"/>
        <w:snapToGrid w:val="0"/>
        <w:spacing w:line="360" w:lineRule="auto"/>
        <w:jc w:val="center"/>
        <w:rPr>
          <w:rFonts w:hint="eastAsia" w:hAnsi="宋体"/>
          <w:b/>
          <w:sz w:val="28"/>
        </w:rPr>
      </w:pPr>
    </w:p>
    <w:p>
      <w:pPr>
        <w:spacing w:line="360" w:lineRule="auto"/>
        <w:jc w:val="center"/>
        <w:outlineLvl w:val="1"/>
        <w:rPr>
          <w:rFonts w:hint="eastAsia" w:ascii="宋体" w:hAnsi="宋体"/>
          <w:color w:val="auto"/>
          <w:sz w:val="32"/>
        </w:rPr>
      </w:pPr>
      <w:bookmarkStart w:id="283" w:name="_Toc2669"/>
      <w:r>
        <w:rPr>
          <w:rFonts w:hint="eastAsia" w:ascii="宋体" w:hAnsi="宋体"/>
          <w:b/>
          <w:color w:val="auto"/>
          <w:sz w:val="24"/>
        </w:rPr>
        <w:t>格式</w:t>
      </w:r>
      <w:r>
        <w:rPr>
          <w:rFonts w:hint="eastAsia" w:ascii="宋体" w:hAnsi="宋体"/>
          <w:b/>
          <w:color w:val="auto"/>
          <w:sz w:val="24"/>
          <w:lang w:val="en-US" w:eastAsia="zh-CN"/>
        </w:rPr>
        <w:t>14</w:t>
      </w:r>
      <w:r>
        <w:rPr>
          <w:rFonts w:hint="eastAsia" w:ascii="宋体" w:hAnsi="宋体"/>
          <w:b/>
          <w:color w:val="auto"/>
          <w:sz w:val="24"/>
        </w:rPr>
        <w:t xml:space="preserve"> 资格性/符合性自查表</w:t>
      </w:r>
      <w:bookmarkEnd w:id="283"/>
    </w:p>
    <w:tbl>
      <w:tblPr>
        <w:tblStyle w:val="16"/>
        <w:tblW w:w="9831"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303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8" w:hRule="atLeast"/>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color w:val="auto"/>
                <w:sz w:val="24"/>
              </w:rPr>
            </w:pPr>
            <w:r>
              <w:rPr>
                <w:rFonts w:hint="eastAsia" w:ascii="宋体" w:hAnsi="宋体"/>
                <w:b/>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color w:val="auto"/>
                <w:sz w:val="24"/>
              </w:rPr>
            </w:pPr>
            <w:r>
              <w:rPr>
                <w:rFonts w:hint="eastAsia" w:ascii="宋体" w:hAnsi="宋体"/>
                <w:b/>
                <w:color w:val="auto"/>
                <w:spacing w:val="10"/>
                <w:sz w:val="24"/>
              </w:rPr>
              <w:t>采购文件要求</w:t>
            </w:r>
            <w:r>
              <w:rPr>
                <w:rFonts w:hint="eastAsia" w:ascii="宋体" w:hAnsi="宋体"/>
                <w:color w:val="auto"/>
              </w:rPr>
              <w:br w:type="textWrapping"/>
            </w:r>
            <w:r>
              <w:rPr>
                <w:rFonts w:hint="eastAsia" w:ascii="宋体" w:hAnsi="宋体"/>
                <w:color w:val="auto"/>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color w:val="auto"/>
                <w:sz w:val="24"/>
              </w:rPr>
            </w:pPr>
            <w:r>
              <w:rPr>
                <w:rFonts w:hint="eastAsia" w:ascii="宋体" w:hAnsi="宋体"/>
                <w:b/>
                <w:color w:val="auto"/>
                <w:spacing w:val="10"/>
                <w:sz w:val="24"/>
              </w:rPr>
              <w:t>自查结论</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eastAsia" w:ascii="宋体" w:hAnsi="宋体"/>
                <w:color w:val="auto"/>
                <w:sz w:val="24"/>
              </w:rPr>
            </w:pPr>
            <w:r>
              <w:rPr>
                <w:rFonts w:hint="eastAsia" w:ascii="宋体" w:hAnsi="宋体"/>
                <w:b/>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restart"/>
            <w:tcBorders>
              <w:top w:val="outset" w:color="111111" w:sz="6" w:space="0"/>
              <w:left w:val="outset" w:color="111111" w:sz="6" w:space="0"/>
              <w:right w:val="outset" w:color="111111" w:sz="6"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restart"/>
            <w:tcBorders>
              <w:top w:val="outset" w:color="111111" w:sz="6" w:space="0"/>
              <w:left w:val="outset" w:color="111111" w:sz="6" w:space="0"/>
              <w:right w:val="outset" w:color="111111" w:sz="6"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vMerge w:val="continue"/>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0" w:hRule="atLeast"/>
        </w:trPr>
        <w:tc>
          <w:tcPr>
            <w:tcW w:w="1391" w:type="dxa"/>
            <w:tcBorders>
              <w:left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sz w:val="24"/>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□通过 □不通过</w:t>
            </w:r>
          </w:p>
        </w:tc>
        <w:tc>
          <w:tcPr>
            <w:tcW w:w="3039"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rPr>
                <w:rFonts w:hint="eastAsia" w:ascii="宋体" w:hAnsi="宋体"/>
                <w:color w:val="auto"/>
              </w:rPr>
            </w:pPr>
            <w:r>
              <w:rPr>
                <w:rFonts w:hint="eastAsia" w:ascii="宋体" w:hAnsi="宋体"/>
                <w:color w:val="auto"/>
              </w:rPr>
              <w:t>见响应文件第（）页</w:t>
            </w:r>
          </w:p>
        </w:tc>
      </w:tr>
    </w:tbl>
    <w:p>
      <w:pPr>
        <w:tabs>
          <w:tab w:val="left" w:pos="360"/>
          <w:tab w:val="left" w:pos="1800"/>
        </w:tabs>
        <w:spacing w:line="360" w:lineRule="auto"/>
        <w:ind w:firstLine="361" w:firstLineChars="150"/>
        <w:jc w:val="left"/>
        <w:rPr>
          <w:rFonts w:hint="eastAsia" w:ascii="宋体" w:hAnsi="宋体"/>
          <w:b/>
          <w:color w:val="auto"/>
          <w:w w:val="90"/>
          <w:sz w:val="24"/>
        </w:rPr>
      </w:pPr>
      <w:r>
        <w:rPr>
          <w:rFonts w:hint="eastAsia" w:ascii="宋体" w:hAnsi="宋体"/>
          <w:b/>
          <w:color w:val="auto"/>
          <w:sz w:val="24"/>
        </w:rPr>
        <w:t>注：1、以上材料将作为磋商供应商有效性审核的重要内容之一，供应商必须严格按照其内容及序列要求在响应文件中对应如</w:t>
      </w:r>
      <w:r>
        <w:rPr>
          <w:rFonts w:hint="eastAsia" w:ascii="宋体" w:hAnsi="宋体"/>
          <w:b/>
          <w:color w:val="auto"/>
          <w:w w:val="90"/>
          <w:sz w:val="24"/>
        </w:rPr>
        <w:t>实提供，对资格性和符合性证明文件的任何缺漏和不符合项将会直接导致响应文件无效！供应商根据自查结论在对应的□打“√”。</w:t>
      </w:r>
    </w:p>
    <w:p>
      <w:pPr>
        <w:numPr>
          <w:ilvl w:val="0"/>
          <w:numId w:val="10"/>
        </w:numPr>
        <w:tabs>
          <w:tab w:val="left" w:pos="360"/>
          <w:tab w:val="left" w:pos="1800"/>
        </w:tabs>
        <w:spacing w:line="360" w:lineRule="auto"/>
        <w:ind w:firstLine="434" w:firstLineChars="200"/>
        <w:jc w:val="left"/>
        <w:rPr>
          <w:rFonts w:hint="eastAsia" w:hAnsi="宋体"/>
          <w:b/>
          <w:sz w:val="28"/>
        </w:rPr>
      </w:pPr>
      <w:r>
        <w:rPr>
          <w:rFonts w:hint="eastAsia" w:ascii="宋体" w:hAnsi="宋体"/>
          <w:b/>
          <w:color w:val="auto"/>
          <w:w w:val="90"/>
          <w:sz w:val="24"/>
        </w:rPr>
        <w:t>各供应商按此表格式填写，表格不够时可自行添加。</w:t>
      </w:r>
    </w:p>
    <w:p>
      <w:pPr>
        <w:numPr>
          <w:ilvl w:val="0"/>
          <w:numId w:val="0"/>
        </w:numPr>
        <w:adjustRightInd w:val="0"/>
        <w:snapToGrid w:val="0"/>
        <w:spacing w:line="360" w:lineRule="auto"/>
        <w:ind w:firstLine="2249" w:firstLineChars="800"/>
        <w:jc w:val="both"/>
        <w:rPr>
          <w:rFonts w:hint="eastAsia" w:ascii="宋体" w:hAnsi="宋体"/>
          <w:b/>
          <w:sz w:val="28"/>
        </w:rPr>
      </w:pPr>
      <w:r>
        <w:rPr>
          <w:rFonts w:hint="eastAsia" w:ascii="宋体" w:hAnsi="宋体"/>
          <w:b/>
          <w:sz w:val="28"/>
        </w:rPr>
        <w:t>中小企业、监狱企业、残疾人福利性单位</w:t>
      </w:r>
    </w:p>
    <w:p>
      <w:pPr>
        <w:adjustRightInd w:val="0"/>
        <w:snapToGrid w:val="0"/>
        <w:spacing w:line="360" w:lineRule="auto"/>
        <w:jc w:val="center"/>
        <w:rPr>
          <w:rFonts w:hint="eastAsia" w:ascii="宋体" w:hAnsi="宋体"/>
          <w:b/>
          <w:sz w:val="28"/>
        </w:rPr>
      </w:pPr>
      <w:r>
        <w:rPr>
          <w:rFonts w:hint="eastAsia" w:ascii="宋体" w:hAnsi="宋体"/>
          <w:b/>
          <w:sz w:val="28"/>
        </w:rPr>
        <w:t>生产或</w:t>
      </w:r>
      <w:r>
        <w:rPr>
          <w:rFonts w:hint="eastAsia" w:ascii="宋体" w:hAnsi="宋体"/>
          <w:b/>
          <w:sz w:val="28"/>
          <w:lang w:eastAsia="zh-CN"/>
        </w:rPr>
        <w:t>服务内容</w:t>
      </w:r>
      <w:r>
        <w:rPr>
          <w:rFonts w:hint="eastAsia" w:ascii="宋体" w:hAnsi="宋体"/>
          <w:b/>
          <w:sz w:val="28"/>
        </w:rPr>
        <w:t>优惠明细表</w:t>
      </w:r>
    </w:p>
    <w:p>
      <w:pPr>
        <w:spacing w:line="440" w:lineRule="exact"/>
        <w:ind w:firstLine="420"/>
        <w:jc w:val="center"/>
        <w:rPr>
          <w:rFonts w:hint="eastAsia" w:ascii="宋体" w:hAnsi="宋体"/>
          <w:b/>
        </w:rPr>
      </w:pPr>
      <w:bookmarkStart w:id="284" w:name="_Toc428276794"/>
      <w:r>
        <w:rPr>
          <w:rFonts w:hint="eastAsia" w:ascii="宋体" w:hAnsi="宋体"/>
          <w:b/>
        </w:rPr>
        <w:t>（若有，请如实填写）</w:t>
      </w:r>
      <w:bookmarkEnd w:id="284"/>
    </w:p>
    <w:p>
      <w:pPr>
        <w:spacing w:line="440" w:lineRule="exact"/>
        <w:ind w:firstLine="420"/>
        <w:rPr>
          <w:rFonts w:hint="eastAsia" w:ascii="宋体" w:hAnsi="宋体"/>
        </w:rPr>
      </w:pPr>
    </w:p>
    <w:tbl>
      <w:tblPr>
        <w:tblStyle w:val="1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066"/>
        <w:gridCol w:w="1134"/>
        <w:gridCol w:w="900"/>
        <w:gridCol w:w="900"/>
        <w:gridCol w:w="1080"/>
        <w:gridCol w:w="1080"/>
        <w:gridCol w:w="11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1</w:t>
            </w:r>
          </w:p>
        </w:tc>
        <w:tc>
          <w:tcPr>
            <w:tcW w:w="1066"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r>
              <w:rPr>
                <w:rFonts w:hint="eastAsia" w:ascii="宋体" w:hAnsi="宋体"/>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6</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7</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8</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r>
              <w:rPr>
                <w:rFonts w:hint="eastAsia" w:ascii="宋体" w:hAnsi="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标段（包）</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品目号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中小企业、监狱企业、残疾人福利性单位企业</w:t>
            </w:r>
            <w:r>
              <w:rPr>
                <w:rFonts w:hint="eastAsia" w:ascii="宋体" w:hAnsi="宋体"/>
                <w:lang w:eastAsia="zh-CN"/>
              </w:rPr>
              <w:t>提供服务</w:t>
            </w:r>
            <w:r>
              <w:rPr>
                <w:rFonts w:hint="eastAsia" w:ascii="宋体" w:hAnsi="宋体"/>
              </w:rPr>
              <w:t>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lang w:eastAsia="zh-CN"/>
              </w:rPr>
            </w:pPr>
            <w:r>
              <w:rPr>
                <w:rFonts w:hint="eastAsia" w:ascii="宋体" w:hAnsi="宋体"/>
                <w:lang w:eastAsia="zh-CN"/>
              </w:rPr>
              <w:t>服务内容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lang w:eastAsia="zh-CN"/>
              </w:rPr>
              <w:t>服务</w:t>
            </w:r>
            <w:r>
              <w:rPr>
                <w:rFonts w:hint="eastAsia" w:ascii="宋体" w:hAnsi="宋体"/>
              </w:rPr>
              <w:t>全称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投标报价（元）</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价格评标扣除金额（元）</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rPr>
            </w:pPr>
            <w:r>
              <w:rPr>
                <w:rFonts w:hint="eastAsia" w:ascii="宋体" w:hAnsi="宋体"/>
              </w:rPr>
              <w:t>价格扣除后金额（元）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restart"/>
            <w:tcBorders>
              <w:top w:val="single" w:color="auto" w:sz="4" w:space="0"/>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508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r>
              <w:rPr>
                <w:rFonts w:hint="eastAsia" w:ascii="宋体" w:hAnsi="宋体"/>
              </w:rPr>
              <w:t>本标段（包）小计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restart"/>
            <w:tcBorders>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1066"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4" w:type="dxa"/>
            <w:vMerge w:val="continue"/>
            <w:tcBorders>
              <w:left w:val="single" w:color="auto" w:sz="4" w:space="0"/>
              <w:right w:val="single" w:color="auto" w:sz="4" w:space="0"/>
            </w:tcBorders>
            <w:noWrap w:val="0"/>
            <w:vAlign w:val="center"/>
          </w:tcPr>
          <w:p>
            <w:pPr>
              <w:spacing w:line="440" w:lineRule="exact"/>
              <w:ind w:firstLine="420"/>
              <w:rPr>
                <w:rFonts w:hint="eastAsia" w:ascii="宋体" w:hAnsi="宋体"/>
              </w:rPr>
            </w:pPr>
          </w:p>
        </w:tc>
        <w:tc>
          <w:tcPr>
            <w:tcW w:w="5080"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420"/>
              <w:rPr>
                <w:rFonts w:hint="eastAsia" w:ascii="宋体" w:hAnsi="宋体"/>
              </w:rPr>
            </w:pPr>
            <w:r>
              <w:rPr>
                <w:rFonts w:hint="eastAsia" w:ascii="宋体" w:hAnsi="宋体"/>
              </w:rPr>
              <w:t>本标段（包）小计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rPr>
                <w:rFonts w:hint="eastAsia" w:ascii="宋体" w:hAnsi="宋体"/>
              </w:rPr>
            </w:pPr>
          </w:p>
        </w:tc>
      </w:tr>
    </w:tbl>
    <w:p>
      <w:pPr>
        <w:spacing w:line="440" w:lineRule="exact"/>
        <w:ind w:firstLine="420"/>
        <w:rPr>
          <w:rFonts w:hint="eastAsia" w:ascii="宋体" w:hAnsi="宋体"/>
        </w:rPr>
      </w:pPr>
      <w:r>
        <w:rPr>
          <w:rFonts w:hint="eastAsia" w:ascii="宋体" w:hAnsi="宋体"/>
        </w:rPr>
        <w:t xml:space="preserve">      </w:t>
      </w:r>
    </w:p>
    <w:p>
      <w:pPr>
        <w:adjustRightInd w:val="0"/>
        <w:snapToGrid w:val="0"/>
        <w:spacing w:line="360" w:lineRule="auto"/>
        <w:rPr>
          <w:rFonts w:hint="eastAsia" w:ascii="宋体" w:hAnsi="宋体"/>
          <w:sz w:val="22"/>
        </w:rPr>
      </w:pPr>
      <w:r>
        <w:rPr>
          <w:rFonts w:hint="eastAsia" w:ascii="宋体" w:hAnsi="宋体"/>
          <w:sz w:val="22"/>
        </w:rPr>
        <w:t>注：</w:t>
      </w:r>
    </w:p>
    <w:p>
      <w:pPr>
        <w:adjustRightInd w:val="0"/>
        <w:snapToGrid w:val="0"/>
        <w:spacing w:line="360" w:lineRule="auto"/>
        <w:rPr>
          <w:rFonts w:hint="eastAsia" w:ascii="宋体" w:hAnsi="宋体"/>
          <w:sz w:val="22"/>
        </w:rPr>
      </w:pPr>
      <w:r>
        <w:rPr>
          <w:rFonts w:hint="eastAsia" w:ascii="宋体" w:hAnsi="宋体"/>
          <w:sz w:val="22"/>
        </w:rPr>
        <w:t xml:space="preserve">1、当一个标段（包）内有多个属于上述企业的产品时， </w:t>
      </w:r>
      <w:r>
        <w:rPr>
          <w:rFonts w:hint="eastAsia" w:hAnsi="宋体"/>
          <w:sz w:val="22"/>
        </w:rPr>
        <w:t>投标人</w:t>
      </w:r>
      <w:r>
        <w:rPr>
          <w:rFonts w:hint="eastAsia" w:ascii="宋体" w:hAnsi="宋体"/>
          <w:sz w:val="22"/>
        </w:rPr>
        <w:t>应按品目号详细填写。</w:t>
      </w:r>
    </w:p>
    <w:p>
      <w:pPr>
        <w:adjustRightInd w:val="0"/>
        <w:snapToGrid w:val="0"/>
        <w:spacing w:line="360" w:lineRule="auto"/>
        <w:rPr>
          <w:rFonts w:hint="eastAsia" w:ascii="宋体" w:hAnsi="宋体"/>
          <w:sz w:val="22"/>
        </w:rPr>
      </w:pPr>
      <w:r>
        <w:rPr>
          <w:rFonts w:hint="eastAsia" w:ascii="宋体" w:hAnsi="宋体"/>
          <w:sz w:val="22"/>
        </w:rPr>
        <w:t>2、栏目8=栏目7×招标文件规定的价格扣除比率的优惠幅度。</w:t>
      </w:r>
    </w:p>
    <w:p>
      <w:pPr>
        <w:adjustRightInd w:val="0"/>
        <w:snapToGrid w:val="0"/>
        <w:spacing w:line="360" w:lineRule="auto"/>
        <w:rPr>
          <w:rFonts w:hint="eastAsia" w:ascii="宋体" w:hAnsi="宋体"/>
          <w:sz w:val="22"/>
        </w:rPr>
      </w:pPr>
      <w:r>
        <w:rPr>
          <w:rFonts w:hint="eastAsia" w:ascii="宋体" w:hAnsi="宋体"/>
          <w:sz w:val="22"/>
        </w:rPr>
        <w:t>3、栏目9=栏目7-栏目8</w:t>
      </w:r>
    </w:p>
    <w:p>
      <w:pPr>
        <w:adjustRightInd w:val="0"/>
        <w:snapToGrid w:val="0"/>
        <w:spacing w:line="360" w:lineRule="auto"/>
        <w:rPr>
          <w:rFonts w:hint="eastAsia" w:ascii="宋体" w:hAnsi="宋体"/>
          <w:sz w:val="22"/>
        </w:rPr>
      </w:pPr>
      <w:r>
        <w:rPr>
          <w:rFonts w:hint="eastAsia" w:ascii="宋体" w:hAnsi="宋体"/>
          <w:sz w:val="22"/>
        </w:rPr>
        <w:t>4、计算分数时四舍五入取小数点后两位。</w:t>
      </w:r>
    </w:p>
    <w:p>
      <w:pPr>
        <w:adjustRightInd w:val="0"/>
        <w:snapToGrid w:val="0"/>
        <w:spacing w:line="360" w:lineRule="auto"/>
        <w:rPr>
          <w:rFonts w:hint="eastAsia" w:ascii="宋体" w:hAnsi="宋体"/>
          <w:sz w:val="22"/>
        </w:rPr>
      </w:pPr>
      <w:r>
        <w:rPr>
          <w:rFonts w:hint="eastAsia" w:ascii="宋体" w:hAnsi="宋体"/>
          <w:sz w:val="22"/>
        </w:rPr>
        <w:t>5、以上属于上述企业的产品须按招标文件提供相关证明材料并加盖</w:t>
      </w:r>
      <w:r>
        <w:rPr>
          <w:rFonts w:hint="eastAsia" w:hAnsi="宋体"/>
          <w:sz w:val="22"/>
        </w:rPr>
        <w:t>投标人</w:t>
      </w:r>
      <w:r>
        <w:rPr>
          <w:rFonts w:hint="eastAsia" w:ascii="宋体" w:hAnsi="宋体"/>
          <w:sz w:val="22"/>
        </w:rPr>
        <w:t>公章，原件备查，否则将不予评审优惠。</w:t>
      </w:r>
    </w:p>
    <w:p>
      <w:pPr>
        <w:adjustRightInd w:val="0"/>
        <w:snapToGrid w:val="0"/>
        <w:spacing w:line="360" w:lineRule="auto"/>
        <w:rPr>
          <w:rFonts w:hint="eastAsia" w:ascii="宋体" w:hAnsi="宋体"/>
          <w:sz w:val="22"/>
        </w:rPr>
      </w:pPr>
      <w:r>
        <w:rPr>
          <w:rFonts w:hint="eastAsia" w:ascii="宋体" w:hAnsi="宋体"/>
          <w:sz w:val="22"/>
        </w:rPr>
        <w:t>6、若所投的产品不具备此类评审优惠条件，本“明细表”不必填写。</w:t>
      </w:r>
    </w:p>
    <w:p>
      <w:pPr>
        <w:adjustRightInd w:val="0"/>
        <w:snapToGrid w:val="0"/>
        <w:spacing w:line="360" w:lineRule="auto"/>
        <w:rPr>
          <w:rFonts w:hint="eastAsia" w:ascii="宋体" w:hAnsi="宋体"/>
          <w:sz w:val="22"/>
        </w:rPr>
      </w:pPr>
    </w:p>
    <w:p>
      <w:pPr>
        <w:adjustRightInd w:val="0"/>
        <w:snapToGrid w:val="0"/>
        <w:spacing w:line="360" w:lineRule="auto"/>
        <w:rPr>
          <w:rFonts w:hint="eastAsia" w:ascii="宋体" w:hAnsi="宋体"/>
          <w:sz w:val="22"/>
        </w:rPr>
      </w:pPr>
      <w:r>
        <w:rPr>
          <w:rFonts w:hint="eastAsia" w:hAnsi="宋体"/>
          <w:sz w:val="22"/>
        </w:rPr>
        <w:t>投标人</w:t>
      </w:r>
      <w:r>
        <w:rPr>
          <w:rFonts w:hint="eastAsia" w:ascii="宋体" w:hAnsi="宋体"/>
          <w:sz w:val="22"/>
        </w:rPr>
        <w:t>（盖单位章）：</w:t>
      </w:r>
    </w:p>
    <w:p>
      <w:pPr>
        <w:adjustRightInd w:val="0"/>
        <w:snapToGrid w:val="0"/>
        <w:spacing w:line="360" w:lineRule="auto"/>
        <w:rPr>
          <w:rFonts w:hint="eastAsia" w:ascii="宋体" w:hAnsi="宋体"/>
          <w:sz w:val="22"/>
        </w:rPr>
      </w:pPr>
      <w:r>
        <w:rPr>
          <w:rFonts w:hint="eastAsia" w:ascii="宋体" w:hAnsi="宋体"/>
          <w:sz w:val="22"/>
        </w:rPr>
        <w:t xml:space="preserve">法定代表人或其委托代理人签字：       </w:t>
      </w:r>
    </w:p>
    <w:p>
      <w:pPr>
        <w:adjustRightInd w:val="0"/>
        <w:snapToGrid w:val="0"/>
        <w:spacing w:line="360" w:lineRule="auto"/>
        <w:rPr>
          <w:rFonts w:hint="eastAsia" w:ascii="宋体" w:hAnsi="宋体"/>
          <w:b/>
          <w:color w:val="auto"/>
          <w:w w:val="90"/>
          <w:sz w:val="24"/>
        </w:rPr>
      </w:pPr>
      <w:r>
        <w:rPr>
          <w:rFonts w:hint="eastAsia" w:ascii="宋体" w:hAnsi="宋体"/>
          <w:sz w:val="22"/>
        </w:rPr>
        <w:t>日期：         年    月   日</w:t>
      </w:r>
    </w:p>
    <w:p>
      <w:pPr>
        <w:spacing w:line="360" w:lineRule="auto"/>
        <w:jc w:val="center"/>
        <w:outlineLvl w:val="0"/>
        <w:rPr>
          <w:rFonts w:hint="eastAsia" w:ascii="宋体" w:hAnsi="宋体"/>
          <w:b/>
          <w:color w:val="auto"/>
          <w:sz w:val="28"/>
        </w:rPr>
      </w:pPr>
      <w:bookmarkStart w:id="285" w:name="_Toc13442"/>
      <w:r>
        <w:rPr>
          <w:rFonts w:hint="eastAsia" w:ascii="宋体" w:hAnsi="宋体"/>
          <w:b/>
          <w:color w:val="auto"/>
          <w:sz w:val="28"/>
        </w:rPr>
        <w:t>第</w:t>
      </w:r>
      <w:r>
        <w:rPr>
          <w:rFonts w:hint="eastAsia" w:ascii="宋体" w:hAnsi="宋体"/>
          <w:b/>
          <w:color w:val="auto"/>
          <w:sz w:val="28"/>
          <w:lang w:eastAsia="zh-CN"/>
        </w:rPr>
        <w:t>六</w:t>
      </w:r>
      <w:r>
        <w:rPr>
          <w:rFonts w:hint="eastAsia" w:ascii="宋体" w:hAnsi="宋体"/>
          <w:b/>
          <w:color w:val="auto"/>
          <w:sz w:val="28"/>
        </w:rPr>
        <w:t>章  评审标准（综合评分法）</w:t>
      </w:r>
      <w:bookmarkEnd w:id="285"/>
    </w:p>
    <w:p>
      <w:pPr>
        <w:spacing w:line="360" w:lineRule="auto"/>
        <w:outlineLvl w:val="1"/>
        <w:rPr>
          <w:rFonts w:hint="eastAsia" w:ascii="宋体" w:hAnsi="宋体"/>
          <w:b/>
          <w:color w:val="auto"/>
          <w:sz w:val="24"/>
        </w:rPr>
      </w:pPr>
      <w:bookmarkStart w:id="286" w:name="_Toc19719"/>
      <w:r>
        <w:rPr>
          <w:rFonts w:hint="eastAsia" w:ascii="宋体" w:hAnsi="宋体"/>
          <w:b/>
          <w:color w:val="auto"/>
          <w:sz w:val="24"/>
        </w:rPr>
        <w:t>1、资格性审查</w:t>
      </w:r>
      <w:bookmarkEnd w:id="286"/>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42"/>
        <w:gridCol w:w="2974"/>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47"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716" w:type="dxa"/>
            <w:gridSpan w:val="2"/>
            <w:noWrap w:val="0"/>
            <w:vAlign w:val="center"/>
          </w:tcPr>
          <w:p>
            <w:pPr>
              <w:spacing w:line="360" w:lineRule="auto"/>
              <w:jc w:val="center"/>
              <w:rPr>
                <w:rFonts w:hint="eastAsia" w:ascii="宋体" w:hAnsi="宋体"/>
                <w:color w:val="auto"/>
                <w:sz w:val="24"/>
              </w:rPr>
            </w:pPr>
            <w:r>
              <w:rPr>
                <w:rFonts w:hint="eastAsia" w:ascii="宋体" w:hAnsi="宋体"/>
                <w:color w:val="auto"/>
                <w:sz w:val="24"/>
              </w:rPr>
              <w:t>评审因素</w:t>
            </w:r>
          </w:p>
        </w:tc>
        <w:tc>
          <w:tcPr>
            <w:tcW w:w="5226"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7" w:type="dxa"/>
            <w:vMerge w:val="restart"/>
            <w:noWrap w:val="0"/>
            <w:vAlign w:val="center"/>
          </w:tcPr>
          <w:p>
            <w:pPr>
              <w:spacing w:line="360" w:lineRule="auto"/>
              <w:jc w:val="center"/>
              <w:rPr>
                <w:rFonts w:hint="eastAsia" w:ascii="宋体" w:hAnsi="宋体"/>
                <w:color w:val="auto"/>
                <w:sz w:val="24"/>
              </w:rPr>
            </w:pPr>
            <w:r>
              <w:rPr>
                <w:rFonts w:hint="eastAsia" w:ascii="宋体" w:hAnsi="宋体"/>
                <w:color w:val="auto"/>
                <w:sz w:val="24"/>
              </w:rPr>
              <w:t>1</w:t>
            </w:r>
          </w:p>
        </w:tc>
        <w:tc>
          <w:tcPr>
            <w:tcW w:w="742" w:type="dxa"/>
            <w:vMerge w:val="restart"/>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供应商应符合的基本资格条件</w:t>
            </w:r>
          </w:p>
        </w:tc>
        <w:tc>
          <w:tcPr>
            <w:tcW w:w="2974" w:type="dxa"/>
            <w:noWrap w:val="0"/>
            <w:vAlign w:val="center"/>
          </w:tcPr>
          <w:p>
            <w:pPr>
              <w:spacing w:line="360" w:lineRule="auto"/>
              <w:rPr>
                <w:rFonts w:hint="eastAsia" w:ascii="宋体" w:hAnsi="宋体"/>
                <w:color w:val="auto"/>
                <w:sz w:val="24"/>
              </w:rPr>
            </w:pPr>
            <w:r>
              <w:rPr>
                <w:rFonts w:hint="eastAsia" w:ascii="宋体" w:hAnsi="宋体"/>
                <w:color w:val="auto"/>
                <w:sz w:val="24"/>
                <w:lang w:val="zh-CN"/>
              </w:rPr>
              <w:t>（1）具有独立承担民事责任的能力</w:t>
            </w:r>
          </w:p>
        </w:tc>
        <w:tc>
          <w:tcPr>
            <w:tcW w:w="5226" w:type="dxa"/>
            <w:noWrap w:val="0"/>
            <w:vAlign w:val="center"/>
          </w:tcPr>
          <w:p>
            <w:pPr>
              <w:spacing w:line="360" w:lineRule="auto"/>
              <w:rPr>
                <w:rFonts w:hint="eastAsia" w:ascii="宋体" w:hAnsi="宋体"/>
                <w:color w:val="auto"/>
                <w:sz w:val="24"/>
              </w:rPr>
            </w:pPr>
            <w:r>
              <w:rPr>
                <w:rFonts w:hint="eastAsia" w:ascii="宋体" w:hAnsi="宋体"/>
                <w:color w:val="auto"/>
                <w:sz w:val="24"/>
                <w:lang w:val="zh-CN"/>
              </w:rPr>
              <w:t>营业执照等复印件，以及法定代表人身份证明和授权代表委托书等。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947" w:type="dxa"/>
            <w:vMerge w:val="continue"/>
            <w:noWrap w:val="0"/>
            <w:vAlign w:val="center"/>
          </w:tcPr>
          <w:p>
            <w:pPr>
              <w:spacing w:line="360" w:lineRule="auto"/>
              <w:jc w:val="center"/>
              <w:rPr>
                <w:rFonts w:hint="eastAsia" w:ascii="宋体" w:hAnsi="宋体"/>
                <w:color w:val="auto"/>
                <w:sz w:val="24"/>
              </w:rPr>
            </w:pPr>
          </w:p>
        </w:tc>
        <w:tc>
          <w:tcPr>
            <w:tcW w:w="742" w:type="dxa"/>
            <w:vMerge w:val="continue"/>
            <w:noWrap w:val="0"/>
            <w:vAlign w:val="center"/>
          </w:tcPr>
          <w:p>
            <w:pPr>
              <w:spacing w:line="360" w:lineRule="auto"/>
              <w:rPr>
                <w:rFonts w:hint="eastAsia" w:ascii="宋体" w:hAnsi="宋体"/>
                <w:color w:val="auto"/>
                <w:sz w:val="24"/>
                <w:lang w:val="zh-CN"/>
              </w:rPr>
            </w:pPr>
          </w:p>
        </w:tc>
        <w:tc>
          <w:tcPr>
            <w:tcW w:w="2974" w:type="dxa"/>
            <w:noWrap w:val="0"/>
            <w:vAlign w:val="center"/>
          </w:tcPr>
          <w:p>
            <w:pPr>
              <w:spacing w:line="360" w:lineRule="auto"/>
              <w:rPr>
                <w:rFonts w:hint="eastAsia" w:ascii="宋体" w:hAnsi="宋体"/>
                <w:color w:val="auto"/>
                <w:sz w:val="24"/>
              </w:rPr>
            </w:pPr>
            <w:r>
              <w:rPr>
                <w:rFonts w:hint="eastAsia" w:ascii="宋体" w:hAnsi="宋体"/>
                <w:color w:val="auto"/>
                <w:sz w:val="24"/>
                <w:lang w:val="zh-CN"/>
              </w:rPr>
              <w:t>（2）具有良好的商业信誉和健全的财务会计制度</w:t>
            </w:r>
          </w:p>
        </w:tc>
        <w:tc>
          <w:tcPr>
            <w:tcW w:w="5226" w:type="dxa"/>
            <w:noWrap w:val="0"/>
            <w:vAlign w:val="center"/>
          </w:tcPr>
          <w:p>
            <w:pPr>
              <w:numPr>
                <w:ilvl w:val="0"/>
                <w:numId w:val="0"/>
              </w:numPr>
              <w:tabs>
                <w:tab w:val="left" w:pos="0"/>
              </w:tabs>
              <w:spacing w:line="360" w:lineRule="auto"/>
              <w:jc w:val="left"/>
              <w:rPr>
                <w:rFonts w:hint="eastAsia" w:ascii="宋体" w:hAnsi="宋体"/>
                <w:color w:val="auto"/>
                <w:sz w:val="24"/>
              </w:rPr>
            </w:pPr>
            <w:r>
              <w:rPr>
                <w:rFonts w:hint="default" w:ascii="宋体" w:hAnsi="宋体"/>
                <w:color w:val="auto"/>
                <w:sz w:val="24"/>
                <w:lang w:val="en-US" w:eastAsia="zh-CN"/>
              </w:rPr>
              <w:t>提供经会计师事务所审计的</w:t>
            </w:r>
            <w:r>
              <w:rPr>
                <w:rFonts w:hint="eastAsia" w:ascii="宋体" w:hAnsi="宋体"/>
                <w:color w:val="auto"/>
                <w:sz w:val="24"/>
                <w:lang w:val="en-US" w:eastAsia="zh-CN"/>
              </w:rPr>
              <w:t>2020</w:t>
            </w:r>
            <w:r>
              <w:rPr>
                <w:rFonts w:hint="default" w:ascii="宋体" w:hAnsi="宋体"/>
                <w:color w:val="auto"/>
                <w:sz w:val="24"/>
                <w:lang w:val="en-US" w:eastAsia="zh-CN"/>
              </w:rPr>
              <w:t>年度财务审计报告或</w:t>
            </w:r>
            <w:r>
              <w:rPr>
                <w:rFonts w:hint="eastAsia" w:ascii="宋体" w:hAnsi="宋体"/>
                <w:color w:val="auto"/>
                <w:sz w:val="24"/>
                <w:lang w:val="en-US" w:eastAsia="zh-CN"/>
              </w:rPr>
              <w:t>2020</w:t>
            </w:r>
            <w:r>
              <w:rPr>
                <w:rFonts w:hint="default" w:ascii="宋体" w:hAnsi="宋体"/>
                <w:color w:val="auto"/>
                <w:sz w:val="24"/>
                <w:lang w:val="en-US" w:eastAsia="zh-CN"/>
              </w:rPr>
              <w:t>年度财务会计报表；（备注：新成立的公司提供公司的财务制度）；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47" w:type="dxa"/>
            <w:vMerge w:val="continue"/>
            <w:noWrap w:val="0"/>
            <w:vAlign w:val="center"/>
          </w:tcPr>
          <w:p>
            <w:pPr>
              <w:spacing w:line="360" w:lineRule="auto"/>
              <w:jc w:val="center"/>
              <w:rPr>
                <w:rFonts w:hint="eastAsia" w:ascii="宋体" w:hAnsi="宋体"/>
                <w:color w:val="auto"/>
                <w:sz w:val="24"/>
              </w:rPr>
            </w:pPr>
          </w:p>
        </w:tc>
        <w:tc>
          <w:tcPr>
            <w:tcW w:w="742" w:type="dxa"/>
            <w:vMerge w:val="continue"/>
            <w:noWrap w:val="0"/>
            <w:vAlign w:val="center"/>
          </w:tcPr>
          <w:p>
            <w:pPr>
              <w:spacing w:line="360" w:lineRule="auto"/>
              <w:rPr>
                <w:rFonts w:hint="eastAsia" w:ascii="宋体" w:hAnsi="宋体"/>
                <w:color w:val="auto"/>
                <w:sz w:val="24"/>
                <w:lang w:val="zh-CN"/>
              </w:rPr>
            </w:pPr>
          </w:p>
        </w:tc>
        <w:tc>
          <w:tcPr>
            <w:tcW w:w="2974" w:type="dxa"/>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（3）具有履行合同所必须的设备和专业技术能力</w:t>
            </w:r>
          </w:p>
        </w:tc>
        <w:tc>
          <w:tcPr>
            <w:tcW w:w="5226" w:type="dxa"/>
            <w:noWrap w:val="0"/>
            <w:vAlign w:val="center"/>
          </w:tcPr>
          <w:p>
            <w:pPr>
              <w:spacing w:line="360" w:lineRule="auto"/>
              <w:rPr>
                <w:rFonts w:hint="eastAsia" w:ascii="宋体" w:hAnsi="宋体"/>
                <w:color w:val="auto"/>
                <w:sz w:val="24"/>
              </w:rPr>
            </w:pPr>
            <w:r>
              <w:rPr>
                <w:rFonts w:hint="eastAsia" w:ascii="宋体" w:hAnsi="宋体"/>
                <w:color w:val="auto"/>
                <w:sz w:val="24"/>
                <w:lang w:val="zh-CN"/>
              </w:rPr>
              <w:t>主要设备情况，以及主要技术人员、售后服务机构人员能力等。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947" w:type="dxa"/>
            <w:vMerge w:val="continue"/>
            <w:noWrap w:val="0"/>
            <w:vAlign w:val="center"/>
          </w:tcPr>
          <w:p>
            <w:pPr>
              <w:spacing w:line="360" w:lineRule="auto"/>
              <w:jc w:val="center"/>
              <w:rPr>
                <w:rFonts w:hint="eastAsia" w:ascii="宋体" w:hAnsi="宋体"/>
                <w:color w:val="auto"/>
                <w:sz w:val="24"/>
              </w:rPr>
            </w:pPr>
          </w:p>
        </w:tc>
        <w:tc>
          <w:tcPr>
            <w:tcW w:w="742" w:type="dxa"/>
            <w:vMerge w:val="continue"/>
            <w:noWrap w:val="0"/>
            <w:vAlign w:val="center"/>
          </w:tcPr>
          <w:p>
            <w:pPr>
              <w:spacing w:line="360" w:lineRule="auto"/>
              <w:rPr>
                <w:rFonts w:hint="eastAsia" w:ascii="宋体" w:hAnsi="宋体"/>
                <w:color w:val="auto"/>
                <w:sz w:val="24"/>
                <w:lang w:val="zh-CN"/>
              </w:rPr>
            </w:pPr>
          </w:p>
        </w:tc>
        <w:tc>
          <w:tcPr>
            <w:tcW w:w="2974" w:type="dxa"/>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（4）有依法缴纳税收和社会保障金的良好记录</w:t>
            </w:r>
          </w:p>
        </w:tc>
        <w:tc>
          <w:tcPr>
            <w:tcW w:w="5226" w:type="dxa"/>
            <w:noWrap w:val="0"/>
            <w:vAlign w:val="center"/>
          </w:tcPr>
          <w:p>
            <w:pPr>
              <w:spacing w:line="360" w:lineRule="auto"/>
              <w:rPr>
                <w:rFonts w:hint="eastAsia" w:ascii="宋体" w:hAnsi="宋体"/>
                <w:color w:val="auto"/>
                <w:sz w:val="24"/>
              </w:rPr>
            </w:pPr>
            <w:r>
              <w:rPr>
                <w:rFonts w:hint="eastAsia" w:ascii="宋体" w:hAnsi="宋体"/>
                <w:color w:val="auto"/>
                <w:sz w:val="24"/>
              </w:rPr>
              <w:t>税务登记证复印件或依法缴纳202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月1日至202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月1日连续三个月税收证明材料的复印件；社保登记证复印件或由社保机构出具的202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月1日至202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月1日连续三个月社保缴纳证明复印件；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947" w:type="dxa"/>
            <w:vMerge w:val="continue"/>
            <w:noWrap w:val="0"/>
            <w:vAlign w:val="center"/>
          </w:tcPr>
          <w:p>
            <w:pPr>
              <w:spacing w:line="360" w:lineRule="auto"/>
              <w:jc w:val="center"/>
              <w:rPr>
                <w:rFonts w:hint="eastAsia" w:ascii="宋体" w:hAnsi="宋体"/>
                <w:color w:val="auto"/>
                <w:sz w:val="24"/>
              </w:rPr>
            </w:pPr>
          </w:p>
        </w:tc>
        <w:tc>
          <w:tcPr>
            <w:tcW w:w="742" w:type="dxa"/>
            <w:vMerge w:val="continue"/>
            <w:noWrap w:val="0"/>
            <w:vAlign w:val="center"/>
          </w:tcPr>
          <w:p>
            <w:pPr>
              <w:spacing w:line="360" w:lineRule="auto"/>
              <w:rPr>
                <w:rFonts w:hint="eastAsia" w:ascii="宋体" w:hAnsi="宋体"/>
                <w:color w:val="auto"/>
                <w:sz w:val="24"/>
                <w:lang w:val="zh-CN"/>
              </w:rPr>
            </w:pPr>
          </w:p>
        </w:tc>
        <w:tc>
          <w:tcPr>
            <w:tcW w:w="2974" w:type="dxa"/>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（5）参加政府采购活动前三年内，在经营活动中没有重大违法记录。</w:t>
            </w:r>
          </w:p>
        </w:tc>
        <w:tc>
          <w:tcPr>
            <w:tcW w:w="5226" w:type="dxa"/>
            <w:noWrap w:val="0"/>
            <w:vAlign w:val="center"/>
          </w:tcPr>
          <w:p>
            <w:pPr>
              <w:spacing w:line="360" w:lineRule="auto"/>
              <w:rPr>
                <w:rFonts w:hint="eastAsia" w:ascii="宋体" w:hAnsi="宋体" w:eastAsia="宋体"/>
                <w:color w:val="auto"/>
                <w:sz w:val="24"/>
                <w:lang w:eastAsia="zh-CN"/>
              </w:rPr>
            </w:pPr>
            <w:r>
              <w:rPr>
                <w:rFonts w:hint="eastAsia" w:ascii="宋体" w:hAnsi="宋体"/>
                <w:color w:val="auto"/>
                <w:sz w:val="24"/>
                <w:lang w:val="zh-CN"/>
              </w:rPr>
              <w:t>参加本项目准备活动前三年内无重大违法记录声明</w:t>
            </w:r>
            <w:r>
              <w:rPr>
                <w:rFonts w:hint="eastAsia" w:ascii="宋体" w:hAnsi="宋体"/>
                <w:color w:val="auto"/>
                <w:sz w:val="24"/>
                <w:lang w:val="en-US" w:eastAsia="zh-CN"/>
              </w:rPr>
              <w:t>及信用中国”、“中国政府采购”网站截图复印件（查询渠道：“信用中国”网站www.creditchina.gov.cn、中国政府采购”网站（www.ccgp.gov.cn））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947" w:type="dxa"/>
            <w:noWrap w:val="0"/>
            <w:vAlign w:val="center"/>
          </w:tcPr>
          <w:p>
            <w:pPr>
              <w:spacing w:line="400" w:lineRule="exact"/>
              <w:jc w:val="center"/>
              <w:rPr>
                <w:rFonts w:hint="eastAsia" w:ascii="宋体" w:hAnsi="宋体"/>
                <w:color w:val="auto"/>
                <w:sz w:val="24"/>
              </w:rPr>
            </w:pPr>
            <w:r>
              <w:rPr>
                <w:rFonts w:hint="eastAsia" w:ascii="宋体" w:hAnsi="宋体"/>
                <w:color w:val="auto"/>
                <w:sz w:val="24"/>
                <w:lang w:val="zh-CN"/>
              </w:rPr>
              <w:t>2</w:t>
            </w:r>
          </w:p>
        </w:tc>
        <w:tc>
          <w:tcPr>
            <w:tcW w:w="3716" w:type="dxa"/>
            <w:gridSpan w:val="2"/>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依法取得企业营业执照及营业执照在有效期内</w:t>
            </w:r>
          </w:p>
        </w:tc>
        <w:tc>
          <w:tcPr>
            <w:tcW w:w="5226" w:type="dxa"/>
            <w:noWrap w:val="0"/>
            <w:vAlign w:val="center"/>
          </w:tcPr>
          <w:p>
            <w:pPr>
              <w:widowControl/>
              <w:spacing w:line="360" w:lineRule="auto"/>
              <w:jc w:val="left"/>
              <w:rPr>
                <w:rFonts w:hint="eastAsia" w:ascii="宋体" w:hAnsi="宋体"/>
                <w:color w:val="auto"/>
                <w:sz w:val="24"/>
              </w:rPr>
            </w:pPr>
            <w:r>
              <w:rPr>
                <w:rFonts w:hint="eastAsia" w:ascii="宋体" w:hAnsi="宋体"/>
                <w:color w:val="auto"/>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947" w:type="dxa"/>
            <w:noWrap w:val="0"/>
            <w:vAlign w:val="center"/>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3716" w:type="dxa"/>
            <w:gridSpan w:val="2"/>
            <w:noWrap w:val="0"/>
            <w:vAlign w:val="center"/>
          </w:tcPr>
          <w:p>
            <w:pPr>
              <w:spacing w:line="360" w:lineRule="auto"/>
              <w:rPr>
                <w:rFonts w:hint="eastAsia" w:ascii="宋体" w:hAnsi="宋体"/>
                <w:color w:val="auto"/>
                <w:sz w:val="24"/>
                <w:lang w:val="zh-CN"/>
              </w:rPr>
            </w:pPr>
            <w:r>
              <w:rPr>
                <w:rFonts w:hint="eastAsia" w:ascii="宋体" w:hAnsi="宋体"/>
                <w:color w:val="auto"/>
                <w:sz w:val="24"/>
                <w:lang w:val="zh-CN"/>
              </w:rPr>
              <w:t>本项目不接受联合体供应商参加磋商</w:t>
            </w:r>
          </w:p>
        </w:tc>
        <w:tc>
          <w:tcPr>
            <w:tcW w:w="5226" w:type="dxa"/>
            <w:noWrap w:val="0"/>
            <w:vAlign w:val="center"/>
          </w:tcPr>
          <w:p>
            <w:pPr>
              <w:widowControl/>
              <w:spacing w:line="360" w:lineRule="auto"/>
              <w:jc w:val="left"/>
              <w:rPr>
                <w:rFonts w:hint="eastAsia" w:ascii="宋体" w:hAnsi="宋体"/>
                <w:color w:val="auto"/>
                <w:sz w:val="24"/>
              </w:rPr>
            </w:pPr>
            <w:r>
              <w:rPr>
                <w:rFonts w:hint="eastAsia" w:ascii="宋体" w:hAnsi="宋体"/>
                <w:color w:val="auto"/>
                <w:sz w:val="24"/>
              </w:rPr>
              <w:t>符合本磋商文件规定</w:t>
            </w:r>
          </w:p>
        </w:tc>
      </w:tr>
    </w:tbl>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pStyle w:val="15"/>
        <w:rPr>
          <w:rFonts w:hint="eastAsia" w:ascii="宋体" w:hAnsi="宋体"/>
          <w:b/>
          <w:color w:val="auto"/>
          <w:sz w:val="24"/>
        </w:rPr>
      </w:pPr>
    </w:p>
    <w:p>
      <w:pPr>
        <w:pStyle w:val="15"/>
        <w:rPr>
          <w:rFonts w:hint="eastAsia" w:ascii="宋体" w:hAnsi="宋体"/>
          <w:b/>
          <w:color w:val="auto"/>
          <w:sz w:val="24"/>
        </w:rPr>
      </w:pPr>
    </w:p>
    <w:p>
      <w:pPr>
        <w:spacing w:line="360" w:lineRule="auto"/>
        <w:rPr>
          <w:rFonts w:hint="eastAsia" w:ascii="宋体" w:hAnsi="宋体"/>
          <w:b/>
          <w:color w:val="auto"/>
          <w:sz w:val="24"/>
        </w:rPr>
      </w:pPr>
    </w:p>
    <w:p>
      <w:pPr>
        <w:spacing w:line="360" w:lineRule="auto"/>
        <w:outlineLvl w:val="1"/>
        <w:rPr>
          <w:rFonts w:hint="eastAsia" w:ascii="宋体" w:hAnsi="宋体"/>
          <w:b/>
          <w:color w:val="auto"/>
          <w:sz w:val="24"/>
        </w:rPr>
      </w:pPr>
      <w:bookmarkStart w:id="287" w:name="_Toc3549"/>
      <w:r>
        <w:rPr>
          <w:rFonts w:hint="eastAsia" w:ascii="宋体" w:hAnsi="宋体"/>
          <w:b/>
          <w:color w:val="auto"/>
          <w:sz w:val="24"/>
        </w:rPr>
        <w:t>2、符合性审查</w:t>
      </w:r>
      <w:bookmarkEnd w:id="287"/>
    </w:p>
    <w:tbl>
      <w:tblPr>
        <w:tblStyle w:val="16"/>
        <w:tblW w:w="1026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84"/>
        <w:gridCol w:w="221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6" w:type="dxa"/>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序号</w:t>
            </w:r>
          </w:p>
        </w:tc>
        <w:tc>
          <w:tcPr>
            <w:tcW w:w="3300" w:type="dxa"/>
            <w:gridSpan w:val="2"/>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评审因素</w:t>
            </w:r>
          </w:p>
        </w:tc>
        <w:tc>
          <w:tcPr>
            <w:tcW w:w="6201" w:type="dxa"/>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66" w:type="dxa"/>
            <w:vMerge w:val="restart"/>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1</w:t>
            </w:r>
          </w:p>
        </w:tc>
        <w:tc>
          <w:tcPr>
            <w:tcW w:w="1084" w:type="dxa"/>
            <w:vMerge w:val="restart"/>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有效性审查</w:t>
            </w:r>
          </w:p>
        </w:tc>
        <w:tc>
          <w:tcPr>
            <w:tcW w:w="2216"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w:t>
            </w:r>
            <w:r>
              <w:rPr>
                <w:rFonts w:hint="eastAsia" w:ascii="宋体" w:hAnsi="宋体"/>
                <w:color w:val="auto"/>
                <w:sz w:val="24"/>
              </w:rPr>
              <w:t>签署</w:t>
            </w:r>
          </w:p>
        </w:tc>
        <w:tc>
          <w:tcPr>
            <w:tcW w:w="6201"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w:t>
            </w:r>
            <w:r>
              <w:rPr>
                <w:rFonts w:hint="eastAsia" w:ascii="宋体" w:hAnsi="宋体"/>
                <w:color w:val="auto"/>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66" w:type="dxa"/>
            <w:vMerge w:val="continue"/>
            <w:noWrap w:val="0"/>
            <w:vAlign w:val="center"/>
          </w:tcPr>
          <w:p>
            <w:pPr>
              <w:spacing w:line="500" w:lineRule="exact"/>
              <w:jc w:val="center"/>
              <w:rPr>
                <w:rFonts w:hint="eastAsia" w:ascii="宋体" w:hAnsi="宋体"/>
                <w:color w:val="auto"/>
                <w:kern w:val="0"/>
                <w:sz w:val="24"/>
              </w:rPr>
            </w:pPr>
          </w:p>
        </w:tc>
        <w:tc>
          <w:tcPr>
            <w:tcW w:w="1084" w:type="dxa"/>
            <w:vMerge w:val="continue"/>
            <w:noWrap w:val="0"/>
            <w:vAlign w:val="center"/>
          </w:tcPr>
          <w:p>
            <w:pPr>
              <w:spacing w:line="500" w:lineRule="exact"/>
              <w:rPr>
                <w:rFonts w:hint="eastAsia" w:ascii="宋体" w:hAnsi="宋体"/>
                <w:color w:val="auto"/>
                <w:kern w:val="0"/>
                <w:sz w:val="24"/>
              </w:rPr>
            </w:pPr>
          </w:p>
        </w:tc>
        <w:tc>
          <w:tcPr>
            <w:tcW w:w="2216" w:type="dxa"/>
            <w:noWrap w:val="0"/>
            <w:vAlign w:val="center"/>
          </w:tcPr>
          <w:p>
            <w:pPr>
              <w:spacing w:line="500" w:lineRule="exact"/>
              <w:rPr>
                <w:rFonts w:hint="eastAsia" w:ascii="宋体" w:hAnsi="宋体"/>
                <w:color w:val="auto"/>
                <w:sz w:val="24"/>
              </w:rPr>
            </w:pPr>
            <w:r>
              <w:rPr>
                <w:rFonts w:hint="eastAsia" w:ascii="宋体" w:hAnsi="宋体"/>
                <w:color w:val="auto"/>
                <w:sz w:val="24"/>
              </w:rPr>
              <w:t>法定代表人身份证明及授权委托书</w:t>
            </w:r>
          </w:p>
        </w:tc>
        <w:tc>
          <w:tcPr>
            <w:tcW w:w="6201" w:type="dxa"/>
            <w:noWrap w:val="0"/>
            <w:vAlign w:val="center"/>
          </w:tcPr>
          <w:p>
            <w:pPr>
              <w:spacing w:line="500" w:lineRule="exact"/>
              <w:rPr>
                <w:rFonts w:hint="eastAsia" w:ascii="宋体" w:hAnsi="宋体"/>
                <w:color w:val="auto"/>
                <w:sz w:val="24"/>
              </w:rPr>
            </w:pPr>
            <w:r>
              <w:rPr>
                <w:rFonts w:hint="eastAsia" w:ascii="宋体" w:hAnsi="宋体"/>
                <w:color w:val="auto"/>
                <w:sz w:val="24"/>
              </w:rPr>
              <w:t>法定代表人身份证明及授权委托书有效，且符合磋商文件规定的格式，签字或盖章齐全。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6" w:type="dxa"/>
            <w:vMerge w:val="restart"/>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2</w:t>
            </w:r>
          </w:p>
        </w:tc>
        <w:tc>
          <w:tcPr>
            <w:tcW w:w="1084" w:type="dxa"/>
            <w:vMerge w:val="restart"/>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完整性审查</w:t>
            </w:r>
          </w:p>
        </w:tc>
        <w:tc>
          <w:tcPr>
            <w:tcW w:w="2216"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响应文件份数</w:t>
            </w:r>
          </w:p>
        </w:tc>
        <w:tc>
          <w:tcPr>
            <w:tcW w:w="6201"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响应文件正本、副本等响应文件数量符合</w:t>
            </w:r>
            <w:r>
              <w:rPr>
                <w:rFonts w:hint="eastAsia" w:ascii="宋体" w:hAnsi="宋体"/>
                <w:color w:val="auto"/>
                <w:kern w:val="0"/>
                <w:sz w:val="24"/>
              </w:rPr>
              <w:t>磋商文件</w:t>
            </w:r>
            <w:r>
              <w:rPr>
                <w:rFonts w:hint="eastAsia" w:ascii="宋体" w:hAnsi="宋体"/>
                <w:color w:val="auto"/>
                <w:sz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6" w:type="dxa"/>
            <w:vMerge w:val="continue"/>
            <w:noWrap w:val="0"/>
            <w:vAlign w:val="center"/>
          </w:tcPr>
          <w:p>
            <w:pPr>
              <w:spacing w:line="500" w:lineRule="exact"/>
              <w:jc w:val="center"/>
              <w:rPr>
                <w:rFonts w:hint="eastAsia" w:ascii="宋体" w:hAnsi="宋体"/>
                <w:color w:val="auto"/>
                <w:kern w:val="0"/>
                <w:sz w:val="24"/>
              </w:rPr>
            </w:pPr>
          </w:p>
        </w:tc>
        <w:tc>
          <w:tcPr>
            <w:tcW w:w="1084" w:type="dxa"/>
            <w:vMerge w:val="continue"/>
            <w:noWrap w:val="0"/>
            <w:vAlign w:val="center"/>
          </w:tcPr>
          <w:p>
            <w:pPr>
              <w:spacing w:line="500" w:lineRule="exact"/>
              <w:rPr>
                <w:rFonts w:hint="eastAsia" w:ascii="宋体" w:hAnsi="宋体"/>
                <w:color w:val="auto"/>
                <w:kern w:val="0"/>
                <w:sz w:val="24"/>
              </w:rPr>
            </w:pPr>
          </w:p>
        </w:tc>
        <w:tc>
          <w:tcPr>
            <w:tcW w:w="2216" w:type="dxa"/>
            <w:noWrap w:val="0"/>
            <w:vAlign w:val="center"/>
          </w:tcPr>
          <w:p>
            <w:pPr>
              <w:spacing w:line="500" w:lineRule="exact"/>
              <w:rPr>
                <w:rFonts w:hint="eastAsia" w:ascii="宋体" w:hAnsi="宋体"/>
                <w:color w:val="auto"/>
                <w:sz w:val="24"/>
                <w:lang w:val="zh-CN"/>
              </w:rPr>
            </w:pPr>
            <w:r>
              <w:rPr>
                <w:rFonts w:hint="eastAsia" w:ascii="宋体" w:hAnsi="宋体"/>
                <w:color w:val="auto"/>
                <w:sz w:val="24"/>
                <w:lang w:val="zh-CN"/>
              </w:rPr>
              <w:t>响应文件内容</w:t>
            </w:r>
          </w:p>
        </w:tc>
        <w:tc>
          <w:tcPr>
            <w:tcW w:w="6201" w:type="dxa"/>
            <w:noWrap w:val="0"/>
            <w:vAlign w:val="center"/>
          </w:tcPr>
          <w:p>
            <w:pPr>
              <w:spacing w:line="500" w:lineRule="exact"/>
              <w:rPr>
                <w:rFonts w:hint="eastAsia" w:ascii="宋体" w:hAnsi="宋体"/>
                <w:color w:val="auto"/>
                <w:sz w:val="24"/>
                <w:lang w:val="zh-CN"/>
              </w:rPr>
            </w:pPr>
            <w:r>
              <w:rPr>
                <w:rFonts w:hint="eastAsia" w:ascii="宋体" w:hAnsi="宋体"/>
                <w:color w:val="auto"/>
                <w:sz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6" w:type="dxa"/>
            <w:vMerge w:val="restart"/>
            <w:noWrap w:val="0"/>
            <w:vAlign w:val="center"/>
          </w:tcPr>
          <w:p>
            <w:pPr>
              <w:spacing w:line="500" w:lineRule="exact"/>
              <w:jc w:val="center"/>
              <w:rPr>
                <w:rFonts w:hint="eastAsia" w:ascii="宋体" w:hAnsi="宋体"/>
                <w:color w:val="auto"/>
                <w:kern w:val="0"/>
                <w:sz w:val="24"/>
              </w:rPr>
            </w:pPr>
            <w:r>
              <w:rPr>
                <w:rFonts w:hint="eastAsia" w:ascii="宋体" w:hAnsi="宋体"/>
                <w:color w:val="auto"/>
                <w:kern w:val="0"/>
                <w:sz w:val="24"/>
              </w:rPr>
              <w:t>3</w:t>
            </w:r>
          </w:p>
        </w:tc>
        <w:tc>
          <w:tcPr>
            <w:tcW w:w="1084" w:type="dxa"/>
            <w:vMerge w:val="restart"/>
            <w:noWrap w:val="0"/>
            <w:vAlign w:val="center"/>
          </w:tcPr>
          <w:p>
            <w:pPr>
              <w:spacing w:line="500" w:lineRule="exact"/>
              <w:rPr>
                <w:rFonts w:hint="eastAsia" w:ascii="宋体" w:hAnsi="宋体"/>
                <w:color w:val="auto"/>
                <w:sz w:val="24"/>
                <w:lang w:val="zh-CN"/>
              </w:rPr>
            </w:pPr>
            <w:r>
              <w:rPr>
                <w:rFonts w:hint="eastAsia" w:ascii="宋体" w:hAnsi="宋体"/>
                <w:color w:val="auto"/>
                <w:kern w:val="0"/>
                <w:sz w:val="24"/>
              </w:rPr>
              <w:t>磋商文件的响应程度审查</w:t>
            </w:r>
          </w:p>
        </w:tc>
        <w:tc>
          <w:tcPr>
            <w:tcW w:w="2216"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w:t>
            </w:r>
            <w:r>
              <w:rPr>
                <w:rFonts w:hint="eastAsia" w:ascii="宋体" w:hAnsi="宋体"/>
                <w:color w:val="auto"/>
                <w:kern w:val="0"/>
                <w:sz w:val="24"/>
              </w:rPr>
              <w:t>内容</w:t>
            </w:r>
          </w:p>
        </w:tc>
        <w:tc>
          <w:tcPr>
            <w:tcW w:w="6201" w:type="dxa"/>
            <w:noWrap w:val="0"/>
            <w:vAlign w:val="center"/>
          </w:tcPr>
          <w:p>
            <w:pPr>
              <w:pStyle w:val="10"/>
              <w:spacing w:line="500" w:lineRule="exact"/>
              <w:ind w:left="0" w:leftChars="0"/>
              <w:rPr>
                <w:rFonts w:hint="eastAsia" w:ascii="宋体" w:hAnsi="宋体"/>
                <w:color w:val="auto"/>
                <w:kern w:val="0"/>
                <w:sz w:val="24"/>
              </w:rPr>
            </w:pPr>
            <w:r>
              <w:rPr>
                <w:rFonts w:hint="eastAsia" w:ascii="宋体" w:hAnsi="宋体"/>
                <w:color w:val="auto"/>
                <w:kern w:val="0"/>
                <w:sz w:val="24"/>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Merge w:val="continue"/>
            <w:noWrap w:val="0"/>
            <w:vAlign w:val="center"/>
          </w:tcPr>
          <w:p>
            <w:pPr>
              <w:spacing w:line="500" w:lineRule="exact"/>
              <w:jc w:val="center"/>
              <w:rPr>
                <w:rFonts w:hint="eastAsia" w:ascii="宋体" w:hAnsi="宋体"/>
                <w:color w:val="auto"/>
                <w:kern w:val="0"/>
                <w:sz w:val="24"/>
              </w:rPr>
            </w:pPr>
          </w:p>
        </w:tc>
        <w:tc>
          <w:tcPr>
            <w:tcW w:w="1084" w:type="dxa"/>
            <w:vMerge w:val="continue"/>
            <w:noWrap w:val="0"/>
            <w:vAlign w:val="center"/>
          </w:tcPr>
          <w:p>
            <w:pPr>
              <w:spacing w:line="500" w:lineRule="exact"/>
              <w:rPr>
                <w:rFonts w:hint="eastAsia" w:ascii="宋体" w:hAnsi="宋体"/>
                <w:color w:val="auto"/>
                <w:kern w:val="0"/>
                <w:sz w:val="24"/>
              </w:rPr>
            </w:pPr>
          </w:p>
        </w:tc>
        <w:tc>
          <w:tcPr>
            <w:tcW w:w="2216" w:type="dxa"/>
            <w:noWrap w:val="0"/>
            <w:vAlign w:val="center"/>
          </w:tcPr>
          <w:p>
            <w:pPr>
              <w:spacing w:line="500" w:lineRule="exact"/>
              <w:rPr>
                <w:rFonts w:hint="eastAsia" w:ascii="宋体" w:hAnsi="宋体"/>
                <w:color w:val="auto"/>
                <w:kern w:val="0"/>
                <w:sz w:val="24"/>
              </w:rPr>
            </w:pPr>
            <w:r>
              <w:rPr>
                <w:rFonts w:hint="eastAsia" w:ascii="宋体" w:hAnsi="宋体"/>
                <w:color w:val="auto"/>
                <w:kern w:val="0"/>
                <w:sz w:val="24"/>
                <w:lang w:val="en-US" w:eastAsia="zh-CN"/>
              </w:rPr>
              <w:t>履约期限</w:t>
            </w:r>
          </w:p>
        </w:tc>
        <w:tc>
          <w:tcPr>
            <w:tcW w:w="6201" w:type="dxa"/>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满足磋商文件</w:t>
            </w:r>
            <w:r>
              <w:rPr>
                <w:rFonts w:hint="eastAsia" w:ascii="宋体" w:hAnsi="宋体"/>
                <w:color w:val="auto"/>
                <w:sz w:val="24"/>
                <w:lang w:val="zh-CN"/>
              </w:rPr>
              <w:t>规定</w:t>
            </w:r>
            <w:r>
              <w:rPr>
                <w:rFonts w:hint="eastAsia"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6" w:type="dxa"/>
            <w:vMerge w:val="continue"/>
            <w:noWrap w:val="0"/>
            <w:vAlign w:val="center"/>
          </w:tcPr>
          <w:p>
            <w:pPr>
              <w:spacing w:line="500" w:lineRule="exact"/>
              <w:jc w:val="center"/>
              <w:rPr>
                <w:rFonts w:hint="eastAsia" w:ascii="宋体" w:hAnsi="宋体"/>
                <w:color w:val="auto"/>
                <w:kern w:val="0"/>
                <w:sz w:val="24"/>
              </w:rPr>
            </w:pPr>
          </w:p>
        </w:tc>
        <w:tc>
          <w:tcPr>
            <w:tcW w:w="1084" w:type="dxa"/>
            <w:vMerge w:val="continue"/>
            <w:noWrap w:val="0"/>
            <w:vAlign w:val="center"/>
          </w:tcPr>
          <w:p>
            <w:pPr>
              <w:spacing w:line="500" w:lineRule="exact"/>
              <w:rPr>
                <w:rFonts w:hint="eastAsia" w:ascii="宋体" w:hAnsi="宋体"/>
                <w:color w:val="auto"/>
                <w:sz w:val="24"/>
                <w:lang w:val="zh-CN"/>
              </w:rPr>
            </w:pPr>
          </w:p>
        </w:tc>
        <w:tc>
          <w:tcPr>
            <w:tcW w:w="2216" w:type="dxa"/>
            <w:noWrap w:val="0"/>
            <w:vAlign w:val="center"/>
          </w:tcPr>
          <w:p>
            <w:pPr>
              <w:spacing w:line="500" w:lineRule="exact"/>
              <w:rPr>
                <w:rFonts w:hint="eastAsia" w:ascii="宋体" w:hAnsi="宋体"/>
                <w:color w:val="auto"/>
                <w:kern w:val="0"/>
                <w:sz w:val="24"/>
              </w:rPr>
            </w:pPr>
            <w:r>
              <w:rPr>
                <w:rFonts w:hint="eastAsia" w:ascii="宋体" w:hAnsi="宋体"/>
                <w:color w:val="auto"/>
                <w:sz w:val="24"/>
                <w:lang w:val="zh-CN"/>
              </w:rPr>
              <w:t>响应文件</w:t>
            </w:r>
            <w:r>
              <w:rPr>
                <w:rFonts w:hint="eastAsia" w:ascii="宋体" w:hAnsi="宋体"/>
                <w:color w:val="auto"/>
                <w:kern w:val="0"/>
                <w:sz w:val="24"/>
              </w:rPr>
              <w:t>有效期</w:t>
            </w:r>
          </w:p>
        </w:tc>
        <w:tc>
          <w:tcPr>
            <w:tcW w:w="6201" w:type="dxa"/>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满足磋商文件</w:t>
            </w:r>
            <w:r>
              <w:rPr>
                <w:rFonts w:hint="eastAsia" w:ascii="宋体" w:hAnsi="宋体"/>
                <w:color w:val="auto"/>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66" w:type="dxa"/>
            <w:vMerge w:val="continue"/>
            <w:tcBorders>
              <w:bottom w:val="single" w:color="auto" w:sz="4" w:space="0"/>
            </w:tcBorders>
            <w:noWrap w:val="0"/>
            <w:vAlign w:val="center"/>
          </w:tcPr>
          <w:p>
            <w:pPr>
              <w:spacing w:line="500" w:lineRule="exact"/>
              <w:jc w:val="center"/>
              <w:rPr>
                <w:rFonts w:hint="eastAsia" w:ascii="宋体" w:hAnsi="宋体"/>
                <w:color w:val="auto"/>
                <w:kern w:val="0"/>
                <w:sz w:val="24"/>
              </w:rPr>
            </w:pPr>
          </w:p>
        </w:tc>
        <w:tc>
          <w:tcPr>
            <w:tcW w:w="1084" w:type="dxa"/>
            <w:vMerge w:val="continue"/>
            <w:tcBorders>
              <w:bottom w:val="single" w:color="auto" w:sz="4" w:space="0"/>
            </w:tcBorders>
            <w:noWrap w:val="0"/>
            <w:vAlign w:val="center"/>
          </w:tcPr>
          <w:p>
            <w:pPr>
              <w:spacing w:line="500" w:lineRule="exact"/>
              <w:rPr>
                <w:rFonts w:hint="eastAsia" w:ascii="宋体" w:hAnsi="宋体"/>
                <w:color w:val="auto"/>
                <w:sz w:val="24"/>
                <w:lang w:val="zh-CN"/>
              </w:rPr>
            </w:pPr>
          </w:p>
        </w:tc>
        <w:tc>
          <w:tcPr>
            <w:tcW w:w="2216" w:type="dxa"/>
            <w:tcBorders>
              <w:bottom w:val="single" w:color="auto" w:sz="4" w:space="0"/>
            </w:tcBorders>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其他</w:t>
            </w:r>
          </w:p>
        </w:tc>
        <w:tc>
          <w:tcPr>
            <w:tcW w:w="6201" w:type="dxa"/>
            <w:tcBorders>
              <w:bottom w:val="single" w:color="auto" w:sz="4" w:space="0"/>
            </w:tcBorders>
            <w:noWrap w:val="0"/>
            <w:vAlign w:val="center"/>
          </w:tcPr>
          <w:p>
            <w:pPr>
              <w:spacing w:line="500" w:lineRule="exact"/>
              <w:rPr>
                <w:rFonts w:hint="eastAsia" w:ascii="宋体" w:hAnsi="宋体"/>
                <w:color w:val="auto"/>
                <w:kern w:val="0"/>
                <w:sz w:val="24"/>
              </w:rPr>
            </w:pPr>
            <w:r>
              <w:rPr>
                <w:rFonts w:hint="eastAsia" w:ascii="宋体" w:hAnsi="宋体"/>
                <w:color w:val="auto"/>
                <w:kern w:val="0"/>
                <w:sz w:val="24"/>
              </w:rPr>
              <w:t>满足磋商文件相关</w:t>
            </w:r>
            <w:r>
              <w:rPr>
                <w:rFonts w:hint="eastAsia" w:ascii="宋体" w:hAnsi="宋体"/>
                <w:color w:val="auto"/>
                <w:sz w:val="24"/>
                <w:lang w:val="zh-CN"/>
              </w:rPr>
              <w:t>规定。</w:t>
            </w:r>
          </w:p>
        </w:tc>
      </w:tr>
    </w:tbl>
    <w:p>
      <w:pPr>
        <w:spacing w:line="360" w:lineRule="auto"/>
        <w:rPr>
          <w:rFonts w:hint="eastAsia" w:ascii="宋体" w:hAnsi="宋体"/>
          <w:b/>
          <w:color w:val="auto"/>
          <w:sz w:val="28"/>
        </w:rPr>
      </w:pPr>
    </w:p>
    <w:p>
      <w:pPr>
        <w:spacing w:line="360" w:lineRule="auto"/>
        <w:rPr>
          <w:rFonts w:hint="eastAsia" w:ascii="宋体" w:hAnsi="宋体"/>
          <w:b/>
          <w:color w:val="auto"/>
          <w:sz w:val="24"/>
        </w:rPr>
      </w:pPr>
      <w:r>
        <w:rPr>
          <w:rFonts w:hint="eastAsia" w:ascii="宋体" w:hAnsi="宋体"/>
          <w:b/>
          <w:color w:val="auto"/>
          <w:sz w:val="24"/>
        </w:rPr>
        <w:t>注：以上评审内容，有一项不通过者，视为供应商初步评审不通过，未通过初审的其响应文件将按照无效响应处理。</w:t>
      </w: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pStyle w:val="6"/>
        <w:rPr>
          <w:rFonts w:hint="eastAsia" w:ascii="宋体" w:hAnsi="宋体"/>
          <w:b/>
          <w:color w:val="auto"/>
          <w:sz w:val="24"/>
        </w:rPr>
      </w:pPr>
    </w:p>
    <w:p>
      <w:pPr>
        <w:rPr>
          <w:rFonts w:hint="eastAsia" w:ascii="宋体" w:hAnsi="宋体"/>
          <w:b/>
          <w:color w:val="auto"/>
          <w:sz w:val="24"/>
        </w:rPr>
      </w:pPr>
    </w:p>
    <w:p>
      <w:pPr>
        <w:pStyle w:val="6"/>
        <w:rPr>
          <w:rFonts w:hint="eastAsia"/>
        </w:rPr>
      </w:pPr>
    </w:p>
    <w:p>
      <w:pPr>
        <w:rPr>
          <w:rFonts w:hint="eastAsia" w:ascii="宋体" w:hAnsi="宋体"/>
          <w:b/>
          <w:color w:val="auto"/>
          <w:sz w:val="24"/>
        </w:rPr>
      </w:pPr>
    </w:p>
    <w:p>
      <w:pPr>
        <w:rPr>
          <w:rFonts w:hint="eastAsia" w:ascii="宋体" w:hAnsi="宋体"/>
          <w:b/>
          <w:color w:val="auto"/>
          <w:sz w:val="24"/>
        </w:rPr>
      </w:pPr>
    </w:p>
    <w:p>
      <w:pPr>
        <w:pStyle w:val="15"/>
        <w:ind w:left="0" w:leftChars="0" w:firstLine="0" w:firstLineChars="0"/>
        <w:rPr>
          <w:rFonts w:hint="eastAsia" w:ascii="宋体" w:hAnsi="宋体"/>
          <w:b/>
          <w:color w:val="auto"/>
          <w:sz w:val="24"/>
        </w:rPr>
      </w:pPr>
    </w:p>
    <w:p>
      <w:pPr>
        <w:pStyle w:val="15"/>
        <w:rPr>
          <w:rFonts w:hint="eastAsia" w:ascii="宋体" w:hAnsi="宋体"/>
          <w:b/>
          <w:color w:val="auto"/>
          <w:sz w:val="24"/>
        </w:rPr>
      </w:pPr>
    </w:p>
    <w:p>
      <w:pPr>
        <w:outlineLvl w:val="1"/>
        <w:rPr>
          <w:rFonts w:hint="eastAsia" w:ascii="宋体" w:hAnsi="宋体"/>
          <w:b/>
          <w:color w:val="auto"/>
          <w:sz w:val="24"/>
        </w:rPr>
      </w:pPr>
      <w:bookmarkStart w:id="288" w:name="_Toc28"/>
      <w:r>
        <w:rPr>
          <w:rFonts w:hint="eastAsia" w:ascii="宋体" w:hAnsi="宋体"/>
          <w:b/>
          <w:color w:val="auto"/>
          <w:sz w:val="24"/>
        </w:rPr>
        <w:t>3、评分</w:t>
      </w:r>
      <w:bookmarkEnd w:id="288"/>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zh-CN"/>
        </w:rPr>
        <w:t>投标供应商得分=投标价格评分A+</w:t>
      </w:r>
      <w:r>
        <w:rPr>
          <w:rFonts w:hint="eastAsia" w:ascii="宋体" w:hAnsi="宋体" w:cs="宋体"/>
          <w:kern w:val="0"/>
          <w:sz w:val="24"/>
          <w:szCs w:val="24"/>
        </w:rPr>
        <w:t>技术部分评分B+商务部分评分C；</w:t>
      </w:r>
    </w:p>
    <w:tbl>
      <w:tblPr>
        <w:tblStyle w:val="16"/>
        <w:tblW w:w="9612"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00"/>
        <w:gridCol w:w="81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序号</w:t>
            </w:r>
          </w:p>
        </w:tc>
        <w:tc>
          <w:tcPr>
            <w:tcW w:w="1500" w:type="dxa"/>
            <w:noWrap w:val="0"/>
            <w:vAlign w:val="center"/>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评标项目</w:t>
            </w:r>
          </w:p>
        </w:tc>
        <w:tc>
          <w:tcPr>
            <w:tcW w:w="812" w:type="dxa"/>
            <w:noWrap w:val="0"/>
            <w:vAlign w:val="top"/>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评标</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权重</w:t>
            </w:r>
          </w:p>
        </w:tc>
        <w:tc>
          <w:tcPr>
            <w:tcW w:w="6600" w:type="dxa"/>
            <w:noWrap w:val="0"/>
            <w:vAlign w:val="center"/>
          </w:tcPr>
          <w:p>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一</w:t>
            </w:r>
          </w:p>
        </w:tc>
        <w:tc>
          <w:tcPr>
            <w:tcW w:w="1500" w:type="dxa"/>
            <w:noWrap w:val="0"/>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投标价格</w:t>
            </w:r>
          </w:p>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评分A</w:t>
            </w:r>
          </w:p>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（25分）</w:t>
            </w:r>
          </w:p>
        </w:tc>
        <w:tc>
          <w:tcPr>
            <w:tcW w:w="812" w:type="dxa"/>
            <w:noWrap w:val="0"/>
            <w:vAlign w:val="center"/>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25分</w:t>
            </w:r>
          </w:p>
        </w:tc>
        <w:tc>
          <w:tcPr>
            <w:tcW w:w="6600" w:type="dxa"/>
            <w:noWrap w:val="0"/>
            <w:vAlign w:val="center"/>
          </w:tcPr>
          <w:p>
            <w:pPr>
              <w:adjustRightInd w:val="0"/>
              <w:snapToGrid w:val="0"/>
              <w:spacing w:line="360" w:lineRule="auto"/>
              <w:rPr>
                <w:rFonts w:hint="eastAsia"/>
                <w:lang w:val="zh-CN"/>
              </w:rPr>
            </w:pPr>
            <w:r>
              <w:rPr>
                <w:rFonts w:hint="eastAsia"/>
                <w:lang w:val="zh-CN"/>
              </w:rPr>
              <w:t>投标报价得分=(评标基准价/投标报价)×</w:t>
            </w:r>
            <w:r>
              <w:rPr>
                <w:rFonts w:hint="eastAsia"/>
              </w:rPr>
              <w:t>25</w:t>
            </w:r>
            <w:r>
              <w:rPr>
                <w:rFonts w:hint="eastAsia"/>
                <w:lang w:val="zh-CN"/>
              </w:rPr>
              <w:t>%×100</w:t>
            </w:r>
          </w:p>
          <w:p>
            <w:pPr>
              <w:adjustRightInd w:val="0"/>
              <w:snapToGrid w:val="0"/>
              <w:spacing w:line="360" w:lineRule="auto"/>
              <w:rPr>
                <w:rFonts w:hint="eastAsia"/>
                <w:lang w:val="zh-CN"/>
              </w:rPr>
            </w:pPr>
            <w:r>
              <w:rPr>
                <w:rFonts w:hint="eastAsia"/>
                <w:lang w:val="zh-CN"/>
              </w:rPr>
              <w:t>备注：满足招标文件要求且最终投标价格最低的投标报价为评标基准价，其价格为满分（保留小数点后两位）</w:t>
            </w:r>
          </w:p>
          <w:p>
            <w:pPr>
              <w:pStyle w:val="19"/>
              <w:rPr>
                <w:rFonts w:hint="eastAsia"/>
              </w:rPr>
            </w:pPr>
            <w:r>
              <w:rPr>
                <w:rFonts w:hint="eastAsia" w:ascii="Times New Roman" w:hAnsi="Times New Roman" w:eastAsia="宋体" w:cs="Times New Roman"/>
                <w:color w:val="auto"/>
                <w:kern w:val="2"/>
                <w:sz w:val="21"/>
                <w:szCs w:val="22"/>
                <w:lang w:val="zh-CN" w:eastAsia="zh-CN"/>
              </w:rPr>
              <w:t>注：1、对中型或小型或微型企业的价格给予6%的扣除，用扣除后的价格参与评审。2、评标过程中，不得去掉报价中最高报价和最低报价。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0" w:type="dxa"/>
            <w:noWrap w:val="0"/>
            <w:vAlign w:val="top"/>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二</w:t>
            </w:r>
          </w:p>
        </w:tc>
        <w:tc>
          <w:tcPr>
            <w:tcW w:w="8912" w:type="dxa"/>
            <w:gridSpan w:val="3"/>
            <w:noWrap w:val="0"/>
            <w:vAlign w:val="top"/>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rPr>
              <w:t>技术部分评分B（满分40分，B=B1+B2+B3+B4+B5+B6+B7）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trPr>
        <w:tc>
          <w:tcPr>
            <w:tcW w:w="700" w:type="dxa"/>
            <w:noWrap w:val="0"/>
            <w:vAlign w:val="center"/>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B1</w:t>
            </w:r>
          </w:p>
        </w:tc>
        <w:tc>
          <w:tcPr>
            <w:tcW w:w="1500" w:type="dxa"/>
            <w:noWrap w:val="0"/>
            <w:vAlign w:val="center"/>
          </w:tcPr>
          <w:p>
            <w:pPr>
              <w:widowControl/>
              <w:spacing w:line="400" w:lineRule="exact"/>
              <w:jc w:val="center"/>
              <w:rPr>
                <w:rFonts w:hint="eastAsia" w:ascii="宋体" w:hAnsi="宋体" w:cs="宋体"/>
                <w:kern w:val="0"/>
                <w:szCs w:val="21"/>
                <w:lang w:val="zh-CN"/>
              </w:rPr>
            </w:pPr>
            <w:r>
              <w:rPr>
                <w:rFonts w:hint="eastAsia" w:ascii="宋体" w:hAnsi="宋体" w:cs="宋体"/>
                <w:kern w:val="0"/>
                <w:szCs w:val="21"/>
                <w:lang w:val="zh-CN"/>
              </w:rPr>
              <w:t>物业服务整体服务设想及策划（</w:t>
            </w:r>
            <w:r>
              <w:rPr>
                <w:rFonts w:hint="eastAsia" w:ascii="宋体" w:hAnsi="宋体" w:cs="宋体"/>
                <w:kern w:val="0"/>
                <w:szCs w:val="21"/>
              </w:rPr>
              <w:t>10分</w:t>
            </w:r>
            <w:r>
              <w:rPr>
                <w:rFonts w:hint="eastAsia" w:ascii="宋体" w:hAnsi="宋体" w:cs="宋体"/>
                <w:kern w:val="0"/>
                <w:szCs w:val="21"/>
                <w:lang w:val="zh-CN"/>
              </w:rPr>
              <w:t>）</w:t>
            </w:r>
          </w:p>
        </w:tc>
        <w:tc>
          <w:tcPr>
            <w:tcW w:w="812" w:type="dxa"/>
            <w:noWrap w:val="0"/>
            <w:vAlign w:val="center"/>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rPr>
              <w:t>10</w:t>
            </w:r>
            <w:r>
              <w:rPr>
                <w:rFonts w:hint="eastAsia" w:ascii="宋体" w:hAnsi="宋体" w:cs="宋体"/>
                <w:kern w:val="0"/>
                <w:szCs w:val="21"/>
                <w:lang w:val="zh-CN"/>
              </w:rPr>
              <w:t>分</w:t>
            </w:r>
          </w:p>
        </w:tc>
        <w:tc>
          <w:tcPr>
            <w:tcW w:w="6600" w:type="dxa"/>
            <w:noWrap w:val="0"/>
            <w:vAlign w:val="center"/>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整体服务设想及策划考虑全面，不漏项，专业性、系统性强，操作可行；</w:t>
            </w:r>
            <w:r>
              <w:rPr>
                <w:rFonts w:hint="eastAsia" w:ascii="宋体" w:hAnsi="宋体" w:cs="宋体"/>
                <w:kern w:val="0"/>
                <w:szCs w:val="21"/>
              </w:rPr>
              <w:t>10</w:t>
            </w:r>
            <w:r>
              <w:rPr>
                <w:rFonts w:hint="eastAsia" w:ascii="宋体" w:hAnsi="宋体" w:cs="宋体"/>
                <w:kern w:val="0"/>
                <w:szCs w:val="21"/>
                <w:lang w:val="zh-CN"/>
              </w:rPr>
              <w:t>分</w:t>
            </w:r>
          </w:p>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整体服务设想及策划考虑较全面，基本不漏项，专业性、系统性较强，操作可行性较强；</w:t>
            </w:r>
            <w:r>
              <w:rPr>
                <w:rFonts w:hint="eastAsia" w:ascii="宋体" w:hAnsi="宋体" w:cs="宋体"/>
                <w:kern w:val="0"/>
                <w:szCs w:val="21"/>
              </w:rPr>
              <w:t>7</w:t>
            </w:r>
            <w:r>
              <w:rPr>
                <w:rFonts w:hint="eastAsia" w:ascii="宋体" w:hAnsi="宋体" w:cs="宋体"/>
                <w:kern w:val="0"/>
                <w:szCs w:val="21"/>
                <w:lang w:val="zh-CN"/>
              </w:rPr>
              <w:t>分</w:t>
            </w:r>
          </w:p>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整体服务设想及策划考虑不够周全，基本不漏项，有一定的专业性、系统性，有一定的操作可行性；</w:t>
            </w:r>
            <w:r>
              <w:rPr>
                <w:rFonts w:hint="eastAsia" w:ascii="宋体" w:hAnsi="宋体" w:cs="宋体"/>
                <w:kern w:val="0"/>
                <w:szCs w:val="21"/>
              </w:rPr>
              <w:t>5</w:t>
            </w:r>
            <w:r>
              <w:rPr>
                <w:rFonts w:hint="eastAsia" w:ascii="宋体" w:hAnsi="宋体" w:cs="宋体"/>
                <w:kern w:val="0"/>
                <w:szCs w:val="21"/>
                <w:lang w:val="zh-CN"/>
              </w:rPr>
              <w:t>分</w:t>
            </w:r>
          </w:p>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整体服务设想及策划考虑不全，有明显漏项，专业性、系统性不强，操作可行性差。</w:t>
            </w:r>
            <w:r>
              <w:rPr>
                <w:rFonts w:hint="eastAsia" w:ascii="宋体" w:hAnsi="宋体" w:cs="宋体"/>
                <w:kern w:val="0"/>
                <w:szCs w:val="21"/>
              </w:rPr>
              <w:t>2</w:t>
            </w:r>
            <w:r>
              <w:rPr>
                <w:rFonts w:hint="eastAsia" w:ascii="宋体" w:hAnsi="宋体" w:cs="宋体"/>
                <w:kern w:val="0"/>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0" w:type="dxa"/>
            <w:noWrap w:val="0"/>
            <w:vAlign w:val="center"/>
          </w:tcPr>
          <w:p>
            <w:pPr>
              <w:adjustRightInd w:val="0"/>
              <w:snapToGrid w:val="0"/>
              <w:spacing w:line="360" w:lineRule="auto"/>
              <w:rPr>
                <w:rFonts w:hint="eastAsia" w:ascii="宋体" w:hAnsi="宋体" w:cs="宋体"/>
                <w:kern w:val="0"/>
                <w:szCs w:val="21"/>
              </w:rPr>
            </w:pPr>
            <w:r>
              <w:rPr>
                <w:rFonts w:hint="eastAsia" w:ascii="宋体" w:hAnsi="宋体" w:cs="宋体"/>
                <w:kern w:val="0"/>
                <w:szCs w:val="21"/>
              </w:rPr>
              <w:t>B2</w:t>
            </w:r>
          </w:p>
        </w:tc>
        <w:tc>
          <w:tcPr>
            <w:tcW w:w="1500" w:type="dxa"/>
            <w:noWrap w:val="0"/>
            <w:vAlign w:val="center"/>
          </w:tcPr>
          <w:p>
            <w:pPr>
              <w:adjustRightInd w:val="0"/>
              <w:snapToGrid w:val="0"/>
              <w:spacing w:line="360" w:lineRule="auto"/>
              <w:jc w:val="center"/>
              <w:rPr>
                <w:rFonts w:hint="eastAsia" w:ascii="宋体" w:hAnsi="宋体" w:cs="宋体"/>
                <w:kern w:val="0"/>
                <w:szCs w:val="21"/>
                <w:lang w:val="zh-CN"/>
              </w:rPr>
            </w:pPr>
            <w:r>
              <w:rPr>
                <w:rFonts w:hint="eastAsia" w:ascii="宋体" w:hAnsi="宋体" w:cs="宋体"/>
                <w:kern w:val="0"/>
                <w:szCs w:val="21"/>
                <w:lang w:val="zh-CN"/>
              </w:rPr>
              <w:t>各部门工作流程及具体（</w:t>
            </w:r>
            <w:r>
              <w:rPr>
                <w:rFonts w:hint="eastAsia" w:ascii="宋体" w:hAnsi="宋体" w:cs="宋体"/>
                <w:kern w:val="0"/>
                <w:szCs w:val="21"/>
              </w:rPr>
              <w:t>8分</w:t>
            </w:r>
            <w:r>
              <w:rPr>
                <w:rFonts w:hint="eastAsia" w:ascii="宋体" w:hAnsi="宋体" w:cs="宋体"/>
                <w:kern w:val="0"/>
                <w:szCs w:val="21"/>
                <w:lang w:val="zh-CN"/>
              </w:rPr>
              <w:t>）</w:t>
            </w:r>
          </w:p>
        </w:tc>
        <w:tc>
          <w:tcPr>
            <w:tcW w:w="812" w:type="dxa"/>
            <w:noWrap w:val="0"/>
            <w:vAlign w:val="center"/>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rPr>
              <w:t>8</w:t>
            </w:r>
            <w:r>
              <w:rPr>
                <w:rFonts w:hint="eastAsia" w:ascii="宋体" w:hAnsi="宋体" w:cs="宋体"/>
                <w:kern w:val="0"/>
                <w:szCs w:val="21"/>
                <w:lang w:val="zh-CN"/>
              </w:rPr>
              <w:t>分</w:t>
            </w:r>
          </w:p>
        </w:tc>
        <w:tc>
          <w:tcPr>
            <w:tcW w:w="6600" w:type="dxa"/>
            <w:noWrap w:val="0"/>
            <w:vAlign w:val="center"/>
          </w:tcPr>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各部门工作流程及具体操作措施的科学性、合理性、完整专业性强，符合实际，工作计划完备，实施方案可行，优于招标文件要求；</w:t>
            </w:r>
            <w:r>
              <w:rPr>
                <w:rFonts w:hint="eastAsia" w:ascii="宋体" w:hAnsi="宋体" w:cs="宋体"/>
                <w:kern w:val="0"/>
                <w:szCs w:val="21"/>
              </w:rPr>
              <w:t>8</w:t>
            </w:r>
            <w:r>
              <w:rPr>
                <w:rFonts w:hint="eastAsia" w:ascii="宋体" w:hAnsi="宋体" w:cs="宋体"/>
                <w:kern w:val="0"/>
                <w:szCs w:val="21"/>
                <w:lang w:val="zh-CN"/>
              </w:rPr>
              <w:t>分</w:t>
            </w:r>
          </w:p>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各部门工作流程及具体操作措施比较合理、完整，专业性较强，符合实际，工作计划较完备，实施方案可行，符合招标文件要求；</w:t>
            </w:r>
            <w:r>
              <w:rPr>
                <w:rFonts w:hint="eastAsia" w:ascii="宋体" w:hAnsi="宋体" w:cs="宋体"/>
                <w:kern w:val="0"/>
                <w:szCs w:val="21"/>
              </w:rPr>
              <w:t>5</w:t>
            </w:r>
            <w:r>
              <w:rPr>
                <w:rFonts w:hint="eastAsia" w:ascii="宋体" w:hAnsi="宋体" w:cs="宋体"/>
                <w:kern w:val="0"/>
                <w:szCs w:val="21"/>
                <w:lang w:val="zh-CN"/>
              </w:rPr>
              <w:t>分</w:t>
            </w:r>
          </w:p>
          <w:p>
            <w:pPr>
              <w:adjustRightInd w:val="0"/>
              <w:snapToGrid w:val="0"/>
              <w:spacing w:line="360" w:lineRule="auto"/>
              <w:rPr>
                <w:rFonts w:hint="eastAsia" w:ascii="宋体" w:hAnsi="宋体" w:cs="宋体"/>
                <w:kern w:val="0"/>
                <w:szCs w:val="21"/>
                <w:lang w:val="zh-CN"/>
              </w:rPr>
            </w:pPr>
            <w:r>
              <w:rPr>
                <w:rFonts w:hint="eastAsia" w:ascii="宋体" w:hAnsi="宋体" w:cs="宋体"/>
                <w:kern w:val="0"/>
                <w:szCs w:val="21"/>
                <w:lang w:val="zh-CN"/>
              </w:rPr>
              <w:t>各部门工作流程及具体操作措施较差、不完整，不符合实际，工作计划不完备。1分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adjustRightInd w:val="0"/>
              <w:snapToGrid w:val="0"/>
              <w:spacing w:line="360" w:lineRule="auto"/>
              <w:jc w:val="center"/>
              <w:rPr>
                <w:rFonts w:hint="eastAsia"/>
                <w:szCs w:val="21"/>
              </w:rPr>
            </w:pPr>
            <w:r>
              <w:rPr>
                <w:rFonts w:hint="eastAsia"/>
                <w:szCs w:val="21"/>
              </w:rPr>
              <w:t xml:space="preserve">    B3</w:t>
            </w:r>
          </w:p>
        </w:tc>
        <w:tc>
          <w:tcPr>
            <w:tcW w:w="1500" w:type="dxa"/>
            <w:noWrap w:val="0"/>
            <w:vAlign w:val="center"/>
          </w:tcPr>
          <w:p>
            <w:pPr>
              <w:adjustRightInd w:val="0"/>
              <w:snapToGrid w:val="0"/>
              <w:spacing w:line="360" w:lineRule="auto"/>
              <w:jc w:val="center"/>
              <w:rPr>
                <w:szCs w:val="21"/>
              </w:rPr>
            </w:pPr>
            <w:r>
              <w:rPr>
                <w:rFonts w:hint="eastAsia" w:ascii="宋体" w:hAnsi="宋体" w:cs="宋体"/>
                <w:kern w:val="0"/>
                <w:szCs w:val="21"/>
                <w:lang w:val="en-US" w:eastAsia="zh-CN"/>
              </w:rPr>
              <w:t>物业服务人员配置及设备、服务用品投入</w:t>
            </w:r>
            <w:r>
              <w:rPr>
                <w:rFonts w:hint="eastAsia" w:ascii="宋体" w:hAnsi="宋体" w:cs="宋体"/>
                <w:kern w:val="0"/>
                <w:szCs w:val="21"/>
                <w:lang w:val="zh-CN"/>
              </w:rPr>
              <w:t>（</w:t>
            </w:r>
            <w:r>
              <w:rPr>
                <w:rFonts w:hint="eastAsia" w:ascii="宋体" w:hAnsi="宋体" w:cs="宋体"/>
                <w:kern w:val="0"/>
                <w:szCs w:val="21"/>
              </w:rPr>
              <w:t>10分</w:t>
            </w:r>
            <w:r>
              <w:rPr>
                <w:rFonts w:hint="eastAsia" w:ascii="宋体" w:hAnsi="宋体" w:cs="宋体"/>
                <w:kern w:val="0"/>
                <w:szCs w:val="21"/>
                <w:lang w:val="zh-CN"/>
              </w:rPr>
              <w:t>）</w:t>
            </w:r>
          </w:p>
        </w:tc>
        <w:tc>
          <w:tcPr>
            <w:tcW w:w="812" w:type="dxa"/>
            <w:noWrap w:val="0"/>
            <w:vAlign w:val="center"/>
          </w:tcPr>
          <w:p>
            <w:pPr>
              <w:adjustRightInd w:val="0"/>
              <w:snapToGrid w:val="0"/>
              <w:spacing w:line="360" w:lineRule="auto"/>
              <w:rPr>
                <w:rFonts w:hint="eastAsia"/>
                <w:szCs w:val="21"/>
              </w:rPr>
            </w:pPr>
            <w:r>
              <w:rPr>
                <w:rFonts w:hint="eastAsia"/>
                <w:szCs w:val="21"/>
              </w:rPr>
              <w:t>10分</w:t>
            </w:r>
          </w:p>
        </w:tc>
        <w:tc>
          <w:tcPr>
            <w:tcW w:w="6600" w:type="dxa"/>
            <w:noWrap w:val="0"/>
            <w:vAlign w:val="center"/>
          </w:tcPr>
          <w:p>
            <w:pPr>
              <w:numPr>
                <w:ilvl w:val="0"/>
                <w:numId w:val="11"/>
              </w:numPr>
              <w:adjustRightInd w:val="0"/>
              <w:snapToGrid w:val="0"/>
              <w:spacing w:line="360" w:lineRule="auto"/>
              <w:rPr>
                <w:rFonts w:hint="eastAsia"/>
                <w:lang w:val="en-US" w:eastAsia="zh-CN"/>
              </w:rPr>
            </w:pPr>
            <w:r>
              <w:rPr>
                <w:rFonts w:hint="eastAsia"/>
                <w:lang w:val="en-US" w:eastAsia="zh-CN"/>
              </w:rPr>
              <w:t>根据项目情况进行人员配置合理（根据物业服务人员人数岗位配备合理及综合素质进行评比）；优得3-5分，一般的0-2分；</w:t>
            </w:r>
          </w:p>
          <w:p>
            <w:pPr>
              <w:pStyle w:val="19"/>
              <w:numPr>
                <w:ilvl w:val="0"/>
                <w:numId w:val="11"/>
              </w:numPr>
              <w:spacing w:line="360" w:lineRule="auto"/>
              <w:rPr>
                <w:rFonts w:hint="default"/>
                <w:lang w:val="en-US" w:eastAsia="zh-CN"/>
              </w:rPr>
            </w:pPr>
            <w:r>
              <w:rPr>
                <w:rFonts w:hint="eastAsia" w:ascii="Times New Roman" w:eastAsia="宋体"/>
                <w:kern w:val="2"/>
                <w:sz w:val="21"/>
                <w:szCs w:val="24"/>
                <w:lang w:val="en-US" w:eastAsia="zh-CN" w:bidi="ar-SA"/>
              </w:rPr>
              <w:t>拟投入的设备用品齐全，根据服务设备、工具、用品等方面进行综合评分。较优得3-5分，一般的1-2分，不满足得0分；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0" w:type="dxa"/>
            <w:noWrap w:val="0"/>
            <w:vAlign w:val="center"/>
          </w:tcPr>
          <w:p>
            <w:pPr>
              <w:adjustRightInd w:val="0"/>
              <w:snapToGrid w:val="0"/>
              <w:spacing w:line="360" w:lineRule="auto"/>
              <w:rPr>
                <w:rFonts w:hint="eastAsia"/>
              </w:rPr>
            </w:pPr>
            <w:r>
              <w:rPr>
                <w:rFonts w:hint="eastAsia"/>
              </w:rPr>
              <w:t>B4</w:t>
            </w:r>
          </w:p>
        </w:tc>
        <w:tc>
          <w:tcPr>
            <w:tcW w:w="1500" w:type="dxa"/>
            <w:noWrap w:val="0"/>
            <w:vAlign w:val="center"/>
          </w:tcPr>
          <w:p>
            <w:pPr>
              <w:adjustRightInd w:val="0"/>
              <w:snapToGrid w:val="0"/>
              <w:spacing w:line="360" w:lineRule="auto"/>
              <w:rPr>
                <w:rFonts w:hint="eastAsia"/>
              </w:rPr>
            </w:pPr>
            <w:r>
              <w:rPr>
                <w:rFonts w:hint="eastAsia"/>
              </w:rPr>
              <w:t>管理规章制度（3分）</w:t>
            </w:r>
          </w:p>
        </w:tc>
        <w:tc>
          <w:tcPr>
            <w:tcW w:w="812" w:type="dxa"/>
            <w:noWrap w:val="0"/>
            <w:vAlign w:val="center"/>
          </w:tcPr>
          <w:p>
            <w:pPr>
              <w:adjustRightInd w:val="0"/>
              <w:snapToGrid w:val="0"/>
              <w:spacing w:line="360" w:lineRule="auto"/>
              <w:rPr>
                <w:rFonts w:hint="eastAsia"/>
              </w:rPr>
            </w:pPr>
            <w:r>
              <w:rPr>
                <w:rFonts w:hint="eastAsia"/>
              </w:rPr>
              <w:t>3分</w:t>
            </w:r>
          </w:p>
        </w:tc>
        <w:tc>
          <w:tcPr>
            <w:tcW w:w="6600" w:type="dxa"/>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管理规章制度齐全、合理、切实可行；3分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管理规章制度较为齐全、合理、切实可行；2分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管理规章制度较为齐全、合理、可行性差；1分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无相关管理制度。0分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700" w:type="dxa"/>
            <w:noWrap w:val="0"/>
            <w:vAlign w:val="center"/>
          </w:tcPr>
          <w:p>
            <w:pPr>
              <w:adjustRightInd w:val="0"/>
              <w:snapToGrid w:val="0"/>
              <w:spacing w:line="360" w:lineRule="auto"/>
              <w:rPr>
                <w:rFonts w:hint="eastAsia"/>
              </w:rPr>
            </w:pPr>
            <w:r>
              <w:rPr>
                <w:rFonts w:hint="eastAsia"/>
              </w:rPr>
              <w:t>B5</w:t>
            </w:r>
          </w:p>
        </w:tc>
        <w:tc>
          <w:tcPr>
            <w:tcW w:w="1500" w:type="dxa"/>
            <w:noWrap w:val="0"/>
            <w:vAlign w:val="center"/>
          </w:tcPr>
          <w:p>
            <w:pPr>
              <w:adjustRightInd w:val="0"/>
              <w:snapToGrid w:val="0"/>
              <w:spacing w:line="360" w:lineRule="auto"/>
              <w:rPr>
                <w:rFonts w:hint="eastAsia"/>
              </w:rPr>
            </w:pPr>
            <w:r>
              <w:rPr>
                <w:rFonts w:hint="eastAsia"/>
              </w:rPr>
              <w:t>节能减排措施（3分）</w:t>
            </w:r>
          </w:p>
        </w:tc>
        <w:tc>
          <w:tcPr>
            <w:tcW w:w="812" w:type="dxa"/>
            <w:noWrap w:val="0"/>
            <w:vAlign w:val="center"/>
          </w:tcPr>
          <w:p>
            <w:pPr>
              <w:adjustRightInd w:val="0"/>
              <w:snapToGrid w:val="0"/>
              <w:spacing w:line="360" w:lineRule="auto"/>
              <w:rPr>
                <w:rFonts w:hint="eastAsia"/>
              </w:rPr>
            </w:pPr>
            <w:r>
              <w:rPr>
                <w:rFonts w:hint="eastAsia"/>
              </w:rPr>
              <w:t>3分</w:t>
            </w:r>
          </w:p>
        </w:tc>
        <w:tc>
          <w:tcPr>
            <w:tcW w:w="6600" w:type="dxa"/>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制定了科学合理的节电、节水管理措施，对</w:t>
            </w:r>
            <w:r>
              <w:rPr>
                <w:rFonts w:hint="eastAsia" w:ascii="宋体" w:hAnsi="宋体" w:cs="宋体"/>
                <w:kern w:val="0"/>
              </w:rPr>
              <w:t>业主</w:t>
            </w:r>
            <w:r>
              <w:rPr>
                <w:rFonts w:hint="eastAsia" w:ascii="宋体" w:hAnsi="宋体" w:cs="宋体"/>
                <w:kern w:val="0"/>
                <w:lang w:val="zh-CN"/>
              </w:rPr>
              <w:t>提供的维修耗材制定了切实可行的管理措施；</w:t>
            </w:r>
            <w:r>
              <w:rPr>
                <w:rFonts w:hint="eastAsia" w:ascii="宋体" w:hAnsi="宋体" w:cs="宋体"/>
                <w:kern w:val="0"/>
              </w:rPr>
              <w:t>3</w:t>
            </w:r>
            <w:r>
              <w:rPr>
                <w:rFonts w:hint="eastAsia" w:ascii="宋体" w:hAnsi="宋体" w:cs="宋体"/>
                <w:kern w:val="0"/>
                <w:lang w:val="zh-CN"/>
              </w:rPr>
              <w:t>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制定了较为科学合理的节电、节水管理措施，对</w:t>
            </w:r>
            <w:r>
              <w:rPr>
                <w:rFonts w:hint="eastAsia" w:ascii="宋体" w:hAnsi="宋体" w:cs="宋体"/>
                <w:kern w:val="0"/>
              </w:rPr>
              <w:t>业主</w:t>
            </w:r>
            <w:r>
              <w:rPr>
                <w:rFonts w:hint="eastAsia" w:ascii="宋体" w:hAnsi="宋体" w:cs="宋体"/>
                <w:kern w:val="0"/>
                <w:lang w:val="zh-CN"/>
              </w:rPr>
              <w:t>提供的维修耗材制定了较为切实可行的管理措施；1分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制定了节电、节水管理措施和对</w:t>
            </w:r>
            <w:r>
              <w:rPr>
                <w:rFonts w:hint="eastAsia" w:ascii="宋体" w:hAnsi="宋体" w:cs="宋体"/>
                <w:kern w:val="0"/>
              </w:rPr>
              <w:t>业主</w:t>
            </w:r>
            <w:r>
              <w:rPr>
                <w:rFonts w:hint="eastAsia" w:ascii="宋体" w:hAnsi="宋体" w:cs="宋体"/>
                <w:kern w:val="0"/>
                <w:lang w:val="zh-CN"/>
              </w:rPr>
              <w:t>提供的维修耗材管理措施，但可行性差；0.5分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未提供节能减排措施。0分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0" w:type="dxa"/>
            <w:noWrap w:val="0"/>
            <w:vAlign w:val="center"/>
          </w:tcPr>
          <w:p>
            <w:pPr>
              <w:adjustRightInd w:val="0"/>
              <w:snapToGrid w:val="0"/>
              <w:spacing w:line="360" w:lineRule="auto"/>
              <w:rPr>
                <w:rFonts w:hint="eastAsia"/>
              </w:rPr>
            </w:pPr>
            <w:r>
              <w:rPr>
                <w:rFonts w:hint="eastAsia"/>
              </w:rPr>
              <w:t>B6</w:t>
            </w:r>
          </w:p>
        </w:tc>
        <w:tc>
          <w:tcPr>
            <w:tcW w:w="1500" w:type="dxa"/>
            <w:noWrap w:val="0"/>
            <w:vAlign w:val="center"/>
          </w:tcPr>
          <w:p>
            <w:pPr>
              <w:adjustRightInd w:val="0"/>
              <w:snapToGrid w:val="0"/>
              <w:spacing w:line="360" w:lineRule="auto"/>
              <w:rPr>
                <w:rFonts w:hint="eastAsia"/>
              </w:rPr>
            </w:pPr>
            <w:r>
              <w:rPr>
                <w:rFonts w:hint="eastAsia"/>
                <w:lang w:val="en-US" w:eastAsia="zh-CN"/>
              </w:rPr>
              <w:t>合理化的建议</w:t>
            </w:r>
            <w:r>
              <w:rPr>
                <w:rFonts w:hint="eastAsia"/>
              </w:rPr>
              <w:t>（3分）</w:t>
            </w:r>
          </w:p>
        </w:tc>
        <w:tc>
          <w:tcPr>
            <w:tcW w:w="812" w:type="dxa"/>
            <w:noWrap w:val="0"/>
            <w:vAlign w:val="center"/>
          </w:tcPr>
          <w:p>
            <w:pPr>
              <w:adjustRightInd w:val="0"/>
              <w:snapToGrid w:val="0"/>
              <w:spacing w:line="360" w:lineRule="auto"/>
              <w:rPr>
                <w:rFonts w:hint="eastAsia"/>
              </w:rPr>
            </w:pPr>
            <w:r>
              <w:rPr>
                <w:rFonts w:hint="eastAsia"/>
              </w:rPr>
              <w:t>3分</w:t>
            </w:r>
          </w:p>
        </w:tc>
        <w:tc>
          <w:tcPr>
            <w:tcW w:w="6600" w:type="dxa"/>
            <w:noWrap w:val="0"/>
            <w:vAlign w:val="center"/>
          </w:tcPr>
          <w:p>
            <w:pPr>
              <w:adjustRightInd w:val="0"/>
              <w:snapToGrid w:val="0"/>
              <w:spacing w:line="360" w:lineRule="auto"/>
              <w:rPr>
                <w:rFonts w:hint="default" w:ascii="宋体" w:hAnsi="宋体" w:eastAsia="宋体" w:cs="宋体"/>
                <w:kern w:val="0"/>
                <w:lang w:val="en-US" w:eastAsia="zh-CN"/>
              </w:rPr>
            </w:pPr>
            <w:r>
              <w:rPr>
                <w:rFonts w:hint="eastAsia" w:ascii="宋体" w:hAnsi="宋体" w:cs="宋体"/>
                <w:kern w:val="0"/>
                <w:lang w:val="en-US" w:eastAsia="zh-CN"/>
              </w:rPr>
              <w:t>投标供应商可按照自身实践经验对本项目相关工作提出合理化的建议，每提出一条具有可行性的合理化建议得1分，最高得3分；未提出合理化建议的不得分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0" w:type="dxa"/>
            <w:noWrap w:val="0"/>
            <w:vAlign w:val="center"/>
          </w:tcPr>
          <w:p>
            <w:pPr>
              <w:adjustRightInd w:val="0"/>
              <w:snapToGrid w:val="0"/>
              <w:spacing w:line="360" w:lineRule="auto"/>
              <w:rPr>
                <w:rFonts w:hint="eastAsia"/>
              </w:rPr>
            </w:pPr>
            <w:r>
              <w:rPr>
                <w:rFonts w:hint="eastAsia"/>
              </w:rPr>
              <w:t>B7</w:t>
            </w:r>
          </w:p>
        </w:tc>
        <w:tc>
          <w:tcPr>
            <w:tcW w:w="1500" w:type="dxa"/>
            <w:noWrap w:val="0"/>
            <w:vAlign w:val="center"/>
          </w:tcPr>
          <w:p>
            <w:pPr>
              <w:adjustRightInd w:val="0"/>
              <w:snapToGrid w:val="0"/>
              <w:spacing w:line="360" w:lineRule="auto"/>
              <w:rPr>
                <w:rFonts w:hint="eastAsia"/>
              </w:rPr>
            </w:pPr>
            <w:r>
              <w:rPr>
                <w:rFonts w:hint="eastAsia"/>
              </w:rPr>
              <w:t>应急预案（3分）</w:t>
            </w:r>
          </w:p>
        </w:tc>
        <w:tc>
          <w:tcPr>
            <w:tcW w:w="812" w:type="dxa"/>
            <w:noWrap w:val="0"/>
            <w:vAlign w:val="center"/>
          </w:tcPr>
          <w:p>
            <w:pPr>
              <w:adjustRightInd w:val="0"/>
              <w:snapToGrid w:val="0"/>
              <w:spacing w:line="360" w:lineRule="auto"/>
              <w:rPr>
                <w:rFonts w:hint="eastAsia"/>
              </w:rPr>
            </w:pPr>
            <w:r>
              <w:rPr>
                <w:rFonts w:hint="eastAsia"/>
              </w:rPr>
              <w:t>3分</w:t>
            </w:r>
          </w:p>
        </w:tc>
        <w:tc>
          <w:tcPr>
            <w:tcW w:w="6600" w:type="dxa"/>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应急预案实用，经济，切实可行；3分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应急预案较为实用，经济，可行性较强；2分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应急预案实用性、经济性一般，可行性一般；1分</w:t>
            </w:r>
          </w:p>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未提供应急预案或应急预案可行性差。0分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0"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rPr>
              <w:t>三</w:t>
            </w:r>
          </w:p>
        </w:tc>
        <w:tc>
          <w:tcPr>
            <w:tcW w:w="8912" w:type="dxa"/>
            <w:gridSpan w:val="3"/>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rPr>
              <w:t>商务部分评分C（满分35分，C=C1+C2+C3+C4+C5）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0" w:type="dxa"/>
            <w:vMerge w:val="restart"/>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rPr>
              <w:t>C1</w:t>
            </w:r>
          </w:p>
        </w:tc>
        <w:tc>
          <w:tcPr>
            <w:tcW w:w="1500" w:type="dxa"/>
            <w:vMerge w:val="restart"/>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rPr>
              <w:t>企业荣誉、信用及获奖情况（1</w:t>
            </w:r>
            <w:r>
              <w:rPr>
                <w:rFonts w:hint="eastAsia" w:ascii="宋体" w:hAnsi="宋体" w:cs="宋体"/>
                <w:kern w:val="0"/>
                <w:lang w:val="en-US" w:eastAsia="zh-CN"/>
              </w:rPr>
              <w:t>2</w:t>
            </w:r>
            <w:r>
              <w:rPr>
                <w:rFonts w:hint="eastAsia" w:ascii="宋体" w:hAnsi="宋体" w:cs="宋体"/>
                <w:kern w:val="0"/>
              </w:rPr>
              <w:t>分）</w:t>
            </w:r>
          </w:p>
        </w:tc>
        <w:tc>
          <w:tcPr>
            <w:tcW w:w="812" w:type="dxa"/>
            <w:vMerge w:val="restart"/>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lang w:val="en-US" w:eastAsia="zh-CN"/>
              </w:rPr>
              <w:t>12</w:t>
            </w:r>
            <w:r>
              <w:rPr>
                <w:rFonts w:hint="eastAsia" w:ascii="宋体" w:hAnsi="宋体" w:cs="宋体"/>
                <w:kern w:val="0"/>
              </w:rPr>
              <w:t>分</w:t>
            </w:r>
          </w:p>
        </w:tc>
        <w:tc>
          <w:tcPr>
            <w:tcW w:w="6600" w:type="dxa"/>
            <w:noWrap w:val="0"/>
            <w:vAlign w:val="center"/>
          </w:tcPr>
          <w:p>
            <w:pPr>
              <w:adjustRightInd w:val="0"/>
              <w:snapToGrid w:val="0"/>
              <w:spacing w:line="360" w:lineRule="auto"/>
              <w:rPr>
                <w:rFonts w:hint="eastAsia" w:ascii="宋体" w:hAnsi="宋体" w:cs="宋体"/>
                <w:kern w:val="0"/>
                <w:highlight w:val="none"/>
                <w:shd w:val="clear" w:color="auto" w:fill="auto"/>
                <w:lang w:val="zh-CN"/>
              </w:rPr>
            </w:pPr>
            <w:r>
              <w:rPr>
                <w:rFonts w:hint="eastAsia"/>
                <w:highlight w:val="yellow"/>
                <w:shd w:val="clear" w:color="auto" w:fill="auto"/>
              </w:rPr>
              <w:t>提供企业信用等级证书、质量服务诚信企业证书、诚信供应商企业证书，全部具备得</w:t>
            </w:r>
            <w:r>
              <w:rPr>
                <w:rFonts w:hint="eastAsia"/>
                <w:highlight w:val="yellow"/>
                <w:shd w:val="clear" w:color="auto" w:fill="auto"/>
                <w:lang w:val="en-US" w:eastAsia="zh-CN"/>
              </w:rPr>
              <w:t>6</w:t>
            </w:r>
            <w:r>
              <w:rPr>
                <w:rFonts w:hint="eastAsia"/>
                <w:highlight w:val="yellow"/>
                <w:shd w:val="clear" w:color="auto" w:fill="auto"/>
              </w:rPr>
              <w:t>分，少一项扣</w:t>
            </w:r>
            <w:r>
              <w:rPr>
                <w:rFonts w:hint="eastAsia"/>
                <w:highlight w:val="yellow"/>
                <w:shd w:val="clear" w:color="auto" w:fill="auto"/>
                <w:lang w:val="en-US" w:eastAsia="zh-CN"/>
              </w:rPr>
              <w:t>2</w:t>
            </w:r>
            <w:r>
              <w:rPr>
                <w:rFonts w:hint="eastAsia"/>
                <w:highlight w:val="yellow"/>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00" w:type="dxa"/>
            <w:vMerge w:val="continue"/>
            <w:noWrap w:val="0"/>
            <w:vAlign w:val="top"/>
          </w:tcPr>
          <w:p>
            <w:pPr>
              <w:adjustRightInd w:val="0"/>
              <w:snapToGrid w:val="0"/>
              <w:spacing w:line="360" w:lineRule="auto"/>
              <w:ind w:firstLine="420" w:firstLineChars="200"/>
              <w:rPr>
                <w:rFonts w:hint="eastAsia" w:ascii="宋体" w:hAnsi="宋体" w:cs="宋体"/>
                <w:kern w:val="0"/>
              </w:rPr>
            </w:pPr>
          </w:p>
        </w:tc>
        <w:tc>
          <w:tcPr>
            <w:tcW w:w="1500" w:type="dxa"/>
            <w:vMerge w:val="continue"/>
            <w:noWrap w:val="0"/>
            <w:vAlign w:val="top"/>
          </w:tcPr>
          <w:p>
            <w:pPr>
              <w:adjustRightInd w:val="0"/>
              <w:snapToGrid w:val="0"/>
              <w:spacing w:line="360" w:lineRule="auto"/>
              <w:ind w:firstLine="420" w:firstLineChars="200"/>
              <w:rPr>
                <w:rFonts w:hint="eastAsia" w:ascii="宋体" w:hAnsi="宋体" w:cs="宋体"/>
                <w:kern w:val="0"/>
                <w:lang w:val="zh-CN"/>
              </w:rPr>
            </w:pPr>
          </w:p>
        </w:tc>
        <w:tc>
          <w:tcPr>
            <w:tcW w:w="812" w:type="dxa"/>
            <w:vMerge w:val="continue"/>
            <w:noWrap w:val="0"/>
            <w:vAlign w:val="center"/>
          </w:tcPr>
          <w:p>
            <w:pPr>
              <w:adjustRightInd w:val="0"/>
              <w:snapToGrid w:val="0"/>
              <w:spacing w:line="360" w:lineRule="auto"/>
              <w:rPr>
                <w:rFonts w:hint="eastAsia" w:ascii="宋体" w:hAnsi="宋体" w:cs="宋体"/>
                <w:kern w:val="0"/>
              </w:rPr>
            </w:pPr>
          </w:p>
        </w:tc>
        <w:tc>
          <w:tcPr>
            <w:tcW w:w="6600" w:type="dxa"/>
            <w:noWrap w:val="0"/>
            <w:vAlign w:val="center"/>
          </w:tcPr>
          <w:p>
            <w:pPr>
              <w:adjustRightInd w:val="0"/>
              <w:snapToGrid w:val="0"/>
              <w:spacing w:line="360" w:lineRule="auto"/>
              <w:rPr>
                <w:rFonts w:hint="eastAsia" w:ascii="宋体" w:hAnsi="宋体" w:cs="宋体"/>
                <w:kern w:val="0"/>
                <w:highlight w:val="none"/>
                <w:shd w:val="clear" w:color="auto" w:fill="auto"/>
                <w:lang w:val="zh-CN"/>
              </w:rPr>
            </w:pPr>
            <w:r>
              <w:rPr>
                <w:rFonts w:hint="eastAsia" w:ascii="宋体" w:hAnsi="宋体"/>
                <w:color w:val="000000"/>
                <w:highlight w:val="none"/>
                <w:shd w:val="clear" w:color="auto" w:fill="auto"/>
                <w:lang w:val="zh-CN"/>
              </w:rPr>
              <w:t>在主流媒体受到表彰或宣传的每一项得</w:t>
            </w:r>
            <w:r>
              <w:rPr>
                <w:rFonts w:hint="eastAsia" w:ascii="宋体" w:hAnsi="宋体"/>
                <w:color w:val="000000"/>
                <w:highlight w:val="none"/>
                <w:shd w:val="clear" w:color="auto" w:fill="auto"/>
              </w:rPr>
              <w:t>2</w:t>
            </w:r>
            <w:r>
              <w:rPr>
                <w:rFonts w:hint="eastAsia" w:ascii="宋体" w:hAnsi="宋体"/>
                <w:color w:val="000000"/>
                <w:highlight w:val="none"/>
                <w:shd w:val="clear" w:color="auto" w:fill="auto"/>
                <w:lang w:val="zh-CN"/>
              </w:rPr>
              <w:t>分，满分</w:t>
            </w:r>
            <w:r>
              <w:rPr>
                <w:rFonts w:hint="eastAsia" w:ascii="宋体" w:hAnsi="宋体"/>
                <w:color w:val="000000"/>
                <w:highlight w:val="none"/>
                <w:shd w:val="clear" w:color="auto" w:fill="auto"/>
                <w:lang w:val="en-US" w:eastAsia="zh-CN"/>
              </w:rPr>
              <w:t>6</w:t>
            </w:r>
            <w:r>
              <w:rPr>
                <w:rFonts w:hint="eastAsia" w:ascii="宋体" w:hAnsi="宋体"/>
                <w:color w:val="000000"/>
                <w:highlight w:val="none"/>
                <w:shd w:val="clear" w:color="auto" w:fill="auto"/>
                <w:lang w:val="zh-CN"/>
              </w:rPr>
              <w:t>分（附相关证明材料）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700" w:type="dxa"/>
            <w:tcBorders>
              <w:top w:val="single" w:color="auto" w:sz="4" w:space="0"/>
            </w:tcBorders>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rPr>
              <w:t>C2</w:t>
            </w:r>
          </w:p>
        </w:tc>
        <w:tc>
          <w:tcPr>
            <w:tcW w:w="1500" w:type="dxa"/>
            <w:tcBorders>
              <w:top w:val="single" w:color="auto" w:sz="4" w:space="0"/>
            </w:tcBorders>
            <w:noWrap w:val="0"/>
            <w:vAlign w:val="center"/>
          </w:tcPr>
          <w:p>
            <w:pPr>
              <w:adjustRightInd w:val="0"/>
              <w:snapToGrid w:val="0"/>
              <w:spacing w:line="360" w:lineRule="auto"/>
              <w:rPr>
                <w:rFonts w:ascii="宋体" w:hAnsi="宋体" w:cs="宋体"/>
                <w:kern w:val="0"/>
              </w:rPr>
            </w:pPr>
            <w:r>
              <w:rPr>
                <w:rFonts w:hint="eastAsia" w:ascii="宋体" w:hAnsi="宋体" w:cs="宋体"/>
                <w:kern w:val="0"/>
              </w:rPr>
              <w:t>管理经验及业绩（</w:t>
            </w:r>
            <w:r>
              <w:rPr>
                <w:rFonts w:hint="eastAsia" w:ascii="宋体" w:hAnsi="宋体" w:cs="宋体"/>
                <w:kern w:val="0"/>
                <w:lang w:val="en-US" w:eastAsia="zh-CN"/>
              </w:rPr>
              <w:t>7</w:t>
            </w:r>
            <w:r>
              <w:rPr>
                <w:rFonts w:hint="eastAsia" w:ascii="宋体" w:hAnsi="宋体" w:cs="宋体"/>
                <w:kern w:val="0"/>
              </w:rPr>
              <w:t>分）</w:t>
            </w:r>
          </w:p>
          <w:p>
            <w:pPr>
              <w:adjustRightInd w:val="0"/>
              <w:snapToGrid w:val="0"/>
              <w:spacing w:line="360" w:lineRule="auto"/>
              <w:rPr>
                <w:rFonts w:hint="eastAsia" w:ascii="宋体" w:hAnsi="宋体" w:cs="宋体"/>
                <w:kern w:val="0"/>
              </w:rPr>
            </w:pPr>
            <w:r>
              <w:rPr>
                <w:rFonts w:hint="eastAsia" w:ascii="宋体" w:hAnsi="宋体" w:cs="宋体"/>
                <w:kern w:val="0"/>
              </w:rPr>
              <w:t xml:space="preserve"> </w:t>
            </w:r>
          </w:p>
        </w:tc>
        <w:tc>
          <w:tcPr>
            <w:tcW w:w="812"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lang w:val="en-US" w:eastAsia="zh-CN"/>
              </w:rPr>
              <w:t>7</w:t>
            </w:r>
            <w:r>
              <w:rPr>
                <w:rFonts w:hint="eastAsia" w:ascii="宋体" w:hAnsi="宋体" w:cs="宋体"/>
                <w:kern w:val="0"/>
              </w:rPr>
              <w:t>分</w:t>
            </w:r>
          </w:p>
        </w:tc>
        <w:tc>
          <w:tcPr>
            <w:tcW w:w="6600" w:type="dxa"/>
            <w:noWrap w:val="0"/>
            <w:vAlign w:val="center"/>
          </w:tcPr>
          <w:p>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提供201</w:t>
            </w:r>
            <w:r>
              <w:rPr>
                <w:rFonts w:hint="eastAsia" w:ascii="宋体" w:hAnsi="宋体" w:cs="宋体"/>
                <w:kern w:val="0"/>
                <w:lang w:val="en-US" w:eastAsia="zh-CN"/>
              </w:rPr>
              <w:t>9</w:t>
            </w:r>
            <w:r>
              <w:rPr>
                <w:rFonts w:hint="eastAsia" w:ascii="宋体" w:hAnsi="宋体" w:cs="宋体"/>
                <w:kern w:val="0"/>
              </w:rPr>
              <w:t>年</w:t>
            </w:r>
            <w:r>
              <w:rPr>
                <w:rFonts w:hint="eastAsia" w:ascii="宋体" w:hAnsi="宋体" w:cs="宋体"/>
                <w:kern w:val="0"/>
                <w:lang w:val="en-US" w:eastAsia="zh-CN"/>
              </w:rPr>
              <w:t>1月</w:t>
            </w:r>
            <w:r>
              <w:rPr>
                <w:rFonts w:hint="eastAsia" w:ascii="宋体" w:hAnsi="宋体" w:cs="宋体"/>
                <w:kern w:val="0"/>
              </w:rPr>
              <w:t>至今，类似</w:t>
            </w:r>
            <w:r>
              <w:rPr>
                <w:rFonts w:hint="eastAsia" w:ascii="宋体" w:hAnsi="宋体" w:cs="宋体"/>
                <w:kern w:val="0"/>
                <w:lang w:val="en-US" w:eastAsia="zh-CN"/>
              </w:rPr>
              <w:t>物业</w:t>
            </w:r>
            <w:r>
              <w:rPr>
                <w:rFonts w:hint="eastAsia" w:ascii="宋体" w:hAnsi="宋体" w:cs="宋体"/>
                <w:kern w:val="0"/>
              </w:rPr>
              <w:t>管理的业绩，至少包含保安、保洁、设备维保</w:t>
            </w:r>
            <w:r>
              <w:rPr>
                <w:rFonts w:hint="eastAsia" w:ascii="宋体" w:hAnsi="宋体" w:cs="宋体"/>
                <w:kern w:val="0"/>
                <w:lang w:eastAsia="zh-CN"/>
              </w:rPr>
              <w:t>、</w:t>
            </w:r>
            <w:r>
              <w:rPr>
                <w:rFonts w:hint="eastAsia" w:ascii="宋体" w:hAnsi="宋体" w:cs="宋体"/>
                <w:kern w:val="0"/>
                <w:lang w:val="en-US" w:eastAsia="zh-CN"/>
              </w:rPr>
              <w:t>高压电器设备维修、消防控制室值守5</w:t>
            </w:r>
            <w:r>
              <w:rPr>
                <w:rFonts w:hint="eastAsia" w:ascii="宋体" w:hAnsi="宋体" w:cs="宋体"/>
                <w:kern w:val="0"/>
              </w:rPr>
              <w:t>项服务。提供</w:t>
            </w:r>
            <w:r>
              <w:rPr>
                <w:rFonts w:hint="eastAsia" w:ascii="宋体" w:hAnsi="宋体" w:cs="宋体"/>
                <w:kern w:val="0"/>
                <w:lang w:val="en-US" w:eastAsia="zh-CN"/>
              </w:rPr>
              <w:t>五</w:t>
            </w:r>
            <w:r>
              <w:rPr>
                <w:rFonts w:hint="eastAsia" w:ascii="宋体" w:hAnsi="宋体" w:cs="宋体"/>
                <w:kern w:val="0"/>
              </w:rPr>
              <w:t>个单项合同的得</w:t>
            </w:r>
            <w:r>
              <w:rPr>
                <w:rFonts w:hint="eastAsia" w:ascii="宋体" w:hAnsi="宋体" w:cs="宋体"/>
                <w:kern w:val="0"/>
                <w:lang w:val="en-US" w:eastAsia="zh-CN"/>
              </w:rPr>
              <w:t>1.5</w:t>
            </w:r>
            <w:r>
              <w:rPr>
                <w:rFonts w:hint="eastAsia" w:ascii="宋体" w:hAnsi="宋体" w:cs="宋体"/>
                <w:kern w:val="0"/>
              </w:rPr>
              <w:t>分，缺少一个扣</w:t>
            </w:r>
            <w:r>
              <w:rPr>
                <w:rFonts w:hint="eastAsia" w:ascii="宋体" w:hAnsi="宋体" w:cs="宋体"/>
                <w:kern w:val="0"/>
                <w:lang w:val="en-US" w:eastAsia="zh-CN"/>
              </w:rPr>
              <w:t>0.3</w:t>
            </w:r>
            <w:r>
              <w:rPr>
                <w:rFonts w:hint="eastAsia" w:ascii="宋体" w:hAnsi="宋体" w:cs="宋体"/>
                <w:kern w:val="0"/>
              </w:rPr>
              <w:t>分；每增加一个单项合同加</w:t>
            </w:r>
            <w:r>
              <w:rPr>
                <w:rFonts w:hint="eastAsia" w:ascii="宋体" w:hAnsi="宋体" w:cs="宋体"/>
                <w:kern w:val="0"/>
                <w:lang w:val="en-US" w:eastAsia="zh-CN"/>
              </w:rPr>
              <w:t>0.3</w:t>
            </w:r>
            <w:r>
              <w:rPr>
                <w:rFonts w:hint="eastAsia" w:ascii="宋体" w:hAnsi="宋体" w:cs="宋体"/>
                <w:kern w:val="0"/>
              </w:rPr>
              <w:t>分，满分</w:t>
            </w:r>
            <w:r>
              <w:rPr>
                <w:rFonts w:hint="eastAsia" w:ascii="宋体" w:hAnsi="宋体" w:cs="宋体"/>
                <w:kern w:val="0"/>
                <w:lang w:val="en-US" w:eastAsia="zh-CN"/>
              </w:rPr>
              <w:t>7</w:t>
            </w:r>
            <w:r>
              <w:rPr>
                <w:rFonts w:hint="eastAsia" w:ascii="宋体" w:hAnsi="宋体" w:cs="宋体"/>
                <w:kern w:val="0"/>
              </w:rPr>
              <w:t>分。</w:t>
            </w:r>
          </w:p>
          <w:p>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注：</w:t>
            </w:r>
            <w:r>
              <w:rPr>
                <w:rFonts w:hint="eastAsia" w:ascii="宋体" w:hAnsi="宋体" w:cs="宋体"/>
                <w:kern w:val="0"/>
                <w:lang w:eastAsia="zh-CN"/>
              </w:rPr>
              <w:t>投标供应商</w:t>
            </w:r>
            <w:r>
              <w:rPr>
                <w:rFonts w:hint="eastAsia" w:ascii="宋体" w:hAnsi="宋体" w:cs="宋体"/>
                <w:kern w:val="0"/>
              </w:rPr>
              <w:t>需提供以下证明文件</w:t>
            </w:r>
          </w:p>
          <w:p>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1.中标通知书或合同复印件，加盖</w:t>
            </w:r>
            <w:r>
              <w:rPr>
                <w:rFonts w:hint="eastAsia" w:ascii="宋体" w:hAnsi="宋体" w:cs="宋体"/>
                <w:kern w:val="0"/>
                <w:lang w:eastAsia="zh-CN"/>
              </w:rPr>
              <w:t>投标供应商</w:t>
            </w:r>
            <w:r>
              <w:rPr>
                <w:rFonts w:hint="eastAsia" w:ascii="宋体" w:hAnsi="宋体" w:cs="宋体"/>
                <w:kern w:val="0"/>
              </w:rPr>
              <w:t>公章。</w:t>
            </w:r>
          </w:p>
          <w:p>
            <w:pPr>
              <w:adjustRightInd w:val="0"/>
              <w:snapToGrid w:val="0"/>
              <w:spacing w:line="360" w:lineRule="auto"/>
              <w:ind w:firstLine="420" w:firstLineChars="200"/>
              <w:rPr>
                <w:rFonts w:hint="eastAsia" w:ascii="宋体" w:hAnsi="宋体" w:cs="宋体"/>
                <w:kern w:val="0"/>
              </w:rPr>
            </w:pPr>
            <w:r>
              <w:rPr>
                <w:rFonts w:hint="eastAsia" w:ascii="宋体" w:hAnsi="宋体" w:cs="宋体"/>
                <w:kern w:val="0"/>
              </w:rPr>
              <w:t>2.本项目用户评价表，加盖</w:t>
            </w:r>
            <w:r>
              <w:rPr>
                <w:rFonts w:hint="eastAsia" w:ascii="宋体" w:hAnsi="宋体" w:cs="宋体"/>
                <w:kern w:val="0"/>
                <w:lang w:eastAsia="zh-CN"/>
              </w:rPr>
              <w:t>投标供应商</w:t>
            </w:r>
            <w:r>
              <w:rPr>
                <w:rFonts w:hint="eastAsia" w:ascii="宋体" w:hAnsi="宋体" w:cs="宋体"/>
                <w:kern w:val="0"/>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700" w:type="dxa"/>
            <w:noWrap w:val="0"/>
            <w:vAlign w:val="center"/>
          </w:tcPr>
          <w:p>
            <w:pPr>
              <w:adjustRightInd w:val="0"/>
              <w:snapToGrid w:val="0"/>
              <w:spacing w:line="360" w:lineRule="auto"/>
              <w:rPr>
                <w:rFonts w:hint="eastAsia" w:ascii="宋体" w:hAnsi="宋体" w:cs="宋体"/>
                <w:i/>
                <w:kern w:val="0"/>
              </w:rPr>
            </w:pPr>
            <w:r>
              <w:rPr>
                <w:rFonts w:hint="eastAsia" w:ascii="宋体" w:hAnsi="宋体" w:cs="宋体"/>
                <w:kern w:val="0"/>
              </w:rPr>
              <w:t>C3</w:t>
            </w:r>
          </w:p>
        </w:tc>
        <w:tc>
          <w:tcPr>
            <w:tcW w:w="1500"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rPr>
              <w:t>实施方案（</w:t>
            </w:r>
            <w:r>
              <w:rPr>
                <w:rFonts w:hint="eastAsia" w:ascii="宋体" w:hAnsi="宋体" w:cs="宋体"/>
                <w:kern w:val="0"/>
                <w:lang w:val="en-US" w:eastAsia="zh-CN"/>
              </w:rPr>
              <w:t>8</w:t>
            </w:r>
            <w:r>
              <w:rPr>
                <w:rFonts w:hint="eastAsia" w:ascii="宋体" w:hAnsi="宋体" w:cs="宋体"/>
                <w:kern w:val="0"/>
              </w:rPr>
              <w:t>分）</w:t>
            </w:r>
          </w:p>
        </w:tc>
        <w:tc>
          <w:tcPr>
            <w:tcW w:w="812"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lang w:val="en-US" w:eastAsia="zh-CN"/>
              </w:rPr>
              <w:t>8</w:t>
            </w:r>
            <w:r>
              <w:rPr>
                <w:rFonts w:hint="eastAsia" w:ascii="宋体" w:hAnsi="宋体" w:cs="宋体"/>
                <w:kern w:val="0"/>
              </w:rPr>
              <w:t>分</w:t>
            </w:r>
          </w:p>
        </w:tc>
        <w:tc>
          <w:tcPr>
            <w:tcW w:w="6600" w:type="dxa"/>
            <w:noWrap w:val="0"/>
            <w:vAlign w:val="center"/>
          </w:tcPr>
          <w:p>
            <w:pPr>
              <w:adjustRightInd w:val="0"/>
              <w:snapToGrid w:val="0"/>
              <w:spacing w:line="360" w:lineRule="auto"/>
              <w:rPr>
                <w:rFonts w:hint="eastAsia" w:ascii="宋体" w:hAnsi="宋体" w:cs="宋体"/>
                <w:kern w:val="0"/>
                <w:lang w:val="zh-CN"/>
              </w:rPr>
            </w:pPr>
            <w:r>
              <w:rPr>
                <w:rFonts w:hint="eastAsia" w:ascii="宋体" w:hAnsi="宋体"/>
                <w:bCs/>
                <w:color w:val="000000"/>
              </w:rPr>
              <w:t>物业管理服务水平的整体设想及策划；拟采取的管理方式、工作计划和物资装备计划；人员的配备、培训计划；管理规章制度计划；环境卫生计划；智能化系统的管理、维护计划；日常物业管理措施；物业维修养护计划和实施方案；管理、检查、考核及奖惩措施齐全，且能完全满足采购人需求。满分</w:t>
            </w:r>
            <w:r>
              <w:rPr>
                <w:rFonts w:hint="eastAsia" w:ascii="宋体" w:hAnsi="宋体"/>
                <w:bCs/>
                <w:color w:val="000000"/>
                <w:lang w:val="en-US" w:eastAsia="zh-CN"/>
              </w:rPr>
              <w:t>8</w:t>
            </w:r>
            <w:r>
              <w:rPr>
                <w:rFonts w:hint="eastAsia" w:ascii="宋体" w:hAnsi="宋体"/>
                <w:bCs/>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700"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rPr>
              <w:t>C4</w:t>
            </w:r>
          </w:p>
        </w:tc>
        <w:tc>
          <w:tcPr>
            <w:tcW w:w="1500"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lang w:eastAsia="zh-CN"/>
              </w:rPr>
              <w:t>投标供应商</w:t>
            </w:r>
            <w:r>
              <w:rPr>
                <w:rFonts w:hint="eastAsia" w:ascii="宋体" w:hAnsi="宋体" w:cs="宋体"/>
                <w:kern w:val="0"/>
              </w:rPr>
              <w:t>资信情况（</w:t>
            </w:r>
            <w:r>
              <w:rPr>
                <w:rFonts w:hint="eastAsia" w:ascii="宋体" w:hAnsi="宋体" w:cs="宋体"/>
                <w:kern w:val="0"/>
                <w:lang w:val="en-US" w:eastAsia="zh-CN"/>
              </w:rPr>
              <w:t>6</w:t>
            </w:r>
            <w:r>
              <w:rPr>
                <w:rFonts w:hint="eastAsia" w:ascii="宋体" w:hAnsi="宋体" w:cs="宋体"/>
                <w:kern w:val="0"/>
              </w:rPr>
              <w:t>分）</w:t>
            </w:r>
          </w:p>
        </w:tc>
        <w:tc>
          <w:tcPr>
            <w:tcW w:w="812" w:type="dxa"/>
            <w:noWrap w:val="0"/>
            <w:vAlign w:val="center"/>
          </w:tcPr>
          <w:p>
            <w:pPr>
              <w:adjustRightInd w:val="0"/>
              <w:snapToGrid w:val="0"/>
              <w:spacing w:line="360" w:lineRule="auto"/>
              <w:jc w:val="center"/>
              <w:rPr>
                <w:rFonts w:hint="eastAsia" w:ascii="宋体" w:hAnsi="宋体" w:cs="宋体"/>
                <w:kern w:val="0"/>
                <w:lang w:val="zh-CN"/>
              </w:rPr>
            </w:pPr>
            <w:r>
              <w:rPr>
                <w:rFonts w:hint="eastAsia" w:ascii="宋体" w:hAnsi="宋体" w:cs="宋体"/>
                <w:kern w:val="0"/>
                <w:lang w:val="en-US" w:eastAsia="zh-CN"/>
              </w:rPr>
              <w:t>6</w:t>
            </w:r>
            <w:r>
              <w:rPr>
                <w:rFonts w:hint="eastAsia" w:ascii="宋体" w:hAnsi="宋体" w:cs="宋体"/>
                <w:kern w:val="0"/>
              </w:rPr>
              <w:t>分</w:t>
            </w:r>
          </w:p>
          <w:p>
            <w:pPr>
              <w:adjustRightInd w:val="0"/>
              <w:snapToGrid w:val="0"/>
              <w:spacing w:line="360" w:lineRule="auto"/>
              <w:jc w:val="center"/>
              <w:rPr>
                <w:rFonts w:hint="eastAsia" w:ascii="宋体" w:hAnsi="宋体" w:cs="宋体"/>
                <w:kern w:val="0"/>
                <w:lang w:val="en-US" w:eastAsia="zh-CN"/>
              </w:rPr>
            </w:pPr>
          </w:p>
        </w:tc>
        <w:tc>
          <w:tcPr>
            <w:tcW w:w="6600" w:type="dxa"/>
            <w:noWrap w:val="0"/>
            <w:vAlign w:val="center"/>
          </w:tcPr>
          <w:p>
            <w:pPr>
              <w:numPr>
                <w:ilvl w:val="0"/>
                <w:numId w:val="12"/>
              </w:numPr>
              <w:adjustRightInd w:val="0"/>
              <w:snapToGrid w:val="0"/>
              <w:spacing w:line="360" w:lineRule="auto"/>
              <w:rPr>
                <w:rFonts w:hint="eastAsia"/>
                <w:lang w:val="en-US" w:eastAsia="zh-CN"/>
              </w:rPr>
            </w:pPr>
            <w:r>
              <w:rPr>
                <w:rFonts w:hint="eastAsia"/>
                <w:lang w:val="en-US" w:eastAsia="zh-CN"/>
              </w:rPr>
              <w:t>综合比较各投标供应商的财务状况能力进行打分；（根据各投标供应商提供财务审计报告，财务报表或银行出具的资信情况）（0-3分）</w:t>
            </w:r>
          </w:p>
          <w:p>
            <w:pPr>
              <w:pStyle w:val="19"/>
              <w:numPr>
                <w:ilvl w:val="0"/>
                <w:numId w:val="12"/>
              </w:numPr>
              <w:spacing w:line="360" w:lineRule="auto"/>
              <w:rPr>
                <w:rFonts w:hint="eastAsia" w:ascii="宋体" w:hAnsi="宋体"/>
                <w:bCs/>
                <w:color w:val="000000"/>
              </w:rPr>
            </w:pPr>
            <w:r>
              <w:rPr>
                <w:rFonts w:hint="eastAsia" w:ascii="Times New Roman" w:eastAsia="宋体"/>
                <w:kern w:val="2"/>
                <w:sz w:val="21"/>
                <w:szCs w:val="24"/>
                <w:lang w:val="en-US" w:eastAsia="zh-CN" w:bidi="ar-SA"/>
              </w:rPr>
              <w:t>投标供应商提供质量管理体系认证证书、环境管理体系认证证书、职业健康安全管理体系认证证书；每有一项得1分，满分3分；（以上体系认证范围需包含物业服务）未提供的不得分。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700" w:type="dxa"/>
            <w:noWrap w:val="0"/>
            <w:vAlign w:val="center"/>
          </w:tcPr>
          <w:p>
            <w:pPr>
              <w:adjustRightInd w:val="0"/>
              <w:snapToGrid w:val="0"/>
              <w:spacing w:line="360" w:lineRule="auto"/>
              <w:rPr>
                <w:rFonts w:hint="eastAsia" w:ascii="宋体" w:hAnsi="宋体" w:cs="宋体"/>
                <w:kern w:val="0"/>
              </w:rPr>
            </w:pPr>
            <w:r>
              <w:rPr>
                <w:rFonts w:hint="eastAsia" w:ascii="宋体" w:hAnsi="宋体" w:cs="宋体"/>
                <w:kern w:val="0"/>
                <w:lang w:val="zh-CN"/>
              </w:rPr>
              <w:t>C4</w:t>
            </w:r>
          </w:p>
        </w:tc>
        <w:tc>
          <w:tcPr>
            <w:tcW w:w="1500" w:type="dxa"/>
            <w:noWrap w:val="0"/>
            <w:vAlign w:val="center"/>
          </w:tcPr>
          <w:p>
            <w:pPr>
              <w:adjustRightInd w:val="0"/>
              <w:snapToGrid w:val="0"/>
              <w:spacing w:line="360" w:lineRule="auto"/>
              <w:rPr>
                <w:rFonts w:hint="eastAsia" w:ascii="宋体" w:hAnsi="宋体" w:cs="宋体"/>
                <w:kern w:val="0"/>
                <w:lang w:val="zh-CN"/>
              </w:rPr>
            </w:pPr>
            <w:r>
              <w:rPr>
                <w:rFonts w:hint="eastAsia" w:ascii="宋体" w:hAnsi="宋体" w:cs="宋体"/>
                <w:kern w:val="0"/>
                <w:lang w:val="zh-CN"/>
              </w:rPr>
              <w:t>标书制作</w:t>
            </w:r>
          </w:p>
          <w:p>
            <w:pPr>
              <w:adjustRightInd w:val="0"/>
              <w:snapToGrid w:val="0"/>
              <w:spacing w:line="360" w:lineRule="auto"/>
              <w:rPr>
                <w:rFonts w:hint="eastAsia" w:ascii="宋体" w:hAnsi="宋体" w:cs="宋体"/>
                <w:kern w:val="0"/>
              </w:rPr>
            </w:pPr>
            <w:r>
              <w:rPr>
                <w:rFonts w:hint="eastAsia" w:ascii="宋体" w:hAnsi="宋体" w:cs="宋体"/>
                <w:kern w:val="0"/>
                <w:lang w:val="zh-CN"/>
              </w:rPr>
              <w:t>（满分</w:t>
            </w:r>
            <w:r>
              <w:rPr>
                <w:rFonts w:hint="eastAsia" w:ascii="宋体" w:hAnsi="宋体" w:cs="宋体"/>
                <w:kern w:val="0"/>
                <w:lang w:val="en-US" w:eastAsia="zh-CN"/>
              </w:rPr>
              <w:t>2</w:t>
            </w:r>
            <w:r>
              <w:rPr>
                <w:rFonts w:hint="eastAsia" w:ascii="宋体" w:hAnsi="宋体" w:cs="宋体"/>
                <w:kern w:val="0"/>
                <w:lang w:val="zh-CN"/>
              </w:rPr>
              <w:t>分）</w:t>
            </w:r>
          </w:p>
        </w:tc>
        <w:tc>
          <w:tcPr>
            <w:tcW w:w="812" w:type="dxa"/>
            <w:noWrap w:val="0"/>
            <w:vAlign w:val="center"/>
          </w:tcPr>
          <w:p>
            <w:pPr>
              <w:adjustRightInd w:val="0"/>
              <w:snapToGrid w:val="0"/>
              <w:spacing w:line="360" w:lineRule="auto"/>
              <w:rPr>
                <w:rFonts w:hint="eastAsia" w:ascii="宋体" w:hAnsi="宋体" w:cs="宋体"/>
                <w:kern w:val="0"/>
                <w:lang w:val="en-US" w:eastAsia="zh-CN"/>
              </w:rPr>
            </w:pPr>
            <w:r>
              <w:rPr>
                <w:rFonts w:hint="eastAsia" w:ascii="宋体" w:hAnsi="宋体" w:cs="宋体"/>
                <w:kern w:val="0"/>
                <w:lang w:val="en-US" w:eastAsia="zh-CN"/>
              </w:rPr>
              <w:t>2</w:t>
            </w:r>
            <w:r>
              <w:rPr>
                <w:rFonts w:hint="eastAsia" w:ascii="宋体" w:hAnsi="宋体" w:cs="宋体"/>
                <w:kern w:val="0"/>
                <w:lang w:val="zh-CN"/>
              </w:rPr>
              <w:t>分</w:t>
            </w:r>
          </w:p>
        </w:tc>
        <w:tc>
          <w:tcPr>
            <w:tcW w:w="6600" w:type="dxa"/>
            <w:noWrap w:val="0"/>
            <w:vAlign w:val="center"/>
          </w:tcPr>
          <w:p>
            <w:pPr>
              <w:adjustRightInd w:val="0"/>
              <w:snapToGrid w:val="0"/>
              <w:spacing w:line="360" w:lineRule="auto"/>
              <w:rPr>
                <w:rFonts w:hint="eastAsia" w:ascii="宋体" w:hAnsi="宋体"/>
                <w:bCs/>
                <w:color w:val="000000"/>
              </w:rPr>
            </w:pPr>
            <w:r>
              <w:rPr>
                <w:rFonts w:hint="eastAsia" w:ascii="宋体" w:hAnsi="宋体" w:cs="宋体"/>
                <w:kern w:val="0"/>
                <w:lang w:val="zh-CN"/>
              </w:rPr>
              <w:t>根据投标供应商所提供的投标文件能按招标文件要求编制、装订精良、分类合理、资料提供齐全、文字综合表述清楚等情况由评委在0～</w:t>
            </w:r>
            <w:r>
              <w:rPr>
                <w:rFonts w:hint="eastAsia" w:ascii="宋体" w:hAnsi="宋体" w:cs="宋体"/>
                <w:kern w:val="0"/>
                <w:lang w:val="en-US" w:eastAsia="zh-CN"/>
              </w:rPr>
              <w:t>2</w:t>
            </w:r>
            <w:r>
              <w:rPr>
                <w:rFonts w:hint="eastAsia" w:ascii="宋体" w:hAnsi="宋体" w:cs="宋体"/>
                <w:kern w:val="0"/>
                <w:lang w:val="zh-CN"/>
              </w:rPr>
              <w:t>之间打分。（满分</w:t>
            </w:r>
            <w:r>
              <w:rPr>
                <w:rFonts w:hint="eastAsia" w:ascii="宋体" w:hAnsi="宋体" w:cs="宋体"/>
                <w:kern w:val="0"/>
                <w:lang w:val="en-US" w:eastAsia="zh-CN"/>
              </w:rPr>
              <w:t>2</w:t>
            </w:r>
            <w:r>
              <w:rPr>
                <w:rFonts w:hint="eastAsia" w:ascii="宋体" w:hAnsi="宋体" w:cs="宋体"/>
                <w:kern w:val="0"/>
                <w:lang w:val="zh-CN"/>
              </w:rPr>
              <w:t>分）</w:t>
            </w:r>
          </w:p>
        </w:tc>
      </w:tr>
    </w:tbl>
    <w:p>
      <w:pPr>
        <w:rPr>
          <w:vanish/>
        </w:rPr>
      </w:pPr>
    </w:p>
    <w:p>
      <w:pPr>
        <w:rPr>
          <w:vanish/>
        </w:rPr>
      </w:pPr>
    </w:p>
    <w:tbl>
      <w:tblPr>
        <w:tblStyle w:val="16"/>
        <w:tblW w:w="958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587" w:type="dxa"/>
            <w:noWrap w:val="0"/>
            <w:vAlign w:val="center"/>
          </w:tcPr>
          <w:p>
            <w:pPr>
              <w:widowControl/>
              <w:spacing w:line="360" w:lineRule="exact"/>
              <w:rPr>
                <w:rFonts w:hint="eastAsia" w:ascii="宋体" w:hAnsi="宋体" w:cs="宋体"/>
                <w:b/>
                <w:szCs w:val="21"/>
              </w:rPr>
            </w:pPr>
            <w:r>
              <w:rPr>
                <w:rFonts w:hint="eastAsia" w:ascii="宋体" w:hAnsi="宋体"/>
                <w:b/>
                <w:szCs w:val="21"/>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87" w:type="dxa"/>
            <w:noWrap w:val="0"/>
            <w:vAlign w:val="center"/>
          </w:tcPr>
          <w:p>
            <w:pPr>
              <w:widowControl/>
              <w:spacing w:line="360" w:lineRule="exact"/>
              <w:jc w:val="center"/>
              <w:rPr>
                <w:rFonts w:hint="eastAsia" w:ascii="宋体" w:hAnsi="宋体"/>
                <w:szCs w:val="21"/>
              </w:rPr>
            </w:pPr>
            <w:r>
              <w:rPr>
                <w:rFonts w:hint="eastAsia" w:ascii="宋体" w:hAnsi="宋体"/>
                <w:szCs w:val="21"/>
              </w:rPr>
              <w:t>根据中华人民共和国财政部、中华人民共和国工业和信息化部《政府采购促进中小企业发展</w:t>
            </w:r>
            <w:r>
              <w:rPr>
                <w:rFonts w:hint="eastAsia" w:ascii="宋体" w:hAnsi="宋体"/>
                <w:szCs w:val="21"/>
                <w:lang w:eastAsia="zh-CN"/>
              </w:rPr>
              <w:t>管理</w:t>
            </w:r>
            <w:r>
              <w:rPr>
                <w:rFonts w:hint="eastAsia" w:ascii="宋体" w:hAnsi="宋体"/>
                <w:szCs w:val="21"/>
              </w:rPr>
              <w:t>办法》（财库[2011]181号）文件的规定，属于中小企业评审优惠内容及幅度如下：根据《政府采购促进中小企业发展</w:t>
            </w:r>
            <w:r>
              <w:rPr>
                <w:rFonts w:hint="eastAsia" w:ascii="宋体" w:hAnsi="宋体"/>
                <w:szCs w:val="21"/>
                <w:lang w:eastAsia="zh-CN"/>
              </w:rPr>
              <w:t>管理</w:t>
            </w:r>
            <w:r>
              <w:rPr>
                <w:rFonts w:hint="eastAsia" w:ascii="宋体" w:hAnsi="宋体"/>
                <w:szCs w:val="21"/>
              </w:rPr>
              <w:t>办法》（财库[2011]181号）、《财政部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szCs w:val="21"/>
                <w:lang w:eastAsia="zh-CN"/>
              </w:rPr>
              <w:t>投标供应商</w:t>
            </w:r>
            <w:r>
              <w:rPr>
                <w:rFonts w:hint="eastAsia" w:ascii="宋体" w:hAnsi="宋体"/>
                <w:szCs w:val="21"/>
              </w:rPr>
              <w:t>企业类型声明函》、《残疾人福利性单位声明函》或省级以上监狱管理局、戒毒管理局（含新疆生产建设兵团）出具的属于监狱企业的证明文件的</w:t>
            </w:r>
            <w:r>
              <w:rPr>
                <w:rFonts w:hint="eastAsia" w:ascii="宋体" w:hAnsi="宋体"/>
                <w:szCs w:val="21"/>
                <w:lang w:eastAsia="zh-CN"/>
              </w:rPr>
              <w:t>投标供应商</w:t>
            </w:r>
            <w:r>
              <w:rPr>
                <w:rFonts w:hint="eastAsia" w:ascii="宋体" w:hAnsi="宋体"/>
                <w:szCs w:val="21"/>
              </w:rPr>
              <w:t>，其投标报价扣除 6 %后参与评审。对于同时属于小微企业、监狱企</w:t>
            </w:r>
          </w:p>
          <w:p>
            <w:pPr>
              <w:widowControl/>
              <w:spacing w:line="360" w:lineRule="exact"/>
              <w:jc w:val="center"/>
              <w:rPr>
                <w:rFonts w:hint="eastAsia" w:ascii="宋体" w:hAnsi="宋体"/>
                <w:szCs w:val="21"/>
              </w:rPr>
            </w:pPr>
            <w:r>
              <w:rPr>
                <w:rFonts w:hint="eastAsia" w:ascii="宋体" w:hAnsi="宋体"/>
                <w:szCs w:val="21"/>
              </w:rPr>
              <w:t>业或残疾</w:t>
            </w:r>
          </w:p>
          <w:p>
            <w:pPr>
              <w:widowControl/>
              <w:spacing w:line="360" w:lineRule="exact"/>
              <w:jc w:val="both"/>
              <w:rPr>
                <w:rFonts w:hint="eastAsia" w:ascii="宋体" w:hAnsi="宋体" w:cs="宋体"/>
                <w:szCs w:val="21"/>
              </w:rPr>
            </w:pPr>
            <w:r>
              <w:rPr>
                <w:rFonts w:hint="eastAsia" w:ascii="宋体" w:hAnsi="宋体"/>
                <w:szCs w:val="21"/>
              </w:rPr>
              <w:t>人福利性单位的，不重复进行投标报价扣除。属于中小企业、监狱企业或残疾人福利性单位应提供的资料：《中小企业/监狱企业/残疾人福利性单位声明函》。</w:t>
            </w:r>
          </w:p>
        </w:tc>
      </w:tr>
    </w:tbl>
    <w:p>
      <w:pPr>
        <w:pStyle w:val="26"/>
        <w:spacing w:line="360" w:lineRule="exact"/>
        <w:ind w:left="1200" w:hanging="360"/>
        <w:rPr>
          <w:rFonts w:hint="eastAsia" w:ascii="Times New Roman" w:hAnsi="Times New Roman"/>
          <w:szCs w:val="21"/>
        </w:rPr>
      </w:pPr>
    </w:p>
    <w:p/>
    <w:sectPr>
      <w:headerReference r:id="rId8" w:type="default"/>
      <w:footerReference r:id="rId9" w:type="default"/>
      <w:pgSz w:w="11905" w:h="16838"/>
      <w:pgMar w:top="1440" w:right="1077" w:bottom="1440" w:left="1077" w:header="96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28</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w:t>
    </w:r>
    <w:r>
      <w:rPr>
        <w:lang w:val="zh-CN"/>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2</w:t>
    </w:r>
    <w:r>
      <w:rPr>
        <w:lang w:val="zh-CN"/>
      </w:rPr>
      <w:fldChar w:fldCharType="end"/>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BDA1"/>
    <w:multiLevelType w:val="singleLevel"/>
    <w:tmpl w:val="8907BDA1"/>
    <w:lvl w:ilvl="0" w:tentative="0">
      <w:start w:val="2"/>
      <w:numFmt w:val="chineseCounting"/>
      <w:suff w:val="nothing"/>
      <w:lvlText w:val="%1、"/>
      <w:lvlJc w:val="left"/>
      <w:rPr>
        <w:rFonts w:hint="eastAsia"/>
      </w:rPr>
    </w:lvl>
  </w:abstractNum>
  <w:abstractNum w:abstractNumId="1">
    <w:nsid w:val="DCBA6B53"/>
    <w:multiLevelType w:val="singleLevel"/>
    <w:tmpl w:val="DCBA6B53"/>
    <w:lvl w:ilvl="0" w:tentative="0">
      <w:start w:val="1"/>
      <w:numFmt w:val="decimal"/>
      <w:suff w:val="nothing"/>
      <w:lvlText w:val="%1、"/>
      <w:lvlJc w:val="left"/>
      <w:pPr>
        <w:ind w:left="0" w:firstLine="0"/>
      </w:p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5"/>
    <w:multiLevelType w:val="multilevel"/>
    <w:tmpl w:val="00000005"/>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9"/>
    <w:multiLevelType w:val="singleLevel"/>
    <w:tmpl w:val="00000009"/>
    <w:lvl w:ilvl="0" w:tentative="0">
      <w:start w:val="1"/>
      <w:numFmt w:val="decimal"/>
      <w:suff w:val="nothing"/>
      <w:lvlText w:val="%1）"/>
      <w:lvlJc w:val="left"/>
      <w:pPr>
        <w:ind w:left="1470" w:firstLine="0"/>
      </w:pPr>
    </w:lvl>
  </w:abstractNum>
  <w:abstractNum w:abstractNumId="5">
    <w:nsid w:val="0000000B"/>
    <w:multiLevelType w:val="singleLevel"/>
    <w:tmpl w:val="0000000B"/>
    <w:lvl w:ilvl="0" w:tentative="0">
      <w:start w:val="1"/>
      <w:numFmt w:val="decimal"/>
      <w:lvlText w:val="(%1)"/>
      <w:lvlJc w:val="left"/>
      <w:pPr>
        <w:ind w:left="635" w:hanging="425"/>
      </w:pPr>
      <w:rPr>
        <w:rFonts w:hint="default"/>
      </w:rPr>
    </w:lvl>
  </w:abstractNum>
  <w:abstractNum w:abstractNumId="6">
    <w:nsid w:val="2470EC97"/>
    <w:multiLevelType w:val="singleLevel"/>
    <w:tmpl w:val="2470EC97"/>
    <w:lvl w:ilvl="0" w:tentative="0">
      <w:start w:val="1"/>
      <w:numFmt w:val="decimal"/>
      <w:suff w:val="nothing"/>
      <w:lvlText w:val="%1、"/>
      <w:lvlJc w:val="left"/>
      <w:pPr>
        <w:ind w:left="0" w:firstLine="0"/>
      </w:pPr>
    </w:lvl>
  </w:abstractNum>
  <w:abstractNum w:abstractNumId="7">
    <w:nsid w:val="30A7C66F"/>
    <w:multiLevelType w:val="singleLevel"/>
    <w:tmpl w:val="30A7C66F"/>
    <w:lvl w:ilvl="0" w:tentative="0">
      <w:start w:val="1"/>
      <w:numFmt w:val="decimal"/>
      <w:suff w:val="nothing"/>
      <w:lvlText w:val="%1、"/>
      <w:lvlJc w:val="left"/>
    </w:lvl>
  </w:abstractNum>
  <w:abstractNum w:abstractNumId="8">
    <w:nsid w:val="7393EA53"/>
    <w:multiLevelType w:val="singleLevel"/>
    <w:tmpl w:val="7393EA53"/>
    <w:lvl w:ilvl="0" w:tentative="0">
      <w:start w:val="1"/>
      <w:numFmt w:val="chineseCounting"/>
      <w:suff w:val="nothing"/>
      <w:lvlText w:val="%1、"/>
      <w:lvlJc w:val="left"/>
      <w:pPr>
        <w:ind w:left="420"/>
      </w:pPr>
      <w:rPr>
        <w:rFonts w:hint="eastAsia"/>
      </w:rPr>
    </w:lvl>
  </w:abstractNum>
  <w:abstractNum w:abstractNumId="9">
    <w:nsid w:val="7469A616"/>
    <w:multiLevelType w:val="singleLevel"/>
    <w:tmpl w:val="7469A616"/>
    <w:lvl w:ilvl="0" w:tentative="0">
      <w:start w:val="1"/>
      <w:numFmt w:val="decimal"/>
      <w:suff w:val="nothing"/>
      <w:lvlText w:val="%1、"/>
      <w:lvlJc w:val="left"/>
    </w:lvl>
  </w:abstractNum>
  <w:abstractNum w:abstractNumId="10">
    <w:nsid w:val="775B9D7A"/>
    <w:multiLevelType w:val="singleLevel"/>
    <w:tmpl w:val="775B9D7A"/>
    <w:lvl w:ilvl="0" w:tentative="0">
      <w:start w:val="1"/>
      <w:numFmt w:val="decimal"/>
      <w:suff w:val="nothing"/>
      <w:lvlText w:val="%1、"/>
      <w:lvlJc w:val="left"/>
    </w:lvl>
  </w:abstractNum>
  <w:abstractNum w:abstractNumId="11">
    <w:nsid w:val="78914CF4"/>
    <w:multiLevelType w:val="singleLevel"/>
    <w:tmpl w:val="78914CF4"/>
    <w:lvl w:ilvl="0" w:tentative="0">
      <w:start w:val="1"/>
      <w:numFmt w:val="decimal"/>
      <w:suff w:val="nothing"/>
      <w:lvlText w:val="%1、"/>
      <w:lvlJc w:val="left"/>
    </w:lvl>
  </w:abstractNum>
  <w:num w:numId="1">
    <w:abstractNumId w:val="3"/>
  </w:num>
  <w:num w:numId="2">
    <w:abstractNumId w:val="0"/>
  </w:num>
  <w:num w:numId="3">
    <w:abstractNumId w:val="11"/>
  </w:num>
  <w:num w:numId="4">
    <w:abstractNumId w:val="5"/>
  </w:num>
  <w:num w:numId="5">
    <w:abstractNumId w:val="4"/>
  </w:num>
  <w:num w:numId="6">
    <w:abstractNumId w:val="8"/>
  </w:num>
  <w:num w:numId="7">
    <w:abstractNumId w:val="6"/>
  </w:num>
  <w:num w:numId="8">
    <w:abstractNumId w:val="1"/>
  </w:num>
  <w:num w:numId="9">
    <w:abstractNumId w:val="7"/>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DFjZmQyZGVjZTU5MjZhYWQwMmY5NTJhNGMyOGIifQ=="/>
  </w:docVars>
  <w:rsids>
    <w:rsidRoot w:val="3CC64774"/>
    <w:rsid w:val="036D74EC"/>
    <w:rsid w:val="038F52FC"/>
    <w:rsid w:val="05B96CD4"/>
    <w:rsid w:val="069E68D1"/>
    <w:rsid w:val="08176CF4"/>
    <w:rsid w:val="08735B53"/>
    <w:rsid w:val="0C12180B"/>
    <w:rsid w:val="0F06020E"/>
    <w:rsid w:val="10507EF2"/>
    <w:rsid w:val="10B21F25"/>
    <w:rsid w:val="116845C9"/>
    <w:rsid w:val="12A8323E"/>
    <w:rsid w:val="152D2582"/>
    <w:rsid w:val="157B4726"/>
    <w:rsid w:val="1A8A6D26"/>
    <w:rsid w:val="1C214A23"/>
    <w:rsid w:val="1E1F5A5B"/>
    <w:rsid w:val="1EB2452E"/>
    <w:rsid w:val="28BD2E58"/>
    <w:rsid w:val="2A733AD6"/>
    <w:rsid w:val="2BF1541B"/>
    <w:rsid w:val="2C050EFE"/>
    <w:rsid w:val="2D453B45"/>
    <w:rsid w:val="2DBA39F5"/>
    <w:rsid w:val="2E402ED6"/>
    <w:rsid w:val="32732140"/>
    <w:rsid w:val="3A2653EF"/>
    <w:rsid w:val="3CC64774"/>
    <w:rsid w:val="3F220146"/>
    <w:rsid w:val="3FA92989"/>
    <w:rsid w:val="437E19E5"/>
    <w:rsid w:val="464767BB"/>
    <w:rsid w:val="480E0F48"/>
    <w:rsid w:val="49EE74BC"/>
    <w:rsid w:val="50924457"/>
    <w:rsid w:val="53B05468"/>
    <w:rsid w:val="542B7834"/>
    <w:rsid w:val="56754CC2"/>
    <w:rsid w:val="5929519F"/>
    <w:rsid w:val="59BE65BA"/>
    <w:rsid w:val="5E550A39"/>
    <w:rsid w:val="653D5079"/>
    <w:rsid w:val="67126DA8"/>
    <w:rsid w:val="68A94878"/>
    <w:rsid w:val="69A738C7"/>
    <w:rsid w:val="6BC04A74"/>
    <w:rsid w:val="6D035458"/>
    <w:rsid w:val="710D1F89"/>
    <w:rsid w:val="726C3ED6"/>
    <w:rsid w:val="76351D73"/>
    <w:rsid w:val="7D70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keepLines/>
      <w:widowControl/>
      <w:spacing w:before="340" w:beforeLines="0" w:beforeAutospacing="0" w:after="330" w:afterLines="0" w:afterAutospacing="0" w:line="576" w:lineRule="auto"/>
      <w:jc w:val="left"/>
      <w:outlineLvl w:val="0"/>
    </w:pPr>
    <w:rPr>
      <w:rFonts w:ascii="Times New Roman" w:hAnsi="Times New Roman" w:eastAsia="宋体"/>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style>
  <w:style w:type="paragraph" w:styleId="7">
    <w:name w:val="toa heading"/>
    <w:basedOn w:val="1"/>
    <w:next w:val="1"/>
    <w:qFormat/>
    <w:uiPriority w:val="0"/>
    <w:pPr>
      <w:widowControl/>
      <w:autoSpaceDE/>
      <w:autoSpaceDN/>
      <w:spacing w:before="120" w:after="0" w:line="240" w:lineRule="auto"/>
      <w:ind w:firstLine="3584"/>
    </w:pPr>
  </w:style>
  <w:style w:type="paragraph" w:styleId="8">
    <w:name w:val="Body Text Indent"/>
    <w:basedOn w:val="1"/>
    <w:qFormat/>
    <w:uiPriority w:val="0"/>
    <w:pPr>
      <w:spacing w:after="120" w:afterLines="0" w:afterAutospacing="0"/>
      <w:ind w:left="420" w:leftChars="200"/>
    </w:p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360" w:lineRule="auto"/>
      <w:ind w:left="839" w:hanging="839" w:hangingChars="355"/>
    </w:pPr>
    <w:rPr>
      <w:rFonts w:ascii="Times New Roman" w:hAnsi="Times New Roman" w:eastAsia="宋体"/>
      <w:b/>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Body Text First Indent 2"/>
    <w:basedOn w:val="8"/>
    <w:qFormat/>
    <w:uiPriority w:val="99"/>
    <w:pPr>
      <w:spacing w:after="0"/>
      <w:ind w:left="0" w:leftChars="0" w:firstLine="200" w:firstLineChars="200"/>
    </w:pPr>
    <w:rPr>
      <w:sz w:val="28"/>
    </w:rPr>
  </w:style>
  <w:style w:type="character" w:styleId="18">
    <w:name w:val="page number"/>
    <w:basedOn w:val="17"/>
    <w:qFormat/>
    <w:uiPriority w:val="0"/>
  </w:style>
  <w:style w:type="paragraph" w:customStyle="1" w:styleId="19">
    <w:name w:val="Default"/>
    <w:qFormat/>
    <w:uiPriority w:val="0"/>
    <w:pPr>
      <w:widowControl w:val="0"/>
      <w:autoSpaceDE w:val="0"/>
      <w:autoSpaceDN w:val="0"/>
      <w:adjustRightInd w:val="0"/>
    </w:pPr>
    <w:rPr>
      <w:rFonts w:ascii="Arial" w:hAnsi="Arial" w:eastAsia="宋体" w:cs="Times New Roman"/>
      <w:color w:val="000000"/>
      <w:sz w:val="24"/>
      <w:lang w:val="en-US" w:eastAsia="zh-CN"/>
    </w:rPr>
  </w:style>
  <w:style w:type="paragraph" w:customStyle="1" w:styleId="20">
    <w:name w:val="封面字体3"/>
    <w:basedOn w:val="1"/>
    <w:qFormat/>
    <w:uiPriority w:val="0"/>
    <w:pPr>
      <w:spacing w:line="240" w:lineRule="atLeast"/>
    </w:pPr>
    <w:rPr>
      <w:rFonts w:ascii="黑体" w:hAnsi="华文细黑" w:eastAsia="黑体"/>
      <w:spacing w:val="100"/>
      <w:kern w:val="0"/>
      <w:sz w:val="44"/>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列出段落1"/>
    <w:basedOn w:val="1"/>
    <w:qFormat/>
    <w:uiPriority w:val="0"/>
    <w:pPr>
      <w:ind w:firstLine="420" w:firstLineChars="200"/>
    </w:p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rPr>
  </w:style>
  <w:style w:type="paragraph" w:styleId="25">
    <w:name w:val="List Paragraph"/>
    <w:basedOn w:val="1"/>
    <w:qFormat/>
    <w:uiPriority w:val="0"/>
    <w:pPr>
      <w:ind w:firstLine="420" w:firstLineChars="200"/>
    </w:pPr>
    <w:rPr>
      <w:rFonts w:ascii="Calibri" w:hAnsi="Calibri" w:eastAsia="宋体"/>
      <w:sz w:val="21"/>
    </w:rPr>
  </w:style>
  <w:style w:type="paragraph" w:customStyle="1" w:styleId="26">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34662</Words>
  <Characters>36273</Characters>
  <Lines>0</Lines>
  <Paragraphs>0</Paragraphs>
  <TotalTime>8</TotalTime>
  <ScaleCrop>false</ScaleCrop>
  <LinksUpToDate>false</LinksUpToDate>
  <CharactersWithSpaces>37831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2022-03-03T05:18:00Z</dcterms:created>
  <dc:creator>Hickey.</dc:creator>
  <cp:lastModifiedBy>fantian</cp:lastModifiedBy>
  <dcterms:modified xsi:type="dcterms:W3CDTF">2022-05-16T11:02:56Z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AA20221761B6492685426215A01E4391</vt:lpwstr>
  </property>
</Properties>
</file>