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rPr>
          <w:rFonts w:hint="eastAsia"/>
          <w:b/>
          <w:sz w:val="52"/>
          <w:szCs w:val="52"/>
        </w:rPr>
      </w:pPr>
      <w:bookmarkStart w:id="0" w:name="_Toc464451503"/>
      <w:bookmarkStart w:id="1" w:name="_Toc464457642"/>
      <w:bookmarkStart w:id="2" w:name="_Toc464397397"/>
      <w:bookmarkStart w:id="3" w:name="_Toc463071331"/>
      <w:bookmarkStart w:id="4" w:name="_Toc478889380"/>
      <w:bookmarkStart w:id="5" w:name="_Toc462487361"/>
      <w:bookmarkStart w:id="6" w:name="_Toc463071784"/>
      <w:bookmarkStart w:id="7" w:name="_Toc462486136"/>
      <w:bookmarkStart w:id="8" w:name="_Toc478897898"/>
      <w:bookmarkStart w:id="9" w:name="_Toc463067500"/>
      <w:bookmarkStart w:id="10" w:name="_Toc467034198"/>
      <w:bookmarkStart w:id="11" w:name="_Toc466974276"/>
      <w:bookmarkStart w:id="12" w:name="_Toc464401350"/>
      <w:r>
        <w:rPr>
          <w:rFonts w:hint="eastAsia"/>
          <w:b/>
          <w:sz w:val="52"/>
          <w:szCs w:val="52"/>
        </w:rPr>
        <w:t>沙雅县公安局警用装备采购项目</w:t>
      </w:r>
    </w:p>
    <w:p>
      <w:pPr>
        <w:spacing w:before="50" w:after="50" w:line="360" w:lineRule="auto"/>
        <w:jc w:val="center"/>
        <w:rPr>
          <w:rFonts w:hint="eastAsia"/>
          <w:b/>
          <w:sz w:val="36"/>
          <w:szCs w:val="36"/>
        </w:rPr>
      </w:pPr>
    </w:p>
    <w:p>
      <w:pPr>
        <w:spacing w:before="50" w:after="50" w:line="360" w:lineRule="auto"/>
        <w:jc w:val="center"/>
        <w:rPr>
          <w:rFonts w:hint="eastAsia"/>
          <w:b/>
          <w:bCs/>
          <w:color w:val="000000"/>
          <w:sz w:val="72"/>
          <w:szCs w:val="72"/>
        </w:rPr>
      </w:pPr>
    </w:p>
    <w:p>
      <w:pPr>
        <w:spacing w:before="50" w:after="50" w:line="360" w:lineRule="auto"/>
        <w:jc w:val="center"/>
        <w:rPr>
          <w:rFonts w:hint="eastAsia"/>
          <w:b/>
          <w:bCs/>
          <w:color w:val="000000"/>
          <w:sz w:val="72"/>
          <w:szCs w:val="72"/>
        </w:rPr>
      </w:pPr>
    </w:p>
    <w:p>
      <w:pPr>
        <w:spacing w:before="50" w:after="50" w:line="360" w:lineRule="auto"/>
        <w:jc w:val="center"/>
        <w:rPr>
          <w:rFonts w:hint="eastAsia"/>
          <w:b/>
          <w:bCs/>
          <w:color w:val="000000"/>
          <w:sz w:val="72"/>
          <w:szCs w:val="72"/>
        </w:rPr>
      </w:pPr>
    </w:p>
    <w:p>
      <w:pPr>
        <w:spacing w:before="50" w:after="50" w:line="360" w:lineRule="auto"/>
        <w:jc w:val="center"/>
        <w:rPr>
          <w:rFonts w:hint="eastAsia" w:ascii="宋体" w:hAnsi="宋体"/>
          <w:b/>
          <w:bCs/>
          <w:color w:val="000000"/>
          <w:sz w:val="36"/>
          <w:szCs w:val="36"/>
        </w:rPr>
      </w:pPr>
      <w:r>
        <w:rPr>
          <w:rFonts w:hint="eastAsia"/>
          <w:b/>
          <w:bCs/>
          <w:color w:val="000000"/>
          <w:sz w:val="72"/>
          <w:szCs w:val="72"/>
        </w:rPr>
        <w:t>询  价  文  件</w:t>
      </w:r>
    </w:p>
    <w:p>
      <w:pPr>
        <w:pStyle w:val="11"/>
        <w:spacing w:line="360" w:lineRule="auto"/>
        <w:jc w:val="center"/>
        <w:rPr>
          <w:rFonts w:hint="eastAsia" w:hAnsi="宋体"/>
          <w:b/>
          <w:color w:val="000000"/>
        </w:rPr>
      </w:pPr>
    </w:p>
    <w:p>
      <w:pPr>
        <w:pStyle w:val="11"/>
        <w:spacing w:line="360" w:lineRule="auto"/>
        <w:jc w:val="center"/>
        <w:rPr>
          <w:rFonts w:hAnsi="宋体"/>
          <w:b/>
          <w:color w:val="000000"/>
          <w:sz w:val="28"/>
          <w:szCs w:val="28"/>
        </w:rPr>
      </w:pPr>
      <w:r>
        <w:rPr>
          <w:rFonts w:hAnsi="宋体"/>
          <w:b/>
          <w:color w:val="000000"/>
          <w:sz w:val="28"/>
          <w:szCs w:val="28"/>
        </w:rPr>
        <w:t xml:space="preserve"> </w:t>
      </w:r>
    </w:p>
    <w:p>
      <w:pPr>
        <w:pStyle w:val="11"/>
        <w:spacing w:line="360" w:lineRule="auto"/>
        <w:jc w:val="center"/>
        <w:rPr>
          <w:rFonts w:hint="eastAsia" w:hAnsi="宋体"/>
          <w:b/>
          <w:color w:val="000000"/>
          <w:sz w:val="28"/>
          <w:szCs w:val="28"/>
        </w:rPr>
      </w:pPr>
    </w:p>
    <w:p>
      <w:pPr>
        <w:pStyle w:val="11"/>
        <w:spacing w:line="360" w:lineRule="auto"/>
        <w:jc w:val="center"/>
        <w:rPr>
          <w:rFonts w:hint="eastAsia" w:hAnsi="宋体"/>
          <w:b/>
          <w:color w:val="000000"/>
        </w:rPr>
      </w:pPr>
    </w:p>
    <w:p>
      <w:pPr>
        <w:pStyle w:val="11"/>
        <w:spacing w:line="360" w:lineRule="auto"/>
        <w:jc w:val="center"/>
        <w:rPr>
          <w:rFonts w:hint="eastAsia" w:hAnsi="宋体"/>
          <w:b/>
          <w:color w:val="000000"/>
        </w:rPr>
      </w:pPr>
    </w:p>
    <w:p>
      <w:pPr>
        <w:pStyle w:val="11"/>
        <w:spacing w:line="360" w:lineRule="auto"/>
        <w:rPr>
          <w:rFonts w:hint="eastAsia" w:hAnsi="宋体"/>
          <w:b/>
          <w:color w:val="000000"/>
        </w:rPr>
      </w:pPr>
    </w:p>
    <w:p>
      <w:pPr>
        <w:pStyle w:val="11"/>
        <w:spacing w:line="360" w:lineRule="auto"/>
        <w:rPr>
          <w:rFonts w:hint="eastAsia" w:hAnsi="宋体"/>
          <w:b/>
          <w:color w:val="000000"/>
          <w:sz w:val="24"/>
          <w:szCs w:val="24"/>
        </w:rPr>
      </w:pPr>
    </w:p>
    <w:p>
      <w:pPr>
        <w:pStyle w:val="11"/>
        <w:spacing w:line="360" w:lineRule="auto"/>
        <w:jc w:val="both"/>
        <w:rPr>
          <w:rFonts w:hint="eastAsia" w:ascii="宋体" w:hAnsi="宋体" w:eastAsia="宋体" w:cs="宋体"/>
          <w:b/>
          <w:color w:val="000000"/>
          <w:sz w:val="32"/>
          <w:szCs w:val="32"/>
          <w:lang w:val="zh-CN"/>
        </w:rPr>
      </w:pPr>
    </w:p>
    <w:p>
      <w:pPr>
        <w:pStyle w:val="11"/>
        <w:spacing w:line="360" w:lineRule="auto"/>
        <w:ind w:firstLine="321" w:firstLineChars="100"/>
        <w:jc w:val="both"/>
        <w:rPr>
          <w:rFonts w:hint="default" w:ascii="宋体" w:hAnsi="宋体" w:eastAsia="宋体" w:cs="宋体"/>
          <w:b/>
          <w:color w:val="000000"/>
          <w:sz w:val="32"/>
          <w:szCs w:val="32"/>
          <w:lang w:val="en-US"/>
        </w:rPr>
      </w:pPr>
      <w:r>
        <w:rPr>
          <w:rFonts w:hint="eastAsia" w:hAnsi="宋体" w:eastAsia="宋体" w:cs="宋体"/>
          <w:b/>
          <w:color w:val="000000"/>
          <w:sz w:val="32"/>
          <w:szCs w:val="32"/>
          <w:lang w:val="zh-CN"/>
        </w:rPr>
        <w:t>采购</w:t>
      </w:r>
      <w:r>
        <w:rPr>
          <w:rFonts w:hint="eastAsia" w:ascii="宋体" w:hAnsi="宋体" w:eastAsia="宋体" w:cs="宋体"/>
          <w:b/>
          <w:color w:val="000000"/>
          <w:sz w:val="32"/>
          <w:szCs w:val="32"/>
          <w:lang w:val="zh-CN"/>
        </w:rPr>
        <w:t>项目编号：SYX-ZFCG-XLS-2022(XJ)-01号</w:t>
      </w:r>
    </w:p>
    <w:p>
      <w:pPr>
        <w:pStyle w:val="11"/>
        <w:spacing w:line="360" w:lineRule="auto"/>
        <w:ind w:firstLine="321" w:firstLineChars="100"/>
        <w:jc w:val="both"/>
        <w:rPr>
          <w:rFonts w:hint="eastAsia" w:ascii="宋体" w:hAnsi="宋体" w:eastAsia="宋体" w:cs="宋体"/>
          <w:b/>
          <w:color w:val="000000"/>
          <w:sz w:val="32"/>
          <w:szCs w:val="32"/>
          <w:lang w:val="zh-CN" w:eastAsia="zh-CN"/>
        </w:rPr>
      </w:pPr>
      <w:r>
        <w:rPr>
          <w:rFonts w:hint="eastAsia" w:ascii="宋体" w:hAnsi="宋体" w:eastAsia="宋体" w:cs="宋体"/>
          <w:b/>
          <w:color w:val="000000"/>
          <w:sz w:val="32"/>
          <w:szCs w:val="32"/>
          <w:lang w:val="zh-CN" w:eastAsia="zh-CN"/>
        </w:rPr>
        <w:t>采购人：</w:t>
      </w:r>
      <w:r>
        <w:rPr>
          <w:rFonts w:hint="eastAsia" w:hAnsi="宋体" w:eastAsia="宋体" w:cs="宋体"/>
          <w:b/>
          <w:color w:val="000000"/>
          <w:sz w:val="32"/>
          <w:szCs w:val="32"/>
          <w:lang w:val="en-US" w:eastAsia="zh-CN"/>
        </w:rPr>
        <w:t>沙雅县公安局</w:t>
      </w:r>
      <w:r>
        <w:rPr>
          <w:rFonts w:hint="eastAsia" w:ascii="宋体" w:hAnsi="宋体" w:eastAsia="宋体" w:cs="宋体"/>
          <w:b/>
          <w:color w:val="000000"/>
          <w:sz w:val="32"/>
          <w:szCs w:val="32"/>
          <w:lang w:val="zh-CN" w:eastAsia="zh-CN"/>
        </w:rPr>
        <w:t xml:space="preserve"> </w:t>
      </w:r>
    </w:p>
    <w:p>
      <w:pPr>
        <w:pStyle w:val="11"/>
        <w:spacing w:line="360" w:lineRule="auto"/>
        <w:ind w:firstLine="321" w:firstLineChars="100"/>
        <w:jc w:val="both"/>
        <w:rPr>
          <w:rFonts w:hint="default" w:ascii="宋体" w:hAnsi="宋体" w:eastAsia="宋体" w:cs="宋体"/>
          <w:b/>
          <w:color w:val="000000"/>
          <w:sz w:val="32"/>
          <w:szCs w:val="32"/>
          <w:lang w:val="en-US" w:eastAsia="zh-CN"/>
        </w:rPr>
      </w:pPr>
      <w:r>
        <w:rPr>
          <w:rFonts w:hint="eastAsia" w:hAnsi="宋体" w:eastAsia="宋体" w:cs="宋体"/>
          <w:b/>
          <w:color w:val="000000"/>
          <w:sz w:val="32"/>
          <w:szCs w:val="32"/>
          <w:lang w:val="zh-CN"/>
        </w:rPr>
        <w:t>采购</w:t>
      </w:r>
      <w:r>
        <w:rPr>
          <w:rFonts w:hint="eastAsia" w:ascii="宋体" w:hAnsi="宋体" w:eastAsia="宋体" w:cs="宋体"/>
          <w:b/>
          <w:color w:val="000000"/>
          <w:sz w:val="32"/>
          <w:szCs w:val="32"/>
          <w:lang w:val="zh-CN"/>
        </w:rPr>
        <w:t>代理机构</w:t>
      </w:r>
      <w:r>
        <w:rPr>
          <w:rFonts w:hint="eastAsia" w:ascii="宋体" w:hAnsi="宋体" w:eastAsia="宋体" w:cs="宋体"/>
          <w:b/>
          <w:color w:val="000000"/>
          <w:sz w:val="32"/>
          <w:szCs w:val="32"/>
          <w:lang w:val="zh-CN" w:eastAsia="zh-CN"/>
        </w:rPr>
        <w:t>：</w:t>
      </w:r>
      <w:r>
        <w:rPr>
          <w:rFonts w:hint="eastAsia" w:hAnsi="宋体" w:eastAsia="宋体" w:cs="宋体"/>
          <w:b/>
          <w:color w:val="000000"/>
          <w:sz w:val="32"/>
          <w:szCs w:val="32"/>
          <w:lang w:val="en-US" w:eastAsia="zh-CN"/>
        </w:rPr>
        <w:t>新疆希林森建设项目管理有限公司</w:t>
      </w:r>
    </w:p>
    <w:p>
      <w:pPr>
        <w:pStyle w:val="11"/>
        <w:spacing w:line="360" w:lineRule="auto"/>
        <w:ind w:firstLine="321" w:firstLineChars="100"/>
        <w:jc w:val="both"/>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zh-CN" w:eastAsia="zh-CN"/>
        </w:rPr>
        <w:t>日 期：20</w:t>
      </w:r>
      <w:r>
        <w:rPr>
          <w:rFonts w:hint="eastAsia" w:hAnsi="宋体" w:eastAsia="宋体" w:cs="宋体"/>
          <w:b/>
          <w:color w:val="000000"/>
          <w:sz w:val="32"/>
          <w:szCs w:val="32"/>
          <w:lang w:val="en-US" w:eastAsia="zh-CN"/>
        </w:rPr>
        <w:t>22</w:t>
      </w:r>
      <w:r>
        <w:rPr>
          <w:rFonts w:hint="eastAsia" w:ascii="宋体" w:hAnsi="宋体" w:eastAsia="宋体" w:cs="宋体"/>
          <w:b/>
          <w:color w:val="000000"/>
          <w:sz w:val="32"/>
          <w:szCs w:val="32"/>
          <w:lang w:val="zh-CN" w:eastAsia="zh-CN"/>
        </w:rPr>
        <w:t>年</w:t>
      </w:r>
      <w:r>
        <w:rPr>
          <w:rFonts w:hint="eastAsia" w:hAnsi="宋体" w:eastAsia="宋体" w:cs="宋体"/>
          <w:b/>
          <w:color w:val="000000"/>
          <w:sz w:val="32"/>
          <w:szCs w:val="32"/>
          <w:lang w:val="en-US" w:eastAsia="zh-CN"/>
        </w:rPr>
        <w:t>05</w:t>
      </w:r>
      <w:r>
        <w:rPr>
          <w:rFonts w:hint="eastAsia" w:ascii="宋体" w:hAnsi="宋体" w:eastAsia="宋体" w:cs="宋体"/>
          <w:b/>
          <w:color w:val="000000"/>
          <w:sz w:val="32"/>
          <w:szCs w:val="32"/>
          <w:lang w:val="zh-CN" w:eastAsia="zh-CN"/>
        </w:rPr>
        <w:t>月</w:t>
      </w:r>
      <w:r>
        <w:rPr>
          <w:rFonts w:hint="eastAsia" w:hAnsi="宋体" w:eastAsia="宋体" w:cs="宋体"/>
          <w:b/>
          <w:color w:val="000000"/>
          <w:sz w:val="32"/>
          <w:szCs w:val="32"/>
          <w:lang w:val="en-US" w:eastAsia="zh-CN"/>
        </w:rPr>
        <w:t>24日</w:t>
      </w:r>
    </w:p>
    <w:p>
      <w:pPr>
        <w:spacing w:line="751" w:lineRule="atLeast"/>
        <w:ind w:left="2209" w:hanging="2209" w:hangingChars="500"/>
        <w:jc w:val="center"/>
        <w:rPr>
          <w:rFonts w:hint="eastAsia" w:ascii="宋体" w:hAnsi="宋体"/>
          <w:b/>
          <w:color w:val="000000"/>
          <w:sz w:val="44"/>
          <w:szCs w:val="44"/>
        </w:rPr>
      </w:pPr>
      <w:r>
        <w:rPr>
          <w:rFonts w:hint="eastAsia" w:ascii="宋体" w:hAnsi="宋体"/>
          <w:b/>
          <w:color w:val="000000"/>
          <w:sz w:val="44"/>
          <w:szCs w:val="44"/>
        </w:rPr>
        <w:t>采购招标文件</w:t>
      </w:r>
    </w:p>
    <w:p>
      <w:pPr>
        <w:spacing w:line="751" w:lineRule="atLeast"/>
        <w:ind w:left="2209" w:hanging="2209" w:hangingChars="500"/>
        <w:rPr>
          <w:rFonts w:hint="eastAsia" w:ascii="宋体" w:hAnsi="宋体"/>
          <w:b/>
          <w:color w:val="000000"/>
          <w:sz w:val="44"/>
          <w:szCs w:val="44"/>
        </w:rPr>
      </w:pPr>
    </w:p>
    <w:p>
      <w:pPr>
        <w:spacing w:line="751" w:lineRule="atLeast"/>
        <w:rPr>
          <w:rFonts w:hint="eastAsia" w:ascii="宋体" w:hAnsi="宋体" w:eastAsia="宋体" w:cs="Times New Roman"/>
          <w:color w:val="000000"/>
          <w:sz w:val="28"/>
          <w:lang w:val="zh-CN" w:eastAsia="zh-CN"/>
        </w:rPr>
      </w:pPr>
      <w:r>
        <w:rPr>
          <w:rFonts w:hint="eastAsia" w:ascii="宋体" w:hAnsi="宋体"/>
          <w:color w:val="000000"/>
          <w:sz w:val="28"/>
          <w:lang w:eastAsia="zh-CN"/>
        </w:rPr>
        <w:t>采购项目</w:t>
      </w:r>
      <w:r>
        <w:rPr>
          <w:rFonts w:hint="eastAsia" w:ascii="宋体" w:hAnsi="宋体"/>
          <w:color w:val="000000"/>
          <w:sz w:val="28"/>
        </w:rPr>
        <w:t>名称</w:t>
      </w:r>
      <w:r>
        <w:rPr>
          <w:rFonts w:hint="eastAsia" w:ascii="宋体" w:hAnsi="宋体" w:eastAsia="宋体" w:cs="Times New Roman"/>
          <w:color w:val="000000"/>
          <w:sz w:val="28"/>
          <w:lang w:val="zh-CN" w:eastAsia="zh-CN"/>
        </w:rPr>
        <w:t>：沙雅县公安局警用装备采购项目</w:t>
      </w:r>
    </w:p>
    <w:p>
      <w:pPr>
        <w:spacing w:line="751" w:lineRule="atLeast"/>
        <w:rPr>
          <w:rFonts w:hint="eastAsia" w:ascii="宋体" w:hAnsi="宋体"/>
          <w:color w:val="000000"/>
          <w:sz w:val="28"/>
          <w:lang w:val="zh-CN" w:eastAsia="zh-CN"/>
        </w:rPr>
      </w:pPr>
      <w:r>
        <w:rPr>
          <w:rFonts w:hint="eastAsia" w:ascii="宋体" w:hAnsi="宋体"/>
          <w:color w:val="000000"/>
          <w:sz w:val="28"/>
          <w:lang w:eastAsia="zh-CN"/>
        </w:rPr>
        <w:t>采购</w:t>
      </w:r>
      <w:r>
        <w:rPr>
          <w:rFonts w:hint="eastAsia" w:ascii="宋体" w:hAnsi="宋体"/>
          <w:color w:val="000000"/>
          <w:sz w:val="28"/>
        </w:rPr>
        <w:t>人 （公章）：</w:t>
      </w:r>
      <w:r>
        <w:rPr>
          <w:rFonts w:hint="eastAsia" w:ascii="宋体" w:hAnsi="宋体" w:eastAsia="宋体" w:cs="Times New Roman"/>
          <w:color w:val="000000"/>
          <w:sz w:val="28"/>
          <w:lang w:val="zh-CN" w:eastAsia="zh-CN"/>
        </w:rPr>
        <w:t>沙雅县公安局</w:t>
      </w:r>
    </w:p>
    <w:p>
      <w:pPr>
        <w:spacing w:line="751" w:lineRule="atLeast"/>
        <w:rPr>
          <w:rFonts w:hint="eastAsia" w:ascii="宋体" w:hAnsi="宋体"/>
          <w:sz w:val="28"/>
        </w:rPr>
      </w:pPr>
      <w:r>
        <w:rPr>
          <w:rFonts w:hint="eastAsia" w:ascii="宋体" w:hAnsi="宋体"/>
          <w:sz w:val="28"/>
        </w:rPr>
        <w:t>法定代表人或其委托代理人 :（签字或盖章）</w:t>
      </w:r>
    </w:p>
    <w:p>
      <w:pPr>
        <w:spacing w:line="751" w:lineRule="atLeast"/>
        <w:rPr>
          <w:rFonts w:hint="default" w:ascii="宋体" w:hAnsi="宋体" w:eastAsia="宋体"/>
          <w:sz w:val="28"/>
          <w:lang w:val="en-US" w:eastAsia="zh-CN"/>
        </w:rPr>
      </w:pPr>
      <w:r>
        <w:rPr>
          <w:rFonts w:hint="eastAsia" w:ascii="宋体" w:hAnsi="宋体"/>
          <w:sz w:val="28"/>
        </w:rPr>
        <w:t>联 系 人：</w:t>
      </w:r>
      <w:r>
        <w:rPr>
          <w:rFonts w:hint="eastAsia" w:ascii="宋体" w:hAnsi="宋体"/>
          <w:sz w:val="28"/>
          <w:lang w:val="en-US" w:eastAsia="zh-CN"/>
        </w:rPr>
        <w:t>范泽南</w:t>
      </w:r>
    </w:p>
    <w:p>
      <w:pPr>
        <w:spacing w:line="751" w:lineRule="atLeast"/>
        <w:rPr>
          <w:rFonts w:hint="default" w:ascii="宋体" w:hAnsi="宋体" w:eastAsia="宋体"/>
          <w:sz w:val="28"/>
          <w:lang w:val="en-US" w:eastAsia="zh-CN"/>
        </w:rPr>
      </w:pPr>
      <w:r>
        <w:rPr>
          <w:rFonts w:hint="eastAsia" w:ascii="宋体" w:hAnsi="宋体"/>
          <w:sz w:val="28"/>
        </w:rPr>
        <w:t>联系电话：0997-6188501</w:t>
      </w:r>
    </w:p>
    <w:p>
      <w:pPr>
        <w:spacing w:line="751" w:lineRule="atLeast"/>
        <w:ind w:firstLine="719" w:firstLineChars="257"/>
        <w:rPr>
          <w:rFonts w:hint="eastAsia" w:ascii="宋体" w:hAnsi="宋体"/>
          <w:sz w:val="28"/>
        </w:rPr>
      </w:pPr>
    </w:p>
    <w:p>
      <w:pPr>
        <w:spacing w:line="751" w:lineRule="atLeast"/>
        <w:ind w:firstLine="719" w:firstLineChars="257"/>
        <w:rPr>
          <w:rFonts w:hint="eastAsia" w:ascii="宋体" w:hAnsi="宋体"/>
          <w:sz w:val="28"/>
        </w:rPr>
      </w:pPr>
    </w:p>
    <w:p>
      <w:pPr>
        <w:spacing w:line="751" w:lineRule="atLeast"/>
        <w:ind w:firstLine="719" w:firstLineChars="257"/>
        <w:rPr>
          <w:rFonts w:hint="eastAsia" w:ascii="宋体" w:hAnsi="宋体"/>
          <w:sz w:val="28"/>
        </w:rPr>
      </w:pPr>
    </w:p>
    <w:p>
      <w:pPr>
        <w:spacing w:line="751" w:lineRule="atLeast"/>
        <w:rPr>
          <w:rFonts w:hint="eastAsia" w:ascii="宋体" w:hAnsi="宋体"/>
          <w:sz w:val="28"/>
        </w:rPr>
      </w:pPr>
    </w:p>
    <w:p>
      <w:pPr>
        <w:spacing w:line="751" w:lineRule="atLeast"/>
        <w:rPr>
          <w:rFonts w:hint="default" w:hAnsi="宋体"/>
          <w:b/>
          <w:sz w:val="28"/>
          <w:lang w:val="en-US"/>
        </w:rPr>
      </w:pPr>
      <w:r>
        <w:rPr>
          <w:rFonts w:hint="eastAsia" w:ascii="宋体" w:hAnsi="宋体"/>
          <w:sz w:val="28"/>
          <w:lang w:eastAsia="zh-CN"/>
        </w:rPr>
        <w:t>采购</w:t>
      </w:r>
      <w:r>
        <w:rPr>
          <w:rFonts w:hint="eastAsia" w:ascii="宋体" w:hAnsi="宋体"/>
          <w:sz w:val="28"/>
        </w:rPr>
        <w:t>代理机构：</w:t>
      </w:r>
      <w:r>
        <w:rPr>
          <w:rFonts w:hint="eastAsia" w:ascii="宋体" w:hAnsi="宋体"/>
          <w:sz w:val="28"/>
          <w:lang w:val="en-US" w:eastAsia="zh-CN"/>
        </w:rPr>
        <w:t>新疆希林森建设项目管理有限公司</w:t>
      </w:r>
    </w:p>
    <w:p>
      <w:pPr>
        <w:spacing w:line="751" w:lineRule="atLeast"/>
        <w:rPr>
          <w:rFonts w:hint="eastAsia" w:ascii="宋体" w:hAnsi="宋体"/>
          <w:sz w:val="28"/>
        </w:rPr>
      </w:pPr>
      <w:r>
        <w:rPr>
          <w:rFonts w:hint="eastAsia" w:ascii="宋体" w:hAnsi="宋体"/>
          <w:sz w:val="28"/>
        </w:rPr>
        <w:t xml:space="preserve">法定代表人 : </w:t>
      </w:r>
      <w:r>
        <w:rPr>
          <w:rFonts w:hint="eastAsia" w:ascii="宋体" w:hAnsi="宋体"/>
          <w:sz w:val="28"/>
          <w:lang w:val="en-US" w:eastAsia="zh-CN"/>
        </w:rPr>
        <w:t>蒋丹丹</w:t>
      </w:r>
      <w:r>
        <w:rPr>
          <w:rFonts w:hint="eastAsia" w:ascii="宋体" w:hAnsi="宋体"/>
          <w:sz w:val="28"/>
        </w:rPr>
        <w:t>（签字或盖章）</w:t>
      </w:r>
    </w:p>
    <w:p>
      <w:pPr>
        <w:spacing w:line="751" w:lineRule="atLeast"/>
        <w:rPr>
          <w:rFonts w:hint="default" w:ascii="宋体" w:hAnsi="宋体" w:eastAsia="宋体"/>
          <w:sz w:val="28"/>
          <w:lang w:val="en-US" w:eastAsia="zh-CN"/>
        </w:rPr>
      </w:pPr>
      <w:r>
        <w:rPr>
          <w:rFonts w:hint="eastAsia" w:ascii="宋体" w:hAnsi="宋体"/>
          <w:sz w:val="28"/>
        </w:rPr>
        <w:t>联   系   人：</w:t>
      </w:r>
      <w:r>
        <w:rPr>
          <w:rFonts w:hint="eastAsia" w:ascii="宋体" w:hAnsi="宋体"/>
          <w:sz w:val="28"/>
          <w:lang w:val="en-US" w:eastAsia="zh-CN"/>
        </w:rPr>
        <w:t>王江涛</w:t>
      </w:r>
    </w:p>
    <w:p>
      <w:pPr>
        <w:spacing w:line="751" w:lineRule="atLeast"/>
        <w:rPr>
          <w:rFonts w:hint="default" w:ascii="宋体" w:hAnsi="宋体" w:eastAsia="宋体"/>
          <w:sz w:val="28"/>
          <w:lang w:val="en-US" w:eastAsia="zh-CN"/>
        </w:rPr>
      </w:pPr>
      <w:r>
        <w:rPr>
          <w:rFonts w:hint="eastAsia" w:ascii="宋体" w:hAnsi="宋体"/>
          <w:sz w:val="28"/>
        </w:rPr>
        <w:t>电        话：</w:t>
      </w:r>
      <w:r>
        <w:rPr>
          <w:rFonts w:hint="eastAsia" w:ascii="宋体" w:hAnsi="宋体"/>
          <w:sz w:val="28"/>
          <w:lang w:val="en-US" w:eastAsia="zh-CN"/>
        </w:rPr>
        <w:t>18197557839</w:t>
      </w:r>
    </w:p>
    <w:p>
      <w:pPr>
        <w:spacing w:line="751" w:lineRule="atLeast"/>
        <w:ind w:left="1400" w:hanging="1400" w:hangingChars="500"/>
        <w:rPr>
          <w:rFonts w:hint="default" w:ascii="宋体" w:hAnsi="宋体" w:eastAsia="宋体"/>
          <w:sz w:val="28"/>
          <w:lang w:val="en-US" w:eastAsia="zh-CN"/>
        </w:rPr>
      </w:pPr>
      <w:r>
        <w:rPr>
          <w:rFonts w:hint="eastAsia" w:ascii="宋体" w:hAnsi="宋体"/>
          <w:sz w:val="28"/>
        </w:rPr>
        <w:t>联系地址：新疆阿克苏地区库车市东城街道幸福路65号企业公馆A座609室</w:t>
      </w:r>
    </w:p>
    <w:p>
      <w:pPr>
        <w:pStyle w:val="11"/>
        <w:spacing w:line="480" w:lineRule="auto"/>
        <w:ind w:firstLine="1795" w:firstLineChars="596"/>
        <w:rPr>
          <w:rFonts w:hint="eastAsia" w:hAnsi="宋体"/>
          <w:b/>
          <w:color w:val="000000"/>
          <w:sz w:val="30"/>
          <w:szCs w:val="30"/>
        </w:rPr>
      </w:pPr>
    </w:p>
    <w:p>
      <w:pPr>
        <w:pStyle w:val="11"/>
        <w:tabs>
          <w:tab w:val="center" w:pos="4156"/>
          <w:tab w:val="left" w:pos="4995"/>
        </w:tabs>
        <w:spacing w:line="300" w:lineRule="exact"/>
        <w:jc w:val="left"/>
        <w:rPr>
          <w:rFonts w:hint="eastAsia" w:hAnsi="宋体"/>
          <w:b/>
          <w:sz w:val="28"/>
          <w:szCs w:val="28"/>
        </w:rPr>
      </w:pPr>
      <w:r>
        <w:rPr>
          <w:rFonts w:hAnsi="宋体"/>
          <w:b/>
          <w:sz w:val="28"/>
          <w:szCs w:val="28"/>
        </w:rPr>
        <w:tab/>
      </w:r>
      <w:bookmarkEnd w:id="0"/>
      <w:bookmarkEnd w:id="1"/>
      <w:bookmarkEnd w:id="2"/>
      <w:bookmarkEnd w:id="3"/>
      <w:bookmarkEnd w:id="4"/>
      <w:bookmarkEnd w:id="5"/>
      <w:bookmarkEnd w:id="6"/>
      <w:bookmarkEnd w:id="7"/>
      <w:bookmarkEnd w:id="8"/>
      <w:bookmarkEnd w:id="9"/>
      <w:bookmarkEnd w:id="10"/>
      <w:bookmarkEnd w:id="11"/>
      <w:bookmarkEnd w:id="12"/>
    </w:p>
    <w:p>
      <w:pPr>
        <w:pStyle w:val="11"/>
        <w:tabs>
          <w:tab w:val="center" w:pos="4156"/>
          <w:tab w:val="left" w:pos="4995"/>
        </w:tabs>
        <w:jc w:val="center"/>
        <w:rPr>
          <w:rFonts w:hint="eastAsia"/>
          <w:b/>
          <w:sz w:val="28"/>
          <w:szCs w:val="28"/>
        </w:rPr>
      </w:pPr>
    </w:p>
    <w:p>
      <w:pPr>
        <w:pStyle w:val="11"/>
        <w:tabs>
          <w:tab w:val="center" w:pos="4156"/>
          <w:tab w:val="left" w:pos="4995"/>
        </w:tabs>
        <w:jc w:val="center"/>
        <w:rPr>
          <w:rFonts w:hint="eastAsia"/>
          <w:b/>
          <w:sz w:val="36"/>
          <w:szCs w:val="36"/>
        </w:rPr>
      </w:pPr>
      <w:r>
        <w:rPr>
          <w:rFonts w:hint="eastAsia"/>
          <w:b/>
          <w:sz w:val="36"/>
          <w:szCs w:val="36"/>
        </w:rPr>
        <w:t>目  录</w:t>
      </w:r>
    </w:p>
    <w:p>
      <w:pPr>
        <w:rPr>
          <w:rFonts w:hint="eastAsia"/>
          <w:sz w:val="24"/>
        </w:rPr>
      </w:pPr>
    </w:p>
    <w:p>
      <w:pPr>
        <w:rPr>
          <w:rFonts w:hint="eastAsia"/>
          <w:sz w:val="24"/>
        </w:rPr>
      </w:pPr>
    </w:p>
    <w:p>
      <w:r>
        <w:rPr>
          <w:sz w:val="24"/>
        </w:rPr>
        <w:fldChar w:fldCharType="begin"/>
      </w:r>
      <w:r>
        <w:rPr>
          <w:sz w:val="24"/>
        </w:rPr>
        <w:instrText xml:space="preserve"> TOC \o "1-3" \h \z </w:instrText>
      </w:r>
      <w:r>
        <w:rPr>
          <w:sz w:val="24"/>
        </w:rPr>
        <w:fldChar w:fldCharType="separate"/>
      </w:r>
    </w:p>
    <w:p>
      <w:pPr>
        <w:pStyle w:val="33"/>
        <w:tabs>
          <w:tab w:val="right" w:leader="dot" w:pos="9026"/>
        </w:tabs>
        <w:spacing w:line="720" w:lineRule="auto"/>
        <w:rPr>
          <w:rFonts w:hint="eastAsia"/>
        </w:rPr>
      </w:pPr>
      <w:r>
        <w:rPr>
          <w:rFonts w:hint="eastAsia"/>
          <w:sz w:val="24"/>
        </w:rPr>
        <w:fldChar w:fldCharType="begin"/>
      </w:r>
      <w:r>
        <w:rPr>
          <w:rFonts w:hint="eastAsia"/>
          <w:sz w:val="24"/>
        </w:rPr>
        <w:instrText xml:space="preserve">TOC \o "1-1" \h \u </w:instrText>
      </w:r>
      <w:r>
        <w:rPr>
          <w:rFonts w:hint="eastAsia"/>
          <w:sz w:val="24"/>
        </w:rPr>
        <w:fldChar w:fldCharType="separate"/>
      </w:r>
      <w:r>
        <w:rPr>
          <w:rFonts w:hint="eastAsia"/>
        </w:rPr>
        <w:fldChar w:fldCharType="begin"/>
      </w:r>
      <w:r>
        <w:rPr>
          <w:rFonts w:hint="eastAsia"/>
        </w:rPr>
        <w:instrText xml:space="preserve"> HYPERLINK \l _Toc6522 </w:instrText>
      </w:r>
      <w:r>
        <w:rPr>
          <w:rFonts w:hint="eastAsia"/>
        </w:rPr>
        <w:fldChar w:fldCharType="separate"/>
      </w:r>
      <w:r>
        <w:rPr>
          <w:rFonts w:hint="eastAsia" w:ascii="宋体" w:hAnsi="宋体"/>
          <w:bCs/>
          <w:szCs w:val="32"/>
        </w:rPr>
        <w:t>第</w:t>
      </w:r>
      <w:r>
        <w:rPr>
          <w:rFonts w:hint="eastAsia" w:ascii="宋体" w:hAnsi="宋体"/>
          <w:bCs w:val="0"/>
          <w:szCs w:val="32"/>
          <w:lang w:val="en-US" w:eastAsia="zh-CN"/>
        </w:rPr>
        <w:t>一</w:t>
      </w:r>
      <w:r>
        <w:rPr>
          <w:rFonts w:hint="eastAsia" w:ascii="宋体" w:hAnsi="宋体"/>
          <w:bCs/>
          <w:szCs w:val="32"/>
        </w:rPr>
        <w:t xml:space="preserve">章 </w:t>
      </w:r>
      <w:r>
        <w:rPr>
          <w:rFonts w:hint="eastAsia" w:ascii="宋体" w:hAnsi="宋体"/>
          <w:bCs/>
          <w:szCs w:val="32"/>
          <w:lang w:val="en-US" w:eastAsia="zh-CN"/>
        </w:rPr>
        <w:t>招标公告</w:t>
      </w:r>
      <w:r>
        <w:tab/>
      </w:r>
      <w:r>
        <w:fldChar w:fldCharType="begin"/>
      </w:r>
      <w:r>
        <w:instrText xml:space="preserve"> PAGEREF _Toc6522 \h </w:instrText>
      </w:r>
      <w:r>
        <w:fldChar w:fldCharType="separate"/>
      </w:r>
      <w:r>
        <w:t>1</w:t>
      </w:r>
      <w:r>
        <w:fldChar w:fldCharType="end"/>
      </w:r>
      <w:r>
        <w:rPr>
          <w:rFonts w:hint="eastAsia"/>
        </w:rPr>
        <w:fldChar w:fldCharType="end"/>
      </w:r>
    </w:p>
    <w:p>
      <w:pPr>
        <w:pStyle w:val="33"/>
        <w:tabs>
          <w:tab w:val="right" w:leader="dot" w:pos="9026"/>
        </w:tabs>
        <w:spacing w:line="720" w:lineRule="auto"/>
        <w:rPr>
          <w:rFonts w:hint="eastAsia" w:eastAsia="宋体"/>
          <w:lang w:val="en-US" w:eastAsia="zh-CN"/>
        </w:rPr>
      </w:pPr>
      <w:r>
        <w:rPr>
          <w:rFonts w:hint="eastAsia"/>
          <w:lang w:val="en-US" w:eastAsia="zh-CN"/>
        </w:rPr>
        <w:t>第二章 供应商须知</w:t>
      </w:r>
      <w:r>
        <w:tab/>
      </w:r>
      <w:r>
        <w:rPr>
          <w:rFonts w:hint="eastAsia"/>
          <w:lang w:val="en-US" w:eastAsia="zh-CN"/>
        </w:rPr>
        <w:t>2</w:t>
      </w:r>
    </w:p>
    <w:p>
      <w:pPr>
        <w:pStyle w:val="33"/>
        <w:tabs>
          <w:tab w:val="right" w:leader="dot" w:pos="9026"/>
        </w:tabs>
        <w:spacing w:line="720" w:lineRule="auto"/>
        <w:rPr>
          <w:rFonts w:hint="default" w:eastAsia="宋体"/>
          <w:lang w:val="en-US" w:eastAsia="zh-CN"/>
        </w:rPr>
      </w:pPr>
      <w:r>
        <w:rPr>
          <w:rFonts w:hint="eastAsia"/>
        </w:rPr>
        <w:fldChar w:fldCharType="begin"/>
      </w:r>
      <w:r>
        <w:rPr>
          <w:rFonts w:hint="eastAsia"/>
        </w:rPr>
        <w:instrText xml:space="preserve"> HYPERLINK \l _Toc32242 </w:instrText>
      </w:r>
      <w:r>
        <w:rPr>
          <w:rFonts w:hint="eastAsia"/>
        </w:rPr>
        <w:fldChar w:fldCharType="separate"/>
      </w:r>
      <w:r>
        <w:rPr>
          <w:rFonts w:hint="eastAsia" w:ascii="宋体" w:hAnsi="宋体"/>
          <w:bCs/>
          <w:szCs w:val="28"/>
        </w:rPr>
        <w:t>第三章 合同格式</w:t>
      </w:r>
      <w:r>
        <w:tab/>
      </w:r>
      <w:r>
        <w:rPr>
          <w:rFonts w:hint="eastAsia"/>
          <w:lang w:val="en-US" w:eastAsia="zh-CN"/>
        </w:rPr>
        <w:t>1</w:t>
      </w:r>
      <w:r>
        <w:rPr>
          <w:rFonts w:hint="eastAsia"/>
        </w:rPr>
        <w:fldChar w:fldCharType="end"/>
      </w:r>
      <w:r>
        <w:rPr>
          <w:rFonts w:hint="eastAsia"/>
          <w:lang w:val="en-US" w:eastAsia="zh-CN"/>
        </w:rPr>
        <w:t>4</w:t>
      </w:r>
    </w:p>
    <w:p>
      <w:pPr>
        <w:pStyle w:val="33"/>
        <w:tabs>
          <w:tab w:val="right" w:leader="dot" w:pos="9026"/>
        </w:tabs>
        <w:spacing w:line="720" w:lineRule="auto"/>
        <w:rPr>
          <w:rFonts w:hint="eastAsia" w:eastAsia="宋体"/>
          <w:lang w:val="en-US" w:eastAsia="zh-CN"/>
        </w:rPr>
      </w:pPr>
      <w:r>
        <w:rPr>
          <w:rFonts w:hint="eastAsia"/>
        </w:rPr>
        <w:fldChar w:fldCharType="begin"/>
      </w:r>
      <w:r>
        <w:rPr>
          <w:rFonts w:hint="eastAsia"/>
        </w:rPr>
        <w:instrText xml:space="preserve"> HYPERLINK \l _Toc26530 </w:instrText>
      </w:r>
      <w:r>
        <w:rPr>
          <w:rFonts w:hint="eastAsia"/>
        </w:rPr>
        <w:fldChar w:fldCharType="separate"/>
      </w:r>
      <w:r>
        <w:rPr>
          <w:rFonts w:hint="eastAsia" w:ascii="宋体" w:hAnsi="宋体"/>
          <w:bCs/>
          <w:szCs w:val="28"/>
          <w:lang w:eastAsia="zh-CN"/>
        </w:rPr>
        <w:t xml:space="preserve">第四章 </w:t>
      </w:r>
      <w:r>
        <w:rPr>
          <w:rFonts w:hint="eastAsia" w:ascii="宋体" w:hAnsi="宋体"/>
          <w:bCs/>
          <w:szCs w:val="28"/>
        </w:rPr>
        <w:t>采购</w:t>
      </w:r>
      <w:r>
        <w:rPr>
          <w:rFonts w:hint="eastAsia" w:ascii="宋体" w:hAnsi="宋体"/>
          <w:bCs/>
          <w:szCs w:val="28"/>
          <w:lang w:eastAsia="zh-CN"/>
        </w:rPr>
        <w:t>清单</w:t>
      </w:r>
      <w:r>
        <w:tab/>
      </w:r>
      <w:r>
        <w:rPr>
          <w:rFonts w:hint="eastAsia"/>
          <w:lang w:val="en-US" w:eastAsia="zh-CN"/>
        </w:rPr>
        <w:t>1</w:t>
      </w:r>
      <w:r>
        <w:rPr>
          <w:rFonts w:hint="eastAsia"/>
        </w:rPr>
        <w:fldChar w:fldCharType="end"/>
      </w:r>
      <w:r>
        <w:rPr>
          <w:rFonts w:hint="eastAsia"/>
          <w:lang w:val="en-US" w:eastAsia="zh-CN"/>
        </w:rPr>
        <w:t>6</w:t>
      </w:r>
    </w:p>
    <w:p>
      <w:pPr>
        <w:pStyle w:val="33"/>
        <w:tabs>
          <w:tab w:val="right" w:leader="dot" w:pos="9026"/>
        </w:tabs>
        <w:spacing w:line="720" w:lineRule="auto"/>
        <w:rPr>
          <w:rFonts w:hint="eastAsia" w:eastAsia="宋体"/>
          <w:lang w:val="en-US" w:eastAsia="zh-CN"/>
        </w:rPr>
      </w:pPr>
      <w:r>
        <w:rPr>
          <w:rFonts w:hint="eastAsia"/>
        </w:rPr>
        <w:fldChar w:fldCharType="begin"/>
      </w:r>
      <w:r>
        <w:rPr>
          <w:rFonts w:hint="eastAsia"/>
        </w:rPr>
        <w:instrText xml:space="preserve"> HYPERLINK \l _Toc23726 </w:instrText>
      </w:r>
      <w:r>
        <w:rPr>
          <w:rFonts w:hint="eastAsia"/>
        </w:rPr>
        <w:fldChar w:fldCharType="separate"/>
      </w:r>
      <w:r>
        <w:rPr>
          <w:rFonts w:hint="eastAsia" w:ascii="宋体" w:hAnsi="宋体"/>
          <w:bCs w:val="0"/>
          <w:kern w:val="2"/>
          <w:szCs w:val="44"/>
          <w:lang w:val="en-US" w:eastAsia="zh-CN" w:bidi="ar-SA"/>
        </w:rPr>
        <w:t>第五章  报价文件格式</w:t>
      </w:r>
      <w:r>
        <w:tab/>
      </w:r>
      <w:r>
        <w:rPr>
          <w:rFonts w:hint="eastAsia"/>
          <w:lang w:val="en-US" w:eastAsia="zh-CN"/>
        </w:rPr>
        <w:t>1</w:t>
      </w:r>
      <w:r>
        <w:rPr>
          <w:rFonts w:hint="eastAsia"/>
        </w:rPr>
        <w:fldChar w:fldCharType="end"/>
      </w:r>
      <w:r>
        <w:rPr>
          <w:rFonts w:hint="eastAsia"/>
          <w:lang w:val="en-US" w:eastAsia="zh-CN"/>
        </w:rPr>
        <w:t>7</w:t>
      </w:r>
    </w:p>
    <w:p>
      <w:pPr>
        <w:rPr>
          <w:rFonts w:hint="eastAsia"/>
          <w:sz w:val="24"/>
        </w:rPr>
      </w:pPr>
      <w:r>
        <w:rPr>
          <w:rFonts w:hint="eastAsia"/>
        </w:rPr>
        <w:fldChar w:fldCharType="end"/>
      </w:r>
    </w:p>
    <w:p>
      <w:pPr>
        <w:rPr>
          <w:sz w:val="24"/>
        </w:rPr>
      </w:pPr>
    </w:p>
    <w:p>
      <w:pPr>
        <w:rPr>
          <w:rFonts w:hint="eastAsia"/>
          <w:sz w:val="24"/>
        </w:rPr>
      </w:pPr>
      <w:r>
        <w:rPr>
          <w:sz w:val="24"/>
        </w:rPr>
        <w:fldChar w:fldCharType="end"/>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pStyle w:val="2"/>
        <w:spacing w:before="120" w:after="120" w:line="400" w:lineRule="exact"/>
        <w:jc w:val="center"/>
        <w:rPr>
          <w:rFonts w:hint="default"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第一章  招标公告</w:t>
      </w:r>
    </w:p>
    <w:p>
      <w:pPr>
        <w:pStyle w:val="2"/>
        <w:spacing w:before="120" w:after="120" w:line="400" w:lineRule="exact"/>
        <w:jc w:val="center"/>
        <w:rPr>
          <w:rFonts w:hint="eastAsia" w:ascii="宋体" w:hAnsi="宋体"/>
          <w:bCs w:val="0"/>
          <w:sz w:val="32"/>
          <w:szCs w:val="32"/>
        </w:rPr>
      </w:pPr>
      <w:bookmarkStart w:id="13" w:name="_Toc152042304"/>
      <w:bookmarkStart w:id="14" w:name="_Toc179632545"/>
      <w:bookmarkStart w:id="15" w:name="_Toc152045528"/>
      <w:bookmarkStart w:id="16" w:name="_Toc144974496"/>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bCs w:val="0"/>
          <w:sz w:val="32"/>
          <w:szCs w:val="32"/>
        </w:rPr>
      </w:pPr>
    </w:p>
    <w:p>
      <w:pPr>
        <w:pStyle w:val="2"/>
        <w:spacing w:before="120" w:after="120" w:line="400" w:lineRule="exact"/>
        <w:jc w:val="center"/>
        <w:rPr>
          <w:rFonts w:hint="eastAsia" w:ascii="宋体" w:hAnsi="宋体" w:eastAsia="宋体"/>
          <w:b w:val="0"/>
          <w:sz w:val="21"/>
          <w:szCs w:val="21"/>
        </w:rPr>
      </w:pPr>
      <w:r>
        <w:rPr>
          <w:rFonts w:hint="eastAsia" w:ascii="宋体" w:hAnsi="宋体"/>
          <w:bCs w:val="0"/>
          <w:sz w:val="32"/>
          <w:szCs w:val="32"/>
        </w:rPr>
        <w:t>第</w:t>
      </w:r>
      <w:r>
        <w:rPr>
          <w:rFonts w:hint="eastAsia" w:ascii="宋体" w:hAnsi="宋体"/>
          <w:bCs w:val="0"/>
          <w:sz w:val="32"/>
          <w:szCs w:val="32"/>
          <w:lang w:val="en-US" w:eastAsia="zh-CN"/>
        </w:rPr>
        <w:t>二</w:t>
      </w:r>
      <w:r>
        <w:rPr>
          <w:rFonts w:hint="eastAsia" w:ascii="宋体" w:hAnsi="宋体"/>
          <w:bCs w:val="0"/>
          <w:sz w:val="32"/>
          <w:szCs w:val="32"/>
        </w:rPr>
        <w:t>章 供应商须知</w:t>
      </w:r>
    </w:p>
    <w:p>
      <w:pPr>
        <w:pStyle w:val="32"/>
        <w:spacing w:line="440" w:lineRule="exact"/>
        <w:rPr>
          <w:rFonts w:hint="eastAsia" w:ascii="宋体" w:hAnsi="宋体" w:eastAsia="宋体"/>
          <w:b/>
          <w:sz w:val="21"/>
          <w:szCs w:val="21"/>
        </w:rPr>
      </w:pPr>
      <w:r>
        <w:rPr>
          <w:rFonts w:hint="eastAsia" w:ascii="宋体" w:hAnsi="宋体" w:eastAsia="宋体"/>
          <w:b/>
          <w:sz w:val="21"/>
          <w:szCs w:val="21"/>
        </w:rPr>
        <w:t>前附表</w:t>
      </w:r>
      <w:bookmarkEnd w:id="13"/>
      <w:bookmarkEnd w:id="14"/>
      <w:bookmarkEnd w:id="15"/>
      <w:bookmarkEnd w:id="16"/>
    </w:p>
    <w:tbl>
      <w:tblPr>
        <w:tblStyle w:val="19"/>
        <w:tblpPr w:leftFromText="180" w:rightFromText="180" w:vertAnchor="text" w:horzAnchor="page" w:tblpXSpec="center" w:tblpY="73"/>
        <w:tblOverlap w:val="never"/>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36"/>
        <w:gridCol w:w="6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61" w:type="dxa"/>
            <w:noWrap w:val="0"/>
            <w:vAlign w:val="center"/>
          </w:tcPr>
          <w:p>
            <w:pPr>
              <w:spacing w:line="360" w:lineRule="auto"/>
              <w:jc w:val="center"/>
              <w:rPr>
                <w:rFonts w:hint="eastAsia" w:ascii="宋体" w:hAnsi="宋体" w:eastAsia="宋体" w:cs="宋体"/>
                <w:color w:val="000000"/>
                <w:sz w:val="21"/>
                <w:szCs w:val="21"/>
                <w:lang w:val="zh-CN" w:eastAsia="zh-CN"/>
              </w:rPr>
            </w:pPr>
            <w:bookmarkStart w:id="17" w:name="_Toc230598436"/>
            <w:r>
              <w:rPr>
                <w:rFonts w:hint="eastAsia" w:ascii="宋体" w:hAnsi="宋体" w:eastAsia="宋体" w:cs="宋体"/>
                <w:color w:val="000000"/>
                <w:sz w:val="21"/>
                <w:szCs w:val="21"/>
                <w:lang w:val="zh-CN" w:eastAsia="zh-CN"/>
              </w:rPr>
              <w:t>条款号</w:t>
            </w:r>
          </w:p>
        </w:tc>
        <w:tc>
          <w:tcPr>
            <w:tcW w:w="1636" w:type="dxa"/>
            <w:noWrap w:val="0"/>
            <w:vAlign w:val="center"/>
          </w:tcPr>
          <w:p>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条款名称</w:t>
            </w:r>
          </w:p>
        </w:tc>
        <w:tc>
          <w:tcPr>
            <w:tcW w:w="6273" w:type="dxa"/>
            <w:noWrap w:val="0"/>
            <w:vAlign w:val="center"/>
          </w:tcPr>
          <w:p>
            <w:pPr>
              <w:spacing w:line="360" w:lineRule="auto"/>
              <w:jc w:val="center"/>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1</w:t>
            </w:r>
          </w:p>
        </w:tc>
        <w:tc>
          <w:tcPr>
            <w:tcW w:w="1636" w:type="dxa"/>
            <w:noWrap w:val="0"/>
            <w:vAlign w:val="center"/>
          </w:tcPr>
          <w:p>
            <w:pPr>
              <w:spacing w:line="360" w:lineRule="auto"/>
              <w:jc w:val="center"/>
              <w:rPr>
                <w:rFonts w:hint="eastAsia" w:ascii="宋体" w:hAnsi="宋体" w:cs="宋体"/>
                <w:sz w:val="21"/>
                <w:szCs w:val="21"/>
                <w:lang w:eastAsia="zh-CN"/>
              </w:rPr>
            </w:pPr>
            <w:r>
              <w:rPr>
                <w:rFonts w:hint="eastAsia" w:ascii="宋体" w:hAnsi="宋体" w:cs="宋体"/>
                <w:sz w:val="21"/>
                <w:szCs w:val="21"/>
                <w:lang w:eastAsia="zh-CN"/>
              </w:rPr>
              <w:t>采购</w:t>
            </w:r>
            <w:r>
              <w:rPr>
                <w:rFonts w:hint="eastAsia" w:ascii="宋体" w:hAnsi="宋体" w:cs="宋体"/>
                <w:sz w:val="21"/>
                <w:szCs w:val="21"/>
              </w:rPr>
              <w:t>项目名称</w:t>
            </w:r>
          </w:p>
        </w:tc>
        <w:tc>
          <w:tcPr>
            <w:tcW w:w="6273" w:type="dxa"/>
            <w:noWrap w:val="0"/>
            <w:vAlign w:val="center"/>
          </w:tcPr>
          <w:p>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沙雅县公安局警用装备采购项目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2</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采购代理机构</w:t>
            </w:r>
          </w:p>
        </w:tc>
        <w:tc>
          <w:tcPr>
            <w:tcW w:w="6273" w:type="dxa"/>
            <w:noWrap w:val="0"/>
            <w:vAlign w:val="center"/>
          </w:tcPr>
          <w:p>
            <w:pPr>
              <w:spacing w:line="360" w:lineRule="auto"/>
              <w:jc w:val="both"/>
              <w:rPr>
                <w:rFonts w:hint="default" w:ascii="宋体" w:hAnsi="宋体" w:cs="宋体"/>
                <w:sz w:val="21"/>
                <w:szCs w:val="21"/>
                <w:lang w:val="en-US"/>
              </w:rPr>
            </w:pPr>
            <w:r>
              <w:rPr>
                <w:rFonts w:hint="eastAsia" w:ascii="宋体" w:hAnsi="宋体" w:eastAsia="宋体" w:cs="宋体"/>
                <w:color w:val="000000"/>
                <w:sz w:val="21"/>
                <w:szCs w:val="21"/>
                <w:lang w:val="en-US" w:eastAsia="zh-CN"/>
              </w:rPr>
              <w:t>新疆希林森建设项目管理有限公司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3</w:t>
            </w:r>
          </w:p>
        </w:tc>
        <w:tc>
          <w:tcPr>
            <w:tcW w:w="1636" w:type="dxa"/>
            <w:noWrap w:val="0"/>
            <w:vAlign w:val="center"/>
          </w:tcPr>
          <w:p>
            <w:pPr>
              <w:spacing w:line="360" w:lineRule="auto"/>
              <w:jc w:val="center"/>
              <w:rPr>
                <w:rFonts w:hint="eastAsia" w:ascii="宋体" w:hAnsi="宋体"/>
                <w:sz w:val="21"/>
                <w:szCs w:val="21"/>
                <w:lang w:val="en-US" w:eastAsia="zh-CN"/>
              </w:rPr>
            </w:pPr>
            <w:r>
              <w:rPr>
                <w:rFonts w:hint="eastAsia" w:ascii="宋体" w:hAnsi="宋体" w:cs="宋体"/>
                <w:color w:val="000000"/>
                <w:sz w:val="21"/>
                <w:szCs w:val="21"/>
                <w:lang w:eastAsia="zh-CN"/>
              </w:rPr>
              <w:t>采购</w:t>
            </w:r>
            <w:r>
              <w:rPr>
                <w:rFonts w:hint="eastAsia" w:ascii="宋体" w:hAnsi="宋体" w:cs="宋体"/>
                <w:color w:val="000000"/>
                <w:sz w:val="21"/>
                <w:szCs w:val="21"/>
              </w:rPr>
              <w:t>内容</w:t>
            </w:r>
          </w:p>
        </w:tc>
        <w:tc>
          <w:tcPr>
            <w:tcW w:w="6273" w:type="dxa"/>
            <w:noWrap w:val="0"/>
            <w:vAlign w:val="center"/>
          </w:tcPr>
          <w:p>
            <w:pPr>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对</w:t>
            </w:r>
            <w:r>
              <w:rPr>
                <w:rFonts w:hint="eastAsia" w:ascii="宋体" w:hAnsi="宋体" w:eastAsia="宋体" w:cs="宋体"/>
                <w:sz w:val="21"/>
                <w:szCs w:val="21"/>
                <w:lang w:eastAsia="zh-CN"/>
              </w:rPr>
              <w:t>沙雅县公安局警用装备采购项目</w:t>
            </w:r>
            <w:r>
              <w:rPr>
                <w:rFonts w:hint="eastAsia" w:ascii="宋体" w:hAnsi="宋体" w:eastAsia="宋体" w:cs="宋体"/>
                <w:sz w:val="21"/>
                <w:szCs w:val="21"/>
                <w:lang w:val="en-US" w:eastAsia="zh-CN"/>
              </w:rPr>
              <w:t>进行采购</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rPr>
              <w:t>具体内容详见采购</w:t>
            </w:r>
            <w:r>
              <w:rPr>
                <w:rFonts w:hint="eastAsia" w:ascii="宋体" w:hAnsi="宋体" w:cs="宋体"/>
                <w:color w:val="000000"/>
                <w:sz w:val="21"/>
                <w:szCs w:val="21"/>
                <w:lang w:eastAsia="zh-CN"/>
              </w:rPr>
              <w:t>清单</w:t>
            </w:r>
            <w:r>
              <w:rPr>
                <w:rFonts w:hint="eastAsia" w:ascii="宋体" w:hAnsi="宋体" w:cs="宋体"/>
                <w:color w:val="000000"/>
                <w:sz w:val="21"/>
                <w:szCs w:val="21"/>
              </w:rPr>
              <w:t>）</w:t>
            </w:r>
            <w:r>
              <w:rPr>
                <w:rFonts w:hint="eastAsia" w:ascii="宋体" w:hAnsi="宋体" w:cs="宋体"/>
                <w:color w:val="000000"/>
                <w:sz w:val="21"/>
                <w:szCs w:val="21"/>
                <w:lang w:eastAsia="zh-CN"/>
              </w:rPr>
              <w:t>。</w:t>
            </w:r>
          </w:p>
          <w:p>
            <w:pPr>
              <w:spacing w:line="360" w:lineRule="auto"/>
              <w:jc w:val="both"/>
              <w:rPr>
                <w:rFonts w:hint="eastAsia" w:ascii="宋体" w:hAnsi="宋体" w:eastAsia="宋体" w:cs="宋体"/>
                <w:color w:val="FF0000"/>
                <w:sz w:val="21"/>
                <w:szCs w:val="21"/>
                <w:lang w:val="en-US" w:eastAsia="zh-CN"/>
              </w:rPr>
            </w:pPr>
            <w:r>
              <w:rPr>
                <w:rFonts w:hint="eastAsia" w:ascii="宋体" w:hAnsi="宋体"/>
                <w:sz w:val="21"/>
                <w:szCs w:val="21"/>
                <w:lang w:val="en-US" w:eastAsia="zh-CN"/>
              </w:rPr>
              <w:t>预算价为：486250.00元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61"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4</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供货期</w:t>
            </w:r>
            <w:r>
              <w:rPr>
                <w:rFonts w:hint="eastAsia" w:ascii="宋体" w:hAnsi="宋体" w:cs="宋体"/>
                <w:sz w:val="21"/>
                <w:szCs w:val="21"/>
                <w:lang w:val="en-US" w:eastAsia="zh-CN"/>
              </w:rPr>
              <w:t>及</w:t>
            </w:r>
            <w:r>
              <w:rPr>
                <w:rFonts w:hint="eastAsia" w:ascii="宋体" w:hAnsi="宋体" w:cs="宋体"/>
                <w:sz w:val="21"/>
                <w:szCs w:val="21"/>
              </w:rPr>
              <w:t>供货地点</w:t>
            </w:r>
          </w:p>
        </w:tc>
        <w:tc>
          <w:tcPr>
            <w:tcW w:w="6273" w:type="dxa"/>
            <w:noWrap w:val="0"/>
            <w:vAlign w:val="center"/>
          </w:tcPr>
          <w:p>
            <w:pPr>
              <w:spacing w:line="360" w:lineRule="auto"/>
              <w:jc w:val="both"/>
              <w:rPr>
                <w:rFonts w:hint="eastAsia" w:ascii="宋体" w:hAnsi="宋体" w:cs="宋体"/>
                <w:sz w:val="21"/>
                <w:szCs w:val="21"/>
              </w:rPr>
            </w:pPr>
            <w:r>
              <w:rPr>
                <w:rFonts w:hint="eastAsia" w:ascii="宋体" w:hAnsi="宋体" w:cs="宋体"/>
                <w:sz w:val="21"/>
                <w:szCs w:val="21"/>
                <w:lang w:val="en-US" w:eastAsia="zh-CN"/>
              </w:rPr>
              <w:t>合同签订后</w:t>
            </w:r>
            <w:r>
              <w:rPr>
                <w:rFonts w:hint="eastAsia" w:ascii="宋体" w:hAnsi="宋体" w:cs="宋体"/>
                <w:color w:val="0000FF"/>
                <w:sz w:val="21"/>
                <w:szCs w:val="21"/>
                <w:lang w:val="en-US" w:eastAsia="zh-CN"/>
              </w:rPr>
              <w:t>30</w:t>
            </w:r>
            <w:r>
              <w:rPr>
                <w:rFonts w:hint="eastAsia" w:ascii="宋体" w:hAnsi="宋体" w:cs="宋体"/>
                <w:sz w:val="21"/>
                <w:szCs w:val="21"/>
                <w:lang w:val="en-US" w:eastAsia="zh-CN"/>
              </w:rPr>
              <w:t>日内</w:t>
            </w:r>
          </w:p>
          <w:p>
            <w:pPr>
              <w:spacing w:line="360" w:lineRule="auto"/>
              <w:jc w:val="both"/>
              <w:rPr>
                <w:rFonts w:hint="eastAsia" w:ascii="宋体" w:hAnsi="宋体" w:cs="宋体"/>
                <w:sz w:val="21"/>
                <w:szCs w:val="21"/>
              </w:rPr>
            </w:pPr>
            <w:r>
              <w:rPr>
                <w:rFonts w:hint="eastAsia" w:ascii="宋体" w:hAnsi="宋体" w:cs="宋体"/>
                <w:sz w:val="21"/>
                <w:szCs w:val="21"/>
              </w:rPr>
              <w:t xml:space="preserve">采购人指定地点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5</w:t>
            </w:r>
          </w:p>
        </w:tc>
        <w:tc>
          <w:tcPr>
            <w:tcW w:w="1636"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询价人</w:t>
            </w:r>
            <w:r>
              <w:rPr>
                <w:rFonts w:hint="eastAsia" w:ascii="宋体" w:hAnsi="宋体" w:cs="宋体"/>
                <w:color w:val="000000"/>
                <w:sz w:val="21"/>
                <w:szCs w:val="21"/>
              </w:rPr>
              <w:t>资格要求</w:t>
            </w:r>
          </w:p>
        </w:tc>
        <w:tc>
          <w:tcPr>
            <w:tcW w:w="6273"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1、须符合《中华人民共和国政府采购法》第二十二条规定；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2、有效经年检的营业执照；</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凡拟参加本次招标项目的询价人，如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w:t>
            </w:r>
            <w:r>
              <w:rPr>
                <w:rFonts w:hint="eastAsia" w:ascii="宋体" w:hAnsi="宋体" w:cs="宋体"/>
                <w:color w:val="000000" w:themeColor="text1"/>
                <w:sz w:val="21"/>
                <w:szCs w:val="21"/>
                <w:lang w:val="en-US" w:eastAsia="zh-CN"/>
                <w14:textFill>
                  <w14:solidFill>
                    <w14:schemeClr w14:val="tx1"/>
                  </w14:solidFill>
                </w14:textFill>
              </w:rPr>
              <w:t>询价人网上自行打印查询结果的截图加盖投标单位公章且网页打印时间须在报名时间内）</w:t>
            </w:r>
            <w:r>
              <w:rPr>
                <w:rFonts w:hint="eastAsia" w:ascii="宋体" w:hAnsi="宋体" w:cs="宋体"/>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单位负责人为同一人或者存在直接控股、管理关系的不同供应商，不得参加同一合同项下的政府采购活动；与采购人存在利害关系可能影响采购公正性的法人、其他组织或个人不得参与询价，违反规定的相关询价均无效；</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5、本询价采购项目不接受联合体询价。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递交报价文件截止时间</w:t>
            </w:r>
          </w:p>
        </w:tc>
        <w:tc>
          <w:tcPr>
            <w:tcW w:w="6273" w:type="dxa"/>
            <w:noWrap w:val="0"/>
            <w:vAlign w:val="center"/>
          </w:tcPr>
          <w:p>
            <w:pPr>
              <w:spacing w:line="360" w:lineRule="auto"/>
              <w:rPr>
                <w:rFonts w:hint="eastAsia" w:ascii="宋体" w:hAnsi="宋体" w:cs="宋体"/>
                <w:color w:val="auto"/>
                <w:kern w:val="2"/>
                <w:sz w:val="21"/>
                <w:szCs w:val="21"/>
                <w:lang w:val="en-US" w:eastAsia="zh-CN" w:bidi="ar-SA"/>
              </w:rPr>
            </w:pPr>
            <w:r>
              <w:rPr>
                <w:rFonts w:hint="eastAsia"/>
                <w:color w:val="auto"/>
                <w:sz w:val="21"/>
                <w:szCs w:val="21"/>
              </w:rPr>
              <w:t>202</w:t>
            </w:r>
            <w:r>
              <w:rPr>
                <w:rFonts w:hint="eastAsia"/>
                <w:color w:val="auto"/>
                <w:sz w:val="21"/>
                <w:szCs w:val="21"/>
                <w:lang w:val="en-US" w:eastAsia="zh-CN"/>
              </w:rPr>
              <w:t>2</w:t>
            </w:r>
            <w:r>
              <w:rPr>
                <w:rFonts w:hint="eastAsia"/>
                <w:color w:val="auto"/>
                <w:sz w:val="21"/>
                <w:szCs w:val="21"/>
              </w:rPr>
              <w:t>年</w:t>
            </w:r>
            <w:r>
              <w:rPr>
                <w:rFonts w:hint="eastAsia"/>
                <w:color w:val="auto"/>
                <w:sz w:val="21"/>
                <w:szCs w:val="21"/>
                <w:lang w:val="en-US" w:eastAsia="zh-CN"/>
              </w:rPr>
              <w:t>05</w:t>
            </w:r>
            <w:r>
              <w:rPr>
                <w:rFonts w:hint="eastAsia"/>
                <w:color w:val="auto"/>
                <w:sz w:val="21"/>
                <w:szCs w:val="21"/>
              </w:rPr>
              <w:t>月</w:t>
            </w:r>
            <w:r>
              <w:rPr>
                <w:rFonts w:hint="eastAsia"/>
                <w:color w:val="auto"/>
                <w:sz w:val="21"/>
                <w:szCs w:val="21"/>
                <w:lang w:val="en-US" w:eastAsia="zh-CN"/>
              </w:rPr>
              <w:t>30</w:t>
            </w:r>
            <w:r>
              <w:rPr>
                <w:rFonts w:hint="eastAsia"/>
                <w:color w:val="auto"/>
                <w:sz w:val="21"/>
                <w:szCs w:val="21"/>
              </w:rPr>
              <w:t>日 1</w:t>
            </w:r>
            <w:r>
              <w:rPr>
                <w:rFonts w:hint="eastAsia"/>
                <w:color w:val="auto"/>
                <w:sz w:val="21"/>
                <w:szCs w:val="21"/>
                <w:lang w:val="en-US" w:eastAsia="zh-CN"/>
              </w:rPr>
              <w:t>6：30</w:t>
            </w:r>
            <w:r>
              <w:rPr>
                <w:rFonts w:hint="eastAsia"/>
                <w:color w:val="auto"/>
                <w:sz w:val="21"/>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1636" w:type="dxa"/>
            <w:noWrap w:val="0"/>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递交报价文件地点</w:t>
            </w:r>
          </w:p>
        </w:tc>
        <w:tc>
          <w:tcPr>
            <w:tcW w:w="6273" w:type="dxa"/>
            <w:noWrap w:val="0"/>
            <w:vAlign w:val="center"/>
          </w:tcPr>
          <w:p>
            <w:pPr>
              <w:spacing w:line="360" w:lineRule="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沙雅县公共资源交易中心开标室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1636" w:type="dxa"/>
            <w:noWrap w:val="0"/>
            <w:vAlign w:val="center"/>
          </w:tcPr>
          <w:p>
            <w:pPr>
              <w:spacing w:line="36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询价时间</w:t>
            </w:r>
            <w:r>
              <w:rPr>
                <w:rFonts w:hint="eastAsia" w:ascii="宋体" w:hAnsi="宋体" w:cs="宋体"/>
                <w:color w:val="000000"/>
                <w:sz w:val="21"/>
                <w:szCs w:val="21"/>
                <w:lang w:val="en-US" w:eastAsia="zh-CN"/>
              </w:rPr>
              <w:t>及地点</w:t>
            </w:r>
          </w:p>
        </w:tc>
        <w:tc>
          <w:tcPr>
            <w:tcW w:w="6273" w:type="dxa"/>
            <w:noWrap w:val="0"/>
            <w:vAlign w:val="center"/>
          </w:tcPr>
          <w:p>
            <w:pPr>
              <w:spacing w:line="360" w:lineRule="auto"/>
              <w:rPr>
                <w:rFonts w:hint="eastAsia" w:ascii="宋体" w:hAnsi="宋体" w:cs="宋体"/>
                <w:color w:val="auto"/>
                <w:sz w:val="21"/>
                <w:szCs w:val="21"/>
              </w:rPr>
            </w:pPr>
            <w:r>
              <w:rPr>
                <w:rFonts w:hint="eastAsia"/>
                <w:color w:val="auto"/>
                <w:sz w:val="21"/>
                <w:szCs w:val="21"/>
              </w:rPr>
              <w:t>202</w:t>
            </w:r>
            <w:r>
              <w:rPr>
                <w:rFonts w:hint="eastAsia"/>
                <w:color w:val="auto"/>
                <w:sz w:val="21"/>
                <w:szCs w:val="21"/>
                <w:lang w:val="en-US" w:eastAsia="zh-CN"/>
              </w:rPr>
              <w:t>2</w:t>
            </w:r>
            <w:r>
              <w:rPr>
                <w:rFonts w:hint="eastAsia"/>
                <w:color w:val="auto"/>
                <w:sz w:val="21"/>
                <w:szCs w:val="21"/>
              </w:rPr>
              <w:t>年</w:t>
            </w:r>
            <w:r>
              <w:rPr>
                <w:rFonts w:hint="eastAsia"/>
                <w:color w:val="auto"/>
                <w:sz w:val="21"/>
                <w:szCs w:val="21"/>
                <w:lang w:val="en-US" w:eastAsia="zh-CN"/>
              </w:rPr>
              <w:t>05</w:t>
            </w:r>
            <w:r>
              <w:rPr>
                <w:rFonts w:hint="eastAsia"/>
                <w:color w:val="auto"/>
                <w:sz w:val="21"/>
                <w:szCs w:val="21"/>
              </w:rPr>
              <w:t>月</w:t>
            </w:r>
            <w:r>
              <w:rPr>
                <w:rFonts w:hint="eastAsia"/>
                <w:color w:val="auto"/>
                <w:sz w:val="21"/>
                <w:szCs w:val="21"/>
                <w:lang w:val="en-US" w:eastAsia="zh-CN"/>
              </w:rPr>
              <w:t>30</w:t>
            </w:r>
            <w:r>
              <w:rPr>
                <w:rFonts w:hint="eastAsia"/>
                <w:color w:val="auto"/>
                <w:sz w:val="21"/>
                <w:szCs w:val="21"/>
              </w:rPr>
              <w:t>日</w:t>
            </w:r>
            <w:r>
              <w:rPr>
                <w:rFonts w:hint="eastAsia"/>
                <w:color w:val="auto"/>
                <w:sz w:val="21"/>
                <w:szCs w:val="21"/>
                <w:lang w:val="en-US" w:eastAsia="zh-CN"/>
              </w:rPr>
              <w:t>16：30</w:t>
            </w:r>
            <w:r>
              <w:rPr>
                <w:rFonts w:hint="eastAsia"/>
                <w:color w:val="auto"/>
                <w:sz w:val="21"/>
                <w:szCs w:val="21"/>
              </w:rPr>
              <w:t>（北京时间）</w:t>
            </w:r>
          </w:p>
          <w:p>
            <w:pPr>
              <w:spacing w:line="360" w:lineRule="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沙雅县公共资源交易中心开标室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9</w:t>
            </w:r>
          </w:p>
        </w:tc>
        <w:tc>
          <w:tcPr>
            <w:tcW w:w="1636" w:type="dxa"/>
            <w:noWrap w:val="0"/>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是否退</w:t>
            </w:r>
            <w:r>
              <w:rPr>
                <w:rFonts w:hint="eastAsia" w:ascii="宋体" w:hAnsi="宋体" w:cs="宋体"/>
                <w:color w:val="000000"/>
                <w:sz w:val="21"/>
                <w:szCs w:val="21"/>
                <w:lang w:eastAsia="zh-CN"/>
              </w:rPr>
              <w:t>还</w:t>
            </w:r>
            <w:r>
              <w:rPr>
                <w:rFonts w:hint="eastAsia" w:ascii="宋体" w:hAnsi="宋体" w:cs="宋体"/>
                <w:color w:val="000000"/>
                <w:sz w:val="21"/>
                <w:szCs w:val="21"/>
              </w:rPr>
              <w:t>报价文件</w:t>
            </w:r>
          </w:p>
        </w:tc>
        <w:tc>
          <w:tcPr>
            <w:tcW w:w="6273" w:type="dxa"/>
            <w:noWrap w:val="0"/>
            <w:vAlign w:val="center"/>
          </w:tcPr>
          <w:p>
            <w:pPr>
              <w:spacing w:line="360" w:lineRule="auto"/>
              <w:jc w:val="left"/>
              <w:rPr>
                <w:rFonts w:hint="eastAsia" w:ascii="宋体" w:hAnsi="宋体" w:eastAsia="宋体" w:cs="宋体"/>
                <w:color w:val="000000"/>
                <w:sz w:val="21"/>
                <w:szCs w:val="21"/>
                <w:lang w:eastAsia="zh-CN"/>
              </w:rPr>
            </w:pPr>
            <w:r>
              <w:rPr>
                <w:rFonts w:hint="eastAsia"/>
                <w:color w:val="000000"/>
                <w:sz w:val="21"/>
                <w:szCs w:val="21"/>
              </w:rPr>
              <w:t xml:space="preserve">■否    </w:t>
            </w:r>
            <w:r>
              <w:rPr>
                <w:rFonts w:hint="eastAsia" w:hAnsi="宋体"/>
                <w:color w:val="000000"/>
                <w:sz w:val="21"/>
                <w:szCs w:val="21"/>
                <w:lang w:eastAsia="zh-CN"/>
              </w:rPr>
              <w:t>□</w:t>
            </w:r>
            <w:r>
              <w:rPr>
                <w:rFonts w:hint="eastAsia"/>
                <w:color w:val="000000"/>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0</w:t>
            </w:r>
          </w:p>
        </w:tc>
        <w:tc>
          <w:tcPr>
            <w:tcW w:w="1636" w:type="dxa"/>
            <w:noWrap w:val="0"/>
            <w:vAlign w:val="center"/>
          </w:tcPr>
          <w:p>
            <w:pPr>
              <w:spacing w:line="360" w:lineRule="auto"/>
              <w:jc w:val="center"/>
              <w:rPr>
                <w:rFonts w:hint="eastAsia" w:ascii="宋体" w:hAnsi="宋体"/>
                <w:sz w:val="21"/>
                <w:szCs w:val="21"/>
                <w:lang w:eastAsia="zh-CN"/>
              </w:rPr>
            </w:pPr>
            <w:r>
              <w:rPr>
                <w:rFonts w:hint="eastAsia" w:ascii="宋体" w:hAnsi="宋体"/>
                <w:sz w:val="21"/>
                <w:szCs w:val="21"/>
                <w:lang w:eastAsia="zh-CN"/>
              </w:rPr>
              <w:t>报价</w:t>
            </w:r>
            <w:r>
              <w:rPr>
                <w:rFonts w:ascii="宋体" w:hAnsi="宋体"/>
                <w:sz w:val="21"/>
                <w:szCs w:val="21"/>
              </w:rPr>
              <w:t>文件</w:t>
            </w:r>
            <w:r>
              <w:rPr>
                <w:rFonts w:hint="eastAsia" w:ascii="宋体" w:hAnsi="宋体"/>
                <w:sz w:val="21"/>
                <w:szCs w:val="21"/>
                <w:lang w:eastAsia="zh-CN"/>
              </w:rPr>
              <w:t>份数</w:t>
            </w:r>
          </w:p>
        </w:tc>
        <w:tc>
          <w:tcPr>
            <w:tcW w:w="6273" w:type="dxa"/>
            <w:noWrap w:val="0"/>
            <w:vAlign w:val="center"/>
          </w:tcPr>
          <w:p>
            <w:pPr>
              <w:spacing w:line="360" w:lineRule="auto"/>
              <w:rPr>
                <w:rFonts w:hint="eastAsia" w:ascii="宋体" w:hAnsi="宋体" w:cs="宋体"/>
                <w:sz w:val="21"/>
                <w:szCs w:val="21"/>
              </w:rPr>
            </w:pPr>
            <w:r>
              <w:rPr>
                <w:rFonts w:hint="eastAsia" w:ascii="宋体" w:hAnsi="宋体"/>
                <w:sz w:val="21"/>
                <w:szCs w:val="21"/>
              </w:rPr>
              <w:t>正本一份，副本三份。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中标公示媒介</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sz w:val="21"/>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构成招标文件的其他资料</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sz w:val="21"/>
                <w:szCs w:val="21"/>
              </w:rPr>
              <w:t>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3</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评标办法</w:t>
            </w:r>
          </w:p>
        </w:tc>
        <w:tc>
          <w:tcPr>
            <w:tcW w:w="6273" w:type="dxa"/>
            <w:noWrap w:val="0"/>
            <w:vAlign w:val="center"/>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61" w:type="dxa"/>
            <w:noWrap w:val="0"/>
            <w:vAlign w:val="center"/>
          </w:tcPr>
          <w:p>
            <w:pPr>
              <w:spacing w:line="360" w:lineRule="auto"/>
              <w:jc w:val="center"/>
              <w:rPr>
                <w:rFonts w:hint="eastAsia" w:ascii="宋体" w:hAnsi="宋体" w:eastAsia="宋体" w:cs="宋体"/>
                <w:color w:val="000000"/>
                <w:sz w:val="21"/>
                <w:szCs w:val="21"/>
                <w:lang w:eastAsia="zh-CN"/>
              </w:rPr>
            </w:pPr>
            <w:r>
              <w:rPr>
                <w:rFonts w:hint="eastAsia" w:ascii="宋体" w:hAnsi="宋体" w:cs="宋体"/>
                <w:color w:val="000000"/>
                <w:sz w:val="21"/>
                <w:szCs w:val="21"/>
              </w:rPr>
              <w:t>1</w:t>
            </w:r>
            <w:r>
              <w:rPr>
                <w:rFonts w:hint="eastAsia" w:ascii="宋体" w:hAnsi="宋体" w:cs="宋体"/>
                <w:color w:val="000000"/>
                <w:sz w:val="21"/>
                <w:szCs w:val="21"/>
                <w:lang w:val="en-US" w:eastAsia="zh-CN"/>
              </w:rPr>
              <w:t>4</w:t>
            </w:r>
          </w:p>
        </w:tc>
        <w:tc>
          <w:tcPr>
            <w:tcW w:w="1636" w:type="dxa"/>
            <w:noWrap w:val="0"/>
            <w:vAlign w:val="center"/>
          </w:tcPr>
          <w:p>
            <w:pPr>
              <w:adjustRightInd w:val="0"/>
              <w:snapToGrid w:val="0"/>
              <w:spacing w:line="360" w:lineRule="auto"/>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付款方式</w:t>
            </w:r>
          </w:p>
        </w:tc>
        <w:tc>
          <w:tcPr>
            <w:tcW w:w="6273" w:type="dxa"/>
            <w:noWrap w:val="0"/>
            <w:vAlign w:val="center"/>
          </w:tcPr>
          <w:p>
            <w:pPr>
              <w:adjustRightInd w:val="0"/>
              <w:snapToGrid w:val="0"/>
              <w:spacing w:line="360" w:lineRule="auto"/>
              <w:rPr>
                <w:rFonts w:hint="default" w:ascii="宋体" w:hAnsi="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以最终签订的供货合同为准。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cs="宋体"/>
                <w:color w:val="000000"/>
                <w:sz w:val="21"/>
                <w:szCs w:val="21"/>
              </w:rPr>
            </w:pPr>
            <w:r>
              <w:rPr>
                <w:rFonts w:hint="eastAsia" w:ascii="宋体" w:hAnsi="宋体" w:cs="宋体"/>
                <w:color w:val="000000"/>
                <w:sz w:val="21"/>
                <w:szCs w:val="21"/>
              </w:rPr>
              <w:t>16</w:t>
            </w:r>
          </w:p>
        </w:tc>
        <w:tc>
          <w:tcPr>
            <w:tcW w:w="1636" w:type="dxa"/>
            <w:noWrap w:val="0"/>
            <w:vAlign w:val="center"/>
          </w:tcPr>
          <w:p>
            <w:pPr>
              <w:numPr>
                <w:ilvl w:val="0"/>
                <w:numId w:val="0"/>
              </w:numPr>
              <w:adjustRightInd w:val="0"/>
              <w:snapToGrid w:val="0"/>
              <w:spacing w:line="360" w:lineRule="auto"/>
              <w:jc w:val="center"/>
              <w:rPr>
                <w:rFonts w:hint="eastAsia" w:ascii="宋体" w:hAnsi="宋体" w:cs="宋体"/>
                <w:color w:val="000000"/>
                <w:sz w:val="21"/>
                <w:szCs w:val="21"/>
              </w:rPr>
            </w:pPr>
            <w:r>
              <w:rPr>
                <w:rFonts w:hint="eastAsia" w:ascii="宋体" w:hAnsi="宋体" w:cs="宋体"/>
                <w:color w:val="000000"/>
                <w:sz w:val="21"/>
                <w:szCs w:val="21"/>
                <w:lang w:eastAsia="zh-CN"/>
              </w:rPr>
              <w:t>询价</w:t>
            </w:r>
            <w:r>
              <w:rPr>
                <w:rFonts w:hint="eastAsia" w:ascii="宋体" w:hAnsi="宋体" w:cs="宋体"/>
                <w:color w:val="000000"/>
                <w:sz w:val="21"/>
                <w:szCs w:val="21"/>
              </w:rPr>
              <w:t>人信用信息查询</w:t>
            </w:r>
          </w:p>
        </w:tc>
        <w:tc>
          <w:tcPr>
            <w:tcW w:w="6273" w:type="dxa"/>
            <w:noWrap w:val="0"/>
            <w:vAlign w:val="center"/>
          </w:tcPr>
          <w:p>
            <w:pPr>
              <w:numPr>
                <w:ilvl w:val="0"/>
                <w:numId w:val="1"/>
              </w:numPr>
              <w:adjustRightInd w:val="0"/>
              <w:snapToGrid w:val="0"/>
              <w:spacing w:line="360" w:lineRule="auto"/>
              <w:jc w:val="left"/>
              <w:rPr>
                <w:rFonts w:hint="eastAsia" w:ascii="宋体" w:hAnsi="宋体" w:cs="宋体"/>
                <w:color w:val="000000"/>
                <w:sz w:val="21"/>
                <w:szCs w:val="21"/>
              </w:rPr>
            </w:pPr>
            <w:r>
              <w:rPr>
                <w:rFonts w:hint="eastAsia" w:ascii="宋体" w:hAnsi="宋体" w:cs="宋体"/>
                <w:color w:val="000000"/>
                <w:sz w:val="21"/>
                <w:szCs w:val="21"/>
              </w:rPr>
              <w:t>查询渠道：</w:t>
            </w:r>
          </w:p>
          <w:p>
            <w:pPr>
              <w:adjustRightInd w:val="0"/>
              <w:snapToGrid w:val="0"/>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信用中国（www.creditchina.gov.cn） 、“中国政府采购网”网站（www.ccgp.gov.cn）         </w:t>
            </w:r>
          </w:p>
          <w:p>
            <w:pPr>
              <w:numPr>
                <w:ilvl w:val="0"/>
                <w:numId w:val="1"/>
              </w:num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信息查询记录和证据留存的方式：网页截图</w:t>
            </w:r>
          </w:p>
          <w:p>
            <w:pPr>
              <w:numPr>
                <w:ilvl w:val="0"/>
                <w:numId w:val="1"/>
              </w:numPr>
              <w:adjustRightInd w:val="0"/>
              <w:snapToGrid w:val="0"/>
              <w:spacing w:line="360" w:lineRule="auto"/>
              <w:rPr>
                <w:rFonts w:hint="eastAsia" w:ascii="宋体" w:hAnsi="宋体" w:cs="宋体"/>
                <w:color w:val="000000"/>
                <w:kern w:val="2"/>
                <w:sz w:val="21"/>
                <w:szCs w:val="21"/>
                <w:lang w:val="en-US" w:eastAsia="zh-CN" w:bidi="ar-SA"/>
              </w:rPr>
            </w:pPr>
            <w:r>
              <w:rPr>
                <w:rFonts w:hint="eastAsia" w:ascii="宋体" w:hAnsi="宋体" w:cs="宋体"/>
                <w:color w:val="000000"/>
                <w:sz w:val="21"/>
                <w:szCs w:val="21"/>
              </w:rPr>
              <w:t>信息的使用规则：经核查</w:t>
            </w:r>
            <w:r>
              <w:rPr>
                <w:rFonts w:hint="eastAsia" w:ascii="宋体" w:hAnsi="宋体" w:cs="宋体"/>
                <w:color w:val="000000"/>
                <w:sz w:val="21"/>
                <w:szCs w:val="21"/>
                <w:lang w:eastAsia="zh-CN"/>
              </w:rPr>
              <w:t>询价</w:t>
            </w:r>
            <w:r>
              <w:rPr>
                <w:rFonts w:hint="eastAsia" w:ascii="宋体" w:hAnsi="宋体" w:cs="宋体"/>
                <w:color w:val="000000"/>
                <w:sz w:val="21"/>
                <w:szCs w:val="21"/>
              </w:rPr>
              <w:t>企业被列入失信被执行人、重大税收违法案件当事人名单、政府采购严重违法失信行为记录名单、经营异常名录等黑名单的将拒绝其</w:t>
            </w:r>
            <w:r>
              <w:rPr>
                <w:rFonts w:hint="eastAsia" w:ascii="宋体" w:hAnsi="宋体" w:cs="宋体"/>
                <w:color w:val="000000"/>
                <w:sz w:val="21"/>
                <w:szCs w:val="21"/>
                <w:lang w:eastAsia="zh-CN"/>
              </w:rPr>
              <w:t>询价</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17</w:t>
            </w:r>
          </w:p>
        </w:tc>
        <w:tc>
          <w:tcPr>
            <w:tcW w:w="1636" w:type="dxa"/>
            <w:noWrap w:val="0"/>
            <w:vAlign w:val="center"/>
          </w:tcPr>
          <w:p>
            <w:pPr>
              <w:spacing w:line="360" w:lineRule="auto"/>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采购项目需要落实的政府采购政策</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（1）《政府采购促进中小企业发展暂行办法》（财库〔2011〕181号）；</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（2）《财政部、司法部关于政府采购支持监狱企业发展有关问题的通知》（财库〔2014〕68号）；</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（3）《国务院办公厅关于建立政府强制采购节能产品制度的通知》（国办发〔2007〕51号）；</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（4）《财政部 民政部 中国残疾人联合会关于促进残疾人就业政府采购政策的通知》财库〔2017〕141号。</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5）询价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8</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支持中小企业发展</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sz w:val="21"/>
                <w:szCs w:val="21"/>
              </w:rPr>
              <w:t>给予小型和微型企业产品的价格6%-10%的扣除，用扣除后的价格参与评审，本项目具体扣除比例为6%。详见第二章。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19</w:t>
            </w:r>
          </w:p>
        </w:tc>
        <w:tc>
          <w:tcPr>
            <w:tcW w:w="1636" w:type="dxa"/>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政府采购支持中小企业融资</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sz w:val="21"/>
                <w:szCs w:val="21"/>
              </w:rPr>
              <w:t>有融资需求的，可查询相关业务。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noWrap w:val="0"/>
            <w:vAlign w:val="center"/>
          </w:tcPr>
          <w:p>
            <w:pPr>
              <w:adjustRightInd w:val="0"/>
              <w:snapToGrid w:val="0"/>
              <w:spacing w:line="360" w:lineRule="auto"/>
              <w:jc w:val="center"/>
              <w:rPr>
                <w:rFonts w:hint="eastAsia" w:ascii="宋体" w:hAnsi="宋体" w:cs="宋体"/>
                <w:sz w:val="21"/>
                <w:szCs w:val="21"/>
              </w:rPr>
            </w:pPr>
          </w:p>
        </w:tc>
        <w:tc>
          <w:tcPr>
            <w:tcW w:w="1636" w:type="dxa"/>
            <w:noWrap w:val="0"/>
            <w:vAlign w:val="center"/>
          </w:tcPr>
          <w:p>
            <w:pPr>
              <w:spacing w:line="360" w:lineRule="auto"/>
              <w:jc w:val="center"/>
              <w:rPr>
                <w:rFonts w:hint="eastAsia" w:ascii="宋体" w:hAnsi="宋体" w:cs="宋体"/>
                <w:color w:val="000000"/>
                <w:sz w:val="21"/>
                <w:szCs w:val="21"/>
                <w:highlight w:val="none"/>
                <w:lang w:val="en-US" w:eastAsia="zh-CN"/>
              </w:rPr>
            </w:pPr>
            <w:r>
              <w:rPr>
                <w:rFonts w:hint="eastAsia" w:ascii="宋体" w:hAnsi="宋体" w:cs="宋体"/>
                <w:sz w:val="21"/>
                <w:szCs w:val="21"/>
              </w:rPr>
              <w:t>政府采购信用担保</w:t>
            </w:r>
          </w:p>
        </w:tc>
        <w:tc>
          <w:tcPr>
            <w:tcW w:w="6273" w:type="dxa"/>
            <w:noWrap w:val="0"/>
            <w:vAlign w:val="center"/>
          </w:tcPr>
          <w:p>
            <w:pPr>
              <w:spacing w:line="360" w:lineRule="auto"/>
              <w:rPr>
                <w:rFonts w:hint="eastAsia" w:ascii="宋体" w:hAnsi="宋体" w:cs="宋体"/>
                <w:color w:val="000000"/>
                <w:sz w:val="21"/>
                <w:szCs w:val="21"/>
                <w:highlight w:val="none"/>
                <w:lang w:val="en-US" w:eastAsia="zh-CN"/>
              </w:rPr>
            </w:pPr>
            <w:r>
              <w:rPr>
                <w:rFonts w:hint="eastAsia" w:ascii="宋体" w:hAnsi="宋体" w:cs="宋体"/>
                <w:sz w:val="21"/>
                <w:szCs w:val="21"/>
              </w:rPr>
              <w:t>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noWrap w:val="0"/>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lang w:val="en-US" w:eastAsia="zh-CN"/>
              </w:rPr>
              <w:t>0</w:t>
            </w:r>
          </w:p>
        </w:tc>
        <w:tc>
          <w:tcPr>
            <w:tcW w:w="1636" w:type="dxa"/>
            <w:noWrap w:val="0"/>
            <w:vAlign w:val="center"/>
          </w:tcPr>
          <w:p>
            <w:pPr>
              <w:spacing w:line="360" w:lineRule="auto"/>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履约担保的金额和提交时间</w:t>
            </w:r>
          </w:p>
        </w:tc>
        <w:tc>
          <w:tcPr>
            <w:tcW w:w="6273" w:type="dxa"/>
            <w:noWrap w:val="0"/>
            <w:vAlign w:val="center"/>
          </w:tcPr>
          <w:p>
            <w:pPr>
              <w:spacing w:line="360" w:lineRule="auto"/>
              <w:rPr>
                <w:rFonts w:hint="default" w:ascii="宋体" w:hAnsi="宋体" w:cs="宋体"/>
                <w:kern w:val="2"/>
                <w:sz w:val="21"/>
                <w:szCs w:val="21"/>
                <w:highlight w:val="none"/>
                <w:lang w:val="en-US" w:eastAsia="zh-CN" w:bidi="ar-SA"/>
              </w:rPr>
            </w:pPr>
            <w:r>
              <w:rPr>
                <w:rFonts w:hint="eastAsia" w:ascii="宋体" w:hAnsi="宋体" w:cs="宋体"/>
                <w:color w:val="000000"/>
                <w:sz w:val="21"/>
                <w:szCs w:val="21"/>
                <w:highlight w:val="no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 w:type="dxa"/>
            <w:noWrap w:val="0"/>
            <w:vAlign w:val="center"/>
          </w:tcPr>
          <w:p>
            <w:pPr>
              <w:adjustRightInd w:val="0"/>
              <w:snapToGrid w:val="0"/>
              <w:spacing w:line="360" w:lineRule="auto"/>
              <w:jc w:val="center"/>
              <w:rPr>
                <w:rFonts w:hint="eastAsia" w:ascii="宋体" w:hAnsi="宋体" w:cs="宋体"/>
                <w:sz w:val="21"/>
                <w:szCs w:val="21"/>
              </w:rPr>
            </w:pPr>
            <w:r>
              <w:rPr>
                <w:rFonts w:hint="eastAsia" w:ascii="宋体" w:hAnsi="宋体" w:cs="宋体"/>
                <w:sz w:val="21"/>
                <w:szCs w:val="21"/>
              </w:rPr>
              <w:t>21</w:t>
            </w:r>
          </w:p>
        </w:tc>
        <w:tc>
          <w:tcPr>
            <w:tcW w:w="1636" w:type="dxa"/>
            <w:noWrap w:val="0"/>
            <w:vAlign w:val="center"/>
          </w:tcPr>
          <w:p>
            <w:pPr>
              <w:spacing w:line="360" w:lineRule="auto"/>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询价人不得存在右列情形</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（1）与招标人存在利害关系且可能影响招标公正性；</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（2）与本招标项目的其他询价人为同一个单位负责人；</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（3）与本招标项目的其他询价人存在控股、管理关系；</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（4）被依法暂停或者取消询价资格；</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（5）被责令停产停业、暂扣或者吊销许可证、暂扣或者吊销执照；</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（6）进入清算程序，或被宣告破产，或其他丧失履约能力的情形；</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（7）被最高人民法院在“信用中国”网站（www.creditchina.gov.cn）“中国政府采购网”网站（www.ccgp.gov.cn）中列入失信被执行人名单；</w:t>
            </w:r>
          </w:p>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（8）法律法规或询价人须知前附表规定的其他情形。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61" w:type="dxa"/>
            <w:noWrap w:val="0"/>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1636" w:type="dxa"/>
            <w:noWrap w:val="0"/>
            <w:vAlign w:val="center"/>
          </w:tcPr>
          <w:p>
            <w:pPr>
              <w:spacing w:line="360" w:lineRule="auto"/>
              <w:jc w:val="center"/>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答疑与澄清</w:t>
            </w:r>
          </w:p>
        </w:tc>
        <w:tc>
          <w:tcPr>
            <w:tcW w:w="6273" w:type="dxa"/>
            <w:noWrap w:val="0"/>
            <w:vAlign w:val="center"/>
          </w:tcPr>
          <w:p>
            <w:p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询价人如认为询价文件表述不清晰、存在歧视性或者其他违法内容的，应当于开标三日前，</w:t>
            </w:r>
            <w:r>
              <w:rPr>
                <w:rFonts w:hint="eastAsia" w:ascii="宋体" w:hAnsi="宋体" w:cs="宋体"/>
                <w:kern w:val="2"/>
                <w:sz w:val="21"/>
                <w:szCs w:val="21"/>
                <w:highlight w:val="none"/>
                <w:lang w:val="en-US" w:eastAsia="zh-CN" w:bidi="ar-SA"/>
              </w:rPr>
              <w:t>以书面形式要求采购代理机构作出书面解释、澄清或者向采购代理机构提出书面质疑；逾期不再受理。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61" w:type="dxa"/>
            <w:noWrap w:val="0"/>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7909" w:type="dxa"/>
            <w:gridSpan w:val="2"/>
            <w:noWrap w:val="0"/>
            <w:vAlign w:val="center"/>
          </w:tcPr>
          <w:p>
            <w:pPr>
              <w:spacing w:line="360" w:lineRule="auto"/>
              <w:rPr>
                <w:rFonts w:hint="eastAsia" w:ascii="宋体" w:hAnsi="宋体" w:cs="宋体"/>
                <w:kern w:val="2"/>
                <w:sz w:val="21"/>
                <w:szCs w:val="21"/>
                <w:lang w:val="en-US" w:eastAsia="zh-CN" w:bidi="ar-SA"/>
              </w:rPr>
            </w:pPr>
            <w:r>
              <w:rPr>
                <w:rFonts w:hint="default" w:ascii="宋体" w:hAnsi="宋体" w:cs="宋体"/>
                <w:kern w:val="2"/>
                <w:sz w:val="21"/>
                <w:szCs w:val="21"/>
                <w:lang w:val="en-US" w:eastAsia="zh-CN" w:bidi="ar-SA"/>
              </w:rPr>
              <w:t>根据阿克苏地区行署阿行署办【2019】20号《阿克苏地区支持实体经济高质量发展攻坚行动方案》文件精神（登录此网站下载；</w:t>
            </w:r>
            <w:r>
              <w:rPr>
                <w:rFonts w:hint="default" w:ascii="宋体" w:hAnsi="宋体" w:cs="宋体"/>
                <w:kern w:val="2"/>
                <w:sz w:val="21"/>
                <w:szCs w:val="21"/>
                <w:lang w:val="en-US" w:eastAsia="zh-CN" w:bidi="ar-SA"/>
              </w:rPr>
              <w:drawing>
                <wp:inline distT="0" distB="0" distL="114300" distR="114300">
                  <wp:extent cx="190500" cy="142875"/>
                  <wp:effectExtent l="0" t="0" r="0" b="9525"/>
                  <wp:docPr id="3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IMG_256"/>
                          <pic:cNvPicPr>
                            <a:picLocks noChangeAspect="1"/>
                          </pic:cNvPicPr>
                        </pic:nvPicPr>
                        <pic:blipFill>
                          <a:blip r:embed="rId11"/>
                          <a:stretch>
                            <a:fillRect/>
                          </a:stretch>
                        </pic:blipFill>
                        <pic:spPr>
                          <a:xfrm>
                            <a:off x="0" y="0"/>
                            <a:ext cx="190500" cy="142875"/>
                          </a:xfrm>
                          <a:prstGeom prst="rect">
                            <a:avLst/>
                          </a:prstGeom>
                          <a:noFill/>
                          <a:ln>
                            <a:noFill/>
                          </a:ln>
                        </pic:spPr>
                      </pic:pic>
                    </a:graphicData>
                  </a:graphic>
                </wp:inline>
              </w:drawing>
            </w:r>
            <w:r>
              <w:rPr>
                <w:rFonts w:hint="default" w:ascii="宋体" w:hAnsi="宋体" w:cs="宋体"/>
                <w:kern w:val="2"/>
                <w:sz w:val="21"/>
                <w:szCs w:val="21"/>
                <w:lang w:val="en-US" w:eastAsia="zh-CN" w:bidi="ar-SA"/>
              </w:rPr>
              <w:t>http://www.aks.gov.cn/gsgg/20190703/i413839.html），同等条件下要优先选用列入地产品采购目录内的地产工业品。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61" w:type="dxa"/>
            <w:noWrap w:val="0"/>
            <w:vAlign w:val="center"/>
          </w:tcPr>
          <w:p>
            <w:pPr>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24</w:t>
            </w:r>
          </w:p>
        </w:tc>
        <w:tc>
          <w:tcPr>
            <w:tcW w:w="7909" w:type="dxa"/>
            <w:gridSpan w:val="2"/>
            <w:noWrap w:val="0"/>
            <w:vAlign w:val="center"/>
          </w:tcPr>
          <w:p>
            <w:pPr>
              <w:spacing w:line="360" w:lineRule="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询价</w:t>
            </w:r>
            <w:r>
              <w:rPr>
                <w:rFonts w:hint="default" w:ascii="宋体" w:hAnsi="宋体" w:cs="宋体"/>
                <w:kern w:val="2"/>
                <w:sz w:val="21"/>
                <w:szCs w:val="21"/>
                <w:lang w:val="en-US" w:eastAsia="zh-CN" w:bidi="ar-SA"/>
              </w:rPr>
              <w:t>企业必须对提供的企业和人员资质负责，如出现资质不符将取消</w:t>
            </w:r>
            <w:r>
              <w:rPr>
                <w:rFonts w:hint="eastAsia" w:ascii="宋体" w:hAnsi="宋体" w:cs="宋体"/>
                <w:kern w:val="2"/>
                <w:sz w:val="21"/>
                <w:szCs w:val="21"/>
                <w:lang w:val="en-US" w:eastAsia="zh-CN" w:bidi="ar-SA"/>
              </w:rPr>
              <w:t>询价</w:t>
            </w:r>
            <w:r>
              <w:rPr>
                <w:rFonts w:hint="default" w:ascii="宋体" w:hAnsi="宋体" w:cs="宋体"/>
                <w:kern w:val="2"/>
                <w:sz w:val="21"/>
                <w:szCs w:val="21"/>
                <w:lang w:val="en-US" w:eastAsia="zh-CN" w:bidi="ar-SA"/>
              </w:rPr>
              <w:t xml:space="preserve">资格。若有涉嫌造假的行为，将上报自治区行业主管部门启动失信黑名单处罚措施。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61" w:type="dxa"/>
            <w:noWrap w:val="0"/>
            <w:vAlign w:val="center"/>
          </w:tcPr>
          <w:p>
            <w:pPr>
              <w:adjustRightInd w:val="0"/>
              <w:snapToGrid w:val="0"/>
              <w:spacing w:line="36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25</w:t>
            </w:r>
          </w:p>
        </w:tc>
        <w:tc>
          <w:tcPr>
            <w:tcW w:w="79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宋体" w:hAnsi="宋体" w:cs="宋体"/>
                <w:b/>
                <w:bCs/>
                <w:color w:val="000000"/>
                <w:sz w:val="21"/>
                <w:szCs w:val="21"/>
                <w:lang w:val="en-US" w:eastAsia="zh-CN"/>
              </w:rPr>
            </w:pPr>
            <w:r>
              <w:rPr>
                <w:rFonts w:hint="eastAsia" w:ascii="宋体" w:hAnsi="宋体" w:cs="宋体"/>
                <w:b/>
                <w:bCs/>
                <w:color w:val="000000"/>
                <w:sz w:val="21"/>
                <w:szCs w:val="21"/>
                <w:lang w:val="en-US" w:eastAsia="zh-CN"/>
              </w:rPr>
              <w:t>开标现场须携带的资料如下：</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1、法人代表或其委托代理人应提交本人身份证原件及复印件，委托代理人还应提交《法人代表授权委托书》原件；</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2、有效经年检的营业执照原件或加盖企业公章的营业执照复印件；</w:t>
            </w:r>
          </w:p>
          <w:p>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凡拟参加本次招标项目的询价人，如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询价人网上自行打印查询结果的截图加盖投标单位公章且网页打印时间须在报名时间内）；</w:t>
            </w:r>
          </w:p>
          <w:p>
            <w:pPr>
              <w:spacing w:line="360" w:lineRule="auto"/>
              <w:rPr>
                <w:rFonts w:hint="default" w:ascii="宋体" w:hAnsi="宋体" w:cs="宋体"/>
                <w:kern w:val="2"/>
                <w:sz w:val="21"/>
                <w:szCs w:val="21"/>
                <w:lang w:val="en-US" w:eastAsia="zh-CN" w:bidi="ar-SA"/>
              </w:rPr>
            </w:pPr>
            <w:r>
              <w:rPr>
                <w:rFonts w:hint="eastAsia" w:ascii="宋体" w:hAnsi="宋体" w:cs="宋体"/>
                <w:b/>
                <w:bCs/>
                <w:kern w:val="2"/>
                <w:sz w:val="21"/>
                <w:szCs w:val="21"/>
                <w:lang w:val="en-US" w:eastAsia="zh-CN" w:bidi="ar-SA"/>
              </w:rPr>
              <w:t>以上资料齐全的为有效投标人，资料不齐全视为资格审查不通过。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1" w:type="dxa"/>
            <w:noWrap w:val="0"/>
            <w:vAlign w:val="center"/>
          </w:tcPr>
          <w:p>
            <w:pPr>
              <w:adjustRightInd w:val="0"/>
              <w:snapToGrid w:val="0"/>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备注</w:t>
            </w:r>
          </w:p>
        </w:tc>
        <w:tc>
          <w:tcPr>
            <w:tcW w:w="7909" w:type="dxa"/>
            <w:gridSpan w:val="2"/>
            <w:noWrap w:val="0"/>
            <w:vAlign w:val="center"/>
          </w:tcPr>
          <w:p>
            <w:pPr>
              <w:spacing w:line="360" w:lineRule="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若投标内容与投标人须知出现争议，以投标人须知为准。</w:t>
            </w:r>
          </w:p>
        </w:tc>
      </w:tr>
    </w:tbl>
    <w:p>
      <w:pPr>
        <w:pStyle w:val="3"/>
        <w:spacing w:line="460" w:lineRule="exact"/>
        <w:rPr>
          <w:rFonts w:ascii="宋体" w:hAnsi="宋体" w:eastAsia="宋体"/>
          <w:color w:val="FF0000"/>
          <w:sz w:val="24"/>
          <w:szCs w:val="24"/>
        </w:rPr>
      </w:pPr>
      <w:r>
        <w:rPr>
          <w:rFonts w:hint="eastAsia" w:ascii="宋体" w:hAnsi="宋体" w:eastAsia="宋体"/>
          <w:sz w:val="24"/>
          <w:szCs w:val="24"/>
        </w:rPr>
        <w:t>一、</w:t>
      </w:r>
      <w:r>
        <w:rPr>
          <w:rFonts w:ascii="宋体" w:hAnsi="宋体" w:eastAsia="宋体"/>
          <w:sz w:val="24"/>
          <w:szCs w:val="24"/>
        </w:rPr>
        <w:t xml:space="preserve"> </w:t>
      </w:r>
      <w:r>
        <w:rPr>
          <w:rFonts w:hint="eastAsia" w:ascii="宋体" w:hAnsi="宋体" w:eastAsia="宋体"/>
          <w:sz w:val="24"/>
          <w:szCs w:val="24"/>
        </w:rPr>
        <w:t>说</w:t>
      </w:r>
      <w:r>
        <w:rPr>
          <w:rFonts w:ascii="宋体" w:hAnsi="宋体" w:eastAsia="宋体"/>
          <w:sz w:val="24"/>
          <w:szCs w:val="24"/>
        </w:rPr>
        <w:t xml:space="preserve">  </w:t>
      </w:r>
      <w:r>
        <w:rPr>
          <w:rFonts w:hint="eastAsia" w:ascii="宋体" w:hAnsi="宋体" w:eastAsia="宋体"/>
          <w:sz w:val="24"/>
          <w:szCs w:val="24"/>
        </w:rPr>
        <w:t>明</w:t>
      </w:r>
      <w:bookmarkEnd w:id="17"/>
    </w:p>
    <w:p>
      <w:pPr>
        <w:pStyle w:val="4"/>
        <w:numPr>
          <w:ilvl w:val="0"/>
          <w:numId w:val="2"/>
        </w:numPr>
        <w:autoSpaceDE w:val="0"/>
        <w:autoSpaceDN w:val="0"/>
        <w:adjustRightInd w:val="0"/>
        <w:spacing w:line="460" w:lineRule="exact"/>
        <w:jc w:val="left"/>
        <w:textAlignment w:val="baseline"/>
        <w:rPr>
          <w:rFonts w:hint="eastAsia" w:hAnsi="宋体"/>
          <w:sz w:val="21"/>
        </w:rPr>
      </w:pPr>
      <w:bookmarkStart w:id="18" w:name="_Toc458262600"/>
      <w:bookmarkStart w:id="19" w:name="_Toc491841875"/>
      <w:bookmarkStart w:id="20" w:name="_Toc535299948"/>
      <w:bookmarkStart w:id="21" w:name="_Toc467236725"/>
      <w:bookmarkStart w:id="22" w:name="_Toc230598437"/>
      <w:bookmarkStart w:id="23" w:name="_Toc477144265"/>
      <w:bookmarkStart w:id="24" w:name="_Toc476976157"/>
      <w:bookmarkStart w:id="25" w:name="_Toc501190868"/>
      <w:bookmarkStart w:id="26" w:name="_Toc477838672"/>
      <w:bookmarkStart w:id="27" w:name="_Toc497707671"/>
      <w:bookmarkStart w:id="28" w:name="_Toc458262601"/>
      <w:r>
        <w:rPr>
          <w:rFonts w:hint="eastAsia" w:hAnsi="宋体"/>
          <w:sz w:val="21"/>
        </w:rPr>
        <w:t>适用范围</w:t>
      </w:r>
      <w:bookmarkEnd w:id="18"/>
      <w:r>
        <w:rPr>
          <w:rFonts w:hint="eastAsia" w:hAnsi="宋体"/>
          <w:sz w:val="21"/>
        </w:rPr>
        <w:t>与资金来源</w:t>
      </w:r>
      <w:bookmarkEnd w:id="19"/>
      <w:bookmarkEnd w:id="20"/>
      <w:bookmarkEnd w:id="21"/>
      <w:bookmarkEnd w:id="22"/>
      <w:bookmarkEnd w:id="23"/>
      <w:bookmarkEnd w:id="24"/>
      <w:bookmarkEnd w:id="25"/>
      <w:bookmarkEnd w:id="26"/>
      <w:bookmarkEnd w:id="27"/>
    </w:p>
    <w:p>
      <w:pPr>
        <w:numPr>
          <w:ilvl w:val="1"/>
          <w:numId w:val="2"/>
        </w:numPr>
        <w:spacing w:line="460" w:lineRule="exact"/>
        <w:rPr>
          <w:rFonts w:hint="eastAsia" w:ascii="宋体" w:hAnsi="宋体"/>
        </w:rPr>
      </w:pPr>
      <w:r>
        <w:rPr>
          <w:rFonts w:hint="eastAsia" w:ascii="宋体" w:hAnsi="宋体"/>
        </w:rPr>
        <w:t>本询价文件仅适用于《前附表》中所叙述的</w:t>
      </w:r>
      <w:r>
        <w:rPr>
          <w:rFonts w:hint="eastAsia" w:hAnsi="宋体"/>
        </w:rPr>
        <w:t>询价采购项目</w:t>
      </w:r>
      <w:r>
        <w:rPr>
          <w:rFonts w:hint="eastAsia" w:ascii="宋体" w:hAnsi="宋体"/>
        </w:rPr>
        <w:t>。</w:t>
      </w:r>
    </w:p>
    <w:p>
      <w:pPr>
        <w:numPr>
          <w:ilvl w:val="1"/>
          <w:numId w:val="2"/>
        </w:numPr>
        <w:spacing w:line="460" w:lineRule="exact"/>
        <w:rPr>
          <w:rFonts w:hint="eastAsia" w:ascii="宋体" w:hAnsi="宋体"/>
        </w:rPr>
      </w:pPr>
      <w:r>
        <w:rPr>
          <w:rFonts w:hint="eastAsia" w:ascii="宋体" w:hAnsi="宋体"/>
        </w:rPr>
        <w:t>凡超出《前附表》所列</w:t>
      </w:r>
      <w:r>
        <w:rPr>
          <w:rFonts w:hint="eastAsia" w:ascii="宋体" w:hAnsi="宋体" w:cs="宋体"/>
          <w:kern w:val="0"/>
          <w:szCs w:val="21"/>
        </w:rPr>
        <w:t>采购预算</w:t>
      </w:r>
      <w:r>
        <w:rPr>
          <w:rFonts w:hint="eastAsia" w:ascii="宋体" w:hAnsi="宋体"/>
        </w:rPr>
        <w:t>的报价文件均不予接受。</w:t>
      </w:r>
    </w:p>
    <w:p>
      <w:pPr>
        <w:numPr>
          <w:ilvl w:val="1"/>
          <w:numId w:val="2"/>
        </w:numPr>
        <w:spacing w:line="460" w:lineRule="exact"/>
        <w:rPr>
          <w:rFonts w:hint="eastAsia" w:ascii="宋体" w:hAnsi="宋体"/>
        </w:rPr>
      </w:pPr>
      <w:r>
        <w:rPr>
          <w:rFonts w:hint="eastAsia" w:ascii="宋体" w:hAnsi="宋体"/>
        </w:rPr>
        <w:t>采购人已获得上述资金，并计划将一部分或全部费用用于支付本次询价后所签订的合同项下的合格款项。</w:t>
      </w:r>
    </w:p>
    <w:p>
      <w:pPr>
        <w:numPr>
          <w:ilvl w:val="1"/>
          <w:numId w:val="2"/>
        </w:numPr>
        <w:spacing w:line="460" w:lineRule="exact"/>
        <w:rPr>
          <w:rFonts w:hint="eastAsia" w:ascii="宋体" w:hAnsi="宋体"/>
        </w:rPr>
      </w:pPr>
      <w:r>
        <w:rPr>
          <w:rFonts w:hint="eastAsia" w:ascii="宋体" w:hAnsi="宋体"/>
          <w:bCs/>
        </w:rPr>
        <w:t>本询价文件有关条款由采购代理机构负责解释</w:t>
      </w:r>
      <w:r>
        <w:rPr>
          <w:rFonts w:hint="eastAsia" w:ascii="宋体" w:hAnsi="宋体"/>
        </w:rPr>
        <w:t>。</w:t>
      </w:r>
    </w:p>
    <w:bookmarkEnd w:id="28"/>
    <w:p>
      <w:pPr>
        <w:pStyle w:val="4"/>
        <w:numPr>
          <w:ilvl w:val="0"/>
          <w:numId w:val="2"/>
        </w:numPr>
        <w:autoSpaceDE w:val="0"/>
        <w:autoSpaceDN w:val="0"/>
        <w:adjustRightInd w:val="0"/>
        <w:spacing w:line="460" w:lineRule="exact"/>
        <w:jc w:val="left"/>
        <w:textAlignment w:val="baseline"/>
        <w:rPr>
          <w:rFonts w:hint="eastAsia" w:hAnsi="宋体"/>
          <w:sz w:val="21"/>
        </w:rPr>
      </w:pPr>
      <w:bookmarkStart w:id="29" w:name="_Toc230598438"/>
      <w:bookmarkStart w:id="30" w:name="_Toc497707672"/>
      <w:bookmarkStart w:id="31" w:name="_Toc491841876"/>
      <w:bookmarkStart w:id="32" w:name="_Toc535299949"/>
      <w:bookmarkStart w:id="33" w:name="_Toc467236726"/>
      <w:bookmarkStart w:id="34" w:name="_Toc476976158"/>
      <w:bookmarkStart w:id="35" w:name="_Toc477838673"/>
      <w:bookmarkStart w:id="36" w:name="_Toc477144266"/>
      <w:bookmarkStart w:id="37" w:name="_Toc501190869"/>
      <w:r>
        <w:rPr>
          <w:rFonts w:hint="eastAsia" w:hAnsi="宋体"/>
          <w:sz w:val="21"/>
        </w:rPr>
        <w:t>采购人</w:t>
      </w:r>
      <w:bookmarkEnd w:id="29"/>
    </w:p>
    <w:p>
      <w:pPr>
        <w:numPr>
          <w:ilvl w:val="1"/>
          <w:numId w:val="2"/>
        </w:numPr>
        <w:spacing w:line="460" w:lineRule="exact"/>
        <w:rPr>
          <w:rFonts w:hint="eastAsia" w:ascii="宋体" w:hAnsi="宋体"/>
          <w:bCs/>
        </w:rPr>
      </w:pPr>
      <w:r>
        <w:rPr>
          <w:rFonts w:hint="eastAsia" w:ascii="宋体" w:hAnsi="宋体"/>
          <w:bCs/>
        </w:rPr>
        <w:t>“采购人” 亦称“用户方”或“买方”系指《</w:t>
      </w:r>
      <w:r>
        <w:rPr>
          <w:rFonts w:hint="eastAsia" w:ascii="宋体" w:hAnsi="宋体"/>
        </w:rPr>
        <w:t>前附表</w:t>
      </w:r>
      <w:r>
        <w:rPr>
          <w:rFonts w:hint="eastAsia" w:ascii="宋体" w:hAnsi="宋体"/>
          <w:bCs/>
        </w:rPr>
        <w:t>》列明的、获得资金的国家机关、企事业单位、团体组织或者其他社会组织。</w:t>
      </w:r>
    </w:p>
    <w:p>
      <w:pPr>
        <w:pStyle w:val="4"/>
        <w:numPr>
          <w:ilvl w:val="0"/>
          <w:numId w:val="2"/>
        </w:numPr>
        <w:autoSpaceDE w:val="0"/>
        <w:autoSpaceDN w:val="0"/>
        <w:adjustRightInd w:val="0"/>
        <w:spacing w:line="460" w:lineRule="exact"/>
        <w:jc w:val="left"/>
        <w:textAlignment w:val="baseline"/>
        <w:rPr>
          <w:rFonts w:hint="eastAsia" w:hAnsi="宋体"/>
          <w:sz w:val="21"/>
        </w:rPr>
      </w:pPr>
      <w:bookmarkStart w:id="38" w:name="_Toc230598439"/>
      <w:r>
        <w:rPr>
          <w:rFonts w:hint="eastAsia" w:hAnsi="宋体"/>
          <w:sz w:val="21"/>
        </w:rPr>
        <w:t>采购代理机构</w:t>
      </w:r>
      <w:bookmarkEnd w:id="38"/>
    </w:p>
    <w:p>
      <w:pPr>
        <w:numPr>
          <w:ilvl w:val="1"/>
          <w:numId w:val="2"/>
        </w:numPr>
        <w:spacing w:line="460" w:lineRule="exact"/>
        <w:rPr>
          <w:rFonts w:hint="eastAsia" w:ascii="宋体" w:hAnsi="宋体"/>
          <w:bCs/>
        </w:rPr>
      </w:pPr>
      <w:r>
        <w:rPr>
          <w:rFonts w:hint="eastAsia" w:ascii="宋体" w:hAnsi="宋体"/>
          <w:bCs/>
        </w:rPr>
        <w:t>采购代理机构，系指依法取得政府采购代理资质、代理政府采购事宜，并且接受采购人委托组织本次询价的招标代理事宜。</w:t>
      </w:r>
    </w:p>
    <w:p>
      <w:pPr>
        <w:pStyle w:val="4"/>
        <w:numPr>
          <w:ilvl w:val="0"/>
          <w:numId w:val="2"/>
        </w:numPr>
        <w:autoSpaceDE w:val="0"/>
        <w:autoSpaceDN w:val="0"/>
        <w:adjustRightInd w:val="0"/>
        <w:spacing w:line="460" w:lineRule="exact"/>
        <w:jc w:val="left"/>
        <w:textAlignment w:val="baseline"/>
        <w:rPr>
          <w:rFonts w:hint="eastAsia" w:hAnsi="宋体"/>
          <w:sz w:val="21"/>
        </w:rPr>
      </w:pPr>
      <w:bookmarkStart w:id="39" w:name="_Toc230598440"/>
      <w:r>
        <w:rPr>
          <w:rFonts w:hint="eastAsia" w:hAnsi="宋体"/>
          <w:sz w:val="21"/>
        </w:rPr>
        <w:t>合格的供应商</w:t>
      </w:r>
      <w:bookmarkEnd w:id="30"/>
      <w:bookmarkEnd w:id="31"/>
      <w:bookmarkEnd w:id="32"/>
      <w:bookmarkEnd w:id="33"/>
      <w:bookmarkEnd w:id="34"/>
      <w:bookmarkEnd w:id="35"/>
      <w:bookmarkEnd w:id="36"/>
      <w:bookmarkEnd w:id="37"/>
      <w:bookmarkEnd w:id="39"/>
    </w:p>
    <w:p>
      <w:pPr>
        <w:numPr>
          <w:ilvl w:val="1"/>
          <w:numId w:val="2"/>
        </w:numPr>
        <w:spacing w:line="460" w:lineRule="exact"/>
        <w:rPr>
          <w:rFonts w:hint="eastAsia" w:ascii="宋体" w:hAnsi="宋体"/>
        </w:rPr>
      </w:pPr>
      <w:r>
        <w:rPr>
          <w:rFonts w:hint="eastAsia" w:ascii="宋体" w:hAnsi="宋体"/>
        </w:rPr>
        <w:t>“供应商”系指向采购人提供货物、工程、服务的法人、其它组织或者自然人。</w:t>
      </w:r>
      <w:bookmarkStart w:id="40" w:name="OLE_LINK1"/>
    </w:p>
    <w:p>
      <w:pPr>
        <w:numPr>
          <w:ilvl w:val="1"/>
          <w:numId w:val="2"/>
        </w:numPr>
        <w:spacing w:line="460" w:lineRule="exact"/>
        <w:rPr>
          <w:rFonts w:hint="eastAsia" w:ascii="宋体" w:hAnsi="宋体"/>
        </w:rPr>
      </w:pPr>
      <w:r>
        <w:rPr>
          <w:rFonts w:hint="eastAsia" w:ascii="宋体" w:hAnsi="宋体"/>
        </w:rPr>
        <w:t>凡是来自中华人民共和国境内，且符合询价文件《询价</w:t>
      </w:r>
      <w:r>
        <w:rPr>
          <w:rFonts w:hint="eastAsia" w:ascii="宋体" w:hAnsi="宋体"/>
          <w:lang w:eastAsia="zh-CN"/>
        </w:rPr>
        <w:t>采购公告</w:t>
      </w:r>
      <w:r>
        <w:rPr>
          <w:rFonts w:hint="eastAsia" w:ascii="宋体" w:hAnsi="宋体"/>
        </w:rPr>
        <w:t>》中的资格要求（准入条件）的制造商、代理商或经销商均为合格的</w:t>
      </w:r>
      <w:r>
        <w:rPr>
          <w:rFonts w:hint="eastAsia" w:ascii="宋体" w:hAnsi="宋体"/>
          <w:bCs/>
        </w:rPr>
        <w:t>供应商</w:t>
      </w:r>
      <w:r>
        <w:rPr>
          <w:rFonts w:hint="eastAsia" w:ascii="宋体" w:hAnsi="宋体"/>
        </w:rPr>
        <w:t>。除《询价</w:t>
      </w:r>
      <w:r>
        <w:rPr>
          <w:rFonts w:hint="eastAsia" w:ascii="宋体" w:hAnsi="宋体"/>
          <w:lang w:eastAsia="zh-CN"/>
        </w:rPr>
        <w:t>采购公告</w:t>
      </w:r>
      <w:r>
        <w:rPr>
          <w:rFonts w:hint="eastAsia" w:ascii="宋体" w:hAnsi="宋体"/>
        </w:rPr>
        <w:t>》及本文件另有规定，外国供应商不得参与我国政府采购货物、服务、工程的报价活动，但法律、行政法规规定外国供应商可以参加报价活动的除外。</w:t>
      </w:r>
    </w:p>
    <w:p>
      <w:pPr>
        <w:numPr>
          <w:ilvl w:val="1"/>
          <w:numId w:val="2"/>
        </w:numPr>
        <w:spacing w:line="460" w:lineRule="exact"/>
        <w:rPr>
          <w:rFonts w:hint="eastAsia" w:ascii="宋体" w:hAnsi="宋体"/>
        </w:rPr>
      </w:pPr>
      <w:r>
        <w:rPr>
          <w:rFonts w:hint="eastAsia" w:ascii="宋体" w:hAnsi="宋体"/>
          <w:bCs/>
        </w:rPr>
        <w:t>供应商必须遵守《中华人民共和国政府采购法》等有关法律、法规、规章制度、条例及询价文件的规定。</w:t>
      </w:r>
    </w:p>
    <w:bookmarkEnd w:id="40"/>
    <w:p>
      <w:pPr>
        <w:pStyle w:val="4"/>
        <w:numPr>
          <w:ilvl w:val="0"/>
          <w:numId w:val="2"/>
        </w:numPr>
        <w:autoSpaceDE w:val="0"/>
        <w:autoSpaceDN w:val="0"/>
        <w:adjustRightInd w:val="0"/>
        <w:spacing w:line="460" w:lineRule="exact"/>
        <w:jc w:val="left"/>
        <w:textAlignment w:val="baseline"/>
        <w:rPr>
          <w:rFonts w:hint="eastAsia" w:hAnsi="宋体"/>
          <w:sz w:val="21"/>
        </w:rPr>
      </w:pPr>
      <w:bookmarkStart w:id="41" w:name="_Toc477838674"/>
      <w:bookmarkStart w:id="42" w:name="_Toc491841877"/>
      <w:bookmarkStart w:id="43" w:name="_Toc497707673"/>
      <w:bookmarkStart w:id="44" w:name="_Toc501190870"/>
      <w:bookmarkStart w:id="45" w:name="_Toc476976159"/>
      <w:bookmarkStart w:id="46" w:name="_Toc477144267"/>
      <w:bookmarkStart w:id="47" w:name="_Toc230598441"/>
      <w:bookmarkStart w:id="48" w:name="_Toc535299950"/>
      <w:bookmarkStart w:id="49" w:name="_Toc467236727"/>
      <w:r>
        <w:rPr>
          <w:rFonts w:hint="eastAsia" w:hAnsi="宋体"/>
          <w:sz w:val="21"/>
        </w:rPr>
        <w:t>合格的货物、工程和服务</w:t>
      </w:r>
      <w:bookmarkEnd w:id="41"/>
      <w:bookmarkEnd w:id="42"/>
      <w:bookmarkEnd w:id="43"/>
      <w:bookmarkEnd w:id="44"/>
      <w:bookmarkEnd w:id="45"/>
      <w:bookmarkEnd w:id="46"/>
      <w:bookmarkEnd w:id="47"/>
      <w:bookmarkEnd w:id="48"/>
      <w:bookmarkEnd w:id="49"/>
    </w:p>
    <w:p>
      <w:pPr>
        <w:numPr>
          <w:ilvl w:val="1"/>
          <w:numId w:val="2"/>
        </w:numPr>
        <w:spacing w:line="460" w:lineRule="exact"/>
        <w:rPr>
          <w:rFonts w:hint="eastAsia" w:ascii="宋体" w:hAnsi="宋体"/>
        </w:rPr>
      </w:pPr>
      <w:r>
        <w:rPr>
          <w:rFonts w:hint="eastAsia" w:ascii="宋体" w:hAnsi="宋体"/>
        </w:rPr>
        <w:t>“货物”系指供应商按询价文件规定，须向采购人提供的各种形态和种类的物品，包括原材料、燃料、设备、产品等。</w:t>
      </w:r>
    </w:p>
    <w:p>
      <w:pPr>
        <w:spacing w:line="460" w:lineRule="exact"/>
        <w:ind w:left="1436" w:hanging="535"/>
        <w:rPr>
          <w:rFonts w:hint="eastAsia" w:ascii="宋体" w:hAnsi="宋体"/>
        </w:rPr>
      </w:pPr>
      <w:r>
        <w:rPr>
          <w:rFonts w:hint="eastAsia" w:ascii="宋体" w:hAnsi="宋体"/>
        </w:rPr>
        <w:t>（1）供应商必须按询价文件及合同的要求，准时提供货物及其他材料并负责所供货物、材料的包装、运输及保险。</w:t>
      </w:r>
    </w:p>
    <w:p>
      <w:pPr>
        <w:numPr>
          <w:ilvl w:val="1"/>
          <w:numId w:val="2"/>
        </w:numPr>
        <w:spacing w:line="460" w:lineRule="exact"/>
        <w:rPr>
          <w:rFonts w:hint="eastAsia" w:ascii="宋体" w:hAnsi="宋体"/>
        </w:rPr>
      </w:pPr>
      <w:r>
        <w:rPr>
          <w:rFonts w:hint="eastAsia" w:ascii="宋体" w:hAnsi="宋体"/>
        </w:rPr>
        <w:t>“服务”系指包括但不限于劳务、技术、咨询、物业管理、金融保险、印刷、汽车维修等项目。</w:t>
      </w:r>
    </w:p>
    <w:p>
      <w:pPr>
        <w:numPr>
          <w:ilvl w:val="1"/>
          <w:numId w:val="2"/>
        </w:numPr>
        <w:spacing w:line="460" w:lineRule="exact"/>
        <w:rPr>
          <w:rFonts w:hint="eastAsia" w:ascii="宋体" w:hAnsi="宋体"/>
          <w:bCs/>
        </w:rPr>
      </w:pPr>
      <w:r>
        <w:rPr>
          <w:rFonts w:hint="eastAsia" w:ascii="宋体"/>
          <w:bCs/>
          <w:color w:val="000000"/>
        </w:rPr>
        <w:t>供应商提供所有货物必须是全新的、未使用过的货物。</w:t>
      </w:r>
    </w:p>
    <w:p>
      <w:pPr>
        <w:numPr>
          <w:ilvl w:val="1"/>
          <w:numId w:val="2"/>
        </w:numPr>
        <w:spacing w:line="460" w:lineRule="exact"/>
        <w:rPr>
          <w:rFonts w:hint="eastAsia" w:ascii="宋体" w:hAnsi="宋体"/>
        </w:rPr>
      </w:pPr>
      <w:r>
        <w:rPr>
          <w:rFonts w:hint="eastAsia" w:ascii="宋体" w:hAnsi="宋体"/>
          <w:bCs/>
        </w:rPr>
        <w:t>国产的货物及其有关服务必须符合中华人民共和国的设计和制造生产或行业标准。</w:t>
      </w:r>
    </w:p>
    <w:p>
      <w:pPr>
        <w:numPr>
          <w:ilvl w:val="1"/>
          <w:numId w:val="2"/>
        </w:numPr>
        <w:spacing w:line="460" w:lineRule="exact"/>
        <w:rPr>
          <w:rFonts w:hint="eastAsia" w:ascii="宋体" w:hAnsi="宋体"/>
        </w:rPr>
      </w:pPr>
      <w:r>
        <w:rPr>
          <w:rFonts w:hint="eastAsia" w:ascii="宋体" w:hAnsi="宋体"/>
        </w:rPr>
        <w:t>供应商应保证，采购人在中华人民共和国使用该货物或货物的任何一部分时，免受第三方提出的侵犯其专利权、商标权、著作权或其它知识产权的起诉。</w:t>
      </w:r>
    </w:p>
    <w:p>
      <w:pPr>
        <w:pStyle w:val="4"/>
        <w:numPr>
          <w:ilvl w:val="0"/>
          <w:numId w:val="2"/>
        </w:numPr>
        <w:autoSpaceDE w:val="0"/>
        <w:autoSpaceDN w:val="0"/>
        <w:adjustRightInd w:val="0"/>
        <w:spacing w:line="460" w:lineRule="exact"/>
        <w:jc w:val="left"/>
        <w:textAlignment w:val="baseline"/>
        <w:rPr>
          <w:rFonts w:hAnsi="宋体"/>
          <w:sz w:val="21"/>
        </w:rPr>
      </w:pPr>
      <w:bookmarkStart w:id="50" w:name="_Toc491841878"/>
      <w:bookmarkStart w:id="51" w:name="_Toc458262603"/>
      <w:bookmarkStart w:id="52" w:name="_Toc501190871"/>
      <w:bookmarkStart w:id="53" w:name="_Toc535299951"/>
      <w:bookmarkStart w:id="54" w:name="_Toc477144268"/>
      <w:bookmarkStart w:id="55" w:name="_Toc497707674"/>
      <w:bookmarkStart w:id="56" w:name="_Toc230598442"/>
      <w:bookmarkStart w:id="57" w:name="_Toc477838675"/>
      <w:bookmarkStart w:id="58" w:name="_Toc476976160"/>
      <w:bookmarkStart w:id="59" w:name="_Toc467236728"/>
      <w:r>
        <w:rPr>
          <w:rFonts w:hint="eastAsia" w:hAnsi="宋体"/>
          <w:sz w:val="21"/>
        </w:rPr>
        <w:t>报价费用</w:t>
      </w:r>
      <w:bookmarkEnd w:id="50"/>
      <w:bookmarkEnd w:id="51"/>
      <w:bookmarkEnd w:id="52"/>
      <w:bookmarkEnd w:id="53"/>
      <w:bookmarkEnd w:id="54"/>
      <w:bookmarkEnd w:id="55"/>
      <w:bookmarkEnd w:id="56"/>
      <w:bookmarkEnd w:id="57"/>
      <w:bookmarkEnd w:id="58"/>
      <w:bookmarkEnd w:id="59"/>
    </w:p>
    <w:p>
      <w:pPr>
        <w:numPr>
          <w:ilvl w:val="1"/>
          <w:numId w:val="2"/>
        </w:numPr>
        <w:spacing w:line="460" w:lineRule="exact"/>
        <w:rPr>
          <w:rFonts w:hint="eastAsia" w:ascii="宋体" w:hAnsi="宋体"/>
        </w:rPr>
      </w:pPr>
      <w:r>
        <w:rPr>
          <w:rFonts w:hint="eastAsia" w:ascii="宋体" w:hAnsi="宋体"/>
        </w:rPr>
        <w:t>供应商应承担所有与准备和参加招标相关事宜。不论询价的结果如何，采购人和采购代理机构均无义务和责任承担这些费用。</w:t>
      </w:r>
    </w:p>
    <w:p>
      <w:pPr>
        <w:pStyle w:val="3"/>
        <w:spacing w:line="460" w:lineRule="exact"/>
        <w:rPr>
          <w:rFonts w:ascii="宋体" w:hAnsi="宋体" w:eastAsia="宋体"/>
          <w:sz w:val="24"/>
          <w:szCs w:val="24"/>
        </w:rPr>
      </w:pPr>
      <w:bookmarkStart w:id="60" w:name="_Toc535299952"/>
      <w:bookmarkStart w:id="61" w:name="_Toc458262604"/>
      <w:bookmarkStart w:id="62" w:name="_Toc477838676"/>
      <w:bookmarkStart w:id="63" w:name="_Toc467236729"/>
      <w:bookmarkStart w:id="64" w:name="_Toc454701371"/>
      <w:bookmarkStart w:id="65" w:name="_Toc491841879"/>
      <w:bookmarkStart w:id="66" w:name="_Toc230598443"/>
      <w:bookmarkStart w:id="67" w:name="_Toc497707675"/>
      <w:bookmarkStart w:id="68" w:name="_Toc476976161"/>
      <w:bookmarkStart w:id="69" w:name="_Toc477144269"/>
      <w:bookmarkStart w:id="70" w:name="_Toc501190872"/>
      <w:r>
        <w:rPr>
          <w:rFonts w:hint="eastAsia" w:ascii="宋体" w:hAnsi="宋体" w:eastAsia="宋体"/>
          <w:sz w:val="24"/>
          <w:szCs w:val="24"/>
        </w:rPr>
        <w:t>二、询价文件说明</w:t>
      </w:r>
      <w:bookmarkEnd w:id="60"/>
      <w:bookmarkEnd w:id="61"/>
      <w:bookmarkEnd w:id="62"/>
      <w:bookmarkEnd w:id="63"/>
      <w:bookmarkEnd w:id="64"/>
      <w:bookmarkEnd w:id="65"/>
      <w:bookmarkEnd w:id="66"/>
      <w:bookmarkEnd w:id="67"/>
      <w:bookmarkEnd w:id="68"/>
      <w:bookmarkEnd w:id="69"/>
      <w:bookmarkEnd w:id="70"/>
    </w:p>
    <w:p>
      <w:pPr>
        <w:pStyle w:val="4"/>
        <w:numPr>
          <w:ilvl w:val="0"/>
          <w:numId w:val="2"/>
        </w:numPr>
        <w:autoSpaceDE w:val="0"/>
        <w:autoSpaceDN w:val="0"/>
        <w:adjustRightInd w:val="0"/>
        <w:spacing w:line="460" w:lineRule="exact"/>
        <w:jc w:val="left"/>
        <w:textAlignment w:val="baseline"/>
        <w:rPr>
          <w:rFonts w:hAnsi="宋体"/>
          <w:sz w:val="21"/>
        </w:rPr>
      </w:pPr>
      <w:bookmarkStart w:id="71" w:name="_Toc454701372"/>
      <w:bookmarkStart w:id="72" w:name="_Toc458262605"/>
      <w:bookmarkStart w:id="73" w:name="_Toc497707676"/>
      <w:bookmarkStart w:id="74" w:name="_Toc491841880"/>
      <w:bookmarkStart w:id="75" w:name="_Toc477838677"/>
      <w:bookmarkStart w:id="76" w:name="_Toc467236730"/>
      <w:bookmarkStart w:id="77" w:name="_Toc477144270"/>
      <w:bookmarkStart w:id="78" w:name="_Toc501190873"/>
      <w:bookmarkStart w:id="79" w:name="_Toc476976162"/>
      <w:bookmarkStart w:id="80" w:name="_Toc230598444"/>
      <w:bookmarkStart w:id="81" w:name="_Toc535299953"/>
      <w:r>
        <w:rPr>
          <w:rFonts w:hint="eastAsia" w:hAnsi="宋体"/>
          <w:sz w:val="21"/>
        </w:rPr>
        <w:t>询价文件构成</w:t>
      </w:r>
      <w:bookmarkEnd w:id="71"/>
      <w:bookmarkEnd w:id="72"/>
      <w:bookmarkEnd w:id="73"/>
      <w:bookmarkEnd w:id="74"/>
      <w:bookmarkEnd w:id="75"/>
      <w:bookmarkEnd w:id="76"/>
      <w:bookmarkEnd w:id="77"/>
      <w:bookmarkEnd w:id="78"/>
      <w:bookmarkEnd w:id="79"/>
      <w:bookmarkEnd w:id="80"/>
      <w:bookmarkEnd w:id="81"/>
    </w:p>
    <w:p>
      <w:pPr>
        <w:numPr>
          <w:ilvl w:val="1"/>
          <w:numId w:val="2"/>
        </w:numPr>
        <w:spacing w:line="460" w:lineRule="exact"/>
        <w:rPr>
          <w:rFonts w:hint="eastAsia" w:ascii="宋体" w:hAnsi="宋体"/>
        </w:rPr>
      </w:pPr>
      <w:r>
        <w:rPr>
          <w:rFonts w:hint="eastAsia" w:ascii="宋体" w:hAnsi="宋体"/>
        </w:rPr>
        <w:t>询价文件用以阐明所需货物、工程及服务的询价以及询价程序和相应的合同条款参考范本。询价文件由下述</w:t>
      </w:r>
      <w:r>
        <w:rPr>
          <w:rFonts w:hint="eastAsia" w:ascii="宋体" w:hAnsi="宋体"/>
          <w:lang w:val="en-US" w:eastAsia="zh-CN"/>
        </w:rPr>
        <w:t>四</w:t>
      </w:r>
      <w:r>
        <w:rPr>
          <w:rFonts w:hint="eastAsia" w:ascii="宋体" w:hAnsi="宋体"/>
        </w:rPr>
        <w:t>个部分组成：</w:t>
      </w:r>
    </w:p>
    <w:p>
      <w:pPr>
        <w:spacing w:line="460" w:lineRule="exact"/>
        <w:ind w:left="424" w:leftChars="202" w:firstLine="630" w:firstLineChars="300"/>
        <w:rPr>
          <w:rFonts w:hint="eastAsia" w:ascii="宋体" w:hAnsi="宋体"/>
        </w:rPr>
      </w:pPr>
      <w:r>
        <w:rPr>
          <w:rFonts w:hint="eastAsia" w:ascii="宋体" w:hAnsi="宋体"/>
        </w:rPr>
        <w:t>第</w:t>
      </w:r>
      <w:r>
        <w:rPr>
          <w:rFonts w:hint="eastAsia" w:ascii="宋体" w:hAnsi="宋体"/>
          <w:lang w:val="en-US" w:eastAsia="zh-CN"/>
        </w:rPr>
        <w:t>一</w:t>
      </w:r>
      <w:r>
        <w:rPr>
          <w:rFonts w:hint="eastAsia" w:ascii="宋体" w:hAnsi="宋体"/>
        </w:rPr>
        <w:t>章 供应商须知</w:t>
      </w:r>
    </w:p>
    <w:p>
      <w:pPr>
        <w:spacing w:line="460" w:lineRule="exact"/>
        <w:ind w:left="1054"/>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章 合同格式</w:t>
      </w:r>
    </w:p>
    <w:p>
      <w:pPr>
        <w:spacing w:line="460" w:lineRule="exact"/>
        <w:ind w:firstLine="1050" w:firstLineChars="500"/>
        <w:rPr>
          <w:rFonts w:hint="eastAsia" w:ascii="宋体" w:hAnsi="宋体"/>
        </w:rPr>
      </w:pPr>
      <w:r>
        <w:rPr>
          <w:rFonts w:hint="eastAsia" w:ascii="宋体" w:hAnsi="宋体"/>
        </w:rPr>
        <w:t>第</w:t>
      </w:r>
      <w:r>
        <w:rPr>
          <w:rFonts w:hint="eastAsia" w:ascii="宋体" w:hAnsi="宋体"/>
          <w:lang w:val="en-US" w:eastAsia="zh-CN"/>
        </w:rPr>
        <w:t>三</w:t>
      </w:r>
      <w:r>
        <w:rPr>
          <w:rFonts w:hint="eastAsia" w:ascii="宋体" w:hAnsi="宋体"/>
        </w:rPr>
        <w:t>章 采购内容及要求</w:t>
      </w:r>
    </w:p>
    <w:p>
      <w:pPr>
        <w:spacing w:line="460" w:lineRule="exact"/>
        <w:ind w:left="424" w:leftChars="202" w:firstLine="630" w:firstLineChars="300"/>
        <w:rPr>
          <w:rFonts w:hint="eastAsia" w:ascii="宋体" w:hAnsi="宋体"/>
        </w:rPr>
      </w:pPr>
      <w:r>
        <w:rPr>
          <w:rFonts w:hint="eastAsia" w:ascii="宋体" w:hAnsi="宋体"/>
        </w:rPr>
        <w:t>第</w:t>
      </w:r>
      <w:r>
        <w:rPr>
          <w:rFonts w:hint="eastAsia" w:ascii="宋体" w:hAnsi="宋体"/>
          <w:lang w:val="en-US" w:eastAsia="zh-CN"/>
        </w:rPr>
        <w:t>四</w:t>
      </w:r>
      <w:r>
        <w:rPr>
          <w:rFonts w:hint="eastAsia" w:ascii="宋体" w:hAnsi="宋体"/>
        </w:rPr>
        <w:t>章 报价文件格式</w:t>
      </w:r>
    </w:p>
    <w:p>
      <w:pPr>
        <w:numPr>
          <w:ilvl w:val="1"/>
          <w:numId w:val="2"/>
        </w:numPr>
        <w:spacing w:line="460" w:lineRule="exact"/>
        <w:rPr>
          <w:rFonts w:hint="eastAsia" w:ascii="宋体" w:hAnsi="宋体"/>
        </w:rPr>
      </w:pPr>
      <w:r>
        <w:rPr>
          <w:rFonts w:hint="eastAsia" w:ascii="宋体" w:hAnsi="宋体"/>
        </w:rPr>
        <w:t>供应商应认真阅读询价文件中所有的须知、格式、条款、技术规格和其它资料。如果供应商没有按照询价文件要求提交全部资料，或者提交的资料没有对询价文件在各方面都做出实质性响应而导致其报价被拒绝，该责任由供应商承担。</w:t>
      </w:r>
    </w:p>
    <w:p>
      <w:pPr>
        <w:numPr>
          <w:ilvl w:val="1"/>
          <w:numId w:val="2"/>
        </w:numPr>
        <w:spacing w:line="460" w:lineRule="exact"/>
        <w:rPr>
          <w:rFonts w:hint="eastAsia" w:ascii="宋体" w:hAnsi="宋体"/>
        </w:rPr>
      </w:pPr>
      <w:r>
        <w:rPr>
          <w:rFonts w:hint="eastAsia" w:ascii="宋体" w:hAnsi="宋体"/>
          <w:szCs w:val="21"/>
        </w:rPr>
        <w:t>供应商购买了询价文件后,在递交报价文件截止日一个工作日前未提出正式书面质疑的，视为完全接受本询价文件的所有要约条件，在上述规定的时间之后对询价文件提出的质疑，采购代理机构有权不予受理。</w:t>
      </w:r>
    </w:p>
    <w:p>
      <w:pPr>
        <w:pStyle w:val="4"/>
        <w:numPr>
          <w:ilvl w:val="0"/>
          <w:numId w:val="2"/>
        </w:numPr>
        <w:autoSpaceDE w:val="0"/>
        <w:autoSpaceDN w:val="0"/>
        <w:adjustRightInd w:val="0"/>
        <w:spacing w:line="460" w:lineRule="exact"/>
        <w:jc w:val="left"/>
        <w:textAlignment w:val="baseline"/>
        <w:rPr>
          <w:rFonts w:hint="eastAsia" w:hAnsi="宋体"/>
          <w:sz w:val="21"/>
        </w:rPr>
      </w:pPr>
      <w:bookmarkStart w:id="82" w:name="_Toc477144271"/>
      <w:bookmarkStart w:id="83" w:name="_Toc476976163"/>
      <w:bookmarkStart w:id="84" w:name="_Toc230598445"/>
      <w:bookmarkStart w:id="85" w:name="_Toc454701373"/>
      <w:bookmarkStart w:id="86" w:name="_Toc535299954"/>
      <w:bookmarkStart w:id="87" w:name="_Toc477838678"/>
      <w:bookmarkStart w:id="88" w:name="_Toc467236731"/>
      <w:bookmarkStart w:id="89" w:name="_Toc501190874"/>
      <w:bookmarkStart w:id="90" w:name="_Toc458262606"/>
      <w:bookmarkStart w:id="91" w:name="_Toc491841881"/>
      <w:bookmarkStart w:id="92" w:name="_Toc497707677"/>
      <w:r>
        <w:rPr>
          <w:rFonts w:hint="eastAsia" w:hAnsi="宋体"/>
          <w:sz w:val="21"/>
        </w:rPr>
        <w:t>询价文件的澄清</w:t>
      </w:r>
      <w:bookmarkEnd w:id="82"/>
      <w:bookmarkEnd w:id="83"/>
      <w:bookmarkEnd w:id="84"/>
      <w:bookmarkEnd w:id="85"/>
      <w:bookmarkEnd w:id="86"/>
      <w:bookmarkEnd w:id="87"/>
      <w:bookmarkEnd w:id="88"/>
      <w:bookmarkEnd w:id="89"/>
      <w:bookmarkEnd w:id="90"/>
      <w:bookmarkEnd w:id="91"/>
      <w:bookmarkEnd w:id="92"/>
    </w:p>
    <w:p>
      <w:pPr>
        <w:numPr>
          <w:ilvl w:val="1"/>
          <w:numId w:val="2"/>
        </w:numPr>
        <w:spacing w:line="460" w:lineRule="exact"/>
        <w:rPr>
          <w:rFonts w:hint="eastAsia" w:ascii="宋体" w:hAnsi="宋体"/>
        </w:rPr>
      </w:pPr>
      <w:r>
        <w:rPr>
          <w:rFonts w:hint="eastAsia" w:ascii="宋体" w:hAnsi="宋体"/>
        </w:rPr>
        <w:t>询价文件的澄清是指采购人或采购代理机构对询价文件中的遗漏、词义表述不清或对比较复杂的事项进行说明，回答供应商提出的各种问题。</w:t>
      </w:r>
    </w:p>
    <w:p>
      <w:pPr>
        <w:numPr>
          <w:ilvl w:val="1"/>
          <w:numId w:val="2"/>
        </w:numPr>
        <w:spacing w:line="460" w:lineRule="exact"/>
        <w:rPr>
          <w:rFonts w:hint="eastAsia" w:ascii="宋体" w:hAnsi="宋体"/>
        </w:rPr>
      </w:pPr>
      <w:r>
        <w:rPr>
          <w:rFonts w:hint="eastAsia" w:ascii="宋体" w:hAnsi="宋体"/>
        </w:rPr>
        <w:t>供应商对询价文件如有疑问，可要求澄清，并以书面形式（包括信函、电报或传真，下同）通知到采购代理机构。采购代理机构根据情况采用适当的方式予以澄清，并在其必要时将不标明问题来源的书面答复发给已购买询价文件的每一供应商（答复中不包括问题的来源）。供应商在收到上述答复后，应立即向采购代理机构回函确认。该答复作为询价文件的一部分，对供应商有约束力。</w:t>
      </w:r>
    </w:p>
    <w:p>
      <w:pPr>
        <w:pStyle w:val="4"/>
        <w:numPr>
          <w:ilvl w:val="0"/>
          <w:numId w:val="2"/>
        </w:numPr>
        <w:autoSpaceDE w:val="0"/>
        <w:autoSpaceDN w:val="0"/>
        <w:adjustRightInd w:val="0"/>
        <w:spacing w:line="460" w:lineRule="exact"/>
        <w:jc w:val="left"/>
        <w:textAlignment w:val="baseline"/>
        <w:rPr>
          <w:rFonts w:hAnsi="宋体"/>
          <w:color w:val="000000"/>
          <w:sz w:val="21"/>
        </w:rPr>
      </w:pPr>
      <w:bookmarkStart w:id="93" w:name="_Toc479991574"/>
      <w:bookmarkStart w:id="94" w:name="_Toc490297699"/>
      <w:bookmarkStart w:id="95" w:name="_Toc480021045"/>
      <w:bookmarkStart w:id="96" w:name="_Toc468606021"/>
      <w:bookmarkStart w:id="97" w:name="_Toc467987815"/>
      <w:bookmarkStart w:id="98" w:name="_Toc467236732"/>
      <w:bookmarkStart w:id="99" w:name="_Toc480171871"/>
      <w:bookmarkStart w:id="100" w:name="_Toc458262607"/>
      <w:bookmarkStart w:id="101" w:name="_Toc491841882"/>
      <w:bookmarkStart w:id="102" w:name="_Toc480010700"/>
      <w:bookmarkStart w:id="103" w:name="_Toc480020249"/>
      <w:bookmarkStart w:id="104" w:name="_Toc481728644"/>
      <w:bookmarkStart w:id="105" w:name="_Toc535299955"/>
      <w:bookmarkStart w:id="106" w:name="_Toc454701374"/>
      <w:bookmarkStart w:id="107" w:name="_Toc497707678"/>
      <w:bookmarkStart w:id="108" w:name="_Toc468157528"/>
      <w:bookmarkStart w:id="109" w:name="_Toc501190875"/>
      <w:bookmarkStart w:id="110" w:name="_Toc481125394"/>
      <w:bookmarkStart w:id="111" w:name="_Toc230598446"/>
      <w:r>
        <w:rPr>
          <w:rFonts w:hint="eastAsia" w:hAnsi="宋体"/>
          <w:color w:val="000000"/>
          <w:sz w:val="21"/>
        </w:rPr>
        <w:t>询价文件的修改</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numPr>
          <w:ilvl w:val="1"/>
          <w:numId w:val="2"/>
        </w:numPr>
        <w:spacing w:line="460" w:lineRule="exact"/>
        <w:rPr>
          <w:rFonts w:hint="eastAsia" w:ascii="宋体" w:hAnsi="宋体"/>
          <w:color w:val="000000"/>
        </w:rPr>
      </w:pPr>
      <w:r>
        <w:rPr>
          <w:rFonts w:hint="eastAsia" w:ascii="宋体" w:hAnsi="宋体"/>
          <w:color w:val="000000"/>
        </w:rPr>
        <w:t>询价文件的修改是指采购人或采购代理机构对询价文件中出现的错误进行修订。</w:t>
      </w:r>
    </w:p>
    <w:p>
      <w:pPr>
        <w:numPr>
          <w:ilvl w:val="1"/>
          <w:numId w:val="2"/>
        </w:numPr>
        <w:spacing w:line="460" w:lineRule="exact"/>
        <w:rPr>
          <w:rFonts w:hint="eastAsia" w:ascii="宋体" w:hAnsi="宋体"/>
        </w:rPr>
      </w:pPr>
      <w:r>
        <w:rPr>
          <w:rFonts w:hint="eastAsia" w:ascii="宋体" w:hAnsi="宋体"/>
        </w:rPr>
        <w:t>采购人或采购代理机构可以在报价文件投递截止时间之前的任何时候对询价文件进行修改。由于询价文件的修改可适当延长报价文件投递截止时间。</w:t>
      </w:r>
    </w:p>
    <w:p>
      <w:pPr>
        <w:numPr>
          <w:ilvl w:val="1"/>
          <w:numId w:val="2"/>
        </w:numPr>
        <w:spacing w:line="460" w:lineRule="exact"/>
        <w:rPr>
          <w:rFonts w:hint="eastAsia" w:ascii="宋体" w:hAnsi="宋体"/>
          <w:color w:val="000000"/>
        </w:rPr>
      </w:pPr>
      <w:r>
        <w:rPr>
          <w:rFonts w:hint="eastAsia" w:ascii="宋体" w:hAnsi="宋体"/>
          <w:color w:val="000000"/>
        </w:rPr>
        <w:t>询价文件的修改将以书面形式发给所有询价文件收受人，该修改书将构成询价文件的一部分，对供应商有约束力。供应商在收到通知后应立即以电报、传真或其他书面形式予以确认。</w:t>
      </w:r>
    </w:p>
    <w:p>
      <w:pPr>
        <w:pStyle w:val="4"/>
        <w:numPr>
          <w:ilvl w:val="0"/>
          <w:numId w:val="2"/>
        </w:numPr>
        <w:autoSpaceDE w:val="0"/>
        <w:autoSpaceDN w:val="0"/>
        <w:adjustRightInd w:val="0"/>
        <w:spacing w:line="460" w:lineRule="exact"/>
        <w:jc w:val="left"/>
        <w:textAlignment w:val="baseline"/>
        <w:rPr>
          <w:rFonts w:hint="eastAsia" w:hAnsi="宋体"/>
          <w:color w:val="000000"/>
          <w:sz w:val="21"/>
        </w:rPr>
      </w:pPr>
      <w:bookmarkStart w:id="112" w:name="_Toc230598447"/>
      <w:r>
        <w:rPr>
          <w:rFonts w:hint="eastAsia" w:hAnsi="宋体"/>
          <w:color w:val="000000"/>
          <w:sz w:val="21"/>
        </w:rPr>
        <w:t>询价公告时间及采购方式的更改</w:t>
      </w:r>
      <w:bookmarkEnd w:id="112"/>
    </w:p>
    <w:p>
      <w:pPr>
        <w:numPr>
          <w:ilvl w:val="1"/>
          <w:numId w:val="2"/>
        </w:numPr>
        <w:spacing w:line="460" w:lineRule="exact"/>
        <w:rPr>
          <w:rFonts w:hint="eastAsia" w:ascii="宋体" w:hAnsi="宋体"/>
        </w:rPr>
      </w:pPr>
      <w:r>
        <w:rPr>
          <w:rFonts w:hint="eastAsia" w:ascii="宋体" w:hAnsi="宋体"/>
        </w:rPr>
        <w:t>询价公告时间根据询价项目及采购人的实际情况进行确定，但自询价文件发售之日起至递交报价文件截止时间止原则上不得少于3个工作日。</w:t>
      </w:r>
    </w:p>
    <w:p>
      <w:pPr>
        <w:numPr>
          <w:ilvl w:val="1"/>
          <w:numId w:val="2"/>
        </w:numPr>
        <w:spacing w:line="460" w:lineRule="exact"/>
        <w:rPr>
          <w:rFonts w:hint="eastAsia" w:ascii="宋体" w:hAnsi="宋体"/>
        </w:rPr>
      </w:pPr>
      <w:r>
        <w:rPr>
          <w:rFonts w:hint="eastAsia"/>
        </w:rPr>
        <w:t>询价公告发布后，参加询价的供应商不足三家或参加报价且对询价文件作出实质性响应的供应商不足三家，则依据《中华人民共和国政府采购法》等有关法律、法规、规章</w:t>
      </w:r>
      <w:bookmarkStart w:id="113" w:name="_Toc497707679"/>
      <w:bookmarkStart w:id="114" w:name="_Toc230598448"/>
      <w:bookmarkStart w:id="115" w:name="_Toc501190876"/>
      <w:bookmarkStart w:id="116" w:name="_Toc491841883"/>
      <w:bookmarkStart w:id="117" w:name="_Toc535299956"/>
      <w:r>
        <w:rPr>
          <w:rFonts w:hint="eastAsia"/>
        </w:rPr>
        <w:t>制度的规定重新组织询价，或向采购监督管理部门申请其它采购方式实施。</w:t>
      </w:r>
    </w:p>
    <w:p>
      <w:pPr>
        <w:pStyle w:val="3"/>
        <w:spacing w:line="460" w:lineRule="exact"/>
        <w:rPr>
          <w:rFonts w:ascii="宋体" w:hAnsi="宋体" w:eastAsia="宋体"/>
          <w:sz w:val="24"/>
          <w:szCs w:val="24"/>
        </w:rPr>
      </w:pPr>
      <w:r>
        <w:rPr>
          <w:rFonts w:hint="eastAsia" w:ascii="宋体" w:hAnsi="宋体" w:eastAsia="宋体"/>
          <w:sz w:val="24"/>
          <w:szCs w:val="24"/>
        </w:rPr>
        <w:t>三、报价文件的编写</w:t>
      </w:r>
      <w:bookmarkEnd w:id="113"/>
      <w:bookmarkEnd w:id="114"/>
      <w:bookmarkEnd w:id="115"/>
      <w:bookmarkEnd w:id="116"/>
      <w:bookmarkEnd w:id="117"/>
    </w:p>
    <w:p>
      <w:pPr>
        <w:pStyle w:val="4"/>
        <w:numPr>
          <w:ilvl w:val="0"/>
          <w:numId w:val="2"/>
        </w:numPr>
        <w:autoSpaceDE w:val="0"/>
        <w:autoSpaceDN w:val="0"/>
        <w:adjustRightInd w:val="0"/>
        <w:spacing w:line="460" w:lineRule="exact"/>
        <w:jc w:val="left"/>
        <w:textAlignment w:val="baseline"/>
        <w:rPr>
          <w:rFonts w:hint="eastAsia" w:hAnsi="宋体"/>
          <w:sz w:val="21"/>
        </w:rPr>
      </w:pPr>
      <w:bookmarkStart w:id="118" w:name="_Toc230598449"/>
      <w:bookmarkStart w:id="119" w:name="_Toc467236734"/>
      <w:bookmarkStart w:id="120" w:name="_Toc454701376"/>
      <w:bookmarkStart w:id="121" w:name="_Toc535299957"/>
      <w:bookmarkStart w:id="122" w:name="_Toc491841884"/>
      <w:bookmarkStart w:id="123" w:name="_Toc458262609"/>
      <w:bookmarkStart w:id="124" w:name="_Toc477838681"/>
      <w:bookmarkStart w:id="125" w:name="_Toc477144274"/>
      <w:bookmarkStart w:id="126" w:name="_Toc501190877"/>
      <w:bookmarkStart w:id="127" w:name="_Toc476976166"/>
      <w:bookmarkStart w:id="128" w:name="_Toc497707680"/>
      <w:r>
        <w:rPr>
          <w:rFonts w:hint="eastAsia" w:hAnsi="宋体"/>
          <w:sz w:val="21"/>
        </w:rPr>
        <w:t>报价的语言</w:t>
      </w:r>
      <w:bookmarkEnd w:id="118"/>
    </w:p>
    <w:p>
      <w:pPr>
        <w:numPr>
          <w:ilvl w:val="1"/>
          <w:numId w:val="2"/>
        </w:numPr>
        <w:spacing w:line="460" w:lineRule="exact"/>
        <w:rPr>
          <w:rFonts w:hint="eastAsia" w:ascii="宋体" w:hAnsi="宋体"/>
        </w:rPr>
      </w:pPr>
      <w:r>
        <w:rPr>
          <w:rFonts w:hint="eastAsia" w:ascii="宋体" w:hAnsi="宋体"/>
        </w:rPr>
        <w:t>供应商提交的报价文件以及供应商与采购代理机构和采购人就有关询价的所有来往函电均应使用中文书写。对于任何非中文的资料，都应提供中文翻译本，在解释报价文件时以翻译本为准。</w:t>
      </w:r>
      <w:bookmarkEnd w:id="119"/>
      <w:bookmarkEnd w:id="120"/>
      <w:bookmarkEnd w:id="121"/>
      <w:bookmarkEnd w:id="122"/>
      <w:bookmarkEnd w:id="123"/>
      <w:bookmarkEnd w:id="124"/>
      <w:bookmarkEnd w:id="125"/>
      <w:bookmarkEnd w:id="126"/>
      <w:bookmarkEnd w:id="127"/>
      <w:bookmarkEnd w:id="128"/>
      <w:bookmarkStart w:id="129" w:name="_Toc467236735"/>
      <w:bookmarkStart w:id="130" w:name="_Toc476976167"/>
      <w:bookmarkStart w:id="131" w:name="_Toc501190878"/>
      <w:bookmarkStart w:id="132" w:name="_Toc477144275"/>
      <w:bookmarkStart w:id="133" w:name="_Toc491841885"/>
      <w:bookmarkStart w:id="134" w:name="_Toc477838682"/>
      <w:bookmarkStart w:id="135" w:name="_Toc458262610"/>
      <w:bookmarkStart w:id="136" w:name="_Toc497707681"/>
      <w:bookmarkStart w:id="137" w:name="_Toc454701377"/>
      <w:bookmarkStart w:id="138" w:name="_Toc535299958"/>
    </w:p>
    <w:p>
      <w:pPr>
        <w:pStyle w:val="4"/>
        <w:numPr>
          <w:ilvl w:val="0"/>
          <w:numId w:val="2"/>
        </w:numPr>
        <w:autoSpaceDE w:val="0"/>
        <w:autoSpaceDN w:val="0"/>
        <w:adjustRightInd w:val="0"/>
        <w:spacing w:line="460" w:lineRule="exact"/>
        <w:jc w:val="left"/>
        <w:textAlignment w:val="baseline"/>
        <w:rPr>
          <w:rFonts w:hAnsi="宋体"/>
          <w:sz w:val="21"/>
        </w:rPr>
      </w:pPr>
      <w:bookmarkStart w:id="139" w:name="_Toc230598450"/>
      <w:r>
        <w:rPr>
          <w:rFonts w:hint="eastAsia" w:hAnsi="宋体"/>
          <w:sz w:val="21"/>
        </w:rPr>
        <w:t>报价文件的组成</w:t>
      </w:r>
      <w:bookmarkEnd w:id="129"/>
      <w:bookmarkEnd w:id="130"/>
      <w:bookmarkEnd w:id="131"/>
      <w:bookmarkEnd w:id="132"/>
      <w:bookmarkEnd w:id="133"/>
      <w:bookmarkEnd w:id="134"/>
      <w:bookmarkEnd w:id="135"/>
      <w:bookmarkEnd w:id="136"/>
      <w:bookmarkEnd w:id="137"/>
      <w:bookmarkEnd w:id="138"/>
      <w:bookmarkEnd w:id="139"/>
    </w:p>
    <w:p>
      <w:pPr>
        <w:numPr>
          <w:ilvl w:val="0"/>
          <w:numId w:val="0"/>
        </w:numPr>
        <w:spacing w:line="460" w:lineRule="exact"/>
        <w:ind w:left="540" w:leftChars="0"/>
        <w:rPr>
          <w:rFonts w:hint="eastAsia"/>
          <w:lang w:eastAsia="zh-CN"/>
        </w:rPr>
      </w:pPr>
      <w:bookmarkStart w:id="140" w:name="_Toc476976168"/>
      <w:bookmarkStart w:id="141" w:name="_Toc454701378"/>
      <w:bookmarkStart w:id="142" w:name="_Toc458262611"/>
      <w:bookmarkStart w:id="143" w:name="_Toc477144276"/>
      <w:bookmarkStart w:id="144" w:name="_Toc467236736"/>
      <w:bookmarkStart w:id="145" w:name="_Toc535299959"/>
      <w:bookmarkStart w:id="146" w:name="_Toc501190879"/>
      <w:bookmarkStart w:id="147" w:name="_Toc491841886"/>
      <w:bookmarkStart w:id="148" w:name="_Toc497707682"/>
      <w:bookmarkStart w:id="149" w:name="_Toc477838683"/>
      <w:r>
        <w:rPr>
          <w:rFonts w:hint="eastAsia"/>
        </w:rPr>
        <w:t>（1）有效</w:t>
      </w:r>
      <w:r>
        <w:rPr>
          <w:rFonts w:hint="eastAsia"/>
          <w:lang w:val="en-US" w:eastAsia="zh-CN"/>
        </w:rPr>
        <w:t>的</w:t>
      </w:r>
      <w:r>
        <w:rPr>
          <w:rFonts w:hint="eastAsia"/>
        </w:rPr>
        <w:t>营业执照（</w:t>
      </w:r>
      <w:r>
        <w:rPr>
          <w:rFonts w:hint="eastAsia"/>
          <w:lang w:eastAsia="zh-CN"/>
        </w:rPr>
        <w:t>须</w:t>
      </w:r>
      <w:r>
        <w:rPr>
          <w:rFonts w:hint="eastAsia"/>
        </w:rPr>
        <w:t>有</w:t>
      </w:r>
      <w:r>
        <w:rPr>
          <w:rFonts w:hint="eastAsia"/>
          <w:lang w:eastAsia="zh-CN"/>
        </w:rPr>
        <w:t>相关</w:t>
      </w:r>
      <w:r>
        <w:rPr>
          <w:rFonts w:hint="eastAsia"/>
        </w:rPr>
        <w:t>的经营范围）复印件</w:t>
      </w:r>
      <w:r>
        <w:rPr>
          <w:rFonts w:hint="eastAsia"/>
          <w:lang w:eastAsia="zh-CN"/>
        </w:rPr>
        <w:t>；</w:t>
      </w:r>
    </w:p>
    <w:p>
      <w:pPr>
        <w:numPr>
          <w:ilvl w:val="0"/>
          <w:numId w:val="0"/>
        </w:numPr>
        <w:spacing w:line="460" w:lineRule="exact"/>
        <w:ind w:left="540" w:leftChars="0"/>
        <w:rPr>
          <w:rFonts w:hint="eastAsia"/>
        </w:rPr>
      </w:pPr>
      <w:r>
        <w:rPr>
          <w:rFonts w:hint="eastAsia"/>
        </w:rPr>
        <w:t>（2）</w:t>
      </w:r>
      <w:r>
        <w:rPr>
          <w:rFonts w:hint="eastAsia"/>
          <w:lang w:eastAsia="zh-CN"/>
        </w:rPr>
        <w:t>法人代表或其委托代理人应</w:t>
      </w:r>
      <w:r>
        <w:rPr>
          <w:rFonts w:hint="eastAsia"/>
          <w:lang w:val="en-US" w:eastAsia="zh-CN"/>
        </w:rPr>
        <w:t>提供</w:t>
      </w:r>
      <w:r>
        <w:rPr>
          <w:rFonts w:hint="eastAsia"/>
          <w:lang w:eastAsia="zh-CN"/>
        </w:rPr>
        <w:t>本人身份证复印件，委托代理人还应</w:t>
      </w:r>
      <w:r>
        <w:rPr>
          <w:rFonts w:hint="eastAsia"/>
          <w:lang w:val="en-US" w:eastAsia="zh-CN"/>
        </w:rPr>
        <w:t>提供</w:t>
      </w:r>
      <w:r>
        <w:rPr>
          <w:rFonts w:hint="eastAsia"/>
          <w:lang w:eastAsia="zh-CN"/>
        </w:rPr>
        <w:t>《法人代表授权委托书》</w:t>
      </w:r>
      <w:r>
        <w:rPr>
          <w:rFonts w:hint="eastAsia"/>
          <w:lang w:val="en-US" w:eastAsia="zh-CN"/>
        </w:rPr>
        <w:t>及授权委托人</w:t>
      </w:r>
      <w:r>
        <w:rPr>
          <w:rFonts w:hint="eastAsia"/>
        </w:rPr>
        <w:t xml:space="preserve">； </w:t>
      </w:r>
    </w:p>
    <w:p>
      <w:pPr>
        <w:numPr>
          <w:ilvl w:val="0"/>
          <w:numId w:val="0"/>
        </w:numPr>
        <w:spacing w:line="460" w:lineRule="exact"/>
        <w:ind w:left="540" w:leftChars="0"/>
        <w:rPr>
          <w:rFonts w:hint="eastAsia"/>
          <w:lang w:val="en-US" w:eastAsia="zh-CN"/>
        </w:rPr>
      </w:pPr>
      <w:r>
        <w:rPr>
          <w:rFonts w:hint="eastAsia"/>
        </w:rPr>
        <w:t>（3）</w:t>
      </w:r>
      <w:r>
        <w:rPr>
          <w:rFonts w:hint="eastAsia"/>
          <w:lang w:val="en-US" w:eastAsia="zh-CN"/>
        </w:rPr>
        <w:t>近三个月完税证明及近三个月社保缴纳明细（含项目相关人员）；</w:t>
      </w:r>
    </w:p>
    <w:p>
      <w:pPr>
        <w:numPr>
          <w:ilvl w:val="0"/>
          <w:numId w:val="0"/>
        </w:numPr>
        <w:spacing w:line="460" w:lineRule="exact"/>
        <w:ind w:left="540" w:leftChars="0"/>
        <w:rPr>
          <w:rFonts w:hint="eastAsia"/>
          <w:lang w:val="en-US" w:eastAsia="zh-CN"/>
        </w:rPr>
      </w:pPr>
      <w:r>
        <w:rPr>
          <w:rFonts w:hint="eastAsia"/>
          <w:lang w:val="en-US" w:eastAsia="zh-CN"/>
        </w:rPr>
        <w:t>（4）2021年</w:t>
      </w:r>
      <w:r>
        <w:rPr>
          <w:rFonts w:hint="eastAsia"/>
        </w:rPr>
        <w:t>的</w:t>
      </w:r>
      <w:r>
        <w:rPr>
          <w:rFonts w:hint="eastAsia"/>
          <w:lang w:val="en-US" w:eastAsia="zh-CN"/>
        </w:rPr>
        <w:t>财务</w:t>
      </w:r>
      <w:r>
        <w:rPr>
          <w:rFonts w:hint="eastAsia"/>
        </w:rPr>
        <w:t>报表</w:t>
      </w:r>
      <w:r>
        <w:rPr>
          <w:rFonts w:hint="eastAsia"/>
          <w:lang w:val="en-US" w:eastAsia="zh-CN"/>
        </w:rPr>
        <w:t>或审计报告；</w:t>
      </w:r>
    </w:p>
    <w:p>
      <w:pPr>
        <w:numPr>
          <w:ilvl w:val="0"/>
          <w:numId w:val="0"/>
        </w:numPr>
        <w:spacing w:line="460" w:lineRule="exact"/>
        <w:ind w:left="540" w:leftChars="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5）“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询价人网上自行打印查询结果的截图加盖投标单位公章且网页打印时间须在报名时间内）</w:t>
      </w:r>
    </w:p>
    <w:p>
      <w:pPr>
        <w:numPr>
          <w:ilvl w:val="0"/>
          <w:numId w:val="0"/>
        </w:numPr>
        <w:spacing w:line="460" w:lineRule="exact"/>
        <w:ind w:left="540" w:leftChars="0"/>
        <w:rPr>
          <w:rFonts w:hint="eastAsia"/>
        </w:rPr>
      </w:pPr>
      <w:r>
        <w:rPr>
          <w:rFonts w:hint="eastAsia"/>
        </w:rPr>
        <w:t>（</w:t>
      </w:r>
      <w:r>
        <w:rPr>
          <w:rFonts w:hint="eastAsia"/>
          <w:lang w:val="en-US" w:eastAsia="zh-CN"/>
        </w:rPr>
        <w:t>6</w:t>
      </w:r>
      <w:r>
        <w:rPr>
          <w:rFonts w:hint="eastAsia"/>
        </w:rPr>
        <w:t>）</w:t>
      </w:r>
      <w:r>
        <w:rPr>
          <w:rFonts w:hint="eastAsia"/>
          <w:lang w:eastAsia="zh-CN"/>
        </w:rPr>
        <w:t>询价</w:t>
      </w:r>
      <w:r>
        <w:rPr>
          <w:rFonts w:hint="eastAsia"/>
        </w:rPr>
        <w:t>人的基本情况介绍；</w:t>
      </w:r>
    </w:p>
    <w:p>
      <w:pPr>
        <w:numPr>
          <w:ilvl w:val="0"/>
          <w:numId w:val="0"/>
        </w:numPr>
        <w:spacing w:line="460" w:lineRule="exact"/>
        <w:ind w:left="540" w:leftChars="0"/>
        <w:rPr>
          <w:rFonts w:hint="eastAsia"/>
        </w:rPr>
      </w:pPr>
      <w:r>
        <w:rPr>
          <w:rFonts w:hint="eastAsia"/>
        </w:rPr>
        <w:t>（</w:t>
      </w:r>
      <w:r>
        <w:rPr>
          <w:rFonts w:hint="eastAsia"/>
          <w:lang w:val="en-US" w:eastAsia="zh-CN"/>
        </w:rPr>
        <w:t>7</w:t>
      </w:r>
      <w:r>
        <w:rPr>
          <w:rFonts w:hint="eastAsia"/>
        </w:rPr>
        <w:t>）</w:t>
      </w:r>
      <w:r>
        <w:rPr>
          <w:rFonts w:hint="eastAsia"/>
          <w:lang w:eastAsia="zh-CN"/>
        </w:rPr>
        <w:t>询价</w:t>
      </w:r>
      <w:r>
        <w:rPr>
          <w:rFonts w:hint="eastAsia"/>
        </w:rPr>
        <w:t>产品的技术参数、功能介绍及技术条款对照表；</w:t>
      </w:r>
    </w:p>
    <w:p>
      <w:pPr>
        <w:numPr>
          <w:ilvl w:val="0"/>
          <w:numId w:val="0"/>
        </w:numPr>
        <w:spacing w:line="460" w:lineRule="exact"/>
        <w:ind w:left="540" w:leftChars="0"/>
        <w:rPr>
          <w:rFonts w:hint="eastAsia"/>
        </w:rPr>
      </w:pPr>
      <w:r>
        <w:rPr>
          <w:rFonts w:hint="eastAsia"/>
        </w:rPr>
        <w:t>（</w:t>
      </w:r>
      <w:r>
        <w:rPr>
          <w:rFonts w:hint="eastAsia"/>
          <w:lang w:val="en-US" w:eastAsia="zh-CN"/>
        </w:rPr>
        <w:t>8</w:t>
      </w:r>
      <w:r>
        <w:rPr>
          <w:rFonts w:hint="eastAsia"/>
        </w:rPr>
        <w:t>）</w:t>
      </w:r>
      <w:r>
        <w:rPr>
          <w:rFonts w:hint="eastAsia"/>
          <w:lang w:eastAsia="zh-CN"/>
        </w:rPr>
        <w:t>询价</w:t>
      </w:r>
      <w:r>
        <w:rPr>
          <w:rFonts w:hint="eastAsia"/>
        </w:rPr>
        <w:t>产品的验收方法或方案；</w:t>
      </w:r>
    </w:p>
    <w:p>
      <w:pPr>
        <w:numPr>
          <w:ilvl w:val="0"/>
          <w:numId w:val="0"/>
        </w:numPr>
        <w:spacing w:line="460" w:lineRule="exact"/>
        <w:ind w:left="540" w:leftChars="0"/>
        <w:rPr>
          <w:rFonts w:hint="eastAsia"/>
        </w:rPr>
      </w:pPr>
      <w:r>
        <w:rPr>
          <w:rFonts w:hint="eastAsia"/>
        </w:rPr>
        <w:t>（</w:t>
      </w:r>
      <w:r>
        <w:rPr>
          <w:rFonts w:hint="eastAsia"/>
          <w:lang w:val="en-US" w:eastAsia="zh-CN"/>
        </w:rPr>
        <w:t>9</w:t>
      </w:r>
      <w:r>
        <w:rPr>
          <w:rFonts w:hint="eastAsia"/>
        </w:rPr>
        <w:t>）售后服务的内容和措施；</w:t>
      </w:r>
    </w:p>
    <w:p>
      <w:pPr>
        <w:numPr>
          <w:ilvl w:val="0"/>
          <w:numId w:val="0"/>
        </w:numPr>
        <w:spacing w:line="460" w:lineRule="exact"/>
        <w:ind w:left="540" w:leftChars="0"/>
        <w:rPr>
          <w:rFonts w:hint="eastAsia"/>
        </w:rPr>
      </w:pPr>
      <w:r>
        <w:rPr>
          <w:rFonts w:hint="eastAsia"/>
        </w:rPr>
        <w:t>（</w:t>
      </w:r>
      <w:r>
        <w:rPr>
          <w:rFonts w:hint="eastAsia"/>
          <w:lang w:val="en-US" w:eastAsia="zh-CN"/>
        </w:rPr>
        <w:t>10</w:t>
      </w:r>
      <w:r>
        <w:rPr>
          <w:rFonts w:hint="eastAsia"/>
        </w:rPr>
        <w:t>）优惠条件：</w:t>
      </w:r>
      <w:r>
        <w:rPr>
          <w:rFonts w:hint="eastAsia"/>
          <w:lang w:eastAsia="zh-CN"/>
        </w:rPr>
        <w:t>询价</w:t>
      </w:r>
      <w:r>
        <w:rPr>
          <w:rFonts w:hint="eastAsia"/>
        </w:rPr>
        <w:t>单位承诺给予的各种优惠条件，包括售后服务等方面的优惠；</w:t>
      </w:r>
    </w:p>
    <w:p>
      <w:pPr>
        <w:numPr>
          <w:ilvl w:val="0"/>
          <w:numId w:val="0"/>
        </w:numPr>
        <w:spacing w:line="460" w:lineRule="exact"/>
        <w:ind w:firstLine="630" w:firstLineChars="300"/>
        <w:rPr>
          <w:rFonts w:hint="eastAsia"/>
        </w:rPr>
      </w:pPr>
      <w:r>
        <w:rPr>
          <w:rFonts w:hint="eastAsia"/>
        </w:rPr>
        <w:t>(</w:t>
      </w:r>
      <w:r>
        <w:rPr>
          <w:rFonts w:hint="eastAsia"/>
          <w:lang w:val="en-US" w:eastAsia="zh-CN"/>
        </w:rPr>
        <w:t>11</w:t>
      </w:r>
      <w:r>
        <w:rPr>
          <w:rFonts w:hint="eastAsia"/>
        </w:rPr>
        <w:t xml:space="preserve">) </w:t>
      </w:r>
      <w:r>
        <w:rPr>
          <w:rFonts w:hint="eastAsia"/>
          <w:lang w:eastAsia="zh-CN"/>
        </w:rPr>
        <w:t>询价</w:t>
      </w:r>
      <w:r>
        <w:rPr>
          <w:rFonts w:hint="eastAsia"/>
        </w:rPr>
        <w:t>人需要说明的其他文件等。</w:t>
      </w:r>
    </w:p>
    <w:bookmarkEnd w:id="140"/>
    <w:bookmarkEnd w:id="141"/>
    <w:bookmarkEnd w:id="142"/>
    <w:bookmarkEnd w:id="143"/>
    <w:bookmarkEnd w:id="144"/>
    <w:bookmarkEnd w:id="145"/>
    <w:bookmarkEnd w:id="146"/>
    <w:bookmarkEnd w:id="147"/>
    <w:bookmarkEnd w:id="148"/>
    <w:bookmarkEnd w:id="149"/>
    <w:p>
      <w:pPr>
        <w:pStyle w:val="4"/>
        <w:numPr>
          <w:ilvl w:val="0"/>
          <w:numId w:val="2"/>
        </w:numPr>
        <w:autoSpaceDE w:val="0"/>
        <w:autoSpaceDN w:val="0"/>
        <w:adjustRightInd w:val="0"/>
        <w:spacing w:line="460" w:lineRule="exact"/>
        <w:jc w:val="left"/>
        <w:textAlignment w:val="baseline"/>
        <w:rPr>
          <w:rFonts w:hAnsi="宋体"/>
          <w:sz w:val="21"/>
        </w:rPr>
      </w:pPr>
      <w:bookmarkStart w:id="150" w:name="_Toc477144277"/>
      <w:bookmarkStart w:id="151" w:name="_Toc458262612"/>
      <w:bookmarkStart w:id="152" w:name="_Toc477838684"/>
      <w:bookmarkStart w:id="153" w:name="_Toc230598451"/>
      <w:bookmarkStart w:id="154" w:name="_Toc491841887"/>
      <w:bookmarkStart w:id="155" w:name="_Toc454701379"/>
      <w:bookmarkStart w:id="156" w:name="_Toc467236737"/>
      <w:bookmarkStart w:id="157" w:name="_Toc497707683"/>
      <w:bookmarkStart w:id="158" w:name="_Toc501190880"/>
      <w:bookmarkStart w:id="159" w:name="_Toc535299960"/>
      <w:bookmarkStart w:id="160" w:name="_Toc476976169"/>
      <w:r>
        <w:rPr>
          <w:rFonts w:hint="eastAsia" w:hAnsi="宋体"/>
          <w:sz w:val="21"/>
        </w:rPr>
        <w:t>报价</w:t>
      </w:r>
      <w:bookmarkEnd w:id="150"/>
      <w:bookmarkEnd w:id="151"/>
      <w:bookmarkEnd w:id="152"/>
      <w:bookmarkEnd w:id="153"/>
      <w:bookmarkEnd w:id="154"/>
      <w:bookmarkEnd w:id="155"/>
      <w:bookmarkEnd w:id="156"/>
      <w:bookmarkEnd w:id="157"/>
      <w:bookmarkEnd w:id="158"/>
      <w:bookmarkEnd w:id="159"/>
      <w:bookmarkEnd w:id="160"/>
    </w:p>
    <w:p>
      <w:pPr>
        <w:numPr>
          <w:ilvl w:val="1"/>
          <w:numId w:val="2"/>
        </w:numPr>
        <w:tabs>
          <w:tab w:val="left" w:pos="4320"/>
        </w:tabs>
        <w:spacing w:line="460" w:lineRule="exact"/>
        <w:rPr>
          <w:rFonts w:hint="eastAsia" w:ascii="宋体" w:hAnsi="宋体"/>
        </w:rPr>
      </w:pPr>
      <w:r>
        <w:rPr>
          <w:rFonts w:hint="eastAsia" w:ascii="宋体" w:hAnsi="宋体"/>
        </w:rPr>
        <w:t>报价应详细填写提供货物的单价和总价等。</w:t>
      </w:r>
      <w:bookmarkStart w:id="161" w:name="_Hlt454529441"/>
    </w:p>
    <w:bookmarkEnd w:id="161"/>
    <w:p>
      <w:pPr>
        <w:pStyle w:val="4"/>
        <w:numPr>
          <w:ilvl w:val="0"/>
          <w:numId w:val="2"/>
        </w:numPr>
        <w:autoSpaceDE w:val="0"/>
        <w:autoSpaceDN w:val="0"/>
        <w:adjustRightInd w:val="0"/>
        <w:spacing w:line="444" w:lineRule="exact"/>
        <w:jc w:val="left"/>
        <w:textAlignment w:val="baseline"/>
        <w:rPr>
          <w:rFonts w:hint="eastAsia" w:hAnsi="宋体"/>
          <w:sz w:val="21"/>
        </w:rPr>
      </w:pPr>
      <w:r>
        <w:rPr>
          <w:rFonts w:hint="eastAsia" w:hAnsi="宋体"/>
          <w:sz w:val="21"/>
          <w:lang w:eastAsia="zh-CN"/>
        </w:rPr>
        <w:t>询价</w:t>
      </w:r>
      <w:r>
        <w:rPr>
          <w:rFonts w:hint="eastAsia" w:hAnsi="宋体"/>
          <w:sz w:val="21"/>
        </w:rPr>
        <w:t>保证金</w:t>
      </w:r>
      <w:r>
        <w:rPr>
          <w:rFonts w:hint="eastAsia" w:hAnsi="宋体"/>
          <w:sz w:val="21"/>
          <w:lang w:eastAsia="zh-CN"/>
        </w:rPr>
        <w:t>（</w:t>
      </w:r>
      <w:r>
        <w:rPr>
          <w:rFonts w:hint="eastAsia" w:hAnsi="宋体"/>
          <w:color w:val="FF0000"/>
          <w:sz w:val="21"/>
          <w:lang w:val="en-US" w:eastAsia="zh-CN"/>
        </w:rPr>
        <w:t>本项目不作要求</w:t>
      </w:r>
      <w:r>
        <w:rPr>
          <w:rFonts w:hint="eastAsia" w:hAnsi="宋体"/>
          <w:sz w:val="21"/>
          <w:lang w:eastAsia="zh-CN"/>
        </w:rPr>
        <w:t>）</w:t>
      </w:r>
    </w:p>
    <w:p>
      <w:pPr>
        <w:numPr>
          <w:ilvl w:val="1"/>
          <w:numId w:val="2"/>
        </w:numPr>
        <w:spacing w:line="444" w:lineRule="exact"/>
        <w:rPr>
          <w:rFonts w:hint="eastAsia" w:ascii="宋体" w:hAnsi="宋体"/>
          <w:color w:val="auto"/>
        </w:rPr>
      </w:pPr>
      <w:r>
        <w:rPr>
          <w:rFonts w:hint="eastAsia" w:ascii="宋体" w:hAnsi="宋体"/>
          <w:color w:val="000000"/>
          <w:lang w:eastAsia="zh-CN"/>
        </w:rPr>
        <w:t>询价</w:t>
      </w:r>
      <w:r>
        <w:rPr>
          <w:rFonts w:hint="eastAsia" w:ascii="宋体" w:hAnsi="宋体"/>
          <w:color w:val="000000"/>
        </w:rPr>
        <w:t>人必须交纳</w:t>
      </w:r>
      <w:r>
        <w:rPr>
          <w:rFonts w:hint="eastAsia" w:ascii="宋体" w:hAnsi="宋体"/>
          <w:color w:val="000000"/>
          <w:lang w:eastAsia="zh-CN"/>
        </w:rPr>
        <w:t>询价</w:t>
      </w:r>
      <w:r>
        <w:rPr>
          <w:rFonts w:hint="eastAsia" w:ascii="宋体" w:hAnsi="宋体"/>
          <w:color w:val="000000"/>
        </w:rPr>
        <w:t>保证金</w:t>
      </w:r>
      <w:r>
        <w:rPr>
          <w:rFonts w:hint="eastAsia" w:ascii="宋体" w:hAnsi="宋体"/>
          <w:color w:val="000000"/>
          <w:u w:val="single"/>
          <w:lang w:val="en-US" w:eastAsia="zh-CN"/>
        </w:rPr>
        <w:t xml:space="preserve">  </w:t>
      </w:r>
      <w:r>
        <w:rPr>
          <w:rFonts w:hint="eastAsia" w:ascii="宋体" w:hAnsi="宋体"/>
          <w:color w:val="000000"/>
        </w:rPr>
        <w:t>元整。根据询价文件规定，</w:t>
      </w:r>
      <w:r>
        <w:rPr>
          <w:rFonts w:hint="eastAsia" w:ascii="宋体" w:hAnsi="宋体"/>
          <w:color w:val="000000"/>
          <w:lang w:eastAsia="zh-CN"/>
        </w:rPr>
        <w:t>询价</w:t>
      </w:r>
      <w:r>
        <w:rPr>
          <w:rFonts w:hint="eastAsia" w:ascii="宋体" w:hAnsi="宋体"/>
          <w:color w:val="000000"/>
        </w:rPr>
        <w:t>保证金只能由本公司的基本账户（</w:t>
      </w:r>
      <w:r>
        <w:rPr>
          <w:rFonts w:hint="eastAsia" w:ascii="宋体" w:hAnsi="宋体"/>
          <w:color w:val="auto"/>
          <w:lang w:eastAsia="zh-CN"/>
        </w:rPr>
        <w:t>询价</w:t>
      </w:r>
      <w:r>
        <w:rPr>
          <w:rFonts w:hint="eastAsia" w:ascii="宋体" w:hAnsi="宋体"/>
          <w:color w:val="auto"/>
        </w:rPr>
        <w:t>人提供基本账户开户许可证）通过转账方式转至指定的</w:t>
      </w:r>
      <w:r>
        <w:rPr>
          <w:rFonts w:hint="eastAsia" w:ascii="宋体" w:hAnsi="宋体"/>
          <w:color w:val="auto"/>
          <w:lang w:eastAsia="zh-CN"/>
        </w:rPr>
        <w:t>询价</w:t>
      </w:r>
      <w:r>
        <w:rPr>
          <w:rFonts w:hint="eastAsia" w:ascii="宋体" w:hAnsi="宋体"/>
          <w:color w:val="auto"/>
        </w:rPr>
        <w:t>保证金账户（在转账单中应注明采购项目名称）。</w:t>
      </w:r>
      <w:r>
        <w:rPr>
          <w:rFonts w:hint="eastAsia" w:ascii="宋体" w:hAnsi="宋体"/>
          <w:color w:val="auto"/>
          <w:lang w:eastAsia="zh-CN"/>
        </w:rPr>
        <w:t>询价</w:t>
      </w:r>
      <w:r>
        <w:rPr>
          <w:rFonts w:hint="eastAsia" w:ascii="宋体" w:hAnsi="宋体"/>
          <w:color w:val="auto"/>
        </w:rPr>
        <w:t>保证金交纳时间以到账时间为准。</w:t>
      </w:r>
      <w:r>
        <w:rPr>
          <w:rFonts w:hint="eastAsia" w:ascii="宋体" w:hAnsi="宋体"/>
          <w:color w:val="auto"/>
          <w:lang w:eastAsia="zh-CN"/>
        </w:rPr>
        <w:t>询价</w:t>
      </w:r>
      <w:r>
        <w:rPr>
          <w:rFonts w:hint="eastAsia" w:ascii="宋体" w:hAnsi="宋体"/>
          <w:color w:val="auto"/>
        </w:rPr>
        <w:t>人交纳保证金的截止时间必须是提交</w:t>
      </w:r>
      <w:r>
        <w:rPr>
          <w:rFonts w:hint="eastAsia" w:ascii="宋体" w:hAnsi="宋体"/>
          <w:color w:val="auto"/>
          <w:lang w:eastAsia="zh-CN"/>
        </w:rPr>
        <w:t>询价</w:t>
      </w:r>
      <w:r>
        <w:rPr>
          <w:rFonts w:hint="eastAsia" w:ascii="宋体" w:hAnsi="宋体"/>
          <w:color w:val="auto"/>
        </w:rPr>
        <w:t>文件截止时间的前一天到账（</w:t>
      </w:r>
      <w:r>
        <w:rPr>
          <w:rFonts w:hint="eastAsia" w:ascii="宋体" w:hAnsi="宋体"/>
          <w:color w:val="auto"/>
          <w:lang w:val="en-US" w:eastAsia="zh-CN"/>
        </w:rPr>
        <w:t>/</w:t>
      </w:r>
      <w:r>
        <w:rPr>
          <w:rFonts w:hint="eastAsia" w:ascii="宋体" w:hAnsi="宋体"/>
          <w:color w:val="auto"/>
        </w:rPr>
        <w:t>年</w:t>
      </w:r>
      <w:r>
        <w:rPr>
          <w:rFonts w:hint="eastAsia" w:ascii="宋体" w:hAnsi="宋体"/>
          <w:color w:val="auto"/>
          <w:lang w:val="en-US" w:eastAsia="zh-CN"/>
        </w:rPr>
        <w:t>/</w:t>
      </w:r>
      <w:r>
        <w:rPr>
          <w:rFonts w:hint="eastAsia" w:ascii="宋体" w:hAnsi="宋体"/>
          <w:color w:val="auto"/>
        </w:rPr>
        <w:t>月</w:t>
      </w:r>
      <w:r>
        <w:rPr>
          <w:rFonts w:hint="eastAsia" w:ascii="宋体" w:hAnsi="宋体"/>
          <w:color w:val="auto"/>
          <w:lang w:val="en-US" w:eastAsia="zh-CN"/>
        </w:rPr>
        <w:t>/</w:t>
      </w:r>
      <w:r>
        <w:rPr>
          <w:rFonts w:hint="eastAsia" w:ascii="宋体" w:hAnsi="宋体"/>
          <w:color w:val="auto"/>
        </w:rPr>
        <w:t>日下午1</w:t>
      </w:r>
      <w:r>
        <w:rPr>
          <w:rFonts w:hint="eastAsia" w:ascii="宋体" w:hAnsi="宋体"/>
          <w:color w:val="auto"/>
          <w:lang w:val="en-US" w:eastAsia="zh-CN"/>
        </w:rPr>
        <w:t>8</w:t>
      </w:r>
      <w:r>
        <w:rPr>
          <w:rFonts w:hint="eastAsia" w:ascii="宋体" w:hAnsi="宋体"/>
          <w:color w:val="auto"/>
        </w:rPr>
        <w:t>：</w:t>
      </w:r>
      <w:r>
        <w:rPr>
          <w:rFonts w:hint="eastAsia" w:ascii="宋体" w:hAnsi="宋体"/>
          <w:color w:val="auto"/>
          <w:lang w:val="en-US" w:eastAsia="zh-CN"/>
        </w:rPr>
        <w:t>0</w:t>
      </w:r>
      <w:r>
        <w:rPr>
          <w:rFonts w:hint="eastAsia" w:ascii="宋体" w:hAnsi="宋体"/>
          <w:color w:val="auto"/>
        </w:rPr>
        <w:t>0时前）。未按本规定交纳</w:t>
      </w:r>
      <w:r>
        <w:rPr>
          <w:rFonts w:hint="eastAsia" w:ascii="宋体" w:hAnsi="宋体"/>
          <w:color w:val="auto"/>
          <w:lang w:eastAsia="zh-CN"/>
        </w:rPr>
        <w:t>询价</w:t>
      </w:r>
      <w:r>
        <w:rPr>
          <w:rFonts w:hint="eastAsia" w:ascii="宋体" w:hAnsi="宋体"/>
          <w:color w:val="auto"/>
        </w:rPr>
        <w:t>保证金的</w:t>
      </w:r>
      <w:r>
        <w:rPr>
          <w:rFonts w:hint="eastAsia" w:ascii="宋体" w:hAnsi="宋体"/>
          <w:color w:val="auto"/>
          <w:lang w:eastAsia="zh-CN"/>
        </w:rPr>
        <w:t>询价</w:t>
      </w:r>
      <w:r>
        <w:rPr>
          <w:rFonts w:hint="eastAsia" w:ascii="宋体" w:hAnsi="宋体"/>
          <w:color w:val="auto"/>
        </w:rPr>
        <w:t>文件无效。</w:t>
      </w:r>
    </w:p>
    <w:p>
      <w:pPr>
        <w:numPr>
          <w:ilvl w:val="1"/>
          <w:numId w:val="2"/>
        </w:numPr>
        <w:spacing w:line="444" w:lineRule="exact"/>
        <w:rPr>
          <w:rFonts w:hint="eastAsia" w:ascii="宋体" w:hAnsi="宋体"/>
        </w:rPr>
      </w:pPr>
      <w:r>
        <w:rPr>
          <w:rFonts w:hint="eastAsia" w:ascii="宋体" w:hAnsi="宋体"/>
        </w:rPr>
        <w:t>发生以下情况之一，</w:t>
      </w:r>
      <w:r>
        <w:rPr>
          <w:rFonts w:hint="eastAsia" w:ascii="宋体" w:hAnsi="宋体"/>
          <w:lang w:eastAsia="zh-CN"/>
        </w:rPr>
        <w:t>询价</w:t>
      </w:r>
      <w:r>
        <w:rPr>
          <w:rFonts w:hint="eastAsia" w:ascii="宋体" w:hAnsi="宋体"/>
        </w:rPr>
        <w:t>保证金将不予退还：</w:t>
      </w:r>
      <w:r>
        <w:rPr>
          <w:rFonts w:hint="eastAsia" w:ascii="宋体" w:hAnsi="宋体"/>
        </w:rPr>
        <w:cr/>
      </w:r>
      <w:r>
        <w:rPr>
          <w:rFonts w:hint="eastAsia" w:ascii="宋体" w:hAnsi="宋体"/>
        </w:rPr>
        <w:t>（1）开标后，</w:t>
      </w:r>
      <w:r>
        <w:rPr>
          <w:rFonts w:hint="eastAsia" w:ascii="宋体" w:hAnsi="宋体"/>
          <w:lang w:eastAsia="zh-CN"/>
        </w:rPr>
        <w:t>询价</w:t>
      </w:r>
      <w:r>
        <w:rPr>
          <w:rFonts w:hint="eastAsia" w:ascii="宋体" w:hAnsi="宋体"/>
        </w:rPr>
        <w:t>人在</w:t>
      </w:r>
      <w:r>
        <w:rPr>
          <w:rFonts w:hint="eastAsia" w:ascii="宋体" w:hAnsi="宋体"/>
          <w:lang w:eastAsia="zh-CN"/>
        </w:rPr>
        <w:t>询价</w:t>
      </w:r>
      <w:r>
        <w:rPr>
          <w:rFonts w:hint="eastAsia" w:ascii="宋体" w:hAnsi="宋体"/>
        </w:rPr>
        <w:t>有效期内撤回</w:t>
      </w:r>
      <w:r>
        <w:rPr>
          <w:rFonts w:hint="eastAsia" w:ascii="宋体" w:hAnsi="宋体"/>
          <w:lang w:eastAsia="zh-CN"/>
        </w:rPr>
        <w:t>询价</w:t>
      </w:r>
      <w:r>
        <w:rPr>
          <w:rFonts w:hint="eastAsia" w:ascii="宋体" w:hAnsi="宋体"/>
        </w:rPr>
        <w:t>的；</w:t>
      </w:r>
      <w:r>
        <w:rPr>
          <w:rFonts w:hint="eastAsia" w:ascii="宋体" w:hAnsi="宋体"/>
        </w:rPr>
        <w:cr/>
      </w:r>
      <w:r>
        <w:rPr>
          <w:rFonts w:hint="eastAsia" w:ascii="宋体" w:hAnsi="宋体"/>
        </w:rPr>
        <w:t>（2）提供虚假材料谋取中标的；</w:t>
      </w:r>
      <w:r>
        <w:rPr>
          <w:rFonts w:hint="eastAsia" w:ascii="宋体" w:hAnsi="宋体"/>
        </w:rPr>
        <w:cr/>
      </w:r>
      <w:r>
        <w:rPr>
          <w:rFonts w:hint="eastAsia" w:ascii="宋体" w:hAnsi="宋体"/>
        </w:rPr>
        <w:t>（3）成交后，无正当理由不签订合同的；</w:t>
      </w:r>
      <w:r>
        <w:rPr>
          <w:rFonts w:hint="eastAsia" w:ascii="宋体" w:hAnsi="宋体"/>
        </w:rPr>
        <w:cr/>
      </w:r>
      <w:r>
        <w:rPr>
          <w:rFonts w:hint="eastAsia" w:ascii="宋体" w:hAnsi="宋体"/>
        </w:rPr>
        <w:t>（4) 将成交项目转让给他人，或者在询价文件中未说明，或未经采购人同意，将中标项目分包给他人的；</w:t>
      </w:r>
      <w:r>
        <w:rPr>
          <w:rFonts w:hint="eastAsia" w:ascii="宋体" w:hAnsi="宋体"/>
        </w:rPr>
        <w:cr/>
      </w:r>
      <w:r>
        <w:rPr>
          <w:rFonts w:hint="eastAsia" w:ascii="宋体" w:hAnsi="宋体"/>
        </w:rPr>
        <w:t>（5）经专家评审认为有围标、串标嫌疑，经查实的。</w:t>
      </w:r>
    </w:p>
    <w:p>
      <w:pPr>
        <w:numPr>
          <w:ilvl w:val="1"/>
          <w:numId w:val="2"/>
        </w:numPr>
        <w:spacing w:line="444" w:lineRule="exact"/>
        <w:rPr>
          <w:rFonts w:ascii="宋体" w:hAnsi="宋体"/>
        </w:rPr>
      </w:pPr>
      <w:r>
        <w:rPr>
          <w:rFonts w:hint="eastAsia" w:ascii="宋体" w:hAnsi="宋体"/>
        </w:rPr>
        <w:t>在询价过程中询价小组发现</w:t>
      </w:r>
      <w:r>
        <w:rPr>
          <w:rFonts w:hint="eastAsia" w:ascii="宋体" w:hAnsi="宋体"/>
          <w:lang w:eastAsia="zh-CN"/>
        </w:rPr>
        <w:t>询价</w:t>
      </w:r>
      <w:r>
        <w:rPr>
          <w:rFonts w:hint="eastAsia" w:ascii="宋体" w:hAnsi="宋体"/>
        </w:rPr>
        <w:t>人有下列情形之一的，认定其有围标串标行为，宣布本次询价无效：</w:t>
      </w:r>
      <w:r>
        <w:rPr>
          <w:rFonts w:hint="eastAsia" w:ascii="宋体" w:hAnsi="宋体"/>
        </w:rPr>
        <w:cr/>
      </w:r>
      <w:r>
        <w:rPr>
          <w:rFonts w:hint="eastAsia" w:ascii="宋体" w:hAnsi="宋体"/>
        </w:rPr>
        <w:t>（1）不同</w:t>
      </w:r>
      <w:r>
        <w:rPr>
          <w:rFonts w:hint="eastAsia" w:ascii="宋体" w:hAnsi="宋体"/>
          <w:lang w:eastAsia="zh-CN"/>
        </w:rPr>
        <w:t>询价</w:t>
      </w:r>
      <w:r>
        <w:rPr>
          <w:rFonts w:hint="eastAsia" w:ascii="宋体" w:hAnsi="宋体"/>
        </w:rPr>
        <w:t>人的报价文件两处以上（含两处）错、漏一致或雷同的；</w:t>
      </w:r>
      <w:r>
        <w:rPr>
          <w:rFonts w:hint="eastAsia" w:ascii="宋体" w:hAnsi="宋体"/>
        </w:rPr>
        <w:cr/>
      </w:r>
      <w:r>
        <w:rPr>
          <w:rFonts w:hint="eastAsia" w:ascii="宋体" w:hAnsi="宋体"/>
        </w:rPr>
        <w:t>（2）不同</w:t>
      </w:r>
      <w:r>
        <w:rPr>
          <w:rFonts w:hint="eastAsia" w:ascii="宋体" w:hAnsi="宋体"/>
          <w:lang w:eastAsia="zh-CN"/>
        </w:rPr>
        <w:t>询价</w:t>
      </w:r>
      <w:r>
        <w:rPr>
          <w:rFonts w:hint="eastAsia" w:ascii="宋体" w:hAnsi="宋体"/>
        </w:rPr>
        <w:t>人的报价各项报价存在异常一致或者呈规律性变化的；</w:t>
      </w:r>
      <w:r>
        <w:rPr>
          <w:rFonts w:hint="eastAsia" w:ascii="宋体" w:hAnsi="宋体"/>
        </w:rPr>
        <w:cr/>
      </w:r>
      <w:r>
        <w:rPr>
          <w:rFonts w:hint="eastAsia" w:ascii="宋体" w:hAnsi="宋体"/>
        </w:rPr>
        <w:t>（3）不同</w:t>
      </w:r>
      <w:r>
        <w:rPr>
          <w:rFonts w:hint="eastAsia" w:ascii="宋体" w:hAnsi="宋体"/>
          <w:lang w:eastAsia="zh-CN"/>
        </w:rPr>
        <w:t>询价</w:t>
      </w:r>
      <w:r>
        <w:rPr>
          <w:rFonts w:hint="eastAsia" w:ascii="宋体" w:hAnsi="宋体"/>
        </w:rPr>
        <w:t>人的报价文件由同一单位或者同一个人编制的；</w:t>
      </w:r>
      <w:r>
        <w:rPr>
          <w:rFonts w:hint="eastAsia" w:ascii="宋体" w:hAnsi="宋体"/>
        </w:rPr>
        <w:cr/>
      </w:r>
      <w:r>
        <w:rPr>
          <w:rFonts w:hint="eastAsia" w:ascii="宋体" w:hAnsi="宋体"/>
        </w:rPr>
        <w:t>（4）不同</w:t>
      </w:r>
      <w:r>
        <w:rPr>
          <w:rFonts w:hint="eastAsia" w:ascii="宋体" w:hAnsi="宋体"/>
          <w:lang w:eastAsia="zh-CN"/>
        </w:rPr>
        <w:t>询价</w:t>
      </w:r>
      <w:r>
        <w:rPr>
          <w:rFonts w:hint="eastAsia" w:ascii="宋体" w:hAnsi="宋体"/>
        </w:rPr>
        <w:t>人的报价文件中</w:t>
      </w:r>
      <w:r>
        <w:rPr>
          <w:rFonts w:hint="eastAsia" w:ascii="宋体" w:hAnsi="宋体"/>
          <w:lang w:eastAsia="zh-CN"/>
        </w:rPr>
        <w:t>询价</w:t>
      </w:r>
      <w:r>
        <w:rPr>
          <w:rFonts w:hint="eastAsia" w:ascii="宋体" w:hAnsi="宋体"/>
        </w:rPr>
        <w:t>资料相互混装或项目班子成员出现同一人的。</w:t>
      </w:r>
    </w:p>
    <w:p>
      <w:pPr>
        <w:pStyle w:val="4"/>
        <w:numPr>
          <w:ilvl w:val="0"/>
          <w:numId w:val="2"/>
        </w:numPr>
        <w:autoSpaceDE w:val="0"/>
        <w:autoSpaceDN w:val="0"/>
        <w:adjustRightInd w:val="0"/>
        <w:spacing w:line="444" w:lineRule="exact"/>
        <w:jc w:val="left"/>
        <w:textAlignment w:val="baseline"/>
        <w:rPr>
          <w:rFonts w:hint="eastAsia" w:hAnsi="宋体"/>
          <w:sz w:val="21"/>
        </w:rPr>
      </w:pPr>
      <w:r>
        <w:rPr>
          <w:rFonts w:hint="eastAsia" w:hAnsi="宋体"/>
          <w:sz w:val="21"/>
        </w:rPr>
        <w:t>报价有效期</w:t>
      </w:r>
    </w:p>
    <w:p>
      <w:pPr>
        <w:numPr>
          <w:ilvl w:val="1"/>
          <w:numId w:val="2"/>
        </w:numPr>
        <w:spacing w:line="444" w:lineRule="exact"/>
        <w:rPr>
          <w:rFonts w:ascii="宋体" w:hAnsi="宋体"/>
        </w:rPr>
      </w:pPr>
      <w:r>
        <w:rPr>
          <w:rFonts w:hint="eastAsia" w:ascii="宋体" w:hAnsi="宋体"/>
          <w:color w:val="000000"/>
        </w:rPr>
        <w:t>报价有效期是指询价文件所规定的递交报价文件截止时期后的一段时间，在</w:t>
      </w:r>
      <w:r>
        <w:rPr>
          <w:rFonts w:hint="eastAsia" w:ascii="宋体" w:hAnsi="宋体"/>
        </w:rPr>
        <w:t>这段时间内，采购代理机构可以就本项目对供应商进行资质审查、确定其为成交供应商及授予合同，供应商不得对报价文件的实质性内容做出修改，并且以</w:t>
      </w:r>
      <w:r>
        <w:rPr>
          <w:rFonts w:hint="eastAsia" w:ascii="宋体" w:hAnsi="宋体"/>
          <w:lang w:eastAsia="zh-CN"/>
        </w:rPr>
        <w:t>询价</w:t>
      </w:r>
      <w:r>
        <w:rPr>
          <w:rFonts w:hint="eastAsia" w:ascii="宋体" w:hAnsi="宋体"/>
        </w:rPr>
        <w:t>保证金进行担保。从截止之日起，报价有效期为三十个</w:t>
      </w:r>
      <w:bookmarkStart w:id="162" w:name="_Hlt25126157"/>
      <w:bookmarkEnd w:id="162"/>
      <w:r>
        <w:rPr>
          <w:rFonts w:hint="eastAsia" w:ascii="宋体" w:hAnsi="宋体"/>
        </w:rPr>
        <w:t>日历</w:t>
      </w:r>
      <w:r>
        <w:rPr>
          <w:rFonts w:ascii="宋体" w:hAnsi="宋体"/>
        </w:rPr>
        <w:t>日</w:t>
      </w:r>
      <w:r>
        <w:rPr>
          <w:rFonts w:hint="eastAsia" w:ascii="宋体" w:hAnsi="宋体"/>
        </w:rPr>
        <w:t>。</w:t>
      </w:r>
    </w:p>
    <w:p>
      <w:pPr>
        <w:numPr>
          <w:ilvl w:val="1"/>
          <w:numId w:val="2"/>
        </w:numPr>
        <w:spacing w:line="444" w:lineRule="exact"/>
        <w:rPr>
          <w:rFonts w:ascii="宋体" w:hAnsi="宋体"/>
        </w:rPr>
      </w:pPr>
      <w:r>
        <w:rPr>
          <w:rFonts w:hint="eastAsia" w:ascii="宋体" w:hAnsi="宋体"/>
        </w:rPr>
        <w:t>特殊情况下，采购代理机构可于报价有效期期满之前，要求供应商同意延长报价有效期，要求与答复均应为书面形式。供应商可以拒绝上述要求而其</w:t>
      </w:r>
      <w:r>
        <w:rPr>
          <w:rFonts w:hint="eastAsia" w:ascii="宋体" w:hAnsi="宋体"/>
          <w:lang w:eastAsia="zh-CN"/>
        </w:rPr>
        <w:t>询价</w:t>
      </w:r>
      <w:r>
        <w:rPr>
          <w:rFonts w:hint="eastAsia" w:ascii="宋体" w:hAnsi="宋体"/>
        </w:rPr>
        <w:t>保证金不被没收。对于同意该要求的供应商，既不要求也不允许其修改报价文件。但将要求其相应延长</w:t>
      </w:r>
      <w:r>
        <w:rPr>
          <w:rFonts w:hint="eastAsia" w:ascii="宋体" w:hAnsi="宋体"/>
          <w:lang w:eastAsia="zh-CN"/>
        </w:rPr>
        <w:t>询价</w:t>
      </w:r>
      <w:r>
        <w:rPr>
          <w:rFonts w:hint="eastAsia" w:ascii="宋体" w:hAnsi="宋体"/>
        </w:rPr>
        <w:t>保证金的有效期，有关退还和没收</w:t>
      </w:r>
      <w:r>
        <w:rPr>
          <w:rFonts w:hint="eastAsia" w:ascii="宋体" w:hAnsi="宋体"/>
          <w:lang w:eastAsia="zh-CN"/>
        </w:rPr>
        <w:t>询价</w:t>
      </w:r>
      <w:r>
        <w:rPr>
          <w:rFonts w:hint="eastAsia" w:ascii="宋体" w:hAnsi="宋体"/>
        </w:rPr>
        <w:t>保证金的规定在报价有效期的延长期内继续有效。</w:t>
      </w:r>
    </w:p>
    <w:p>
      <w:pPr>
        <w:pStyle w:val="4"/>
        <w:numPr>
          <w:ilvl w:val="0"/>
          <w:numId w:val="2"/>
        </w:numPr>
        <w:autoSpaceDE w:val="0"/>
        <w:autoSpaceDN w:val="0"/>
        <w:adjustRightInd w:val="0"/>
        <w:spacing w:line="460" w:lineRule="exact"/>
        <w:jc w:val="left"/>
        <w:textAlignment w:val="baseline"/>
        <w:rPr>
          <w:rFonts w:hAnsi="宋体"/>
          <w:sz w:val="21"/>
        </w:rPr>
      </w:pPr>
      <w:bookmarkStart w:id="163" w:name="_Toc467236742"/>
      <w:bookmarkStart w:id="164" w:name="_Toc230598456"/>
      <w:bookmarkStart w:id="165" w:name="_Toc477144282"/>
      <w:bookmarkStart w:id="166" w:name="_Toc476976174"/>
      <w:bookmarkStart w:id="167" w:name="_Toc458262616"/>
      <w:bookmarkStart w:id="168" w:name="_Toc454701383"/>
      <w:bookmarkStart w:id="169" w:name="_Toc491841892"/>
      <w:bookmarkStart w:id="170" w:name="_Toc477838689"/>
      <w:bookmarkStart w:id="171" w:name="_Toc501190885"/>
      <w:bookmarkStart w:id="172" w:name="_Toc535299965"/>
      <w:bookmarkStart w:id="173" w:name="_Toc497707688"/>
      <w:r>
        <w:rPr>
          <w:rFonts w:hint="eastAsia" w:hAnsi="宋体"/>
          <w:sz w:val="21"/>
        </w:rPr>
        <w:t>报价文件的样式和签署</w:t>
      </w:r>
      <w:bookmarkEnd w:id="163"/>
      <w:bookmarkEnd w:id="164"/>
      <w:bookmarkEnd w:id="165"/>
      <w:bookmarkEnd w:id="166"/>
      <w:bookmarkEnd w:id="167"/>
      <w:bookmarkEnd w:id="168"/>
      <w:bookmarkEnd w:id="169"/>
      <w:bookmarkEnd w:id="170"/>
      <w:bookmarkEnd w:id="171"/>
      <w:bookmarkEnd w:id="172"/>
      <w:bookmarkEnd w:id="173"/>
    </w:p>
    <w:p>
      <w:pPr>
        <w:numPr>
          <w:ilvl w:val="1"/>
          <w:numId w:val="2"/>
        </w:numPr>
        <w:spacing w:line="460" w:lineRule="exact"/>
        <w:rPr>
          <w:rFonts w:ascii="宋体" w:hAnsi="宋体"/>
        </w:rPr>
      </w:pPr>
      <w:r>
        <w:rPr>
          <w:rFonts w:hint="eastAsia" w:ascii="宋体" w:hAnsi="宋体"/>
        </w:rPr>
        <w:t>供应商应准备一份报价文件正本和《前附表》中规定数目的副本，每套报价文件须清楚地标明“正本”或“副本”。若正本和副本不符，以正本为准。</w:t>
      </w:r>
    </w:p>
    <w:p>
      <w:pPr>
        <w:numPr>
          <w:ilvl w:val="1"/>
          <w:numId w:val="2"/>
        </w:numPr>
        <w:spacing w:line="460" w:lineRule="exact"/>
        <w:rPr>
          <w:rFonts w:ascii="宋体" w:hAnsi="宋体"/>
          <w:color w:val="000000" w:themeColor="text1"/>
          <w14:textFill>
            <w14:solidFill>
              <w14:schemeClr w14:val="tx1"/>
            </w14:solidFill>
          </w14:textFill>
        </w:rPr>
      </w:pPr>
      <w:r>
        <w:rPr>
          <w:rFonts w:hint="eastAsia" w:ascii="宋体" w:hAnsi="宋体"/>
        </w:rPr>
        <w:t>报价文件正本和副本须打印，并由供应商法定代表人签章。授权代表须将以书面形式出具的“法定代表人授权委托书”附在报价文件中。报价文件的副本可采用正本的复</w:t>
      </w:r>
      <w:r>
        <w:rPr>
          <w:rFonts w:hint="eastAsia" w:ascii="宋体" w:hAnsi="宋体"/>
          <w:color w:val="000000" w:themeColor="text1"/>
          <w14:textFill>
            <w14:solidFill>
              <w14:schemeClr w14:val="tx1"/>
            </w14:solidFill>
          </w14:textFill>
        </w:rPr>
        <w:t>印件。</w:t>
      </w:r>
    </w:p>
    <w:p>
      <w:pPr>
        <w:numPr>
          <w:ilvl w:val="1"/>
          <w:numId w:val="2"/>
        </w:numPr>
        <w:spacing w:line="46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任何行间插字、涂改和增删，必须由法定代表人签字才有效。</w:t>
      </w:r>
    </w:p>
    <w:p>
      <w:pPr>
        <w:numPr>
          <w:ilvl w:val="1"/>
          <w:numId w:val="2"/>
        </w:numPr>
        <w:spacing w:line="46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电报、电话、传真形式的报价文件概不接受。</w:t>
      </w:r>
    </w:p>
    <w:p>
      <w:pPr>
        <w:numPr>
          <w:ilvl w:val="1"/>
          <w:numId w:val="2"/>
        </w:numPr>
        <w:spacing w:line="460" w:lineRule="exact"/>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报价文件需逐页签字并加盖公章法人章。</w:t>
      </w:r>
    </w:p>
    <w:p>
      <w:pPr>
        <w:pStyle w:val="3"/>
        <w:spacing w:line="460" w:lineRule="exact"/>
        <w:rPr>
          <w:rFonts w:ascii="宋体" w:hAnsi="宋体" w:eastAsia="宋体"/>
          <w:color w:val="000000" w:themeColor="text1"/>
          <w:sz w:val="24"/>
          <w:szCs w:val="24"/>
          <w14:textFill>
            <w14:solidFill>
              <w14:schemeClr w14:val="tx1"/>
            </w14:solidFill>
          </w14:textFill>
        </w:rPr>
      </w:pPr>
      <w:bookmarkStart w:id="174" w:name="_Toc467236743"/>
      <w:bookmarkStart w:id="175" w:name="_Toc477144283"/>
      <w:bookmarkStart w:id="176" w:name="_Toc501190886"/>
      <w:bookmarkStart w:id="177" w:name="_Toc230598457"/>
      <w:bookmarkStart w:id="178" w:name="_Toc491841893"/>
      <w:bookmarkStart w:id="179" w:name="_Toc476976175"/>
      <w:bookmarkStart w:id="180" w:name="_Toc477838690"/>
      <w:bookmarkStart w:id="181" w:name="_Toc535299966"/>
      <w:bookmarkStart w:id="182" w:name="_Toc458262617"/>
      <w:bookmarkStart w:id="183" w:name="_Toc497707689"/>
      <w:bookmarkStart w:id="184" w:name="_Toc454701384"/>
      <w:r>
        <w:rPr>
          <w:rFonts w:hint="eastAsia" w:ascii="宋体" w:hAnsi="宋体" w:eastAsia="宋体"/>
          <w:color w:val="000000" w:themeColor="text1"/>
          <w:sz w:val="24"/>
          <w:szCs w:val="24"/>
          <w14:textFill>
            <w14:solidFill>
              <w14:schemeClr w14:val="tx1"/>
            </w14:solidFill>
          </w14:textFill>
        </w:rPr>
        <w:t>四、报价文件的递交</w:t>
      </w:r>
      <w:bookmarkEnd w:id="174"/>
      <w:bookmarkEnd w:id="175"/>
      <w:bookmarkEnd w:id="176"/>
      <w:bookmarkEnd w:id="177"/>
      <w:bookmarkEnd w:id="178"/>
      <w:bookmarkEnd w:id="179"/>
      <w:bookmarkEnd w:id="180"/>
      <w:bookmarkEnd w:id="181"/>
      <w:bookmarkEnd w:id="182"/>
      <w:bookmarkEnd w:id="183"/>
      <w:bookmarkEnd w:id="184"/>
    </w:p>
    <w:p>
      <w:pPr>
        <w:pStyle w:val="4"/>
        <w:numPr>
          <w:ilvl w:val="0"/>
          <w:numId w:val="2"/>
        </w:numPr>
        <w:autoSpaceDE w:val="0"/>
        <w:autoSpaceDN w:val="0"/>
        <w:adjustRightInd w:val="0"/>
        <w:spacing w:line="460" w:lineRule="exact"/>
        <w:jc w:val="left"/>
        <w:textAlignment w:val="baseline"/>
        <w:rPr>
          <w:rFonts w:hAnsi="宋体"/>
          <w:sz w:val="21"/>
        </w:rPr>
      </w:pPr>
      <w:bookmarkStart w:id="185" w:name="_Toc497707690"/>
      <w:bookmarkStart w:id="186" w:name="_Toc454701385"/>
      <w:bookmarkStart w:id="187" w:name="_Toc477144284"/>
      <w:bookmarkStart w:id="188" w:name="_Toc467236744"/>
      <w:bookmarkStart w:id="189" w:name="_Toc476976176"/>
      <w:bookmarkStart w:id="190" w:name="_Toc477838691"/>
      <w:bookmarkStart w:id="191" w:name="_Toc535299967"/>
      <w:bookmarkStart w:id="192" w:name="_Toc491841894"/>
      <w:bookmarkStart w:id="193" w:name="_Toc230598458"/>
      <w:bookmarkStart w:id="194" w:name="_Toc458262618"/>
      <w:bookmarkStart w:id="195" w:name="_Toc501190887"/>
      <w:r>
        <w:rPr>
          <w:rFonts w:hint="eastAsia" w:hAnsi="宋体"/>
          <w:sz w:val="21"/>
        </w:rPr>
        <w:t>报价文件的密封和标记</w:t>
      </w:r>
      <w:bookmarkEnd w:id="185"/>
      <w:bookmarkEnd w:id="186"/>
      <w:bookmarkEnd w:id="187"/>
      <w:bookmarkEnd w:id="188"/>
      <w:bookmarkEnd w:id="189"/>
      <w:bookmarkEnd w:id="190"/>
      <w:bookmarkEnd w:id="191"/>
      <w:bookmarkEnd w:id="192"/>
      <w:bookmarkEnd w:id="193"/>
      <w:bookmarkEnd w:id="194"/>
      <w:bookmarkEnd w:id="195"/>
    </w:p>
    <w:p>
      <w:pPr>
        <w:numPr>
          <w:ilvl w:val="1"/>
          <w:numId w:val="2"/>
        </w:numPr>
        <w:spacing w:line="460" w:lineRule="exact"/>
        <w:rPr>
          <w:rFonts w:hint="eastAsia" w:ascii="宋体" w:hAnsi="宋体"/>
          <w:color w:val="000000"/>
        </w:rPr>
      </w:pPr>
      <w:r>
        <w:rPr>
          <w:rFonts w:hint="eastAsia" w:ascii="宋体" w:hAnsi="宋体"/>
          <w:color w:val="000000"/>
        </w:rPr>
        <w:t>供应商应将</w:t>
      </w:r>
      <w:r>
        <w:rPr>
          <w:rFonts w:hint="eastAsia" w:ascii="宋体" w:hAnsi="宋体"/>
          <w:color w:val="000000"/>
          <w:lang w:eastAsia="zh-CN"/>
        </w:rPr>
        <w:t>询价</w:t>
      </w:r>
      <w:r>
        <w:rPr>
          <w:rFonts w:hint="eastAsia" w:ascii="宋体" w:hAnsi="宋体"/>
          <w:color w:val="000000"/>
        </w:rPr>
        <w:t>文件正本和副本分别用信封密封，在密封袋上标明供应商名称、询价编号、询价项目名称，并注明“正本”或“副本”字样。</w:t>
      </w:r>
    </w:p>
    <w:p>
      <w:pPr>
        <w:numPr>
          <w:ilvl w:val="1"/>
          <w:numId w:val="2"/>
        </w:numPr>
        <w:spacing w:line="460" w:lineRule="exact"/>
        <w:rPr>
          <w:rFonts w:hint="eastAsia" w:ascii="宋体" w:hAnsi="宋体"/>
          <w:color w:val="000000"/>
        </w:rPr>
      </w:pPr>
      <w:r>
        <w:rPr>
          <w:rFonts w:hint="eastAsia" w:ascii="宋体" w:hAnsi="宋体"/>
          <w:color w:val="auto"/>
        </w:rPr>
        <w:t>每一密封件封口上应注明“于</w:t>
      </w:r>
      <w:r>
        <w:rPr>
          <w:rFonts w:hint="eastAsia" w:ascii="宋体" w:hAnsi="宋体"/>
          <w:color w:val="auto"/>
          <w:u w:val="single"/>
        </w:rPr>
        <w:t xml:space="preserve">  20</w:t>
      </w:r>
      <w:r>
        <w:rPr>
          <w:rFonts w:hint="eastAsia" w:ascii="宋体" w:hAnsi="宋体"/>
          <w:color w:val="auto"/>
          <w:u w:val="single"/>
          <w:lang w:val="en-US" w:eastAsia="zh-CN"/>
        </w:rPr>
        <w:t>22</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u w:val="single"/>
          <w:lang w:val="en-US" w:eastAsia="zh-CN"/>
        </w:rPr>
        <w:t>05</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30  </w:t>
      </w:r>
      <w:r>
        <w:rPr>
          <w:rFonts w:hint="eastAsia" w:ascii="宋体" w:hAnsi="宋体"/>
          <w:color w:val="auto"/>
        </w:rPr>
        <w:t>日</w:t>
      </w:r>
      <w:r>
        <w:rPr>
          <w:rFonts w:hint="eastAsia" w:ascii="宋体" w:hAnsi="宋体"/>
          <w:color w:val="auto"/>
          <w:u w:val="single"/>
        </w:rPr>
        <w:t xml:space="preserve">  </w:t>
      </w:r>
      <w:r>
        <w:rPr>
          <w:rFonts w:hint="eastAsia" w:ascii="宋体" w:hAnsi="宋体"/>
          <w:color w:val="auto"/>
          <w:u w:val="single"/>
          <w:lang w:val="en-US" w:eastAsia="zh-CN"/>
        </w:rPr>
        <w:t xml:space="preserve"> 16：30   </w:t>
      </w:r>
      <w:r>
        <w:rPr>
          <w:rFonts w:hint="eastAsia" w:ascii="宋体" w:hAnsi="宋体"/>
          <w:color w:val="auto"/>
          <w:u w:val="single"/>
        </w:rPr>
        <w:t xml:space="preserve">  </w:t>
      </w:r>
      <w:r>
        <w:rPr>
          <w:rFonts w:hint="eastAsia" w:ascii="宋体" w:hAnsi="宋体"/>
          <w:color w:val="auto"/>
        </w:rPr>
        <w:t>时之前</w:t>
      </w:r>
      <w:r>
        <w:rPr>
          <w:rFonts w:hint="eastAsia" w:ascii="宋体" w:hAnsi="宋体"/>
          <w:color w:val="000000"/>
        </w:rPr>
        <w:t>不准启封”的字样，并加盖公章。</w:t>
      </w:r>
    </w:p>
    <w:p>
      <w:pPr>
        <w:numPr>
          <w:ilvl w:val="1"/>
          <w:numId w:val="2"/>
        </w:numPr>
        <w:spacing w:line="460" w:lineRule="exact"/>
        <w:rPr>
          <w:rFonts w:hint="eastAsia" w:ascii="宋体" w:hAnsi="宋体"/>
          <w:color w:val="000000"/>
        </w:rPr>
      </w:pPr>
      <w:r>
        <w:rPr>
          <w:rFonts w:hint="eastAsia" w:ascii="宋体" w:hAnsi="宋体"/>
          <w:color w:val="000000"/>
        </w:rPr>
        <w:t>如果未按上述规定进行密封和标记，采购代理机构对报价文件的误投或提前拆封等风险不负责任。</w:t>
      </w:r>
    </w:p>
    <w:p>
      <w:pPr>
        <w:numPr>
          <w:ilvl w:val="1"/>
          <w:numId w:val="2"/>
        </w:numPr>
        <w:spacing w:line="460" w:lineRule="exact"/>
        <w:rPr>
          <w:rFonts w:hint="eastAsia" w:ascii="宋体" w:hAnsi="宋体"/>
          <w:color w:val="000000"/>
        </w:rPr>
      </w:pPr>
      <w:r>
        <w:rPr>
          <w:rFonts w:hint="eastAsia" w:ascii="宋体" w:hAnsi="宋体"/>
          <w:color w:val="000000"/>
        </w:rPr>
        <w:t>报价文件未密封及加写标记的，采购代理机构有权拒绝接受，由此造成的相关费用和责任由供应商自行负责。</w:t>
      </w:r>
    </w:p>
    <w:p>
      <w:pPr>
        <w:pStyle w:val="4"/>
        <w:numPr>
          <w:ilvl w:val="0"/>
          <w:numId w:val="2"/>
        </w:numPr>
        <w:autoSpaceDE w:val="0"/>
        <w:autoSpaceDN w:val="0"/>
        <w:adjustRightInd w:val="0"/>
        <w:spacing w:line="460" w:lineRule="exact"/>
        <w:jc w:val="left"/>
        <w:textAlignment w:val="baseline"/>
        <w:rPr>
          <w:rFonts w:hAnsi="宋体"/>
          <w:sz w:val="21"/>
        </w:rPr>
      </w:pPr>
      <w:bookmarkStart w:id="196" w:name="_Toc476976177"/>
      <w:bookmarkStart w:id="197" w:name="_Toc477838692"/>
      <w:bookmarkStart w:id="198" w:name="_Toc458262619"/>
      <w:bookmarkStart w:id="199" w:name="_Toc454701386"/>
      <w:bookmarkStart w:id="200" w:name="_Toc467236745"/>
      <w:bookmarkStart w:id="201" w:name="_Toc535299968"/>
      <w:bookmarkStart w:id="202" w:name="_Toc497707691"/>
      <w:bookmarkStart w:id="203" w:name="_Toc230598459"/>
      <w:bookmarkStart w:id="204" w:name="_Toc491841895"/>
      <w:bookmarkStart w:id="205" w:name="_Toc477144285"/>
      <w:bookmarkStart w:id="206" w:name="_Toc501190888"/>
      <w:r>
        <w:rPr>
          <w:rFonts w:hint="eastAsia" w:hAnsi="宋体"/>
          <w:sz w:val="21"/>
        </w:rPr>
        <w:t>递交报价文件的时间、地点以及截止时间</w:t>
      </w:r>
      <w:bookmarkEnd w:id="196"/>
      <w:bookmarkEnd w:id="197"/>
      <w:bookmarkEnd w:id="198"/>
      <w:bookmarkEnd w:id="199"/>
      <w:bookmarkEnd w:id="200"/>
      <w:bookmarkEnd w:id="201"/>
      <w:bookmarkEnd w:id="202"/>
      <w:bookmarkEnd w:id="203"/>
      <w:bookmarkEnd w:id="204"/>
      <w:bookmarkEnd w:id="205"/>
      <w:bookmarkEnd w:id="206"/>
    </w:p>
    <w:p>
      <w:pPr>
        <w:numPr>
          <w:ilvl w:val="1"/>
          <w:numId w:val="2"/>
        </w:numPr>
        <w:spacing w:line="460" w:lineRule="exact"/>
        <w:rPr>
          <w:rFonts w:ascii="宋体" w:hAnsi="宋体"/>
        </w:rPr>
      </w:pPr>
      <w:r>
        <w:rPr>
          <w:rFonts w:hint="eastAsia" w:ascii="宋体" w:hAnsi="宋体"/>
        </w:rPr>
        <w:t>采购代理机构在《询价文件》中规定的地点和截止时间之前接收报价文件。</w:t>
      </w:r>
    </w:p>
    <w:p>
      <w:pPr>
        <w:numPr>
          <w:ilvl w:val="1"/>
          <w:numId w:val="2"/>
        </w:numPr>
        <w:spacing w:line="460" w:lineRule="exact"/>
        <w:jc w:val="left"/>
        <w:rPr>
          <w:rFonts w:hint="eastAsia" w:ascii="宋体" w:hAnsi="宋体"/>
        </w:rPr>
      </w:pPr>
      <w:r>
        <w:rPr>
          <w:rFonts w:hint="eastAsia" w:ascii="宋体" w:hAnsi="宋体"/>
        </w:rPr>
        <w:t>采购代理机构可以按本须知第9条规定，通过修改询价文件自行决定酌情延长递交报价文件截止期。在此情况下，采购代理机构、采购人和供应商受原截止期制约的所有权利和义务均应延长至新的截止期。</w:t>
      </w:r>
    </w:p>
    <w:p>
      <w:pPr>
        <w:pStyle w:val="4"/>
        <w:numPr>
          <w:ilvl w:val="0"/>
          <w:numId w:val="2"/>
        </w:numPr>
        <w:autoSpaceDE w:val="0"/>
        <w:autoSpaceDN w:val="0"/>
        <w:adjustRightInd w:val="0"/>
        <w:spacing w:line="460" w:lineRule="exact"/>
        <w:jc w:val="left"/>
        <w:textAlignment w:val="baseline"/>
        <w:rPr>
          <w:rFonts w:hint="eastAsia" w:hAnsi="宋体"/>
          <w:sz w:val="21"/>
        </w:rPr>
      </w:pPr>
      <w:bookmarkStart w:id="207" w:name="_Toc42923358"/>
      <w:bookmarkStart w:id="208" w:name="_Toc230598460"/>
      <w:bookmarkStart w:id="209" w:name="_Toc222823298"/>
      <w:bookmarkStart w:id="210" w:name="_Toc225328190"/>
      <w:r>
        <w:rPr>
          <w:rFonts w:hint="eastAsia" w:hAnsi="宋体"/>
          <w:sz w:val="21"/>
        </w:rPr>
        <w:t>报价文件的修改与撤回</w:t>
      </w:r>
      <w:bookmarkEnd w:id="207"/>
      <w:bookmarkEnd w:id="208"/>
      <w:bookmarkEnd w:id="209"/>
      <w:bookmarkEnd w:id="210"/>
    </w:p>
    <w:p>
      <w:pPr>
        <w:numPr>
          <w:ilvl w:val="1"/>
          <w:numId w:val="2"/>
        </w:numPr>
        <w:spacing w:line="460" w:lineRule="exact"/>
        <w:rPr>
          <w:rFonts w:hint="eastAsia" w:ascii="宋体" w:hAnsi="宋体"/>
        </w:rPr>
      </w:pPr>
      <w:r>
        <w:rPr>
          <w:rFonts w:hint="eastAsia" w:ascii="宋体" w:hAnsi="宋体"/>
        </w:rPr>
        <w:t>供应商在递交报价文件后，可以修改或撤回其报价文件，但供应商必须在规定的递交报价文件截止期之前将修改或撤回的书面通知递交到采购代理机构。</w:t>
      </w:r>
    </w:p>
    <w:p>
      <w:pPr>
        <w:numPr>
          <w:ilvl w:val="1"/>
          <w:numId w:val="2"/>
        </w:numPr>
        <w:spacing w:line="460" w:lineRule="exact"/>
        <w:rPr>
          <w:rFonts w:hint="eastAsia" w:ascii="宋体" w:hAnsi="宋体"/>
        </w:rPr>
      </w:pPr>
      <w:r>
        <w:rPr>
          <w:rFonts w:hint="eastAsia" w:ascii="宋体" w:hAnsi="宋体"/>
        </w:rPr>
        <w:t>供应商的修改或撤回通知应按本须知第19条规定编制、密封、标记和发送。</w:t>
      </w:r>
    </w:p>
    <w:p>
      <w:pPr>
        <w:numPr>
          <w:ilvl w:val="1"/>
          <w:numId w:val="2"/>
        </w:numPr>
        <w:spacing w:line="460" w:lineRule="exact"/>
        <w:rPr>
          <w:rFonts w:hint="eastAsia" w:ascii="宋体" w:hAnsi="宋体"/>
        </w:rPr>
      </w:pPr>
      <w:r>
        <w:rPr>
          <w:rFonts w:hint="eastAsia" w:ascii="宋体" w:hAnsi="宋体"/>
        </w:rPr>
        <w:t>在递交报价文件截止期之后，供应商不得对其报价文件做任何修改。</w:t>
      </w:r>
    </w:p>
    <w:p>
      <w:pPr>
        <w:numPr>
          <w:ilvl w:val="1"/>
          <w:numId w:val="2"/>
        </w:numPr>
        <w:spacing w:line="460" w:lineRule="exact"/>
        <w:rPr>
          <w:rFonts w:hint="eastAsia" w:ascii="宋体" w:hAnsi="宋体"/>
        </w:rPr>
      </w:pPr>
      <w:r>
        <w:rPr>
          <w:rFonts w:hint="eastAsia" w:ascii="宋体" w:hAnsi="宋体"/>
        </w:rPr>
        <w:t>从递交报价文件截止期至供应商承诺的的报价有效期内，供应商不得撤回其报价文件，否则其</w:t>
      </w:r>
      <w:r>
        <w:rPr>
          <w:rFonts w:hint="eastAsia" w:ascii="宋体" w:hAnsi="宋体"/>
          <w:lang w:eastAsia="zh-CN"/>
        </w:rPr>
        <w:t>询价</w:t>
      </w:r>
      <w:r>
        <w:rPr>
          <w:rFonts w:hint="eastAsia" w:ascii="宋体" w:hAnsi="宋体"/>
        </w:rPr>
        <w:t>保证金将按照本须知第16.6条的规定被没收。</w:t>
      </w:r>
    </w:p>
    <w:p>
      <w:pPr>
        <w:pStyle w:val="4"/>
        <w:numPr>
          <w:ilvl w:val="0"/>
          <w:numId w:val="2"/>
        </w:numPr>
        <w:autoSpaceDE w:val="0"/>
        <w:autoSpaceDN w:val="0"/>
        <w:adjustRightInd w:val="0"/>
        <w:spacing w:line="460" w:lineRule="exact"/>
        <w:jc w:val="left"/>
        <w:textAlignment w:val="baseline"/>
        <w:rPr>
          <w:rFonts w:hAnsi="宋体"/>
          <w:sz w:val="21"/>
        </w:rPr>
      </w:pPr>
      <w:bookmarkStart w:id="211" w:name="_Toc497707692"/>
      <w:bookmarkStart w:id="212" w:name="_Toc467236746"/>
      <w:bookmarkStart w:id="213" w:name="_Toc476976178"/>
      <w:bookmarkStart w:id="214" w:name="_Toc501190889"/>
      <w:bookmarkStart w:id="215" w:name="_Toc454701387"/>
      <w:bookmarkStart w:id="216" w:name="_Toc477144286"/>
      <w:bookmarkStart w:id="217" w:name="_Toc491841896"/>
      <w:bookmarkStart w:id="218" w:name="_Toc477838693"/>
      <w:bookmarkStart w:id="219" w:name="_Toc535299969"/>
      <w:bookmarkStart w:id="220" w:name="_Toc230598461"/>
      <w:bookmarkStart w:id="221" w:name="_Toc458262620"/>
      <w:r>
        <w:rPr>
          <w:rFonts w:hint="eastAsia" w:hAnsi="宋体"/>
          <w:sz w:val="21"/>
        </w:rPr>
        <w:t>迟交的报价文件</w:t>
      </w:r>
      <w:bookmarkEnd w:id="211"/>
      <w:bookmarkEnd w:id="212"/>
      <w:bookmarkEnd w:id="213"/>
      <w:bookmarkEnd w:id="214"/>
      <w:bookmarkEnd w:id="215"/>
      <w:bookmarkEnd w:id="216"/>
      <w:bookmarkEnd w:id="217"/>
      <w:bookmarkEnd w:id="218"/>
      <w:bookmarkEnd w:id="219"/>
      <w:bookmarkEnd w:id="220"/>
      <w:bookmarkEnd w:id="221"/>
    </w:p>
    <w:p>
      <w:pPr>
        <w:numPr>
          <w:ilvl w:val="1"/>
          <w:numId w:val="2"/>
        </w:numPr>
        <w:spacing w:line="460" w:lineRule="exact"/>
        <w:rPr>
          <w:rFonts w:hint="eastAsia" w:ascii="宋体" w:hAnsi="宋体"/>
        </w:rPr>
      </w:pPr>
      <w:r>
        <w:rPr>
          <w:rFonts w:hint="eastAsia" w:ascii="宋体" w:hAnsi="宋体"/>
        </w:rPr>
        <w:t>采购代理机构将拒绝接收在递交报价文件截止时间后收到的报价文件。</w:t>
      </w:r>
    </w:p>
    <w:p>
      <w:pPr>
        <w:pStyle w:val="3"/>
        <w:spacing w:line="460" w:lineRule="exact"/>
        <w:rPr>
          <w:rFonts w:ascii="宋体" w:hAnsi="宋体" w:eastAsia="宋体"/>
          <w:sz w:val="24"/>
          <w:szCs w:val="24"/>
        </w:rPr>
      </w:pPr>
      <w:bookmarkStart w:id="222" w:name="_Toc230598462"/>
      <w:r>
        <w:rPr>
          <w:rFonts w:hint="eastAsia" w:ascii="宋体" w:hAnsi="宋体" w:eastAsia="宋体"/>
          <w:sz w:val="24"/>
          <w:szCs w:val="24"/>
        </w:rPr>
        <w:t>五、评审</w:t>
      </w:r>
      <w:bookmarkEnd w:id="222"/>
    </w:p>
    <w:p>
      <w:pPr>
        <w:pStyle w:val="4"/>
        <w:numPr>
          <w:ilvl w:val="0"/>
          <w:numId w:val="2"/>
        </w:numPr>
        <w:autoSpaceDE w:val="0"/>
        <w:autoSpaceDN w:val="0"/>
        <w:adjustRightInd w:val="0"/>
        <w:spacing w:line="460" w:lineRule="exact"/>
        <w:jc w:val="left"/>
        <w:textAlignment w:val="baseline"/>
        <w:rPr>
          <w:rFonts w:hAnsi="宋体"/>
          <w:sz w:val="21"/>
        </w:rPr>
      </w:pPr>
      <w:bookmarkStart w:id="223" w:name="_Toc230598463"/>
      <w:r>
        <w:rPr>
          <w:rFonts w:hint="eastAsia" w:hAnsi="宋体"/>
          <w:sz w:val="21"/>
        </w:rPr>
        <w:t>询价仪式</w:t>
      </w:r>
      <w:bookmarkEnd w:id="223"/>
    </w:p>
    <w:p>
      <w:pPr>
        <w:numPr>
          <w:ilvl w:val="1"/>
          <w:numId w:val="2"/>
        </w:numPr>
        <w:spacing w:line="460" w:lineRule="exact"/>
        <w:rPr>
          <w:rFonts w:hint="eastAsia" w:ascii="宋体" w:hAnsi="宋体"/>
        </w:rPr>
      </w:pPr>
      <w:r>
        <w:rPr>
          <w:rFonts w:hint="eastAsia" w:ascii="宋体" w:hAnsi="宋体"/>
        </w:rPr>
        <w:t>采购代理机构在《询价文件》中规定的日期、时间和地点组织询价仪式。供应商应派代表参加，并签名报到以证明其出席。</w:t>
      </w:r>
    </w:p>
    <w:p>
      <w:pPr>
        <w:numPr>
          <w:ilvl w:val="1"/>
          <w:numId w:val="2"/>
        </w:numPr>
        <w:spacing w:line="460" w:lineRule="exact"/>
        <w:rPr>
          <w:rFonts w:hint="eastAsia" w:ascii="宋体" w:hAnsi="宋体"/>
        </w:rPr>
      </w:pPr>
      <w:r>
        <w:rPr>
          <w:rFonts w:hint="eastAsia" w:ascii="宋体" w:hAnsi="宋体"/>
        </w:rPr>
        <w:t>采购人派代表或监督员监督评审全过程。</w:t>
      </w:r>
    </w:p>
    <w:p>
      <w:pPr>
        <w:numPr>
          <w:ilvl w:val="1"/>
          <w:numId w:val="2"/>
        </w:numPr>
        <w:spacing w:line="460" w:lineRule="exact"/>
        <w:rPr>
          <w:rFonts w:hint="eastAsia" w:ascii="宋体" w:hAnsi="宋体"/>
        </w:rPr>
      </w:pPr>
      <w:r>
        <w:rPr>
          <w:rFonts w:hint="eastAsia" w:ascii="宋体" w:hAnsi="宋体"/>
        </w:rPr>
        <w:t>询价仪式开始时，由监督员检查询价响应文件的密封情况。</w:t>
      </w:r>
    </w:p>
    <w:p>
      <w:pPr>
        <w:pStyle w:val="4"/>
        <w:numPr>
          <w:ilvl w:val="0"/>
          <w:numId w:val="2"/>
        </w:numPr>
        <w:autoSpaceDE w:val="0"/>
        <w:autoSpaceDN w:val="0"/>
        <w:adjustRightInd w:val="0"/>
        <w:spacing w:line="460" w:lineRule="exact"/>
        <w:jc w:val="left"/>
        <w:textAlignment w:val="baseline"/>
        <w:rPr>
          <w:rFonts w:hAnsi="宋体"/>
          <w:sz w:val="21"/>
        </w:rPr>
      </w:pPr>
      <w:bookmarkStart w:id="224" w:name="_Toc230598464"/>
      <w:r>
        <w:rPr>
          <w:rFonts w:hint="eastAsia" w:hAnsi="宋体"/>
          <w:sz w:val="21"/>
        </w:rPr>
        <w:t>询价小组</w:t>
      </w:r>
      <w:bookmarkEnd w:id="224"/>
    </w:p>
    <w:p>
      <w:pPr>
        <w:numPr>
          <w:ilvl w:val="1"/>
          <w:numId w:val="2"/>
        </w:numPr>
        <w:spacing w:line="460" w:lineRule="exact"/>
        <w:rPr>
          <w:rFonts w:hint="eastAsia" w:ascii="宋体" w:hAnsi="宋体"/>
          <w:color w:val="000000"/>
        </w:rPr>
      </w:pPr>
      <w:r>
        <w:rPr>
          <w:rFonts w:hint="eastAsia" w:ascii="宋体" w:hAnsi="宋体"/>
          <w:color w:val="000000"/>
        </w:rPr>
        <w:t>采购代理机构将根据询价项目的特点组建询价小组。其成员由有关技术、经济等方面共三名专家组成。</w:t>
      </w:r>
    </w:p>
    <w:p>
      <w:pPr>
        <w:numPr>
          <w:ilvl w:val="1"/>
          <w:numId w:val="2"/>
        </w:numPr>
        <w:spacing w:line="460" w:lineRule="exact"/>
        <w:rPr>
          <w:rFonts w:hint="eastAsia" w:ascii="宋体" w:hAnsi="宋体"/>
        </w:rPr>
      </w:pPr>
      <w:r>
        <w:rPr>
          <w:rFonts w:hint="eastAsia" w:ascii="宋体" w:hAnsi="宋体"/>
          <w:szCs w:val="21"/>
        </w:rPr>
        <w:t>采购代理机构就询价文件征询过意见的专家，不得再作为询价小组成员参加评审。采购代理机构工作人员不得参加由本机构代理的政府采购项目的评审。</w:t>
      </w:r>
    </w:p>
    <w:p>
      <w:pPr>
        <w:pStyle w:val="4"/>
        <w:numPr>
          <w:ilvl w:val="0"/>
          <w:numId w:val="2"/>
        </w:numPr>
        <w:tabs>
          <w:tab w:val="left" w:pos="810"/>
        </w:tabs>
        <w:autoSpaceDE w:val="0"/>
        <w:autoSpaceDN w:val="0"/>
        <w:adjustRightInd w:val="0"/>
        <w:spacing w:line="460" w:lineRule="exact"/>
        <w:ind w:left="408"/>
        <w:jc w:val="left"/>
        <w:textAlignment w:val="baseline"/>
        <w:rPr>
          <w:rFonts w:hint="eastAsia" w:hAnsi="宋体"/>
          <w:sz w:val="21"/>
        </w:rPr>
      </w:pPr>
      <w:bookmarkStart w:id="225" w:name="_Toc230598468"/>
      <w:bookmarkStart w:id="226" w:name="_Toc222216003"/>
      <w:r>
        <w:rPr>
          <w:rFonts w:hint="eastAsia" w:hAnsi="宋体"/>
          <w:sz w:val="21"/>
        </w:rPr>
        <w:t>询价废除的情况</w:t>
      </w:r>
      <w:bookmarkEnd w:id="225"/>
      <w:bookmarkEnd w:id="226"/>
    </w:p>
    <w:p>
      <w:pPr>
        <w:numPr>
          <w:ilvl w:val="1"/>
          <w:numId w:val="2"/>
        </w:numPr>
        <w:spacing w:line="460" w:lineRule="exact"/>
        <w:rPr>
          <w:rFonts w:hint="eastAsia" w:ascii="宋体" w:hAnsi="宋体"/>
        </w:rPr>
      </w:pPr>
      <w:r>
        <w:rPr>
          <w:rFonts w:hint="eastAsia" w:ascii="宋体" w:hAnsi="宋体"/>
        </w:rPr>
        <w:t>下列情况之一的，将作询价废除处理：</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1）对询价文件作出实质性响应的供应商不足三家的；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2）出现影响采购公正的违法、违规行为的；</w:t>
      </w:r>
    </w:p>
    <w:p>
      <w:pPr>
        <w:keepLines/>
        <w:widowControl/>
        <w:adjustRightInd w:val="0"/>
        <w:snapToGrid w:val="0"/>
        <w:spacing w:line="460" w:lineRule="exact"/>
        <w:ind w:left="1260" w:leftChars="450" w:hanging="315" w:hangingChars="150"/>
        <w:rPr>
          <w:rFonts w:hint="default" w:ascii="宋体" w:hAnsi="宋体" w:eastAsia="宋体"/>
          <w:lang w:val="en-US" w:eastAsia="zh-CN"/>
        </w:rPr>
      </w:pPr>
      <w:r>
        <w:rPr>
          <w:rFonts w:hint="eastAsia" w:ascii="宋体" w:hAnsi="宋体"/>
          <w:lang w:val="en-US" w:eastAsia="zh-CN"/>
        </w:rPr>
        <w:t>3</w:t>
      </w:r>
      <w:r>
        <w:rPr>
          <w:rFonts w:hint="eastAsia" w:ascii="宋体" w:hAnsi="宋体"/>
          <w:lang w:eastAsia="zh-CN"/>
        </w:rPr>
        <w:t>）</w:t>
      </w:r>
      <w:r>
        <w:rPr>
          <w:rFonts w:hint="eastAsia" w:ascii="宋体" w:hAnsi="宋体"/>
          <w:lang w:val="en-US" w:eastAsia="zh-CN"/>
        </w:rPr>
        <w:t>营业执照附投标人不符；</w:t>
      </w:r>
    </w:p>
    <w:p>
      <w:pPr>
        <w:keepLines/>
        <w:widowControl/>
        <w:adjustRightInd w:val="0"/>
        <w:snapToGrid w:val="0"/>
        <w:spacing w:line="460" w:lineRule="exact"/>
        <w:ind w:left="1260" w:leftChars="450" w:hanging="315" w:hangingChars="150"/>
        <w:rPr>
          <w:rFonts w:hint="eastAsia" w:ascii="宋体" w:hAnsi="宋体"/>
          <w:lang w:val="en-US" w:eastAsia="zh-CN"/>
        </w:rPr>
      </w:pPr>
      <w:r>
        <w:rPr>
          <w:rFonts w:hint="eastAsia" w:ascii="宋体" w:hAnsi="宋体"/>
          <w:lang w:val="en-US" w:eastAsia="zh-CN"/>
        </w:rPr>
        <w:t>4</w:t>
      </w:r>
      <w:r>
        <w:rPr>
          <w:rFonts w:hint="eastAsia" w:ascii="宋体" w:hAnsi="宋体"/>
          <w:lang w:eastAsia="zh-CN"/>
        </w:rPr>
        <w:t>）</w:t>
      </w:r>
      <w:r>
        <w:rPr>
          <w:rFonts w:hint="eastAsia" w:ascii="宋体" w:hAnsi="宋体"/>
          <w:lang w:val="en-US" w:eastAsia="zh-CN"/>
        </w:rPr>
        <w:t>供应商提供的资料与采购项目不符；</w:t>
      </w:r>
    </w:p>
    <w:p>
      <w:pPr>
        <w:keepLines/>
        <w:widowControl/>
        <w:adjustRightInd w:val="0"/>
        <w:snapToGrid w:val="0"/>
        <w:spacing w:line="460" w:lineRule="exact"/>
        <w:ind w:left="1260" w:leftChars="450" w:hanging="315" w:hangingChars="150"/>
        <w:rPr>
          <w:rFonts w:hint="eastAsia" w:ascii="宋体" w:hAnsi="宋体"/>
          <w:lang w:val="en-US" w:eastAsia="zh-CN"/>
        </w:rPr>
      </w:pPr>
      <w:r>
        <w:rPr>
          <w:rFonts w:hint="eastAsia" w:ascii="宋体" w:hAnsi="宋体"/>
          <w:lang w:val="en-US" w:eastAsia="zh-CN"/>
        </w:rPr>
        <w:t>5）投标文件未按招标文件规定签字、签章的；</w:t>
      </w:r>
    </w:p>
    <w:p>
      <w:pPr>
        <w:keepLines/>
        <w:widowControl/>
        <w:adjustRightInd w:val="0"/>
        <w:snapToGrid w:val="0"/>
        <w:spacing w:line="460" w:lineRule="exact"/>
        <w:ind w:left="1260" w:leftChars="450" w:hanging="315" w:hangingChars="150"/>
        <w:rPr>
          <w:rFonts w:hint="default" w:ascii="宋体" w:hAnsi="宋体"/>
          <w:lang w:val="en-US" w:eastAsia="zh-CN"/>
        </w:rPr>
      </w:pPr>
      <w:r>
        <w:rPr>
          <w:rFonts w:hint="eastAsia" w:ascii="宋体" w:hAnsi="宋体"/>
          <w:lang w:val="en-US" w:eastAsia="zh-CN"/>
        </w:rPr>
        <w:t>6</w:t>
      </w:r>
      <w:r>
        <w:rPr>
          <w:rFonts w:hint="eastAsia" w:ascii="宋体" w:hAnsi="宋体"/>
        </w:rPr>
        <w:t>）</w:t>
      </w:r>
      <w:r>
        <w:rPr>
          <w:rFonts w:hint="eastAsia" w:ascii="宋体" w:hAnsi="宋体"/>
          <w:lang w:val="en-US" w:eastAsia="zh-CN"/>
        </w:rPr>
        <w:t>投标文件未按招标文件要求制作的；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lang w:val="en-US" w:eastAsia="zh-CN"/>
        </w:rPr>
        <w:t>7</w:t>
      </w:r>
      <w:r>
        <w:rPr>
          <w:rFonts w:hint="eastAsia" w:ascii="宋体" w:hAnsi="宋体"/>
        </w:rPr>
        <w:t>）供应商的报价均超过了采购预算，采购人不能支付的；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lang w:val="en-US" w:eastAsia="zh-CN"/>
        </w:rPr>
        <w:t>8</w:t>
      </w:r>
      <w:r>
        <w:rPr>
          <w:rFonts w:hint="eastAsia" w:ascii="宋体" w:hAnsi="宋体"/>
        </w:rPr>
        <w:t>）因重大变故，采购任务取消的；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作废标处理后将重新组织询价，或向采购监督管理部门申请其它采购方式实施。</w:t>
      </w:r>
    </w:p>
    <w:p>
      <w:pPr>
        <w:keepLines/>
        <w:widowControl/>
        <w:adjustRightInd w:val="0"/>
        <w:snapToGrid w:val="0"/>
        <w:spacing w:line="460" w:lineRule="exact"/>
        <w:ind w:left="420" w:leftChars="200" w:firstLine="525" w:firstLineChars="250"/>
        <w:rPr>
          <w:rFonts w:hint="eastAsia" w:ascii="宋体" w:hAnsi="宋体"/>
        </w:rPr>
      </w:pPr>
      <w:r>
        <w:rPr>
          <w:rFonts w:hint="eastAsia" w:ascii="宋体" w:hAnsi="宋体"/>
          <w:lang w:val="en-US" w:eastAsia="zh-CN"/>
        </w:rPr>
        <w:t>9</w:t>
      </w:r>
      <w:r>
        <w:rPr>
          <w:rFonts w:hint="eastAsia" w:ascii="宋体" w:hAnsi="宋体"/>
        </w:rPr>
        <w:t>）根据《中华人民共和国招标</w:t>
      </w:r>
      <w:r>
        <w:rPr>
          <w:rFonts w:hint="eastAsia" w:ascii="宋体" w:hAnsi="宋体"/>
          <w:lang w:eastAsia="zh-CN"/>
        </w:rPr>
        <w:t>询价</w:t>
      </w:r>
      <w:r>
        <w:rPr>
          <w:rFonts w:hint="eastAsia" w:ascii="宋体" w:hAnsi="宋体"/>
        </w:rPr>
        <w:t>法》第三十三条、第四十一条第二款、《中华人民共和国招</w:t>
      </w:r>
      <w:r>
        <w:rPr>
          <w:rFonts w:hint="eastAsia" w:ascii="宋体" w:hAnsi="宋体"/>
          <w:lang w:eastAsia="zh-CN"/>
        </w:rPr>
        <w:t>询价</w:t>
      </w:r>
      <w:r>
        <w:rPr>
          <w:rFonts w:hint="eastAsia" w:ascii="宋体" w:hAnsi="宋体"/>
        </w:rPr>
        <w:t>法实施条例》第五十一条第五款、《评标委员会和评标方法暂行规定（七部委第12号令)》第二十一条之规定，</w:t>
      </w:r>
      <w:r>
        <w:rPr>
          <w:rFonts w:hint="eastAsia" w:ascii="宋体" w:hAnsi="宋体"/>
          <w:lang w:eastAsia="zh-CN"/>
        </w:rPr>
        <w:t>询价</w:t>
      </w:r>
      <w:r>
        <w:rPr>
          <w:rFonts w:hint="eastAsia" w:ascii="宋体" w:hAnsi="宋体"/>
        </w:rPr>
        <w:t>商的报价明显偏离市场行情、低于成本价的，</w:t>
      </w:r>
      <w:r>
        <w:rPr>
          <w:rFonts w:hint="eastAsia" w:ascii="宋体" w:hAnsi="宋体"/>
          <w:lang w:eastAsia="zh-CN"/>
        </w:rPr>
        <w:t>询价</w:t>
      </w:r>
      <w:r>
        <w:rPr>
          <w:rFonts w:hint="eastAsia" w:ascii="宋体" w:hAnsi="宋体"/>
        </w:rPr>
        <w:t>商须提供证明不低于其生产成本的证明材料，如</w:t>
      </w:r>
      <w:r>
        <w:rPr>
          <w:rFonts w:hint="eastAsia" w:ascii="宋体" w:hAnsi="宋体"/>
          <w:lang w:eastAsia="zh-CN"/>
        </w:rPr>
        <w:t>询价</w:t>
      </w:r>
      <w:r>
        <w:rPr>
          <w:rFonts w:hint="eastAsia" w:ascii="宋体" w:hAnsi="宋体"/>
        </w:rPr>
        <w:t>商不提供证明材料或所提供材料无法证明的。</w:t>
      </w:r>
    </w:p>
    <w:p>
      <w:pPr>
        <w:pStyle w:val="4"/>
        <w:numPr>
          <w:ilvl w:val="0"/>
          <w:numId w:val="2"/>
        </w:numPr>
        <w:autoSpaceDE w:val="0"/>
        <w:autoSpaceDN w:val="0"/>
        <w:adjustRightInd w:val="0"/>
        <w:spacing w:line="460" w:lineRule="exact"/>
        <w:ind w:left="408"/>
        <w:jc w:val="left"/>
        <w:textAlignment w:val="baseline"/>
        <w:rPr>
          <w:rFonts w:hAnsi="宋体"/>
          <w:sz w:val="21"/>
        </w:rPr>
      </w:pPr>
      <w:bookmarkStart w:id="227" w:name="_Toc230598469"/>
      <w:r>
        <w:rPr>
          <w:rFonts w:hint="eastAsia" w:hAnsi="宋体"/>
          <w:sz w:val="21"/>
        </w:rPr>
        <w:t>评审注意事项</w:t>
      </w:r>
      <w:bookmarkEnd w:id="227"/>
    </w:p>
    <w:p>
      <w:pPr>
        <w:numPr>
          <w:ilvl w:val="1"/>
          <w:numId w:val="2"/>
        </w:numPr>
        <w:spacing w:line="460" w:lineRule="exact"/>
        <w:rPr>
          <w:rFonts w:ascii="宋体" w:hAnsi="宋体"/>
        </w:rPr>
      </w:pPr>
      <w:r>
        <w:rPr>
          <w:rFonts w:hint="eastAsia" w:ascii="宋体" w:hAnsi="宋体"/>
        </w:rPr>
        <w:t>评审是询价工作的重要环节，评审工作在询价小组内独立进行。询价小组将公正、平等地对待所有供应商。</w:t>
      </w:r>
    </w:p>
    <w:p>
      <w:pPr>
        <w:numPr>
          <w:ilvl w:val="1"/>
          <w:numId w:val="2"/>
        </w:numPr>
        <w:spacing w:line="460" w:lineRule="exact"/>
        <w:rPr>
          <w:rFonts w:ascii="宋体" w:hAnsi="宋体"/>
        </w:rPr>
      </w:pPr>
      <w:r>
        <w:rPr>
          <w:rFonts w:hint="eastAsia" w:ascii="宋体" w:hAnsi="宋体"/>
        </w:rPr>
        <w:t>除询价小组主动要求询标外，从开标后至授予《成交通知书》期间，任何供应商均不得就与其报价有关的任何问题与采购代理机构及询价小组联系。如果供应商希望递交其他资料给采购人和询价小组以提醒采购人和询价小组注意，则应以书面形式提交。</w:t>
      </w:r>
    </w:p>
    <w:p>
      <w:pPr>
        <w:numPr>
          <w:ilvl w:val="1"/>
          <w:numId w:val="2"/>
        </w:numPr>
        <w:spacing w:line="460" w:lineRule="exact"/>
        <w:rPr>
          <w:rFonts w:hint="eastAsia" w:ascii="宋体" w:hAnsi="宋体"/>
        </w:rPr>
      </w:pPr>
      <w:r>
        <w:rPr>
          <w:rFonts w:hint="eastAsia" w:ascii="宋体" w:hAnsi="宋体"/>
        </w:rPr>
        <w:t>除本须知第26条的规定外，从开标之日起为保证定标的公正性，在评审过程中，评委不得与供应商私下交换意见。在询价工作结束后，询价小组成员和参与评审的有关工作人员不得透露对报价文件的评审和比较以及与评审有关的其他情况。</w:t>
      </w:r>
    </w:p>
    <w:p>
      <w:pPr>
        <w:numPr>
          <w:ilvl w:val="1"/>
          <w:numId w:val="2"/>
        </w:numPr>
        <w:spacing w:line="460" w:lineRule="exact"/>
        <w:rPr>
          <w:rFonts w:hint="eastAsia" w:ascii="宋体" w:hAnsi="宋体"/>
        </w:rPr>
      </w:pPr>
      <w:r>
        <w:rPr>
          <w:rFonts w:hint="eastAsia" w:ascii="宋体" w:hAnsi="宋体"/>
        </w:rPr>
        <w:t>询价后，报价文件概不退还。</w:t>
      </w:r>
    </w:p>
    <w:p>
      <w:pPr>
        <w:pStyle w:val="4"/>
        <w:numPr>
          <w:ilvl w:val="0"/>
          <w:numId w:val="2"/>
        </w:numPr>
        <w:autoSpaceDE w:val="0"/>
        <w:autoSpaceDN w:val="0"/>
        <w:adjustRightInd w:val="0"/>
        <w:spacing w:line="460" w:lineRule="exact"/>
        <w:ind w:left="408"/>
        <w:jc w:val="left"/>
        <w:textAlignment w:val="baseline"/>
        <w:rPr>
          <w:rFonts w:hint="eastAsia" w:hAnsi="宋体"/>
          <w:sz w:val="21"/>
        </w:rPr>
      </w:pPr>
      <w:bookmarkStart w:id="228" w:name="_Toc230598470"/>
      <w:r>
        <w:rPr>
          <w:rFonts w:hint="eastAsia" w:hAnsi="宋体"/>
          <w:sz w:val="21"/>
        </w:rPr>
        <w:t>拒绝所有报价文件的权力</w:t>
      </w:r>
      <w:bookmarkEnd w:id="228"/>
    </w:p>
    <w:p>
      <w:pPr>
        <w:numPr>
          <w:ilvl w:val="1"/>
          <w:numId w:val="2"/>
        </w:numPr>
        <w:spacing w:line="460" w:lineRule="exact"/>
        <w:rPr>
          <w:rFonts w:hint="eastAsia" w:ascii="宋体" w:hAnsi="宋体"/>
        </w:rPr>
      </w:pPr>
      <w:r>
        <w:rPr>
          <w:rFonts w:hint="eastAsia" w:ascii="宋体" w:hAnsi="宋体"/>
        </w:rPr>
        <w:t>询价小组经评审，认为所有资料都不符合询价文件要求的，可以否决所有报价资料。</w:t>
      </w:r>
    </w:p>
    <w:p>
      <w:pPr>
        <w:pStyle w:val="4"/>
        <w:numPr>
          <w:ilvl w:val="0"/>
          <w:numId w:val="2"/>
        </w:numPr>
        <w:autoSpaceDE w:val="0"/>
        <w:autoSpaceDN w:val="0"/>
        <w:adjustRightInd w:val="0"/>
        <w:spacing w:line="460" w:lineRule="exact"/>
        <w:ind w:left="408"/>
        <w:jc w:val="left"/>
        <w:textAlignment w:val="baseline"/>
        <w:rPr>
          <w:rFonts w:hint="eastAsia" w:hAnsi="宋体"/>
          <w:sz w:val="21"/>
        </w:rPr>
      </w:pPr>
      <w:bookmarkStart w:id="229" w:name="_Toc230598471"/>
      <w:bookmarkStart w:id="230" w:name="_Toc225328199"/>
      <w:bookmarkStart w:id="231" w:name="_Toc222823307"/>
      <w:r>
        <w:rPr>
          <w:rFonts w:hint="eastAsia" w:hAnsi="宋体"/>
          <w:sz w:val="21"/>
        </w:rPr>
        <w:t>成交结果公示</w:t>
      </w:r>
      <w:bookmarkEnd w:id="229"/>
      <w:bookmarkEnd w:id="230"/>
      <w:bookmarkEnd w:id="231"/>
    </w:p>
    <w:p>
      <w:pPr>
        <w:numPr>
          <w:ilvl w:val="1"/>
          <w:numId w:val="2"/>
        </w:numPr>
        <w:spacing w:line="460" w:lineRule="exact"/>
        <w:rPr>
          <w:rFonts w:hint="eastAsia" w:ascii="宋体" w:hAnsi="宋体"/>
        </w:rPr>
      </w:pPr>
      <w:r>
        <w:rPr>
          <w:rFonts w:hint="eastAsia" w:ascii="宋体" w:hAnsi="宋体"/>
        </w:rPr>
        <w:t>评审结束后在</w:t>
      </w:r>
      <w:r>
        <w:rPr>
          <w:rFonts w:hint="eastAsia" w:ascii="宋体" w:hAnsi="宋体"/>
          <w:lang w:eastAsia="zh-CN"/>
        </w:rPr>
        <w:t>新疆政府采购网上</w:t>
      </w:r>
      <w:r>
        <w:rPr>
          <w:rFonts w:hint="eastAsia" w:ascii="宋体" w:hAnsi="宋体"/>
        </w:rPr>
        <w:t>发布成交结果公示。</w:t>
      </w:r>
    </w:p>
    <w:p>
      <w:pPr>
        <w:numPr>
          <w:ilvl w:val="1"/>
          <w:numId w:val="2"/>
        </w:numPr>
        <w:spacing w:line="460" w:lineRule="exact"/>
        <w:rPr>
          <w:rFonts w:hint="eastAsia" w:ascii="宋体" w:hAnsi="宋体"/>
        </w:rPr>
      </w:pPr>
      <w:r>
        <w:rPr>
          <w:rFonts w:hint="eastAsia" w:ascii="宋体" w:hAnsi="宋体"/>
        </w:rPr>
        <w:t>评审结束后，供应商若对本项目有任何异议，可根据《中华人民共和国政府采购法》的规定，于知道或者应当知道评标结果之日起7个工作日内向采购代理机构提交书面质疑函（须列明质疑事项、理由及事实根据，并加盖公章），采购代理机构将根据《中华人民共和国政府采购法》、《政府采购货物和服务招标</w:t>
      </w:r>
      <w:r>
        <w:rPr>
          <w:rFonts w:hint="eastAsia" w:ascii="宋体" w:hAnsi="宋体"/>
          <w:lang w:eastAsia="zh-CN"/>
        </w:rPr>
        <w:t>询价</w:t>
      </w:r>
      <w:r>
        <w:rPr>
          <w:rFonts w:hint="eastAsia" w:ascii="宋体" w:hAnsi="宋体"/>
        </w:rPr>
        <w:t>管理办法》等法律、法规、规章制度及招标文件的规定，于收到书面质疑函后7个工作日内予以处理答复。不提交的视为无异议,逾期提交的采购代理机构不予受理。质疑供应商对答复不满或采购代理机构在规定期限内未作答复，可在答复期满后15个工作日内向同级政府采购监督管理部门投诉。政府采购监督管理部门未通知暂停采购活动的，采购活动可正常进行。</w:t>
      </w:r>
    </w:p>
    <w:p>
      <w:pPr>
        <w:numPr>
          <w:ilvl w:val="1"/>
          <w:numId w:val="2"/>
        </w:numPr>
        <w:spacing w:line="460" w:lineRule="exact"/>
        <w:rPr>
          <w:rFonts w:hint="eastAsia" w:ascii="宋体" w:hAnsi="宋体"/>
        </w:rPr>
      </w:pPr>
      <w:r>
        <w:rPr>
          <w:rFonts w:hint="eastAsia" w:ascii="宋体" w:hAnsi="宋体"/>
          <w:bCs/>
        </w:rPr>
        <w:t>供应商有权在规定时间内对评标结果进行投诉或提出质疑，但需对投诉或质疑内容的真实性承担责任。</w:t>
      </w:r>
    </w:p>
    <w:p>
      <w:pPr>
        <w:pStyle w:val="4"/>
        <w:numPr>
          <w:ilvl w:val="0"/>
          <w:numId w:val="2"/>
        </w:numPr>
        <w:autoSpaceDE w:val="0"/>
        <w:autoSpaceDN w:val="0"/>
        <w:adjustRightInd w:val="0"/>
        <w:spacing w:line="460" w:lineRule="exact"/>
        <w:ind w:left="408"/>
        <w:jc w:val="left"/>
        <w:textAlignment w:val="baseline"/>
        <w:rPr>
          <w:rFonts w:hint="eastAsia" w:hAnsi="宋体"/>
          <w:sz w:val="21"/>
        </w:rPr>
      </w:pPr>
      <w:bookmarkStart w:id="232" w:name="_Toc230598472"/>
      <w:bookmarkStart w:id="233" w:name="_Toc222823308"/>
      <w:bookmarkStart w:id="234" w:name="_Toc225328200"/>
      <w:r>
        <w:rPr>
          <w:rFonts w:hint="eastAsia" w:hAnsi="宋体"/>
          <w:sz w:val="21"/>
        </w:rPr>
        <w:t>成交通知书</w:t>
      </w:r>
      <w:bookmarkEnd w:id="232"/>
      <w:bookmarkEnd w:id="233"/>
      <w:bookmarkEnd w:id="234"/>
    </w:p>
    <w:p>
      <w:pPr>
        <w:numPr>
          <w:ilvl w:val="1"/>
          <w:numId w:val="2"/>
        </w:numPr>
        <w:spacing w:line="460" w:lineRule="exact"/>
        <w:rPr>
          <w:rFonts w:hint="eastAsia" w:ascii="宋体" w:hAnsi="宋体"/>
        </w:rPr>
      </w:pPr>
      <w:r>
        <w:rPr>
          <w:rFonts w:hint="eastAsia" w:ascii="宋体" w:hAnsi="宋体"/>
        </w:rPr>
        <w:t>发布成交结果公示期满后，采购人向成交人发出成交通知书。</w:t>
      </w:r>
    </w:p>
    <w:p>
      <w:pPr>
        <w:numPr>
          <w:ilvl w:val="1"/>
          <w:numId w:val="2"/>
        </w:numPr>
        <w:spacing w:line="460" w:lineRule="exact"/>
        <w:rPr>
          <w:rFonts w:hint="eastAsia" w:ascii="宋体" w:hAnsi="宋体"/>
        </w:rPr>
      </w:pPr>
      <w:r>
        <w:rPr>
          <w:rFonts w:hint="eastAsia" w:ascii="宋体" w:hAnsi="宋体"/>
        </w:rPr>
        <w:t>成交通知书是合同的一个组成部分。</w:t>
      </w:r>
    </w:p>
    <w:p>
      <w:pPr>
        <w:numPr>
          <w:ilvl w:val="1"/>
          <w:numId w:val="2"/>
        </w:numPr>
        <w:spacing w:line="460" w:lineRule="exact"/>
        <w:rPr>
          <w:rFonts w:hint="eastAsia" w:ascii="宋体" w:hAnsi="宋体"/>
        </w:rPr>
      </w:pPr>
      <w:r>
        <w:rPr>
          <w:rFonts w:hint="eastAsia" w:ascii="宋体" w:hAnsi="宋体"/>
        </w:rPr>
        <w:t>出现下列情形之一，采购代理机构将撤消成交通知书。</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1）提供虚假材料、以他人名义</w:t>
      </w:r>
      <w:r>
        <w:rPr>
          <w:rFonts w:hint="eastAsia" w:ascii="宋体" w:hAnsi="宋体"/>
          <w:lang w:eastAsia="zh-CN"/>
        </w:rPr>
        <w:t>询价</w:t>
      </w:r>
      <w:r>
        <w:rPr>
          <w:rFonts w:hint="eastAsia" w:ascii="宋体" w:hAnsi="宋体"/>
        </w:rPr>
        <w:t>或者以其它方式弄虚作假谋取成交的；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2）采取不正当手段诋毁、排挤其它供应商而谋取成交的；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3）与采购人、其它供应商或者采购代理机构恶意串通谋取成交的；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4）通过向采购人、采购代理机构行贿或者提供其它不正当利益谋取成交的；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5）在采购过程中与采购人进行协商谈判的；</w:t>
      </w:r>
    </w:p>
    <w:p>
      <w:pPr>
        <w:keepLines/>
        <w:widowControl/>
        <w:adjustRightInd w:val="0"/>
        <w:snapToGrid w:val="0"/>
        <w:spacing w:line="460" w:lineRule="exact"/>
        <w:ind w:left="1260" w:leftChars="450" w:hanging="315" w:hangingChars="150"/>
        <w:rPr>
          <w:rFonts w:hint="eastAsia" w:ascii="宋体" w:hAnsi="宋体"/>
        </w:rPr>
      </w:pPr>
      <w:r>
        <w:rPr>
          <w:rFonts w:hint="eastAsia" w:ascii="宋体" w:hAnsi="宋体"/>
        </w:rPr>
        <w:t>6）成交后无正当理由不与采购人订立合同的；</w:t>
      </w:r>
    </w:p>
    <w:p>
      <w:pPr>
        <w:numPr>
          <w:ilvl w:val="1"/>
          <w:numId w:val="2"/>
        </w:numPr>
        <w:spacing w:line="460" w:lineRule="exact"/>
        <w:rPr>
          <w:rFonts w:hint="eastAsia" w:ascii="宋体" w:hAnsi="宋体"/>
        </w:rPr>
      </w:pPr>
      <w:r>
        <w:rPr>
          <w:rFonts w:hint="eastAsia" w:ascii="宋体" w:hAnsi="宋体"/>
        </w:rPr>
        <w:t>如果成交通知书被撤消之后，则视情况进行如下处理：</w:t>
      </w:r>
    </w:p>
    <w:p>
      <w:pPr>
        <w:pStyle w:val="11"/>
        <w:spacing w:line="460" w:lineRule="exact"/>
        <w:ind w:left="720" w:firstLine="224" w:firstLineChars="107"/>
        <w:rPr>
          <w:rFonts w:hint="eastAsia"/>
        </w:rPr>
      </w:pPr>
      <w:r>
        <w:rPr>
          <w:rFonts w:hint="eastAsia"/>
        </w:rPr>
        <w:t>1）采购代理机构和采购人将重新组织招标；</w:t>
      </w:r>
    </w:p>
    <w:p>
      <w:pPr>
        <w:pStyle w:val="11"/>
        <w:spacing w:line="460" w:lineRule="exact"/>
        <w:ind w:left="720" w:firstLine="224" w:firstLineChars="107"/>
        <w:rPr>
          <w:rFonts w:hint="eastAsia"/>
        </w:rPr>
      </w:pPr>
      <w:r>
        <w:rPr>
          <w:rFonts w:hint="eastAsia"/>
        </w:rPr>
        <w:t>2）与排位在该成交人之后第一位的候选成交人签订采购合同；</w:t>
      </w:r>
    </w:p>
    <w:p>
      <w:pPr>
        <w:pStyle w:val="11"/>
        <w:spacing w:line="460" w:lineRule="exact"/>
        <w:ind w:left="720" w:firstLine="224" w:firstLineChars="107"/>
        <w:rPr>
          <w:rFonts w:hint="eastAsia" w:hAnsi="宋体"/>
          <w:bCs/>
        </w:rPr>
      </w:pPr>
      <w:r>
        <w:rPr>
          <w:rFonts w:hint="eastAsia"/>
        </w:rPr>
        <w:t>3）按政府采购监督管理部门依法批准的其他采购方式进行采购。</w:t>
      </w:r>
    </w:p>
    <w:p>
      <w:pPr>
        <w:numPr>
          <w:ilvl w:val="1"/>
          <w:numId w:val="2"/>
        </w:numPr>
        <w:spacing w:line="460" w:lineRule="exact"/>
        <w:rPr>
          <w:rFonts w:hint="eastAsia" w:ascii="宋体" w:hAnsi="宋体"/>
        </w:rPr>
      </w:pPr>
      <w:r>
        <w:rPr>
          <w:rFonts w:hint="eastAsia" w:ascii="宋体" w:hAnsi="宋体"/>
          <w:lang w:eastAsia="zh-CN"/>
        </w:rPr>
        <w:t>询价</w:t>
      </w:r>
      <w:r>
        <w:rPr>
          <w:rFonts w:hint="eastAsia" w:ascii="宋体" w:hAnsi="宋体"/>
        </w:rPr>
        <w:t>人有下列情形之一的，属于虚假、恶意质疑，采购代理机构有权驳回质疑书而不予签收，并上报政府采购监管部门将其列入不良行为记录名单，并依法追究法律责任：</w:t>
      </w:r>
    </w:p>
    <w:p>
      <w:pPr>
        <w:keepLines/>
        <w:widowControl/>
        <w:spacing w:line="460" w:lineRule="exact"/>
        <w:ind w:left="718" w:leftChars="1" w:hanging="716" w:hangingChars="341"/>
        <w:rPr>
          <w:rFonts w:hint="eastAsia" w:ascii="宋体" w:hAnsi="宋体"/>
          <w:bCs/>
        </w:rPr>
      </w:pPr>
      <w:r>
        <w:rPr>
          <w:rFonts w:hint="eastAsia" w:ascii="宋体" w:hAnsi="宋体"/>
          <w:bCs/>
        </w:rPr>
        <w:t xml:space="preserve">       1）一年内三次以上质疑或投诉均查无实据的；</w:t>
      </w:r>
    </w:p>
    <w:p>
      <w:pPr>
        <w:spacing w:line="460" w:lineRule="exact"/>
        <w:ind w:left="210"/>
        <w:rPr>
          <w:rFonts w:hint="eastAsia" w:ascii="宋体" w:hAnsi="宋体"/>
        </w:rPr>
      </w:pPr>
      <w:r>
        <w:rPr>
          <w:rFonts w:hint="eastAsia" w:ascii="宋体" w:hAnsi="宋体"/>
          <w:bCs/>
        </w:rPr>
        <w:t xml:space="preserve">     2）捏造事实或者提供虚假质疑材料的。</w:t>
      </w:r>
    </w:p>
    <w:p>
      <w:pPr>
        <w:pStyle w:val="3"/>
        <w:spacing w:line="460" w:lineRule="exact"/>
        <w:rPr>
          <w:rFonts w:ascii="宋体" w:hAnsi="宋体" w:eastAsia="宋体"/>
          <w:sz w:val="24"/>
          <w:szCs w:val="24"/>
        </w:rPr>
      </w:pPr>
      <w:bookmarkStart w:id="235" w:name="_Toc501190900"/>
      <w:bookmarkStart w:id="236" w:name="_Toc477838704"/>
      <w:bookmarkStart w:id="237" w:name="_Toc476976189"/>
      <w:bookmarkStart w:id="238" w:name="_Toc230598473"/>
      <w:bookmarkStart w:id="239" w:name="_Toc454701397"/>
      <w:bookmarkStart w:id="240" w:name="_Toc491841907"/>
      <w:bookmarkStart w:id="241" w:name="_Toc458262630"/>
      <w:bookmarkStart w:id="242" w:name="_Toc497707703"/>
      <w:bookmarkStart w:id="243" w:name="_Toc477144297"/>
      <w:bookmarkStart w:id="244" w:name="_Toc535299980"/>
      <w:bookmarkStart w:id="245" w:name="_Toc467236757"/>
      <w:r>
        <w:rPr>
          <w:rFonts w:hint="eastAsia" w:ascii="宋体" w:hAnsi="宋体" w:eastAsia="宋体"/>
          <w:sz w:val="24"/>
          <w:szCs w:val="24"/>
        </w:rPr>
        <w:t>六、授予合同</w:t>
      </w:r>
      <w:bookmarkEnd w:id="235"/>
      <w:bookmarkEnd w:id="236"/>
      <w:bookmarkEnd w:id="237"/>
      <w:bookmarkEnd w:id="238"/>
      <w:bookmarkEnd w:id="239"/>
      <w:bookmarkEnd w:id="240"/>
      <w:bookmarkEnd w:id="241"/>
      <w:bookmarkEnd w:id="242"/>
      <w:bookmarkEnd w:id="243"/>
      <w:bookmarkEnd w:id="244"/>
      <w:bookmarkEnd w:id="245"/>
    </w:p>
    <w:p>
      <w:pPr>
        <w:pStyle w:val="4"/>
        <w:numPr>
          <w:ilvl w:val="0"/>
          <w:numId w:val="2"/>
        </w:numPr>
        <w:autoSpaceDE w:val="0"/>
        <w:autoSpaceDN w:val="0"/>
        <w:adjustRightInd w:val="0"/>
        <w:spacing w:line="460" w:lineRule="exact"/>
        <w:ind w:left="408"/>
        <w:jc w:val="left"/>
        <w:textAlignment w:val="baseline"/>
        <w:rPr>
          <w:rFonts w:hAnsi="宋体"/>
          <w:sz w:val="21"/>
        </w:rPr>
      </w:pPr>
      <w:bookmarkStart w:id="246" w:name="_Toc501190906"/>
      <w:bookmarkStart w:id="247" w:name="_Toc230598474"/>
      <w:bookmarkStart w:id="248" w:name="_Toc491841913"/>
      <w:bookmarkStart w:id="249" w:name="_Toc454701402"/>
      <w:bookmarkStart w:id="250" w:name="_Toc477838710"/>
      <w:bookmarkStart w:id="251" w:name="_Toc535299986"/>
      <w:bookmarkStart w:id="252" w:name="_Toc477144303"/>
      <w:bookmarkStart w:id="253" w:name="_Toc467236763"/>
      <w:bookmarkStart w:id="254" w:name="_Toc497707709"/>
      <w:bookmarkStart w:id="255" w:name="_Toc476976195"/>
      <w:bookmarkStart w:id="256" w:name="_Toc458262635"/>
      <w:r>
        <w:rPr>
          <w:rFonts w:hint="eastAsia" w:hAnsi="宋体"/>
          <w:sz w:val="21"/>
        </w:rPr>
        <w:t>签订合同</w:t>
      </w:r>
      <w:bookmarkEnd w:id="246"/>
      <w:bookmarkEnd w:id="247"/>
      <w:bookmarkEnd w:id="248"/>
      <w:bookmarkEnd w:id="249"/>
      <w:bookmarkEnd w:id="250"/>
      <w:bookmarkEnd w:id="251"/>
      <w:bookmarkEnd w:id="252"/>
      <w:bookmarkEnd w:id="253"/>
      <w:bookmarkEnd w:id="254"/>
      <w:bookmarkEnd w:id="255"/>
      <w:bookmarkEnd w:id="256"/>
    </w:p>
    <w:p>
      <w:pPr>
        <w:numPr>
          <w:ilvl w:val="1"/>
          <w:numId w:val="2"/>
        </w:numPr>
        <w:spacing w:line="460" w:lineRule="exact"/>
        <w:rPr>
          <w:rFonts w:ascii="宋体" w:hAnsi="宋体"/>
          <w:color w:val="000000"/>
        </w:rPr>
      </w:pPr>
      <w:r>
        <w:rPr>
          <w:rFonts w:hint="eastAsia" w:ascii="宋体" w:hAnsi="宋体"/>
          <w:color w:val="000000"/>
        </w:rPr>
        <w:t>成交供应商应在《成交通知书》发出后</w:t>
      </w:r>
      <w:r>
        <w:rPr>
          <w:rFonts w:hint="eastAsia" w:ascii="宋体" w:hAnsi="宋体"/>
          <w:color w:val="000000"/>
          <w:lang w:val="en-US" w:eastAsia="zh-CN"/>
        </w:rPr>
        <w:t>10</w:t>
      </w:r>
      <w:r>
        <w:rPr>
          <w:rFonts w:hint="eastAsia" w:ascii="宋体" w:hAnsi="宋体"/>
          <w:color w:val="000000"/>
        </w:rPr>
        <w:t>日内与采购人签订合同。</w:t>
      </w:r>
    </w:p>
    <w:p>
      <w:pPr>
        <w:numPr>
          <w:ilvl w:val="1"/>
          <w:numId w:val="2"/>
        </w:numPr>
        <w:spacing w:line="460" w:lineRule="exact"/>
        <w:rPr>
          <w:rFonts w:hint="eastAsia" w:ascii="宋体" w:hAnsi="宋体"/>
        </w:rPr>
      </w:pPr>
      <w:r>
        <w:rPr>
          <w:rFonts w:hint="eastAsia" w:ascii="宋体" w:hAnsi="宋体"/>
        </w:rPr>
        <w:t>询价文件、成交供应商的报价文件及其澄清文件等，均为签订合同的依据。</w:t>
      </w:r>
    </w:p>
    <w:p>
      <w:pPr>
        <w:pStyle w:val="4"/>
        <w:numPr>
          <w:ilvl w:val="0"/>
          <w:numId w:val="2"/>
        </w:numPr>
        <w:autoSpaceDE w:val="0"/>
        <w:autoSpaceDN w:val="0"/>
        <w:adjustRightInd w:val="0"/>
        <w:spacing w:line="460" w:lineRule="exact"/>
        <w:ind w:left="408"/>
        <w:jc w:val="left"/>
        <w:textAlignment w:val="baseline"/>
        <w:rPr>
          <w:rFonts w:hint="eastAsia" w:hAnsi="宋体"/>
          <w:sz w:val="21"/>
        </w:rPr>
      </w:pPr>
      <w:bookmarkStart w:id="257" w:name="_Toc230598475"/>
      <w:r>
        <w:rPr>
          <w:rFonts w:hint="eastAsia" w:hAnsi="宋体"/>
          <w:sz w:val="21"/>
        </w:rPr>
        <w:t>采购代理服务费</w:t>
      </w:r>
      <w:bookmarkEnd w:id="257"/>
    </w:p>
    <w:p>
      <w:pPr>
        <w:numPr>
          <w:ilvl w:val="1"/>
          <w:numId w:val="2"/>
        </w:numPr>
        <w:spacing w:line="460" w:lineRule="exact"/>
        <w:rPr>
          <w:rFonts w:hint="eastAsia" w:ascii="宋体" w:hAnsi="宋体"/>
        </w:rPr>
      </w:pPr>
      <w:r>
        <w:rPr>
          <w:rFonts w:hint="eastAsia" w:ascii="宋体" w:hAnsi="宋体"/>
        </w:rPr>
        <w:t>成交供应商应按有关规定，向采购代理机构缴纳采购代理服务费。</w:t>
      </w:r>
    </w:p>
    <w:p>
      <w:pPr>
        <w:numPr>
          <w:ilvl w:val="1"/>
          <w:numId w:val="2"/>
        </w:numPr>
        <w:spacing w:line="460" w:lineRule="exact"/>
        <w:rPr>
          <w:rFonts w:ascii="宋体" w:hAnsi="宋体"/>
        </w:rPr>
      </w:pPr>
      <w:r>
        <w:rPr>
          <w:rFonts w:hint="eastAsia" w:ascii="宋体" w:hAnsi="宋体"/>
        </w:rPr>
        <w:t>根据中华人民共和国国家发展计划委员会</w:t>
      </w:r>
      <w:r>
        <w:rPr>
          <w:rFonts w:hint="eastAsia" w:ascii="宋体" w:hAnsi="宋体"/>
          <w:lang w:eastAsia="zh-CN"/>
        </w:rPr>
        <w:t>，</w:t>
      </w:r>
      <w:r>
        <w:rPr>
          <w:rFonts w:hint="eastAsia" w:ascii="宋体" w:hAnsi="宋体"/>
          <w:lang w:val="en-US" w:eastAsia="zh-CN"/>
        </w:rPr>
        <w:t>发改价格【2015】299号</w:t>
      </w:r>
      <w:r>
        <w:rPr>
          <w:rFonts w:hint="eastAsia" w:ascii="宋体" w:hAnsi="宋体"/>
        </w:rPr>
        <w:t>文件的规定，</w:t>
      </w:r>
      <w:r>
        <w:rPr>
          <w:rFonts w:hint="eastAsia" w:ascii="宋体" w:hAnsi="宋体"/>
          <w:lang w:val="en-US" w:eastAsia="zh-CN"/>
        </w:rPr>
        <w:t>收取招标代理服务费用</w:t>
      </w:r>
      <w:r>
        <w:rPr>
          <w:rFonts w:hint="eastAsia" w:ascii="宋体" w:hAnsi="宋体"/>
        </w:rPr>
        <w:t>。</w:t>
      </w:r>
    </w:p>
    <w:p>
      <w:pPr>
        <w:rPr>
          <w:rFonts w:hint="eastAsia"/>
        </w:rPr>
      </w:pPr>
    </w:p>
    <w:p>
      <w:pPr>
        <w:rPr>
          <w:rFonts w:hint="eastAsia"/>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rPr>
          <w:rFonts w:hint="eastAsia" w:ascii="宋体" w:hAnsi="宋体" w:eastAsia="宋体"/>
          <w:bCs/>
          <w:sz w:val="28"/>
          <w:szCs w:val="28"/>
          <w:lang w:eastAsia="zh-CN"/>
        </w:rPr>
      </w:pPr>
    </w:p>
    <w:p>
      <w:pPr>
        <w:pStyle w:val="2"/>
        <w:spacing w:before="120" w:after="120" w:line="400" w:lineRule="exact"/>
        <w:jc w:val="center"/>
        <w:rPr>
          <w:rFonts w:hint="eastAsia" w:ascii="宋体" w:hAnsi="宋体"/>
          <w:bCs w:val="0"/>
          <w:sz w:val="28"/>
          <w:szCs w:val="28"/>
        </w:rPr>
      </w:pPr>
      <w:bookmarkStart w:id="258" w:name="_Toc32242"/>
      <w:r>
        <w:rPr>
          <w:rFonts w:hint="eastAsia" w:ascii="宋体" w:hAnsi="宋体"/>
          <w:bCs w:val="0"/>
          <w:sz w:val="28"/>
          <w:szCs w:val="28"/>
        </w:rPr>
        <w:t>第三章 合同格式</w:t>
      </w:r>
      <w:bookmarkEnd w:id="258"/>
    </w:p>
    <w:p>
      <w:pPr>
        <w:rPr>
          <w:rFonts w:hint="eastAsia" w:ascii="宋体" w:hAnsi="宋体"/>
        </w:rPr>
      </w:pPr>
    </w:p>
    <w:p>
      <w:pPr>
        <w:spacing w:line="400" w:lineRule="exact"/>
        <w:ind w:firstLine="1581" w:firstLineChars="750"/>
        <w:rPr>
          <w:rFonts w:hint="eastAsia" w:ascii="宋体" w:hAnsi="宋体"/>
          <w:b/>
        </w:rPr>
      </w:pPr>
      <w:r>
        <w:rPr>
          <w:rFonts w:hint="eastAsia" w:ascii="宋体" w:hAnsi="宋体"/>
          <w:b/>
        </w:rPr>
        <w:t xml:space="preserve"> </w:t>
      </w:r>
      <w:r>
        <w:rPr>
          <w:rFonts w:hint="eastAsia" w:ascii="宋体" w:hAnsi="宋体"/>
          <w:b/>
          <w:bCs/>
          <w:u w:val="single"/>
        </w:rPr>
        <w:t xml:space="preserve">                      </w:t>
      </w:r>
      <w:r>
        <w:rPr>
          <w:rFonts w:hint="eastAsia" w:ascii="宋体" w:hAnsi="宋体"/>
          <w:b/>
          <w:bCs/>
        </w:rPr>
        <w:t>采购合同</w:t>
      </w:r>
      <w:r>
        <w:rPr>
          <w:rFonts w:hint="eastAsia" w:ascii="宋体" w:hAnsi="宋体"/>
          <w:b/>
          <w:bCs/>
          <w:lang w:val="zh-CN"/>
        </w:rPr>
        <w:t>（参考文本）</w:t>
      </w:r>
    </w:p>
    <w:p>
      <w:pPr>
        <w:spacing w:before="120" w:after="120" w:line="380" w:lineRule="exact"/>
        <w:rPr>
          <w:rFonts w:ascii="宋体" w:hAnsi="宋体"/>
        </w:rPr>
      </w:pPr>
      <w:r>
        <w:rPr>
          <w:rFonts w:hint="eastAsia" w:ascii="宋体" w:hAnsi="宋体"/>
        </w:rPr>
        <w:t>甲方：</w:t>
      </w:r>
      <w:r>
        <w:rPr>
          <w:rFonts w:ascii="宋体" w:hAnsi="宋体"/>
          <w:u w:val="single"/>
        </w:rPr>
        <w:t xml:space="preserve">                                    </w:t>
      </w:r>
      <w:r>
        <w:rPr>
          <w:rFonts w:hint="eastAsia" w:ascii="宋体" w:hAnsi="宋体"/>
        </w:rPr>
        <w:t>，以下简称甲方</w:t>
      </w:r>
    </w:p>
    <w:p>
      <w:pPr>
        <w:spacing w:after="120" w:line="380" w:lineRule="exact"/>
        <w:rPr>
          <w:rFonts w:ascii="宋体" w:hAnsi="宋体"/>
        </w:rPr>
      </w:pPr>
      <w:r>
        <w:rPr>
          <w:rFonts w:hint="eastAsia" w:ascii="宋体" w:hAnsi="宋体"/>
        </w:rPr>
        <w:t>乙方：</w:t>
      </w:r>
      <w:r>
        <w:rPr>
          <w:rFonts w:ascii="宋体" w:hAnsi="宋体"/>
          <w:u w:val="single"/>
        </w:rPr>
        <w:t xml:space="preserve">                                    </w:t>
      </w:r>
      <w:r>
        <w:rPr>
          <w:rFonts w:hint="eastAsia" w:ascii="宋体" w:hAnsi="宋体"/>
        </w:rPr>
        <w:t>，以下简称乙方</w:t>
      </w:r>
    </w:p>
    <w:p>
      <w:pPr>
        <w:pStyle w:val="11"/>
        <w:spacing w:line="380" w:lineRule="exact"/>
        <w:ind w:firstLine="420" w:firstLineChars="200"/>
        <w:rPr>
          <w:rFonts w:hint="eastAsia" w:hAnsi="宋体"/>
        </w:rPr>
      </w:pPr>
      <w:r>
        <w:rPr>
          <w:rFonts w:hint="eastAsia" w:hAnsi="宋体"/>
          <w:bCs/>
        </w:rPr>
        <w:t>甲、乙双方根据</w:t>
      </w:r>
      <w:r>
        <w:rPr>
          <w:rFonts w:hint="eastAsia" w:hAnsi="宋体"/>
          <w:bCs/>
          <w:u w:val="single"/>
        </w:rPr>
        <w:t xml:space="preserve">      </w:t>
      </w:r>
      <w:r>
        <w:rPr>
          <w:rFonts w:hint="eastAsia" w:hAnsi="宋体"/>
          <w:bCs/>
        </w:rPr>
        <w:t>年</w:t>
      </w:r>
      <w:r>
        <w:rPr>
          <w:rFonts w:hint="eastAsia" w:hAnsi="宋体"/>
          <w:bCs/>
          <w:u w:val="single"/>
        </w:rPr>
        <w:t xml:space="preserve">      </w:t>
      </w:r>
      <w:r>
        <w:rPr>
          <w:rFonts w:hint="eastAsia" w:hAnsi="宋体"/>
          <w:bCs/>
        </w:rPr>
        <w:t>月</w:t>
      </w:r>
      <w:r>
        <w:rPr>
          <w:rFonts w:hint="eastAsia" w:hAnsi="宋体"/>
          <w:bCs/>
          <w:u w:val="single"/>
        </w:rPr>
        <w:t xml:space="preserve">      </w:t>
      </w:r>
      <w:r>
        <w:rPr>
          <w:rFonts w:hint="eastAsia" w:hAnsi="宋体"/>
          <w:bCs/>
        </w:rPr>
        <w:t>日</w:t>
      </w:r>
      <w:r>
        <w:rPr>
          <w:rFonts w:hint="eastAsia" w:hAnsi="宋体"/>
          <w:bCs/>
          <w:u w:val="single"/>
        </w:rPr>
        <w:t xml:space="preserve">          </w:t>
      </w:r>
      <w:r>
        <w:rPr>
          <w:rFonts w:hint="eastAsia" w:hAnsi="宋体"/>
          <w:bCs/>
        </w:rPr>
        <w:t>项目（询价编号：</w:t>
      </w:r>
      <w:r>
        <w:rPr>
          <w:rFonts w:hint="eastAsia" w:hAnsi="宋体"/>
          <w:bCs/>
          <w:u w:val="single"/>
        </w:rPr>
        <w:t xml:space="preserve">          </w:t>
      </w:r>
      <w:r>
        <w:rPr>
          <w:rFonts w:hint="eastAsia" w:hAnsi="宋体"/>
          <w:bCs/>
        </w:rPr>
        <w:t>）询价结果和有关询价文件的要求、报价文件的承诺，</w:t>
      </w:r>
      <w:r>
        <w:rPr>
          <w:rFonts w:hint="eastAsia" w:hAnsi="宋体"/>
        </w:rPr>
        <w:t>依照《中华人民共和国合同法》及有关法律、法规，遵循平等、自愿、公平和诚实信用的原则，</w:t>
      </w:r>
      <w:r>
        <w:rPr>
          <w:rFonts w:hAnsi="宋体"/>
        </w:rPr>
        <w:t>双方</w:t>
      </w:r>
      <w:r>
        <w:rPr>
          <w:rFonts w:hint="eastAsia" w:hAnsi="宋体"/>
        </w:rPr>
        <w:t>就本采购事项</w:t>
      </w:r>
      <w:r>
        <w:rPr>
          <w:rFonts w:hAnsi="宋体"/>
        </w:rPr>
        <w:t>协商一致</w:t>
      </w:r>
      <w:r>
        <w:rPr>
          <w:rFonts w:hint="eastAsia" w:hAnsi="宋体"/>
          <w:bCs/>
        </w:rPr>
        <w:t>经双方协商一致，订立以下合同：</w:t>
      </w:r>
      <w:bookmarkStart w:id="289" w:name="_GoBack"/>
      <w:bookmarkEnd w:id="289"/>
    </w:p>
    <w:p>
      <w:pPr>
        <w:keepLines/>
        <w:widowControl/>
        <w:tabs>
          <w:tab w:val="left" w:pos="1004"/>
        </w:tabs>
        <w:spacing w:line="380" w:lineRule="exact"/>
        <w:rPr>
          <w:rFonts w:hint="eastAsia" w:ascii="宋体" w:hAnsi="宋体"/>
          <w:bCs/>
        </w:rPr>
      </w:pPr>
      <w:r>
        <w:rPr>
          <w:rFonts w:hint="eastAsia" w:ascii="宋体" w:hAnsi="宋体"/>
          <w:bCs/>
        </w:rPr>
        <w:t>第一条  服务项目概况</w:t>
      </w:r>
    </w:p>
    <w:p>
      <w:pPr>
        <w:pStyle w:val="16"/>
        <w:spacing w:line="380" w:lineRule="exact"/>
        <w:ind w:left="178" w:leftChars="85" w:firstLine="361" w:firstLineChars="172"/>
        <w:rPr>
          <w:rFonts w:hint="eastAsia" w:ascii="宋体" w:hAnsi="宋体"/>
        </w:rPr>
      </w:pPr>
      <w:r>
        <w:rPr>
          <w:rFonts w:hint="eastAsia" w:ascii="宋体" w:hAnsi="宋体"/>
          <w:sz w:val="21"/>
          <w:szCs w:val="24"/>
        </w:rPr>
        <w:t>服务项目名称：</w:t>
      </w:r>
      <w:r>
        <w:rPr>
          <w:rFonts w:hint="eastAsia" w:ascii="宋体" w:hAnsi="宋体"/>
          <w:bCs/>
          <w:u w:val="single"/>
        </w:rPr>
        <w:t xml:space="preserve">                                     </w:t>
      </w:r>
    </w:p>
    <w:p>
      <w:pPr>
        <w:pStyle w:val="16"/>
        <w:spacing w:line="380" w:lineRule="exact"/>
        <w:ind w:left="178" w:leftChars="85" w:firstLine="361" w:firstLineChars="172"/>
        <w:rPr>
          <w:rFonts w:hint="eastAsia" w:ascii="宋体" w:hAnsi="宋体"/>
        </w:rPr>
      </w:pPr>
      <w:r>
        <w:rPr>
          <w:rFonts w:hint="eastAsia" w:ascii="宋体" w:hAnsi="宋体"/>
          <w:sz w:val="21"/>
          <w:szCs w:val="24"/>
        </w:rPr>
        <w:t>服务项目地点：</w:t>
      </w:r>
      <w:r>
        <w:rPr>
          <w:rFonts w:hint="eastAsia" w:ascii="宋体" w:hAnsi="宋体"/>
          <w:bCs/>
          <w:u w:val="single"/>
        </w:rPr>
        <w:t xml:space="preserve">                                     </w:t>
      </w:r>
    </w:p>
    <w:p>
      <w:pPr>
        <w:pStyle w:val="16"/>
        <w:spacing w:line="380" w:lineRule="exact"/>
        <w:ind w:left="178" w:leftChars="85" w:firstLine="361" w:firstLineChars="172"/>
        <w:rPr>
          <w:rFonts w:hint="eastAsia" w:ascii="宋体" w:hAnsi="宋体"/>
          <w:sz w:val="21"/>
          <w:szCs w:val="24"/>
          <w:u w:val="single"/>
        </w:rPr>
      </w:pPr>
      <w:r>
        <w:rPr>
          <w:rFonts w:hint="eastAsia" w:ascii="宋体" w:hAnsi="宋体"/>
          <w:sz w:val="21"/>
          <w:szCs w:val="24"/>
        </w:rPr>
        <w:t>服务项目内容：</w:t>
      </w:r>
      <w:r>
        <w:rPr>
          <w:rFonts w:hint="eastAsia" w:ascii="宋体" w:hAnsi="宋体"/>
          <w:sz w:val="21"/>
          <w:szCs w:val="24"/>
          <w:u w:val="single"/>
        </w:rPr>
        <w:t xml:space="preserve">                            </w:t>
      </w:r>
    </w:p>
    <w:p>
      <w:pPr>
        <w:keepLines/>
        <w:widowControl/>
        <w:tabs>
          <w:tab w:val="left" w:pos="1004"/>
        </w:tabs>
        <w:spacing w:line="380" w:lineRule="exact"/>
        <w:rPr>
          <w:rFonts w:hint="eastAsia" w:ascii="宋体" w:hAnsi="宋体"/>
          <w:bCs/>
        </w:rPr>
      </w:pPr>
      <w:r>
        <w:rPr>
          <w:rFonts w:hint="eastAsia" w:ascii="宋体" w:hAnsi="宋体"/>
          <w:bCs/>
        </w:rPr>
        <w:t>第二条  服务期</w:t>
      </w:r>
    </w:p>
    <w:p>
      <w:pPr>
        <w:spacing w:before="120" w:after="120" w:line="380" w:lineRule="exact"/>
        <w:ind w:left="360" w:firstLine="178" w:firstLineChars="85"/>
        <w:rPr>
          <w:rFonts w:hint="eastAsia" w:ascii="宋体" w:hAnsi="宋体"/>
        </w:rPr>
      </w:pPr>
      <w:r>
        <w:rPr>
          <w:rFonts w:hint="eastAsia" w:ascii="宋体" w:hAnsi="宋体"/>
        </w:rPr>
        <w:t>起始日期：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日，终止日期：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keepLines/>
        <w:widowControl/>
        <w:tabs>
          <w:tab w:val="left" w:pos="1004"/>
        </w:tabs>
        <w:spacing w:line="380" w:lineRule="exact"/>
        <w:rPr>
          <w:rFonts w:hint="eastAsia" w:ascii="宋体" w:hAnsi="宋体"/>
          <w:bCs/>
        </w:rPr>
      </w:pPr>
      <w:r>
        <w:rPr>
          <w:rFonts w:hint="eastAsia" w:ascii="宋体" w:hAnsi="宋体"/>
          <w:bCs/>
        </w:rPr>
        <w:t>第三条  成交金额、合同金额</w:t>
      </w:r>
    </w:p>
    <w:p>
      <w:pPr>
        <w:keepLines/>
        <w:widowControl/>
        <w:tabs>
          <w:tab w:val="left" w:pos="1004"/>
        </w:tabs>
        <w:spacing w:line="380" w:lineRule="exact"/>
        <w:ind w:firstLine="539" w:firstLineChars="257"/>
        <w:rPr>
          <w:rFonts w:hint="eastAsia" w:ascii="宋体" w:hAnsi="宋体"/>
          <w:bCs/>
        </w:rPr>
      </w:pPr>
      <w:r>
        <w:rPr>
          <w:rFonts w:hint="eastAsia" w:ascii="宋体" w:hAnsi="宋体"/>
          <w:bCs/>
        </w:rPr>
        <w:t>1、成交金额：</w:t>
      </w:r>
      <w:r>
        <w:rPr>
          <w:rFonts w:hint="eastAsia" w:ascii="宋体" w:hAnsi="宋体"/>
          <w:bCs/>
          <w:u w:val="single"/>
        </w:rPr>
        <w:t xml:space="preserve">（大写、小写）                               </w:t>
      </w:r>
    </w:p>
    <w:p>
      <w:pPr>
        <w:keepLines/>
        <w:widowControl/>
        <w:tabs>
          <w:tab w:val="left" w:pos="1004"/>
        </w:tabs>
        <w:spacing w:line="380" w:lineRule="exact"/>
        <w:ind w:firstLine="539" w:firstLineChars="257"/>
        <w:rPr>
          <w:rFonts w:hint="eastAsia" w:ascii="宋体" w:hAnsi="宋体"/>
          <w:bCs/>
          <w:u w:val="single"/>
        </w:rPr>
      </w:pPr>
      <w:r>
        <w:rPr>
          <w:rFonts w:hint="eastAsia" w:ascii="宋体" w:hAnsi="宋体"/>
          <w:bCs/>
        </w:rPr>
        <w:t>2、合同金额：</w:t>
      </w:r>
      <w:r>
        <w:rPr>
          <w:rFonts w:hint="eastAsia" w:ascii="宋体" w:hAnsi="宋体"/>
          <w:bCs/>
          <w:u w:val="single"/>
        </w:rPr>
        <w:t xml:space="preserve">（大写、小写）                               </w:t>
      </w:r>
    </w:p>
    <w:p>
      <w:pPr>
        <w:keepLines/>
        <w:widowControl/>
        <w:tabs>
          <w:tab w:val="left" w:pos="360"/>
        </w:tabs>
        <w:spacing w:line="380" w:lineRule="exact"/>
        <w:ind w:firstLine="539" w:firstLineChars="257"/>
        <w:rPr>
          <w:rFonts w:hint="eastAsia" w:ascii="宋体" w:hAnsi="宋体"/>
        </w:rPr>
      </w:pPr>
      <w:r>
        <w:rPr>
          <w:rFonts w:hint="eastAsia" w:ascii="宋体" w:hAnsi="宋体"/>
        </w:rPr>
        <w:t>合同价格应为包括完成本项目的人力成本、设备成本、管理费、利润、税金等费用在内的全部费用。甲方不再另付任何费用。</w:t>
      </w:r>
    </w:p>
    <w:p>
      <w:pPr>
        <w:keepLines/>
        <w:widowControl/>
        <w:tabs>
          <w:tab w:val="left" w:pos="1004"/>
        </w:tabs>
        <w:spacing w:line="380" w:lineRule="exact"/>
        <w:rPr>
          <w:rFonts w:hint="eastAsia" w:ascii="宋体" w:hAnsi="宋体"/>
          <w:u w:val="single"/>
        </w:rPr>
      </w:pPr>
      <w:r>
        <w:rPr>
          <w:rFonts w:hint="eastAsia" w:ascii="宋体" w:hAnsi="宋体"/>
          <w:bCs/>
        </w:rPr>
        <w:t>第四条  价款的结算：</w:t>
      </w:r>
    </w:p>
    <w:p>
      <w:pPr>
        <w:keepLines/>
        <w:widowControl/>
        <w:tabs>
          <w:tab w:val="left" w:pos="1004"/>
        </w:tabs>
        <w:spacing w:line="380" w:lineRule="exact"/>
        <w:rPr>
          <w:rFonts w:ascii="宋体" w:hAnsi="宋体"/>
          <w:bCs/>
        </w:rPr>
      </w:pPr>
      <w:r>
        <w:rPr>
          <w:rFonts w:hint="eastAsia" w:ascii="宋体" w:hAnsi="宋体"/>
          <w:bCs/>
        </w:rPr>
        <w:t>第五条  质量标准及检查验收办法：</w:t>
      </w:r>
      <w:r>
        <w:rPr>
          <w:rFonts w:hint="eastAsia" w:ascii="宋体" w:hAnsi="宋体"/>
          <w:bCs/>
          <w:u w:val="single"/>
        </w:rPr>
        <w:t xml:space="preserve">               </w:t>
      </w:r>
      <w:r>
        <w:rPr>
          <w:rFonts w:hint="eastAsia" w:ascii="宋体" w:hAnsi="宋体"/>
          <w:bCs/>
        </w:rPr>
        <w:t>。</w:t>
      </w:r>
    </w:p>
    <w:p>
      <w:pPr>
        <w:keepLines/>
        <w:widowControl/>
        <w:tabs>
          <w:tab w:val="left" w:pos="1004"/>
        </w:tabs>
        <w:spacing w:line="380" w:lineRule="exact"/>
        <w:rPr>
          <w:rFonts w:hint="eastAsia" w:ascii="宋体" w:hAnsi="宋体"/>
          <w:bCs/>
        </w:rPr>
      </w:pPr>
      <w:r>
        <w:rPr>
          <w:rFonts w:hint="eastAsia" w:ascii="宋体" w:hAnsi="宋体"/>
          <w:bCs/>
        </w:rPr>
        <w:t>第六条  甲方的违约责任：</w:t>
      </w:r>
    </w:p>
    <w:p>
      <w:pPr>
        <w:tabs>
          <w:tab w:val="left" w:pos="1200"/>
        </w:tabs>
        <w:spacing w:before="120" w:after="120" w:line="380" w:lineRule="exact"/>
        <w:ind w:firstLine="539" w:firstLineChars="257"/>
        <w:rPr>
          <w:rFonts w:hint="eastAsia" w:ascii="宋体" w:hAnsi="宋体"/>
        </w:rPr>
      </w:pPr>
      <w:r>
        <w:rPr>
          <w:rFonts w:hint="eastAsia" w:ascii="宋体" w:hAnsi="宋体"/>
        </w:rPr>
        <w:t>甲方逾期付款的，应按未付款项部分计算，以每日千分之五的比例向乙方支付违约金。</w:t>
      </w:r>
    </w:p>
    <w:p>
      <w:pPr>
        <w:keepLines/>
        <w:widowControl/>
        <w:tabs>
          <w:tab w:val="left" w:pos="1004"/>
        </w:tabs>
        <w:spacing w:line="380" w:lineRule="exact"/>
        <w:rPr>
          <w:rFonts w:hint="eastAsia" w:ascii="宋体" w:hAnsi="宋体"/>
          <w:bCs/>
        </w:rPr>
      </w:pPr>
      <w:r>
        <w:rPr>
          <w:rFonts w:hint="eastAsia" w:ascii="宋体" w:hAnsi="宋体"/>
          <w:bCs/>
        </w:rPr>
        <w:t>第七条 乙方的违约责任及违约扣罚标准：</w:t>
      </w:r>
    </w:p>
    <w:p>
      <w:pPr>
        <w:tabs>
          <w:tab w:val="left" w:pos="1200"/>
        </w:tabs>
        <w:spacing w:before="120" w:after="120" w:line="380" w:lineRule="exact"/>
        <w:ind w:firstLine="539" w:firstLineChars="257"/>
        <w:rPr>
          <w:rFonts w:hint="eastAsia" w:ascii="宋体" w:hAnsi="宋体"/>
        </w:rPr>
      </w:pPr>
      <w:r>
        <w:rPr>
          <w:rFonts w:hint="eastAsia" w:ascii="宋体" w:hAnsi="宋体"/>
        </w:rPr>
        <w:t>按询价文件的商务要求执行。</w:t>
      </w:r>
    </w:p>
    <w:p>
      <w:pPr>
        <w:keepLines/>
        <w:widowControl/>
        <w:tabs>
          <w:tab w:val="left" w:pos="1004"/>
        </w:tabs>
        <w:spacing w:line="380" w:lineRule="exact"/>
        <w:rPr>
          <w:rFonts w:hint="eastAsia" w:ascii="宋体" w:hAnsi="宋体"/>
          <w:bCs/>
        </w:rPr>
      </w:pPr>
      <w:r>
        <w:rPr>
          <w:rFonts w:hint="eastAsia" w:ascii="宋体" w:hAnsi="宋体"/>
          <w:bCs/>
        </w:rPr>
        <w:t>第八条   不可抗力</w:t>
      </w:r>
    </w:p>
    <w:p>
      <w:pPr>
        <w:tabs>
          <w:tab w:val="left" w:pos="1200"/>
        </w:tabs>
        <w:spacing w:before="120" w:after="120" w:line="380" w:lineRule="exact"/>
        <w:ind w:firstLine="539" w:firstLineChars="257"/>
        <w:rPr>
          <w:rFonts w:hint="eastAsia" w:ascii="宋体" w:hAnsi="宋体"/>
        </w:rPr>
      </w:pPr>
      <w:r>
        <w:rPr>
          <w:rFonts w:hint="eastAsia" w:ascii="宋体" w:hAnsi="宋体"/>
        </w:rPr>
        <w:t>1、不可抗力事故系指买卖双方在缔结合同时所不能预见的，并且它的发生及其后果是无法避免和无法克服的事故。受阻一方应在不可抗力事故发生后尽快用电报、传真或电传通知对方，并于事故发生后</w:t>
      </w:r>
      <w:r>
        <w:rPr>
          <w:rFonts w:ascii="宋体" w:hAnsi="宋体"/>
        </w:rPr>
        <w:t>14</w:t>
      </w:r>
      <w:r>
        <w:rPr>
          <w:rFonts w:hint="eastAsia" w:ascii="宋体" w:hAnsi="宋体"/>
        </w:rPr>
        <w:t>天内将有关当局出具的证明文件用特快专递或挂号信寄给对方审阅确认。</w:t>
      </w:r>
    </w:p>
    <w:p>
      <w:pPr>
        <w:tabs>
          <w:tab w:val="left" w:pos="1200"/>
        </w:tabs>
        <w:spacing w:before="120" w:after="120" w:line="380" w:lineRule="exact"/>
        <w:ind w:firstLine="539" w:firstLineChars="257"/>
        <w:rPr>
          <w:rFonts w:hint="eastAsia" w:ascii="宋体" w:hAnsi="宋体"/>
        </w:rPr>
      </w:pPr>
      <w:r>
        <w:rPr>
          <w:rFonts w:hint="eastAsia" w:ascii="宋体" w:hAnsi="宋体"/>
        </w:rPr>
        <w:t>2、签约双方任一方由于受诸如战争、严重火灾、洪水、台风、地震等不可抗力事故的影响而不能执行合同时，经确认后，允许延期履行、部分履行或不履行合同，并根据情况可部分或全部免予承担违约责任。</w:t>
      </w:r>
    </w:p>
    <w:p>
      <w:pPr>
        <w:keepLines/>
        <w:widowControl/>
        <w:tabs>
          <w:tab w:val="left" w:pos="1004"/>
        </w:tabs>
        <w:spacing w:line="380" w:lineRule="exact"/>
        <w:rPr>
          <w:rFonts w:hint="eastAsia" w:ascii="宋体" w:hAnsi="宋体"/>
          <w:bCs/>
        </w:rPr>
      </w:pPr>
      <w:r>
        <w:rPr>
          <w:rFonts w:hint="eastAsia" w:ascii="宋体" w:hAnsi="宋体"/>
          <w:bCs/>
        </w:rPr>
        <w:t>第九条  争议的解决</w:t>
      </w:r>
    </w:p>
    <w:p>
      <w:pPr>
        <w:tabs>
          <w:tab w:val="left" w:pos="1200"/>
        </w:tabs>
        <w:spacing w:before="120" w:after="120" w:line="380" w:lineRule="exact"/>
        <w:ind w:firstLine="539" w:firstLineChars="257"/>
        <w:rPr>
          <w:rFonts w:hint="eastAsia" w:ascii="宋体" w:hAnsi="宋体"/>
        </w:rPr>
      </w:pPr>
      <w:r>
        <w:rPr>
          <w:rFonts w:hint="eastAsia" w:ascii="宋体" w:hAnsi="宋体"/>
        </w:rPr>
        <w:t>执行本合同发生纠纷，当事人双方应当及时协商解决，协商不成的按下列第</w:t>
      </w:r>
      <w:r>
        <w:rPr>
          <w:rFonts w:hint="eastAsia" w:ascii="宋体" w:hAnsi="宋体"/>
          <w:u w:val="single"/>
        </w:rPr>
        <w:t xml:space="preserve">   </w:t>
      </w:r>
      <w:r>
        <w:rPr>
          <w:rFonts w:hint="eastAsia" w:ascii="宋体" w:hAnsi="宋体"/>
        </w:rPr>
        <w:t>种方式解决。</w:t>
      </w:r>
    </w:p>
    <w:p>
      <w:pPr>
        <w:tabs>
          <w:tab w:val="left" w:pos="1200"/>
        </w:tabs>
        <w:spacing w:before="120" w:after="120" w:line="380" w:lineRule="exact"/>
        <w:ind w:firstLine="539" w:firstLineChars="257"/>
        <w:rPr>
          <w:rFonts w:hint="eastAsia" w:ascii="宋体" w:hAnsi="宋体"/>
        </w:rPr>
      </w:pPr>
      <w:r>
        <w:rPr>
          <w:rFonts w:hint="eastAsia" w:ascii="宋体" w:hAnsi="宋体"/>
        </w:rPr>
        <w:t>A、提交仲裁委员会仲裁；</w:t>
      </w:r>
    </w:p>
    <w:p>
      <w:pPr>
        <w:tabs>
          <w:tab w:val="left" w:pos="1200"/>
        </w:tabs>
        <w:spacing w:before="120" w:after="120" w:line="380" w:lineRule="exact"/>
        <w:ind w:firstLine="539" w:firstLineChars="257"/>
        <w:rPr>
          <w:rFonts w:hint="eastAsia" w:ascii="宋体" w:hAnsi="宋体"/>
        </w:rPr>
      </w:pPr>
      <w:r>
        <w:rPr>
          <w:rFonts w:hint="eastAsia" w:ascii="宋体" w:hAnsi="宋体"/>
        </w:rPr>
        <w:t>B、依法向人民法院提起诉讼。</w:t>
      </w:r>
    </w:p>
    <w:p>
      <w:pPr>
        <w:keepLines/>
        <w:widowControl/>
        <w:tabs>
          <w:tab w:val="left" w:pos="1004"/>
        </w:tabs>
        <w:spacing w:line="380" w:lineRule="exact"/>
        <w:rPr>
          <w:rFonts w:hint="eastAsia" w:ascii="宋体" w:hAnsi="宋体"/>
          <w:bCs/>
        </w:rPr>
      </w:pPr>
      <w:r>
        <w:rPr>
          <w:rFonts w:hint="eastAsia" w:ascii="宋体" w:hAnsi="宋体"/>
          <w:bCs/>
        </w:rPr>
        <w:t>第十条 履约保证金</w:t>
      </w:r>
    </w:p>
    <w:p>
      <w:pPr>
        <w:tabs>
          <w:tab w:val="left" w:pos="1200"/>
        </w:tabs>
        <w:spacing w:before="120" w:after="120" w:line="380" w:lineRule="exact"/>
        <w:ind w:firstLine="539" w:firstLineChars="257"/>
        <w:rPr>
          <w:rFonts w:hint="eastAsia" w:ascii="宋体" w:hAnsi="宋体"/>
        </w:rPr>
      </w:pPr>
      <w:r>
        <w:rPr>
          <w:rFonts w:hint="eastAsia" w:ascii="宋体" w:hAnsi="宋体"/>
        </w:rPr>
        <w:t>1、乙方应在收到《成交通知书》后五日内，向招标人提交相当于合同总额10％的履约保证金，待验收合格后30日内，由招标人无息返还该保证金给乙方。（若在询价文件对履约保证金的缴纳金额和退还方式另有约定的，以约定为准。）</w:t>
      </w:r>
    </w:p>
    <w:p>
      <w:pPr>
        <w:tabs>
          <w:tab w:val="left" w:pos="1200"/>
        </w:tabs>
        <w:spacing w:before="120" w:after="120" w:line="380" w:lineRule="exact"/>
        <w:ind w:firstLine="539" w:firstLineChars="257"/>
        <w:rPr>
          <w:rFonts w:hint="eastAsia" w:ascii="宋体" w:hAnsi="宋体"/>
        </w:rPr>
      </w:pPr>
      <w:r>
        <w:rPr>
          <w:rFonts w:hint="eastAsia" w:ascii="宋体" w:hAnsi="宋体"/>
        </w:rPr>
        <w:t>2、履约保证金形式为汇票、支票、银行划款转帐。</w:t>
      </w:r>
    </w:p>
    <w:p>
      <w:pPr>
        <w:tabs>
          <w:tab w:val="left" w:pos="1200"/>
        </w:tabs>
        <w:spacing w:before="120" w:after="120" w:line="380" w:lineRule="exact"/>
        <w:ind w:firstLine="539" w:firstLineChars="257"/>
        <w:rPr>
          <w:rFonts w:hint="eastAsia" w:ascii="宋体" w:hAnsi="宋体"/>
        </w:rPr>
      </w:pPr>
      <w:r>
        <w:rPr>
          <w:rFonts w:hint="eastAsia" w:ascii="宋体" w:hAnsi="宋体"/>
        </w:rPr>
        <w:t>3、成交人应当作为唯一付款人按照上述规定向招标人直接履行支付履约保证金的义务，不得委托或由他人代为支付，招标人不接受除成交人外的第三人支付的履约保证金。</w:t>
      </w:r>
    </w:p>
    <w:p>
      <w:pPr>
        <w:keepLines/>
        <w:widowControl/>
        <w:tabs>
          <w:tab w:val="left" w:pos="1004"/>
        </w:tabs>
        <w:spacing w:line="380" w:lineRule="exact"/>
        <w:rPr>
          <w:rFonts w:ascii="宋体" w:hAnsi="宋体"/>
          <w:bCs/>
        </w:rPr>
      </w:pPr>
      <w:r>
        <w:rPr>
          <w:rFonts w:hint="eastAsia" w:ascii="宋体" w:hAnsi="宋体"/>
          <w:bCs/>
        </w:rPr>
        <w:t>第十一条 监督和管理</w:t>
      </w:r>
    </w:p>
    <w:p>
      <w:pPr>
        <w:tabs>
          <w:tab w:val="left" w:pos="1200"/>
        </w:tabs>
        <w:spacing w:before="120" w:after="120" w:line="380" w:lineRule="exact"/>
        <w:ind w:firstLine="539" w:firstLineChars="257"/>
        <w:rPr>
          <w:rFonts w:hint="eastAsia" w:ascii="宋体" w:hAnsi="宋体"/>
        </w:rPr>
      </w:pPr>
      <w:r>
        <w:rPr>
          <w:rFonts w:hint="eastAsia" w:ascii="宋体" w:hAnsi="宋体"/>
        </w:rPr>
        <w:t>合同订立后，甲方应将合同政府采购管理部门备案一份；双方经协商一致需变更合同实质性条款或订立补充合同的，应一并送政府采购管理部门备案。</w:t>
      </w:r>
    </w:p>
    <w:p>
      <w:pPr>
        <w:keepLines/>
        <w:widowControl/>
        <w:tabs>
          <w:tab w:val="left" w:pos="1004"/>
        </w:tabs>
        <w:spacing w:line="380" w:lineRule="exact"/>
        <w:rPr>
          <w:rFonts w:ascii="宋体" w:hAnsi="宋体"/>
          <w:bCs/>
        </w:rPr>
      </w:pPr>
      <w:r>
        <w:rPr>
          <w:rFonts w:hint="eastAsia" w:ascii="宋体" w:hAnsi="宋体"/>
          <w:bCs/>
        </w:rPr>
        <w:t>第十二条 无效合同</w:t>
      </w:r>
    </w:p>
    <w:p>
      <w:pPr>
        <w:tabs>
          <w:tab w:val="left" w:pos="1200"/>
        </w:tabs>
        <w:spacing w:before="120" w:after="120" w:line="380" w:lineRule="exact"/>
        <w:ind w:firstLine="539" w:firstLineChars="257"/>
        <w:rPr>
          <w:rFonts w:ascii="宋体" w:hAnsi="宋体"/>
        </w:rPr>
      </w:pPr>
      <w:r>
        <w:rPr>
          <w:rFonts w:hint="eastAsia" w:ascii="宋体" w:hAnsi="宋体"/>
        </w:rPr>
        <w:t>甲乙双方如因违反国家法律、法规和有关政府采购规定，责任由过错方承担。</w:t>
      </w:r>
    </w:p>
    <w:p>
      <w:pPr>
        <w:keepLines/>
        <w:widowControl/>
        <w:tabs>
          <w:tab w:val="left" w:pos="1004"/>
        </w:tabs>
        <w:spacing w:line="380" w:lineRule="exact"/>
        <w:rPr>
          <w:rFonts w:hint="eastAsia" w:ascii="宋体" w:hAnsi="宋体"/>
          <w:bCs/>
        </w:rPr>
      </w:pPr>
      <w:r>
        <w:rPr>
          <w:rFonts w:hint="eastAsia" w:ascii="宋体" w:hAnsi="宋体"/>
          <w:bCs/>
        </w:rPr>
        <w:t>第十三条 附则</w:t>
      </w:r>
    </w:p>
    <w:p>
      <w:pPr>
        <w:tabs>
          <w:tab w:val="left" w:pos="1200"/>
        </w:tabs>
        <w:spacing w:before="120" w:after="120" w:line="380" w:lineRule="exact"/>
        <w:ind w:firstLine="539" w:firstLineChars="257"/>
        <w:rPr>
          <w:rFonts w:hint="eastAsia" w:ascii="宋体" w:hAnsi="宋体"/>
        </w:rPr>
      </w:pPr>
      <w:r>
        <w:rPr>
          <w:rFonts w:hint="eastAsia" w:ascii="宋体" w:hAnsi="宋体"/>
        </w:rPr>
        <w:t>本合同经甲乙双方签字盖章并经甲乙双方签字盖章后生效，本合同正本一式四份，甲乙双方各执一份。</w:t>
      </w:r>
    </w:p>
    <w:p>
      <w:pPr>
        <w:spacing w:line="380" w:lineRule="exact"/>
        <w:rPr>
          <w:rFonts w:ascii="宋体" w:hAnsi="宋体"/>
        </w:rPr>
      </w:pPr>
      <w:r>
        <w:rPr>
          <w:rFonts w:hint="eastAsia" w:ascii="宋体" w:hAnsi="宋体"/>
        </w:rPr>
        <w:t>发包人（甲方）：</w:t>
      </w:r>
      <w:r>
        <w:rPr>
          <w:rFonts w:ascii="宋体" w:hAnsi="宋体"/>
        </w:rPr>
        <w:t xml:space="preserve">              </w:t>
      </w:r>
      <w:r>
        <w:rPr>
          <w:rFonts w:hint="eastAsia" w:ascii="宋体" w:hAnsi="宋体"/>
        </w:rPr>
        <w:t xml:space="preserve">  承包人</w:t>
      </w:r>
      <w:r>
        <w:rPr>
          <w:rFonts w:ascii="宋体" w:hAnsi="宋体"/>
        </w:rPr>
        <w:t>（乙方）：</w:t>
      </w:r>
    </w:p>
    <w:p>
      <w:pPr>
        <w:spacing w:line="380" w:lineRule="exact"/>
        <w:rPr>
          <w:rFonts w:ascii="宋体" w:hAnsi="宋体"/>
        </w:rPr>
      </w:pPr>
      <w:r>
        <w:rPr>
          <w:rFonts w:hint="eastAsia" w:ascii="宋体" w:hAnsi="宋体"/>
        </w:rPr>
        <w:t>法定代表人（或负责人）</w:t>
      </w:r>
      <w:r>
        <w:rPr>
          <w:rFonts w:ascii="宋体" w:hAnsi="宋体"/>
        </w:rPr>
        <w:t>：        法定代表人（或负责人）：</w:t>
      </w:r>
    </w:p>
    <w:p>
      <w:pPr>
        <w:spacing w:line="380" w:lineRule="exact"/>
        <w:rPr>
          <w:rFonts w:ascii="宋体" w:hAnsi="宋体"/>
        </w:rPr>
      </w:pPr>
      <w:r>
        <w:rPr>
          <w:rFonts w:hint="eastAsia" w:ascii="宋体" w:hAnsi="宋体"/>
        </w:rPr>
        <w:t>委托代理人：</w:t>
      </w:r>
      <w:r>
        <w:rPr>
          <w:rFonts w:ascii="宋体" w:hAnsi="宋体"/>
        </w:rPr>
        <w:t xml:space="preserve">                   委托代理人：</w:t>
      </w:r>
    </w:p>
    <w:p>
      <w:pPr>
        <w:spacing w:line="380" w:lineRule="exact"/>
        <w:rPr>
          <w:rFonts w:ascii="宋体" w:hAnsi="宋体"/>
        </w:rPr>
      </w:pPr>
      <w:r>
        <w:rPr>
          <w:rFonts w:hint="eastAsia" w:ascii="宋体" w:hAnsi="宋体"/>
        </w:rPr>
        <w:t>地址：</w:t>
      </w:r>
      <w:r>
        <w:rPr>
          <w:rFonts w:ascii="宋体" w:hAnsi="宋体"/>
        </w:rPr>
        <w:t xml:space="preserve">                         地址：</w:t>
      </w:r>
    </w:p>
    <w:p>
      <w:pPr>
        <w:spacing w:line="380" w:lineRule="exact"/>
        <w:rPr>
          <w:rFonts w:ascii="宋体" w:hAnsi="宋体"/>
        </w:rPr>
      </w:pPr>
      <w:r>
        <w:rPr>
          <w:rFonts w:hint="eastAsia" w:ascii="宋体" w:hAnsi="宋体"/>
        </w:rPr>
        <w:t>开户银行：</w:t>
      </w:r>
      <w:r>
        <w:rPr>
          <w:rFonts w:ascii="宋体" w:hAnsi="宋体"/>
        </w:rPr>
        <w:t xml:space="preserve">                     开户银行：</w:t>
      </w:r>
    </w:p>
    <w:p>
      <w:pPr>
        <w:spacing w:line="380" w:lineRule="exact"/>
        <w:rPr>
          <w:rFonts w:ascii="宋体" w:hAnsi="宋体"/>
        </w:rPr>
      </w:pPr>
      <w:r>
        <w:rPr>
          <w:rFonts w:hint="eastAsia" w:ascii="宋体" w:hAnsi="宋体"/>
        </w:rPr>
        <w:t>帐号：</w:t>
      </w:r>
      <w:r>
        <w:rPr>
          <w:rFonts w:ascii="宋体" w:hAnsi="宋体"/>
        </w:rPr>
        <w:t xml:space="preserve">                         帐号：</w:t>
      </w:r>
    </w:p>
    <w:p>
      <w:pPr>
        <w:spacing w:line="380" w:lineRule="exact"/>
        <w:rPr>
          <w:rFonts w:hint="eastAsia" w:ascii="宋体" w:hAnsi="宋体"/>
        </w:rPr>
      </w:pPr>
      <w:r>
        <w:rPr>
          <w:rFonts w:hint="eastAsia" w:ascii="宋体" w:hAnsi="宋体"/>
        </w:rPr>
        <w:t>电话：</w:t>
      </w:r>
      <w:r>
        <w:rPr>
          <w:rFonts w:ascii="宋体" w:hAnsi="宋体"/>
        </w:rPr>
        <w:t xml:space="preserve">                         电话：</w:t>
      </w:r>
    </w:p>
    <w:p>
      <w:pPr>
        <w:spacing w:line="380" w:lineRule="exact"/>
        <w:rPr>
          <w:rFonts w:hint="eastAsia" w:ascii="宋体" w:hAnsi="宋体"/>
        </w:rPr>
      </w:pPr>
    </w:p>
    <w:p>
      <w:pPr>
        <w:spacing w:line="380" w:lineRule="exact"/>
        <w:rPr>
          <w:rFonts w:hint="eastAsia" w:ascii="宋体" w:hAnsi="宋体" w:eastAsia="宋体"/>
          <w:b/>
          <w:lang w:eastAsia="zh-CN"/>
        </w:rPr>
        <w:sectPr>
          <w:footerReference r:id="rId3" w:type="default"/>
          <w:pgSz w:w="11906" w:h="16838"/>
          <w:pgMar w:top="1701" w:right="1440" w:bottom="1440" w:left="1440" w:header="851" w:footer="992" w:gutter="0"/>
          <w:pgNumType w:fmt="decimal" w:start="1"/>
          <w:cols w:space="720" w:num="1"/>
          <w:rtlGutter w:val="0"/>
          <w:docGrid w:linePitch="312" w:charSpace="0"/>
        </w:sectPr>
      </w:pPr>
      <w:r>
        <w:rPr>
          <w:rFonts w:hint="eastAsia" w:ascii="宋体" w:hAnsi="宋体"/>
          <w:b/>
        </w:rPr>
        <w:t>注：本合同样本仅供参考，具体内容由采购人和成交单位协商确定</w:t>
      </w:r>
      <w:bookmarkStart w:id="259" w:name="_Toc179632806"/>
      <w:r>
        <w:rPr>
          <w:rFonts w:hint="eastAsia" w:ascii="宋体" w:hAnsi="宋体"/>
          <w:b/>
          <w:lang w:eastAsia="zh-CN"/>
        </w:rPr>
        <w:t>。</w:t>
      </w:r>
    </w:p>
    <w:p>
      <w:pPr>
        <w:pStyle w:val="2"/>
        <w:numPr>
          <w:ilvl w:val="0"/>
          <w:numId w:val="3"/>
        </w:numPr>
        <w:spacing w:before="120" w:after="120" w:line="400" w:lineRule="exact"/>
        <w:ind w:firstLine="2530" w:firstLineChars="900"/>
        <w:jc w:val="center"/>
        <w:rPr>
          <w:rFonts w:hint="eastAsia" w:ascii="宋体" w:hAnsi="宋体"/>
          <w:bCs w:val="0"/>
          <w:sz w:val="28"/>
          <w:szCs w:val="28"/>
          <w:lang w:eastAsia="zh-CN"/>
        </w:rPr>
      </w:pPr>
      <w:bookmarkStart w:id="260" w:name="_Toc26530"/>
      <w:r>
        <w:rPr>
          <w:rFonts w:hint="eastAsia" w:ascii="宋体" w:hAnsi="宋体"/>
          <w:bCs w:val="0"/>
          <w:sz w:val="28"/>
          <w:szCs w:val="28"/>
        </w:rPr>
        <w:t>采购</w:t>
      </w:r>
      <w:r>
        <w:rPr>
          <w:rFonts w:hint="eastAsia" w:ascii="宋体" w:hAnsi="宋体"/>
          <w:bCs w:val="0"/>
          <w:sz w:val="28"/>
          <w:szCs w:val="28"/>
          <w:lang w:eastAsia="zh-CN"/>
        </w:rPr>
        <w:t>清单</w:t>
      </w:r>
      <w:bookmarkEnd w:id="26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采购项目名称：</w:t>
      </w:r>
      <w:r>
        <w:rPr>
          <w:rFonts w:hint="eastAsia" w:ascii="宋体" w:hAnsi="宋体" w:eastAsia="宋体" w:cs="Times New Roman"/>
          <w:b w:val="0"/>
          <w:bCs w:val="0"/>
          <w:kern w:val="2"/>
          <w:sz w:val="21"/>
          <w:szCs w:val="24"/>
          <w:lang w:val="en-US" w:eastAsia="zh-CN" w:bidi="ar-SA"/>
        </w:rPr>
        <w:fldChar w:fldCharType="begin"/>
      </w:r>
      <w:r>
        <w:rPr>
          <w:rFonts w:hint="eastAsia" w:ascii="宋体" w:hAnsi="宋体" w:eastAsia="宋体" w:cs="Times New Roman"/>
          <w:b w:val="0"/>
          <w:bCs w:val="0"/>
          <w:kern w:val="2"/>
          <w:sz w:val="21"/>
          <w:szCs w:val="24"/>
          <w:lang w:val="en-US" w:eastAsia="zh-CN" w:bidi="ar-SA"/>
        </w:rPr>
        <w:instrText xml:space="preserve"> HYPERLINK "https://www.zcygov.cn/proj-procurement/project-result-detail/603d55d88828a5e9" \t "https://www.zcygov.cn/bid-inviting/purchaseFileMake/_blank" </w:instrText>
      </w:r>
      <w:r>
        <w:rPr>
          <w:rFonts w:hint="eastAsia" w:ascii="宋体" w:hAnsi="宋体" w:eastAsia="宋体" w:cs="Times New Roman"/>
          <w:b w:val="0"/>
          <w:bCs w:val="0"/>
          <w:kern w:val="2"/>
          <w:sz w:val="21"/>
          <w:szCs w:val="24"/>
          <w:lang w:val="en-US" w:eastAsia="zh-CN" w:bidi="ar-SA"/>
        </w:rPr>
        <w:fldChar w:fldCharType="separate"/>
      </w:r>
      <w:r>
        <w:rPr>
          <w:rFonts w:hint="eastAsia" w:ascii="宋体" w:hAnsi="宋体" w:eastAsia="宋体" w:cs="Times New Roman"/>
          <w:b w:val="0"/>
          <w:bCs w:val="0"/>
          <w:kern w:val="2"/>
          <w:sz w:val="21"/>
          <w:szCs w:val="24"/>
          <w:lang w:val="en-US" w:eastAsia="zh-CN" w:bidi="ar-SA"/>
        </w:rPr>
        <w:t>沙雅县公安局警用装备采购项目</w:t>
      </w:r>
      <w:r>
        <w:rPr>
          <w:rFonts w:hint="eastAsia" w:ascii="宋体" w:hAnsi="宋体" w:eastAsia="宋体" w:cs="Times New Roman"/>
          <w:b w:val="0"/>
          <w:bCs w:val="0"/>
          <w:kern w:val="2"/>
          <w:sz w:val="21"/>
          <w:szCs w:val="24"/>
          <w:lang w:val="en-US" w:eastAsia="zh-CN" w:bidi="ar-SA"/>
        </w:rPr>
        <w:fldChar w:fldCharType="end"/>
      </w:r>
    </w:p>
    <w:p>
      <w:pPr>
        <w:rPr>
          <w:rFonts w:hint="eastAsia" w:ascii="宋体" w:hAnsi="宋体" w:eastAsia="宋体" w:cs="Times New Roman"/>
          <w:b w:val="0"/>
          <w:bCs w:val="0"/>
          <w:kern w:val="2"/>
          <w:sz w:val="21"/>
          <w:szCs w:val="24"/>
          <w:lang w:val="en-US" w:eastAsia="zh-CN" w:bidi="ar-SA"/>
        </w:rPr>
      </w:pPr>
      <w:r>
        <w:rPr>
          <w:rFonts w:hint="eastAsia" w:ascii="宋体" w:hAnsi="宋体" w:eastAsia="宋体" w:cs="Times New Roman"/>
          <w:b w:val="0"/>
          <w:bCs w:val="0"/>
          <w:kern w:val="2"/>
          <w:sz w:val="21"/>
          <w:szCs w:val="24"/>
          <w:lang w:val="en-US" w:eastAsia="zh-CN" w:bidi="ar-SA"/>
        </w:rPr>
        <w:t>采购预算价格：486250.00元；</w:t>
      </w:r>
    </w:p>
    <w:tbl>
      <w:tblPr>
        <w:tblStyle w:val="19"/>
        <w:tblpPr w:leftFromText="180" w:rightFromText="180" w:vertAnchor="text" w:horzAnchor="page" w:tblpX="1540" w:tblpY="142"/>
        <w:tblOverlap w:val="never"/>
        <w:tblW w:w="143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912"/>
        <w:gridCol w:w="2703"/>
        <w:gridCol w:w="7061"/>
        <w:gridCol w:w="646"/>
        <w:gridCol w:w="941"/>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4342"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装备采购清单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装备名称</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照片</w:t>
            </w:r>
          </w:p>
        </w:tc>
        <w:tc>
          <w:tcPr>
            <w:tcW w:w="7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拐弯操作平台</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211455</wp:posOffset>
                  </wp:positionH>
                  <wp:positionV relativeFrom="paragraph">
                    <wp:posOffset>798830</wp:posOffset>
                  </wp:positionV>
                  <wp:extent cx="1146810" cy="982980"/>
                  <wp:effectExtent l="0" t="0" r="15240" b="7620"/>
                  <wp:wrapNone/>
                  <wp:docPr id="2" name="Picture_24"/>
                  <wp:cNvGraphicFramePr/>
                  <a:graphic xmlns:a="http://schemas.openxmlformats.org/drawingml/2006/main">
                    <a:graphicData uri="http://schemas.openxmlformats.org/drawingml/2006/picture">
                      <pic:pic xmlns:pic="http://schemas.openxmlformats.org/drawingml/2006/picture">
                        <pic:nvPicPr>
                          <pic:cNvPr id="2" name="Picture_24"/>
                          <pic:cNvPicPr/>
                        </pic:nvPicPr>
                        <pic:blipFill>
                          <a:blip r:embed="rId12"/>
                          <a:stretch>
                            <a:fillRect/>
                          </a:stretch>
                        </pic:blipFill>
                        <pic:spPr>
                          <a:xfrm>
                            <a:off x="0" y="0"/>
                            <a:ext cx="1146810" cy="98298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使用者在不暴露身体部位的前提下，对视界盲区进行侦察和躲藏在拐角处的目标进行控制和清除。最大程度保障我方人员的生命安全；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可配各种制式手Q(92、92G、64、Glock17等)，满足不同作战任务需要；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3．具备视频十字与外屏双瞄准功能，双屏图像显示便于侦查和快速射击；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具有自由变线跟踪瞄准功能，水平、垂直等多角度目标侦察，适应各种战术动作要求；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5．具有拐弯射击稳定控制功能，瞄准射击精度高；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6．配有战术灯，激光校准器；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7．能实现多角度水平、垂直目标侦察；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8．系统性能稳定、可靠、使用安全，环境适应性强。尤其适用于夜晚光照度不够的情况下，可实现视频侦察打击一体化；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9．具有左、右操作功能，满足不同使用者操作习惯；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主要技术指标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武器机械转角范围 180°（±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机械转角速度 90°/ 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联动击发扳机拉力 ≤2.3kg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瞄准镜周视转角范围 180°（±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周视观瞄镜视场 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观察视频屏幕尺寸 0.44英寸（相当于４米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距离观看80英吋电视）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显示像素 640*480 1670万色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系统重量 ≤2.6kg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外置屏参数1. 2.5寸 TFT-LCD 、2. 分 辨 率: 320×240P、3. 平均亮度: 250 cd/m2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对 比 度: 300:1、5. 响应时间: 25 ms、6. 输入电压: DC 12V 、7. 电源保护:带输入电压极性保护、产品提供公安部安全与警用电子产品质量检测中心的检验报告。中标后提供生产厂家针对本项目的售后服务承诺。</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内窥镜</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300355</wp:posOffset>
                  </wp:positionH>
                  <wp:positionV relativeFrom="paragraph">
                    <wp:posOffset>1548765</wp:posOffset>
                  </wp:positionV>
                  <wp:extent cx="1151890" cy="1696085"/>
                  <wp:effectExtent l="0" t="0" r="11430" b="18415"/>
                  <wp:wrapNone/>
                  <wp:docPr id="3" name="图片_32"/>
                  <wp:cNvGraphicFramePr/>
                  <a:graphic xmlns:a="http://schemas.openxmlformats.org/drawingml/2006/main">
                    <a:graphicData uri="http://schemas.openxmlformats.org/drawingml/2006/picture">
                      <pic:pic xmlns:pic="http://schemas.openxmlformats.org/drawingml/2006/picture">
                        <pic:nvPicPr>
                          <pic:cNvPr id="3" name="图片_32"/>
                          <pic:cNvPicPr/>
                        </pic:nvPicPr>
                        <pic:blipFill>
                          <a:blip r:embed="rId13"/>
                          <a:stretch>
                            <a:fillRect/>
                          </a:stretch>
                        </pic:blipFill>
                        <pic:spPr>
                          <a:xfrm>
                            <a:off x="0" y="0"/>
                            <a:ext cx="1151890" cy="169608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一、性能要求：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管窥镜采用探头、管线、主机、电池等一体式手持便携设计，现场携带方便；管线系统、主机系统独立模块设计，可自主更换管线长短、探头大小、显示屏尺寸等，并方便后续快捷升级软、硬件；双组电池续航设计实现8小时正常使用，单节电池可正常开机使用；阻尼式360°全向定位控制，带紧固锁定装置；支持高清图像传感技术，可进行拍照和录像，钛合金镜头外壳，钨丝耐磨管，抗腐蚀、耐磨，适用于恶劣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二、管线系统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1、探头直径：6.0mm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2、像素：45万，红外光/白光一体，一键切换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3、景深：20-∞mm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4、视场角：≥60°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5、管线长度：1.5米钨丝耐磨管（其他长度可定制）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6、弯曲方向：360°全向弯曲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7、弯曲角度：最大190°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8、★探头锁定：带阻尼自动定位，配紧固锁定装置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三、主机系统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1、显示器：3.5寸彩色TFT液晶显示屏，遮阳设计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2、图像分辨率：1920×1080×、1280×720、640×480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3、图像存储：可拍照录像，储存至TF卡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4、数据接口：HDMI视频输出接口一个、Micro USB接口一个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5、★续航：双电池设计，实时电量显示，连续工作时间8小时以上，单节电池可正常开机使用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6、电源：可拆卸充电锂电池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7、★兼容性：可更换5.7寸屏主机，兼容不同直径/长度的插入管系统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8、标尺：可通过标尺进行对比参考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9、★整机重量：≤0.95Kg</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暗夜迷彩蛙服短袖套装</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260350</wp:posOffset>
                  </wp:positionH>
                  <wp:positionV relativeFrom="paragraph">
                    <wp:posOffset>195580</wp:posOffset>
                  </wp:positionV>
                  <wp:extent cx="1018540" cy="685165"/>
                  <wp:effectExtent l="0" t="0" r="10160" b="635"/>
                  <wp:wrapNone/>
                  <wp:docPr id="4" name="Picture_1"/>
                  <wp:cNvGraphicFramePr/>
                  <a:graphic xmlns:a="http://schemas.openxmlformats.org/drawingml/2006/main">
                    <a:graphicData uri="http://schemas.openxmlformats.org/drawingml/2006/picture">
                      <pic:pic xmlns:pic="http://schemas.openxmlformats.org/drawingml/2006/picture">
                        <pic:nvPicPr>
                          <pic:cNvPr id="4" name="Picture_1"/>
                          <pic:cNvPicPr/>
                        </pic:nvPicPr>
                        <pic:blipFill>
                          <a:blip r:embed="rId14"/>
                          <a:stretch>
                            <a:fillRect/>
                          </a:stretch>
                        </pic:blipFill>
                        <pic:spPr>
                          <a:xfrm>
                            <a:off x="0" y="0"/>
                            <a:ext cx="1018540" cy="68516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长袖迷彩蛙服，特性：速干、吸汗、耐磨、柔软、舒适，采用涤棉混纺布（含杜邦高弹丝合成工艺）和吸湿速干布搭配拼接，面料成分为针织面料 95%棉 5%氨纶；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料具备良好的弹力、耐摩擦、防尘、防静电、防褪色、耐酸碱、吸湿速干；4级防干湿褪色1:可伸缩裤腰，随时迎合运动或者饭后变化。2:穿着有弹力方便运动及踢跨舒适度，3:裆部有三角护裆设计，时刻保持一部分空间提高舒适度，和防止快速下跨，踢腿和下蹲突然撕裂。4:袖口和裤口都有魔术贴方便穿靴子和训练。袖口有加硬处理让穿着更有精神</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体能服</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111760</wp:posOffset>
                  </wp:positionH>
                  <wp:positionV relativeFrom="paragraph">
                    <wp:posOffset>1388745</wp:posOffset>
                  </wp:positionV>
                  <wp:extent cx="1153160" cy="1788795"/>
                  <wp:effectExtent l="0" t="0" r="8890" b="1905"/>
                  <wp:wrapNone/>
                  <wp:docPr id="6" name="Picture_4"/>
                  <wp:cNvGraphicFramePr/>
                  <a:graphic xmlns:a="http://schemas.openxmlformats.org/drawingml/2006/main">
                    <a:graphicData uri="http://schemas.openxmlformats.org/drawingml/2006/picture">
                      <pic:pic xmlns:pic="http://schemas.openxmlformats.org/drawingml/2006/picture">
                        <pic:nvPicPr>
                          <pic:cNvPr id="6" name="Picture_4"/>
                          <pic:cNvPicPr/>
                        </pic:nvPicPr>
                        <pic:blipFill>
                          <a:blip r:embed="rId15"/>
                          <a:stretch>
                            <a:fillRect/>
                          </a:stretch>
                        </pic:blipFill>
                        <pic:spPr>
                          <a:xfrm>
                            <a:off x="0" y="0"/>
                            <a:ext cx="1153160" cy="178879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257810</wp:posOffset>
                  </wp:positionH>
                  <wp:positionV relativeFrom="paragraph">
                    <wp:posOffset>15240</wp:posOffset>
                  </wp:positionV>
                  <wp:extent cx="1009650" cy="1331595"/>
                  <wp:effectExtent l="0" t="0" r="0" b="1905"/>
                  <wp:wrapNone/>
                  <wp:docPr id="5" name="图片_43"/>
                  <wp:cNvGraphicFramePr/>
                  <a:graphic xmlns:a="http://schemas.openxmlformats.org/drawingml/2006/main">
                    <a:graphicData uri="http://schemas.openxmlformats.org/drawingml/2006/picture">
                      <pic:pic xmlns:pic="http://schemas.openxmlformats.org/drawingml/2006/picture">
                        <pic:nvPicPr>
                          <pic:cNvPr id="5" name="图片_43"/>
                          <pic:cNvPicPr/>
                        </pic:nvPicPr>
                        <pic:blipFill>
                          <a:blip r:embed="rId16"/>
                          <a:stretch>
                            <a:fillRect/>
                          </a:stretch>
                        </pic:blipFill>
                        <pic:spPr>
                          <a:xfrm>
                            <a:off x="0" y="0"/>
                            <a:ext cx="1009650" cy="133159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1、采用速干面料 100%聚酯纤维；2、胸口银白色立体警徽刺绣；3、右臂带有魔术贴；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面料指标：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耐水色牢度（级）检测标准 GB/T 5713-2013 技术要求：变色 ≥ 4 沾色 ≥ 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耐汗渍色牢度（级）检测标准 GB/T 3922-2013 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酸性：变色 ≥ 4 酸性：沾色 ≥ 4 碱性：变色 ≥ 4碱性：沾色 ≥ 4、耐摩擦色牢度（级）检测标准 GB/T 3920-2008 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干摩擦 ≥ 4 湿摩擦 ≥ 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织物勾丝性能（级）检测标准 GB/T 11047-2008 技术要求：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直向  2 横 向 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水洗尺寸变化率（%） 检测标准 GB/T 8628-2013 GB/T、8629-2017 GB/T 8630-2013 （洗涤程序 4N，洗涤 10 次， 悬挂晾干）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技术要求：直向 -1.6±0.1 横向 -0.6±0.1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滴水扩散时间（s）检测标准 GB/T 21655.1-2008 第 8.2 条款技术要求：≤1.0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洗后外观质量 检测标准 GB/T 8629-2017 （洗涤程序 4N，洗涤 10 次， 悬挂晾干）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裤子：1、采用速干面料 100%聚酯纤维；2、腰部采用弹力松紧设计，并带有腰带；3、两侧隐藏式口袋；4、裤腿处带有暗色刺绣警察英文。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3"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训练假人（60kg）</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231775</wp:posOffset>
                  </wp:positionH>
                  <wp:positionV relativeFrom="paragraph">
                    <wp:posOffset>29210</wp:posOffset>
                  </wp:positionV>
                  <wp:extent cx="1143000" cy="1143000"/>
                  <wp:effectExtent l="0" t="0" r="0" b="0"/>
                  <wp:wrapNone/>
                  <wp:docPr id="7" name="图片_33"/>
                  <wp:cNvGraphicFramePr/>
                  <a:graphic xmlns:a="http://schemas.openxmlformats.org/drawingml/2006/main">
                    <a:graphicData uri="http://schemas.openxmlformats.org/drawingml/2006/picture">
                      <pic:pic xmlns:pic="http://schemas.openxmlformats.org/drawingml/2006/picture">
                        <pic:nvPicPr>
                          <pic:cNvPr id="7" name="图片_33"/>
                          <pic:cNvPicPr/>
                        </pic:nvPicPr>
                        <pic:blipFill>
                          <a:blip r:embed="rId17"/>
                          <a:stretch>
                            <a:fillRect/>
                          </a:stretch>
                        </pic:blipFill>
                        <pic:spPr>
                          <a:xfrm>
                            <a:off x="0" y="0"/>
                            <a:ext cx="1143000" cy="114300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1、材料：采用尼龙涂层革、仿皮革双层制作，内衬帆布,布条填充物,外形根据新国际标准设计,训练效果,形状接近人体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2、颜色：黑色。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3、重量：35kg 高度:165cm。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4、材质：仿皮制，填充纤维棉丝。</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3"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照相机</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285750</wp:posOffset>
                  </wp:positionH>
                  <wp:positionV relativeFrom="paragraph">
                    <wp:posOffset>97155</wp:posOffset>
                  </wp:positionV>
                  <wp:extent cx="1122045" cy="1010920"/>
                  <wp:effectExtent l="0" t="0" r="1905" b="17780"/>
                  <wp:wrapNone/>
                  <wp:docPr id="8" name="图片_34"/>
                  <wp:cNvGraphicFramePr/>
                  <a:graphic xmlns:a="http://schemas.openxmlformats.org/drawingml/2006/main">
                    <a:graphicData uri="http://schemas.openxmlformats.org/drawingml/2006/picture">
                      <pic:pic xmlns:pic="http://schemas.openxmlformats.org/drawingml/2006/picture">
                        <pic:nvPicPr>
                          <pic:cNvPr id="8" name="图片_34"/>
                          <pic:cNvPicPr/>
                        </pic:nvPicPr>
                        <pic:blipFill>
                          <a:blip r:embed="rId18"/>
                          <a:stretch>
                            <a:fillRect/>
                          </a:stretch>
                        </pic:blipFill>
                        <pic:spPr>
                          <a:xfrm>
                            <a:off x="0" y="0"/>
                            <a:ext cx="1122045" cy="101092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接口HDMI；Wi-Fi；蓝牙传感器类型CMOS传感器尺寸APS画幅屏幕参数，液晶屏类型旋转屏；触摸屏，液晶屏尺寸3.0英寸取景器类型光学取景器镜头参数最大光圈F4.0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电源参数外接电源支持外接电源电池型号LP-E17电池类型锂离子电池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存储参数机身内存无存储介质SD卡；SDHC卡；SDXC卡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自拍；延时拍摄；遥控拍摄连拍速度最高约5张/秒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基本参数产品净重（g）约449克（含电池）/约402克（仅机身）产品尺寸（mm）122.4×92.6×69.8，内存：128G</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沙背心10kg（绑腿全套、单腿2kg）</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298450</wp:posOffset>
                  </wp:positionH>
                  <wp:positionV relativeFrom="paragraph">
                    <wp:posOffset>11430</wp:posOffset>
                  </wp:positionV>
                  <wp:extent cx="1054735" cy="1219200"/>
                  <wp:effectExtent l="0" t="0" r="12065" b="0"/>
                  <wp:wrapNone/>
                  <wp:docPr id="9" name="Picture_5"/>
                  <wp:cNvGraphicFramePr/>
                  <a:graphic xmlns:a="http://schemas.openxmlformats.org/drawingml/2006/main">
                    <a:graphicData uri="http://schemas.openxmlformats.org/drawingml/2006/picture">
                      <pic:pic xmlns:pic="http://schemas.openxmlformats.org/drawingml/2006/picture">
                        <pic:nvPicPr>
                          <pic:cNvPr id="9" name="Picture_5"/>
                          <pic:cNvPicPr/>
                        </pic:nvPicPr>
                        <pic:blipFill>
                          <a:blip r:embed="rId19"/>
                          <a:stretch>
                            <a:fillRect/>
                          </a:stretch>
                        </pic:blipFill>
                        <pic:spPr>
                          <a:xfrm>
                            <a:off x="0" y="0"/>
                            <a:ext cx="1054735" cy="121920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参数：材质牛津帆布，背心可配重10公斤，绑腿沙袋单腿可配重2公斤。</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便携式氧气套装</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196850</wp:posOffset>
                  </wp:positionH>
                  <wp:positionV relativeFrom="paragraph">
                    <wp:posOffset>1104265</wp:posOffset>
                  </wp:positionV>
                  <wp:extent cx="1184275" cy="1856105"/>
                  <wp:effectExtent l="0" t="0" r="15875" b="10795"/>
                  <wp:wrapNone/>
                  <wp:docPr id="10" name="图片_11"/>
                  <wp:cNvGraphicFramePr/>
                  <a:graphic xmlns:a="http://schemas.openxmlformats.org/drawingml/2006/main">
                    <a:graphicData uri="http://schemas.openxmlformats.org/drawingml/2006/picture">
                      <pic:pic xmlns:pic="http://schemas.openxmlformats.org/drawingml/2006/picture">
                        <pic:nvPicPr>
                          <pic:cNvPr id="10" name="图片_11"/>
                          <pic:cNvPicPr/>
                        </pic:nvPicPr>
                        <pic:blipFill>
                          <a:blip r:embed="rId20"/>
                          <a:stretch>
                            <a:fillRect/>
                          </a:stretch>
                        </pic:blipFill>
                        <pic:spPr>
                          <a:xfrm>
                            <a:off x="0" y="0"/>
                            <a:ext cx="1184275" cy="185610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符合国家GA124-2013《正压式消防空气呼吸器》标准，▲面罩与压力平视显示器为一体式设计， 显示气瓶剩余压力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容量：9L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开关机及低气压报警时具有震动提醒功能，电池待机时间不低于1年；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整机质量不应＞11Kg；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无线信号接收具有唯一性，要不受干扰，电气元件的防爆性能：其防爆等级为：Ex ia IIC T5Ga；防护等级于IP68；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当气瓶压力在30～10MPa时，绿灯常亮；当气瓶压力在10～6MPa时，黄灯常亮；当气瓶压力在6 MPa以下时，红灯一直闪亮；当压力平视显示装置的电源处于低电压时，黄灯一直闪亮，当发射装置与显示装置配对时，蓝灯一直闪亮；当配对成功后，蓝灯应熄灭；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▲呼吸器的生产单位应具有本压力平视显示器的生产能力 （提供压力平视显示器防爆证书与呼吸器同一厂家）▲呼吸器的生产单位应具有本压力平视发射器的生产能力。（提供压力平视发射器防爆证书与呼吸器同一厂家）其防爆等级为：Ex ia IIC T5Ga；防护等级大于IP68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减压器：结构简单可靠，压力补给型，保持中压循环系统中的持续流量≥500升/分钟；配有泄压安全阀，当中压回路中压力大于1.1MPa时自动泄压，保证使用者安全；配有便捷式手轮，用于装卸气瓶；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配有他救三通快插接口， 供抢救第二方时呼吸用，另一端不使用情况配橡胶套封住，防止异物进入，他救接口置于胸前，方便对接；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背架：背托架由阻燃工程塑料注塑成型，具有强度高，耐冲击性强，不易损坏，弯曲90度不会断裂，重量轻等优点；采用大面积镂空设计，大大减轻了装备的重量，中压管与高压管镶嵌于背架内，防止拉扯割裂，背托肩垫和腰垫采用Kevlar材质编制而成；背带可根据人员的身高调节背带的长度；增加了胸扣并且能调节长度，扣紧后不会发生滑脱；气瓶绑带上搭扣可以通过反扣对气瓶进行双重固定；▲配有腰托装置，在进行腰部活动时左右随动，可自由灵活地转动；▲呼吸器的生产单位应具有气瓶阀门的生产资质。提供瓶阀检测报告，提供瓶阀制造许可证（提供阀门制造许可证与呼吸器同一厂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山地抛投器</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176530</wp:posOffset>
                  </wp:positionH>
                  <wp:positionV relativeFrom="paragraph">
                    <wp:posOffset>215900</wp:posOffset>
                  </wp:positionV>
                  <wp:extent cx="1242695" cy="1781810"/>
                  <wp:effectExtent l="0" t="0" r="14605" b="8890"/>
                  <wp:wrapNone/>
                  <wp:docPr id="11" name="图片_21"/>
                  <wp:cNvGraphicFramePr/>
                  <a:graphic xmlns:a="http://schemas.openxmlformats.org/drawingml/2006/main">
                    <a:graphicData uri="http://schemas.openxmlformats.org/drawingml/2006/picture">
                      <pic:pic xmlns:pic="http://schemas.openxmlformats.org/drawingml/2006/picture">
                        <pic:nvPicPr>
                          <pic:cNvPr id="11" name="图片_21"/>
                          <pic:cNvPicPr/>
                        </pic:nvPicPr>
                        <pic:blipFill>
                          <a:blip r:embed="rId21"/>
                          <a:stretch>
                            <a:fillRect/>
                          </a:stretch>
                        </pic:blipFill>
                        <pic:spPr>
                          <a:xfrm>
                            <a:off x="0" y="0"/>
                            <a:ext cx="1242695" cy="178181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本套产品由抛投器主体、大绳桶、小绳桶、充气管、钛合金锚钩、发射气瓶、救生圈、救生圈保护罩、小气瓶、水敏感原件组成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1、抛投器主体：折叠尺寸：460*180*70mm伸展长度640*180*70mm重：4.2kg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2、充气管长1400mm重：1.1kg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3、大绳桶305*164*185mm重：3.5kg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4、小绳桶275*128*180mm重：2.0kg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5、钛合金锚钩242*Φ203mm重：0.3kg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6、发射气瓶337*Φ63mm重：0.85kg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7、救生圈265*Φ72mm重：0.4kg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8、外形尺寸：1000×170×260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9、重：19.5Kg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发射距离（无风）：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1、救生圈水平发射距离70-100M（配φ4mm绳子）极限拉力280kg,使用拉力60kg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2、锚钩水平射距离50-80M（配φ6mm救援绳）极限拉力800kg,使用拉力160kg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3、锚钩垂直发射距离（带钩）30-45M（配φ6mm救援绳）</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9"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防暴服</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280670</wp:posOffset>
                  </wp:positionH>
                  <wp:positionV relativeFrom="paragraph">
                    <wp:posOffset>7620</wp:posOffset>
                  </wp:positionV>
                  <wp:extent cx="895350" cy="1700530"/>
                  <wp:effectExtent l="0" t="0" r="0" b="13970"/>
                  <wp:wrapNone/>
                  <wp:docPr id="12" name="图片_39"/>
                  <wp:cNvGraphicFramePr/>
                  <a:graphic xmlns:a="http://schemas.openxmlformats.org/drawingml/2006/main">
                    <a:graphicData uri="http://schemas.openxmlformats.org/drawingml/2006/picture">
                      <pic:pic xmlns:pic="http://schemas.openxmlformats.org/drawingml/2006/picture">
                        <pic:nvPicPr>
                          <pic:cNvPr id="12" name="图片_39"/>
                          <pic:cNvPicPr/>
                        </pic:nvPicPr>
                        <pic:blipFill>
                          <a:blip r:embed="rId22"/>
                          <a:stretch>
                            <a:fillRect/>
                          </a:stretch>
                        </pic:blipFill>
                        <pic:spPr>
                          <a:xfrm>
                            <a:off x="0" y="0"/>
                            <a:ext cx="895350" cy="170053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采用战训服为基础衣服，防护甲片通过口袋式安装在战训服上，袋口由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尼龙粘合扣粘贴，前胸、后背防护层可以根据需要换成防弹芯片。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防刺芯片或防弹防刺芯片。具有穿着舒适、美观大方、穿着迅速、重量轻，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基础衣服可清洗等特点。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防刺性能：防护层以 20J 动能穿刺刀尖不穿透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吸能性能：以 120J 动能冲击防护层，胶泥压痕＜ 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阻燃性能：续燃时间＜ 10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适应温度：-20℃～ +55℃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 5KG</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提供产品质量责任保险，金额不低于200万，年限不低于5年，（以保单数值为准），提供保险证明材料复印件，原件备查。</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撞门器</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71120</wp:posOffset>
                  </wp:positionH>
                  <wp:positionV relativeFrom="paragraph">
                    <wp:posOffset>19050</wp:posOffset>
                  </wp:positionV>
                  <wp:extent cx="1285240" cy="1380490"/>
                  <wp:effectExtent l="0" t="0" r="10160" b="10160"/>
                  <wp:wrapNone/>
                  <wp:docPr id="13" name="图片_40"/>
                  <wp:cNvGraphicFramePr/>
                  <a:graphic xmlns:a="http://schemas.openxmlformats.org/drawingml/2006/main">
                    <a:graphicData uri="http://schemas.openxmlformats.org/drawingml/2006/picture">
                      <pic:pic xmlns:pic="http://schemas.openxmlformats.org/drawingml/2006/picture">
                        <pic:nvPicPr>
                          <pic:cNvPr id="13" name="图片_40"/>
                          <pic:cNvPicPr/>
                        </pic:nvPicPr>
                        <pic:blipFill>
                          <a:blip r:embed="rId23"/>
                          <a:stretch>
                            <a:fillRect/>
                          </a:stretch>
                        </pic:blipFill>
                        <pic:spPr>
                          <a:xfrm>
                            <a:off x="0" y="0"/>
                            <a:ext cx="1285240" cy="138049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破门槌分 25 磅、35 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适用于破门或破铰链，物料、握把手柄可吸收 97% 的冲击重音；有防过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电和防火花功能。是专门为特警中的破门而设计的，破门手负责为特警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队攻进建筑物执行开路工作，负责捣破大门、窗户等任何结构性障碍物</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攀登作业包</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167640</wp:posOffset>
                  </wp:positionH>
                  <wp:positionV relativeFrom="paragraph">
                    <wp:posOffset>15240</wp:posOffset>
                  </wp:positionV>
                  <wp:extent cx="1319530" cy="1094105"/>
                  <wp:effectExtent l="0" t="0" r="13970" b="10795"/>
                  <wp:wrapNone/>
                  <wp:docPr id="14" name="图片_13"/>
                  <wp:cNvGraphicFramePr/>
                  <a:graphic xmlns:a="http://schemas.openxmlformats.org/drawingml/2006/main">
                    <a:graphicData uri="http://schemas.openxmlformats.org/drawingml/2006/picture">
                      <pic:pic xmlns:pic="http://schemas.openxmlformats.org/drawingml/2006/picture">
                        <pic:nvPicPr>
                          <pic:cNvPr id="14" name="图片_13"/>
                          <pic:cNvPicPr/>
                        </pic:nvPicPr>
                        <pic:blipFill>
                          <a:blip r:embed="rId24"/>
                          <a:stretch>
                            <a:fillRect/>
                          </a:stretch>
                        </pic:blipFill>
                        <pic:spPr>
                          <a:xfrm>
                            <a:off x="0" y="0"/>
                            <a:ext cx="1319530" cy="109410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主绳、辅绳、安全带、2 种手套各 1 付、、8 字环、胸绳、保护锁 2 个、滑轮器 2 个、铁锁 4 个、抛钩 1 支、保护垫 2 个、钢锥横纵各 2 支、攀登包等；配套齐全 , 使用简单 , 便于携带。是公安、武警攀登训练的必备器材性能：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主绳静拉力：3400N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辅绳静拉力：1000N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 字环拉力：30K</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滑降绳</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301625</wp:posOffset>
                  </wp:positionH>
                  <wp:positionV relativeFrom="paragraph">
                    <wp:posOffset>29845</wp:posOffset>
                  </wp:positionV>
                  <wp:extent cx="1093470" cy="784225"/>
                  <wp:effectExtent l="0" t="0" r="11430" b="15875"/>
                  <wp:wrapNone/>
                  <wp:docPr id="15" name="图片_24"/>
                  <wp:cNvGraphicFramePr/>
                  <a:graphic xmlns:a="http://schemas.openxmlformats.org/drawingml/2006/main">
                    <a:graphicData uri="http://schemas.openxmlformats.org/drawingml/2006/picture">
                      <pic:pic xmlns:pic="http://schemas.openxmlformats.org/drawingml/2006/picture">
                        <pic:nvPicPr>
                          <pic:cNvPr id="15" name="图片_24"/>
                          <pic:cNvPicPr/>
                        </pic:nvPicPr>
                        <pic:blipFill>
                          <a:blip r:embed="rId25"/>
                          <a:stretch>
                            <a:fillRect/>
                          </a:stretch>
                        </pic:blipFill>
                        <pic:spPr>
                          <a:xfrm>
                            <a:off x="0" y="0"/>
                            <a:ext cx="1093470" cy="78422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11mm静力A类绳，适用于高强度使用环境，兼容大多机械类绳索装置，32股绳线编织外皮包裹着强壮的绳索内芯。坠落系数0.3时的首次冲击为5.3KN；坠落系数1时坠落次数＞35次；断裂极限34.8KN；8字结点拉力22KN；静力延展率1.4%；外皮滑动率0%；外皮所占比重37%；缩水率3%。重量：76克/米； 材质：Polyamide6。认证标准：CE EN1891/A+EAC+UIAA。颜色：白、红、黄、桔、黑五种颜色可选。</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攀登滑降安全扣</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480695</wp:posOffset>
                  </wp:positionH>
                  <wp:positionV relativeFrom="paragraph">
                    <wp:posOffset>97790</wp:posOffset>
                  </wp:positionV>
                  <wp:extent cx="709295" cy="678815"/>
                  <wp:effectExtent l="0" t="0" r="14605" b="6985"/>
                  <wp:wrapNone/>
                  <wp:docPr id="16" name="图片_23"/>
                  <wp:cNvGraphicFramePr/>
                  <a:graphic xmlns:a="http://schemas.openxmlformats.org/drawingml/2006/main">
                    <a:graphicData uri="http://schemas.openxmlformats.org/drawingml/2006/picture">
                      <pic:pic xmlns:pic="http://schemas.openxmlformats.org/drawingml/2006/picture">
                        <pic:nvPicPr>
                          <pic:cNvPr id="16" name="图片_23"/>
                          <pic:cNvPicPr/>
                        </pic:nvPicPr>
                        <pic:blipFill>
                          <a:blip r:embed="rId26"/>
                          <a:stretch>
                            <a:fillRect/>
                          </a:stretch>
                        </pic:blipFill>
                        <pic:spPr>
                          <a:xfrm>
                            <a:off x="0" y="0"/>
                            <a:ext cx="709295" cy="67881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2重自锁系统，要经过水平扭转才能将锁门打开，避免锁门意外打开，比标准自动主锁更加安全.高强度D形铝制丝扣锁，大强度，耐用，高工作负荷，防钩挂锁鼻防止在扣入和取出设备时发生钩挂。重量：92g，拉力：40-10-13 KN，开口尺寸：23mm，长度：120mm。EN 362-EN 12275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滑降八字环</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431800</wp:posOffset>
                  </wp:positionH>
                  <wp:positionV relativeFrom="paragraph">
                    <wp:posOffset>71755</wp:posOffset>
                  </wp:positionV>
                  <wp:extent cx="821055" cy="842010"/>
                  <wp:effectExtent l="0" t="0" r="17145" b="15240"/>
                  <wp:wrapNone/>
                  <wp:docPr id="17" name="图片_22"/>
                  <wp:cNvGraphicFramePr/>
                  <a:graphic xmlns:a="http://schemas.openxmlformats.org/drawingml/2006/main">
                    <a:graphicData uri="http://schemas.openxmlformats.org/drawingml/2006/picture">
                      <pic:pic xmlns:pic="http://schemas.openxmlformats.org/drawingml/2006/picture">
                        <pic:nvPicPr>
                          <pic:cNvPr id="17" name="图片_22"/>
                          <pic:cNvPicPr/>
                        </pic:nvPicPr>
                        <pic:blipFill>
                          <a:blip r:embed="rId27"/>
                          <a:stretch>
                            <a:fillRect/>
                          </a:stretch>
                        </pic:blipFill>
                        <pic:spPr>
                          <a:xfrm>
                            <a:off x="0" y="0"/>
                            <a:ext cx="821055" cy="84201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铝合金材质牛角8字环，可单次或两次缠绕制动。用于工作和救援的保护/下降设备。重量：280g，断裂负荷：36KN，适用绳索直径：9-16mm</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8"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红外热成像仪</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165735</wp:posOffset>
                  </wp:positionH>
                  <wp:positionV relativeFrom="paragraph">
                    <wp:posOffset>164465</wp:posOffset>
                  </wp:positionV>
                  <wp:extent cx="1386840" cy="2190750"/>
                  <wp:effectExtent l="0" t="0" r="3810" b="0"/>
                  <wp:wrapNone/>
                  <wp:docPr id="18" name="图片_30"/>
                  <wp:cNvGraphicFramePr/>
                  <a:graphic xmlns:a="http://schemas.openxmlformats.org/drawingml/2006/main">
                    <a:graphicData uri="http://schemas.openxmlformats.org/drawingml/2006/picture">
                      <pic:pic xmlns:pic="http://schemas.openxmlformats.org/drawingml/2006/picture">
                        <pic:nvPicPr>
                          <pic:cNvPr id="18" name="图片_30"/>
                          <pic:cNvPicPr/>
                        </pic:nvPicPr>
                        <pic:blipFill>
                          <a:blip r:embed="rId28"/>
                          <a:stretch>
                            <a:fillRect/>
                          </a:stretch>
                        </pic:blipFill>
                        <pic:spPr>
                          <a:xfrm>
                            <a:off x="0" y="0"/>
                            <a:ext cx="1386840" cy="219075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多功能红外夜视仪技术指标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1、显示模式：支持白热/黑热/熔岩/熔融金属/红蓝/琥珀色/荧光绿/彩虹/彩虹增强9种显示模式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2、▲探测器分辨率：640*512，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3、★冲击录像：支持自动冲击录像，当受到冲击时，样机可自动预录并保存冲击前后的视频，冲击前后视频时长及冲击灵敏度可调。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4、▲变倍设置：支持1-8倍连续变倍，有普通变倍和画中画变倍两种变倍模式；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5、拍照录像回放：支持一键高清拍照、录像，并可本机回放观看视频和图片；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6、屏幕显示：分划线颜色：≥5种颜色；多功能分划线：≥5种样式；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7、★一键校枪：支持一键校枪功能。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8、▲无线传输功能：支持无线WIFI和热点模式连接，并通过手持、平板电脑、笔记本电脑移动终端APP软件远程浏览画面，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9、▲支持256G大内存，HDMI实时高清视频传输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10、★数据传感器：支持激光测距；支持北斗GPS定位功能并可在室外开机后显示经纬度信息、电子罗盘方位角信息、翻滚角信息，俯仰角信息、电池电量信息实时显示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11、▲探测及识别距离：可探测3500米处车和1500米处人，可识别1200米处车和600米处人体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12、待机时长：内置可充电电池，连续工作时间≥7个小时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13、产品尺寸：≤210×180×80mm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14、产品重量：≤1.2kg</w:t>
            </w:r>
            <w:r>
              <w:rPr>
                <w:rFonts w:hint="eastAsia" w:ascii="宋体" w:hAnsi="宋体" w:eastAsia="宋体" w:cs="宋体"/>
                <w:i w:val="0"/>
                <w:iCs w:val="0"/>
                <w:color w:val="000000"/>
                <w:kern w:val="0"/>
                <w:sz w:val="18"/>
                <w:szCs w:val="18"/>
                <w:u w:val="none"/>
                <w:lang w:val="en-US" w:eastAsia="zh-CN" w:bidi="ar"/>
              </w:rPr>
              <w:br w:type="textWrapping"/>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作战服</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26670</wp:posOffset>
                  </wp:positionH>
                  <wp:positionV relativeFrom="paragraph">
                    <wp:posOffset>50165</wp:posOffset>
                  </wp:positionV>
                  <wp:extent cx="1468120" cy="1158240"/>
                  <wp:effectExtent l="0" t="0" r="17780" b="3810"/>
                  <wp:wrapNone/>
                  <wp:docPr id="19" name="图片_7"/>
                  <wp:cNvGraphicFramePr/>
                  <a:graphic xmlns:a="http://schemas.openxmlformats.org/drawingml/2006/main">
                    <a:graphicData uri="http://schemas.openxmlformats.org/drawingml/2006/picture">
                      <pic:pic xmlns:pic="http://schemas.openxmlformats.org/drawingml/2006/picture">
                        <pic:nvPicPr>
                          <pic:cNvPr id="19" name="图片_7"/>
                          <pic:cNvPicPr/>
                        </pic:nvPicPr>
                        <pic:blipFill>
                          <a:blip r:embed="rId29"/>
                          <a:stretch>
                            <a:fillRect/>
                          </a:stretch>
                        </pic:blipFill>
                        <pic:spPr>
                          <a:xfrm>
                            <a:off x="0" y="0"/>
                            <a:ext cx="1468120" cy="115824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特警战训夏装采用面密度 150g/m2 芳纶格子布为主料，主要部位粘烫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（T2137-036）型热熔粘合衬。具有穿着舒适、透气、阻燃、吸汗、耐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磨等特点。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洗涤尺寸变化率：≤ 1.5%，甲醛含量：≤ 75mg/kg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PH 值限量：5.0 ～ 8.0，非面料对比部位允许色差：3 ～ 4 级</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陆战靴（黑色）</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150495</wp:posOffset>
                  </wp:positionH>
                  <wp:positionV relativeFrom="paragraph">
                    <wp:posOffset>116840</wp:posOffset>
                  </wp:positionV>
                  <wp:extent cx="1227455" cy="1003935"/>
                  <wp:effectExtent l="0" t="0" r="10795" b="5715"/>
                  <wp:wrapNone/>
                  <wp:docPr id="20" name="Picture_1_SpCnt_1"/>
                  <wp:cNvGraphicFramePr/>
                  <a:graphic xmlns:a="http://schemas.openxmlformats.org/drawingml/2006/main">
                    <a:graphicData uri="http://schemas.openxmlformats.org/drawingml/2006/picture">
                      <pic:pic xmlns:pic="http://schemas.openxmlformats.org/drawingml/2006/picture">
                        <pic:nvPicPr>
                          <pic:cNvPr id="20" name="Picture_1_SpCnt_1"/>
                          <pic:cNvPicPr/>
                        </pic:nvPicPr>
                        <pic:blipFill>
                          <a:blip r:embed="rId30"/>
                          <a:stretch>
                            <a:fillRect/>
                          </a:stretch>
                        </pic:blipFill>
                        <pic:spPr>
                          <a:xfrm>
                            <a:off x="0" y="0"/>
                            <a:ext cx="1227455" cy="100393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鞋面材质：网眼，颜色：黑色，鞋底材质：橡胶</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山羊皮半指手套</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176530</wp:posOffset>
                  </wp:positionH>
                  <wp:positionV relativeFrom="paragraph">
                    <wp:posOffset>21590</wp:posOffset>
                  </wp:positionV>
                  <wp:extent cx="1177290" cy="1161415"/>
                  <wp:effectExtent l="0" t="0" r="3810" b="635"/>
                  <wp:wrapNone/>
                  <wp:docPr id="21" name="图片_37"/>
                  <wp:cNvGraphicFramePr/>
                  <a:graphic xmlns:a="http://schemas.openxmlformats.org/drawingml/2006/main">
                    <a:graphicData uri="http://schemas.openxmlformats.org/drawingml/2006/picture">
                      <pic:pic xmlns:pic="http://schemas.openxmlformats.org/drawingml/2006/picture">
                        <pic:nvPicPr>
                          <pic:cNvPr id="21" name="图片_37"/>
                          <pic:cNvPicPr/>
                        </pic:nvPicPr>
                        <pic:blipFill>
                          <a:blip r:embed="rId31"/>
                          <a:stretch>
                            <a:fillRect/>
                          </a:stretch>
                        </pic:blipFill>
                        <pic:spPr>
                          <a:xfrm>
                            <a:off x="0" y="0"/>
                            <a:ext cx="1177290" cy="116141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面料：山羊皮手套革，手指防滑垫：滴硅胶（290g/m2）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手套革厚度：0.7mm ～ 0.8mm，手套革断裂强力；≥ 25n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色牢度：3 级～ 4 级，手套革伸长率：20% ～ 50%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山羊皮全指手套</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41910</wp:posOffset>
                  </wp:positionH>
                  <wp:positionV relativeFrom="paragraph">
                    <wp:posOffset>90170</wp:posOffset>
                  </wp:positionV>
                  <wp:extent cx="1505585" cy="1139190"/>
                  <wp:effectExtent l="0" t="0" r="18415" b="3810"/>
                  <wp:wrapNone/>
                  <wp:docPr id="22" name="图片_38"/>
                  <wp:cNvGraphicFramePr/>
                  <a:graphic xmlns:a="http://schemas.openxmlformats.org/drawingml/2006/main">
                    <a:graphicData uri="http://schemas.openxmlformats.org/drawingml/2006/picture">
                      <pic:pic xmlns:pic="http://schemas.openxmlformats.org/drawingml/2006/picture">
                        <pic:nvPicPr>
                          <pic:cNvPr id="22" name="图片_38"/>
                          <pic:cNvPicPr/>
                        </pic:nvPicPr>
                        <pic:blipFill>
                          <a:blip r:embed="rId32"/>
                          <a:stretch>
                            <a:fillRect/>
                          </a:stretch>
                        </pic:blipFill>
                        <pic:spPr>
                          <a:xfrm>
                            <a:off x="0" y="0"/>
                            <a:ext cx="1505585" cy="113919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面料：山羊皮手套革，内衬：芳纶针织布，160g/m2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手指防滑垫：滴硅胶（290g/m2），口边针织布：400g/m2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PU 革厚：0.4mm，内衬阻燃性：阴燃≤ 5s，续燃≤ 12s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手掌防切割性：割穿切割周数≥ 3</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圆边帽</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161925</wp:posOffset>
                  </wp:positionH>
                  <wp:positionV relativeFrom="paragraph">
                    <wp:posOffset>122555</wp:posOffset>
                  </wp:positionV>
                  <wp:extent cx="1205230" cy="833120"/>
                  <wp:effectExtent l="0" t="0" r="13970" b="5080"/>
                  <wp:wrapNone/>
                  <wp:docPr id="23" name="Picture_2"/>
                  <wp:cNvGraphicFramePr/>
                  <a:graphic xmlns:a="http://schemas.openxmlformats.org/drawingml/2006/main">
                    <a:graphicData uri="http://schemas.openxmlformats.org/drawingml/2006/picture">
                      <pic:pic xmlns:pic="http://schemas.openxmlformats.org/drawingml/2006/picture">
                        <pic:nvPicPr>
                          <pic:cNvPr id="23" name="Picture_2"/>
                          <pic:cNvPicPr/>
                        </pic:nvPicPr>
                        <pic:blipFill>
                          <a:blip r:embed="rId33"/>
                          <a:stretch>
                            <a:fillRect/>
                          </a:stretch>
                        </pic:blipFill>
                        <pic:spPr>
                          <a:xfrm>
                            <a:off x="0" y="0"/>
                            <a:ext cx="1205230" cy="83312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颜色黑色，采用布料,正面针织警徽，四周麦穗，四周模块系统，可挂小物件，面料易干排汗</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快解型战术马甲</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54610</wp:posOffset>
                  </wp:positionH>
                  <wp:positionV relativeFrom="paragraph">
                    <wp:posOffset>167640</wp:posOffset>
                  </wp:positionV>
                  <wp:extent cx="1511300" cy="1435100"/>
                  <wp:effectExtent l="0" t="0" r="12700" b="12700"/>
                  <wp:wrapNone/>
                  <wp:docPr id="24" name="图片_41"/>
                  <wp:cNvGraphicFramePr/>
                  <a:graphic xmlns:a="http://schemas.openxmlformats.org/drawingml/2006/main">
                    <a:graphicData uri="http://schemas.openxmlformats.org/drawingml/2006/picture">
                      <pic:pic xmlns:pic="http://schemas.openxmlformats.org/drawingml/2006/picture">
                        <pic:nvPicPr>
                          <pic:cNvPr id="24" name="图片_41"/>
                          <pic:cNvPicPr/>
                        </pic:nvPicPr>
                        <pic:blipFill>
                          <a:blip r:embed="rId34"/>
                          <a:stretch>
                            <a:fillRect/>
                          </a:stretch>
                        </pic:blipFill>
                        <pic:spPr>
                          <a:xfrm>
                            <a:off x="0" y="0"/>
                            <a:ext cx="1511300" cy="143510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快拆快装设计，一秒快速脱开；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模块化结构，可灵活调整任务所需装备附件；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高强度耐磨面料，抗撕拉能力强、防水性好；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肩部垫肩设计，减少长时间穿着造成的疲劳感；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前后贴身面采用透气缓冲层，提高穿着舒适性；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多种防弹内芯及插板可选，适用于各种场合。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7.防弹等级：3级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8、提供产品质量责任保险，金额不低于200万，年限不低于5年，（以保单数值为准），提供保险证明材料复印件，原件备查。</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9"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护目镜</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142875</wp:posOffset>
                  </wp:positionH>
                  <wp:positionV relativeFrom="paragraph">
                    <wp:posOffset>43180</wp:posOffset>
                  </wp:positionV>
                  <wp:extent cx="1254125" cy="1494790"/>
                  <wp:effectExtent l="0" t="0" r="3175" b="10160"/>
                  <wp:wrapNone/>
                  <wp:docPr id="25" name="图片_25"/>
                  <wp:cNvGraphicFramePr/>
                  <a:graphic xmlns:a="http://schemas.openxmlformats.org/drawingml/2006/main">
                    <a:graphicData uri="http://schemas.openxmlformats.org/drawingml/2006/picture">
                      <pic:pic xmlns:pic="http://schemas.openxmlformats.org/drawingml/2006/picture">
                        <pic:nvPicPr>
                          <pic:cNvPr id="25" name="图片_25"/>
                          <pic:cNvPicPr/>
                        </pic:nvPicPr>
                        <pic:blipFill>
                          <a:blip r:embed="rId35"/>
                          <a:stretch>
                            <a:fillRect/>
                          </a:stretch>
                        </pic:blipFill>
                        <pic:spPr>
                          <a:xfrm>
                            <a:off x="0" y="0"/>
                            <a:ext cx="1254125" cy="149479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灰色镜片：100%防UV400紫外线，抗冲击力强、防破片，不易破损。可吸收光线中的紫、青色，能几乎吸取100%的紫外和红外线，炫目，刺眼等现象，使视线变得清晰柔和，不会对眼睛造成伤害，戴眼镜者仍可看清细微的部份，是驾车人的理想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透明镜片：100%防UV400紫外线，抗冲击力强、防破片，不易破损。透明镜片主要功能在于保护眼睛避免受到外物伤害，主要在阴天或者雨天使用，夜间亦可佩戴透明镜片，可有效防止风沙及蚊虫等异物飞入眼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黄色增光片：100%防UV400紫外线，抗冲击力强、防破片，不易破损。黄色镜片素有“滤光镜”之称，有提高周围光线的效果，在晚上或者阴天使用具有增光效果，使景物更加清晰。禁止在烈日及阳光下使用，常见于射击、打猎、夜间骑行等户外运动</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战术腰封加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可转化九件套</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128905</wp:posOffset>
                  </wp:positionH>
                  <wp:positionV relativeFrom="paragraph">
                    <wp:posOffset>70485</wp:posOffset>
                  </wp:positionV>
                  <wp:extent cx="1371600" cy="1276350"/>
                  <wp:effectExtent l="0" t="0" r="0" b="0"/>
                  <wp:wrapNone/>
                  <wp:docPr id="26" name="图片_27"/>
                  <wp:cNvGraphicFramePr/>
                  <a:graphic xmlns:a="http://schemas.openxmlformats.org/drawingml/2006/main">
                    <a:graphicData uri="http://schemas.openxmlformats.org/drawingml/2006/picture">
                      <pic:pic xmlns:pic="http://schemas.openxmlformats.org/drawingml/2006/picture">
                        <pic:nvPicPr>
                          <pic:cNvPr id="26" name="图片_27"/>
                          <pic:cNvPicPr/>
                        </pic:nvPicPr>
                        <pic:blipFill>
                          <a:blip r:embed="rId36"/>
                          <a:stretch>
                            <a:fillRect/>
                          </a:stretch>
                        </pic:blipFill>
                        <pic:spPr>
                          <a:xfrm>
                            <a:off x="0" y="0"/>
                            <a:ext cx="1371600" cy="1276350"/>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阻击者模块化全快速互换套装A款: 配有尼龙内腰带，尼龙外腰带（腰带扣采用公安部双保险设计，表面带有警徽标志），1000D考杜拉尼龙面料，表面有三排一寸宽的尼龙织带，双排打枣固定，内部采用透气性能非常好的鱼丝网，舒适易清洗），便携挂扣，枪绳（挂扣为八字扣，杜邦1000D考杜拉文件包，杜邦1000D尼龙水壶包。侧开防抢款甩棍套，侧开防抢款催泪瓦斯套，侧开防抢款手电套，通用塑钢橡胶结合手铐套，92 92改通用枪套（中指解锁款），通用快拔对讲机套，通用92弹夹套（皮筋款设计，可以四面调节大小），所有快拔都是采用塑钢后板，文件包和水壶包也是，全部可以360度调整角度，可以快速互换位置，快速拆卸。</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手电筒</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130810</wp:posOffset>
                  </wp:positionH>
                  <wp:positionV relativeFrom="paragraph">
                    <wp:posOffset>517525</wp:posOffset>
                  </wp:positionV>
                  <wp:extent cx="1288415" cy="1514475"/>
                  <wp:effectExtent l="0" t="0" r="6985" b="9525"/>
                  <wp:wrapNone/>
                  <wp:docPr id="27" name="图片_10"/>
                  <wp:cNvGraphicFramePr/>
                  <a:graphic xmlns:a="http://schemas.openxmlformats.org/drawingml/2006/main">
                    <a:graphicData uri="http://schemas.openxmlformats.org/drawingml/2006/picture">
                      <pic:pic xmlns:pic="http://schemas.openxmlformats.org/drawingml/2006/picture">
                        <pic:nvPicPr>
                          <pic:cNvPr id="27" name="图片_10"/>
                          <pic:cNvPicPr/>
                        </pic:nvPicPr>
                        <pic:blipFill>
                          <a:blip r:embed="rId37"/>
                          <a:stretch>
                            <a:fillRect/>
                          </a:stretch>
                        </pic:blipFill>
                        <pic:spPr>
                          <a:xfrm>
                            <a:off x="0" y="0"/>
                            <a:ext cx="1288415" cy="151447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外观：主体表面经硬质阳极氧化处理后为黑色，产品外观光滑、无划痕、无磨损、无毛刺、无油渍。正面为警徽图案和“警POLICE察”字样，背面为手电编号、充电孔、“强光手电”字样，警徽图案符合GA244-2000《人民警察警徽技术标准》标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2、重量：（含电池）不大于230g。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3、尺寸：总长度：150㎜±2㎜，握柄直径：Φ27㎜±1㎜，头盖外径：Φ35㎜±1㎜，挂绳长度：155㎜±5㎜，电池直径：Φ18.6㎜±0.2㎜，电池长度：69㎜±2㎜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4、开关工作模式转换：强光→弱光→强光爆闪→强光的模式转换，在任何模式下用力按压开关，均可以直接关闭警用强光手电。在关闭警用强光手电7s后，再次开启为强光模式。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5、强光初始照度：距光源5m处中心光斑初始照度≥120lx；弱光照度：距光源1m处光斑中心初始照度（1201～1801） x；强光爆闪频率：（8～10）Hz；强光维持照度：强光状态，连续照明200min后，距光源5m处光斑中心初始照度≥120lx。</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急救包</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368935</wp:posOffset>
                  </wp:positionH>
                  <wp:positionV relativeFrom="paragraph">
                    <wp:posOffset>92710</wp:posOffset>
                  </wp:positionV>
                  <wp:extent cx="984885" cy="1461135"/>
                  <wp:effectExtent l="0" t="0" r="5715" b="5715"/>
                  <wp:wrapNone/>
                  <wp:docPr id="28" name="图片_45"/>
                  <wp:cNvGraphicFramePr/>
                  <a:graphic xmlns:a="http://schemas.openxmlformats.org/drawingml/2006/main">
                    <a:graphicData uri="http://schemas.openxmlformats.org/drawingml/2006/picture">
                      <pic:pic xmlns:pic="http://schemas.openxmlformats.org/drawingml/2006/picture">
                        <pic:nvPicPr>
                          <pic:cNvPr id="28" name="图片_45"/>
                          <pic:cNvPicPr/>
                        </pic:nvPicPr>
                        <pic:blipFill>
                          <a:blip r:embed="rId38"/>
                          <a:stretch>
                            <a:fillRect/>
                          </a:stretch>
                        </pic:blipFill>
                        <pic:spPr>
                          <a:xfrm>
                            <a:off x="0" y="0"/>
                            <a:ext cx="984885" cy="146113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①云南三合一创可贴小片：6片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②云南三合一创可贴大片：2片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③硝酸甘油片剂：5片（急救于冠心病心绞痛）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④弹性绷带100×1500mm：1卷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⑤小手术剪刀：1把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⑥云南白药胶囊：16颗/板（用于刀、枪、打伤时服用。备用1颗保险子用于重伤时急救服用）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⑦医用橡皮胶带：1卷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⑧清凉油：1盒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⑨口对口呼吸隔膜≥29.5cm×19cm：1片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⑩别针3枚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执行标准《GA891-2010公安单警装备 警用急救包》。</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催泪喷射器</w:t>
            </w:r>
          </w:p>
        </w:tc>
        <w:tc>
          <w:tcPr>
            <w:tcW w:w="2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341630</wp:posOffset>
                  </wp:positionH>
                  <wp:positionV relativeFrom="paragraph">
                    <wp:posOffset>123190</wp:posOffset>
                  </wp:positionV>
                  <wp:extent cx="798195" cy="1130935"/>
                  <wp:effectExtent l="0" t="0" r="1905" b="12065"/>
                  <wp:wrapNone/>
                  <wp:docPr id="29" name="图片_44"/>
                  <wp:cNvGraphicFramePr/>
                  <a:graphic xmlns:a="http://schemas.openxmlformats.org/drawingml/2006/main">
                    <a:graphicData uri="http://schemas.openxmlformats.org/drawingml/2006/picture">
                      <pic:pic xmlns:pic="http://schemas.openxmlformats.org/drawingml/2006/picture">
                        <pic:nvPicPr>
                          <pic:cNvPr id="29" name="图片_44"/>
                          <pic:cNvPicPr/>
                        </pic:nvPicPr>
                        <pic:blipFill>
                          <a:blip r:embed="rId39"/>
                          <a:stretch>
                            <a:fillRect/>
                          </a:stretch>
                        </pic:blipFill>
                        <pic:spPr>
                          <a:xfrm>
                            <a:off x="0" y="0"/>
                            <a:ext cx="798195" cy="1130935"/>
                          </a:xfrm>
                          <a:prstGeom prst="rect">
                            <a:avLst/>
                          </a:prstGeom>
                          <a:noFill/>
                          <a:ln>
                            <a:noFill/>
                          </a:ln>
                        </pic:spPr>
                      </pic:pic>
                    </a:graphicData>
                  </a:graphic>
                </wp:anchor>
              </w:drawing>
            </w:r>
          </w:p>
        </w:tc>
        <w:tc>
          <w:tcPr>
            <w:tcW w:w="7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警用催泪喷射器喷射出的液体使歹徒流泪 , 打喷嚏 , 脸部疼痛 , 暂时失去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抵抗力 , 有效地保护自己。使用时严禁逆风喷射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质量：100g±5g . 灌装量：50ml±2ml，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成分：强烈的辛辣素－ CS 混合刺激剂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尺寸：35mm×150mm 喷射距离：≥ 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喷射时间：≥ 4s，喷射速度：≥ 7.0g/s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执行标准：《GA884-2010》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129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采购金额合计：</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rPr>
          <w:rFonts w:hint="default" w:ascii="宋体" w:hAnsi="宋体" w:eastAsia="宋体" w:cs="Times New Roman"/>
          <w:b w:val="0"/>
          <w:bCs w:val="0"/>
          <w:kern w:val="2"/>
          <w:sz w:val="21"/>
          <w:szCs w:val="24"/>
          <w:lang w:val="en-US" w:eastAsia="zh-CN" w:bidi="ar-SA"/>
        </w:rPr>
      </w:pPr>
    </w:p>
    <w:p>
      <w:pPr>
        <w:rPr>
          <w:rFonts w:hint="eastAsia"/>
          <w:sz w:val="24"/>
          <w:szCs w:val="24"/>
          <w:lang w:eastAsia="zh-CN"/>
        </w:rPr>
      </w:pPr>
    </w:p>
    <w:p>
      <w:pPr>
        <w:pStyle w:val="2"/>
        <w:spacing w:before="120" w:after="120" w:line="240" w:lineRule="auto"/>
        <w:jc w:val="both"/>
        <w:rPr>
          <w:rFonts w:hint="default" w:ascii="宋体" w:hAnsi="宋体" w:eastAsia="宋体" w:cs="Times New Roman"/>
          <w:b w:val="0"/>
          <w:bCs w:val="0"/>
          <w:kern w:val="2"/>
          <w:sz w:val="21"/>
          <w:szCs w:val="24"/>
          <w:lang w:val="en-US" w:eastAsia="zh-CN" w:bidi="ar-SA"/>
        </w:rPr>
        <w:sectPr>
          <w:footerReference r:id="rId4" w:type="default"/>
          <w:pgSz w:w="16838" w:h="11906" w:orient="landscape"/>
          <w:pgMar w:top="1440" w:right="1701" w:bottom="1440" w:left="1440" w:header="851" w:footer="992" w:gutter="0"/>
          <w:pgNumType w:fmt="decimal"/>
          <w:cols w:space="720" w:num="1"/>
          <w:rtlGutter w:val="0"/>
          <w:docGrid w:linePitch="312" w:charSpace="0"/>
        </w:sectPr>
      </w:pPr>
      <w:bookmarkStart w:id="261" w:name="_Toc2361"/>
      <w:r>
        <w:rPr>
          <w:rFonts w:hint="eastAsia" w:ascii="宋体" w:hAnsi="宋体" w:eastAsia="宋体" w:cs="Times New Roman"/>
          <w:b w:val="0"/>
          <w:bCs w:val="0"/>
          <w:kern w:val="2"/>
          <w:sz w:val="21"/>
          <w:szCs w:val="24"/>
          <w:lang w:val="en-US" w:eastAsia="zh-CN" w:bidi="ar-SA"/>
        </w:rPr>
        <w:t>该项目自主报价，报价单位须考虑运费、人员费等。</w:t>
      </w:r>
      <w:bookmarkEnd w:id="261"/>
    </w:p>
    <w:p>
      <w:pPr>
        <w:rPr>
          <w:rFonts w:hint="eastAsia"/>
          <w:lang w:val="en-US" w:eastAsia="zh-CN"/>
        </w:rPr>
      </w:pPr>
    </w:p>
    <w:p>
      <w:pPr>
        <w:pStyle w:val="2"/>
        <w:spacing w:before="120" w:after="120" w:line="240" w:lineRule="auto"/>
        <w:jc w:val="center"/>
        <w:rPr>
          <w:rFonts w:hint="eastAsia" w:ascii="宋体" w:hAnsi="宋体"/>
          <w:b/>
          <w:bCs w:val="0"/>
          <w:kern w:val="2"/>
          <w:sz w:val="44"/>
          <w:szCs w:val="44"/>
          <w:lang w:val="en-US" w:eastAsia="zh-CN" w:bidi="ar-SA"/>
        </w:rPr>
      </w:pPr>
      <w:bookmarkStart w:id="262" w:name="_Toc23726"/>
      <w:r>
        <w:rPr>
          <w:rFonts w:hint="eastAsia" w:ascii="宋体" w:hAnsi="宋体"/>
          <w:b/>
          <w:bCs w:val="0"/>
          <w:kern w:val="2"/>
          <w:sz w:val="44"/>
          <w:szCs w:val="44"/>
          <w:lang w:val="en-US" w:eastAsia="zh-CN" w:bidi="ar-SA"/>
        </w:rPr>
        <w:t>第五章  报价文件格式</w:t>
      </w:r>
      <w:bookmarkEnd w:id="259"/>
      <w:bookmarkEnd w:id="262"/>
    </w:p>
    <w:p>
      <w:pPr>
        <w:tabs>
          <w:tab w:val="left" w:pos="2175"/>
          <w:tab w:val="left" w:pos="2520"/>
          <w:tab w:val="center" w:pos="4156"/>
        </w:tabs>
        <w:jc w:val="center"/>
        <w:rPr>
          <w:rFonts w:hint="eastAsia" w:ascii="宋体" w:hAnsi="宋体" w:eastAsia="宋体" w:cs="宋体"/>
          <w:b/>
          <w:sz w:val="32"/>
          <w:szCs w:val="32"/>
        </w:rPr>
      </w:pPr>
      <w:r>
        <w:rPr>
          <w:rFonts w:hint="eastAsia" w:ascii="宋体" w:hAnsi="宋体" w:eastAsia="宋体" w:cs="宋体"/>
          <w:sz w:val="32"/>
        </w:rPr>
        <mc:AlternateContent>
          <mc:Choice Requires="wps">
            <w:drawing>
              <wp:anchor distT="0" distB="0" distL="114300" distR="114300" simplePos="0" relativeHeight="251659264" behindDoc="0" locked="0" layoutInCell="1" allowOverlap="1">
                <wp:simplePos x="0" y="0"/>
                <wp:positionH relativeFrom="column">
                  <wp:posOffset>4655185</wp:posOffset>
                </wp:positionH>
                <wp:positionV relativeFrom="paragraph">
                  <wp:posOffset>368300</wp:posOffset>
                </wp:positionV>
                <wp:extent cx="694055" cy="750570"/>
                <wp:effectExtent l="4445" t="4445" r="6350" b="6985"/>
                <wp:wrapNone/>
                <wp:docPr id="1" name="Text Box 2"/>
                <wp:cNvGraphicFramePr/>
                <a:graphic xmlns:a="http://schemas.openxmlformats.org/drawingml/2006/main">
                  <a:graphicData uri="http://schemas.microsoft.com/office/word/2010/wordprocessingShape">
                    <wps:wsp>
                      <wps:cNvSpPr txBox="1"/>
                      <wps:spPr>
                        <a:xfrm>
                          <a:off x="0" y="0"/>
                          <a:ext cx="694055" cy="750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rPr>
                            </w:pPr>
                            <w:r>
                              <w:t xml:space="preserve"> </w:t>
                            </w:r>
                            <w:r>
                              <w:rPr>
                                <w:b/>
                                <w:bCs/>
                              </w:rPr>
                              <w:t>正本</w:t>
                            </w:r>
                          </w:p>
                          <w:p>
                            <w:pPr>
                              <w:jc w:val="center"/>
                              <w:rPr>
                                <w:b/>
                                <w:bCs/>
                              </w:rPr>
                            </w:pPr>
                            <w:r>
                              <w:rPr>
                                <w:b/>
                                <w:bCs/>
                              </w:rPr>
                              <w:t>或</w:t>
                            </w:r>
                          </w:p>
                          <w:p>
                            <w:pPr>
                              <w:rPr>
                                <w:b/>
                                <w:bCs/>
                              </w:rPr>
                            </w:pPr>
                            <w:r>
                              <w:rPr>
                                <w:b/>
                                <w:bCs/>
                              </w:rPr>
                              <w:t>（副本）</w:t>
                            </w:r>
                          </w:p>
                        </w:txbxContent>
                      </wps:txbx>
                      <wps:bodyPr wrap="square" upright="1"/>
                    </wps:wsp>
                  </a:graphicData>
                </a:graphic>
              </wp:anchor>
            </w:drawing>
          </mc:Choice>
          <mc:Fallback>
            <w:pict>
              <v:shape id="Text Box 2" o:spid="_x0000_s1026" o:spt="202" type="#_x0000_t202" style="position:absolute;left:0pt;margin-left:366.55pt;margin-top:29pt;height:59.1pt;width:54.65pt;z-index:251659264;mso-width-relative:page;mso-height-relative:page;" fillcolor="#FFFFFF" filled="t" stroked="t" coordsize="21600,21600" o:gfxdata="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sFxj/YAAAACgEAAA8AAAAAAAAAAQAgAAAAIgAAAGRy&#10;cy9kb3ducmV2LnhtbFBLAQIUABQAAAAIAIdO4kA6fuAlBQIAAEIEAAAOAAAAAAAAAAEAIAAAACcB&#10;AABkcnMvZTJvRG9jLnhtbFBLBQYAAAAABgAGAFkBAACeBQAAAAA=&#10;">
                <v:fill on="t" focussize="0,0"/>
                <v:stroke color="#000000" joinstyle="miter"/>
                <v:imagedata o:title=""/>
                <o:lock v:ext="edit" aspectratio="f"/>
                <v:textbox>
                  <w:txbxContent>
                    <w:p>
                      <w:pPr>
                        <w:jc w:val="center"/>
                        <w:rPr>
                          <w:b/>
                          <w:bCs/>
                        </w:rPr>
                      </w:pPr>
                      <w:r>
                        <w:t xml:space="preserve"> </w:t>
                      </w:r>
                      <w:r>
                        <w:rPr>
                          <w:b/>
                          <w:bCs/>
                        </w:rPr>
                        <w:t>正本</w:t>
                      </w:r>
                    </w:p>
                    <w:p>
                      <w:pPr>
                        <w:jc w:val="center"/>
                        <w:rPr>
                          <w:b/>
                          <w:bCs/>
                        </w:rPr>
                      </w:pPr>
                      <w:r>
                        <w:rPr>
                          <w:b/>
                          <w:bCs/>
                        </w:rPr>
                        <w:t>或</w:t>
                      </w:r>
                    </w:p>
                    <w:p>
                      <w:pPr>
                        <w:rPr>
                          <w:b/>
                          <w:bCs/>
                        </w:rPr>
                      </w:pPr>
                      <w:r>
                        <w:rPr>
                          <w:b/>
                          <w:bCs/>
                        </w:rPr>
                        <w:t>（副本）</w:t>
                      </w:r>
                    </w:p>
                  </w:txbxContent>
                </v:textbox>
              </v:shape>
            </w:pict>
          </mc:Fallback>
        </mc:AlternateContent>
      </w:r>
      <w:r>
        <w:rPr>
          <w:rFonts w:hint="eastAsia" w:ascii="宋体" w:hAnsi="宋体" w:eastAsia="宋体" w:cs="宋体"/>
          <w:b/>
          <w:sz w:val="32"/>
          <w:szCs w:val="32"/>
        </w:rPr>
        <w:t>（一）封面</w:t>
      </w:r>
    </w:p>
    <w:p>
      <w:pPr>
        <w:tabs>
          <w:tab w:val="left" w:pos="2175"/>
          <w:tab w:val="left" w:pos="2520"/>
          <w:tab w:val="center" w:pos="4156"/>
        </w:tabs>
        <w:jc w:val="center"/>
        <w:rPr>
          <w:rFonts w:hint="eastAsia" w:ascii="宋体" w:hAnsi="宋体" w:eastAsia="宋体" w:cs="宋体"/>
          <w:b/>
          <w:sz w:val="32"/>
          <w:szCs w:val="32"/>
        </w:rPr>
      </w:pPr>
    </w:p>
    <w:p>
      <w:pPr>
        <w:spacing w:line="240" w:lineRule="auto"/>
        <w:jc w:val="center"/>
        <w:rPr>
          <w:rFonts w:hint="eastAsia" w:ascii="宋体" w:hAnsi="宋体" w:eastAsia="宋体" w:cs="宋体"/>
          <w:b/>
          <w:bCs w:val="0"/>
          <w:sz w:val="48"/>
          <w:szCs w:val="48"/>
          <w:lang w:val="en-US" w:eastAsia="zh-CN"/>
        </w:rPr>
      </w:pPr>
    </w:p>
    <w:p>
      <w:pPr>
        <w:spacing w:line="440" w:lineRule="exact"/>
        <w:rPr>
          <w:rFonts w:hint="eastAsia" w:eastAsia="黑体"/>
          <w:sz w:val="20"/>
          <w:szCs w:val="20"/>
        </w:rPr>
      </w:pPr>
    </w:p>
    <w:p>
      <w:pPr>
        <w:rPr>
          <w:rFonts w:hint="eastAsia" w:ascii="宋体" w:hAnsi="宋体"/>
          <w:sz w:val="20"/>
          <w:szCs w:val="20"/>
        </w:rPr>
      </w:pPr>
    </w:p>
    <w:p>
      <w:pPr>
        <w:rPr>
          <w:rFonts w:hint="eastAsia" w:ascii="宋体" w:hAnsi="宋体"/>
          <w:sz w:val="20"/>
          <w:szCs w:val="20"/>
        </w:rPr>
      </w:pPr>
    </w:p>
    <w:p>
      <w:pPr>
        <w:jc w:val="center"/>
        <w:outlineLvl w:val="0"/>
        <w:rPr>
          <w:rFonts w:ascii="宋体" w:hAnsi="宋体"/>
          <w:b/>
          <w:sz w:val="44"/>
          <w:szCs w:val="44"/>
        </w:rPr>
      </w:pPr>
      <w:bookmarkStart w:id="263" w:name="_Toc32018"/>
      <w:r>
        <w:rPr>
          <w:rFonts w:hint="eastAsia" w:ascii="宋体" w:hAnsi="宋体"/>
          <w:b/>
          <w:sz w:val="44"/>
          <w:szCs w:val="44"/>
        </w:rPr>
        <w:t>报  价</w:t>
      </w:r>
      <w:r>
        <w:rPr>
          <w:rFonts w:ascii="宋体" w:hAnsi="宋体"/>
          <w:b/>
          <w:sz w:val="44"/>
          <w:szCs w:val="44"/>
        </w:rPr>
        <w:t xml:space="preserve">  文  件</w:t>
      </w:r>
      <w:bookmarkEnd w:id="263"/>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ind w:firstLine="840" w:firstLineChars="300"/>
        <w:outlineLvl w:val="0"/>
        <w:rPr>
          <w:rFonts w:hint="eastAsia" w:ascii="宋体" w:hAnsi="宋体"/>
          <w:sz w:val="28"/>
          <w:szCs w:val="28"/>
          <w:u w:val="single"/>
        </w:rPr>
      </w:pPr>
      <w:bookmarkStart w:id="264" w:name="_Toc16721"/>
      <w:r>
        <w:rPr>
          <w:rFonts w:hint="eastAsia" w:ascii="宋体" w:hAnsi="宋体"/>
          <w:sz w:val="28"/>
          <w:szCs w:val="28"/>
        </w:rPr>
        <w:t>采购项目编号：</w:t>
      </w:r>
      <w:bookmarkEnd w:id="264"/>
      <w:r>
        <w:rPr>
          <w:rFonts w:hint="eastAsia" w:ascii="宋体" w:hAnsi="宋体"/>
          <w:sz w:val="28"/>
          <w:szCs w:val="28"/>
          <w:u w:val="single"/>
        </w:rPr>
        <w:t xml:space="preserve">                       </w:t>
      </w:r>
    </w:p>
    <w:p>
      <w:pPr>
        <w:ind w:firstLine="840" w:firstLineChars="300"/>
        <w:rPr>
          <w:rFonts w:hint="eastAsia" w:ascii="宋体" w:hAnsi="宋体"/>
          <w:sz w:val="28"/>
          <w:szCs w:val="28"/>
          <w:u w:val="single"/>
        </w:rPr>
      </w:pPr>
    </w:p>
    <w:p>
      <w:pPr>
        <w:ind w:firstLine="840" w:firstLineChars="300"/>
        <w:outlineLvl w:val="0"/>
        <w:rPr>
          <w:rFonts w:hint="eastAsia" w:ascii="宋体" w:hAnsi="宋体"/>
          <w:sz w:val="28"/>
          <w:szCs w:val="28"/>
          <w:u w:val="single"/>
        </w:rPr>
      </w:pPr>
      <w:bookmarkStart w:id="265" w:name="_Toc25411"/>
      <w:r>
        <w:rPr>
          <w:rFonts w:hint="eastAsia" w:ascii="宋体" w:hAnsi="宋体"/>
          <w:sz w:val="28"/>
          <w:szCs w:val="28"/>
        </w:rPr>
        <w:t>采购项目名称：</w:t>
      </w:r>
      <w:bookmarkEnd w:id="265"/>
      <w:r>
        <w:rPr>
          <w:rFonts w:hint="eastAsia" w:ascii="宋体" w:hAnsi="宋体"/>
          <w:sz w:val="28"/>
          <w:szCs w:val="28"/>
          <w:u w:val="single"/>
        </w:rPr>
        <w:t xml:space="preserve">                       </w:t>
      </w:r>
    </w:p>
    <w:p>
      <w:pPr>
        <w:ind w:firstLine="840" w:firstLineChars="300"/>
        <w:rPr>
          <w:rFonts w:hint="eastAsia" w:ascii="宋体" w:hAnsi="宋体"/>
          <w:sz w:val="28"/>
          <w:szCs w:val="28"/>
          <w:u w:val="single"/>
        </w:rPr>
      </w:pPr>
    </w:p>
    <w:p>
      <w:pPr>
        <w:ind w:firstLine="840" w:firstLineChars="300"/>
        <w:outlineLvl w:val="0"/>
        <w:rPr>
          <w:rFonts w:hint="eastAsia" w:ascii="宋体" w:hAnsi="宋体"/>
          <w:sz w:val="28"/>
          <w:szCs w:val="28"/>
          <w:u w:val="single"/>
        </w:rPr>
      </w:pPr>
      <w:bookmarkStart w:id="266" w:name="_Toc21647"/>
      <w:r>
        <w:rPr>
          <w:rFonts w:hint="eastAsia" w:ascii="宋体" w:hAnsi="宋体"/>
          <w:sz w:val="28"/>
          <w:szCs w:val="28"/>
        </w:rPr>
        <w:t>询价内容：</w:t>
      </w:r>
      <w:bookmarkEnd w:id="266"/>
      <w:r>
        <w:rPr>
          <w:rFonts w:hint="eastAsia" w:ascii="宋体" w:hAnsi="宋体"/>
          <w:sz w:val="28"/>
          <w:szCs w:val="28"/>
          <w:u w:val="single"/>
        </w:rPr>
        <w:t xml:space="preserve">                           </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hint="eastAsia" w:ascii="宋体" w:hAnsi="宋体"/>
          <w:sz w:val="28"/>
          <w:szCs w:val="28"/>
        </w:rPr>
      </w:pPr>
    </w:p>
    <w:p>
      <w:pPr>
        <w:ind w:firstLine="840" w:firstLineChars="300"/>
        <w:jc w:val="both"/>
        <w:outlineLvl w:val="0"/>
        <w:rPr>
          <w:rFonts w:ascii="宋体" w:hAnsi="宋体"/>
          <w:sz w:val="28"/>
          <w:szCs w:val="28"/>
        </w:rPr>
      </w:pPr>
      <w:bookmarkStart w:id="267" w:name="_Toc20915"/>
      <w:r>
        <w:rPr>
          <w:rFonts w:hint="eastAsia" w:ascii="宋体" w:hAnsi="宋体"/>
          <w:sz w:val="28"/>
          <w:szCs w:val="28"/>
        </w:rPr>
        <w:t>供应商</w:t>
      </w:r>
      <w:r>
        <w:rPr>
          <w:rFonts w:ascii="宋体" w:hAnsi="宋体"/>
          <w:sz w:val="28"/>
          <w:szCs w:val="28"/>
        </w:rPr>
        <w:t>：</w:t>
      </w:r>
      <w:r>
        <w:rPr>
          <w:rFonts w:ascii="宋体" w:hAnsi="宋体"/>
          <w:sz w:val="28"/>
          <w:szCs w:val="28"/>
          <w:u w:val="single"/>
        </w:rPr>
        <w:t xml:space="preserve">                       </w:t>
      </w:r>
      <w:r>
        <w:rPr>
          <w:rFonts w:ascii="宋体" w:hAnsi="宋体"/>
          <w:sz w:val="28"/>
          <w:szCs w:val="28"/>
        </w:rPr>
        <w:t>（盖单位章）</w:t>
      </w:r>
      <w:bookmarkEnd w:id="267"/>
    </w:p>
    <w:p>
      <w:pPr>
        <w:ind w:firstLine="840" w:firstLineChars="300"/>
        <w:jc w:val="both"/>
        <w:rPr>
          <w:rFonts w:ascii="宋体" w:hAnsi="宋体"/>
          <w:sz w:val="28"/>
          <w:szCs w:val="28"/>
        </w:rPr>
      </w:pPr>
    </w:p>
    <w:p>
      <w:pPr>
        <w:ind w:firstLine="840" w:firstLineChars="300"/>
        <w:jc w:val="both"/>
        <w:outlineLvl w:val="0"/>
        <w:rPr>
          <w:rFonts w:ascii="宋体" w:hAnsi="宋体"/>
          <w:sz w:val="28"/>
          <w:szCs w:val="28"/>
        </w:rPr>
      </w:pPr>
      <w:bookmarkStart w:id="268" w:name="_Toc9185"/>
      <w:r>
        <w:rPr>
          <w:rFonts w:ascii="宋体" w:hAnsi="宋体"/>
          <w:sz w:val="28"/>
          <w:szCs w:val="28"/>
        </w:rPr>
        <w:t>法定代表人或其委托代理人：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（签字）</w:t>
      </w:r>
      <w:bookmarkEnd w:id="268"/>
    </w:p>
    <w:p>
      <w:pPr>
        <w:ind w:firstLine="840" w:firstLineChars="300"/>
        <w:jc w:val="both"/>
        <w:rPr>
          <w:rFonts w:ascii="宋体" w:hAnsi="宋体"/>
          <w:sz w:val="28"/>
          <w:szCs w:val="28"/>
        </w:rPr>
      </w:pPr>
    </w:p>
    <w:p>
      <w:pPr>
        <w:ind w:firstLine="840" w:firstLineChars="300"/>
        <w:jc w:val="both"/>
        <w:outlineLvl w:val="0"/>
        <w:rPr>
          <w:rFonts w:ascii="宋体" w:hAnsi="宋体"/>
          <w:sz w:val="28"/>
          <w:szCs w:val="28"/>
          <w:u w:val="single"/>
        </w:rPr>
      </w:pPr>
      <w:bookmarkStart w:id="269" w:name="_Toc23161"/>
      <w:r>
        <w:rPr>
          <w:rFonts w:hint="eastAsia" w:ascii="宋体" w:hAnsi="宋体"/>
          <w:sz w:val="28"/>
          <w:szCs w:val="28"/>
          <w:lang w:val="en-US" w:eastAsia="zh-CN"/>
        </w:rPr>
        <w:t>联系电话：</w:t>
      </w:r>
      <w:bookmarkEnd w:id="269"/>
      <w:r>
        <w:rPr>
          <w:rFonts w:ascii="宋体" w:hAnsi="宋体"/>
          <w:sz w:val="28"/>
          <w:szCs w:val="28"/>
          <w:u w:val="single"/>
        </w:rPr>
        <w:t xml:space="preserve">                       </w:t>
      </w:r>
    </w:p>
    <w:p>
      <w:pPr>
        <w:ind w:firstLine="840" w:firstLineChars="300"/>
        <w:jc w:val="both"/>
        <w:rPr>
          <w:rFonts w:hint="eastAsia" w:ascii="宋体" w:hAnsi="宋体"/>
          <w:sz w:val="28"/>
          <w:szCs w:val="28"/>
          <w:u w:val="single"/>
          <w:lang w:val="en-US" w:eastAsia="zh-CN"/>
        </w:rPr>
      </w:pPr>
    </w:p>
    <w:p>
      <w:pPr>
        <w:outlineLvl w:val="0"/>
        <w:rPr>
          <w:rFonts w:ascii="宋体" w:hAnsi="宋体"/>
          <w:sz w:val="28"/>
          <w:szCs w:val="28"/>
        </w:rPr>
      </w:pPr>
      <w:r>
        <w:rPr>
          <w:rFonts w:hint="eastAsia" w:ascii="宋体" w:hAnsi="宋体"/>
          <w:sz w:val="28"/>
          <w:szCs w:val="28"/>
        </w:rPr>
        <w:t xml:space="preserve">      </w:t>
      </w:r>
      <w:bookmarkStart w:id="270" w:name="_Toc20858"/>
      <w:r>
        <w:rPr>
          <w:rFonts w:hint="eastAsia" w:ascii="宋体" w:hAnsi="宋体"/>
          <w:sz w:val="28"/>
          <w:szCs w:val="28"/>
          <w:lang w:eastAsia="zh-CN"/>
        </w:rPr>
        <w:t>日</w:t>
      </w:r>
      <w:r>
        <w:rPr>
          <w:rFonts w:hint="eastAsia" w:ascii="宋体" w:hAnsi="宋体"/>
          <w:sz w:val="28"/>
          <w:szCs w:val="28"/>
          <w:lang w:val="en-US" w:eastAsia="zh-CN"/>
        </w:rPr>
        <w:t xml:space="preserve">    </w:t>
      </w:r>
      <w:r>
        <w:rPr>
          <w:rFonts w:hint="eastAsia" w:ascii="宋体" w:hAnsi="宋体"/>
          <w:sz w:val="28"/>
          <w:szCs w:val="28"/>
          <w:lang w:eastAsia="zh-CN"/>
        </w:rPr>
        <w:t>期：</w:t>
      </w:r>
      <w:r>
        <w:rPr>
          <w:rFonts w:hint="eastAsia" w:ascii="宋体" w:hAnsi="宋体"/>
          <w:sz w:val="28"/>
          <w:szCs w:val="28"/>
        </w:rPr>
        <w:t xml:space="preserve"> </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bookmarkEnd w:id="270"/>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both"/>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outlineLvl w:val="0"/>
        <w:rPr>
          <w:rFonts w:hint="eastAsia"/>
          <w:b/>
          <w:sz w:val="32"/>
          <w:szCs w:val="32"/>
        </w:rPr>
      </w:pPr>
      <w:bookmarkStart w:id="271" w:name="_Toc30095"/>
      <w:r>
        <w:rPr>
          <w:rFonts w:hint="eastAsia"/>
          <w:b/>
          <w:sz w:val="32"/>
          <w:szCs w:val="32"/>
        </w:rPr>
        <w:t>目   录</w:t>
      </w:r>
      <w:bookmarkEnd w:id="271"/>
    </w:p>
    <w:p>
      <w:pPr>
        <w:jc w:val="center"/>
        <w:rPr>
          <w:rFonts w:hint="eastAsia"/>
          <w:b/>
          <w:sz w:val="28"/>
          <w:szCs w:val="28"/>
        </w:rPr>
      </w:pPr>
    </w:p>
    <w:p>
      <w:pPr>
        <w:spacing w:line="480" w:lineRule="auto"/>
        <w:ind w:firstLine="480" w:firstLineChars="200"/>
        <w:rPr>
          <w:rFonts w:hint="default"/>
          <w:sz w:val="24"/>
          <w:lang w:val="en-US" w:eastAsia="zh-CN"/>
        </w:rPr>
      </w:pPr>
      <w:r>
        <w:rPr>
          <w:rFonts w:hint="eastAsia"/>
          <w:sz w:val="24"/>
          <w:lang w:val="en-US" w:eastAsia="zh-CN"/>
        </w:rPr>
        <w:t>目录自拟</w:t>
      </w: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lang w:val="en-US" w:eastAsia="zh-CN"/>
        </w:rPr>
      </w:pPr>
    </w:p>
    <w:p>
      <w:pPr>
        <w:spacing w:line="480" w:lineRule="auto"/>
        <w:ind w:firstLine="480" w:firstLineChars="200"/>
        <w:rPr>
          <w:rFonts w:hint="eastAsia"/>
          <w:sz w:val="24"/>
        </w:rPr>
      </w:pPr>
    </w:p>
    <w:p>
      <w:pPr>
        <w:spacing w:line="360" w:lineRule="auto"/>
        <w:ind w:firstLine="480" w:firstLineChars="200"/>
        <w:rPr>
          <w:rFonts w:hint="eastAsia"/>
          <w:sz w:val="24"/>
        </w:rPr>
      </w:pPr>
    </w:p>
    <w:p>
      <w:pPr>
        <w:spacing w:line="360" w:lineRule="auto"/>
        <w:rPr>
          <w:rFonts w:hint="eastAsia"/>
        </w:rPr>
      </w:pPr>
    </w:p>
    <w:p>
      <w:pPr>
        <w:rPr>
          <w:rFonts w:hint="eastAsia"/>
        </w:rPr>
      </w:pPr>
    </w:p>
    <w:p>
      <w:pPr>
        <w:ind w:firstLine="480" w:firstLineChars="200"/>
        <w:jc w:val="center"/>
        <w:rPr>
          <w:rFonts w:hint="eastAsia" w:eastAsia="黑体"/>
          <w:sz w:val="24"/>
        </w:rPr>
      </w:pPr>
    </w:p>
    <w:p>
      <w:pPr>
        <w:ind w:firstLine="480" w:firstLineChars="200"/>
        <w:jc w:val="center"/>
        <w:rPr>
          <w:rFonts w:hint="eastAsia" w:eastAsia="黑体"/>
          <w:sz w:val="24"/>
        </w:rPr>
      </w:pPr>
    </w:p>
    <w:p>
      <w:pPr>
        <w:ind w:firstLine="480" w:firstLineChars="200"/>
        <w:jc w:val="center"/>
        <w:rPr>
          <w:rFonts w:hint="eastAsia" w:eastAsia="黑体"/>
          <w:sz w:val="24"/>
        </w:rPr>
      </w:pPr>
    </w:p>
    <w:p>
      <w:pPr>
        <w:ind w:firstLine="480" w:firstLineChars="200"/>
        <w:jc w:val="center"/>
        <w:rPr>
          <w:rFonts w:hint="eastAsia" w:eastAsia="黑体"/>
          <w:sz w:val="24"/>
        </w:rPr>
      </w:pPr>
    </w:p>
    <w:p>
      <w:pPr>
        <w:ind w:firstLine="480" w:firstLineChars="200"/>
        <w:jc w:val="center"/>
        <w:rPr>
          <w:rFonts w:hint="eastAsia" w:eastAsia="黑体"/>
          <w:sz w:val="24"/>
        </w:rPr>
      </w:pPr>
    </w:p>
    <w:p>
      <w:pPr>
        <w:ind w:firstLine="480" w:firstLineChars="200"/>
        <w:jc w:val="center"/>
        <w:rPr>
          <w:rFonts w:hint="eastAsia" w:eastAsia="黑体"/>
          <w:sz w:val="24"/>
        </w:rPr>
      </w:pPr>
    </w:p>
    <w:p>
      <w:pPr>
        <w:rPr>
          <w:rFonts w:hint="eastAsia" w:eastAsia="黑体"/>
          <w:sz w:val="24"/>
        </w:rPr>
      </w:pPr>
    </w:p>
    <w:p>
      <w:pPr>
        <w:ind w:firstLine="480" w:firstLineChars="200"/>
        <w:jc w:val="center"/>
        <w:rPr>
          <w:rFonts w:hint="eastAsia" w:eastAsia="黑体"/>
          <w:sz w:val="24"/>
        </w:rPr>
      </w:pPr>
    </w:p>
    <w:p>
      <w:pPr>
        <w:ind w:firstLine="480" w:firstLineChars="200"/>
        <w:jc w:val="center"/>
        <w:rPr>
          <w:rFonts w:hint="eastAsia" w:eastAsia="黑体"/>
          <w:sz w:val="24"/>
        </w:rPr>
      </w:pPr>
    </w:p>
    <w:p>
      <w:pPr>
        <w:ind w:firstLine="562" w:firstLineChars="200"/>
        <w:jc w:val="center"/>
        <w:rPr>
          <w:rFonts w:hint="eastAsia" w:ascii="宋体" w:hAnsi="宋体"/>
          <w:b/>
          <w:color w:val="000000"/>
          <w:sz w:val="28"/>
          <w:szCs w:val="28"/>
        </w:rPr>
      </w:pPr>
    </w:p>
    <w:p>
      <w:pPr>
        <w:jc w:val="both"/>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ind w:firstLine="562" w:firstLineChars="200"/>
        <w:jc w:val="center"/>
        <w:rPr>
          <w:rFonts w:hint="eastAsia" w:ascii="宋体" w:hAnsi="宋体"/>
          <w:b/>
          <w:color w:val="000000"/>
          <w:sz w:val="28"/>
          <w:szCs w:val="28"/>
        </w:rPr>
      </w:pPr>
    </w:p>
    <w:p>
      <w:pPr>
        <w:jc w:val="both"/>
        <w:rPr>
          <w:rFonts w:hint="eastAsia" w:ascii="宋体" w:hAnsi="宋体"/>
          <w:b/>
          <w:color w:val="000000"/>
          <w:sz w:val="28"/>
          <w:szCs w:val="28"/>
        </w:rPr>
      </w:pPr>
    </w:p>
    <w:p>
      <w:pPr>
        <w:ind w:firstLine="562" w:firstLineChars="200"/>
        <w:jc w:val="center"/>
        <w:outlineLvl w:val="0"/>
        <w:rPr>
          <w:rFonts w:hint="eastAsia" w:ascii="宋体" w:hAnsi="宋体"/>
          <w:b/>
          <w:color w:val="000000"/>
          <w:sz w:val="28"/>
          <w:szCs w:val="28"/>
        </w:rPr>
      </w:pPr>
      <w:bookmarkStart w:id="272" w:name="_Toc29681"/>
      <w:r>
        <w:rPr>
          <w:rFonts w:hint="eastAsia" w:ascii="宋体" w:hAnsi="宋体"/>
          <w:b/>
          <w:color w:val="000000"/>
          <w:sz w:val="28"/>
          <w:szCs w:val="28"/>
        </w:rPr>
        <w:t>1.</w:t>
      </w:r>
      <w:r>
        <w:rPr>
          <w:rFonts w:hint="eastAsia" w:ascii="宋体" w:hAnsi="宋体"/>
          <w:b/>
          <w:color w:val="000000"/>
          <w:sz w:val="28"/>
          <w:szCs w:val="28"/>
          <w:lang w:eastAsia="zh-CN"/>
        </w:rPr>
        <w:t>询价</w:t>
      </w:r>
      <w:r>
        <w:rPr>
          <w:rFonts w:hint="eastAsia" w:ascii="宋体" w:hAnsi="宋体"/>
          <w:b/>
          <w:color w:val="000000"/>
          <w:sz w:val="28"/>
          <w:szCs w:val="28"/>
        </w:rPr>
        <w:t>函</w:t>
      </w:r>
      <w:bookmarkEnd w:id="272"/>
    </w:p>
    <w:p>
      <w:pPr>
        <w:ind w:firstLine="420" w:firstLineChars="200"/>
        <w:rPr>
          <w:rFonts w:hint="eastAsia" w:ascii="宋体" w:hAnsi="宋体"/>
        </w:rPr>
      </w:pPr>
    </w:p>
    <w:p>
      <w:pPr>
        <w:topLinePunct/>
        <w:spacing w:line="440" w:lineRule="exact"/>
        <w:ind w:firstLine="420" w:firstLineChars="200"/>
        <w:rPr>
          <w:rFonts w:hint="eastAsia"/>
          <w:szCs w:val="21"/>
        </w:rPr>
      </w:pPr>
      <w:r>
        <w:rPr>
          <w:rFonts w:hint="eastAsia"/>
          <w:szCs w:val="21"/>
        </w:rPr>
        <w:t>致：（</w:t>
      </w:r>
      <w:r>
        <w:rPr>
          <w:rFonts w:hint="eastAsia"/>
          <w:szCs w:val="21"/>
          <w:lang w:val="en-US" w:eastAsia="zh-CN"/>
        </w:rPr>
        <w:t>招标人</w:t>
      </w:r>
      <w:r>
        <w:rPr>
          <w:rFonts w:hint="eastAsia"/>
          <w:szCs w:val="21"/>
        </w:rPr>
        <w:t xml:space="preserve">）    </w:t>
      </w:r>
    </w:p>
    <w:p>
      <w:pPr>
        <w:topLinePunct/>
        <w:spacing w:line="440" w:lineRule="exact"/>
        <w:ind w:firstLine="420" w:firstLineChars="200"/>
        <w:rPr>
          <w:rFonts w:hint="eastAsia"/>
          <w:szCs w:val="21"/>
        </w:rPr>
      </w:pPr>
      <w:r>
        <w:rPr>
          <w:rFonts w:hint="eastAsia"/>
          <w:szCs w:val="21"/>
        </w:rPr>
        <w:t>根据贵方</w:t>
      </w:r>
      <w:r>
        <w:rPr>
          <w:rFonts w:hint="eastAsia"/>
          <w:szCs w:val="21"/>
          <w:u w:val="single"/>
        </w:rPr>
        <w:t xml:space="preserve">   （询价项目名称）    </w:t>
      </w:r>
      <w:r>
        <w:rPr>
          <w:rFonts w:hint="eastAsia"/>
          <w:szCs w:val="21"/>
        </w:rPr>
        <w:t>项目询价文件编号</w:t>
      </w:r>
      <w:r>
        <w:rPr>
          <w:rFonts w:hint="eastAsia"/>
          <w:szCs w:val="21"/>
          <w:u w:val="single"/>
        </w:rPr>
        <w:t xml:space="preserve">   （招标编号）   </w:t>
      </w:r>
      <w:r>
        <w:rPr>
          <w:rFonts w:hint="eastAsia"/>
          <w:szCs w:val="21"/>
        </w:rPr>
        <w:t>，正式授权下述签字人</w:t>
      </w:r>
      <w:r>
        <w:rPr>
          <w:rFonts w:hint="eastAsia"/>
          <w:szCs w:val="21"/>
          <w:u w:val="single"/>
        </w:rPr>
        <w:t xml:space="preserve">    （姓名）   </w:t>
      </w:r>
      <w:r>
        <w:rPr>
          <w:rFonts w:hint="eastAsia"/>
          <w:szCs w:val="21"/>
        </w:rPr>
        <w:t>全权代表报价人</w:t>
      </w:r>
      <w:r>
        <w:rPr>
          <w:rFonts w:hint="eastAsia"/>
          <w:szCs w:val="21"/>
          <w:u w:val="single"/>
        </w:rPr>
        <w:t xml:space="preserve">   （报价人全称）   </w:t>
      </w:r>
      <w:r>
        <w:rPr>
          <w:rFonts w:hint="eastAsia"/>
          <w:szCs w:val="21"/>
        </w:rPr>
        <w:t>参加贵方组织的有关招标活动，并提交下述文件正本一份，副本三份。</w:t>
      </w:r>
    </w:p>
    <w:p>
      <w:pPr>
        <w:topLinePunct/>
        <w:spacing w:line="440" w:lineRule="exact"/>
        <w:ind w:firstLine="420" w:firstLineChars="200"/>
        <w:rPr>
          <w:rFonts w:hint="eastAsia"/>
          <w:szCs w:val="21"/>
        </w:rPr>
      </w:pPr>
      <w:r>
        <w:rPr>
          <w:rFonts w:hint="eastAsia"/>
          <w:szCs w:val="21"/>
        </w:rPr>
        <w:t>据此函，签字人兹宣布同意如下：</w:t>
      </w:r>
    </w:p>
    <w:p>
      <w:pPr>
        <w:topLinePunct/>
        <w:spacing w:line="440" w:lineRule="exact"/>
        <w:ind w:firstLine="420" w:firstLineChars="200"/>
        <w:rPr>
          <w:rFonts w:hint="eastAsia"/>
          <w:szCs w:val="21"/>
        </w:rPr>
      </w:pPr>
      <w:r>
        <w:rPr>
          <w:rFonts w:hint="eastAsia"/>
          <w:szCs w:val="21"/>
        </w:rPr>
        <w:t>⑴ 我们承担根据询价文件的规定，完成合同的责任和义务。</w:t>
      </w:r>
    </w:p>
    <w:p>
      <w:pPr>
        <w:topLinePunct/>
        <w:spacing w:line="440" w:lineRule="exact"/>
        <w:ind w:firstLine="420" w:firstLineChars="200"/>
        <w:rPr>
          <w:rFonts w:hint="eastAsia"/>
          <w:szCs w:val="21"/>
        </w:rPr>
      </w:pPr>
      <w:r>
        <w:rPr>
          <w:rFonts w:hint="eastAsia"/>
          <w:szCs w:val="21"/>
        </w:rPr>
        <w:t>⑵ 我们已详细审核全部询价文件、参考资料及有关附件，我们知道必须放弃提出含糊不清或误解问题的权利。</w:t>
      </w:r>
    </w:p>
    <w:p>
      <w:pPr>
        <w:topLinePunct/>
        <w:spacing w:line="440" w:lineRule="exact"/>
        <w:ind w:firstLine="420" w:firstLineChars="200"/>
        <w:rPr>
          <w:rFonts w:hint="eastAsia"/>
          <w:szCs w:val="21"/>
        </w:rPr>
      </w:pPr>
      <w:r>
        <w:rPr>
          <w:rFonts w:hint="eastAsia"/>
          <w:szCs w:val="21"/>
        </w:rPr>
        <w:t>⑶ 我们同意在报价人须知规定的开标日期起遵循本询价文件，并在报价人须知中规定的</w:t>
      </w:r>
      <w:r>
        <w:rPr>
          <w:rFonts w:hint="eastAsia"/>
          <w:szCs w:val="21"/>
          <w:lang w:eastAsia="zh-CN"/>
        </w:rPr>
        <w:t>询价</w:t>
      </w:r>
      <w:r>
        <w:rPr>
          <w:rFonts w:hint="eastAsia"/>
          <w:szCs w:val="21"/>
        </w:rPr>
        <w:t>有效期满之前均具有约束力，并有可能成交。</w:t>
      </w:r>
    </w:p>
    <w:p>
      <w:pPr>
        <w:topLinePunct/>
        <w:spacing w:line="440" w:lineRule="exact"/>
        <w:ind w:firstLine="420" w:firstLineChars="200"/>
        <w:rPr>
          <w:rFonts w:hint="eastAsia"/>
          <w:szCs w:val="21"/>
        </w:rPr>
      </w:pPr>
      <w:r>
        <w:rPr>
          <w:rFonts w:hint="eastAsia"/>
          <w:szCs w:val="21"/>
        </w:rPr>
        <w:t>⑷ 如果在开标后规定的</w:t>
      </w:r>
      <w:r>
        <w:rPr>
          <w:rFonts w:hint="eastAsia"/>
          <w:szCs w:val="21"/>
          <w:lang w:eastAsia="zh-CN"/>
        </w:rPr>
        <w:t>询价</w:t>
      </w:r>
      <w:r>
        <w:rPr>
          <w:rFonts w:hint="eastAsia"/>
          <w:szCs w:val="21"/>
        </w:rPr>
        <w:t>有效期内撤回</w:t>
      </w:r>
      <w:r>
        <w:rPr>
          <w:rFonts w:hint="eastAsia"/>
          <w:szCs w:val="21"/>
          <w:lang w:eastAsia="zh-CN"/>
        </w:rPr>
        <w:t>询价</w:t>
      </w:r>
      <w:r>
        <w:rPr>
          <w:rFonts w:hint="eastAsia"/>
          <w:szCs w:val="21"/>
        </w:rPr>
        <w:t>或者有其他违约的行为，我们的询价保证金可被贵方没收。</w:t>
      </w:r>
    </w:p>
    <w:p>
      <w:pPr>
        <w:topLinePunct/>
        <w:spacing w:line="440" w:lineRule="exact"/>
        <w:ind w:firstLine="420" w:firstLineChars="200"/>
        <w:rPr>
          <w:rFonts w:hint="eastAsia"/>
          <w:szCs w:val="21"/>
        </w:rPr>
      </w:pPr>
      <w:r>
        <w:rPr>
          <w:rFonts w:hint="eastAsia"/>
          <w:szCs w:val="21"/>
        </w:rPr>
        <w:t>⑸ 同意向贵方提供贵方可能要求的与本</w:t>
      </w:r>
      <w:r>
        <w:rPr>
          <w:rFonts w:hint="eastAsia"/>
          <w:szCs w:val="21"/>
          <w:lang w:eastAsia="zh-CN"/>
        </w:rPr>
        <w:t>询价</w:t>
      </w:r>
      <w:r>
        <w:rPr>
          <w:rFonts w:hint="eastAsia"/>
          <w:szCs w:val="21"/>
        </w:rPr>
        <w:t>有关的任何数据或资料。</w:t>
      </w:r>
    </w:p>
    <w:p>
      <w:pPr>
        <w:topLinePunct/>
        <w:spacing w:line="440" w:lineRule="exact"/>
        <w:ind w:firstLine="420" w:firstLineChars="200"/>
        <w:rPr>
          <w:rFonts w:hint="eastAsia"/>
          <w:szCs w:val="21"/>
        </w:rPr>
      </w:pPr>
      <w:r>
        <w:rPr>
          <w:rFonts w:hint="eastAsia"/>
          <w:szCs w:val="21"/>
        </w:rPr>
        <w:t>⑹ 我们完全理解贵方询价文件内的所有内容和本次询价有关的任何举动。</w:t>
      </w:r>
    </w:p>
    <w:p>
      <w:pPr>
        <w:topLinePunct/>
        <w:spacing w:line="440" w:lineRule="exact"/>
        <w:ind w:firstLine="420" w:firstLineChars="200"/>
        <w:rPr>
          <w:rFonts w:hint="eastAsia"/>
          <w:szCs w:val="21"/>
        </w:rPr>
      </w:pPr>
      <w:r>
        <w:rPr>
          <w:rFonts w:hint="eastAsia"/>
          <w:szCs w:val="21"/>
        </w:rPr>
        <w:t>⑺ 我方理解贵方可依据询价小组的评标报告接受或拒绝任何</w:t>
      </w:r>
      <w:r>
        <w:rPr>
          <w:rFonts w:hint="eastAsia"/>
          <w:szCs w:val="21"/>
          <w:lang w:eastAsia="zh-CN"/>
        </w:rPr>
        <w:t>询价</w:t>
      </w:r>
      <w:r>
        <w:rPr>
          <w:rFonts w:hint="eastAsia"/>
          <w:szCs w:val="21"/>
        </w:rPr>
        <w:t>。</w:t>
      </w:r>
    </w:p>
    <w:p>
      <w:pPr>
        <w:topLinePunct/>
        <w:spacing w:line="440" w:lineRule="exact"/>
        <w:ind w:firstLine="420" w:firstLineChars="200"/>
        <w:rPr>
          <w:rFonts w:hint="eastAsia"/>
          <w:szCs w:val="21"/>
        </w:rPr>
      </w:pPr>
    </w:p>
    <w:p>
      <w:pPr>
        <w:topLinePunct/>
        <w:spacing w:line="440" w:lineRule="exact"/>
        <w:ind w:firstLine="420" w:firstLineChars="200"/>
        <w:rPr>
          <w:rFonts w:hint="eastAsia"/>
          <w:szCs w:val="21"/>
        </w:rPr>
      </w:pPr>
    </w:p>
    <w:p>
      <w:pPr>
        <w:topLinePunct/>
        <w:spacing w:line="440" w:lineRule="exact"/>
        <w:ind w:firstLine="420" w:firstLineChars="200"/>
        <w:rPr>
          <w:rFonts w:hint="eastAsia"/>
          <w:szCs w:val="21"/>
        </w:rPr>
      </w:pPr>
    </w:p>
    <w:p>
      <w:pPr>
        <w:topLinePunct/>
        <w:spacing w:line="440" w:lineRule="exact"/>
        <w:ind w:firstLine="420" w:firstLineChars="200"/>
        <w:rPr>
          <w:rFonts w:hint="eastAsia"/>
          <w:szCs w:val="21"/>
        </w:rPr>
      </w:pPr>
    </w:p>
    <w:p>
      <w:pPr>
        <w:topLinePunct/>
        <w:spacing w:line="440" w:lineRule="exact"/>
        <w:ind w:firstLine="420" w:firstLineChars="200"/>
        <w:rPr>
          <w:rFonts w:hint="eastAsia"/>
          <w:szCs w:val="21"/>
        </w:rPr>
      </w:pPr>
    </w:p>
    <w:p>
      <w:pPr>
        <w:topLinePunct/>
        <w:spacing w:line="440" w:lineRule="exact"/>
        <w:ind w:firstLine="420" w:firstLineChars="200"/>
        <w:rPr>
          <w:rFonts w:hint="eastAsia"/>
          <w:szCs w:val="21"/>
        </w:rPr>
      </w:pPr>
      <w:r>
        <w:rPr>
          <w:rFonts w:hint="eastAsia"/>
          <w:szCs w:val="21"/>
        </w:rPr>
        <w:t>与本</w:t>
      </w:r>
      <w:r>
        <w:rPr>
          <w:rFonts w:hint="eastAsia"/>
          <w:szCs w:val="21"/>
          <w:lang w:eastAsia="zh-CN"/>
        </w:rPr>
        <w:t>询价</w:t>
      </w:r>
      <w:r>
        <w:rPr>
          <w:rFonts w:hint="eastAsia"/>
          <w:szCs w:val="21"/>
        </w:rPr>
        <w:t>有关的正式通讯地址为：</w:t>
      </w:r>
    </w:p>
    <w:p>
      <w:pPr>
        <w:topLinePunct/>
        <w:spacing w:line="440" w:lineRule="exact"/>
        <w:ind w:firstLine="420" w:firstLineChars="200"/>
        <w:rPr>
          <w:rFonts w:hint="eastAsia"/>
          <w:szCs w:val="21"/>
        </w:rPr>
      </w:pPr>
      <w:r>
        <w:rPr>
          <w:rFonts w:hint="eastAsia"/>
          <w:szCs w:val="21"/>
        </w:rPr>
        <w:t xml:space="preserve">地址：                                                             </w:t>
      </w:r>
    </w:p>
    <w:p>
      <w:pPr>
        <w:topLinePunct/>
        <w:spacing w:line="440" w:lineRule="exact"/>
        <w:ind w:firstLine="420" w:firstLineChars="200"/>
        <w:rPr>
          <w:rFonts w:hint="eastAsia"/>
          <w:szCs w:val="21"/>
        </w:rPr>
      </w:pPr>
      <w:r>
        <w:rPr>
          <w:rFonts w:hint="eastAsia"/>
          <w:szCs w:val="21"/>
        </w:rPr>
        <w:t xml:space="preserve">邮政编码：                                                         </w:t>
      </w:r>
    </w:p>
    <w:p>
      <w:pPr>
        <w:topLinePunct/>
        <w:spacing w:line="440" w:lineRule="exact"/>
        <w:ind w:firstLine="420" w:firstLineChars="200"/>
        <w:rPr>
          <w:rFonts w:hint="eastAsia"/>
          <w:szCs w:val="21"/>
        </w:rPr>
      </w:pPr>
      <w:r>
        <w:rPr>
          <w:rFonts w:hint="eastAsia"/>
          <w:szCs w:val="21"/>
        </w:rPr>
        <w:t xml:space="preserve">电话、传真：                                                       </w:t>
      </w:r>
    </w:p>
    <w:p>
      <w:pPr>
        <w:topLinePunct/>
        <w:spacing w:line="440" w:lineRule="exact"/>
        <w:ind w:firstLine="420" w:firstLineChars="200"/>
        <w:rPr>
          <w:rFonts w:hint="eastAsia"/>
          <w:szCs w:val="21"/>
        </w:rPr>
      </w:pPr>
      <w:r>
        <w:rPr>
          <w:rFonts w:hint="eastAsia"/>
          <w:szCs w:val="21"/>
        </w:rPr>
        <w:t xml:space="preserve">法定代表人或全权代表人签名：                                        </w:t>
      </w:r>
    </w:p>
    <w:p>
      <w:pPr>
        <w:topLinePunct/>
        <w:spacing w:line="440" w:lineRule="exact"/>
        <w:ind w:firstLine="420" w:firstLineChars="200"/>
        <w:rPr>
          <w:rFonts w:hint="eastAsia"/>
          <w:szCs w:val="21"/>
        </w:rPr>
      </w:pPr>
      <w:r>
        <w:rPr>
          <w:rFonts w:hint="eastAsia"/>
          <w:szCs w:val="21"/>
        </w:rPr>
        <w:t xml:space="preserve">报价人公章：                                                       </w:t>
      </w:r>
    </w:p>
    <w:p>
      <w:pPr>
        <w:topLinePunct/>
        <w:spacing w:line="440" w:lineRule="exact"/>
        <w:ind w:firstLine="420" w:firstLineChars="200"/>
        <w:rPr>
          <w:rFonts w:hint="eastAsia" w:ascii="宋体" w:hAnsi="宋体"/>
        </w:rPr>
      </w:pPr>
      <w:r>
        <w:rPr>
          <w:rFonts w:hint="eastAsia"/>
          <w:szCs w:val="21"/>
        </w:rPr>
        <w:t xml:space="preserve">日期：                                                   </w:t>
      </w:r>
      <w:r>
        <w:rPr>
          <w:rFonts w:hint="eastAsia" w:ascii="宋体" w:hAnsi="宋体"/>
        </w:rPr>
        <w:t xml:space="preserve">          </w:t>
      </w:r>
    </w:p>
    <w:p>
      <w:pPr>
        <w:ind w:firstLine="420" w:firstLineChars="200"/>
        <w:rPr>
          <w:rFonts w:hint="eastAsia" w:ascii="宋体" w:hAnsi="宋体"/>
          <w:color w:val="000000"/>
        </w:rPr>
      </w:pPr>
    </w:p>
    <w:p>
      <w:pPr>
        <w:spacing w:line="440" w:lineRule="exact"/>
        <w:jc w:val="center"/>
        <w:rPr>
          <w:rFonts w:hint="eastAsia" w:eastAsia="黑体"/>
          <w:sz w:val="20"/>
          <w:szCs w:val="20"/>
        </w:rPr>
      </w:pPr>
    </w:p>
    <w:p>
      <w:pPr>
        <w:pStyle w:val="32"/>
        <w:jc w:val="center"/>
        <w:outlineLvl w:val="0"/>
        <w:rPr>
          <w:rFonts w:ascii="宋体" w:hAnsi="宋体" w:eastAsia="宋体"/>
          <w:b/>
        </w:rPr>
      </w:pPr>
      <w:bookmarkStart w:id="273" w:name="_Toc152045791"/>
      <w:bookmarkStart w:id="274" w:name="_Toc144974860"/>
      <w:bookmarkStart w:id="275" w:name="_Toc179632811"/>
      <w:bookmarkStart w:id="276" w:name="_Toc152042580"/>
      <w:bookmarkStart w:id="277" w:name="_Toc4"/>
      <w:r>
        <w:rPr>
          <w:rFonts w:hint="eastAsia" w:ascii="宋体" w:hAnsi="宋体" w:eastAsia="宋体"/>
          <w:b/>
        </w:rPr>
        <w:t>2</w:t>
      </w:r>
      <w:r>
        <w:rPr>
          <w:rFonts w:ascii="宋体" w:hAnsi="宋体" w:eastAsia="宋体"/>
          <w:b/>
        </w:rPr>
        <w:t>、法定代表人身份证明</w:t>
      </w:r>
      <w:bookmarkEnd w:id="273"/>
      <w:bookmarkEnd w:id="274"/>
      <w:bookmarkEnd w:id="275"/>
      <w:bookmarkEnd w:id="276"/>
      <w:bookmarkEnd w:id="277"/>
    </w:p>
    <w:p>
      <w:pPr>
        <w:spacing w:line="440" w:lineRule="exact"/>
        <w:rPr>
          <w:rFonts w:hint="eastAsia"/>
          <w:sz w:val="24"/>
        </w:rPr>
      </w:pPr>
    </w:p>
    <w:p>
      <w:pPr>
        <w:spacing w:line="440" w:lineRule="exact"/>
        <w:rPr>
          <w:rFonts w:hint="eastAsia"/>
          <w:szCs w:val="21"/>
        </w:rPr>
      </w:pPr>
    </w:p>
    <w:p>
      <w:pPr>
        <w:spacing w:line="440" w:lineRule="exact"/>
        <w:rPr>
          <w:szCs w:val="21"/>
        </w:rPr>
      </w:pPr>
      <w:r>
        <w:rPr>
          <w:rFonts w:hint="eastAsia"/>
          <w:szCs w:val="21"/>
        </w:rPr>
        <w:t>供应商</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rFonts w:hint="default" w:eastAsia="宋体"/>
          <w:szCs w:val="21"/>
          <w:lang w:val="en-US" w:eastAsia="zh-CN"/>
        </w:rPr>
      </w:pPr>
      <w:r>
        <w:rPr>
          <w:rFonts w:hint="eastAsia"/>
          <w:szCs w:val="21"/>
          <w:lang w:val="en-US" w:eastAsia="zh-CN"/>
        </w:rPr>
        <w:t>附：法定代表人身份证</w:t>
      </w:r>
    </w:p>
    <w:p>
      <w:pPr>
        <w:spacing w:line="440" w:lineRule="exact"/>
        <w:rPr>
          <w:rFonts w:hint="eastAsia"/>
          <w:szCs w:val="21"/>
        </w:rPr>
      </w:pPr>
    </w:p>
    <w:p>
      <w:pPr>
        <w:spacing w:line="440" w:lineRule="exact"/>
        <w:rPr>
          <w:rFonts w:hint="eastAsia"/>
          <w:szCs w:val="21"/>
        </w:rPr>
      </w:pPr>
    </w:p>
    <w:p>
      <w:pPr>
        <w:spacing w:line="440" w:lineRule="exact"/>
        <w:rPr>
          <w:rFonts w:hint="eastAsia"/>
          <w:szCs w:val="21"/>
        </w:rPr>
      </w:pPr>
    </w:p>
    <w:p>
      <w:pPr>
        <w:spacing w:line="440" w:lineRule="exact"/>
        <w:rPr>
          <w:szCs w:val="21"/>
        </w:rPr>
      </w:pPr>
      <w:r>
        <w:rPr>
          <w:szCs w:val="21"/>
        </w:rPr>
        <w:t xml:space="preserve">                          </w:t>
      </w:r>
      <w:r>
        <w:rPr>
          <w:rFonts w:hint="eastAsia"/>
          <w:szCs w:val="21"/>
        </w:rPr>
        <w:t>供应商</w:t>
      </w:r>
      <w:r>
        <w:rPr>
          <w:szCs w:val="21"/>
        </w:rPr>
        <w:t>：</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rFonts w:hint="eastAsia" w:eastAsia="黑体"/>
          <w:szCs w:val="21"/>
        </w:rPr>
      </w:pPr>
    </w:p>
    <w:p>
      <w:pPr>
        <w:spacing w:line="440" w:lineRule="exact"/>
        <w:rPr>
          <w:rFonts w:hint="eastAsia" w:eastAsia="黑体"/>
          <w:szCs w:val="21"/>
        </w:rPr>
      </w:pPr>
    </w:p>
    <w:p>
      <w:pPr>
        <w:spacing w:line="440" w:lineRule="exact"/>
        <w:rPr>
          <w:rFonts w:hint="eastAsia" w:eastAsia="黑体"/>
          <w:szCs w:val="21"/>
        </w:rPr>
      </w:pPr>
    </w:p>
    <w:p>
      <w:pPr>
        <w:spacing w:line="440" w:lineRule="exact"/>
        <w:rPr>
          <w:rFonts w:hint="eastAsia" w:eastAsia="黑体"/>
          <w:szCs w:val="21"/>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spacing w:line="440" w:lineRule="exact"/>
        <w:rPr>
          <w:rFonts w:hint="eastAsia" w:eastAsia="黑体"/>
          <w:sz w:val="20"/>
          <w:szCs w:val="20"/>
        </w:rPr>
      </w:pPr>
    </w:p>
    <w:p>
      <w:pPr>
        <w:pStyle w:val="32"/>
        <w:jc w:val="center"/>
        <w:outlineLvl w:val="0"/>
        <w:rPr>
          <w:rFonts w:ascii="宋体" w:hAnsi="宋体" w:eastAsia="宋体"/>
          <w:b/>
        </w:rPr>
      </w:pPr>
      <w:bookmarkStart w:id="278" w:name="_Toc144974861"/>
      <w:bookmarkStart w:id="279" w:name="_Toc179632812"/>
      <w:bookmarkStart w:id="280" w:name="_Toc152045792"/>
      <w:bookmarkStart w:id="281" w:name="_Toc30057"/>
      <w:bookmarkStart w:id="282" w:name="_Toc152042581"/>
      <w:r>
        <w:rPr>
          <w:rFonts w:hint="eastAsia" w:ascii="宋体" w:hAnsi="宋体" w:eastAsia="宋体"/>
          <w:b/>
        </w:rPr>
        <w:t>3</w:t>
      </w:r>
      <w:r>
        <w:rPr>
          <w:rFonts w:ascii="宋体" w:hAnsi="宋体" w:eastAsia="宋体"/>
          <w:b/>
        </w:rPr>
        <w:t>、授权委托书</w:t>
      </w:r>
      <w:bookmarkEnd w:id="278"/>
      <w:bookmarkEnd w:id="279"/>
      <w:bookmarkEnd w:id="280"/>
      <w:bookmarkEnd w:id="281"/>
      <w:bookmarkEnd w:id="282"/>
    </w:p>
    <w:p>
      <w:pPr>
        <w:spacing w:line="440" w:lineRule="exact"/>
        <w:rPr>
          <w:rFonts w:eastAsia="黑体"/>
          <w:sz w:val="24"/>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w:t>
      </w:r>
      <w:r>
        <w:rPr>
          <w:rFonts w:hint="eastAsia"/>
          <w:szCs w:val="21"/>
        </w:rPr>
        <w:t>供应商</w:t>
      </w:r>
      <w:r>
        <w:rPr>
          <w:szCs w:val="21"/>
        </w:rPr>
        <w:t>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w:t>
      </w:r>
      <w:r>
        <w:rPr>
          <w:rFonts w:hint="eastAsia"/>
          <w:szCs w:val="21"/>
        </w:rPr>
        <w:t>报价文件</w:t>
      </w:r>
      <w:r>
        <w:rPr>
          <w:szCs w:val="21"/>
        </w:rPr>
        <w:t>、签订合同和处理有关事宜，其法律后果由我方承担。</w:t>
      </w:r>
    </w:p>
    <w:p>
      <w:pPr>
        <w:spacing w:line="440" w:lineRule="exact"/>
        <w:rPr>
          <w:szCs w:val="21"/>
        </w:rPr>
      </w:pPr>
      <w:r>
        <w:rPr>
          <w:szCs w:val="21"/>
        </w:rPr>
        <w:t xml:space="preserve">    委托期限：</w:t>
      </w:r>
      <w:r>
        <w:rPr>
          <w:szCs w:val="21"/>
          <w:u w:val="single"/>
        </w:rPr>
        <w:t xml:space="preserve">             </w:t>
      </w:r>
      <w:r>
        <w:rPr>
          <w:rFonts w:hint="eastAsia"/>
          <w:szCs w:val="21"/>
        </w:rPr>
        <w:t>。</w:t>
      </w:r>
    </w:p>
    <w:p>
      <w:pPr>
        <w:spacing w:line="440" w:lineRule="exact"/>
        <w:ind w:firstLine="420" w:firstLineChars="200"/>
        <w:rPr>
          <w:rFonts w:hint="eastAsia"/>
          <w:szCs w:val="21"/>
        </w:rPr>
      </w:pPr>
      <w:r>
        <w:rPr>
          <w:szCs w:val="21"/>
        </w:rPr>
        <w:t>代理人无转委托权。</w:t>
      </w:r>
    </w:p>
    <w:p>
      <w:pPr>
        <w:spacing w:line="440" w:lineRule="exact"/>
        <w:ind w:firstLine="420" w:firstLineChars="200"/>
        <w:rPr>
          <w:rFonts w:hint="eastAsia"/>
          <w:szCs w:val="21"/>
        </w:rPr>
      </w:pPr>
    </w:p>
    <w:p>
      <w:pPr>
        <w:spacing w:line="440" w:lineRule="exact"/>
        <w:ind w:firstLine="420" w:firstLineChars="200"/>
        <w:rPr>
          <w:rFonts w:hint="eastAsia"/>
          <w:szCs w:val="21"/>
        </w:rPr>
      </w:pPr>
    </w:p>
    <w:p>
      <w:pPr>
        <w:spacing w:line="440" w:lineRule="exact"/>
        <w:ind w:firstLine="420" w:firstLineChars="200"/>
        <w:rPr>
          <w:rFonts w:hint="eastAsia"/>
          <w:szCs w:val="21"/>
        </w:rPr>
      </w:pPr>
    </w:p>
    <w:p>
      <w:pPr>
        <w:spacing w:line="440" w:lineRule="exact"/>
        <w:ind w:firstLine="420" w:firstLineChars="200"/>
        <w:rPr>
          <w:rFonts w:hint="eastAsia"/>
          <w:szCs w:val="21"/>
        </w:rPr>
      </w:pPr>
      <w:r>
        <w:rPr>
          <w:rFonts w:hint="eastAsia"/>
          <w:szCs w:val="21"/>
        </w:rPr>
        <w:t>附：</w:t>
      </w:r>
      <w:r>
        <w:rPr>
          <w:szCs w:val="21"/>
        </w:rPr>
        <w:t>委托代理人</w:t>
      </w:r>
      <w:r>
        <w:rPr>
          <w:rFonts w:hint="eastAsia"/>
          <w:szCs w:val="21"/>
        </w:rPr>
        <w:t>身份证明</w:t>
      </w:r>
    </w:p>
    <w:p>
      <w:pPr>
        <w:spacing w:line="440" w:lineRule="exact"/>
        <w:rPr>
          <w:szCs w:val="21"/>
        </w:rPr>
      </w:pPr>
    </w:p>
    <w:p>
      <w:pPr>
        <w:spacing w:line="440" w:lineRule="exact"/>
        <w:rPr>
          <w:rFonts w:hint="eastAsia"/>
          <w:szCs w:val="21"/>
        </w:rPr>
      </w:pPr>
    </w:p>
    <w:p>
      <w:pPr>
        <w:spacing w:line="440" w:lineRule="exact"/>
        <w:rPr>
          <w:rFonts w:hint="eastAsia"/>
          <w:szCs w:val="21"/>
        </w:rPr>
      </w:pPr>
    </w:p>
    <w:p>
      <w:pPr>
        <w:spacing w:line="440" w:lineRule="exact"/>
        <w:rPr>
          <w:rFonts w:hint="eastAsia"/>
          <w:szCs w:val="21"/>
        </w:rPr>
      </w:pPr>
    </w:p>
    <w:p>
      <w:pPr>
        <w:spacing w:line="440" w:lineRule="exact"/>
        <w:rPr>
          <w:rFonts w:hint="eastAsia"/>
          <w:szCs w:val="21"/>
        </w:rPr>
      </w:pPr>
    </w:p>
    <w:p>
      <w:pPr>
        <w:spacing w:line="440" w:lineRule="exact"/>
        <w:rPr>
          <w:rFonts w:hint="eastAsia"/>
          <w:szCs w:val="21"/>
        </w:rPr>
      </w:pPr>
    </w:p>
    <w:p>
      <w:pPr>
        <w:spacing w:line="440" w:lineRule="exact"/>
        <w:ind w:firstLine="2100" w:firstLineChars="1000"/>
        <w:rPr>
          <w:rFonts w:hint="eastAsia"/>
          <w:szCs w:val="21"/>
        </w:rPr>
      </w:pPr>
      <w:r>
        <w:rPr>
          <w:rFonts w:hint="eastAsia"/>
          <w:szCs w:val="21"/>
        </w:rPr>
        <w:t>供应商</w:t>
      </w:r>
      <w:r>
        <w:rPr>
          <w:szCs w:val="21"/>
        </w:rPr>
        <w:t>：</w:t>
      </w:r>
      <w:r>
        <w:rPr>
          <w:szCs w:val="21"/>
          <w:u w:val="single"/>
        </w:rPr>
        <w:t xml:space="preserve">                               </w:t>
      </w:r>
      <w:r>
        <w:rPr>
          <w:szCs w:val="21"/>
        </w:rPr>
        <w:t>（盖单位章）</w:t>
      </w:r>
    </w:p>
    <w:p>
      <w:pPr>
        <w:spacing w:line="440" w:lineRule="exact"/>
        <w:ind w:firstLine="2100" w:firstLineChars="1000"/>
        <w:rPr>
          <w:rFonts w:hint="eastAsia"/>
          <w:szCs w:val="21"/>
        </w:rPr>
      </w:pPr>
      <w:r>
        <w:rPr>
          <w:szCs w:val="21"/>
        </w:rPr>
        <w:t>法定代表人：</w:t>
      </w:r>
      <w:r>
        <w:rPr>
          <w:szCs w:val="21"/>
          <w:u w:val="single"/>
        </w:rPr>
        <w:t xml:space="preserve">                               </w:t>
      </w:r>
      <w:r>
        <w:rPr>
          <w:szCs w:val="21"/>
        </w:rPr>
        <w:t>（签字）</w:t>
      </w:r>
    </w:p>
    <w:p>
      <w:pPr>
        <w:spacing w:line="440" w:lineRule="exact"/>
        <w:ind w:firstLine="2100" w:firstLineChars="1000"/>
        <w:rPr>
          <w:rFonts w:hint="eastAsia"/>
          <w:szCs w:val="21"/>
        </w:rPr>
      </w:pPr>
      <w:r>
        <w:rPr>
          <w:szCs w:val="21"/>
        </w:rPr>
        <w:t>身份证号码：</w:t>
      </w:r>
      <w:r>
        <w:rPr>
          <w:szCs w:val="21"/>
          <w:u w:val="single"/>
        </w:rPr>
        <w:t xml:space="preserve">                                     </w:t>
      </w:r>
    </w:p>
    <w:p>
      <w:pPr>
        <w:spacing w:line="440" w:lineRule="exact"/>
        <w:ind w:firstLine="2100" w:firstLineChars="1000"/>
        <w:rPr>
          <w:rFonts w:hint="eastAsia"/>
          <w:szCs w:val="21"/>
        </w:rPr>
      </w:pPr>
      <w:r>
        <w:rPr>
          <w:szCs w:val="21"/>
        </w:rPr>
        <w:t>委托代理人：</w:t>
      </w:r>
      <w:r>
        <w:rPr>
          <w:szCs w:val="21"/>
          <w:u w:val="single"/>
        </w:rPr>
        <w:t xml:space="preserve">                              </w:t>
      </w:r>
      <w:r>
        <w:rPr>
          <w:szCs w:val="21"/>
        </w:rPr>
        <w:t xml:space="preserve">（签字） </w:t>
      </w:r>
    </w:p>
    <w:p>
      <w:pPr>
        <w:spacing w:line="440" w:lineRule="exact"/>
        <w:ind w:firstLine="2100" w:firstLineChars="1000"/>
        <w:rPr>
          <w:szCs w:val="21"/>
        </w:rPr>
      </w:pPr>
      <w:r>
        <w:rPr>
          <w:szCs w:val="21"/>
        </w:rPr>
        <w:t>身份证号码：</w:t>
      </w:r>
      <w:r>
        <w:rPr>
          <w:szCs w:val="21"/>
          <w:u w:val="single"/>
        </w:rPr>
        <w:t xml:space="preserve">                                      </w:t>
      </w:r>
    </w:p>
    <w:p>
      <w:pPr>
        <w:spacing w:line="440" w:lineRule="exact"/>
        <w:rPr>
          <w:rFonts w:hint="eastAsia"/>
          <w:szCs w:val="21"/>
        </w:rPr>
      </w:pPr>
    </w:p>
    <w:p>
      <w:pPr>
        <w:spacing w:line="440" w:lineRule="exact"/>
        <w:ind w:firstLine="4830" w:firstLineChars="2300"/>
        <w:rPr>
          <w:rFonts w:hint="eastAsia"/>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ind w:firstLine="4830" w:firstLineChars="2300"/>
        <w:rPr>
          <w:rFonts w:hint="eastAsia"/>
          <w:szCs w:val="21"/>
        </w:rPr>
      </w:pPr>
    </w:p>
    <w:p>
      <w:pPr>
        <w:spacing w:line="440" w:lineRule="exact"/>
        <w:ind w:firstLine="4830" w:firstLineChars="2300"/>
        <w:rPr>
          <w:rFonts w:hint="eastAsia"/>
          <w:szCs w:val="21"/>
        </w:rPr>
      </w:pPr>
    </w:p>
    <w:p>
      <w:pPr>
        <w:spacing w:line="440" w:lineRule="exact"/>
        <w:ind w:firstLine="5520" w:firstLineChars="2300"/>
        <w:rPr>
          <w:rFonts w:hint="eastAsia"/>
          <w:sz w:val="24"/>
        </w:rPr>
      </w:pPr>
    </w:p>
    <w:p>
      <w:pPr>
        <w:spacing w:line="440" w:lineRule="exact"/>
        <w:ind w:firstLine="5520" w:firstLineChars="2300"/>
        <w:rPr>
          <w:rFonts w:hint="eastAsia" w:eastAsia="黑体"/>
          <w:sz w:val="24"/>
        </w:rPr>
      </w:pPr>
    </w:p>
    <w:p>
      <w:pPr>
        <w:spacing w:line="440" w:lineRule="exact"/>
        <w:ind w:firstLine="5520" w:firstLineChars="2300"/>
        <w:rPr>
          <w:rFonts w:hint="eastAsia" w:eastAsia="黑体"/>
          <w:sz w:val="24"/>
        </w:rPr>
      </w:pPr>
    </w:p>
    <w:p>
      <w:pPr>
        <w:spacing w:line="440" w:lineRule="exact"/>
        <w:ind w:firstLine="5520" w:firstLineChars="2300"/>
        <w:rPr>
          <w:rFonts w:hint="eastAsia" w:eastAsia="黑体"/>
          <w:sz w:val="24"/>
        </w:rPr>
      </w:pPr>
    </w:p>
    <w:p>
      <w:pPr>
        <w:pStyle w:val="8"/>
        <w:spacing w:line="360" w:lineRule="auto"/>
        <w:rPr>
          <w:rFonts w:hint="eastAsia"/>
        </w:rPr>
      </w:pPr>
    </w:p>
    <w:p>
      <w:pPr>
        <w:spacing w:line="360" w:lineRule="auto"/>
        <w:jc w:val="center"/>
        <w:outlineLvl w:val="0"/>
        <w:rPr>
          <w:rFonts w:hint="eastAsia" w:ascii="宋体" w:hAnsi="宋体" w:cs="宋体"/>
          <w:b/>
          <w:sz w:val="28"/>
          <w:szCs w:val="20"/>
        </w:rPr>
      </w:pPr>
      <w:bookmarkStart w:id="283" w:name="_Toc19151"/>
      <w:r>
        <w:rPr>
          <w:rFonts w:hint="eastAsia" w:ascii="宋体" w:hAnsi="宋体" w:cs="宋体"/>
          <w:b/>
          <w:sz w:val="28"/>
          <w:szCs w:val="20"/>
        </w:rPr>
        <w:t>4、供应商承诺函</w:t>
      </w:r>
      <w:bookmarkEnd w:id="283"/>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u w:val="single"/>
        </w:rPr>
      </w:pPr>
      <w:r>
        <w:rPr>
          <w:rFonts w:hint="eastAsia" w:ascii="宋体" w:hAnsi="宋体"/>
        </w:rPr>
        <w:t>项目名称：</w:t>
      </w:r>
      <w:r>
        <w:rPr>
          <w:rFonts w:hint="eastAsia" w:ascii="宋体" w:hAnsi="宋体"/>
          <w:u w:val="single"/>
        </w:rPr>
        <w:t xml:space="preserve">                              </w:t>
      </w:r>
    </w:p>
    <w:p>
      <w:pPr>
        <w:spacing w:line="360" w:lineRule="auto"/>
        <w:ind w:firstLine="420" w:firstLineChars="200"/>
        <w:rPr>
          <w:rFonts w:hint="eastAsia" w:ascii="宋体" w:hAnsi="宋体"/>
          <w:u w:val="single"/>
        </w:rPr>
      </w:pPr>
      <w:r>
        <w:rPr>
          <w:rFonts w:hint="eastAsia" w:ascii="宋体" w:hAnsi="宋体"/>
        </w:rPr>
        <w:t>日    期：</w:t>
      </w:r>
      <w:r>
        <w:rPr>
          <w:rFonts w:hint="eastAsia" w:ascii="宋体" w:hAnsi="宋体"/>
          <w:u w:val="single"/>
        </w:rPr>
        <w:t xml:space="preserve">                              </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u w:val="single"/>
        </w:rPr>
      </w:pPr>
      <w:r>
        <w:rPr>
          <w:rFonts w:hint="eastAsia" w:ascii="宋体" w:hAnsi="宋体"/>
        </w:rPr>
        <w:t>致：</w:t>
      </w:r>
      <w:r>
        <w:rPr>
          <w:rFonts w:hint="eastAsia" w:ascii="宋体" w:hAnsi="宋体"/>
          <w:u w:val="single"/>
        </w:rPr>
        <w:t xml:space="preserve">                     </w:t>
      </w:r>
      <w:r>
        <w:rPr>
          <w:rFonts w:hint="eastAsia" w:ascii="宋体" w:hAnsi="宋体"/>
          <w:szCs w:val="21"/>
          <w:u w:val="single"/>
        </w:rPr>
        <w:t>（招标人名称）</w:t>
      </w:r>
    </w:p>
    <w:p>
      <w:pPr>
        <w:spacing w:line="360" w:lineRule="auto"/>
        <w:ind w:firstLine="420" w:firstLineChars="200"/>
        <w:rPr>
          <w:rFonts w:hint="eastAsia" w:ascii="宋体" w:hAnsi="宋体"/>
        </w:rPr>
      </w:pPr>
      <w:r>
        <w:rPr>
          <w:rFonts w:hint="eastAsia" w:ascii="宋体" w:hAnsi="宋体"/>
        </w:rPr>
        <w:t>很荣幸能参与上述项目的竞争。</w:t>
      </w:r>
    </w:p>
    <w:p>
      <w:pPr>
        <w:spacing w:line="360" w:lineRule="auto"/>
        <w:ind w:firstLine="420" w:firstLineChars="200"/>
        <w:rPr>
          <w:rFonts w:hint="eastAsia" w:ascii="宋体" w:hAnsi="宋体"/>
        </w:rPr>
      </w:pPr>
      <w:r>
        <w:rPr>
          <w:rFonts w:hint="eastAsia" w:ascii="宋体" w:hAnsi="宋体"/>
        </w:rPr>
        <w:t>我代表</w:t>
      </w:r>
      <w:r>
        <w:rPr>
          <w:rFonts w:hint="eastAsia" w:ascii="宋体" w:hAnsi="宋体"/>
          <w:u w:val="single"/>
        </w:rPr>
        <w:t xml:space="preserve">                           （供应商名称）</w:t>
      </w:r>
      <w:r>
        <w:rPr>
          <w:rFonts w:hint="eastAsia" w:ascii="宋体" w:hAnsi="宋体"/>
        </w:rPr>
        <w:t>，在此作如下承诺：</w:t>
      </w:r>
    </w:p>
    <w:p>
      <w:pPr>
        <w:spacing w:line="360" w:lineRule="auto"/>
        <w:ind w:firstLine="420" w:firstLineChars="200"/>
        <w:rPr>
          <w:rFonts w:hint="eastAsia" w:ascii="宋体" w:hAnsi="宋体"/>
        </w:rPr>
      </w:pPr>
      <w:r>
        <w:rPr>
          <w:rFonts w:hint="eastAsia" w:ascii="宋体" w:hAnsi="宋体"/>
        </w:rPr>
        <w:t>1、完全理解和接受贵方询价文件的一切规定和要求。</w:t>
      </w:r>
    </w:p>
    <w:p>
      <w:pPr>
        <w:spacing w:line="360" w:lineRule="auto"/>
        <w:ind w:firstLine="420" w:firstLineChars="200"/>
        <w:rPr>
          <w:rFonts w:hint="eastAsia" w:ascii="宋体" w:hAnsi="宋体"/>
        </w:rPr>
      </w:pPr>
      <w:r>
        <w:rPr>
          <w:rFonts w:hint="eastAsia" w:ascii="宋体" w:hAnsi="宋体"/>
        </w:rPr>
        <w:t>2、提供的项目为贵方询价文件中的所有项目。</w:t>
      </w:r>
    </w:p>
    <w:p>
      <w:pPr>
        <w:spacing w:line="360" w:lineRule="auto"/>
        <w:ind w:firstLine="420" w:firstLineChars="200"/>
        <w:rPr>
          <w:rFonts w:hint="eastAsia" w:ascii="宋体" w:hAnsi="宋体"/>
        </w:rPr>
      </w:pPr>
      <w:r>
        <w:rPr>
          <w:rFonts w:hint="eastAsia" w:ascii="宋体" w:hAnsi="宋体"/>
        </w:rPr>
        <w:t>3、我方理解，报价最低不是成交的唯一条件。</w:t>
      </w:r>
    </w:p>
    <w:p>
      <w:pPr>
        <w:spacing w:line="360" w:lineRule="auto"/>
        <w:ind w:firstLine="420" w:firstLineChars="200"/>
        <w:rPr>
          <w:rFonts w:hint="eastAsia" w:ascii="宋体" w:hAnsi="宋体"/>
        </w:rPr>
      </w:pPr>
      <w:r>
        <w:rPr>
          <w:rFonts w:hint="eastAsia" w:ascii="宋体" w:hAnsi="宋体"/>
        </w:rPr>
        <w:t>4、若成交，我方将按照询价文件的具体规定签订合同，并且严格履行合同义务。</w:t>
      </w:r>
    </w:p>
    <w:p>
      <w:pPr>
        <w:spacing w:line="360" w:lineRule="auto"/>
        <w:ind w:firstLine="420" w:firstLineChars="200"/>
        <w:rPr>
          <w:rFonts w:hint="eastAsia" w:ascii="宋体" w:hAnsi="宋体"/>
        </w:rPr>
      </w:pPr>
      <w:r>
        <w:rPr>
          <w:rFonts w:hint="eastAsia" w:ascii="宋体" w:hAnsi="宋体"/>
        </w:rPr>
        <w:t>5、在整个询价过程中，我方若有违规行为，贵方可按《询价文件》和《中华人民共和国政府采购法》之规定给予惩罚，我方完全接受。</w:t>
      </w:r>
    </w:p>
    <w:p>
      <w:pPr>
        <w:spacing w:line="360" w:lineRule="auto"/>
        <w:ind w:firstLine="420" w:firstLineChars="200"/>
        <w:rPr>
          <w:rFonts w:hint="eastAsia" w:ascii="宋体" w:hAnsi="宋体"/>
        </w:rPr>
      </w:pPr>
      <w:r>
        <w:rPr>
          <w:rFonts w:hint="eastAsia" w:ascii="宋体" w:hAnsi="宋体"/>
        </w:rPr>
        <w:t>6、若成交，本承诺函将成为合同不可分割的一部分，与合同具有同等的法律效力。</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r>
        <w:rPr>
          <w:rFonts w:hint="eastAsia" w:ascii="宋体" w:hAnsi="宋体"/>
        </w:rPr>
        <w:t xml:space="preserve">法人授权代表签字：                 </w:t>
      </w:r>
    </w:p>
    <w:p>
      <w:pPr>
        <w:spacing w:line="360" w:lineRule="auto"/>
        <w:ind w:firstLine="420" w:firstLineChars="200"/>
        <w:rPr>
          <w:rFonts w:hint="eastAsia" w:ascii="宋体" w:hAnsi="宋体"/>
        </w:rPr>
      </w:pPr>
      <w:r>
        <w:rPr>
          <w:rFonts w:hint="eastAsia" w:ascii="宋体" w:hAnsi="宋体"/>
        </w:rPr>
        <w:t xml:space="preserve">谈判供应商（公章）：                  </w:t>
      </w:r>
    </w:p>
    <w:p>
      <w:pPr>
        <w:spacing w:line="360" w:lineRule="auto"/>
        <w:ind w:firstLine="420" w:firstLineChars="200"/>
        <w:rPr>
          <w:rFonts w:hint="eastAsia" w:ascii="宋体" w:hAnsi="宋体"/>
        </w:rPr>
      </w:pPr>
    </w:p>
    <w:p>
      <w:pPr>
        <w:spacing w:before="312" w:beforeLines="100" w:after="312" w:afterLines="100" w:line="240" w:lineRule="atLeast"/>
        <w:rPr>
          <w:rFonts w:hint="eastAsia" w:ascii="宋体" w:hAnsi="宋体"/>
          <w:szCs w:val="21"/>
        </w:rPr>
      </w:pPr>
    </w:p>
    <w:p>
      <w:pPr>
        <w:pStyle w:val="29"/>
        <w:spacing w:line="400" w:lineRule="exact"/>
        <w:ind w:firstLine="0" w:firstLineChars="0"/>
        <w:rPr>
          <w:rFonts w:hint="eastAsia" w:ascii="宋体" w:eastAsia="宋体"/>
          <w:sz w:val="28"/>
          <w:szCs w:val="28"/>
        </w:rPr>
      </w:pPr>
    </w:p>
    <w:p>
      <w:pPr>
        <w:pStyle w:val="29"/>
        <w:spacing w:line="400" w:lineRule="exact"/>
        <w:ind w:firstLine="0" w:firstLineChars="0"/>
        <w:rPr>
          <w:rFonts w:hint="eastAsia" w:ascii="宋体" w:eastAsia="宋体"/>
          <w:sz w:val="28"/>
          <w:szCs w:val="28"/>
        </w:rPr>
      </w:pPr>
    </w:p>
    <w:p>
      <w:pPr>
        <w:pStyle w:val="5"/>
        <w:spacing w:line="360" w:lineRule="auto"/>
        <w:ind w:firstLine="1043"/>
        <w:jc w:val="center"/>
        <w:rPr>
          <w:rFonts w:hint="eastAsia" w:eastAsia="黑体"/>
          <w:b/>
          <w:bCs/>
          <w:color w:val="000000"/>
          <w:spacing w:val="40"/>
          <w:sz w:val="44"/>
        </w:rPr>
      </w:pPr>
    </w:p>
    <w:p>
      <w:pPr>
        <w:pStyle w:val="5"/>
        <w:spacing w:line="360" w:lineRule="auto"/>
        <w:ind w:firstLine="0"/>
        <w:rPr>
          <w:rFonts w:hint="eastAsia" w:eastAsia="黑体"/>
          <w:b/>
          <w:bCs/>
          <w:color w:val="000000"/>
          <w:spacing w:val="40"/>
          <w:sz w:val="44"/>
        </w:rPr>
      </w:pPr>
    </w:p>
    <w:p>
      <w:pPr>
        <w:ind w:firstLine="5880" w:firstLineChars="2800"/>
        <w:rPr>
          <w:rFonts w:hint="eastAsia" w:ascii="宋体" w:hAnsi="宋体"/>
          <w:szCs w:val="21"/>
        </w:rPr>
      </w:pPr>
    </w:p>
    <w:p>
      <w:pPr>
        <w:rPr>
          <w:rFonts w:hint="eastAsia" w:ascii="黑体" w:hAnsi="宋体" w:eastAsia="黑体"/>
          <w:sz w:val="24"/>
        </w:rPr>
      </w:pPr>
    </w:p>
    <w:p>
      <w:pPr>
        <w:rPr>
          <w:rFonts w:hint="eastAsia" w:ascii="黑体" w:hAnsi="宋体" w:eastAsia="黑体"/>
          <w:sz w:val="24"/>
        </w:rPr>
      </w:pPr>
    </w:p>
    <w:p>
      <w:pPr>
        <w:rPr>
          <w:rFonts w:hint="eastAsia" w:ascii="黑体" w:hAnsi="宋体" w:eastAsia="黑体"/>
          <w:sz w:val="24"/>
        </w:rPr>
        <w:sectPr>
          <w:footerReference r:id="rId5" w:type="default"/>
          <w:pgSz w:w="11906" w:h="16838"/>
          <w:pgMar w:top="1701" w:right="1440" w:bottom="1440" w:left="1440" w:header="851" w:footer="992" w:gutter="0"/>
          <w:pgNumType w:fmt="decimal"/>
          <w:cols w:space="720" w:num="1"/>
          <w:rtlGutter w:val="0"/>
          <w:docGrid w:linePitch="312" w:charSpace="0"/>
        </w:sectPr>
      </w:pPr>
    </w:p>
    <w:p>
      <w:pPr>
        <w:spacing w:line="360" w:lineRule="auto"/>
        <w:ind w:firstLine="643" w:firstLineChars="200"/>
        <w:jc w:val="center"/>
        <w:outlineLvl w:val="0"/>
        <w:rPr>
          <w:rFonts w:hint="eastAsia" w:ascii="仿宋_GB2312" w:hAnsi="宋体" w:eastAsia="仿宋_GB2312"/>
          <w:b/>
          <w:sz w:val="32"/>
          <w:szCs w:val="32"/>
          <w:lang w:val="en-US" w:eastAsia="zh-CN"/>
        </w:rPr>
      </w:pPr>
      <w:bookmarkStart w:id="284" w:name="_Toc25228"/>
      <w:r>
        <w:rPr>
          <w:rFonts w:hint="eastAsia" w:ascii="仿宋_GB2312" w:hAnsi="宋体" w:eastAsia="仿宋_GB2312"/>
          <w:b/>
          <w:sz w:val="32"/>
          <w:szCs w:val="32"/>
          <w:lang w:val="en-US" w:eastAsia="zh-CN"/>
        </w:rPr>
        <w:t>5、投  标  报  价  表</w:t>
      </w:r>
      <w:bookmarkEnd w:id="284"/>
    </w:p>
    <w:p>
      <w:pPr>
        <w:tabs>
          <w:tab w:val="left" w:pos="3600"/>
        </w:tabs>
        <w:rPr>
          <w:rFonts w:hint="eastAsia" w:ascii="仿宋_GB2312" w:hAnsi="宋体" w:eastAsia="仿宋_GB2312"/>
          <w:b/>
          <w:bCs/>
          <w:color w:val="000000"/>
          <w:sz w:val="24"/>
        </w:rPr>
      </w:pPr>
      <w:r>
        <w:rPr>
          <w:rFonts w:hint="eastAsia" w:ascii="仿宋_GB2312" w:hAnsi="宋体" w:eastAsia="仿宋_GB2312"/>
          <w:b/>
          <w:bCs/>
          <w:color w:val="000000"/>
          <w:sz w:val="28"/>
          <w:szCs w:val="28"/>
        </w:rPr>
        <w:t xml:space="preserve">                                                                                    </w:t>
      </w:r>
      <w:r>
        <w:rPr>
          <w:rFonts w:hint="eastAsia" w:ascii="仿宋_GB2312" w:hAnsi="宋体" w:eastAsia="仿宋_GB2312"/>
          <w:b/>
          <w:bCs/>
          <w:color w:val="000000"/>
          <w:szCs w:val="21"/>
        </w:rPr>
        <w:t>单位：   元</w:t>
      </w:r>
    </w:p>
    <w:tbl>
      <w:tblPr>
        <w:tblStyle w:val="19"/>
        <w:tblW w:w="1345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206"/>
        <w:gridCol w:w="2614"/>
        <w:gridCol w:w="1219"/>
        <w:gridCol w:w="962"/>
        <w:gridCol w:w="1903"/>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序号</w:t>
            </w:r>
          </w:p>
        </w:tc>
        <w:tc>
          <w:tcPr>
            <w:tcW w:w="320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lang w:eastAsia="zh-CN"/>
              </w:rPr>
              <w:t>询价</w:t>
            </w:r>
            <w:r>
              <w:rPr>
                <w:rFonts w:hint="eastAsia" w:ascii="仿宋_GB2312" w:hAnsi="宋体" w:eastAsia="仿宋_GB2312"/>
                <w:b/>
                <w:bCs/>
                <w:color w:val="000000"/>
                <w:sz w:val="24"/>
              </w:rPr>
              <w:t>产品</w:t>
            </w:r>
          </w:p>
          <w:p>
            <w:pPr>
              <w:jc w:val="center"/>
              <w:rPr>
                <w:rFonts w:ascii="仿宋_GB2312" w:hAnsi="宋体" w:eastAsia="仿宋_GB2312"/>
                <w:b/>
                <w:bCs/>
                <w:color w:val="000000"/>
                <w:sz w:val="24"/>
              </w:rPr>
            </w:pPr>
          </w:p>
        </w:tc>
        <w:tc>
          <w:tcPr>
            <w:tcW w:w="26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规格</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数量</w:t>
            </w:r>
          </w:p>
        </w:tc>
        <w:tc>
          <w:tcPr>
            <w:tcW w:w="9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单价</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
                <w:bCs/>
                <w:color w:val="000000"/>
                <w:sz w:val="24"/>
              </w:rPr>
            </w:pPr>
            <w:r>
              <w:rPr>
                <w:rFonts w:hint="eastAsia" w:ascii="仿宋_GB2312" w:hAnsi="宋体" w:eastAsia="仿宋_GB2312"/>
                <w:b/>
                <w:bCs/>
                <w:color w:val="000000"/>
                <w:sz w:val="24"/>
              </w:rPr>
              <w:t>交货（完工）日期</w:t>
            </w:r>
          </w:p>
        </w:tc>
        <w:tc>
          <w:tcPr>
            <w:tcW w:w="2842" w:type="dxa"/>
            <w:tcBorders>
              <w:top w:val="single" w:color="auto" w:sz="4" w:space="0"/>
              <w:left w:val="single" w:color="auto" w:sz="4" w:space="0"/>
              <w:right w:val="single" w:color="auto" w:sz="4" w:space="0"/>
            </w:tcBorders>
            <w:noWrap w:val="0"/>
            <w:vAlign w:val="center"/>
          </w:tcPr>
          <w:p>
            <w:pPr>
              <w:jc w:val="center"/>
              <w:rPr>
                <w:rFonts w:hint="eastAsia" w:ascii="仿宋_GB2312" w:hAnsi="宋体" w:eastAsia="仿宋_GB2312"/>
                <w:b/>
                <w:bCs/>
                <w:color w:val="000000"/>
                <w:sz w:val="24"/>
              </w:rPr>
            </w:pPr>
            <w:r>
              <w:rPr>
                <w:rFonts w:hint="eastAsia" w:ascii="仿宋_GB2312" w:hAnsi="宋体" w:eastAsia="仿宋_GB2312"/>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sz w:val="24"/>
              </w:rPr>
            </w:pPr>
            <w:r>
              <w:rPr>
                <w:rFonts w:hint="eastAsia" w:ascii="仿宋_GB2312" w:eastAsia="仿宋_GB2312"/>
                <w:b/>
                <w:color w:val="000000"/>
                <w:sz w:val="24"/>
              </w:rPr>
              <w:t>1</w:t>
            </w:r>
          </w:p>
        </w:tc>
        <w:tc>
          <w:tcPr>
            <w:tcW w:w="3206" w:type="dxa"/>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b/>
                <w:color w:val="000000"/>
                <w:sz w:val="24"/>
              </w:rPr>
            </w:pPr>
          </w:p>
        </w:tc>
        <w:tc>
          <w:tcPr>
            <w:tcW w:w="2614" w:type="dxa"/>
            <w:tcBorders>
              <w:top w:val="single" w:color="auto" w:sz="4" w:space="0"/>
              <w:left w:val="single" w:color="auto" w:sz="4" w:space="0"/>
              <w:bottom w:val="single" w:color="auto" w:sz="4" w:space="0"/>
              <w:right w:val="single" w:color="auto" w:sz="4" w:space="0"/>
            </w:tcBorders>
            <w:noWrap w:val="0"/>
            <w:vAlign w:val="bottom"/>
          </w:tcPr>
          <w:p>
            <w:pPr>
              <w:rPr>
                <w:rFonts w:ascii="仿宋_GB2312" w:eastAsia="仿宋_GB2312"/>
                <w:b/>
                <w:color w:val="000000"/>
                <w:sz w:val="24"/>
              </w:rPr>
            </w:pPr>
          </w:p>
        </w:tc>
        <w:tc>
          <w:tcPr>
            <w:tcW w:w="1219" w:type="dxa"/>
            <w:tcBorders>
              <w:top w:val="single" w:color="auto" w:sz="4" w:space="0"/>
              <w:left w:val="single" w:color="auto" w:sz="4" w:space="0"/>
              <w:bottom w:val="single" w:color="auto" w:sz="4" w:space="0"/>
              <w:right w:val="single" w:color="auto" w:sz="4" w:space="0"/>
            </w:tcBorders>
            <w:noWrap w:val="0"/>
            <w:vAlign w:val="bottom"/>
          </w:tcPr>
          <w:p>
            <w:pPr>
              <w:jc w:val="right"/>
              <w:rPr>
                <w:rFonts w:ascii="仿宋_GB2312" w:eastAsia="仿宋_GB2312"/>
                <w:b/>
                <w:color w:val="000000"/>
                <w:sz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190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c>
          <w:tcPr>
            <w:tcW w:w="28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trPr>
        <w:tc>
          <w:tcPr>
            <w:tcW w:w="39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color w:val="000000"/>
                <w:sz w:val="24"/>
                <w:lang w:val="en-US" w:eastAsia="zh-CN"/>
              </w:rPr>
            </w:pPr>
            <w:r>
              <w:rPr>
                <w:rFonts w:hint="eastAsia" w:ascii="仿宋_GB2312" w:eastAsia="仿宋_GB2312"/>
                <w:b/>
                <w:color w:val="000000"/>
                <w:sz w:val="24"/>
                <w:lang w:val="en-US" w:eastAsia="zh-CN"/>
              </w:rPr>
              <w:t>总价</w:t>
            </w:r>
          </w:p>
        </w:tc>
        <w:tc>
          <w:tcPr>
            <w:tcW w:w="9540" w:type="dxa"/>
            <w:gridSpan w:val="5"/>
            <w:tcBorders>
              <w:top w:val="single" w:color="auto" w:sz="4" w:space="0"/>
              <w:left w:val="single" w:color="auto" w:sz="4" w:space="0"/>
              <w:bottom w:val="single" w:color="auto" w:sz="4" w:space="0"/>
              <w:right w:val="single" w:color="auto" w:sz="4" w:space="0"/>
            </w:tcBorders>
            <w:noWrap w:val="0"/>
            <w:vAlign w:val="bottom"/>
          </w:tcPr>
          <w:p>
            <w:pPr>
              <w:jc w:val="center"/>
              <w:rPr>
                <w:rFonts w:ascii="仿宋_GB2312" w:eastAsia="仿宋_GB2312"/>
                <w:b/>
                <w:bCs/>
                <w:color w:val="000000"/>
                <w:sz w:val="24"/>
              </w:rPr>
            </w:pPr>
          </w:p>
        </w:tc>
      </w:tr>
    </w:tbl>
    <w:p>
      <w:pPr>
        <w:jc w:val="left"/>
        <w:rPr>
          <w:rFonts w:hint="eastAsia" w:ascii="仿宋_GB2312" w:hAnsi="宋体" w:eastAsia="仿宋_GB2312"/>
          <w:b/>
          <w:color w:val="000000"/>
          <w:sz w:val="24"/>
        </w:rPr>
      </w:pPr>
      <w:r>
        <w:rPr>
          <w:rFonts w:hint="eastAsia" w:ascii="仿宋_GB2312" w:hAnsi="宋体" w:eastAsia="仿宋_GB2312"/>
          <w:b/>
          <w:color w:val="000000"/>
          <w:sz w:val="24"/>
        </w:rPr>
        <w:t>注：此表作为唱标的依据。</w:t>
      </w:r>
    </w:p>
    <w:p>
      <w:pPr>
        <w:spacing w:before="100" w:beforeAutospacing="1" w:after="100" w:afterAutospacing="1" w:line="300" w:lineRule="exact"/>
        <w:ind w:firstLine="3373" w:firstLineChars="1200"/>
        <w:rPr>
          <w:rFonts w:hint="eastAsia" w:ascii="仿宋_GB2312" w:hAnsi="宋体" w:eastAsia="仿宋_GB2312"/>
          <w:b/>
          <w:color w:val="000000"/>
          <w:sz w:val="28"/>
          <w:szCs w:val="28"/>
          <w:u w:val="single"/>
        </w:rPr>
      </w:pPr>
      <w:r>
        <w:rPr>
          <w:rFonts w:hint="eastAsia" w:ascii="仿宋_GB2312" w:hAnsi="宋体" w:eastAsia="仿宋_GB2312"/>
          <w:b/>
          <w:color w:val="000000"/>
          <w:sz w:val="28"/>
          <w:szCs w:val="28"/>
        </w:rPr>
        <w:t xml:space="preserve">                                   法定代表人：</w:t>
      </w:r>
      <w:r>
        <w:rPr>
          <w:rFonts w:hint="eastAsia" w:ascii="仿宋_GB2312" w:hAnsi="宋体" w:eastAsia="仿宋_GB2312"/>
          <w:b/>
          <w:color w:val="000000"/>
          <w:sz w:val="28"/>
          <w:szCs w:val="28"/>
          <w:u w:val="single"/>
        </w:rPr>
        <w:t xml:space="preserve"> （签字） </w:t>
      </w:r>
    </w:p>
    <w:p>
      <w:pPr>
        <w:spacing w:before="100" w:beforeAutospacing="1" w:after="100" w:afterAutospacing="1" w:line="300" w:lineRule="exact"/>
        <w:ind w:firstLine="8854" w:firstLineChars="3150"/>
        <w:rPr>
          <w:rFonts w:hint="eastAsia" w:ascii="仿宋_GB2312" w:hAnsi="宋体" w:eastAsia="仿宋_GB2312"/>
          <w:b/>
          <w:color w:val="000000"/>
          <w:sz w:val="28"/>
          <w:szCs w:val="28"/>
        </w:rPr>
      </w:pPr>
      <w:r>
        <w:rPr>
          <w:rFonts w:hint="eastAsia" w:ascii="仿宋_GB2312" w:hAnsi="宋体" w:eastAsia="仿宋_GB2312"/>
          <w:b/>
          <w:color w:val="000000"/>
          <w:sz w:val="28"/>
          <w:szCs w:val="28"/>
        </w:rPr>
        <w:t>或</w:t>
      </w:r>
    </w:p>
    <w:p>
      <w:pPr>
        <w:spacing w:before="100" w:beforeAutospacing="1" w:after="100" w:afterAutospacing="1" w:line="300" w:lineRule="exact"/>
        <w:ind w:firstLine="8264" w:firstLineChars="2940"/>
        <w:rPr>
          <w:rFonts w:hint="eastAsia" w:ascii="仿宋_GB2312" w:hAnsi="宋体" w:eastAsia="仿宋_GB2312"/>
          <w:b/>
          <w:color w:val="000000"/>
          <w:sz w:val="28"/>
          <w:szCs w:val="28"/>
        </w:rPr>
      </w:pPr>
      <w:r>
        <w:rPr>
          <w:rFonts w:hint="eastAsia" w:ascii="仿宋_GB2312" w:hAnsi="宋体" w:eastAsia="仿宋_GB2312"/>
          <w:b/>
          <w:color w:val="000000"/>
          <w:sz w:val="28"/>
          <w:szCs w:val="28"/>
          <w:lang w:eastAsia="zh-CN"/>
        </w:rPr>
        <w:t>授</w:t>
      </w:r>
      <w:r>
        <w:rPr>
          <w:rFonts w:hint="eastAsia" w:ascii="仿宋_GB2312" w:hAnsi="宋体" w:eastAsia="仿宋_GB2312"/>
          <w:b/>
          <w:color w:val="000000"/>
          <w:sz w:val="28"/>
          <w:szCs w:val="28"/>
        </w:rPr>
        <w:t>权</w:t>
      </w:r>
      <w:r>
        <w:rPr>
          <w:rFonts w:hint="eastAsia" w:ascii="仿宋_GB2312" w:eastAsia="仿宋_GB2312"/>
          <w:b/>
          <w:color w:val="000000"/>
          <w:sz w:val="28"/>
          <w:szCs w:val="28"/>
        </w:rPr>
        <w:t>代理人</w:t>
      </w:r>
      <w:r>
        <w:rPr>
          <w:rFonts w:hint="eastAsia" w:ascii="仿宋_GB2312" w:hAnsi="宋体" w:eastAsia="仿宋_GB2312"/>
          <w:b/>
          <w:color w:val="000000"/>
          <w:sz w:val="28"/>
          <w:szCs w:val="28"/>
        </w:rPr>
        <w:t>：</w:t>
      </w:r>
      <w:r>
        <w:rPr>
          <w:rFonts w:hint="eastAsia" w:ascii="仿宋_GB2312" w:hAnsi="宋体" w:eastAsia="仿宋_GB2312"/>
          <w:b/>
          <w:color w:val="000000"/>
          <w:sz w:val="28"/>
          <w:szCs w:val="28"/>
          <w:u w:val="single"/>
        </w:rPr>
        <w:t xml:space="preserve"> （签字） </w:t>
      </w:r>
      <w:r>
        <w:rPr>
          <w:rFonts w:hint="eastAsia" w:ascii="仿宋_GB2312" w:eastAsia="仿宋_GB2312"/>
          <w:b/>
          <w:color w:val="000000"/>
          <w:sz w:val="28"/>
          <w:szCs w:val="28"/>
        </w:rPr>
        <w:t xml:space="preserve">       </w:t>
      </w:r>
    </w:p>
    <w:p>
      <w:pPr>
        <w:spacing w:before="100" w:beforeAutospacing="1" w:after="100" w:afterAutospacing="1" w:line="340" w:lineRule="exact"/>
        <w:rPr>
          <w:rFonts w:hint="eastAsia" w:ascii="仿宋_GB2312" w:hAnsi="宋体" w:eastAsia="仿宋_GB2312"/>
          <w:b/>
          <w:color w:val="000000"/>
          <w:sz w:val="28"/>
          <w:szCs w:val="28"/>
        </w:rPr>
      </w:pPr>
      <w:r>
        <w:rPr>
          <w:rFonts w:hint="eastAsia" w:ascii="仿宋_GB2312" w:eastAsia="仿宋_GB2312"/>
          <w:b/>
          <w:sz w:val="28"/>
          <w:szCs w:val="28"/>
        </w:rPr>
        <w:t xml:space="preserve">                                                           签署日期：      年     月     日</w:t>
      </w:r>
    </w:p>
    <w:p>
      <w:pPr>
        <w:numPr>
          <w:ilvl w:val="0"/>
          <w:numId w:val="0"/>
        </w:numPr>
        <w:spacing w:line="360" w:lineRule="auto"/>
        <w:jc w:val="both"/>
        <w:rPr>
          <w:rFonts w:hint="eastAsia" w:ascii="宋体" w:hAnsi="宋体" w:cs="宋体"/>
          <w:b/>
          <w:sz w:val="28"/>
          <w:szCs w:val="20"/>
        </w:rPr>
        <w:sectPr>
          <w:pgSz w:w="16838" w:h="11906" w:orient="landscape"/>
          <w:pgMar w:top="1440" w:right="1701" w:bottom="1440" w:left="1440" w:header="851" w:footer="992" w:gutter="0"/>
          <w:pgNumType w:fmt="decimal"/>
          <w:cols w:space="720" w:num="1"/>
          <w:rtlGutter w:val="0"/>
          <w:docGrid w:linePitch="312" w:charSpace="0"/>
        </w:sectPr>
      </w:pPr>
    </w:p>
    <w:p>
      <w:pPr>
        <w:jc w:val="both"/>
        <w:rPr>
          <w:rFonts w:hint="eastAsia" w:ascii="宋体" w:hAnsi="宋体"/>
          <w:b/>
          <w:color w:val="000000"/>
          <w:sz w:val="28"/>
          <w:szCs w:val="28"/>
        </w:rPr>
      </w:pPr>
    </w:p>
    <w:p>
      <w:pPr>
        <w:numPr>
          <w:ilvl w:val="0"/>
          <w:numId w:val="0"/>
        </w:numPr>
        <w:autoSpaceDE w:val="0"/>
        <w:autoSpaceDN w:val="0"/>
        <w:adjustRightInd w:val="0"/>
        <w:spacing w:line="440" w:lineRule="exact"/>
        <w:ind w:leftChars="200"/>
        <w:jc w:val="center"/>
        <w:outlineLvl w:val="0"/>
        <w:rPr>
          <w:rFonts w:hint="eastAsia" w:ascii="宋体" w:hAnsi="宋体"/>
          <w:b/>
          <w:sz w:val="24"/>
        </w:rPr>
      </w:pPr>
      <w:bookmarkStart w:id="285" w:name="_Toc27006"/>
      <w:r>
        <w:rPr>
          <w:rFonts w:hint="eastAsia" w:ascii="宋体" w:hAnsi="宋体"/>
          <w:b/>
          <w:sz w:val="36"/>
          <w:szCs w:val="36"/>
          <w:lang w:val="en-US" w:eastAsia="zh-CN"/>
        </w:rPr>
        <w:t>6</w:t>
      </w:r>
      <w:r>
        <w:rPr>
          <w:rFonts w:hint="eastAsia" w:ascii="宋体" w:hAnsi="宋体"/>
          <w:b/>
          <w:sz w:val="36"/>
          <w:szCs w:val="36"/>
        </w:rPr>
        <w:t>、</w:t>
      </w:r>
      <w:r>
        <w:rPr>
          <w:rFonts w:hint="eastAsia" w:ascii="宋体" w:hAnsi="宋体" w:eastAsia="宋体" w:cs="Times New Roman"/>
          <w:b/>
          <w:sz w:val="36"/>
          <w:szCs w:val="36"/>
          <w:lang w:eastAsia="zh-CN"/>
        </w:rPr>
        <w:t>询价</w:t>
      </w:r>
      <w:r>
        <w:rPr>
          <w:rFonts w:hint="eastAsia" w:ascii="宋体" w:hAnsi="宋体" w:eastAsia="宋体" w:cs="Times New Roman"/>
          <w:b/>
          <w:sz w:val="36"/>
          <w:szCs w:val="36"/>
        </w:rPr>
        <w:t>人基本情况表</w:t>
      </w:r>
      <w:bookmarkEnd w:id="285"/>
    </w:p>
    <w:p>
      <w:pPr>
        <w:spacing w:line="440" w:lineRule="exact"/>
        <w:ind w:firstLine="482" w:firstLineChars="200"/>
        <w:jc w:val="center"/>
        <w:rPr>
          <w:rFonts w:hint="eastAsia" w:ascii="宋体" w:hAnsi="宋体"/>
          <w:b/>
          <w:sz w:val="24"/>
        </w:rPr>
      </w:pPr>
    </w:p>
    <w:p>
      <w:pPr>
        <w:numPr>
          <w:ilvl w:val="0"/>
          <w:numId w:val="0"/>
        </w:numPr>
        <w:autoSpaceDE w:val="0"/>
        <w:autoSpaceDN w:val="0"/>
        <w:adjustRightInd w:val="0"/>
        <w:spacing w:line="440" w:lineRule="exact"/>
        <w:ind w:leftChars="200"/>
        <w:jc w:val="both"/>
        <w:rPr>
          <w:rFonts w:hint="eastAsia" w:ascii="宋体" w:hAnsi="宋体"/>
          <w:b/>
          <w:sz w:val="24"/>
        </w:rPr>
      </w:pPr>
    </w:p>
    <w:p>
      <w:pPr>
        <w:autoSpaceDE w:val="0"/>
        <w:autoSpaceDN w:val="0"/>
        <w:adjustRightInd w:val="0"/>
        <w:spacing w:line="440" w:lineRule="exact"/>
        <w:ind w:firstLine="482" w:firstLineChars="200"/>
        <w:jc w:val="center"/>
        <w:rPr>
          <w:rFonts w:hint="eastAsia" w:ascii="宋体" w:hAnsi="宋体"/>
          <w:b/>
          <w:sz w:val="24"/>
        </w:rPr>
      </w:pPr>
      <w:r>
        <w:rPr>
          <w:rFonts w:hint="eastAsia" w:ascii="宋体" w:hAnsi="宋体"/>
          <w:b/>
          <w:sz w:val="24"/>
          <w:lang w:eastAsia="zh-CN"/>
        </w:rPr>
        <w:t>询价</w:t>
      </w:r>
      <w:r>
        <w:rPr>
          <w:rFonts w:hint="eastAsia" w:ascii="宋体" w:hAnsi="宋体"/>
          <w:b/>
          <w:sz w:val="24"/>
        </w:rPr>
        <w:t>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709"/>
        <w:gridCol w:w="96"/>
        <w:gridCol w:w="478"/>
        <w:gridCol w:w="1246"/>
        <w:gridCol w:w="260"/>
        <w:gridCol w:w="2084"/>
        <w:gridCol w:w="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lang w:eastAsia="zh-CN"/>
              </w:rPr>
              <w:t>询价</w:t>
            </w:r>
            <w:r>
              <w:rPr>
                <w:rFonts w:hint="eastAsia" w:ascii="仿宋_GB2312" w:hAnsi="宋体" w:eastAsia="仿宋_GB2312"/>
                <w:b/>
                <w:szCs w:val="21"/>
              </w:rPr>
              <w:t>人名称</w:t>
            </w:r>
          </w:p>
        </w:tc>
        <w:tc>
          <w:tcPr>
            <w:tcW w:w="7020" w:type="dxa"/>
            <w:gridSpan w:val="10"/>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注册地址</w:t>
            </w:r>
          </w:p>
        </w:tc>
        <w:tc>
          <w:tcPr>
            <w:tcW w:w="3389" w:type="dxa"/>
            <w:gridSpan w:val="6"/>
            <w:noWrap w:val="0"/>
            <w:vAlign w:val="center"/>
          </w:tcPr>
          <w:p>
            <w:pPr>
              <w:jc w:val="center"/>
              <w:rPr>
                <w:rFonts w:hint="eastAsia" w:ascii="仿宋_GB2312" w:hAnsi="宋体" w:eastAsia="仿宋_GB2312"/>
                <w:b/>
                <w:szCs w:val="21"/>
              </w:rPr>
            </w:pPr>
          </w:p>
        </w:tc>
        <w:tc>
          <w:tcPr>
            <w:tcW w:w="1246"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邮政编码</w:t>
            </w:r>
          </w:p>
        </w:tc>
        <w:tc>
          <w:tcPr>
            <w:tcW w:w="2385" w:type="dxa"/>
            <w:gridSpan w:val="3"/>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联系方式</w:t>
            </w:r>
          </w:p>
        </w:tc>
        <w:tc>
          <w:tcPr>
            <w:tcW w:w="1148" w:type="dxa"/>
            <w:gridSpan w:val="2"/>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联系人</w:t>
            </w:r>
          </w:p>
        </w:tc>
        <w:tc>
          <w:tcPr>
            <w:tcW w:w="2241" w:type="dxa"/>
            <w:gridSpan w:val="4"/>
            <w:noWrap w:val="0"/>
            <w:vAlign w:val="center"/>
          </w:tcPr>
          <w:p>
            <w:pPr>
              <w:jc w:val="center"/>
              <w:rPr>
                <w:rFonts w:hint="eastAsia" w:ascii="仿宋_GB2312" w:hAnsi="宋体" w:eastAsia="仿宋_GB2312"/>
                <w:b/>
                <w:szCs w:val="21"/>
              </w:rPr>
            </w:pPr>
          </w:p>
        </w:tc>
        <w:tc>
          <w:tcPr>
            <w:tcW w:w="1246"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电  话</w:t>
            </w:r>
          </w:p>
        </w:tc>
        <w:tc>
          <w:tcPr>
            <w:tcW w:w="2385" w:type="dxa"/>
            <w:gridSpan w:val="3"/>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仿宋_GB2312" w:hAnsi="宋体" w:eastAsia="仿宋_GB2312"/>
                <w:b/>
                <w:szCs w:val="21"/>
              </w:rPr>
            </w:pPr>
          </w:p>
        </w:tc>
        <w:tc>
          <w:tcPr>
            <w:tcW w:w="1148" w:type="dxa"/>
            <w:gridSpan w:val="2"/>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传  真</w:t>
            </w:r>
          </w:p>
        </w:tc>
        <w:tc>
          <w:tcPr>
            <w:tcW w:w="2241" w:type="dxa"/>
            <w:gridSpan w:val="4"/>
            <w:noWrap w:val="0"/>
            <w:vAlign w:val="center"/>
          </w:tcPr>
          <w:p>
            <w:pPr>
              <w:jc w:val="center"/>
              <w:rPr>
                <w:rFonts w:hint="eastAsia" w:ascii="仿宋_GB2312" w:hAnsi="宋体" w:eastAsia="仿宋_GB2312"/>
                <w:b/>
                <w:szCs w:val="21"/>
              </w:rPr>
            </w:pPr>
          </w:p>
        </w:tc>
        <w:tc>
          <w:tcPr>
            <w:tcW w:w="1246"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网  址</w:t>
            </w:r>
          </w:p>
        </w:tc>
        <w:tc>
          <w:tcPr>
            <w:tcW w:w="2385" w:type="dxa"/>
            <w:gridSpan w:val="3"/>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组织结构</w:t>
            </w:r>
          </w:p>
        </w:tc>
        <w:tc>
          <w:tcPr>
            <w:tcW w:w="7020" w:type="dxa"/>
            <w:gridSpan w:val="10"/>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法定代表人</w:t>
            </w:r>
          </w:p>
        </w:tc>
        <w:tc>
          <w:tcPr>
            <w:tcW w:w="897"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姓名</w:t>
            </w:r>
          </w:p>
        </w:tc>
        <w:tc>
          <w:tcPr>
            <w:tcW w:w="1209" w:type="dxa"/>
            <w:gridSpan w:val="2"/>
            <w:noWrap w:val="0"/>
            <w:vAlign w:val="center"/>
          </w:tcPr>
          <w:p>
            <w:pPr>
              <w:jc w:val="center"/>
              <w:rPr>
                <w:rFonts w:hint="eastAsia" w:ascii="仿宋_GB2312" w:hAnsi="宋体" w:eastAsia="仿宋_GB2312"/>
                <w:b/>
                <w:szCs w:val="21"/>
              </w:rPr>
            </w:pPr>
          </w:p>
        </w:tc>
        <w:tc>
          <w:tcPr>
            <w:tcW w:w="709"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电话</w:t>
            </w:r>
          </w:p>
        </w:tc>
        <w:tc>
          <w:tcPr>
            <w:tcW w:w="4164" w:type="dxa"/>
            <w:gridSpan w:val="5"/>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采购负责人</w:t>
            </w:r>
          </w:p>
        </w:tc>
        <w:tc>
          <w:tcPr>
            <w:tcW w:w="897"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姓名</w:t>
            </w:r>
          </w:p>
        </w:tc>
        <w:tc>
          <w:tcPr>
            <w:tcW w:w="1209" w:type="dxa"/>
            <w:gridSpan w:val="2"/>
            <w:noWrap w:val="0"/>
            <w:vAlign w:val="center"/>
          </w:tcPr>
          <w:p>
            <w:pPr>
              <w:jc w:val="center"/>
              <w:rPr>
                <w:rFonts w:hint="eastAsia" w:ascii="仿宋_GB2312" w:hAnsi="宋体" w:eastAsia="仿宋_GB2312"/>
                <w:b/>
                <w:szCs w:val="21"/>
              </w:rPr>
            </w:pPr>
          </w:p>
        </w:tc>
        <w:tc>
          <w:tcPr>
            <w:tcW w:w="709"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电话</w:t>
            </w:r>
          </w:p>
        </w:tc>
        <w:tc>
          <w:tcPr>
            <w:tcW w:w="4164" w:type="dxa"/>
            <w:gridSpan w:val="5"/>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成立时间</w:t>
            </w:r>
          </w:p>
        </w:tc>
        <w:tc>
          <w:tcPr>
            <w:tcW w:w="2106" w:type="dxa"/>
            <w:gridSpan w:val="3"/>
            <w:noWrap w:val="0"/>
            <w:vAlign w:val="center"/>
          </w:tcPr>
          <w:p>
            <w:pPr>
              <w:jc w:val="center"/>
              <w:rPr>
                <w:rFonts w:hint="eastAsia" w:ascii="仿宋_GB2312" w:hAnsi="宋体" w:eastAsia="仿宋_GB2312"/>
                <w:b/>
                <w:szCs w:val="21"/>
              </w:rPr>
            </w:pPr>
          </w:p>
        </w:tc>
        <w:tc>
          <w:tcPr>
            <w:tcW w:w="4914" w:type="dxa"/>
            <w:gridSpan w:val="7"/>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营业执照号</w:t>
            </w:r>
          </w:p>
        </w:tc>
        <w:tc>
          <w:tcPr>
            <w:tcW w:w="897" w:type="dxa"/>
            <w:noWrap w:val="0"/>
            <w:vAlign w:val="center"/>
          </w:tcPr>
          <w:p>
            <w:pPr>
              <w:jc w:val="center"/>
              <w:rPr>
                <w:rFonts w:hint="eastAsia" w:ascii="仿宋_GB2312" w:hAnsi="宋体" w:eastAsia="仿宋_GB2312"/>
                <w:b/>
                <w:szCs w:val="21"/>
              </w:rPr>
            </w:pPr>
          </w:p>
        </w:tc>
        <w:tc>
          <w:tcPr>
            <w:tcW w:w="1209" w:type="dxa"/>
            <w:gridSpan w:val="2"/>
            <w:noWrap w:val="0"/>
            <w:vAlign w:val="center"/>
          </w:tcPr>
          <w:p>
            <w:pPr>
              <w:jc w:val="center"/>
              <w:rPr>
                <w:rFonts w:hint="eastAsia" w:ascii="仿宋_GB2312" w:hAnsi="宋体" w:eastAsia="仿宋_GB2312"/>
                <w:b/>
                <w:szCs w:val="21"/>
              </w:rPr>
            </w:pPr>
          </w:p>
        </w:tc>
        <w:tc>
          <w:tcPr>
            <w:tcW w:w="805" w:type="dxa"/>
            <w:gridSpan w:val="2"/>
            <w:vMerge w:val="restart"/>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其中</w:t>
            </w:r>
          </w:p>
        </w:tc>
        <w:tc>
          <w:tcPr>
            <w:tcW w:w="1984" w:type="dxa"/>
            <w:gridSpan w:val="3"/>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经理</w:t>
            </w:r>
          </w:p>
        </w:tc>
        <w:tc>
          <w:tcPr>
            <w:tcW w:w="2125" w:type="dxa"/>
            <w:gridSpan w:val="2"/>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注册资金</w:t>
            </w:r>
          </w:p>
        </w:tc>
        <w:tc>
          <w:tcPr>
            <w:tcW w:w="897" w:type="dxa"/>
            <w:noWrap w:val="0"/>
            <w:vAlign w:val="center"/>
          </w:tcPr>
          <w:p>
            <w:pPr>
              <w:jc w:val="center"/>
              <w:rPr>
                <w:rFonts w:hint="eastAsia" w:ascii="仿宋_GB2312" w:hAnsi="宋体" w:eastAsia="仿宋_GB2312"/>
                <w:b/>
                <w:szCs w:val="21"/>
              </w:rPr>
            </w:pPr>
          </w:p>
        </w:tc>
        <w:tc>
          <w:tcPr>
            <w:tcW w:w="1209" w:type="dxa"/>
            <w:gridSpan w:val="2"/>
            <w:noWrap w:val="0"/>
            <w:vAlign w:val="center"/>
          </w:tcPr>
          <w:p>
            <w:pPr>
              <w:jc w:val="center"/>
              <w:rPr>
                <w:rFonts w:hint="eastAsia" w:ascii="仿宋_GB2312" w:hAnsi="宋体" w:eastAsia="仿宋_GB2312"/>
                <w:b/>
                <w:szCs w:val="21"/>
              </w:rPr>
            </w:pPr>
          </w:p>
        </w:tc>
        <w:tc>
          <w:tcPr>
            <w:tcW w:w="805" w:type="dxa"/>
            <w:gridSpan w:val="2"/>
            <w:vMerge w:val="continue"/>
            <w:noWrap w:val="0"/>
            <w:vAlign w:val="center"/>
          </w:tcPr>
          <w:p>
            <w:pPr>
              <w:jc w:val="center"/>
              <w:rPr>
                <w:rFonts w:hint="eastAsia" w:ascii="仿宋_GB2312" w:hAnsi="宋体" w:eastAsia="仿宋_GB2312"/>
                <w:b/>
                <w:szCs w:val="21"/>
              </w:rPr>
            </w:pPr>
          </w:p>
        </w:tc>
        <w:tc>
          <w:tcPr>
            <w:tcW w:w="1984" w:type="dxa"/>
            <w:gridSpan w:val="3"/>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库管</w:t>
            </w:r>
          </w:p>
        </w:tc>
        <w:tc>
          <w:tcPr>
            <w:tcW w:w="2125" w:type="dxa"/>
            <w:gridSpan w:val="2"/>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开户银行</w:t>
            </w:r>
          </w:p>
        </w:tc>
        <w:tc>
          <w:tcPr>
            <w:tcW w:w="897" w:type="dxa"/>
            <w:noWrap w:val="0"/>
            <w:vAlign w:val="center"/>
          </w:tcPr>
          <w:p>
            <w:pPr>
              <w:jc w:val="center"/>
              <w:rPr>
                <w:rFonts w:hint="eastAsia" w:ascii="仿宋_GB2312" w:hAnsi="宋体" w:eastAsia="仿宋_GB2312"/>
                <w:b/>
                <w:szCs w:val="21"/>
              </w:rPr>
            </w:pPr>
          </w:p>
        </w:tc>
        <w:tc>
          <w:tcPr>
            <w:tcW w:w="1209" w:type="dxa"/>
            <w:gridSpan w:val="2"/>
            <w:noWrap w:val="0"/>
            <w:vAlign w:val="center"/>
          </w:tcPr>
          <w:p>
            <w:pPr>
              <w:jc w:val="center"/>
              <w:rPr>
                <w:rFonts w:hint="eastAsia" w:ascii="仿宋_GB2312" w:hAnsi="宋体" w:eastAsia="仿宋_GB2312"/>
                <w:b/>
                <w:szCs w:val="21"/>
              </w:rPr>
            </w:pPr>
          </w:p>
        </w:tc>
        <w:tc>
          <w:tcPr>
            <w:tcW w:w="805" w:type="dxa"/>
            <w:gridSpan w:val="2"/>
            <w:vMerge w:val="continue"/>
            <w:noWrap w:val="0"/>
            <w:vAlign w:val="center"/>
          </w:tcPr>
          <w:p>
            <w:pPr>
              <w:jc w:val="center"/>
              <w:rPr>
                <w:rFonts w:hint="eastAsia" w:ascii="仿宋_GB2312" w:hAnsi="宋体" w:eastAsia="仿宋_GB2312"/>
                <w:b/>
                <w:szCs w:val="21"/>
              </w:rPr>
            </w:pPr>
          </w:p>
        </w:tc>
        <w:tc>
          <w:tcPr>
            <w:tcW w:w="1984" w:type="dxa"/>
            <w:gridSpan w:val="3"/>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工人</w:t>
            </w:r>
          </w:p>
        </w:tc>
        <w:tc>
          <w:tcPr>
            <w:tcW w:w="2125" w:type="dxa"/>
            <w:gridSpan w:val="2"/>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账号</w:t>
            </w:r>
          </w:p>
        </w:tc>
        <w:tc>
          <w:tcPr>
            <w:tcW w:w="897" w:type="dxa"/>
            <w:noWrap w:val="0"/>
            <w:vAlign w:val="center"/>
          </w:tcPr>
          <w:p>
            <w:pPr>
              <w:jc w:val="center"/>
              <w:rPr>
                <w:rFonts w:hint="eastAsia" w:ascii="仿宋_GB2312" w:hAnsi="宋体" w:eastAsia="仿宋_GB2312"/>
                <w:b/>
                <w:szCs w:val="21"/>
              </w:rPr>
            </w:pPr>
          </w:p>
        </w:tc>
        <w:tc>
          <w:tcPr>
            <w:tcW w:w="1209" w:type="dxa"/>
            <w:gridSpan w:val="2"/>
            <w:noWrap w:val="0"/>
            <w:vAlign w:val="center"/>
          </w:tcPr>
          <w:p>
            <w:pPr>
              <w:jc w:val="center"/>
              <w:rPr>
                <w:rFonts w:hint="eastAsia" w:ascii="仿宋_GB2312" w:hAnsi="宋体" w:eastAsia="仿宋_GB2312"/>
                <w:b/>
                <w:szCs w:val="21"/>
              </w:rPr>
            </w:pPr>
          </w:p>
        </w:tc>
        <w:tc>
          <w:tcPr>
            <w:tcW w:w="805" w:type="dxa"/>
            <w:gridSpan w:val="2"/>
            <w:vMerge w:val="continue"/>
            <w:noWrap w:val="0"/>
            <w:vAlign w:val="center"/>
          </w:tcPr>
          <w:p>
            <w:pPr>
              <w:jc w:val="center"/>
              <w:rPr>
                <w:rFonts w:hint="eastAsia" w:ascii="仿宋_GB2312" w:hAnsi="宋体" w:eastAsia="仿宋_GB2312"/>
                <w:b/>
                <w:szCs w:val="21"/>
              </w:rPr>
            </w:pPr>
          </w:p>
        </w:tc>
        <w:tc>
          <w:tcPr>
            <w:tcW w:w="1984" w:type="dxa"/>
            <w:gridSpan w:val="3"/>
            <w:noWrap w:val="0"/>
            <w:vAlign w:val="center"/>
          </w:tcPr>
          <w:p>
            <w:pPr>
              <w:jc w:val="center"/>
              <w:rPr>
                <w:rFonts w:hint="eastAsia" w:ascii="仿宋_GB2312" w:hAnsi="宋体" w:eastAsia="仿宋_GB2312"/>
                <w:b/>
                <w:szCs w:val="21"/>
              </w:rPr>
            </w:pPr>
          </w:p>
        </w:tc>
        <w:tc>
          <w:tcPr>
            <w:tcW w:w="2125" w:type="dxa"/>
            <w:gridSpan w:val="2"/>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经营范围</w:t>
            </w:r>
          </w:p>
        </w:tc>
        <w:tc>
          <w:tcPr>
            <w:tcW w:w="7020" w:type="dxa"/>
            <w:gridSpan w:val="10"/>
            <w:noWrap w:val="0"/>
            <w:vAlign w:val="center"/>
          </w:tcPr>
          <w:p>
            <w:pPr>
              <w:jc w:val="center"/>
              <w:rPr>
                <w:rFonts w:hint="eastAsia" w:ascii="仿宋_GB2312" w:hAnsi="宋体"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仿宋_GB2312" w:hAnsi="宋体" w:eastAsia="仿宋_GB2312"/>
                <w:b/>
                <w:szCs w:val="21"/>
              </w:rPr>
            </w:pPr>
            <w:r>
              <w:rPr>
                <w:rFonts w:hint="eastAsia" w:ascii="仿宋_GB2312" w:hAnsi="宋体" w:eastAsia="仿宋_GB2312"/>
                <w:b/>
                <w:szCs w:val="21"/>
              </w:rPr>
              <w:t>备注</w:t>
            </w:r>
          </w:p>
        </w:tc>
        <w:tc>
          <w:tcPr>
            <w:tcW w:w="7020" w:type="dxa"/>
            <w:gridSpan w:val="10"/>
            <w:noWrap w:val="0"/>
            <w:vAlign w:val="center"/>
          </w:tcPr>
          <w:p>
            <w:pPr>
              <w:jc w:val="center"/>
              <w:rPr>
                <w:rFonts w:hint="eastAsia" w:ascii="仿宋_GB2312" w:hAnsi="宋体" w:eastAsia="仿宋_GB2312"/>
                <w:b/>
                <w:szCs w:val="21"/>
              </w:rPr>
            </w:pP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22" w:firstLineChars="200"/>
        <w:outlineLvl w:val="2"/>
        <w:rPr>
          <w:rFonts w:hint="eastAsia" w:ascii="宋体" w:hAnsi="宋体"/>
          <w:b/>
          <w:szCs w:val="21"/>
        </w:rPr>
      </w:pPr>
      <w:r>
        <w:rPr>
          <w:rFonts w:hint="eastAsia" w:ascii="宋体" w:hAnsi="宋体"/>
          <w:b/>
          <w:szCs w:val="21"/>
        </w:rPr>
        <w:t>备注：本表后应附企业法人营业执照</w:t>
      </w:r>
    </w:p>
    <w:p>
      <w:pPr>
        <w:spacing w:line="440" w:lineRule="exact"/>
        <w:rPr>
          <w:rFonts w:hint="eastAsia" w:ascii="宋体" w:hAnsi="宋体"/>
          <w:b/>
          <w:sz w:val="24"/>
        </w:rPr>
      </w:pPr>
    </w:p>
    <w:p>
      <w:pPr>
        <w:spacing w:line="480" w:lineRule="auto"/>
        <w:ind w:firstLine="1785"/>
        <w:jc w:val="center"/>
        <w:rPr>
          <w:rFonts w:hint="eastAsia" w:ascii="宋体" w:hAnsi="宋体"/>
          <w:b/>
          <w:sz w:val="24"/>
        </w:rPr>
      </w:pPr>
      <w:r>
        <w:rPr>
          <w:rFonts w:hint="eastAsia" w:ascii="宋体" w:hAnsi="宋体"/>
          <w:b/>
          <w:sz w:val="24"/>
          <w:lang w:eastAsia="zh-CN"/>
        </w:rPr>
        <w:t>询价</w:t>
      </w:r>
      <w:r>
        <w:rPr>
          <w:rFonts w:hint="eastAsia" w:ascii="宋体" w:hAnsi="宋体"/>
          <w:b/>
          <w:sz w:val="24"/>
        </w:rPr>
        <w:t>人（盖单位章）：</w:t>
      </w:r>
    </w:p>
    <w:p>
      <w:pPr>
        <w:spacing w:line="480" w:lineRule="auto"/>
        <w:ind w:firstLine="1785"/>
        <w:jc w:val="center"/>
        <w:rPr>
          <w:rFonts w:hint="eastAsia" w:ascii="宋体" w:hAnsi="宋体"/>
          <w:b/>
          <w:sz w:val="24"/>
        </w:rPr>
      </w:pPr>
      <w:r>
        <w:rPr>
          <w:rFonts w:hint="eastAsia" w:ascii="宋体" w:hAnsi="宋体"/>
          <w:b/>
          <w:sz w:val="24"/>
        </w:rPr>
        <w:t>法定代表人（签字或盖章）：</w:t>
      </w:r>
    </w:p>
    <w:p>
      <w:pPr>
        <w:spacing w:line="480" w:lineRule="auto"/>
        <w:ind w:firstLine="2530" w:firstLineChars="1050"/>
        <w:jc w:val="center"/>
        <w:rPr>
          <w:rFonts w:hint="eastAsia" w:ascii="仿宋_GB2312" w:hAnsi="宋体" w:eastAsia="仿宋_GB2312"/>
          <w:b/>
          <w:szCs w:val="21"/>
          <w:lang w:val="en-US" w:eastAsia="zh-CN"/>
        </w:rPr>
      </w:pPr>
      <w:r>
        <w:rPr>
          <w:rFonts w:hint="eastAsia" w:ascii="宋体" w:hAnsi="宋体"/>
          <w:b/>
          <w:sz w:val="24"/>
          <w:u w:val="single"/>
        </w:rPr>
        <w:t xml:space="preserve">     </w:t>
      </w:r>
      <w:r>
        <w:rPr>
          <w:rFonts w:hint="eastAsia" w:ascii="宋体" w:hAnsi="宋体"/>
          <w:b/>
          <w:sz w:val="24"/>
        </w:rPr>
        <w:t>年</w:t>
      </w:r>
      <w:r>
        <w:rPr>
          <w:rFonts w:hint="eastAsia" w:ascii="宋体" w:hAnsi="宋体"/>
          <w:b/>
          <w:sz w:val="24"/>
          <w:u w:val="single"/>
        </w:rPr>
        <w:t xml:space="preserve">      </w:t>
      </w:r>
      <w:r>
        <w:rPr>
          <w:rFonts w:hint="eastAsia" w:ascii="宋体" w:hAnsi="宋体"/>
          <w:b/>
          <w:sz w:val="24"/>
        </w:rPr>
        <w:t>月</w:t>
      </w:r>
      <w:r>
        <w:rPr>
          <w:rFonts w:hint="eastAsia" w:ascii="宋体" w:hAnsi="宋体"/>
          <w:b/>
          <w:sz w:val="24"/>
          <w:u w:val="single"/>
        </w:rPr>
        <w:t xml:space="preserve">     </w:t>
      </w:r>
      <w:r>
        <w:rPr>
          <w:rFonts w:hint="eastAsia" w:ascii="宋体" w:hAnsi="宋体"/>
          <w:b/>
          <w:sz w:val="24"/>
        </w:rPr>
        <w:t>日</w:t>
      </w:r>
    </w:p>
    <w:p>
      <w:pPr>
        <w:jc w:val="both"/>
        <w:rPr>
          <w:rFonts w:hint="eastAsia" w:ascii="宋体" w:hAnsi="宋体"/>
          <w:b/>
          <w:color w:val="auto"/>
          <w:sz w:val="28"/>
          <w:szCs w:val="28"/>
        </w:rPr>
      </w:pPr>
    </w:p>
    <w:p>
      <w:pPr>
        <w:numPr>
          <w:ilvl w:val="0"/>
          <w:numId w:val="0"/>
        </w:numPr>
        <w:jc w:val="center"/>
        <w:outlineLvl w:val="0"/>
        <w:rPr>
          <w:rFonts w:hint="eastAsia" w:ascii="宋体" w:hAnsi="宋体"/>
          <w:b/>
          <w:color w:val="auto"/>
          <w:sz w:val="28"/>
          <w:szCs w:val="28"/>
          <w:lang w:val="en-US" w:eastAsia="zh-CN"/>
        </w:rPr>
      </w:pPr>
      <w:bookmarkStart w:id="286" w:name="_Toc26713"/>
      <w:r>
        <w:rPr>
          <w:rFonts w:hint="eastAsia" w:ascii="宋体" w:hAnsi="宋体"/>
          <w:b/>
          <w:color w:val="auto"/>
          <w:sz w:val="28"/>
          <w:szCs w:val="28"/>
          <w:lang w:val="en-US" w:eastAsia="zh-CN"/>
        </w:rPr>
        <w:t>7、近三个月完税证明、近三个月社保缴纳明细及2021年的财务报表或审计报告</w:t>
      </w:r>
      <w:bookmarkEnd w:id="286"/>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center"/>
        <w:rPr>
          <w:rFonts w:hint="eastAsia" w:ascii="宋体" w:hAnsi="宋体"/>
          <w:b/>
          <w:color w:val="auto"/>
          <w:sz w:val="28"/>
          <w:szCs w:val="28"/>
          <w:lang w:val="en-US" w:eastAsia="zh-CN"/>
        </w:rPr>
      </w:pPr>
    </w:p>
    <w:p>
      <w:pPr>
        <w:widowControl w:val="0"/>
        <w:numPr>
          <w:ilvl w:val="0"/>
          <w:numId w:val="0"/>
        </w:numPr>
        <w:jc w:val="both"/>
        <w:rPr>
          <w:rFonts w:hint="eastAsia" w:ascii="宋体" w:hAnsi="宋体"/>
          <w:b/>
          <w:color w:val="auto"/>
          <w:sz w:val="28"/>
          <w:szCs w:val="28"/>
          <w:lang w:val="en-US" w:eastAsia="zh-CN"/>
        </w:rPr>
      </w:pPr>
    </w:p>
    <w:p>
      <w:pPr>
        <w:jc w:val="center"/>
        <w:outlineLvl w:val="0"/>
        <w:rPr>
          <w:rFonts w:hint="eastAsia" w:ascii="宋体" w:hAnsi="宋体"/>
          <w:b/>
          <w:color w:val="auto"/>
          <w:sz w:val="28"/>
          <w:szCs w:val="28"/>
          <w:lang w:val="en-US" w:eastAsia="zh-CN"/>
        </w:rPr>
      </w:pPr>
      <w:bookmarkStart w:id="287" w:name="_Toc30241"/>
      <w:r>
        <w:rPr>
          <w:rFonts w:hint="eastAsia" w:ascii="宋体" w:hAnsi="宋体"/>
          <w:b/>
          <w:color w:val="auto"/>
          <w:sz w:val="28"/>
          <w:szCs w:val="28"/>
          <w:lang w:val="en-US" w:eastAsia="zh-CN"/>
        </w:rPr>
        <w:t>8、询价人认为需补充的其它资料或说明</w:t>
      </w:r>
      <w:bookmarkEnd w:id="287"/>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center"/>
        <w:rPr>
          <w:rFonts w:hint="eastAsia" w:ascii="宋体" w:hAnsi="宋体"/>
          <w:b/>
          <w:color w:val="auto"/>
          <w:sz w:val="28"/>
          <w:szCs w:val="28"/>
          <w:lang w:val="en-US" w:eastAsia="zh-CN"/>
        </w:rPr>
      </w:pPr>
    </w:p>
    <w:p>
      <w:pPr>
        <w:jc w:val="both"/>
        <w:rPr>
          <w:rFonts w:hint="eastAsia" w:ascii="宋体" w:hAnsi="宋体"/>
          <w:b/>
          <w:color w:val="auto"/>
          <w:sz w:val="28"/>
          <w:szCs w:val="28"/>
          <w:lang w:val="en-US" w:eastAsia="zh-CN"/>
        </w:rPr>
      </w:pPr>
    </w:p>
    <w:p>
      <w:pPr>
        <w:spacing w:line="480" w:lineRule="auto"/>
        <w:jc w:val="center"/>
        <w:outlineLvl w:val="0"/>
        <w:rPr>
          <w:rFonts w:hint="eastAsia" w:ascii="宋体" w:hAnsi="宋体"/>
          <w:b/>
          <w:color w:val="auto"/>
          <w:sz w:val="28"/>
          <w:szCs w:val="28"/>
          <w:lang w:val="en-US" w:eastAsia="zh-CN"/>
        </w:rPr>
      </w:pPr>
      <w:bookmarkStart w:id="288" w:name="_Toc7535"/>
      <w:r>
        <w:rPr>
          <w:rFonts w:hint="eastAsia" w:ascii="宋体" w:hAnsi="宋体"/>
          <w:b/>
          <w:color w:val="auto"/>
          <w:sz w:val="28"/>
          <w:szCs w:val="28"/>
          <w:lang w:val="en-US" w:eastAsia="zh-CN"/>
        </w:rPr>
        <w:t>9、反商业贿赂承诺书</w:t>
      </w:r>
      <w:bookmarkEnd w:id="288"/>
    </w:p>
    <w:p>
      <w:pPr>
        <w:spacing w:line="480" w:lineRule="auto"/>
        <w:jc w:val="left"/>
        <w:rPr>
          <w:rFonts w:hint="default" w:ascii="宋体" w:hAnsi="宋体"/>
          <w:b w:val="0"/>
          <w:bCs/>
          <w:color w:val="auto"/>
          <w:sz w:val="21"/>
          <w:szCs w:val="21"/>
          <w:lang w:val="en-US" w:eastAsia="zh-CN"/>
        </w:rPr>
      </w:pPr>
      <w:r>
        <w:rPr>
          <w:rFonts w:hint="eastAsia" w:ascii="宋体" w:hAnsi="宋体"/>
          <w:b w:val="0"/>
          <w:bCs/>
          <w:color w:val="auto"/>
          <w:sz w:val="21"/>
          <w:szCs w:val="21"/>
          <w:lang w:val="en-US" w:eastAsia="zh-CN"/>
        </w:rPr>
        <w:t>致： XXXXX</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为了进一步营造公平竞争的市场环境，维护市场秩序，我方在政府采购活动中郑重承诺：</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一、依法参与政府采购活动，遵纪守法，诚信经营，公平竞争。</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二、不向采购单位、集中采购机构和政府采购评审专家提供任何形式的商业贿赂；对索取或接受商业贿赂的单位和个人，及时向财政部门或纪检监察机关举报。</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三、坚决做到不提供虚假资质文件和虚假材料谋取中标。</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四、不采取不正当手段诋毁、排挤其他询价人，与其他询价人保持公平的竞争关系。</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五、不与采购单位、集中采购机构和政府采购评审专家串通，自觉维护政府采购公平竞争的市场秩序。</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六、不与其他询价人串通采取围标、陪标等商业欺诈手段谋取中标，积极维护国家利益、社会公共利益和采购单位的合法权益。</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七、严格履行政府采购合同约定的责任和义务，保质保量地完成采购合同规定的任务，准确兑现售后服务承诺。</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八、自觉接受并积极配合财政部门和纪检监察机关依法实施的监督检查，如实反映情况，及时提供有关证明材料。</w:t>
      </w:r>
    </w:p>
    <w:p>
      <w:pPr>
        <w:spacing w:line="480" w:lineRule="auto"/>
        <w:jc w:val="left"/>
        <w:rPr>
          <w:rFonts w:hint="eastAsia" w:ascii="宋体" w:hAnsi="宋体"/>
          <w:b w:val="0"/>
          <w:bCs/>
          <w:color w:val="auto"/>
          <w:sz w:val="21"/>
          <w:szCs w:val="21"/>
          <w:lang w:val="en-US" w:eastAsia="zh-CN"/>
        </w:rPr>
      </w:pP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 xml:space="preserve">    询价单位全称：                                       </w:t>
      </w:r>
    </w:p>
    <w:p>
      <w:pPr>
        <w:spacing w:line="480" w:lineRule="auto"/>
        <w:jc w:val="left"/>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（加盖单位公章）</w:t>
      </w:r>
    </w:p>
    <w:p>
      <w:pPr>
        <w:spacing w:line="480" w:lineRule="auto"/>
        <w:jc w:val="left"/>
        <w:rPr>
          <w:rFonts w:hint="eastAsia" w:ascii="宋体" w:hAnsi="宋体"/>
          <w:szCs w:val="21"/>
        </w:rPr>
      </w:pPr>
      <w:r>
        <w:rPr>
          <w:rFonts w:hint="eastAsia" w:ascii="宋体" w:hAnsi="宋体"/>
          <w:b w:val="0"/>
          <w:bCs/>
          <w:color w:val="auto"/>
          <w:sz w:val="21"/>
          <w:szCs w:val="21"/>
          <w:lang w:val="en-US" w:eastAsia="zh-CN"/>
        </w:rPr>
        <w:t>签署日期：      年     月     日</w:t>
      </w: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400" w:lineRule="exact"/>
        <w:rPr>
          <w:rFonts w:hint="eastAsia" w:ascii="宋体" w:hAnsi="宋体"/>
          <w:b/>
          <w:sz w:val="24"/>
        </w:rPr>
      </w:pPr>
    </w:p>
    <w:sectPr>
      <w:headerReference r:id="rId7" w:type="first"/>
      <w:headerReference r:id="rId6" w:type="default"/>
      <w:footerReference r:id="rId8" w:type="default"/>
      <w:footerReference r:id="rId9" w:type="even"/>
      <w:pgSz w:w="11906" w:h="16838"/>
      <w:pgMar w:top="1440" w:right="1800" w:bottom="1440" w:left="1800" w:header="0" w:footer="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Fhd4BAAC/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nzJWdOWJr45fu3y49fl59f&#10;W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MD4WF3gEAAL8DAAAOAAAAAAAA&#10;AAEAIAAAAB4BAABkcnMvZTJvRG9jLnhtbFBLBQYAAAAABgAGAFkBAABu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16</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0brtd8BAAC/AwAADgAAAGRycy9lMm9Eb2MueG1srVPBjtMwEL0j8Q+W&#10;7zTZIqES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S86csDTx84/v55+/z7++&#10;sZ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0brtd8BAAC/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VicUt8BAADAAwAADgAAAAAA&#10;AAABACAAAAAeAQAAZHJzL2Uyb0RvYy54bWxQSwUGAAAAAAYABgBZAQAAbw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25</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6HNeABAADAAwAADgAAAGRycy9lMm9Eb2MueG1srVPNjtMwEL4j8Q6W&#10;7zRpQ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vuLMCUsTP//6ef799/zn&#10;B5vPk0BdgBXl3QTKxP6t72ltJj+QM/Hum2jTnxgxipO8p4u8qkcm06XlYrksKSQpNh0Iv7i7HiLg&#10;e+UtS0bFI80vyyqOHwGH1CklVXP+WhuTZ2jcfw7CTJ4i9T70mCzsd/1IaOfrE/Ghh0B1Wh+/c9bR&#10;GlTc0dZzZj44UjltzGTEydhNhnCSLlYcORvMdzhs1iFEvW/zrqWmILw5IHWaCaQ2htpjdzTYLMG4&#10;hGlz/j3nrLuHt7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a+hzXgAQAAwAMAAA4AAAAA&#10;AAAAAQAgAAAAHgEAAGRycy9lMm9Eb2MueG1sUEsFBgAAAAAGAAYAWQEAAHA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eastAsia" w:ascii="Cambria" w:hAnsi="Cambria"/>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A3A29"/>
    <w:multiLevelType w:val="singleLevel"/>
    <w:tmpl w:val="082A3A29"/>
    <w:lvl w:ilvl="0" w:tentative="0">
      <w:start w:val="4"/>
      <w:numFmt w:val="chineseCounting"/>
      <w:suff w:val="space"/>
      <w:lvlText w:val="第%1章"/>
      <w:lvlJc w:val="left"/>
      <w:rPr>
        <w:rFonts w:hint="eastAsia"/>
      </w:rPr>
    </w:lvl>
  </w:abstractNum>
  <w:abstractNum w:abstractNumId="1">
    <w:nsid w:val="59E084C5"/>
    <w:multiLevelType w:val="singleLevel"/>
    <w:tmpl w:val="59E084C5"/>
    <w:lvl w:ilvl="0" w:tentative="0">
      <w:start w:val="1"/>
      <w:numFmt w:val="decimal"/>
      <w:suff w:val="nothing"/>
      <w:lvlText w:val="（%1）"/>
      <w:lvlJc w:val="left"/>
    </w:lvl>
  </w:abstractNum>
  <w:abstractNum w:abstractNumId="2">
    <w:nsid w:val="6D871012"/>
    <w:multiLevelType w:val="multilevel"/>
    <w:tmpl w:val="6D871012"/>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333"/>
        </w:tabs>
        <w:ind w:left="1333" w:hanging="793"/>
      </w:pPr>
      <w:rPr>
        <w:rFonts w:hint="eastAsia"/>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NjAzZGM5NzRkZjg3NTQyYmRlNWVlZDJiNTRmOTIifQ=="/>
  </w:docVars>
  <w:rsids>
    <w:rsidRoot w:val="00E766F3"/>
    <w:rsid w:val="0003358F"/>
    <w:rsid w:val="00053D32"/>
    <w:rsid w:val="000A5953"/>
    <w:rsid w:val="000A7CD7"/>
    <w:rsid w:val="000C3ACC"/>
    <w:rsid w:val="000D670A"/>
    <w:rsid w:val="000E7761"/>
    <w:rsid w:val="001054DB"/>
    <w:rsid w:val="00111C2A"/>
    <w:rsid w:val="00173C4D"/>
    <w:rsid w:val="00181935"/>
    <w:rsid w:val="001949E1"/>
    <w:rsid w:val="001A69B9"/>
    <w:rsid w:val="001B42A8"/>
    <w:rsid w:val="001B5275"/>
    <w:rsid w:val="001B6BCB"/>
    <w:rsid w:val="001C4675"/>
    <w:rsid w:val="001D5B1D"/>
    <w:rsid w:val="002020CA"/>
    <w:rsid w:val="0020653C"/>
    <w:rsid w:val="00237CE5"/>
    <w:rsid w:val="00271CD9"/>
    <w:rsid w:val="00271F90"/>
    <w:rsid w:val="002842AB"/>
    <w:rsid w:val="002A1986"/>
    <w:rsid w:val="002A228B"/>
    <w:rsid w:val="002E7B1F"/>
    <w:rsid w:val="0031078E"/>
    <w:rsid w:val="00310C22"/>
    <w:rsid w:val="00331405"/>
    <w:rsid w:val="0033197A"/>
    <w:rsid w:val="003425B9"/>
    <w:rsid w:val="003548A0"/>
    <w:rsid w:val="003951EF"/>
    <w:rsid w:val="003A4A21"/>
    <w:rsid w:val="003C31D0"/>
    <w:rsid w:val="003D357A"/>
    <w:rsid w:val="004140B5"/>
    <w:rsid w:val="004800D6"/>
    <w:rsid w:val="004A02FB"/>
    <w:rsid w:val="004B4D0A"/>
    <w:rsid w:val="004D23A4"/>
    <w:rsid w:val="004F41E5"/>
    <w:rsid w:val="005125EA"/>
    <w:rsid w:val="00521830"/>
    <w:rsid w:val="00533CF8"/>
    <w:rsid w:val="00535A42"/>
    <w:rsid w:val="00593080"/>
    <w:rsid w:val="005A170C"/>
    <w:rsid w:val="005B02CE"/>
    <w:rsid w:val="005B714A"/>
    <w:rsid w:val="005D53FB"/>
    <w:rsid w:val="005F7BB8"/>
    <w:rsid w:val="0062500D"/>
    <w:rsid w:val="00637D41"/>
    <w:rsid w:val="00641B72"/>
    <w:rsid w:val="00650E73"/>
    <w:rsid w:val="006715D9"/>
    <w:rsid w:val="0069297B"/>
    <w:rsid w:val="00695243"/>
    <w:rsid w:val="006B0F09"/>
    <w:rsid w:val="006C2CF3"/>
    <w:rsid w:val="00711E58"/>
    <w:rsid w:val="00724507"/>
    <w:rsid w:val="00731CD5"/>
    <w:rsid w:val="00756777"/>
    <w:rsid w:val="0075716E"/>
    <w:rsid w:val="007673FB"/>
    <w:rsid w:val="00773AD9"/>
    <w:rsid w:val="0077638B"/>
    <w:rsid w:val="007B03E9"/>
    <w:rsid w:val="007B0E79"/>
    <w:rsid w:val="007B3D64"/>
    <w:rsid w:val="007D2700"/>
    <w:rsid w:val="0081463D"/>
    <w:rsid w:val="00817685"/>
    <w:rsid w:val="0084071F"/>
    <w:rsid w:val="00882786"/>
    <w:rsid w:val="008C0125"/>
    <w:rsid w:val="008C303D"/>
    <w:rsid w:val="008E54FD"/>
    <w:rsid w:val="008F5753"/>
    <w:rsid w:val="009010E0"/>
    <w:rsid w:val="00911CB0"/>
    <w:rsid w:val="0093714F"/>
    <w:rsid w:val="00951EEC"/>
    <w:rsid w:val="0095708E"/>
    <w:rsid w:val="009703BC"/>
    <w:rsid w:val="009A1E21"/>
    <w:rsid w:val="009B3C12"/>
    <w:rsid w:val="009C4110"/>
    <w:rsid w:val="009D32D0"/>
    <w:rsid w:val="009E4A60"/>
    <w:rsid w:val="00A03076"/>
    <w:rsid w:val="00A073D2"/>
    <w:rsid w:val="00A307B5"/>
    <w:rsid w:val="00A47A8C"/>
    <w:rsid w:val="00A501F7"/>
    <w:rsid w:val="00A80F18"/>
    <w:rsid w:val="00AA3056"/>
    <w:rsid w:val="00AB0C20"/>
    <w:rsid w:val="00AF389E"/>
    <w:rsid w:val="00B20383"/>
    <w:rsid w:val="00B31342"/>
    <w:rsid w:val="00B37493"/>
    <w:rsid w:val="00B4288B"/>
    <w:rsid w:val="00B75A52"/>
    <w:rsid w:val="00B7631E"/>
    <w:rsid w:val="00B7787E"/>
    <w:rsid w:val="00B96BD3"/>
    <w:rsid w:val="00BA2F34"/>
    <w:rsid w:val="00BD1A9F"/>
    <w:rsid w:val="00BE2DBE"/>
    <w:rsid w:val="00BE6554"/>
    <w:rsid w:val="00C11C48"/>
    <w:rsid w:val="00C1207F"/>
    <w:rsid w:val="00C1589D"/>
    <w:rsid w:val="00C37B97"/>
    <w:rsid w:val="00C538DC"/>
    <w:rsid w:val="00C5549F"/>
    <w:rsid w:val="00C61564"/>
    <w:rsid w:val="00C67094"/>
    <w:rsid w:val="00C76416"/>
    <w:rsid w:val="00CA4F9A"/>
    <w:rsid w:val="00D2042E"/>
    <w:rsid w:val="00D27C06"/>
    <w:rsid w:val="00D816DE"/>
    <w:rsid w:val="00DA61BE"/>
    <w:rsid w:val="00DF13B7"/>
    <w:rsid w:val="00E4353E"/>
    <w:rsid w:val="00E5064E"/>
    <w:rsid w:val="00E7243B"/>
    <w:rsid w:val="00E766F3"/>
    <w:rsid w:val="00E9316D"/>
    <w:rsid w:val="00EB3A80"/>
    <w:rsid w:val="00EB55BA"/>
    <w:rsid w:val="00EB7259"/>
    <w:rsid w:val="00EC5D3B"/>
    <w:rsid w:val="00F32019"/>
    <w:rsid w:val="00F6422C"/>
    <w:rsid w:val="00FA1A75"/>
    <w:rsid w:val="00FA67F9"/>
    <w:rsid w:val="00FD2BFC"/>
    <w:rsid w:val="00FE20B6"/>
    <w:rsid w:val="01685572"/>
    <w:rsid w:val="01836291"/>
    <w:rsid w:val="01CE0ABA"/>
    <w:rsid w:val="030659CA"/>
    <w:rsid w:val="03B12839"/>
    <w:rsid w:val="03D456CA"/>
    <w:rsid w:val="03EC58BB"/>
    <w:rsid w:val="040D5509"/>
    <w:rsid w:val="05E04B43"/>
    <w:rsid w:val="061667C9"/>
    <w:rsid w:val="069C130B"/>
    <w:rsid w:val="06A03993"/>
    <w:rsid w:val="072A75A5"/>
    <w:rsid w:val="08DE0D65"/>
    <w:rsid w:val="08F37DAF"/>
    <w:rsid w:val="09052C26"/>
    <w:rsid w:val="090E3A47"/>
    <w:rsid w:val="0A0E4C95"/>
    <w:rsid w:val="0A5B07F2"/>
    <w:rsid w:val="0A5D0990"/>
    <w:rsid w:val="0A936AEE"/>
    <w:rsid w:val="0AAE40AA"/>
    <w:rsid w:val="0AC4266D"/>
    <w:rsid w:val="0AF12552"/>
    <w:rsid w:val="0B383A17"/>
    <w:rsid w:val="0B6B144D"/>
    <w:rsid w:val="0B876427"/>
    <w:rsid w:val="0B8C5B73"/>
    <w:rsid w:val="0B9926C8"/>
    <w:rsid w:val="0BD53F7B"/>
    <w:rsid w:val="0C344F8B"/>
    <w:rsid w:val="0CE43A36"/>
    <w:rsid w:val="0D737EBF"/>
    <w:rsid w:val="0DAB27B8"/>
    <w:rsid w:val="0E6456EE"/>
    <w:rsid w:val="0FA95264"/>
    <w:rsid w:val="0FC559DE"/>
    <w:rsid w:val="10285353"/>
    <w:rsid w:val="10752EE0"/>
    <w:rsid w:val="10D44BD2"/>
    <w:rsid w:val="110A46C4"/>
    <w:rsid w:val="12263947"/>
    <w:rsid w:val="12387565"/>
    <w:rsid w:val="13636C66"/>
    <w:rsid w:val="13AD2047"/>
    <w:rsid w:val="1416367D"/>
    <w:rsid w:val="144E5B72"/>
    <w:rsid w:val="14D90CE0"/>
    <w:rsid w:val="14EE2D40"/>
    <w:rsid w:val="14F62C8D"/>
    <w:rsid w:val="159C22B5"/>
    <w:rsid w:val="15BD195D"/>
    <w:rsid w:val="15CF4B78"/>
    <w:rsid w:val="15DD2783"/>
    <w:rsid w:val="160B2329"/>
    <w:rsid w:val="16D764E9"/>
    <w:rsid w:val="16E46A6C"/>
    <w:rsid w:val="17313BBC"/>
    <w:rsid w:val="176E345D"/>
    <w:rsid w:val="178539BC"/>
    <w:rsid w:val="17FB1B65"/>
    <w:rsid w:val="18866D88"/>
    <w:rsid w:val="18D25AD4"/>
    <w:rsid w:val="18D317EA"/>
    <w:rsid w:val="19DB6932"/>
    <w:rsid w:val="1A663E78"/>
    <w:rsid w:val="1AA0775D"/>
    <w:rsid w:val="1B290820"/>
    <w:rsid w:val="1B510729"/>
    <w:rsid w:val="1BA32E47"/>
    <w:rsid w:val="1C4039ED"/>
    <w:rsid w:val="1C5F79DD"/>
    <w:rsid w:val="1C845425"/>
    <w:rsid w:val="1C857967"/>
    <w:rsid w:val="1DA44C2B"/>
    <w:rsid w:val="1DA66856"/>
    <w:rsid w:val="1E0571D2"/>
    <w:rsid w:val="1E412829"/>
    <w:rsid w:val="1EBC782F"/>
    <w:rsid w:val="1EF948F2"/>
    <w:rsid w:val="1FC14CA3"/>
    <w:rsid w:val="2034163A"/>
    <w:rsid w:val="2077099F"/>
    <w:rsid w:val="20981280"/>
    <w:rsid w:val="20FC7EEB"/>
    <w:rsid w:val="21393B34"/>
    <w:rsid w:val="21CA4670"/>
    <w:rsid w:val="21D14535"/>
    <w:rsid w:val="21E96D29"/>
    <w:rsid w:val="220436BC"/>
    <w:rsid w:val="22E923FF"/>
    <w:rsid w:val="23A90432"/>
    <w:rsid w:val="23B875B5"/>
    <w:rsid w:val="242432F8"/>
    <w:rsid w:val="24276D53"/>
    <w:rsid w:val="251E2948"/>
    <w:rsid w:val="25276C08"/>
    <w:rsid w:val="253A6FB5"/>
    <w:rsid w:val="255E3993"/>
    <w:rsid w:val="258B24DC"/>
    <w:rsid w:val="26D14590"/>
    <w:rsid w:val="26D5603C"/>
    <w:rsid w:val="2723198F"/>
    <w:rsid w:val="272D1C7B"/>
    <w:rsid w:val="2745591E"/>
    <w:rsid w:val="2787630A"/>
    <w:rsid w:val="28343045"/>
    <w:rsid w:val="28BE4CF6"/>
    <w:rsid w:val="28E415E2"/>
    <w:rsid w:val="29501138"/>
    <w:rsid w:val="29721C5A"/>
    <w:rsid w:val="2A437AA5"/>
    <w:rsid w:val="2AD82D66"/>
    <w:rsid w:val="2B303807"/>
    <w:rsid w:val="2B7923B3"/>
    <w:rsid w:val="2BD92CEE"/>
    <w:rsid w:val="2C5F7465"/>
    <w:rsid w:val="3054701B"/>
    <w:rsid w:val="31230A6E"/>
    <w:rsid w:val="32575D12"/>
    <w:rsid w:val="329E7992"/>
    <w:rsid w:val="32D734DF"/>
    <w:rsid w:val="32DE1571"/>
    <w:rsid w:val="32FE17A7"/>
    <w:rsid w:val="33914F75"/>
    <w:rsid w:val="339C224D"/>
    <w:rsid w:val="33E24FE9"/>
    <w:rsid w:val="343248F7"/>
    <w:rsid w:val="34BF7772"/>
    <w:rsid w:val="35495A4C"/>
    <w:rsid w:val="35C228A7"/>
    <w:rsid w:val="363E25F5"/>
    <w:rsid w:val="36F90C36"/>
    <w:rsid w:val="3815699E"/>
    <w:rsid w:val="382300FF"/>
    <w:rsid w:val="384A21E9"/>
    <w:rsid w:val="390B48AC"/>
    <w:rsid w:val="391272ED"/>
    <w:rsid w:val="399070E5"/>
    <w:rsid w:val="39A67FAB"/>
    <w:rsid w:val="3B5D72EB"/>
    <w:rsid w:val="3B790D68"/>
    <w:rsid w:val="3BC51150"/>
    <w:rsid w:val="3BF32B3F"/>
    <w:rsid w:val="3C3D46A4"/>
    <w:rsid w:val="3C5407F5"/>
    <w:rsid w:val="3D087193"/>
    <w:rsid w:val="3D2D620E"/>
    <w:rsid w:val="3D4F43ED"/>
    <w:rsid w:val="3DB35C9B"/>
    <w:rsid w:val="3DB43DAE"/>
    <w:rsid w:val="3DBC1ADA"/>
    <w:rsid w:val="3DD806D3"/>
    <w:rsid w:val="3E567291"/>
    <w:rsid w:val="3E6F141A"/>
    <w:rsid w:val="3F181361"/>
    <w:rsid w:val="404E7024"/>
    <w:rsid w:val="40814740"/>
    <w:rsid w:val="40CF55FF"/>
    <w:rsid w:val="40FA55F1"/>
    <w:rsid w:val="41BF32A5"/>
    <w:rsid w:val="423D647F"/>
    <w:rsid w:val="4290065E"/>
    <w:rsid w:val="4445423C"/>
    <w:rsid w:val="447C5CC2"/>
    <w:rsid w:val="44960655"/>
    <w:rsid w:val="457C69A1"/>
    <w:rsid w:val="45C121A2"/>
    <w:rsid w:val="45C57A55"/>
    <w:rsid w:val="45D449A3"/>
    <w:rsid w:val="46381D02"/>
    <w:rsid w:val="46BE4297"/>
    <w:rsid w:val="46D6087C"/>
    <w:rsid w:val="46E275E4"/>
    <w:rsid w:val="4721413B"/>
    <w:rsid w:val="4801173B"/>
    <w:rsid w:val="480D3B8E"/>
    <w:rsid w:val="481709A6"/>
    <w:rsid w:val="48C31CA1"/>
    <w:rsid w:val="48D70C25"/>
    <w:rsid w:val="48EB5173"/>
    <w:rsid w:val="49272830"/>
    <w:rsid w:val="492E7146"/>
    <w:rsid w:val="49F15D02"/>
    <w:rsid w:val="4A4224B6"/>
    <w:rsid w:val="4A790BE2"/>
    <w:rsid w:val="4AE669DB"/>
    <w:rsid w:val="4AF40B95"/>
    <w:rsid w:val="4B40239E"/>
    <w:rsid w:val="4C295591"/>
    <w:rsid w:val="4C396BBE"/>
    <w:rsid w:val="4CFB41D3"/>
    <w:rsid w:val="4D8064BD"/>
    <w:rsid w:val="4DD84AAD"/>
    <w:rsid w:val="4E0B7E6E"/>
    <w:rsid w:val="4E252DD2"/>
    <w:rsid w:val="503A753E"/>
    <w:rsid w:val="50974BDD"/>
    <w:rsid w:val="50F801B1"/>
    <w:rsid w:val="51163B6E"/>
    <w:rsid w:val="51941FBA"/>
    <w:rsid w:val="51DA0B78"/>
    <w:rsid w:val="51E874AF"/>
    <w:rsid w:val="52631883"/>
    <w:rsid w:val="52C94783"/>
    <w:rsid w:val="52FB73A7"/>
    <w:rsid w:val="52FC0224"/>
    <w:rsid w:val="53D65CEF"/>
    <w:rsid w:val="54815593"/>
    <w:rsid w:val="55E3479B"/>
    <w:rsid w:val="55E71BF4"/>
    <w:rsid w:val="563D26E4"/>
    <w:rsid w:val="569B0ECA"/>
    <w:rsid w:val="56DD3383"/>
    <w:rsid w:val="56DE1F5D"/>
    <w:rsid w:val="570C0D68"/>
    <w:rsid w:val="574E53C7"/>
    <w:rsid w:val="57A876D1"/>
    <w:rsid w:val="57D1451D"/>
    <w:rsid w:val="586201AB"/>
    <w:rsid w:val="586838EB"/>
    <w:rsid w:val="592363BE"/>
    <w:rsid w:val="597216D8"/>
    <w:rsid w:val="5A327253"/>
    <w:rsid w:val="5A3B6A31"/>
    <w:rsid w:val="5B324AED"/>
    <w:rsid w:val="5BF021F6"/>
    <w:rsid w:val="5CB77F2E"/>
    <w:rsid w:val="5D532CD9"/>
    <w:rsid w:val="5DD27907"/>
    <w:rsid w:val="5E1E39E5"/>
    <w:rsid w:val="5E8A626C"/>
    <w:rsid w:val="5F0A74C2"/>
    <w:rsid w:val="5FBB0E13"/>
    <w:rsid w:val="5FE46ABE"/>
    <w:rsid w:val="6106423F"/>
    <w:rsid w:val="617A101E"/>
    <w:rsid w:val="61FB12C2"/>
    <w:rsid w:val="62224275"/>
    <w:rsid w:val="624A659E"/>
    <w:rsid w:val="62AB04F9"/>
    <w:rsid w:val="63220EA7"/>
    <w:rsid w:val="63BE639C"/>
    <w:rsid w:val="64595690"/>
    <w:rsid w:val="64F931DF"/>
    <w:rsid w:val="65102337"/>
    <w:rsid w:val="6512080E"/>
    <w:rsid w:val="65590735"/>
    <w:rsid w:val="65B631CD"/>
    <w:rsid w:val="663E0D52"/>
    <w:rsid w:val="66CE1779"/>
    <w:rsid w:val="674B5D99"/>
    <w:rsid w:val="674D6B1A"/>
    <w:rsid w:val="67DD50D9"/>
    <w:rsid w:val="68BF0A57"/>
    <w:rsid w:val="6913348C"/>
    <w:rsid w:val="69525C75"/>
    <w:rsid w:val="6A2F0733"/>
    <w:rsid w:val="6A71529F"/>
    <w:rsid w:val="6B2943B0"/>
    <w:rsid w:val="6B493B79"/>
    <w:rsid w:val="6B603471"/>
    <w:rsid w:val="6BE51CAE"/>
    <w:rsid w:val="6D0507C6"/>
    <w:rsid w:val="6D0617C0"/>
    <w:rsid w:val="6D371CB1"/>
    <w:rsid w:val="6E3748BF"/>
    <w:rsid w:val="6E78019E"/>
    <w:rsid w:val="6EC71A39"/>
    <w:rsid w:val="6EE532CF"/>
    <w:rsid w:val="6F4A171A"/>
    <w:rsid w:val="70305066"/>
    <w:rsid w:val="703B49BE"/>
    <w:rsid w:val="706F3BA6"/>
    <w:rsid w:val="71072804"/>
    <w:rsid w:val="73806ABF"/>
    <w:rsid w:val="746B2A39"/>
    <w:rsid w:val="75404C88"/>
    <w:rsid w:val="76640FDB"/>
    <w:rsid w:val="766B1ABE"/>
    <w:rsid w:val="772A4DE9"/>
    <w:rsid w:val="77412921"/>
    <w:rsid w:val="77E540FD"/>
    <w:rsid w:val="787656AC"/>
    <w:rsid w:val="790C7682"/>
    <w:rsid w:val="79D425E6"/>
    <w:rsid w:val="79FC0D59"/>
    <w:rsid w:val="7A0E4C11"/>
    <w:rsid w:val="7A2C5E36"/>
    <w:rsid w:val="7A3A14EC"/>
    <w:rsid w:val="7A4A5B5C"/>
    <w:rsid w:val="7A8338C3"/>
    <w:rsid w:val="7ADA0738"/>
    <w:rsid w:val="7B6274A6"/>
    <w:rsid w:val="7B734492"/>
    <w:rsid w:val="7BDF7326"/>
    <w:rsid w:val="7C041299"/>
    <w:rsid w:val="7D9C34D4"/>
    <w:rsid w:val="7DD01E61"/>
    <w:rsid w:val="7DE558B8"/>
    <w:rsid w:val="7E0B246B"/>
    <w:rsid w:val="7E214B4B"/>
    <w:rsid w:val="7E671FE5"/>
    <w:rsid w:val="7EE745EB"/>
    <w:rsid w:val="7F6F1EAA"/>
    <w:rsid w:val="7F7B0690"/>
    <w:rsid w:val="7F8D556B"/>
    <w:rsid w:val="7F967F0A"/>
    <w:rsid w:val="7FC217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style>
  <w:style w:type="paragraph" w:styleId="9">
    <w:name w:val="Body Text Indent"/>
    <w:basedOn w:val="1"/>
    <w:qFormat/>
    <w:uiPriority w:val="0"/>
    <w:pPr>
      <w:ind w:firstLine="630"/>
    </w:pPr>
    <w:rPr>
      <w:rFonts w:eastAsia="仿宋_GB2312"/>
      <w:sz w:val="28"/>
      <w:szCs w:val="20"/>
    </w:rPr>
  </w:style>
  <w:style w:type="paragraph" w:styleId="10">
    <w:name w:val="toc 3"/>
    <w:basedOn w:val="1"/>
    <w:next w:val="1"/>
    <w:semiHidden/>
    <w:qFormat/>
    <w:uiPriority w:val="0"/>
    <w:pPr>
      <w:tabs>
        <w:tab w:val="left" w:pos="1050"/>
        <w:tab w:val="left" w:pos="1260"/>
        <w:tab w:val="left" w:pos="1470"/>
        <w:tab w:val="right" w:leader="dot" w:pos="8726"/>
      </w:tabs>
      <w:ind w:left="630" w:leftChars="300"/>
    </w:pPr>
    <w:rPr>
      <w:rFonts w:ascii="宋体" w:hAnsi="宋体"/>
      <w:szCs w:val="32"/>
    </w:rPr>
  </w:style>
  <w:style w:type="paragraph" w:styleId="11">
    <w:name w:val="Plain Text"/>
    <w:basedOn w:val="1"/>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1"/>
    <w:semiHidden/>
    <w:qFormat/>
    <w:uiPriority w:val="0"/>
    <w:pPr>
      <w:tabs>
        <w:tab w:val="left" w:pos="1050"/>
        <w:tab w:val="right" w:leader="dot" w:pos="8726"/>
      </w:tabs>
      <w:ind w:firstLine="210" w:firstLineChars="100"/>
    </w:pPr>
    <w:rPr>
      <w:rFonts w:ascii="宋体" w:hAnsi="宋体"/>
      <w:color w:val="000000"/>
      <w:szCs w:val="36"/>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HTML Sample"/>
    <w:basedOn w:val="21"/>
    <w:qFormat/>
    <w:uiPriority w:val="0"/>
    <w:rPr>
      <w:rFonts w:ascii="Courier New" w:hAnsi="Courier New"/>
    </w:rPr>
  </w:style>
  <w:style w:type="character" w:customStyle="1" w:styleId="26">
    <w:name w:val=" Char Char"/>
    <w:basedOn w:val="21"/>
    <w:link w:val="14"/>
    <w:qFormat/>
    <w:uiPriority w:val="0"/>
    <w:rPr>
      <w:rFonts w:eastAsia="宋体"/>
      <w:kern w:val="2"/>
      <w:sz w:val="18"/>
      <w:szCs w:val="18"/>
      <w:lang w:val="en-US" w:eastAsia="zh-CN" w:bidi="ar-SA"/>
    </w:rPr>
  </w:style>
  <w:style w:type="character" w:customStyle="1" w:styleId="27">
    <w:name w:val="font01"/>
    <w:basedOn w:val="21"/>
    <w:qFormat/>
    <w:uiPriority w:val="0"/>
    <w:rPr>
      <w:rFonts w:hint="eastAsia" w:ascii="宋体" w:hAnsi="宋体" w:eastAsia="宋体" w:cs="宋体"/>
      <w:color w:val="000000"/>
      <w:sz w:val="16"/>
      <w:szCs w:val="16"/>
      <w:u w:val="none"/>
    </w:rPr>
  </w:style>
  <w:style w:type="paragraph" w:customStyle="1" w:styleId="2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9">
    <w:name w:val="样式 正文（首行缩进两字） + 宋体 小四"/>
    <w:basedOn w:val="5"/>
    <w:qFormat/>
    <w:uiPriority w:val="0"/>
    <w:pPr>
      <w:widowControl w:val="0"/>
      <w:spacing w:line="100" w:lineRule="atLeast"/>
      <w:ind w:firstLine="614" w:firstLineChars="192"/>
    </w:pPr>
    <w:rPr>
      <w:rFonts w:ascii="仿宋_GB2312" w:hAnsi="宋体" w:eastAsia="仿宋_GB2312"/>
      <w:kern w:val="2"/>
      <w:sz w:val="32"/>
    </w:rPr>
  </w:style>
  <w:style w:type="paragraph" w:customStyle="1" w:styleId="30">
    <w:name w:val=" Char"/>
    <w:basedOn w:val="1"/>
    <w:qFormat/>
    <w:uiPriority w:val="0"/>
    <w:rPr>
      <w:rFonts w:ascii="Tahoma" w:hAnsi="Tahoma"/>
      <w:sz w:val="24"/>
      <w:szCs w:val="20"/>
    </w:rPr>
  </w:style>
  <w:style w:type="paragraph" w:customStyle="1" w:styleId="31">
    <w:name w:val="表格文字"/>
    <w:basedOn w:val="1"/>
    <w:qFormat/>
    <w:uiPriority w:val="0"/>
    <w:pPr>
      <w:adjustRightInd w:val="0"/>
      <w:spacing w:line="420" w:lineRule="atLeast"/>
      <w:jc w:val="left"/>
      <w:textAlignment w:val="baseline"/>
    </w:pPr>
    <w:rPr>
      <w:kern w:val="0"/>
      <w:szCs w:val="20"/>
    </w:rPr>
  </w:style>
  <w:style w:type="paragraph" w:customStyle="1" w:styleId="3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17254</Words>
  <Characters>18703</Characters>
  <Lines>155</Lines>
  <Paragraphs>43</Paragraphs>
  <TotalTime>5</TotalTime>
  <ScaleCrop>false</ScaleCrop>
  <LinksUpToDate>false</LinksUpToDate>
  <CharactersWithSpaces>21100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2011-11-09T03:59:00Z</dcterms:created>
  <dc:creator>微软用户</dc:creator>
  <cp:lastModifiedBy>丹儿༦Ꮿོ࿆ 新疆印象</cp:lastModifiedBy>
  <cp:lastPrinted>2018-12-10T02:19:00Z</cp:lastPrinted>
  <dcterms:modified xsi:type="dcterms:W3CDTF">2022-05-24T11:40:45Z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9803DBE92DF74D459CB8129C3C512C5C</vt:lpwstr>
  </property>
</Properties>
</file>