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2022年国土变更调查存储等设备采购项目</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项目编号：</w:t>
      </w:r>
      <w:r>
        <w:rPr>
          <w:rFonts w:hint="eastAsia" w:asciiTheme="minorEastAsia" w:hAnsiTheme="minorEastAsia" w:eastAsiaTheme="minorEastAsia" w:cstheme="minorEastAsia"/>
          <w:b/>
          <w:sz w:val="21"/>
          <w:szCs w:val="21"/>
          <w:lang w:eastAsia="zh-CN"/>
        </w:rPr>
        <w:t>HYGJ-ZFCG-2022-053</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采购人名称：</w:t>
      </w:r>
      <w:r>
        <w:rPr>
          <w:rFonts w:hint="eastAsia" w:asciiTheme="minorEastAsia" w:hAnsiTheme="minorEastAsia" w:cstheme="minorEastAsia"/>
          <w:sz w:val="21"/>
          <w:szCs w:val="21"/>
          <w:lang w:eastAsia="zh-CN"/>
        </w:rPr>
        <w:t>新疆维吾尔自治区自然资源规划研究院</w:t>
      </w:r>
    </w:p>
    <w:p>
      <w:pPr>
        <w:pStyle w:val="34"/>
        <w:spacing w:after="0" w:line="400" w:lineRule="exact"/>
        <w:ind w:firstLine="240"/>
        <w:jc w:val="left"/>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cstheme="minorEastAsia"/>
          <w:sz w:val="21"/>
          <w:szCs w:val="21"/>
          <w:lang w:eastAsia="zh-CN"/>
        </w:rPr>
        <w:t>茹皮亚</w:t>
      </w: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cstheme="minorEastAsia"/>
          <w:sz w:val="21"/>
          <w:szCs w:val="21"/>
          <w:lang w:eastAsia="zh-CN"/>
        </w:rPr>
        <w:t>17799910552</w:t>
      </w:r>
    </w:p>
    <w:p>
      <w:pPr>
        <w:pStyle w:val="35"/>
        <w:ind w:left="0" w:lef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乌鲁木齐新市区北京南路广安街199号</w:t>
      </w:r>
    </w:p>
    <w:p>
      <w:pPr>
        <w:rPr>
          <w:rFonts w:hint="eastAsia"/>
        </w:rPr>
      </w:pP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采购代理机构：宏业国际项目管理有限公司</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联系人：李苗</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联系电话：15022921857</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"_Toc462223639" </w:instrText>
      </w:r>
      <w:r>
        <w:rPr>
          <w:rFonts w:hint="eastAsia" w:asciiTheme="minorEastAsia" w:hAnsiTheme="minorEastAsia" w:eastAsiaTheme="minorEastAsia" w:cstheme="minorEastAsia"/>
          <w:sz w:val="21"/>
          <w:szCs w:val="21"/>
        </w:rPr>
        <w:fldChar w:fldCharType="separate"/>
      </w:r>
    </w:p>
    <w:sdt>
      <w:sdtPr>
        <w:rPr>
          <w:rFonts w:hint="eastAsia" w:asciiTheme="minorEastAsia" w:hAnsiTheme="minorEastAsia" w:eastAsiaTheme="minorEastAsia" w:cstheme="minorEastAsia"/>
          <w:sz w:val="21"/>
          <w:szCs w:val="21"/>
        </w:rPr>
        <w:id w:val="147474017"/>
        <w:docPartObj>
          <w:docPartGallery w:val="Table of Contents"/>
          <w:docPartUnique/>
        </w:docPartObj>
      </w:sdtPr>
      <w:sdtEndPr>
        <w:rPr>
          <w:rFonts w:hint="eastAsia" w:asciiTheme="minorEastAsia" w:hAnsiTheme="minorEastAsia" w:eastAsiaTheme="minorEastAsia" w:cstheme="minorEastAsia"/>
          <w:sz w:val="21"/>
          <w:szCs w:val="21"/>
        </w:rPr>
      </w:sdtEndPr>
      <w:sdtContent>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  录</w:t>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"_Toc23056"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第一章 </w:t>
          </w:r>
          <w:r>
            <w:rPr>
              <w:rFonts w:hint="eastAsia" w:asciiTheme="minorEastAsia" w:hAnsiTheme="minorEastAsia" w:eastAsiaTheme="minorEastAsia" w:cstheme="minorEastAsia"/>
              <w:kern w:val="2"/>
              <w:sz w:val="21"/>
              <w:szCs w:val="21"/>
            </w:rPr>
            <w:t>竞争性磋商公告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_Toc23056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"_Toc11946"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第二章  供应商须知</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"_Toc16105"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第三章  项目需求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_Toc16105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"_Toc28434"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第四章  合同条款（仅供参考）</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1</w:t>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"_Toc12367"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第五章  附件</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4</w:t>
          </w: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1"/>
          <w:szCs w:val="21"/>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462223629"/>
      <w:bookmarkStart w:id="2" w:name="_Toc298240402"/>
      <w:bookmarkStart w:id="3" w:name="_Toc349637917"/>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298240403"/>
      <w:bookmarkStart w:id="7" w:name="_Toc349637918"/>
      <w:bookmarkStart w:id="8" w:name="_Toc267301280"/>
      <w:bookmarkStart w:id="9" w:name="_Toc349573119"/>
      <w:bookmarkStart w:id="10" w:name="_Toc462223630"/>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2022年国土变更调查存储等设备采购项目</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u w:val="single"/>
          <w:lang w:eastAsia="zh-CN"/>
        </w:rPr>
        <w:t>2022年国土变更调查存储等设备采购项目</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2022年6月2日 11:00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HYGJ-ZFCG-2022-053</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2022年国土变更调查存储等设备采购项目</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951300.00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951300.00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简要规格描述：</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对原有服务器设备、存储设备等进行续保</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采购UPS机房电源模块、服务器及存储资源续服</w:t>
      </w:r>
      <w:r>
        <w:rPr>
          <w:rFonts w:hint="eastAsia" w:asciiTheme="minorEastAsia" w:hAnsiTheme="minorEastAsia" w:eastAsiaTheme="minorEastAsia" w:cstheme="minorEastAsia"/>
          <w:color w:val="000000"/>
          <w:sz w:val="21"/>
          <w:szCs w:val="21"/>
          <w:lang w:val="en-US" w:eastAsia="zh-CN"/>
        </w:rPr>
        <w:t>等服</w:t>
      </w:r>
      <w:r>
        <w:rPr>
          <w:rFonts w:hint="eastAsia" w:asciiTheme="minorEastAsia" w:hAnsiTheme="minorEastAsia" w:eastAsiaTheme="minorEastAsia" w:cstheme="minorEastAsia"/>
          <w:color w:val="000000"/>
          <w:sz w:val="21"/>
          <w:szCs w:val="21"/>
        </w:rPr>
        <w:t>务，详见招标文件。 </w:t>
      </w:r>
      <w:bookmarkStart w:id="146" w:name="_GoBack"/>
      <w:bookmarkEnd w:id="146"/>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日至2022年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日，每天上午10:00至</w:t>
      </w: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0，下午16:00至19:00（北京时间，法定节假日除外）</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联系人：茹皮亚</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联系方式：17799910552</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color w:val="000000"/>
          <w:sz w:val="21"/>
          <w:szCs w:val="21"/>
        </w:rPr>
        <w:t>地址：乌鲁木齐水磨沟区红光山路万科大都会8号楼1202</w:t>
      </w:r>
    </w:p>
    <w:bookmarkEnd w:id="5"/>
    <w:p>
      <w:pPr>
        <w:spacing w:line="400" w:lineRule="exact"/>
        <w:jc w:val="both"/>
        <w:outlineLvl w:val="0"/>
        <w:rPr>
          <w:rFonts w:hint="eastAsia" w:asciiTheme="minorEastAsia" w:hAnsiTheme="minorEastAsia" w:eastAsiaTheme="minorEastAsia" w:cstheme="minorEastAsia"/>
          <w:b/>
          <w:sz w:val="21"/>
          <w:szCs w:val="21"/>
        </w:rPr>
      </w:pPr>
      <w:bookmarkStart w:id="11" w:name="_Toc11946"/>
    </w:p>
    <w:p>
      <w:pPr>
        <w:spacing w:line="400" w:lineRule="exact"/>
        <w:ind w:firstLine="3795" w:firstLineChars="1800"/>
        <w:jc w:val="both"/>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267301281"/>
      <w:bookmarkStart w:id="13" w:name="_Toc349637919"/>
      <w:bookmarkStart w:id="14" w:name="_Toc298240404"/>
      <w:bookmarkStart w:id="15" w:name="_Toc349573120"/>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2022年国土变更调查存储等设备采购项目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联系人：茹皮亚</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联系方式：17799910552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951300元；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Style w:val="33"/>
              <w:spacing w:before="0" w:beforeAutospacing="0" w:after="0" w:afterAutospacing="0" w:line="400" w:lineRule="exac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签订合同1个月内；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按照合同约定付款。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b w:val="0"/>
                <w:bCs/>
                <w:color w:val="auto"/>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2022年6月2日 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ageBreakBefore w:val="0"/>
              <w:kinsoku/>
              <w:topLinePunct w:val="0"/>
              <w:bidi w:val="0"/>
              <w:spacing w:line="400" w:lineRule="exact"/>
              <w:ind w:left="0" w:leftChars="0" w:firstLine="0" w:firstLineChars="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default"/>
                <w:lang w:val="en-US" w:eastAsia="zh-CN"/>
              </w:rPr>
            </w:pPr>
            <w:r>
              <w:rPr>
                <w:rFonts w:hint="eastAsia"/>
                <w:lang w:val="en-US" w:eastAsia="zh-CN"/>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本壹份，副本贰份（共叁份），开标一览表壹份，电子版：U盘壹份，光盘贰份（内容为加盖公章的响应文件扫描件）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19000.00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val="en-US" w:eastAsia="zh-CN"/>
              </w:rPr>
              <w:t>壹万玖仟元整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349573121"/>
      <w:bookmarkStart w:id="18" w:name="_Toc349637920"/>
      <w:bookmarkStart w:id="19" w:name="_Toc462223632"/>
      <w:bookmarkStart w:id="20" w:name="_Toc267301282"/>
      <w:bookmarkStart w:id="21" w:name="_Toc298240405"/>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267301283"/>
      <w:bookmarkStart w:id="23" w:name="_Toc298240406"/>
      <w:bookmarkStart w:id="24" w:name="_Toc349573122"/>
      <w:bookmarkStart w:id="25" w:name="_Toc349637921"/>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349573123"/>
      <w:bookmarkStart w:id="28" w:name="_Toc298240407"/>
      <w:bookmarkStart w:id="29" w:name="_Toc349637922"/>
      <w:bookmarkStart w:id="30" w:name="_Toc267301284"/>
      <w:bookmarkStart w:id="31" w:name="_Toc462223634"/>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 商 响 应 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267301285"/>
      <w:bookmarkStart w:id="33" w:name="_Toc462223635"/>
      <w:bookmarkStart w:id="34" w:name="_Toc349573124"/>
      <w:bookmarkStart w:id="35" w:name="_Toc349637923"/>
      <w:bookmarkStart w:id="36" w:name="_Toc298240408"/>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注明“开标时才能启封”</w:t>
      </w:r>
    </w:p>
    <w:p>
      <w:pPr>
        <w:spacing w:line="400" w:lineRule="exact"/>
        <w:ind w:left="361" w:hanging="316"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298240409"/>
      <w:bookmarkStart w:id="38" w:name="_Toc349573125"/>
      <w:bookmarkStart w:id="39" w:name="_Toc349637924"/>
      <w:bookmarkStart w:id="40" w:name="_Toc267301286"/>
      <w:bookmarkStart w:id="41" w:name="_Toc462223636"/>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p>
      <w:pPr>
        <w:pStyle w:val="2"/>
        <w:rPr>
          <w:rFonts w:hint="eastAsia"/>
        </w:rPr>
      </w:pP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90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98"/>
        <w:gridCol w:w="632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评审项目</w:t>
            </w:r>
          </w:p>
        </w:tc>
        <w:tc>
          <w:tcPr>
            <w:tcW w:w="4005" w:type="pct"/>
            <w:gridSpan w:val="2"/>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18"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A:投标价格评分</w:t>
            </w:r>
            <w:r>
              <w:rPr>
                <w:rFonts w:ascii="仿宋_GB2312" w:hAnsi="仿宋" w:eastAsia="仿宋_GB2312" w:cs="仿宋"/>
                <w:bCs/>
                <w:sz w:val="24"/>
              </w:rPr>
              <w:t>30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4005" w:type="pct"/>
            <w:gridSpan w:val="2"/>
            <w:shd w:val="clear" w:color="auto" w:fill="auto"/>
          </w:tcPr>
          <w:p>
            <w:pPr>
              <w:rPr>
                <w:rFonts w:ascii="仿宋_GB2312" w:hAnsi="仿宋" w:eastAsia="仿宋_GB2312" w:cs="仿宋"/>
                <w:sz w:val="24"/>
              </w:rPr>
            </w:pPr>
            <w:r>
              <w:rPr>
                <w:rFonts w:hint="eastAsia" w:ascii="仿宋_GB2312" w:hAnsi="仿宋" w:eastAsia="仿宋_GB2312" w:cs="仿宋"/>
                <w:sz w:val="24"/>
              </w:rPr>
              <w:t>价格得分的评分方法：基本分</w:t>
            </w:r>
            <w:r>
              <w:rPr>
                <w:rFonts w:ascii="仿宋_GB2312" w:hAnsi="仿宋" w:eastAsia="仿宋_GB2312" w:cs="仿宋"/>
                <w:sz w:val="24"/>
              </w:rPr>
              <w:t>30</w:t>
            </w:r>
            <w:r>
              <w:rPr>
                <w:rFonts w:hint="eastAsia" w:ascii="仿宋_GB2312" w:hAnsi="仿宋" w:eastAsia="仿宋_GB2312" w:cs="仿宋"/>
                <w:sz w:val="24"/>
              </w:rPr>
              <w:t>分。</w:t>
            </w:r>
          </w:p>
          <w:p>
            <w:pPr>
              <w:rPr>
                <w:rFonts w:ascii="仿宋_GB2312" w:hAnsi="仿宋" w:eastAsia="仿宋_GB2312" w:cs="仿宋"/>
                <w:sz w:val="24"/>
              </w:rPr>
            </w:pPr>
            <w:r>
              <w:rPr>
                <w:rFonts w:hint="eastAsia" w:ascii="仿宋_GB2312" w:hAnsi="仿宋" w:eastAsia="仿宋_GB2312" w:cs="仿宋"/>
                <w:sz w:val="24"/>
              </w:rPr>
              <w:t>经评审委员会评审的最低有效投标报价作为评标基准价；</w:t>
            </w:r>
          </w:p>
          <w:p>
            <w:pPr>
              <w:rPr>
                <w:rFonts w:hint="default" w:ascii="仿宋_GB2312" w:hAnsi="仿宋" w:eastAsia="仿宋_GB2312" w:cs="仿宋"/>
                <w:sz w:val="24"/>
                <w:lang w:val="en-US" w:eastAsia="zh-CN"/>
              </w:rPr>
            </w:pPr>
            <w:r>
              <w:rPr>
                <w:rFonts w:hint="eastAsia" w:ascii="仿宋_GB2312" w:hAnsi="仿宋" w:eastAsia="仿宋_GB2312" w:cs="仿宋"/>
                <w:sz w:val="24"/>
              </w:rPr>
              <w:t>投标报价得分=(评标基准价／投标报价)×</w:t>
            </w:r>
            <w:r>
              <w:rPr>
                <w:rFonts w:hint="eastAsia" w:ascii="仿宋_GB2312" w:hAnsi="仿宋" w:eastAsia="仿宋_GB2312" w:cs="仿宋"/>
                <w:sz w:val="24"/>
                <w:lang w:val="en-US" w:eastAsia="zh-CN"/>
              </w:rPr>
              <w:t>30</w:t>
            </w:r>
          </w:p>
          <w:p>
            <w:pPr>
              <w:rPr>
                <w:rFonts w:ascii="仿宋_GB2312" w:hAnsi="仿宋" w:eastAsia="仿宋_GB2312" w:cs="仿宋"/>
                <w:sz w:val="24"/>
              </w:rPr>
            </w:pPr>
            <w:r>
              <w:rPr>
                <w:rFonts w:hint="eastAsia" w:ascii="仿宋_GB2312" w:hAnsi="仿宋" w:eastAsia="仿宋_GB2312" w:cs="仿宋"/>
                <w:sz w:val="24"/>
              </w:rPr>
              <w:t>非有效报价不参与评标基准价的计算，但不以此否决其报价。如此类推，算出所有投标供应商的价格得分。</w:t>
            </w:r>
          </w:p>
          <w:p>
            <w:pPr>
              <w:tabs>
                <w:tab w:val="left" w:pos="900"/>
              </w:tabs>
              <w:rPr>
                <w:rFonts w:ascii="仿宋_GB2312" w:hAnsi="仿宋" w:eastAsia="仿宋_GB2312" w:cs="仿宋"/>
                <w:bCs/>
                <w:sz w:val="24"/>
              </w:rPr>
            </w:pPr>
            <w:r>
              <w:rPr>
                <w:rFonts w:hint="eastAsia" w:ascii="仿宋_GB2312" w:hAnsi="仿宋" w:eastAsia="仿宋_GB2312" w:cs="仿宋"/>
                <w:sz w:val="24"/>
              </w:rPr>
              <w:t xml:space="preserve">注：（1）如供应商为小微企业，需提供《小微企业声明函》及相关证明文件，对小型和微型企业产品的价格给予6%的扣除，用扣除后的价格参与评审。            </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ascii="仿宋_GB2312" w:hAnsi="仿宋" w:eastAsia="仿宋_GB2312" w:cs="仿宋"/>
                <w:bCs/>
                <w:sz w:val="24"/>
              </w:rPr>
              <w:t>30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B：技术部分评分5</w:t>
            </w:r>
            <w:r>
              <w:rPr>
                <w:rFonts w:ascii="仿宋_GB2312" w:hAnsi="仿宋" w:eastAsia="仿宋_GB2312" w:cs="仿宋"/>
                <w:bCs/>
                <w:sz w:val="24"/>
              </w:rPr>
              <w:t>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序号</w:t>
            </w:r>
          </w:p>
        </w:tc>
        <w:tc>
          <w:tcPr>
            <w:tcW w:w="682"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3322"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682" w:type="pc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 xml:space="preserve">产品质量 </w:t>
            </w:r>
          </w:p>
        </w:tc>
        <w:tc>
          <w:tcPr>
            <w:tcW w:w="3322" w:type="pct"/>
            <w:shd w:val="clear" w:color="auto" w:fill="auto"/>
            <w:vAlign w:val="bottom"/>
          </w:tcPr>
          <w:p>
            <w:pPr>
              <w:widowControl/>
              <w:jc w:val="left"/>
              <w:rPr>
                <w:rFonts w:ascii="仿宋_GB2312" w:hAnsi="仿宋" w:eastAsia="仿宋_GB2312" w:cs="仿宋"/>
                <w:bCs/>
                <w:sz w:val="24"/>
              </w:rPr>
            </w:pPr>
            <w:r>
              <w:rPr>
                <w:rFonts w:hint="eastAsia" w:ascii="仿宋_GB2312" w:hAnsi="仿宋" w:eastAsia="仿宋_GB2312" w:cs="仿宋"/>
                <w:b/>
                <w:sz w:val="24"/>
              </w:rPr>
              <w:t>产品质量评分内容不含技术参数第</w:t>
            </w:r>
            <w:r>
              <w:rPr>
                <w:rFonts w:ascii="仿宋_GB2312" w:hAnsi="仿宋" w:eastAsia="仿宋_GB2312" w:cs="仿宋"/>
                <w:b/>
                <w:sz w:val="24"/>
              </w:rPr>
              <w:t>7</w:t>
            </w:r>
            <w:r>
              <w:rPr>
                <w:rFonts w:hint="eastAsia" w:ascii="仿宋_GB2312" w:hAnsi="仿宋" w:eastAsia="仿宋_GB2312" w:cs="仿宋"/>
                <w:b/>
                <w:sz w:val="24"/>
              </w:rPr>
              <w:t>个运维服务内容</w:t>
            </w:r>
          </w:p>
          <w:p>
            <w:pPr>
              <w:widowControl/>
              <w:jc w:val="left"/>
              <w:rPr>
                <w:rFonts w:ascii="仿宋_GB2312" w:hAnsi="仿宋" w:eastAsia="仿宋_GB2312" w:cs="仿宋"/>
                <w:bCs/>
                <w:sz w:val="24"/>
              </w:rPr>
            </w:pPr>
            <w:r>
              <w:rPr>
                <w:rFonts w:hint="eastAsia" w:ascii="仿宋_GB2312" w:hAnsi="仿宋" w:eastAsia="仿宋_GB2312" w:cs="仿宋"/>
                <w:bCs/>
                <w:sz w:val="24"/>
              </w:rPr>
              <w:t>1.所投产品技术参数无负偏离并完整提供技术规格需求中各设备要求的证明材料：本项得分22分;</w:t>
            </w:r>
          </w:p>
          <w:p>
            <w:pPr>
              <w:widowControl/>
              <w:jc w:val="left"/>
              <w:rPr>
                <w:rFonts w:ascii="仿宋_GB2312" w:hAnsi="仿宋" w:eastAsia="仿宋_GB2312" w:cs="仿宋"/>
                <w:bCs/>
                <w:sz w:val="24"/>
              </w:rPr>
            </w:pPr>
            <w:r>
              <w:rPr>
                <w:rFonts w:hint="eastAsia" w:ascii="仿宋_GB2312" w:hAnsi="仿宋" w:eastAsia="仿宋_GB2312" w:cs="仿宋"/>
                <w:bCs/>
                <w:sz w:val="24"/>
              </w:rPr>
              <w:t>2.所投产品技术参数及各设备所需证明材料不符合招标文件要求的；每负偏离一处减2 分；本项分值减完为止。</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0-2</w:t>
            </w:r>
            <w:r>
              <w:rPr>
                <w:rFonts w:ascii="仿宋_GB2312" w:hAnsi="仿宋" w:eastAsia="仿宋_GB2312" w:cs="仿宋"/>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二</w:t>
            </w:r>
          </w:p>
        </w:tc>
        <w:tc>
          <w:tcPr>
            <w:tcW w:w="682" w:type="pct"/>
            <w:shd w:val="clear" w:color="auto" w:fill="auto"/>
            <w:vAlign w:val="center"/>
          </w:tcPr>
          <w:p>
            <w:pPr>
              <w:jc w:val="center"/>
              <w:rPr>
                <w:rFonts w:ascii="仿宋_GB2312" w:hAnsi="仿宋" w:eastAsia="仿宋_GB2312" w:cs="仿宋"/>
                <w:sz w:val="24"/>
              </w:rPr>
            </w:pPr>
            <w:r>
              <w:rPr>
                <w:rFonts w:hint="eastAsia" w:ascii="仿宋_GB2312" w:hAnsi="仿宋" w:eastAsia="仿宋_GB2312" w:cs="仿宋"/>
                <w:color w:val="000000"/>
                <w:sz w:val="24"/>
              </w:rPr>
              <w:t>项目及售后团队人员要求</w:t>
            </w:r>
          </w:p>
        </w:tc>
        <w:tc>
          <w:tcPr>
            <w:tcW w:w="3322" w:type="pct"/>
            <w:shd w:val="clear" w:color="auto" w:fill="auto"/>
            <w:vAlign w:val="center"/>
          </w:tcPr>
          <w:p>
            <w:pPr>
              <w:pStyle w:val="112"/>
              <w:adjustRightInd w:val="0"/>
              <w:snapToGrid w:val="0"/>
              <w:ind w:firstLine="0" w:firstLineChars="0"/>
              <w:rPr>
                <w:rFonts w:ascii="仿宋_GB2312" w:hAnsi="仿宋" w:eastAsia="仿宋_GB2312" w:cs="仿宋"/>
                <w:sz w:val="24"/>
              </w:rPr>
            </w:pPr>
            <w:r>
              <w:rPr>
                <w:rFonts w:hint="eastAsia" w:ascii="仿宋_GB2312" w:hAnsi="仿宋" w:eastAsia="仿宋_GB2312" w:cs="仿宋"/>
                <w:sz w:val="24"/>
              </w:rPr>
              <w:t>为了确保本项目建设保质保量完成要求：</w:t>
            </w:r>
          </w:p>
          <w:p>
            <w:pPr>
              <w:pStyle w:val="112"/>
              <w:adjustRightInd w:val="0"/>
              <w:snapToGrid w:val="0"/>
              <w:ind w:firstLine="0" w:firstLineChars="0"/>
              <w:rPr>
                <w:rFonts w:ascii="仿宋_GB2312" w:hAnsi="仿宋" w:eastAsia="仿宋_GB2312" w:cs="仿宋"/>
                <w:b/>
                <w:bCs/>
                <w:sz w:val="24"/>
              </w:rPr>
            </w:pPr>
            <w:r>
              <w:rPr>
                <w:rFonts w:hint="eastAsia" w:ascii="仿宋_GB2312" w:hAnsi="仿宋" w:eastAsia="仿宋_GB2312" w:cs="仿宋"/>
                <w:b/>
                <w:bCs/>
                <w:sz w:val="24"/>
              </w:rPr>
              <w:t>项目经理（</w:t>
            </w:r>
            <w:r>
              <w:rPr>
                <w:rFonts w:ascii="仿宋_GB2312" w:hAnsi="仿宋" w:eastAsia="仿宋_GB2312" w:cs="仿宋"/>
                <w:b/>
                <w:bCs/>
                <w:sz w:val="24"/>
              </w:rPr>
              <w:t>4</w:t>
            </w:r>
            <w:r>
              <w:rPr>
                <w:rFonts w:hint="eastAsia" w:ascii="仿宋_GB2312" w:hAnsi="仿宋" w:eastAsia="仿宋_GB2312" w:cs="仿宋"/>
                <w:b/>
                <w:bCs/>
                <w:sz w:val="24"/>
              </w:rPr>
              <w:t>分）</w:t>
            </w:r>
          </w:p>
          <w:p>
            <w:pPr>
              <w:pStyle w:val="112"/>
              <w:adjustRightInd w:val="0"/>
              <w:snapToGrid w:val="0"/>
              <w:ind w:firstLine="0" w:firstLineChars="0"/>
              <w:rPr>
                <w:rFonts w:ascii="仿宋_GB2312" w:hAnsi="仿宋" w:eastAsia="仿宋_GB2312" w:cs="仿宋"/>
                <w:sz w:val="24"/>
              </w:rPr>
            </w:pPr>
            <w:r>
              <w:rPr>
                <w:rFonts w:hint="eastAsia" w:ascii="仿宋_GB2312" w:hAnsi="仿宋" w:eastAsia="仿宋_GB2312" w:cs="仿宋"/>
                <w:sz w:val="24"/>
              </w:rPr>
              <w:t>1.具备PMP或者高级项目经理证书，得2分</w:t>
            </w:r>
          </w:p>
          <w:p>
            <w:pPr>
              <w:pStyle w:val="112"/>
              <w:adjustRightInd w:val="0"/>
              <w:snapToGrid w:val="0"/>
              <w:ind w:firstLine="0" w:firstLineChars="0"/>
              <w:rPr>
                <w:rFonts w:ascii="仿宋_GB2312" w:hAnsi="仿宋" w:eastAsia="仿宋_GB2312" w:cs="仿宋"/>
                <w:sz w:val="24"/>
              </w:rPr>
            </w:pPr>
            <w:r>
              <w:rPr>
                <w:rFonts w:hint="eastAsia" w:ascii="仿宋_GB2312" w:hAnsi="仿宋" w:eastAsia="仿宋_GB2312" w:cs="仿宋"/>
                <w:sz w:val="24"/>
              </w:rPr>
              <w:t>2.HCIE-Storage专家级或其他同级别证书，得2分</w:t>
            </w:r>
          </w:p>
          <w:p>
            <w:pPr>
              <w:pStyle w:val="112"/>
              <w:adjustRightInd w:val="0"/>
              <w:snapToGrid w:val="0"/>
              <w:ind w:firstLine="0" w:firstLineChars="0"/>
              <w:rPr>
                <w:rFonts w:ascii="仿宋_GB2312" w:hAnsi="仿宋" w:eastAsia="仿宋_GB2312" w:cs="仿宋"/>
                <w:sz w:val="24"/>
              </w:rPr>
            </w:pPr>
            <w:r>
              <w:rPr>
                <w:rFonts w:hint="eastAsia" w:ascii="仿宋_GB2312" w:hAnsi="仿宋" w:eastAsia="仿宋_GB2312" w:cs="仿宋"/>
                <w:sz w:val="24"/>
              </w:rPr>
              <w:t>（以上人员要求在投标人单位服务6个月以上，并且缴纳社保单位必须和投标单位名字一致，提供证书复印件和最近6个月社保缴纳证明并加盖公章否则不得分）</w:t>
            </w:r>
          </w:p>
          <w:p>
            <w:pPr>
              <w:pStyle w:val="112"/>
              <w:adjustRightInd w:val="0"/>
              <w:snapToGrid w:val="0"/>
              <w:ind w:firstLine="0" w:firstLineChars="0"/>
              <w:rPr>
                <w:rFonts w:ascii="仿宋_GB2312" w:hAnsi="仿宋" w:eastAsia="仿宋_GB2312" w:cs="仿宋"/>
                <w:b/>
                <w:bCs/>
                <w:sz w:val="24"/>
              </w:rPr>
            </w:pPr>
            <w:r>
              <w:rPr>
                <w:rFonts w:hint="eastAsia" w:ascii="仿宋_GB2312" w:hAnsi="仿宋" w:eastAsia="仿宋_GB2312" w:cs="仿宋"/>
                <w:b/>
                <w:bCs/>
                <w:sz w:val="24"/>
              </w:rPr>
              <w:t>项目技术负责人（2分）</w:t>
            </w:r>
          </w:p>
          <w:p>
            <w:pPr>
              <w:pStyle w:val="112"/>
              <w:adjustRightInd w:val="0"/>
              <w:snapToGrid w:val="0"/>
              <w:ind w:firstLine="0" w:firstLineChars="0"/>
              <w:rPr>
                <w:rFonts w:ascii="仿宋_GB2312" w:hAnsi="仿宋" w:eastAsia="仿宋_GB2312" w:cs="仿宋"/>
                <w:sz w:val="24"/>
              </w:rPr>
            </w:pPr>
            <w:r>
              <w:rPr>
                <w:rFonts w:hint="eastAsia" w:ascii="仿宋_GB2312" w:hAnsi="仿宋" w:eastAsia="仿宋_GB2312" w:cs="仿宋"/>
                <w:sz w:val="24"/>
              </w:rPr>
              <w:t>1.成员中具有国家二级建造师（机电方向）或以上证书的，得2分，否则不得分。</w:t>
            </w:r>
          </w:p>
          <w:p>
            <w:pPr>
              <w:pStyle w:val="112"/>
              <w:adjustRightInd w:val="0"/>
              <w:snapToGrid w:val="0"/>
              <w:ind w:firstLine="0" w:firstLineChars="0"/>
              <w:rPr>
                <w:rFonts w:ascii="仿宋_GB2312" w:hAnsi="仿宋" w:eastAsia="仿宋_GB2312" w:cs="仿宋"/>
                <w:b/>
                <w:bCs/>
                <w:sz w:val="24"/>
              </w:rPr>
            </w:pPr>
            <w:r>
              <w:rPr>
                <w:rFonts w:hint="eastAsia" w:ascii="仿宋_GB2312" w:hAnsi="仿宋" w:eastAsia="仿宋_GB2312" w:cs="仿宋"/>
                <w:b/>
                <w:bCs/>
                <w:sz w:val="24"/>
              </w:rPr>
              <w:t>项目团队人员（</w:t>
            </w:r>
            <w:r>
              <w:rPr>
                <w:rFonts w:ascii="仿宋_GB2312" w:hAnsi="仿宋" w:eastAsia="仿宋_GB2312" w:cs="仿宋"/>
                <w:b/>
                <w:bCs/>
                <w:sz w:val="24"/>
              </w:rPr>
              <w:t>4</w:t>
            </w:r>
            <w:r>
              <w:rPr>
                <w:rFonts w:hint="eastAsia" w:ascii="仿宋_GB2312" w:hAnsi="仿宋" w:eastAsia="仿宋_GB2312" w:cs="仿宋"/>
                <w:b/>
                <w:bCs/>
                <w:sz w:val="24"/>
              </w:rPr>
              <w:t>分）</w:t>
            </w:r>
          </w:p>
          <w:p>
            <w:pPr>
              <w:pStyle w:val="13"/>
              <w:ind w:left="0" w:leftChars="0"/>
              <w:rPr>
                <w:rFonts w:ascii="仿宋_GB2312" w:hAnsi="仿宋" w:eastAsia="仿宋_GB2312" w:cs="仿宋"/>
                <w:sz w:val="24"/>
              </w:rPr>
            </w:pPr>
            <w:r>
              <w:rPr>
                <w:rFonts w:hint="eastAsia" w:ascii="仿宋_GB2312" w:hAnsi="仿宋" w:eastAsia="仿宋_GB2312" w:cs="仿宋"/>
                <w:sz w:val="24"/>
              </w:rPr>
              <w:t>1.成员中具有国家注册信息安全工程师（CISP）的，每个得1分，最多2分；</w:t>
            </w:r>
          </w:p>
          <w:p>
            <w:pPr>
              <w:rPr>
                <w:rFonts w:ascii="仿宋_GB2312" w:hAnsi="仿宋" w:eastAsia="仿宋_GB2312" w:cs="仿宋"/>
                <w:sz w:val="24"/>
              </w:rPr>
            </w:pPr>
            <w:r>
              <w:rPr>
                <w:rFonts w:hint="eastAsia" w:ascii="仿宋_GB2312" w:hAnsi="仿宋" w:eastAsia="仿宋_GB2312" w:cs="仿宋"/>
                <w:sz w:val="24"/>
              </w:rPr>
              <w:t>2.成员中具有HCIE-R&amp;S专家级别或同等级别认证工程师的，每个得1分，最多2分；</w:t>
            </w:r>
          </w:p>
          <w:p>
            <w:pPr>
              <w:pStyle w:val="13"/>
              <w:ind w:left="0" w:leftChars="0"/>
              <w:rPr>
                <w:rFonts w:ascii="仿宋_GB2312" w:eastAsia="仿宋_GB2312"/>
              </w:rPr>
            </w:pPr>
            <w:r>
              <w:rPr>
                <w:rFonts w:hint="eastAsia" w:ascii="仿宋_GB2312" w:hAnsi="仿宋" w:eastAsia="仿宋_GB2312" w:cs="仿宋"/>
                <w:b/>
                <w:sz w:val="24"/>
              </w:rPr>
              <w:t>（以上人员要求在投标人单位服务6个月以上，并且缴纳社保单位必须和投标单位名字一致，提供证书复印件和最近6个月社保缴纳证明并加盖公章否则不得分）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w:t>
            </w:r>
            <w:r>
              <w:rPr>
                <w:rFonts w:ascii="仿宋_GB2312" w:hAnsi="仿宋" w:eastAsia="仿宋_GB2312" w:cs="仿宋"/>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7"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三</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需求分析及实施方案</w:t>
            </w:r>
          </w:p>
        </w:tc>
        <w:tc>
          <w:tcPr>
            <w:tcW w:w="3322" w:type="pct"/>
            <w:shd w:val="clear" w:color="auto" w:fill="auto"/>
            <w:vAlign w:val="center"/>
          </w:tcPr>
          <w:p>
            <w:pPr>
              <w:rPr>
                <w:rFonts w:ascii="仿宋_GB2312" w:hAnsi="仿宋" w:eastAsia="仿宋_GB2312" w:cs="仿宋"/>
                <w:sz w:val="24"/>
              </w:rPr>
            </w:pPr>
            <w:r>
              <w:rPr>
                <w:rFonts w:hint="eastAsia" w:ascii="仿宋_GB2312" w:hAnsi="仿宋" w:eastAsia="仿宋_GB2312" w:cs="仿宋"/>
                <w:sz w:val="24"/>
              </w:rPr>
              <w:t>根据采购需求对项目现状的描述、要实现的目标、需提供的服务及提供的其他相关进行</w:t>
            </w:r>
            <w:r>
              <w:rPr>
                <w:rFonts w:hint="eastAsia" w:ascii="仿宋_GB2312" w:hAnsi="仿宋" w:eastAsia="仿宋_GB2312" w:cs="仿宋"/>
                <w:b/>
                <w:bCs/>
                <w:sz w:val="24"/>
              </w:rPr>
              <w:t>需求分析</w:t>
            </w:r>
            <w:r>
              <w:rPr>
                <w:rFonts w:hint="eastAsia" w:ascii="仿宋_GB2312" w:hAnsi="仿宋" w:eastAsia="仿宋_GB2312" w:cs="仿宋"/>
                <w:sz w:val="24"/>
              </w:rPr>
              <w:t>：</w:t>
            </w:r>
          </w:p>
          <w:p>
            <w:pPr>
              <w:pStyle w:val="13"/>
              <w:ind w:left="0" w:leftChars="0"/>
              <w:rPr>
                <w:rFonts w:ascii="仿宋_GB2312" w:hAnsi="仿宋" w:eastAsia="仿宋_GB2312" w:cs="仿宋"/>
                <w:sz w:val="24"/>
              </w:rPr>
            </w:pPr>
            <w:r>
              <w:rPr>
                <w:rFonts w:hint="eastAsia" w:ascii="仿宋_GB2312" w:hAnsi="仿宋" w:eastAsia="仿宋_GB2312" w:cs="仿宋"/>
                <w:sz w:val="24"/>
              </w:rPr>
              <w:t>1.对本项目现状和需求理解深刻，对需求分析全面具体，对服务要求分析准确，对项目建设重难点理解较为到位，得</w:t>
            </w:r>
            <w:r>
              <w:rPr>
                <w:rFonts w:ascii="仿宋_GB2312" w:hAnsi="仿宋" w:eastAsia="仿宋_GB2312" w:cs="仿宋"/>
                <w:sz w:val="24"/>
              </w:rPr>
              <w:t>4</w:t>
            </w:r>
            <w:r>
              <w:rPr>
                <w:rFonts w:hint="eastAsia" w:ascii="仿宋_GB2312" w:hAnsi="仿宋" w:eastAsia="仿宋_GB2312" w:cs="仿宋"/>
                <w:sz w:val="24"/>
              </w:rPr>
              <w:t>分；</w:t>
            </w:r>
          </w:p>
          <w:p>
            <w:pPr>
              <w:rPr>
                <w:rFonts w:ascii="仿宋_GB2312" w:hAnsi="仿宋" w:eastAsia="仿宋_GB2312" w:cs="仿宋"/>
                <w:sz w:val="24"/>
              </w:rPr>
            </w:pPr>
            <w:r>
              <w:rPr>
                <w:rFonts w:hint="eastAsia" w:ascii="仿宋_GB2312" w:hAnsi="仿宋" w:eastAsia="仿宋_GB2312" w:cs="仿宋"/>
                <w:sz w:val="24"/>
              </w:rPr>
              <w:t>2.对项目现状和需求理解不透彻，对现状有所了解但不全面、不深入，对项目重难点分析缺乏科学合理性的，得</w:t>
            </w:r>
            <w:r>
              <w:rPr>
                <w:rFonts w:ascii="仿宋_GB2312" w:hAnsi="仿宋" w:eastAsia="仿宋_GB2312" w:cs="仿宋"/>
                <w:sz w:val="24"/>
              </w:rPr>
              <w:t>2</w:t>
            </w:r>
            <w:r>
              <w:rPr>
                <w:rFonts w:hint="eastAsia" w:ascii="仿宋_GB2312" w:hAnsi="仿宋" w:eastAsia="仿宋_GB2312" w:cs="仿宋"/>
                <w:sz w:val="24"/>
              </w:rPr>
              <w:t>分；</w:t>
            </w:r>
          </w:p>
          <w:p>
            <w:pPr>
              <w:pStyle w:val="13"/>
              <w:ind w:left="0" w:leftChars="0"/>
              <w:rPr>
                <w:rFonts w:ascii="仿宋_GB2312" w:hAnsi="仿宋" w:eastAsia="仿宋_GB2312" w:cs="仿宋"/>
                <w:sz w:val="24"/>
              </w:rPr>
            </w:pPr>
            <w:r>
              <w:rPr>
                <w:rFonts w:hint="eastAsia" w:ascii="仿宋_GB2312" w:hAnsi="仿宋" w:eastAsia="仿宋_GB2312" w:cs="仿宋"/>
                <w:sz w:val="24"/>
              </w:rPr>
              <w:t>3.对项目现状和需求不理解，对需求分析不具体，对现状分析不准确，重难点把握不准确的，得</w:t>
            </w:r>
            <w:r>
              <w:rPr>
                <w:rFonts w:ascii="仿宋_GB2312" w:hAnsi="仿宋" w:eastAsia="仿宋_GB2312" w:cs="仿宋"/>
                <w:sz w:val="24"/>
              </w:rPr>
              <w:t>1</w:t>
            </w:r>
            <w:r>
              <w:rPr>
                <w:rFonts w:hint="eastAsia" w:ascii="仿宋_GB2312" w:hAnsi="仿宋" w:eastAsia="仿宋_GB2312" w:cs="仿宋"/>
                <w:sz w:val="24"/>
              </w:rPr>
              <w:t>分；</w:t>
            </w:r>
          </w:p>
          <w:p>
            <w:pPr>
              <w:rPr>
                <w:rFonts w:ascii="仿宋_GB2312" w:eastAsia="仿宋_GB2312"/>
              </w:rPr>
            </w:pPr>
            <w:r>
              <w:rPr>
                <w:rFonts w:hint="eastAsia" w:ascii="仿宋_GB2312" w:hAnsi="仿宋" w:eastAsia="仿宋_GB2312" w:cs="仿宋"/>
                <w:sz w:val="24"/>
              </w:rPr>
              <w:t>4.没有需求分析内容，不得分。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w:t>
            </w:r>
            <w:r>
              <w:rPr>
                <w:rFonts w:ascii="仿宋_GB2312" w:hAnsi="仿宋" w:eastAsia="仿宋_GB2312" w:cs="仿宋"/>
                <w:bCs/>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77"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2" w:type="pct"/>
            <w:shd w:val="clear" w:color="auto" w:fill="auto"/>
            <w:vAlign w:val="center"/>
          </w:tcPr>
          <w:p>
            <w:pPr>
              <w:pStyle w:val="13"/>
              <w:ind w:left="0" w:leftChars="0"/>
              <w:rPr>
                <w:rFonts w:ascii="仿宋_GB2312" w:hAnsi="仿宋" w:eastAsia="仿宋_GB2312" w:cs="仿宋"/>
                <w:sz w:val="24"/>
              </w:rPr>
            </w:pPr>
            <w:r>
              <w:rPr>
                <w:rFonts w:hint="eastAsia" w:ascii="仿宋_GB2312" w:hAnsi="仿宋" w:eastAsia="仿宋_GB2312" w:cs="仿宋"/>
                <w:sz w:val="24"/>
              </w:rPr>
              <w:t>结合需求分析，提供</w:t>
            </w:r>
            <w:r>
              <w:rPr>
                <w:rFonts w:hint="eastAsia" w:ascii="仿宋_GB2312" w:hAnsi="仿宋" w:eastAsia="仿宋_GB2312" w:cs="仿宋"/>
                <w:b/>
                <w:bCs/>
                <w:sz w:val="24"/>
              </w:rPr>
              <w:t>项目实施方案</w:t>
            </w:r>
            <w:r>
              <w:rPr>
                <w:rFonts w:hint="eastAsia" w:ascii="仿宋_GB2312" w:hAnsi="仿宋" w:eastAsia="仿宋_GB2312" w:cs="仿宋"/>
                <w:sz w:val="24"/>
              </w:rPr>
              <w:t>，包括硬软件安装调试、配置管理、进度计划、培训计划等方面：</w:t>
            </w:r>
          </w:p>
          <w:p>
            <w:pPr>
              <w:pStyle w:val="13"/>
              <w:ind w:left="0" w:leftChars="0"/>
              <w:rPr>
                <w:rFonts w:ascii="仿宋_GB2312" w:hAnsi="仿宋" w:eastAsia="仿宋_GB2312" w:cs="仿宋"/>
                <w:sz w:val="24"/>
              </w:rPr>
            </w:pPr>
            <w:r>
              <w:rPr>
                <w:rFonts w:hint="eastAsia" w:ascii="仿宋_GB2312" w:hAnsi="仿宋" w:eastAsia="仿宋_GB2312" w:cs="仿宋"/>
                <w:sz w:val="24"/>
              </w:rPr>
              <w:t>1.方案完整合理，针对性强，可实施性强，进度安排合理，培训计划全面的，得</w:t>
            </w:r>
            <w:r>
              <w:rPr>
                <w:rFonts w:ascii="仿宋_GB2312" w:hAnsi="仿宋" w:eastAsia="仿宋_GB2312" w:cs="仿宋"/>
                <w:sz w:val="24"/>
              </w:rPr>
              <w:t>5</w:t>
            </w:r>
            <w:r>
              <w:rPr>
                <w:rFonts w:hint="eastAsia" w:ascii="仿宋_GB2312" w:hAnsi="仿宋" w:eastAsia="仿宋_GB2312" w:cs="仿宋"/>
                <w:sz w:val="24"/>
              </w:rPr>
              <w:t>分；</w:t>
            </w:r>
          </w:p>
          <w:p>
            <w:pPr>
              <w:pStyle w:val="13"/>
              <w:ind w:left="0" w:leftChars="0"/>
              <w:rPr>
                <w:rFonts w:ascii="仿宋_GB2312" w:hAnsi="仿宋" w:eastAsia="仿宋_GB2312" w:cs="仿宋"/>
                <w:sz w:val="24"/>
              </w:rPr>
            </w:pPr>
            <w:r>
              <w:rPr>
                <w:rFonts w:hint="eastAsia" w:ascii="仿宋_GB2312" w:hAnsi="仿宋" w:eastAsia="仿宋_GB2312" w:cs="仿宋"/>
                <w:sz w:val="24"/>
              </w:rPr>
              <w:t>2.方案基本完整合理，针对性一般，可实施性一般，进度安排基本合理，培训计划一般的，得</w:t>
            </w:r>
            <w:r>
              <w:rPr>
                <w:rFonts w:ascii="仿宋_GB2312" w:hAnsi="仿宋" w:eastAsia="仿宋_GB2312" w:cs="仿宋"/>
                <w:sz w:val="24"/>
              </w:rPr>
              <w:t>3</w:t>
            </w:r>
            <w:r>
              <w:rPr>
                <w:rFonts w:hint="eastAsia" w:ascii="仿宋_GB2312" w:hAnsi="仿宋" w:eastAsia="仿宋_GB2312" w:cs="仿宋"/>
                <w:sz w:val="24"/>
              </w:rPr>
              <w:t>分；</w:t>
            </w:r>
          </w:p>
          <w:p>
            <w:pPr>
              <w:pStyle w:val="13"/>
              <w:ind w:left="0" w:leftChars="0"/>
              <w:rPr>
                <w:rFonts w:ascii="仿宋_GB2312" w:hAnsi="仿宋" w:eastAsia="仿宋_GB2312" w:cs="仿宋"/>
                <w:sz w:val="24"/>
              </w:rPr>
            </w:pPr>
            <w:r>
              <w:rPr>
                <w:rFonts w:hint="eastAsia" w:ascii="仿宋_GB2312" w:hAnsi="仿宋" w:eastAsia="仿宋_GB2312" w:cs="仿宋"/>
                <w:sz w:val="24"/>
              </w:rPr>
              <w:t>3.对项目现状和需求不理解，对需求分析不具体，对现状分析不准确，重难点把握不准确的，得1分；</w:t>
            </w:r>
          </w:p>
          <w:p>
            <w:pPr>
              <w:pStyle w:val="13"/>
              <w:ind w:left="0" w:leftChars="0"/>
              <w:rPr>
                <w:rFonts w:ascii="仿宋_GB2312" w:eastAsia="仿宋_GB2312"/>
              </w:rPr>
            </w:pPr>
            <w:r>
              <w:rPr>
                <w:rFonts w:hint="eastAsia" w:ascii="仿宋_GB2312" w:hAnsi="仿宋" w:eastAsia="仿宋_GB2312" w:cs="仿宋"/>
                <w:sz w:val="24"/>
              </w:rPr>
              <w:t>4.没有需求分析内容，不得分。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w:t>
            </w:r>
            <w:r>
              <w:rPr>
                <w:rFonts w:ascii="仿宋_GB2312" w:hAnsi="仿宋" w:eastAsia="仿宋_GB2312" w:cs="仿宋"/>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77"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2" w:type="pct"/>
            <w:shd w:val="clear" w:color="auto" w:fill="auto"/>
            <w:vAlign w:val="center"/>
          </w:tcPr>
          <w:p>
            <w:pPr>
              <w:pStyle w:val="13"/>
              <w:ind w:left="0" w:leftChars="0"/>
              <w:rPr>
                <w:rFonts w:ascii="仿宋_GB2312" w:hAnsi="仿宋" w:eastAsia="仿宋_GB2312" w:cs="仿宋"/>
                <w:sz w:val="24"/>
              </w:rPr>
            </w:pPr>
            <w:r>
              <w:rPr>
                <w:rFonts w:hint="eastAsia" w:ascii="仿宋_GB2312" w:hAnsi="仿宋" w:eastAsia="仿宋_GB2312" w:cs="仿宋"/>
                <w:sz w:val="24"/>
              </w:rPr>
              <w:t>针对技术参数第</w:t>
            </w:r>
            <w:r>
              <w:rPr>
                <w:rFonts w:ascii="仿宋_GB2312" w:hAnsi="仿宋" w:eastAsia="仿宋_GB2312" w:cs="仿宋"/>
                <w:sz w:val="24"/>
              </w:rPr>
              <w:t>7</w:t>
            </w:r>
            <w:r>
              <w:rPr>
                <w:rFonts w:hint="eastAsia" w:ascii="仿宋_GB2312" w:hAnsi="仿宋" w:eastAsia="仿宋_GB2312" w:cs="仿宋"/>
                <w:sz w:val="24"/>
              </w:rPr>
              <w:t>个运维服务内容，提供合理的</w:t>
            </w:r>
            <w:r>
              <w:rPr>
                <w:rFonts w:hint="eastAsia" w:ascii="仿宋_GB2312" w:hAnsi="仿宋" w:eastAsia="仿宋_GB2312" w:cs="仿宋"/>
                <w:b/>
                <w:bCs/>
                <w:sz w:val="24"/>
              </w:rPr>
              <w:t>服务保证方案</w:t>
            </w:r>
            <w:r>
              <w:rPr>
                <w:rFonts w:hint="eastAsia" w:ascii="仿宋_GB2312" w:hAnsi="仿宋" w:eastAsia="仿宋_GB2312" w:cs="仿宋"/>
                <w:sz w:val="24"/>
              </w:rPr>
              <w:t>：</w:t>
            </w:r>
          </w:p>
          <w:p>
            <w:pPr>
              <w:pStyle w:val="13"/>
              <w:ind w:left="0" w:leftChars="0"/>
              <w:rPr>
                <w:rFonts w:ascii="仿宋_GB2312" w:hAnsi="仿宋" w:eastAsia="仿宋_GB2312" w:cs="仿宋"/>
                <w:sz w:val="24"/>
              </w:rPr>
            </w:pPr>
            <w:r>
              <w:rPr>
                <w:rFonts w:hint="eastAsia" w:ascii="仿宋_GB2312" w:hAnsi="仿宋" w:eastAsia="仿宋_GB2312" w:cs="仿宋"/>
                <w:sz w:val="24"/>
              </w:rPr>
              <w:t>1.方案完整，内容全面，得5分；</w:t>
            </w:r>
          </w:p>
          <w:p>
            <w:pPr>
              <w:pStyle w:val="13"/>
              <w:ind w:left="0" w:leftChars="0"/>
              <w:rPr>
                <w:rFonts w:ascii="仿宋_GB2312" w:hAnsi="仿宋" w:eastAsia="仿宋_GB2312" w:cs="仿宋"/>
                <w:sz w:val="24"/>
              </w:rPr>
            </w:pPr>
            <w:r>
              <w:rPr>
                <w:rFonts w:hint="eastAsia" w:ascii="仿宋_GB2312" w:hAnsi="仿宋" w:eastAsia="仿宋_GB2312" w:cs="仿宋"/>
                <w:sz w:val="24"/>
              </w:rPr>
              <w:t>2.方案一般，内容简单，得3分；</w:t>
            </w:r>
          </w:p>
          <w:p>
            <w:pPr>
              <w:pStyle w:val="13"/>
              <w:ind w:left="0" w:leftChars="0"/>
              <w:rPr>
                <w:rFonts w:ascii="仿宋_GB2312" w:hAnsi="仿宋" w:eastAsia="仿宋_GB2312" w:cs="仿宋"/>
                <w:sz w:val="24"/>
              </w:rPr>
            </w:pPr>
            <w:r>
              <w:rPr>
                <w:rFonts w:hint="eastAsia" w:ascii="仿宋_GB2312" w:hAnsi="仿宋" w:eastAsia="仿宋_GB2312" w:cs="仿宋"/>
                <w:sz w:val="24"/>
              </w:rPr>
              <w:t>3.方案较差，内容不全，得1分；</w:t>
            </w:r>
          </w:p>
          <w:p>
            <w:pPr>
              <w:pStyle w:val="13"/>
              <w:ind w:left="0" w:leftChars="0"/>
              <w:rPr>
                <w:rFonts w:ascii="仿宋_GB2312" w:hAnsi="仿宋" w:eastAsia="仿宋_GB2312" w:cs="仿宋"/>
                <w:sz w:val="24"/>
              </w:rPr>
            </w:pPr>
            <w:r>
              <w:rPr>
                <w:rFonts w:hint="eastAsia" w:ascii="仿宋_GB2312" w:hAnsi="仿宋" w:eastAsia="仿宋_GB2312" w:cs="仿宋"/>
                <w:sz w:val="24"/>
              </w:rPr>
              <w:t>4.没有相关方案，得0分；</w:t>
            </w:r>
          </w:p>
          <w:p>
            <w:pPr>
              <w:pStyle w:val="13"/>
              <w:ind w:left="0" w:leftChars="0"/>
              <w:rPr>
                <w:rFonts w:ascii="仿宋_GB2312" w:eastAsia="仿宋_GB2312"/>
              </w:rPr>
            </w:pPr>
            <w:r>
              <w:rPr>
                <w:rFonts w:hint="eastAsia" w:ascii="仿宋_GB2312" w:hAnsi="仿宋" w:eastAsia="仿宋_GB2312" w:cs="仿宋"/>
                <w:sz w:val="24"/>
              </w:rPr>
              <w:t>5.需提供驻场</w:t>
            </w:r>
            <w:r>
              <w:rPr>
                <w:rFonts w:hint="eastAsia" w:ascii="仿宋_GB2312" w:hAnsi="仿宋" w:eastAsia="仿宋_GB2312" w:cs="仿宋"/>
                <w:b/>
                <w:bCs/>
                <w:sz w:val="24"/>
              </w:rPr>
              <w:t>服务承诺</w:t>
            </w:r>
            <w:r>
              <w:rPr>
                <w:rFonts w:hint="eastAsia" w:ascii="仿宋_GB2312" w:hAnsi="仿宋" w:eastAsia="仿宋_GB2312" w:cs="仿宋"/>
                <w:sz w:val="24"/>
              </w:rPr>
              <w:t>：承诺内容包含但不限于运维服务内容、</w:t>
            </w:r>
            <w:r>
              <w:rPr>
                <w:rFonts w:ascii="仿宋_GB2312" w:hAnsi="仿宋" w:eastAsia="仿宋_GB2312" w:cs="仿宋"/>
                <w:sz w:val="24"/>
              </w:rPr>
              <w:t>供货期</w:t>
            </w:r>
            <w:r>
              <w:rPr>
                <w:rFonts w:hint="eastAsia" w:ascii="仿宋_GB2312" w:hAnsi="仿宋" w:eastAsia="仿宋_GB2312" w:cs="仿宋"/>
                <w:sz w:val="24"/>
              </w:rPr>
              <w:t>，有得2分，没有不得分。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四</w:t>
            </w:r>
          </w:p>
        </w:tc>
        <w:tc>
          <w:tcPr>
            <w:tcW w:w="682" w:type="pc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kern w:val="0"/>
                <w:sz w:val="24"/>
              </w:rPr>
              <w:t>标书质量</w:t>
            </w:r>
          </w:p>
        </w:tc>
        <w:tc>
          <w:tcPr>
            <w:tcW w:w="3322" w:type="pct"/>
            <w:shd w:val="clear" w:color="auto" w:fill="auto"/>
            <w:vAlign w:val="center"/>
          </w:tcPr>
          <w:p>
            <w:pPr>
              <w:pStyle w:val="13"/>
              <w:ind w:left="0" w:leftChars="0"/>
              <w:rPr>
                <w:rFonts w:ascii="仿宋_GB2312" w:hAnsi="仿宋" w:eastAsia="仿宋_GB2312" w:cs="仿宋"/>
                <w:sz w:val="24"/>
              </w:rPr>
            </w:pPr>
            <w:r>
              <w:rPr>
                <w:rFonts w:hint="eastAsia" w:ascii="仿宋_GB2312" w:hAnsi="仿宋" w:eastAsia="仿宋_GB2312" w:cs="仿宋"/>
                <w:sz w:val="24"/>
              </w:rPr>
              <w:t>标书制作规范，有目录索引、编页、排版等制作规范得2分，每有一处错误或材料缺失扣0.5分，扣完为止；</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shd w:val="clear" w:color="auto" w:fill="auto"/>
            <w:vAlign w:val="center"/>
          </w:tcPr>
          <w:p>
            <w:pPr>
              <w:tabs>
                <w:tab w:val="left" w:pos="900"/>
              </w:tabs>
              <w:rPr>
                <w:rFonts w:ascii="仿宋_GB2312" w:hAnsi="仿宋" w:eastAsia="仿宋_GB2312" w:cs="仿宋"/>
                <w:bCs/>
                <w:sz w:val="24"/>
              </w:rPr>
            </w:pPr>
            <w:r>
              <w:rPr>
                <w:rFonts w:hint="eastAsia" w:ascii="仿宋_GB2312" w:hAnsi="仿宋" w:eastAsia="仿宋_GB2312" w:cs="仿宋"/>
                <w:bCs/>
                <w:sz w:val="24"/>
              </w:rPr>
              <w:t>C：商务部分评分20分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77"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682" w:type="pc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履约能力</w:t>
            </w:r>
          </w:p>
        </w:tc>
        <w:tc>
          <w:tcPr>
            <w:tcW w:w="3322" w:type="pct"/>
            <w:shd w:val="clear" w:color="auto" w:fill="auto"/>
            <w:vAlign w:val="center"/>
          </w:tcPr>
          <w:p>
            <w:pPr>
              <w:numPr>
                <w:ilvl w:val="0"/>
                <w:numId w:val="3"/>
              </w:numPr>
              <w:tabs>
                <w:tab w:val="left" w:pos="2259"/>
              </w:tabs>
              <w:rPr>
                <w:rFonts w:ascii="仿宋_GB2312" w:hAnsi="仿宋" w:eastAsia="仿宋_GB2312" w:cs="仿宋"/>
                <w:bCs/>
                <w:sz w:val="24"/>
              </w:rPr>
            </w:pPr>
            <w:r>
              <w:rPr>
                <w:rFonts w:hint="eastAsia" w:ascii="仿宋_GB2312" w:hAnsi="仿宋" w:eastAsia="仿宋_GB2312" w:cs="仿宋"/>
                <w:bCs/>
                <w:sz w:val="24"/>
              </w:rPr>
              <w:t>投标人具有企业信用等级证书AAA级的，得2.5分；不具备，得0分；</w:t>
            </w:r>
          </w:p>
          <w:p>
            <w:pPr>
              <w:tabs>
                <w:tab w:val="left" w:pos="2259"/>
              </w:tabs>
              <w:rPr>
                <w:rFonts w:ascii="仿宋_GB2312" w:hAnsi="仿宋" w:eastAsia="仿宋_GB2312" w:cs="仿宋"/>
                <w:bCs/>
                <w:sz w:val="24"/>
              </w:rPr>
            </w:pPr>
            <w:r>
              <w:rPr>
                <w:rFonts w:hint="eastAsia" w:ascii="仿宋_GB2312" w:hAnsi="仿宋" w:eastAsia="仿宋_GB2312" w:cs="仿宋"/>
                <w:bCs/>
                <w:sz w:val="24"/>
              </w:rPr>
              <w:t>（2）投标人具有国家信息安全测评信息安全服务资质证书的（安全工程类一级），得2.5分；不具备，得0分；</w:t>
            </w:r>
          </w:p>
          <w:p>
            <w:pPr>
              <w:tabs>
                <w:tab w:val="left" w:pos="2259"/>
              </w:tabs>
              <w:rPr>
                <w:rFonts w:ascii="仿宋_GB2312" w:hAnsi="仿宋" w:eastAsia="仿宋_GB2312" w:cs="仿宋"/>
                <w:bCs/>
                <w:sz w:val="24"/>
              </w:rPr>
            </w:pPr>
            <w:r>
              <w:rPr>
                <w:rFonts w:hint="eastAsia" w:ascii="仿宋_GB2312" w:hAnsi="仿宋" w:eastAsia="仿宋_GB2312" w:cs="仿宋"/>
                <w:bCs/>
                <w:sz w:val="24"/>
              </w:rPr>
              <w:t>（3）投标人具有ITSS信息技术服务运行维护资质的，得2.5分；不具备，得0分；</w:t>
            </w:r>
          </w:p>
          <w:p>
            <w:pPr>
              <w:tabs>
                <w:tab w:val="left" w:pos="2259"/>
              </w:tabs>
              <w:rPr>
                <w:rFonts w:ascii="仿宋_GB2312" w:hAnsi="仿宋" w:eastAsia="仿宋_GB2312" w:cs="仿宋"/>
                <w:bCs/>
                <w:sz w:val="24"/>
              </w:rPr>
            </w:pPr>
            <w:r>
              <w:rPr>
                <w:rFonts w:hint="eastAsia" w:ascii="仿宋_GB2312" w:hAnsi="仿宋" w:eastAsia="仿宋_GB2312" w:cs="仿宋"/>
                <w:bCs/>
                <w:sz w:val="24"/>
              </w:rPr>
              <w:t>（4）投标人具有ISO20000信息技术服务管理体系认证证书的，得2.5分；不具备，得0分；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0-10</w:t>
            </w:r>
          </w:p>
          <w:p>
            <w:pPr>
              <w:tabs>
                <w:tab w:val="left" w:pos="900"/>
              </w:tabs>
              <w:jc w:val="center"/>
              <w:rPr>
                <w:rFonts w:ascii="仿宋_GB2312" w:hAnsi="仿宋" w:eastAsia="仿宋_GB2312"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77"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二</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类似业绩</w:t>
            </w:r>
          </w:p>
        </w:tc>
        <w:tc>
          <w:tcPr>
            <w:tcW w:w="3322"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（1）投标人所投设备的核心产品在相关行业项目中的业绩提供合同关键页复印件，包括：合同金额、买卖双方名称及盖章、合同清单，每个业绩3分最多得 6 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77"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2"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（2）投标人近3年相类似业绩，提供合同关键页复印件，包括：合同金额、买卖双方名称及盖章、合同清单。每个业绩 2 分，最多得 4 分</w:t>
            </w:r>
          </w:p>
        </w:tc>
        <w:tc>
          <w:tcPr>
            <w:tcW w:w="518"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eastAsia="仿宋_GB2312"/>
              </w:rPr>
            </w:pPr>
            <w:r>
              <w:rPr>
                <w:rFonts w:hint="eastAsia" w:ascii="仿宋_GB2312" w:hAnsi="仿宋" w:eastAsia="仿宋_GB2312" w:cs="仿宋"/>
                <w:b/>
                <w:sz w:val="24"/>
              </w:rPr>
              <w:t>说明：以上评分标准涉及的所有证明文件（证书及相关证明资料），需要在投标文件中须附相关复印件并加盖投标单位公章，否则不计分，且投标人须对复印件的真实性负责，如存在弄虚作假行为，视为无效投标处理。</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349637925"/>
      <w:bookmarkStart w:id="43" w:name="_Toc298240410"/>
      <w:bookmarkStart w:id="44" w:name="_Toc349573126"/>
      <w:bookmarkStart w:id="45" w:name="_Toc462223637"/>
      <w:bookmarkStart w:id="46" w:name="_Toc267301287"/>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349573127"/>
      <w:bookmarkStart w:id="49" w:name="_Toc349637926"/>
      <w:bookmarkStart w:id="50" w:name="_Toc298240411"/>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4"/>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pStyle w:val="33"/>
        <w:widowControl/>
        <w:spacing w:beforeAutospacing="0" w:afterAutospacing="0" w:line="560" w:lineRule="exact"/>
        <w:outlineLvl w:val="1"/>
        <w:rPr>
          <w:rStyle w:val="39"/>
          <w:rFonts w:ascii="楷体" w:hAnsi="楷体" w:eastAsia="楷体"/>
          <w:sz w:val="32"/>
          <w:szCs w:val="31"/>
        </w:rPr>
      </w:pPr>
      <w:bookmarkStart w:id="53" w:name="_Hlk65234920"/>
      <w:bookmarkStart w:id="54" w:name="_Toc28434"/>
      <w:r>
        <w:rPr>
          <w:rStyle w:val="39"/>
          <w:rFonts w:hint="eastAsia" w:ascii="楷体" w:hAnsi="楷体" w:eastAsia="楷体"/>
          <w:sz w:val="32"/>
          <w:szCs w:val="31"/>
        </w:rPr>
        <w:t>（一）</w:t>
      </w:r>
      <w:r>
        <w:rPr>
          <w:rStyle w:val="39"/>
          <w:rFonts w:ascii="楷体" w:hAnsi="楷体" w:eastAsia="楷体"/>
          <w:sz w:val="32"/>
          <w:szCs w:val="31"/>
        </w:rPr>
        <w:t>项目基本情况</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项目名称：</w:t>
      </w:r>
      <w:r>
        <w:rPr>
          <w:rFonts w:ascii="仿宋_GB2312" w:hAnsi="Times New Roman" w:eastAsia="仿宋_GB2312" w:cs="Times New Roman"/>
          <w:sz w:val="32"/>
          <w:szCs w:val="28"/>
        </w:rPr>
        <w:t>2022年国土变更调查存储等设备采购</w:t>
      </w:r>
      <w:r>
        <w:rPr>
          <w:rFonts w:hint="eastAsia" w:ascii="仿宋_GB2312" w:hAnsi="Times New Roman" w:eastAsia="仿宋_GB2312" w:cs="Times New Roman"/>
          <w:sz w:val="32"/>
          <w:szCs w:val="28"/>
        </w:rPr>
        <w:t>项目</w:t>
      </w:r>
    </w:p>
    <w:p>
      <w:pPr>
        <w:spacing w:line="560" w:lineRule="exact"/>
        <w:ind w:firstLine="640" w:firstLineChars="200"/>
        <w:rPr>
          <w:rFonts w:ascii="仿宋" w:hAnsi="仿宋" w:cs="仿宋"/>
          <w:bCs/>
          <w:sz w:val="32"/>
          <w:szCs w:val="32"/>
        </w:rPr>
      </w:pPr>
      <w:r>
        <w:rPr>
          <w:rFonts w:hint="eastAsia" w:ascii="仿宋_GB2312" w:hAnsi="Times New Roman" w:eastAsia="仿宋_GB2312" w:cs="Times New Roman"/>
          <w:sz w:val="32"/>
          <w:szCs w:val="28"/>
        </w:rPr>
        <w:t>预算金额（元）：</w:t>
      </w:r>
      <w:r>
        <w:rPr>
          <w:rFonts w:hint="eastAsia" w:ascii="仿宋" w:hAnsi="仿宋" w:cs="仿宋"/>
          <w:bCs/>
          <w:sz w:val="32"/>
          <w:szCs w:val="32"/>
        </w:rPr>
        <w:t>951300</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项目来源：2022年自治区国土变更调查与遥感监测</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外协原因：自治区自然资源规划研究院数据中心机房建设并运行多年，随着机房规模的增大以及未来发展规划保证设备的安全性、稳定性，为确保数据和业务系统安全，对原有服务器设备、存储设备等设备进行续保，还需对网络安全进行加固，</w:t>
      </w:r>
      <w:r>
        <w:rPr>
          <w:rFonts w:ascii="仿宋_GB2312" w:hAnsi="Times New Roman" w:eastAsia="仿宋_GB2312" w:cs="Times New Roman"/>
          <w:sz w:val="32"/>
          <w:szCs w:val="28"/>
        </w:rPr>
        <w:t>确保</w:t>
      </w:r>
      <w:r>
        <w:rPr>
          <w:rFonts w:hint="eastAsia" w:ascii="仿宋_GB2312" w:hAnsi="Times New Roman" w:eastAsia="仿宋_GB2312" w:cs="Times New Roman"/>
          <w:sz w:val="32"/>
          <w:szCs w:val="28"/>
        </w:rPr>
        <w:t xml:space="preserve">我院内外网环境安全。 </w:t>
      </w:r>
    </w:p>
    <w:p>
      <w:pPr>
        <w:pStyle w:val="33"/>
        <w:widowControl/>
        <w:spacing w:beforeAutospacing="0" w:afterAutospacing="0" w:line="560" w:lineRule="exact"/>
        <w:outlineLvl w:val="1"/>
        <w:rPr>
          <w:rFonts w:ascii="楷体" w:hAnsi="楷体" w:eastAsia="楷体"/>
          <w:b/>
          <w:sz w:val="32"/>
          <w:szCs w:val="31"/>
        </w:rPr>
      </w:pPr>
      <w:r>
        <w:rPr>
          <w:rStyle w:val="39"/>
          <w:rFonts w:hint="eastAsia" w:ascii="楷体" w:hAnsi="楷体" w:eastAsia="楷体"/>
          <w:sz w:val="32"/>
          <w:szCs w:val="31"/>
        </w:rPr>
        <w:t>（二）项目采购内容</w:t>
      </w:r>
    </w:p>
    <w:p>
      <w:pPr>
        <w:pStyle w:val="5"/>
        <w:numPr>
          <w:ilvl w:val="0"/>
          <w:numId w:val="0"/>
        </w:numPr>
        <w:tabs>
          <w:tab w:val="left" w:pos="576"/>
        </w:tabs>
        <w:spacing w:before="240" w:after="240" w:line="560" w:lineRule="exact"/>
        <w:rPr>
          <w:rFonts w:ascii="仿宋_GB2312" w:hAnsi="楷体" w:eastAsia="仿宋_GB2312" w:cs="Times New Roman"/>
        </w:rPr>
      </w:pPr>
      <w:r>
        <w:rPr>
          <w:rFonts w:hint="eastAsia" w:ascii="仿宋_GB2312" w:hAnsi="楷体" w:eastAsia="仿宋_GB2312" w:cs="Times New Roman"/>
        </w:rPr>
        <w:t>1</w:t>
      </w:r>
      <w:r>
        <w:rPr>
          <w:rFonts w:ascii="仿宋_GB2312" w:hAnsi="楷体" w:eastAsia="仿宋_GB2312" w:cs="Times New Roman"/>
        </w:rPr>
        <w:t>.</w:t>
      </w:r>
      <w:r>
        <w:rPr>
          <w:rFonts w:hint="eastAsia" w:ascii="仿宋_GB2312" w:hAnsi="楷体" w:eastAsia="仿宋_GB2312" w:cs="Times New Roman"/>
        </w:rPr>
        <w:t>采购内容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8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b/>
                <w:sz w:val="24"/>
                <w:szCs w:val="28"/>
              </w:rPr>
            </w:pPr>
            <w:r>
              <w:rPr>
                <w:rFonts w:hint="eastAsia" w:ascii="仿宋_GB2312" w:hAnsi="Times New Roman" w:eastAsia="仿宋_GB2312" w:cs="Times New Roman"/>
                <w:b/>
                <w:sz w:val="24"/>
                <w:szCs w:val="28"/>
              </w:rPr>
              <w:t>序号</w:t>
            </w:r>
          </w:p>
        </w:tc>
        <w:tc>
          <w:tcPr>
            <w:tcW w:w="4684" w:type="dxa"/>
            <w:vAlign w:val="center"/>
          </w:tcPr>
          <w:p>
            <w:pPr>
              <w:spacing w:line="560" w:lineRule="exact"/>
              <w:jc w:val="center"/>
              <w:textAlignment w:val="baseline"/>
              <w:rPr>
                <w:rFonts w:ascii="仿宋_GB2312" w:hAnsi="Times New Roman" w:eastAsia="仿宋_GB2312" w:cs="Times New Roman"/>
                <w:b/>
                <w:sz w:val="24"/>
                <w:szCs w:val="28"/>
              </w:rPr>
            </w:pPr>
            <w:r>
              <w:rPr>
                <w:rFonts w:hint="eastAsia" w:ascii="仿宋_GB2312" w:hAnsi="Times New Roman" w:eastAsia="仿宋_GB2312" w:cs="Times New Roman"/>
                <w:b/>
                <w:sz w:val="24"/>
                <w:szCs w:val="28"/>
              </w:rPr>
              <w:t>采购内容简要描述</w:t>
            </w:r>
          </w:p>
        </w:tc>
        <w:tc>
          <w:tcPr>
            <w:tcW w:w="2766" w:type="dxa"/>
            <w:vAlign w:val="center"/>
          </w:tcPr>
          <w:p>
            <w:pPr>
              <w:spacing w:line="560" w:lineRule="exact"/>
              <w:jc w:val="center"/>
              <w:textAlignment w:val="baseline"/>
              <w:rPr>
                <w:rFonts w:ascii="仿宋_GB2312" w:hAnsi="Times New Roman" w:eastAsia="仿宋_GB2312" w:cs="Times New Roman"/>
                <w:b/>
                <w:sz w:val="24"/>
                <w:szCs w:val="28"/>
              </w:rPr>
            </w:pPr>
            <w:r>
              <w:rPr>
                <w:rFonts w:hint="eastAsia" w:ascii="仿宋_GB2312" w:hAnsi="Times New Roman" w:eastAsia="仿宋_GB2312" w:cs="Times New Roman"/>
                <w:b/>
                <w:sz w:val="24"/>
                <w:szCs w:val="28"/>
              </w:rPr>
              <w:t>分包预算（</w:t>
            </w:r>
            <w:r>
              <w:rPr>
                <w:rFonts w:ascii="仿宋_GB2312" w:hAnsi="Times New Roman" w:eastAsia="仿宋_GB2312" w:cs="Times New Roman"/>
                <w:b/>
                <w:sz w:val="24"/>
                <w:szCs w:val="28"/>
              </w:rPr>
              <w:t>万元</w:t>
            </w:r>
            <w:r>
              <w:rPr>
                <w:rFonts w:hint="eastAsia" w:ascii="仿宋_GB2312" w:hAnsi="Times New Roman" w:eastAsia="仿宋_GB2312"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1</w:t>
            </w:r>
          </w:p>
        </w:tc>
        <w:tc>
          <w:tcPr>
            <w:tcW w:w="4684" w:type="dxa"/>
            <w:vAlign w:val="center"/>
          </w:tcPr>
          <w:p>
            <w:pPr>
              <w:pStyle w:val="33"/>
              <w:widowControl/>
              <w:spacing w:beforeAutospacing="0" w:afterAutospacing="0"/>
              <w:jc w:val="center"/>
              <w:rPr>
                <w:rFonts w:ascii="仿宋_GB2312" w:hAnsi="等线" w:eastAsia="仿宋_GB2312" w:cs="宋体"/>
                <w:color w:val="000000"/>
              </w:rPr>
            </w:pPr>
            <w:r>
              <w:rPr>
                <w:rFonts w:hint="eastAsia" w:ascii="仿宋_GB2312" w:hAnsi="等线" w:eastAsia="仿宋_GB2312" w:cs="宋体"/>
                <w:color w:val="000000"/>
                <w:highlight w:val="none"/>
              </w:rPr>
              <w:t>对原有服务器设备、存储设备等进行续保</w:t>
            </w:r>
            <w:r>
              <w:rPr>
                <w:rFonts w:hint="eastAsia" w:ascii="仿宋_GB2312" w:hAnsi="等线" w:eastAsia="仿宋_GB2312" w:cs="宋体"/>
                <w:color w:val="000000"/>
                <w:highlight w:val="none"/>
                <w:lang w:eastAsia="zh-CN"/>
              </w:rPr>
              <w:t>，</w:t>
            </w:r>
            <w:r>
              <w:rPr>
                <w:rFonts w:hint="eastAsia" w:ascii="仿宋_GB2312" w:hAnsi="等线" w:eastAsia="仿宋_GB2312" w:cs="宋体"/>
                <w:color w:val="000000"/>
              </w:rPr>
              <w:t>采购UPS机房电源模块、服务器及存储资源续服</w:t>
            </w:r>
            <w:r>
              <w:rPr>
                <w:rFonts w:hint="eastAsia" w:ascii="仿宋_GB2312" w:hAnsi="等线" w:eastAsia="仿宋_GB2312" w:cs="宋体"/>
                <w:color w:val="000000"/>
                <w:lang w:val="en-US" w:eastAsia="zh-CN"/>
              </w:rPr>
              <w:t>等服</w:t>
            </w:r>
            <w:r>
              <w:rPr>
                <w:rFonts w:hint="eastAsia" w:ascii="仿宋_GB2312" w:hAnsi="等线" w:eastAsia="仿宋_GB2312" w:cs="宋体"/>
                <w:color w:val="000000"/>
              </w:rPr>
              <w:t>务，详见招标文件</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95.13</w:t>
            </w:r>
          </w:p>
        </w:tc>
      </w:tr>
    </w:tbl>
    <w:p>
      <w:pPr>
        <w:pStyle w:val="5"/>
        <w:numPr>
          <w:ilvl w:val="0"/>
          <w:numId w:val="0"/>
        </w:numPr>
        <w:tabs>
          <w:tab w:val="left" w:pos="576"/>
        </w:tabs>
        <w:spacing w:before="240" w:after="240" w:line="560" w:lineRule="exact"/>
        <w:rPr>
          <w:rFonts w:ascii="仿宋_GB2312" w:hAnsi="楷体" w:eastAsia="仿宋_GB2312" w:cs="Times New Roman"/>
        </w:rPr>
      </w:pPr>
      <w:r>
        <w:rPr>
          <w:rFonts w:hint="eastAsia" w:ascii="仿宋_GB2312" w:hAnsi="楷体" w:eastAsia="仿宋_GB2312" w:cs="Times New Roman"/>
        </w:rPr>
        <w:t>2</w:t>
      </w:r>
      <w:r>
        <w:rPr>
          <w:rFonts w:ascii="仿宋_GB2312" w:hAnsi="楷体" w:eastAsia="仿宋_GB2312" w:cs="Times New Roman"/>
        </w:rPr>
        <w:t>.</w:t>
      </w:r>
      <w:r>
        <w:rPr>
          <w:rFonts w:hint="eastAsia" w:ascii="仿宋_GB2312" w:hAnsi="楷体" w:eastAsia="仿宋_GB2312" w:cs="Times New Roman"/>
        </w:rPr>
        <w:t>采购清单</w:t>
      </w:r>
    </w:p>
    <w:tbl>
      <w:tblPr>
        <w:tblStyle w:val="3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4"/>
        <w:gridCol w:w="1852"/>
        <w:gridCol w:w="2641"/>
        <w:gridCol w:w="647"/>
        <w:gridCol w:w="773"/>
        <w:gridCol w:w="1454"/>
        <w:gridCol w:w="14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jc w:val="center"/>
        </w:trPr>
        <w:tc>
          <w:tcPr>
            <w:tcW w:w="365"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序号</w:t>
            </w:r>
          </w:p>
        </w:tc>
        <w:tc>
          <w:tcPr>
            <w:tcW w:w="973"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项目名称</w:t>
            </w:r>
          </w:p>
        </w:tc>
        <w:tc>
          <w:tcPr>
            <w:tcW w:w="1388"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产品名称</w:t>
            </w:r>
          </w:p>
        </w:tc>
        <w:tc>
          <w:tcPr>
            <w:tcW w:w="340"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单位</w:t>
            </w:r>
          </w:p>
        </w:tc>
        <w:tc>
          <w:tcPr>
            <w:tcW w:w="406"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数量</w:t>
            </w:r>
          </w:p>
        </w:tc>
        <w:tc>
          <w:tcPr>
            <w:tcW w:w="764" w:type="pct"/>
            <w:vAlign w:val="center"/>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备注</w:t>
            </w:r>
          </w:p>
        </w:tc>
        <w:tc>
          <w:tcPr>
            <w:tcW w:w="764" w:type="pct"/>
          </w:tcPr>
          <w:p>
            <w:pPr>
              <w:pStyle w:val="112"/>
              <w:ind w:firstLine="0" w:firstLineChars="0"/>
              <w:jc w:val="center"/>
              <w:rPr>
                <w:rFonts w:ascii="仿宋_GB2312" w:eastAsia="仿宋_GB2312" w:hAnsiTheme="minorEastAsia" w:cstheme="minorEastAsia"/>
                <w:b/>
                <w:bCs/>
                <w:sz w:val="24"/>
                <w:szCs w:val="24"/>
              </w:rPr>
            </w:pPr>
            <w:r>
              <w:rPr>
                <w:rFonts w:hint="eastAsia" w:ascii="仿宋_GB2312" w:eastAsia="仿宋_GB2312" w:hAnsiTheme="minorEastAsia" w:cstheme="minorEastAsia"/>
                <w:b/>
                <w:bCs/>
                <w:sz w:val="24"/>
                <w:szCs w:val="24"/>
              </w:rPr>
              <w:t>交货日期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973"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服务器及硬盘维保</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RH2288H V3</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6</w:t>
            </w:r>
          </w:p>
        </w:tc>
        <w:tc>
          <w:tcPr>
            <w:tcW w:w="764"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续保三年</w:t>
            </w:r>
          </w:p>
        </w:tc>
        <w:tc>
          <w:tcPr>
            <w:tcW w:w="764"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签订合同</w:t>
            </w:r>
            <w:r>
              <w:rPr>
                <w:rFonts w:ascii="仿宋_GB2312" w:eastAsia="仿宋_GB2312" w:hAnsiTheme="minorEastAsia" w:cstheme="minorEastAsia"/>
                <w:bCs/>
                <w:sz w:val="24"/>
                <w:szCs w:val="24"/>
              </w:rPr>
              <w:t>1</w:t>
            </w:r>
            <w:r>
              <w:rPr>
                <w:rFonts w:hint="eastAsia" w:ascii="仿宋_GB2312" w:eastAsia="仿宋_GB2312" w:hAnsiTheme="minorEastAsia" w:cstheme="minorEastAsia"/>
                <w:bCs/>
                <w:sz w:val="24"/>
                <w:szCs w:val="24"/>
              </w:rPr>
              <w:t>个月内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RH5885 V3</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5</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SAS 300GB硬盘</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块</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27</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SAS 600GB硬盘</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块</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11</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w:t>
            </w:r>
          </w:p>
        </w:tc>
        <w:tc>
          <w:tcPr>
            <w:tcW w:w="973"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存储设备续保</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MS3000G2</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4</w:t>
            </w:r>
          </w:p>
        </w:tc>
        <w:tc>
          <w:tcPr>
            <w:tcW w:w="764" w:type="pct"/>
            <w:vMerge w:val="restar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续保一年，为保证服务质量，提供原厂商授权函及原厂商服务承诺函</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MS7020</w:t>
            </w:r>
          </w:p>
        </w:tc>
        <w:tc>
          <w:tcPr>
            <w:tcW w:w="340" w:type="pct"/>
            <w:vAlign w:val="center"/>
          </w:tcPr>
          <w:p>
            <w:pPr>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MS2500G2-12E</w:t>
            </w:r>
          </w:p>
        </w:tc>
        <w:tc>
          <w:tcPr>
            <w:tcW w:w="340" w:type="pct"/>
            <w:vAlign w:val="center"/>
          </w:tcPr>
          <w:p>
            <w:pPr>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6" w:hRule="atLeast"/>
          <w:jc w:val="center"/>
        </w:trPr>
        <w:tc>
          <w:tcPr>
            <w:tcW w:w="365"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973"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DSU1616磁盘扩展柜，包含了312块的磁盘，其中4TB</w:t>
            </w:r>
            <w:r>
              <w:rPr>
                <w:rFonts w:ascii="仿宋_GB2312" w:eastAsia="仿宋_GB2312" w:hAnsiTheme="minorEastAsia" w:cstheme="minorEastAsia"/>
                <w:bCs/>
                <w:sz w:val="24"/>
                <w:szCs w:val="24"/>
              </w:rPr>
              <w:t>-</w:t>
            </w:r>
            <w:r>
              <w:rPr>
                <w:rFonts w:hint="eastAsia" w:ascii="仿宋_GB2312" w:eastAsia="仿宋_GB2312" w:hAnsiTheme="minorEastAsia" w:cstheme="minorEastAsia"/>
                <w:bCs/>
                <w:sz w:val="24"/>
                <w:szCs w:val="24"/>
              </w:rPr>
              <w:t>184块，8TB</w:t>
            </w:r>
            <w:r>
              <w:rPr>
                <w:rFonts w:ascii="仿宋_GB2312" w:eastAsia="仿宋_GB2312" w:hAnsiTheme="minorEastAsia" w:cstheme="minorEastAsia"/>
                <w:bCs/>
                <w:sz w:val="24"/>
                <w:szCs w:val="24"/>
              </w:rPr>
              <w:t>-</w:t>
            </w:r>
            <w:r>
              <w:rPr>
                <w:rFonts w:hint="eastAsia" w:ascii="仿宋_GB2312" w:eastAsia="仿宋_GB2312" w:hAnsiTheme="minorEastAsia" w:cstheme="minorEastAsia"/>
                <w:bCs/>
                <w:sz w:val="24"/>
                <w:szCs w:val="24"/>
              </w:rPr>
              <w:t>128块;</w:t>
            </w:r>
          </w:p>
        </w:tc>
        <w:tc>
          <w:tcPr>
            <w:tcW w:w="340" w:type="pct"/>
            <w:vAlign w:val="center"/>
          </w:tcPr>
          <w:p>
            <w:pPr>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23</w:t>
            </w:r>
          </w:p>
        </w:tc>
        <w:tc>
          <w:tcPr>
            <w:tcW w:w="764" w:type="pct"/>
            <w:vMerge w:val="continue"/>
            <w:vAlign w:val="center"/>
          </w:tcPr>
          <w:p>
            <w:pPr>
              <w:pStyle w:val="112"/>
              <w:ind w:firstLine="0" w:firstLineChars="0"/>
              <w:jc w:val="center"/>
              <w:rPr>
                <w:rFonts w:ascii="仿宋_GB2312" w:eastAsia="仿宋_GB2312" w:hAnsiTheme="minorEastAsia" w:cstheme="minorEastAsia"/>
                <w:bCs/>
                <w:sz w:val="24"/>
                <w:szCs w:val="24"/>
              </w:rPr>
            </w:pP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3</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服务器网络版杀毒</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SASE-EDR及EDR</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三年质保</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4</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防毒墙</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防毒专用</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套</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三年质保</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5</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UPS模块</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25KVA功率模块</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台</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三年质保</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6</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空调风扇</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精密空调外机叶片及转轴</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套</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w:t>
            </w:r>
          </w:p>
        </w:tc>
        <w:tc>
          <w:tcPr>
            <w:tcW w:w="764"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一年质保</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7</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CPU</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INTEL XEON SILVER 4108</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个</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一年质保</w:t>
            </w:r>
          </w:p>
        </w:tc>
        <w:tc>
          <w:tcPr>
            <w:tcW w:w="764" w:type="pct"/>
            <w:vMerge w:val="continue"/>
          </w:tcPr>
          <w:p>
            <w:pPr>
              <w:pStyle w:val="112"/>
              <w:ind w:firstLine="0" w:firstLineChars="0"/>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8</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光纤网卡 万兆PCIe网卡</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万兆PCIe网卡</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块</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一年质保</w:t>
            </w:r>
          </w:p>
        </w:tc>
        <w:tc>
          <w:tcPr>
            <w:tcW w:w="764" w:type="pct"/>
            <w:vMerge w:val="continue"/>
          </w:tcPr>
          <w:p>
            <w:pPr>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9</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光纤布设</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布线</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项</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一年质保</w:t>
            </w:r>
          </w:p>
        </w:tc>
        <w:tc>
          <w:tcPr>
            <w:tcW w:w="764" w:type="pct"/>
            <w:vMerge w:val="continue"/>
          </w:tcPr>
          <w:p>
            <w:pPr>
              <w:jc w:val="center"/>
              <w:rPr>
                <w:rFonts w:ascii="仿宋_GB2312" w:eastAsia="仿宋_GB2312" w:hAnsiTheme="minorEastAsia" w:cstheme="minorEastAsia"/>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jc w:val="center"/>
        </w:trPr>
        <w:tc>
          <w:tcPr>
            <w:tcW w:w="365"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10</w:t>
            </w:r>
          </w:p>
        </w:tc>
        <w:tc>
          <w:tcPr>
            <w:tcW w:w="973"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驻场运维</w:t>
            </w:r>
          </w:p>
        </w:tc>
        <w:tc>
          <w:tcPr>
            <w:tcW w:w="1388"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提供1名驻场员工</w:t>
            </w:r>
          </w:p>
        </w:tc>
        <w:tc>
          <w:tcPr>
            <w:tcW w:w="340"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项</w:t>
            </w:r>
          </w:p>
        </w:tc>
        <w:tc>
          <w:tcPr>
            <w:tcW w:w="406" w:type="pct"/>
            <w:vAlign w:val="center"/>
          </w:tcPr>
          <w:p>
            <w:pPr>
              <w:pStyle w:val="112"/>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w:t>
            </w:r>
          </w:p>
        </w:tc>
        <w:tc>
          <w:tcPr>
            <w:tcW w:w="764" w:type="pct"/>
            <w:vAlign w:val="center"/>
          </w:tcPr>
          <w:p>
            <w:pPr>
              <w:pStyle w:val="112"/>
              <w:tabs>
                <w:tab w:val="left" w:pos="493"/>
              </w:tabs>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一年</w:t>
            </w:r>
          </w:p>
        </w:tc>
        <w:tc>
          <w:tcPr>
            <w:tcW w:w="764" w:type="pct"/>
            <w:vMerge w:val="continue"/>
          </w:tcPr>
          <w:p>
            <w:pPr>
              <w:pStyle w:val="112"/>
              <w:tabs>
                <w:tab w:val="left" w:pos="493"/>
              </w:tabs>
              <w:ind w:firstLine="0" w:firstLineChars="0"/>
              <w:jc w:val="center"/>
              <w:rPr>
                <w:rFonts w:ascii="仿宋_GB2312" w:eastAsia="仿宋_GB2312" w:hAnsiTheme="minorEastAsia" w:cstheme="minorEastAsia"/>
                <w:bCs/>
                <w:sz w:val="24"/>
                <w:szCs w:val="24"/>
              </w:rPr>
            </w:pPr>
          </w:p>
        </w:tc>
      </w:tr>
    </w:tbl>
    <w:p/>
    <w:p>
      <w:pPr>
        <w:pStyle w:val="5"/>
        <w:numPr>
          <w:ilvl w:val="0"/>
          <w:numId w:val="0"/>
        </w:numPr>
        <w:tabs>
          <w:tab w:val="left" w:pos="576"/>
        </w:tabs>
        <w:spacing w:before="240" w:after="240" w:line="560" w:lineRule="exact"/>
        <w:rPr>
          <w:rFonts w:ascii="仿宋_GB2312" w:hAnsi="楷体" w:eastAsia="仿宋_GB2312" w:cs="Times New Roman"/>
        </w:rPr>
      </w:pPr>
      <w:r>
        <w:rPr>
          <w:rFonts w:hint="eastAsia" w:ascii="仿宋_GB2312" w:hAnsi="楷体" w:eastAsia="仿宋_GB2312" w:cs="Times New Roman"/>
        </w:rPr>
        <w:t>3</w:t>
      </w:r>
      <w:r>
        <w:rPr>
          <w:rFonts w:ascii="仿宋_GB2312" w:hAnsi="楷体" w:eastAsia="仿宋_GB2312" w:cs="Times New Roman"/>
        </w:rPr>
        <w:t>.</w:t>
      </w:r>
      <w:r>
        <w:rPr>
          <w:rFonts w:hint="eastAsia" w:ascii="仿宋_GB2312" w:hAnsi="楷体" w:eastAsia="仿宋_GB2312" w:cs="Times New Roman"/>
        </w:rPr>
        <w:t>技术参数</w:t>
      </w:r>
    </w:p>
    <w:p>
      <w:pPr>
        <w:adjustRightInd w:val="0"/>
        <w:snapToGrid w:val="0"/>
        <w:spacing w:line="560" w:lineRule="exact"/>
        <w:ind w:firstLine="640" w:firstLineChars="200"/>
        <w:rPr>
          <w:rFonts w:ascii="仿宋_GB2312" w:hAnsi="楷体" w:eastAsia="仿宋_GB2312"/>
          <w:sz w:val="32"/>
        </w:rPr>
      </w:pPr>
      <w:r>
        <w:rPr>
          <w:rFonts w:hint="eastAsia" w:ascii="仿宋_GB2312" w:hAnsi="楷体" w:eastAsia="仿宋_GB2312"/>
          <w:sz w:val="32"/>
        </w:rPr>
        <w:t>a.下列技术指标描述中，凡有品牌描述或指向某品牌的指标描述均为参考指标。</w:t>
      </w:r>
    </w:p>
    <w:p>
      <w:pPr>
        <w:adjustRightInd w:val="0"/>
        <w:snapToGrid w:val="0"/>
        <w:spacing w:line="560" w:lineRule="exact"/>
        <w:ind w:firstLine="640" w:firstLineChars="200"/>
        <w:rPr>
          <w:rFonts w:ascii="仿宋_GB2312" w:hAnsi="楷体" w:eastAsia="仿宋_GB2312"/>
          <w:sz w:val="32"/>
        </w:rPr>
      </w:pPr>
      <w:r>
        <w:rPr>
          <w:rFonts w:hint="eastAsia" w:ascii="仿宋_GB2312" w:hAnsi="楷体" w:eastAsia="仿宋_GB2312"/>
          <w:sz w:val="32"/>
        </w:rPr>
        <w:t>b</w:t>
      </w:r>
      <w:r>
        <w:rPr>
          <w:rFonts w:ascii="仿宋_GB2312" w:hAnsi="楷体" w:eastAsia="仿宋_GB2312"/>
          <w:sz w:val="32"/>
        </w:rPr>
        <w:t>.</w:t>
      </w:r>
      <w:r>
        <w:rPr>
          <w:rFonts w:hint="eastAsia" w:ascii="仿宋_GB2312" w:hAnsi="楷体" w:eastAsia="仿宋_GB2312"/>
          <w:sz w:val="32"/>
        </w:rPr>
        <w:t>本采购文件，均采购国内产品。</w:t>
      </w:r>
    </w:p>
    <w:p>
      <w:pPr>
        <w:adjustRightInd w:val="0"/>
        <w:snapToGrid w:val="0"/>
        <w:spacing w:line="560" w:lineRule="exact"/>
        <w:ind w:firstLine="640" w:firstLineChars="200"/>
        <w:rPr>
          <w:rFonts w:ascii="仿宋_GB2312" w:hAnsi="楷体" w:eastAsia="仿宋_GB2312"/>
          <w:sz w:val="32"/>
        </w:rPr>
      </w:pPr>
      <w:r>
        <w:rPr>
          <w:rFonts w:hint="eastAsia" w:ascii="仿宋_GB2312" w:hAnsi="楷体" w:eastAsia="仿宋_GB2312"/>
          <w:sz w:val="32"/>
        </w:rPr>
        <w:t>c</w:t>
      </w:r>
      <w:r>
        <w:rPr>
          <w:rFonts w:ascii="仿宋_GB2312" w:hAnsi="楷体" w:eastAsia="仿宋_GB2312"/>
          <w:sz w:val="32"/>
        </w:rPr>
        <w:t>.</w:t>
      </w:r>
      <w:r>
        <w:rPr>
          <w:rFonts w:hint="eastAsia" w:ascii="仿宋_GB2312" w:hAnsi="楷体" w:eastAsia="仿宋_GB2312"/>
          <w:sz w:val="32"/>
        </w:rPr>
        <w:t>标注为</w:t>
      </w:r>
      <w:r>
        <w:rPr>
          <w:rFonts w:hint="eastAsia" w:ascii="仿宋_GB2312" w:hAnsi="宋体" w:eastAsia="仿宋_GB2312"/>
          <w:color w:val="000000"/>
          <w:sz w:val="24"/>
          <w:szCs w:val="24"/>
        </w:rPr>
        <w:t>▲</w:t>
      </w:r>
      <w:r>
        <w:rPr>
          <w:rFonts w:hint="eastAsia" w:ascii="仿宋_GB2312" w:hAnsi="楷体" w:eastAsia="仿宋_GB2312"/>
          <w:sz w:val="32"/>
        </w:rPr>
        <w:t>号的技术要求为重要技术要求，如不满足或负偏离，将扣除投标企业一定的技术评分，但不作为废标依据。</w:t>
      </w:r>
    </w:p>
    <w:p>
      <w:pPr>
        <w:adjustRightInd w:val="0"/>
        <w:snapToGrid w:val="0"/>
        <w:spacing w:line="560" w:lineRule="exact"/>
        <w:ind w:firstLine="640" w:firstLineChars="200"/>
        <w:rPr>
          <w:rFonts w:ascii="仿宋_GB2312" w:hAnsi="楷体" w:eastAsia="仿宋_GB2312"/>
          <w:sz w:val="32"/>
        </w:rPr>
      </w:pPr>
      <w:r>
        <w:rPr>
          <w:rFonts w:hint="eastAsia" w:ascii="仿宋_GB2312" w:hAnsi="楷体" w:eastAsia="仿宋_GB2312"/>
          <w:sz w:val="32"/>
        </w:rPr>
        <w:t>d</w:t>
      </w:r>
      <w:r>
        <w:rPr>
          <w:rFonts w:ascii="仿宋_GB2312" w:hAnsi="楷体" w:eastAsia="仿宋_GB2312"/>
          <w:sz w:val="32"/>
        </w:rPr>
        <w:t>.</w:t>
      </w:r>
      <w:r>
        <w:rPr>
          <w:rFonts w:hint="eastAsia" w:ascii="仿宋_GB2312" w:hAnsi="楷体" w:eastAsia="仿宋_GB2312"/>
          <w:sz w:val="32"/>
        </w:rPr>
        <w:t>所有费用已包含此项目清单中，不接受任何形式其他费用。质保期内涉及到的软件升级、版本更新等内容须由投标方及时告知招标方后，并按照招标方的要求进行免费实施，且由于软硬件升级、版本更新而产生的新增功能、新增补丁、新增辅助工具等内容须由投标方免费提供并安装。</w:t>
      </w:r>
    </w:p>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（1）服务器及硬盘续保</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76" w:type="pct"/>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名称</w:t>
            </w:r>
          </w:p>
        </w:tc>
        <w:tc>
          <w:tcPr>
            <w:tcW w:w="3724" w:type="pct"/>
          </w:tcPr>
          <w:p>
            <w:pPr>
              <w:rPr>
                <w:rFonts w:ascii="仿宋" w:hAnsi="仿宋" w:eastAsia="仿宋" w:cs="仿宋"/>
                <w:color w:val="000000"/>
                <w:kern w:val="0"/>
                <w:sz w:val="24"/>
              </w:rPr>
            </w:pPr>
            <w:r>
              <w:rPr>
                <w:rFonts w:hint="eastAsia" w:ascii="仿宋" w:hAnsi="仿宋" w:eastAsia="仿宋" w:cs="仿宋"/>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pct"/>
            <w:vAlign w:val="center"/>
          </w:tcPr>
          <w:p>
            <w:pPr>
              <w:widowControl/>
              <w:jc w:val="center"/>
              <w:rPr>
                <w:rFonts w:ascii="仿宋" w:hAnsi="仿宋" w:eastAsia="仿宋" w:cs="仿宋"/>
                <w:color w:val="000000"/>
                <w:kern w:val="0"/>
                <w:sz w:val="24"/>
              </w:rPr>
            </w:pPr>
            <w:r>
              <w:rPr>
                <w:rFonts w:hint="eastAsia" w:ascii="仿宋_GB2312" w:hAnsi="宋体" w:eastAsia="仿宋_GB2312"/>
                <w:color w:val="000000"/>
                <w:sz w:val="24"/>
                <w:szCs w:val="24"/>
              </w:rPr>
              <w:t>▲</w:t>
            </w:r>
            <w:r>
              <w:rPr>
                <w:rFonts w:hint="eastAsia" w:ascii="仿宋" w:hAnsi="仿宋" w:eastAsia="仿宋" w:cs="仿宋"/>
                <w:color w:val="000000"/>
                <w:kern w:val="0"/>
                <w:sz w:val="24"/>
              </w:rPr>
              <w:t>服务器续保</w:t>
            </w:r>
          </w:p>
        </w:tc>
        <w:tc>
          <w:tcPr>
            <w:tcW w:w="3724" w:type="pct"/>
          </w:tcPr>
          <w:p>
            <w:pPr>
              <w:widowControl/>
              <w:rPr>
                <w:rFonts w:ascii="仿宋" w:hAnsi="仿宋" w:eastAsia="仿宋" w:cs="仿宋"/>
                <w:color w:val="000000"/>
                <w:kern w:val="0"/>
                <w:sz w:val="24"/>
              </w:rPr>
            </w:pPr>
            <w:r>
              <w:rPr>
                <w:rFonts w:hint="eastAsia" w:ascii="仿宋" w:hAnsi="仿宋" w:eastAsia="仿宋" w:cs="仿宋"/>
                <w:color w:val="000000"/>
                <w:kern w:val="0"/>
                <w:sz w:val="24"/>
              </w:rPr>
              <w:t>6台RH2288H V3服务器,</w:t>
            </w:r>
            <w:r>
              <w:rPr>
                <w:rFonts w:ascii="仿宋" w:hAnsi="仿宋" w:eastAsia="仿宋" w:cs="仿宋"/>
                <w:color w:val="000000"/>
                <w:kern w:val="0"/>
                <w:sz w:val="24"/>
              </w:rPr>
              <w:t>5</w:t>
            </w:r>
            <w:r>
              <w:rPr>
                <w:rFonts w:hint="eastAsia" w:ascii="仿宋" w:hAnsi="仿宋" w:eastAsia="仿宋" w:cs="仿宋"/>
                <w:color w:val="000000"/>
                <w:kern w:val="0"/>
                <w:sz w:val="24"/>
              </w:rPr>
              <w:t>台 RH5885 V3，3年续保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pct"/>
            <w:vAlign w:val="center"/>
          </w:tcPr>
          <w:p>
            <w:pPr>
              <w:widowControl/>
              <w:jc w:val="center"/>
              <w:rPr>
                <w:rFonts w:ascii="仿宋" w:hAnsi="仿宋" w:eastAsia="仿宋" w:cs="仿宋"/>
                <w:color w:val="000000"/>
                <w:kern w:val="0"/>
                <w:sz w:val="24"/>
              </w:rPr>
            </w:pPr>
            <w:r>
              <w:rPr>
                <w:rFonts w:hint="eastAsia" w:ascii="仿宋_GB2312" w:hAnsi="宋体" w:eastAsia="仿宋_GB2312"/>
                <w:color w:val="000000"/>
                <w:sz w:val="24"/>
                <w:szCs w:val="24"/>
              </w:rPr>
              <w:t>▲</w:t>
            </w:r>
            <w:r>
              <w:rPr>
                <w:rFonts w:hint="eastAsia" w:ascii="仿宋" w:hAnsi="仿宋" w:eastAsia="仿宋" w:cs="仿宋"/>
                <w:color w:val="000000"/>
                <w:kern w:val="0"/>
                <w:sz w:val="24"/>
              </w:rPr>
              <w:t>硬盘续保</w:t>
            </w:r>
          </w:p>
        </w:tc>
        <w:tc>
          <w:tcPr>
            <w:tcW w:w="3724" w:type="pct"/>
          </w:tcPr>
          <w:p>
            <w:pPr>
              <w:widowControl/>
              <w:rPr>
                <w:rFonts w:ascii="仿宋" w:hAnsi="仿宋" w:eastAsia="仿宋" w:cs="仿宋"/>
                <w:color w:val="000000"/>
                <w:kern w:val="0"/>
                <w:sz w:val="24"/>
              </w:rPr>
            </w:pPr>
            <w:r>
              <w:rPr>
                <w:rFonts w:hint="eastAsia" w:ascii="仿宋" w:hAnsi="仿宋" w:eastAsia="仿宋" w:cs="仿宋"/>
                <w:kern w:val="0"/>
                <w:sz w:val="24"/>
              </w:rPr>
              <w:t>2</w:t>
            </w:r>
            <w:r>
              <w:rPr>
                <w:rFonts w:ascii="仿宋" w:hAnsi="仿宋" w:eastAsia="仿宋" w:cs="仿宋"/>
                <w:kern w:val="0"/>
                <w:sz w:val="24"/>
              </w:rPr>
              <w:t>7</w:t>
            </w:r>
            <w:r>
              <w:rPr>
                <w:rFonts w:hint="eastAsia" w:ascii="仿宋" w:hAnsi="仿宋" w:eastAsia="仿宋" w:cs="仿宋"/>
                <w:kern w:val="0"/>
                <w:sz w:val="24"/>
              </w:rPr>
              <w:t>块SAS 300GB续保，11块SAS 600GB续保，含介质保留</w:t>
            </w:r>
          </w:p>
        </w:tc>
      </w:tr>
    </w:tbl>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（2）UPS蓄电池模块</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vAlign w:val="center"/>
          </w:tcPr>
          <w:p>
            <w:pPr>
              <w:jc w:val="center"/>
              <w:rPr>
                <w:rFonts w:ascii="仿宋_GB2312" w:hAnsi="仿宋" w:eastAsia="仿宋_GB2312" w:cs="仿宋"/>
                <w:sz w:val="24"/>
                <w:szCs w:val="24"/>
                <w:lang w:eastAsia="zh-Hans"/>
              </w:rPr>
            </w:pPr>
            <w:r>
              <w:rPr>
                <w:rFonts w:hint="eastAsia" w:ascii="仿宋_GB2312" w:hAnsi="仿宋" w:eastAsia="仿宋_GB2312" w:cs="仿宋"/>
                <w:color w:val="000000"/>
                <w:kern w:val="0"/>
                <w:sz w:val="24"/>
                <w:szCs w:val="24"/>
              </w:rPr>
              <w:t>名称</w:t>
            </w:r>
          </w:p>
        </w:tc>
        <w:tc>
          <w:tcPr>
            <w:tcW w:w="3711" w:type="pct"/>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vAlign w:val="center"/>
          </w:tcPr>
          <w:p>
            <w:pPr>
              <w:jc w:val="center"/>
              <w:rPr>
                <w:rFonts w:ascii="仿宋_GB2312" w:hAnsi="仿宋" w:eastAsia="仿宋_GB2312" w:cs="仿宋"/>
                <w:sz w:val="24"/>
                <w:szCs w:val="24"/>
              </w:rPr>
            </w:pPr>
            <w:r>
              <w:rPr>
                <w:rFonts w:hint="eastAsia" w:ascii="仿宋_GB2312" w:hAnsi="仿宋" w:eastAsia="仿宋_GB2312" w:cs="仿宋"/>
                <w:sz w:val="24"/>
                <w:szCs w:val="24"/>
              </w:rPr>
              <w:t>电源模块</w:t>
            </w:r>
          </w:p>
        </w:tc>
        <w:tc>
          <w:tcPr>
            <w:tcW w:w="3711" w:type="pct"/>
            <w:vAlign w:val="center"/>
          </w:tcPr>
          <w:p>
            <w:pPr>
              <w:jc w:val="center"/>
              <w:rPr>
                <w:rFonts w:ascii="仿宋_GB2312" w:hAnsi="仿宋" w:eastAsia="仿宋_GB2312" w:cs="仿宋"/>
                <w:sz w:val="24"/>
                <w:szCs w:val="24"/>
              </w:rPr>
            </w:pPr>
            <w:r>
              <w:rPr>
                <w:rFonts w:hint="eastAsia" w:ascii="仿宋_GB2312" w:eastAsia="仿宋_GB2312" w:hAnsiTheme="minorEastAsia" w:cstheme="minorEastAsia"/>
                <w:bCs/>
                <w:sz w:val="24"/>
                <w:szCs w:val="24"/>
              </w:rPr>
              <w:t>25KVA功率模块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pct"/>
            <w:vAlign w:val="center"/>
          </w:tcPr>
          <w:p>
            <w:pPr>
              <w:jc w:val="center"/>
              <w:rPr>
                <w:rFonts w:ascii="仿宋_GB2312" w:hAnsi="仿宋" w:eastAsia="仿宋_GB2312" w:cs="仿宋"/>
                <w:sz w:val="24"/>
                <w:szCs w:val="24"/>
                <w:lang w:eastAsia="zh-Hans"/>
              </w:rPr>
            </w:pPr>
            <w:r>
              <w:rPr>
                <w:rFonts w:hint="eastAsia" w:ascii="仿宋_GB2312" w:hAnsi="仿宋" w:eastAsia="仿宋_GB2312" w:cs="仿宋"/>
                <w:sz w:val="24"/>
                <w:szCs w:val="24"/>
                <w:lang w:eastAsia="zh-Hans"/>
              </w:rPr>
              <w:t>服务及资质要求</w:t>
            </w:r>
          </w:p>
        </w:tc>
        <w:tc>
          <w:tcPr>
            <w:tcW w:w="3711" w:type="pct"/>
            <w:vAlign w:val="center"/>
          </w:tcPr>
          <w:p>
            <w:pPr>
              <w:pStyle w:val="92"/>
              <w:widowControl/>
              <w:spacing w:line="240" w:lineRule="auto"/>
              <w:ind w:firstLine="0" w:firstLineChars="0"/>
              <w:jc w:val="both"/>
              <w:textAlignment w:val="top"/>
              <w:rPr>
                <w:rFonts w:ascii="仿宋_GB2312" w:hAnsi="仿宋" w:eastAsia="仿宋_GB2312" w:cs="仿宋"/>
                <w:szCs w:val="24"/>
              </w:rPr>
            </w:pPr>
            <w:r>
              <w:rPr>
                <w:rFonts w:hint="eastAsia" w:ascii="仿宋_GB2312" w:hAnsi="仿宋" w:eastAsia="仿宋_GB2312" w:cs="仿宋"/>
                <w:szCs w:val="24"/>
              </w:rPr>
              <w:t>提供生产厂家生产许可证(产品厂家应在(符合国家环保法律法规要求的铅酸蓄电池和再生铅企业名单)里面;</w:t>
            </w:r>
          </w:p>
          <w:p>
            <w:pPr>
              <w:pStyle w:val="92"/>
              <w:widowControl/>
              <w:spacing w:line="240" w:lineRule="auto"/>
              <w:ind w:firstLine="0" w:firstLineChars="0"/>
              <w:jc w:val="both"/>
              <w:textAlignment w:val="top"/>
              <w:rPr>
                <w:rFonts w:ascii="仿宋_GB2312" w:hAnsi="仿宋" w:eastAsia="仿宋_GB2312" w:cs="仿宋"/>
                <w:color w:val="FF0000"/>
                <w:szCs w:val="24"/>
              </w:rPr>
            </w:pPr>
            <w:r>
              <w:rPr>
                <w:rFonts w:hint="eastAsia" w:ascii="仿宋_GB2312" w:hAnsi="宋体" w:eastAsia="仿宋_GB2312"/>
                <w:color w:val="000000"/>
                <w:szCs w:val="24"/>
              </w:rPr>
              <w:t>▲</w:t>
            </w:r>
            <w:r>
              <w:rPr>
                <w:rFonts w:hint="eastAsia" w:ascii="仿宋_GB2312" w:hAnsi="仿宋" w:eastAsia="仿宋_GB2312" w:cs="仿宋"/>
                <w:szCs w:val="24"/>
              </w:rPr>
              <w:t>提供原厂授权书及售后服务承诺函;且蓄电池为行业内知名品牌，并提供证明文件。蓄电池厂家必须提供国家权威机构出具的检测报告(含:泰尔检测报告，电池需具备阻燃的性能并提供相应的检测报告);支持系统冷启动；要求原厂每年提供至少一次巡检和巡检报告。</w:t>
            </w:r>
          </w:p>
        </w:tc>
      </w:tr>
    </w:tbl>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（3）存储续保</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7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46" w:type="pct"/>
            <w:vAlign w:val="center"/>
          </w:tcPr>
          <w:p>
            <w:pPr>
              <w:jc w:val="center"/>
              <w:rPr>
                <w:rFonts w:ascii="仿宋_GB2312" w:hAnsi="仿宋" w:eastAsia="仿宋_GB2312" w:cs="仿宋"/>
                <w:sz w:val="24"/>
              </w:rPr>
            </w:pPr>
            <w:r>
              <w:rPr>
                <w:rFonts w:hint="eastAsia" w:ascii="仿宋_GB2312" w:hAnsi="仿宋" w:eastAsia="仿宋_GB2312" w:cs="仿宋"/>
                <w:sz w:val="24"/>
              </w:rPr>
              <w:t>名称</w:t>
            </w:r>
          </w:p>
        </w:tc>
        <w:tc>
          <w:tcPr>
            <w:tcW w:w="3954" w:type="pct"/>
          </w:tcPr>
          <w:p>
            <w:pPr>
              <w:rPr>
                <w:rFonts w:ascii="仿宋_GB2312" w:hAnsi="仿宋" w:eastAsia="仿宋_GB2312" w:cs="仿宋"/>
                <w:sz w:val="24"/>
              </w:rPr>
            </w:pPr>
            <w:r>
              <w:rPr>
                <w:rFonts w:hint="eastAsia" w:ascii="仿宋_GB2312" w:hAnsi="仿宋" w:eastAsia="仿宋_GB2312" w:cs="仿宋"/>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trPr>
        <w:tc>
          <w:tcPr>
            <w:tcW w:w="1046" w:type="pct"/>
            <w:vAlign w:val="center"/>
          </w:tcPr>
          <w:p>
            <w:pPr>
              <w:jc w:val="center"/>
              <w:rPr>
                <w:rFonts w:ascii="仿宋_GB2312" w:hAnsi="仿宋" w:eastAsia="仿宋_GB2312" w:cs="仿宋"/>
                <w:sz w:val="24"/>
              </w:rPr>
            </w:pPr>
            <w:r>
              <w:rPr>
                <w:rFonts w:hint="eastAsia" w:ascii="仿宋_GB2312" w:hAnsi="仿宋" w:eastAsia="仿宋_GB2312" w:cs="仿宋"/>
                <w:sz w:val="24"/>
              </w:rPr>
              <w:t>设备内容及要求</w:t>
            </w:r>
          </w:p>
        </w:tc>
        <w:tc>
          <w:tcPr>
            <w:tcW w:w="3954" w:type="pct"/>
          </w:tcPr>
          <w:p>
            <w:pPr>
              <w:rPr>
                <w:rFonts w:ascii="仿宋_GB2312" w:hAnsi="仿宋" w:eastAsia="仿宋_GB2312" w:cs="仿宋"/>
                <w:sz w:val="24"/>
              </w:rPr>
            </w:pPr>
            <w:r>
              <w:rPr>
                <w:rFonts w:hint="eastAsia" w:ascii="仿宋_GB2312" w:hAnsi="仿宋" w:eastAsia="仿宋_GB2312" w:cs="仿宋"/>
                <w:sz w:val="24"/>
              </w:rPr>
              <w:t>目前共计29台设备需要续保服务。为了后续管理上的要求，统一续保日期采用固定时间点。本次续保服务统一续保到：2023-05-30.设备如下： 1. MS3000G2存储阵列机头 4台（两两双活架构）； 2. MS7020存储设备机头 1台；3. MS2500G2-12E存储阵列机头 1台； 4. DSU1616磁盘扩展23台，包含了超过300块的磁盘，容量超过1.5PB;</w:t>
            </w:r>
          </w:p>
          <w:p>
            <w:pPr>
              <w:rPr>
                <w:rFonts w:ascii="仿宋_GB2312" w:hAnsi="仿宋" w:eastAsia="仿宋_GB2312" w:cs="仿宋"/>
                <w:sz w:val="24"/>
              </w:rPr>
            </w:pPr>
            <w:r>
              <w:rPr>
                <w:rFonts w:hint="eastAsia" w:ascii="仿宋_GB2312" w:hAnsi="仿宋" w:eastAsia="仿宋_GB2312" w:cs="仿宋"/>
                <w:sz w:val="24"/>
              </w:rPr>
              <w:t xml:space="preserve">共计29台设备（存储阵列机头6台、磁盘扩展柜23台）。                                             </w:t>
            </w:r>
            <w:r>
              <w:rPr>
                <w:rFonts w:hint="eastAsia" w:ascii="仿宋_GB2312" w:hAnsi="宋体" w:eastAsia="仿宋_GB2312"/>
                <w:color w:val="000000"/>
                <w:sz w:val="24"/>
                <w:szCs w:val="24"/>
              </w:rPr>
              <w:t>▲</w:t>
            </w:r>
            <w:r>
              <w:rPr>
                <w:rFonts w:hint="eastAsia" w:ascii="仿宋_GB2312" w:hAnsi="仿宋" w:eastAsia="仿宋_GB2312" w:cs="仿宋"/>
                <w:sz w:val="24"/>
              </w:rPr>
              <w:t>为保证服务质量，提供原厂商授权函及原厂商服务承诺函。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6" w:type="pct"/>
            <w:vAlign w:val="center"/>
          </w:tcPr>
          <w:p>
            <w:pPr>
              <w:jc w:val="center"/>
              <w:rPr>
                <w:rFonts w:ascii="仿宋_GB2312" w:hAnsi="仿宋" w:eastAsia="仿宋_GB2312" w:cs="仿宋"/>
                <w:sz w:val="24"/>
                <w:lang w:eastAsia="zh-Hans"/>
              </w:rPr>
            </w:pPr>
            <w:r>
              <w:rPr>
                <w:rFonts w:hint="eastAsia" w:ascii="仿宋_GB2312" w:hAnsi="仿宋" w:eastAsia="仿宋_GB2312" w:cs="仿宋"/>
                <w:sz w:val="24"/>
              </w:rPr>
              <w:t>服务内容</w:t>
            </w:r>
          </w:p>
        </w:tc>
        <w:tc>
          <w:tcPr>
            <w:tcW w:w="3954" w:type="pct"/>
          </w:tcPr>
          <w:p>
            <w:pPr>
              <w:rPr>
                <w:rFonts w:ascii="仿宋_GB2312" w:hAnsi="仿宋" w:eastAsia="仿宋_GB2312" w:cs="仿宋"/>
                <w:sz w:val="24"/>
              </w:rPr>
            </w:pPr>
            <w:r>
              <w:rPr>
                <w:rFonts w:hint="eastAsia" w:ascii="仿宋_GB2312" w:hAnsi="宋体" w:eastAsia="仿宋_GB2312"/>
                <w:color w:val="000000"/>
                <w:sz w:val="24"/>
                <w:szCs w:val="24"/>
              </w:rPr>
              <w:t>▲</w:t>
            </w:r>
            <w:r>
              <w:rPr>
                <w:rFonts w:hint="eastAsia" w:ascii="仿宋_GB2312" w:hAnsi="仿宋" w:eastAsia="仿宋_GB2312" w:cs="仿宋"/>
                <w:sz w:val="24"/>
              </w:rPr>
              <w:t xml:space="preserve"> 4台MS3000G2+1台MS7020+1台MS2500G2-12E+23台DSU1616磁盘扩展柜，共计29台设备，新的过保日期为：2023-5-30日， 续保内容包括MS3000G2、MS7020、MS2500G2-12E控制器、扩展柜，及其上所有部件，包括：板卡、模块、控制器、缓存、电源及风扇，机头部分硬盘，扩展柜部分硬盘及扩展柜上所有部件。同时包括设备正常运行的软件维护及升级、固件微码升级等。在维保期限内，由原厂工程师现场进行各类软硬件的备件更换及实施等服务，所有部件更换及实施均免费。维保期限内，每季度由宏杉原厂工程师做一次主动巡检、主动排查故障、更换备件等。巡检结果将会以巡检报告的电子版的方式提交到用户方相关负责人。</w:t>
            </w:r>
          </w:p>
        </w:tc>
      </w:tr>
    </w:tbl>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w:t>
      </w:r>
      <w:r>
        <w:rPr>
          <w:rFonts w:ascii="仿宋_GB2312" w:hAnsi="楷体" w:eastAsia="仿宋_GB2312"/>
          <w:b/>
          <w:sz w:val="32"/>
        </w:rPr>
        <w:t>4</w:t>
      </w:r>
      <w:r>
        <w:rPr>
          <w:rFonts w:hint="eastAsia" w:ascii="仿宋_GB2312" w:hAnsi="楷体" w:eastAsia="仿宋_GB2312"/>
          <w:b/>
          <w:sz w:val="32"/>
        </w:rPr>
        <w:t>）防毒墙</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7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仿宋" w:eastAsia="仿宋_GB2312" w:cs="仿宋"/>
                <w:kern w:val="0"/>
                <w:sz w:val="24"/>
                <w:szCs w:val="24"/>
              </w:rPr>
              <w:t>功能项</w:t>
            </w:r>
          </w:p>
        </w:tc>
        <w:tc>
          <w:tcPr>
            <w:tcW w:w="4009" w:type="pct"/>
          </w:tcPr>
          <w:p>
            <w:pPr>
              <w:widowControl/>
              <w:rPr>
                <w:rFonts w:ascii="仿宋_GB2312" w:hAnsi="宋体" w:eastAsia="仿宋_GB2312" w:cs="宋体"/>
                <w:kern w:val="0"/>
                <w:sz w:val="24"/>
                <w:szCs w:val="24"/>
              </w:rPr>
            </w:pPr>
            <w:r>
              <w:rPr>
                <w:rFonts w:hint="eastAsia" w:ascii="仿宋_GB2312" w:hAnsi="仿宋" w:eastAsia="仿宋_GB2312" w:cs="仿宋"/>
                <w:kern w:val="0"/>
                <w:sz w:val="24"/>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产品架构要求</w:t>
            </w: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产品采用自主知识产权的专用操作系统，应用多核并行处理技术保障产品处理性能，需提供公安部计算机信息系统安全产品质量监督检验中心、</w:t>
            </w:r>
            <w:r>
              <w:rPr>
                <w:rFonts w:hint="eastAsia" w:ascii="仿宋_GB2312" w:hAnsi="宋体" w:eastAsia="仿宋_GB2312" w:cs="宋体"/>
                <w:bCs/>
                <w:kern w:val="0"/>
                <w:sz w:val="24"/>
                <w:szCs w:val="24"/>
              </w:rPr>
              <w:t>中国信息安全测评中心、中华人民共和国国家版权局、公安部信息安全产品检测中心之中任意一家检测机构出具关于“多核并行安全操作系统”的证书。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硬件规格要求</w:t>
            </w:r>
          </w:p>
        </w:tc>
        <w:tc>
          <w:tcPr>
            <w:tcW w:w="4009" w:type="pct"/>
          </w:tcPr>
          <w:p>
            <w:pPr>
              <w:widowControl/>
              <w:ind w:left="480" w:hanging="480" w:hanging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产品支持不少于6个 1000M以太网电口，2个1000M SFP口，扩展槽，单电源，1 U机箱。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性能要求</w:t>
            </w: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网络层吞吐量≥12Gbps，应用层吞吐量≥4.4Gbps，并发连接数≥200万，每秒新建连接数≥8万。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工作模式</w:t>
            </w:r>
          </w:p>
        </w:tc>
        <w:tc>
          <w:tcPr>
            <w:tcW w:w="4009" w:type="pct"/>
          </w:tcPr>
          <w:p>
            <w:pPr>
              <w:widowControl/>
              <w:rPr>
                <w:rFonts w:ascii="仿宋_GB2312" w:hAnsi="宋体" w:eastAsia="仿宋_GB2312" w:cs="宋体"/>
                <w:kern w:val="0"/>
                <w:sz w:val="24"/>
                <w:szCs w:val="24"/>
              </w:rPr>
            </w:pPr>
            <w:bookmarkStart w:id="55" w:name="_Hlk56083575"/>
            <w:r>
              <w:rPr>
                <w:rFonts w:hint="eastAsia" w:ascii="仿宋_GB2312" w:hAnsi="宋体" w:eastAsia="仿宋_GB2312" w:cs="宋体"/>
                <w:kern w:val="0"/>
                <w:sz w:val="24"/>
                <w:szCs w:val="24"/>
              </w:rPr>
              <w:t>产品支持路由模式、透明模式、虚拟网线模式、旁路镜像模式等多种部署方式。</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链路状态检测</w:t>
            </w:r>
          </w:p>
        </w:tc>
        <w:tc>
          <w:tcPr>
            <w:tcW w:w="4009" w:type="pct"/>
          </w:tcPr>
          <w:p>
            <w:pPr>
              <w:widowControl/>
              <w:rPr>
                <w:rFonts w:ascii="仿宋_GB2312" w:hAnsi="宋体" w:eastAsia="仿宋_GB2312" w:cs="宋体"/>
                <w:kern w:val="0"/>
                <w:sz w:val="24"/>
                <w:szCs w:val="24"/>
              </w:rPr>
            </w:pPr>
            <w:bookmarkStart w:id="56" w:name="_Hlk34381267"/>
            <w:bookmarkStart w:id="57" w:name="_Hlk56087181"/>
            <w:r>
              <w:rPr>
                <w:rFonts w:hint="eastAsia" w:ascii="仿宋_GB2312" w:hAnsi="宋体" w:eastAsia="仿宋_GB2312" w:cs="宋体"/>
                <w:kern w:val="0"/>
                <w:sz w:val="24"/>
                <w:szCs w:val="24"/>
              </w:rPr>
              <w:t>产品支持链路健康检查功能，支持基于多种协议对链路可用性进行探测，探测协议至少包括DNS解析、ARP探测和PING方式</w:t>
            </w:r>
            <w:bookmarkEnd w:id="56"/>
            <w:r>
              <w:rPr>
                <w:rFonts w:hint="eastAsia" w:ascii="仿宋_GB2312" w:hAnsi="宋体" w:eastAsia="仿宋_GB2312" w:cs="宋体"/>
                <w:kern w:val="0"/>
                <w:sz w:val="24"/>
                <w:szCs w:val="24"/>
              </w:rPr>
              <w:t>。</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链路聚合</w:t>
            </w:r>
          </w:p>
        </w:tc>
        <w:tc>
          <w:tcPr>
            <w:tcW w:w="4009" w:type="pct"/>
          </w:tcPr>
          <w:p>
            <w:pPr>
              <w:widowControl/>
              <w:rPr>
                <w:rFonts w:ascii="仿宋_GB2312" w:hAnsi="宋体" w:eastAsia="仿宋_GB2312" w:cs="宋体"/>
                <w:kern w:val="0"/>
                <w:sz w:val="24"/>
                <w:szCs w:val="24"/>
              </w:rPr>
            </w:pPr>
            <w:bookmarkStart w:id="58" w:name="_Hlk56088400"/>
            <w:r>
              <w:rPr>
                <w:rFonts w:hint="eastAsia" w:ascii="仿宋_GB2312" w:hAnsi="宋体" w:eastAsia="仿宋_GB2312" w:cs="宋体"/>
                <w:kern w:val="0"/>
                <w:sz w:val="24"/>
                <w:szCs w:val="24"/>
              </w:rPr>
              <w:t>产品支持链路聚合功能，可以将多个物理链路组合成一个性能更高的逻辑链路接口，提高链路带宽和链路可靠性。</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接口联动</w:t>
            </w:r>
          </w:p>
        </w:tc>
        <w:tc>
          <w:tcPr>
            <w:tcW w:w="4009" w:type="pct"/>
          </w:tcPr>
          <w:p>
            <w:pPr>
              <w:widowControl/>
              <w:rPr>
                <w:rFonts w:ascii="仿宋_GB2312" w:hAnsi="宋体" w:eastAsia="仿宋_GB2312" w:cs="宋体"/>
                <w:kern w:val="0"/>
                <w:sz w:val="24"/>
                <w:szCs w:val="24"/>
              </w:rPr>
            </w:pPr>
            <w:bookmarkStart w:id="59" w:name="_Hlk56088486"/>
            <w:r>
              <w:rPr>
                <w:rFonts w:hint="eastAsia" w:ascii="仿宋_GB2312" w:hAnsi="宋体" w:eastAsia="仿宋_GB2312" w:cs="宋体"/>
                <w:kern w:val="0"/>
                <w:sz w:val="24"/>
                <w:szCs w:val="24"/>
              </w:rPr>
              <w:t>产品支持接口联动功能，同一联动组内所有物理接口的UP/DOWN状态同步变化。</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restar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路由特性</w:t>
            </w:r>
          </w:p>
        </w:tc>
        <w:tc>
          <w:tcPr>
            <w:tcW w:w="4009" w:type="pct"/>
          </w:tcPr>
          <w:p>
            <w:pPr>
              <w:widowControl/>
              <w:rPr>
                <w:rFonts w:ascii="仿宋_GB2312" w:hAnsi="宋体" w:eastAsia="仿宋_GB2312" w:cs="宋体"/>
                <w:kern w:val="0"/>
                <w:sz w:val="24"/>
                <w:szCs w:val="24"/>
              </w:rPr>
            </w:pPr>
            <w:bookmarkStart w:id="60" w:name="_Hlk56088684"/>
            <w:r>
              <w:rPr>
                <w:rFonts w:hint="eastAsia" w:ascii="仿宋_GB2312" w:hAnsi="宋体" w:eastAsia="仿宋_GB2312" w:cs="宋体"/>
                <w:kern w:val="0"/>
                <w:sz w:val="24"/>
                <w:szCs w:val="24"/>
              </w:rPr>
              <w:t>产品支持静态路由、策略路由和多播路由协议，并支持BGP、RIP、OSPF等动态路由协议。</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61" w:name="_Hlk56090033"/>
            <w:r>
              <w:rPr>
                <w:rFonts w:hint="eastAsia" w:ascii="仿宋_GB2312" w:hAnsi="宋体" w:eastAsia="仿宋_GB2312"/>
                <w:sz w:val="24"/>
                <w:szCs w:val="24"/>
              </w:rPr>
              <w:t>产品支持策略路由负载，</w:t>
            </w:r>
            <w:r>
              <w:rPr>
                <w:rFonts w:hint="eastAsia" w:ascii="仿宋_GB2312" w:hAnsi="宋体" w:eastAsia="仿宋_GB2312" w:cs="宋体"/>
                <w:kern w:val="0"/>
                <w:sz w:val="24"/>
                <w:szCs w:val="24"/>
              </w:rPr>
              <w:t>支持基于服务、ISP地址、应用、地域等维度进行智能选路，保证关键业务流量通过优质链路转发，</w:t>
            </w:r>
            <w:r>
              <w:rPr>
                <w:rFonts w:hint="eastAsia" w:ascii="仿宋_GB2312" w:hAnsi="宋体" w:eastAsia="仿宋_GB2312" w:cs="宋体"/>
                <w:bCs/>
                <w:kern w:val="0"/>
                <w:sz w:val="24"/>
                <w:szCs w:val="24"/>
              </w:rPr>
              <w:t>支持加权流量、带宽比例、线路优先等负载均衡调度算</w:t>
            </w:r>
            <w:bookmarkEnd w:id="61"/>
            <w:r>
              <w:rPr>
                <w:rFonts w:hint="eastAsia" w:ascii="仿宋_GB2312" w:hAnsi="宋体" w:eastAsia="仿宋_GB2312" w:cs="宋体"/>
                <w:bCs/>
                <w:kern w:val="0"/>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DNS代理</w:t>
            </w:r>
          </w:p>
        </w:tc>
        <w:tc>
          <w:tcPr>
            <w:tcW w:w="4009" w:type="pct"/>
          </w:tcPr>
          <w:p>
            <w:pPr>
              <w:widowControl/>
              <w:rPr>
                <w:rFonts w:ascii="仿宋_GB2312" w:hAnsi="宋体" w:eastAsia="仿宋_GB2312" w:cs="宋体"/>
                <w:kern w:val="0"/>
                <w:sz w:val="24"/>
                <w:szCs w:val="24"/>
              </w:rPr>
            </w:pPr>
            <w:bookmarkStart w:id="62" w:name="_Hlk56091899"/>
            <w:r>
              <w:rPr>
                <w:rFonts w:hint="eastAsia" w:ascii="仿宋_GB2312" w:hAnsi="宋体" w:eastAsia="仿宋_GB2312" w:cs="宋体"/>
                <w:color w:val="000000"/>
                <w:kern w:val="0"/>
                <w:sz w:val="24"/>
                <w:szCs w:val="24"/>
              </w:rPr>
              <w:t>产品支持DNS透明代理功能，避免单运营商DNS解析出现单一链路流量过载，平衡多条运营商线路的带宽利用率。</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NAT功能</w:t>
            </w:r>
          </w:p>
        </w:tc>
        <w:tc>
          <w:tcPr>
            <w:tcW w:w="4009" w:type="pct"/>
          </w:tcPr>
          <w:p>
            <w:pPr>
              <w:widowControl/>
              <w:rPr>
                <w:rFonts w:ascii="仿宋_GB2312" w:hAnsi="宋体" w:eastAsia="仿宋_GB2312" w:cs="宋体"/>
                <w:kern w:val="0"/>
                <w:sz w:val="24"/>
                <w:szCs w:val="24"/>
              </w:rPr>
            </w:pPr>
            <w:bookmarkStart w:id="63" w:name="_Hlk56093122"/>
            <w:r>
              <w:rPr>
                <w:rFonts w:hint="eastAsia" w:ascii="仿宋_GB2312" w:hAnsi="宋体" w:eastAsia="仿宋_GB2312" w:cs="宋体"/>
                <w:kern w:val="0"/>
                <w:sz w:val="24"/>
                <w:szCs w:val="24"/>
              </w:rPr>
              <w:t>产品支持支持源地址转换SNAT，目的地址转换DNAT和双向NAT等功能， 支持一对一、一对多、多对一等形式的NAT。</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kern w:val="0"/>
                <w:sz w:val="24"/>
                <w:szCs w:val="24"/>
              </w:rPr>
            </w:pPr>
            <w:bookmarkStart w:id="64" w:name="_Hlk56093244"/>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产品支持NAT64和NAT46 地址转换方式，满足IPv6改造要求。</w:t>
            </w:r>
          </w:p>
        </w:tc>
      </w:tr>
      <w:bookmark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65" w:name="_Hlk56093983"/>
            <w:r>
              <w:rPr>
                <w:rFonts w:hint="eastAsia" w:ascii="仿宋_GB2312" w:hAnsi="宋体" w:eastAsia="仿宋_GB2312" w:cs="宋体"/>
                <w:kern w:val="0"/>
                <w:sz w:val="24"/>
                <w:szCs w:val="24"/>
              </w:rPr>
              <w:t>产品支持各种应用协议的NAT 穿越，实现SQLNET、TFTP、RTSP、PPTP、FTP、H.323、SIP等多种NAT ALG功能。</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IPv6功能</w:t>
            </w:r>
          </w:p>
        </w:tc>
        <w:tc>
          <w:tcPr>
            <w:tcW w:w="4009" w:type="pct"/>
          </w:tcPr>
          <w:p>
            <w:pPr>
              <w:widowControl/>
              <w:rPr>
                <w:rFonts w:ascii="仿宋_GB2312" w:hAnsi="宋体" w:eastAsia="仿宋_GB2312" w:cs="宋体"/>
                <w:kern w:val="0"/>
                <w:sz w:val="24"/>
                <w:szCs w:val="24"/>
              </w:rPr>
            </w:pPr>
            <w:bookmarkStart w:id="66" w:name="_Hlk56095092"/>
            <w:r>
              <w:rPr>
                <w:rFonts w:hint="eastAsia" w:ascii="仿宋_GB2312" w:hAnsi="宋体" w:eastAsia="仿宋_GB2312" w:cs="宋体"/>
                <w:kern w:val="0"/>
                <w:sz w:val="24"/>
                <w:szCs w:val="24"/>
              </w:rPr>
              <w:t>产品支持IPv4/IPv6双栈工作模式，以适应IPv6发展趋势。</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67" w:name="_Hlk56106998"/>
            <w:r>
              <w:rPr>
                <w:rFonts w:hint="eastAsia" w:ascii="仿宋_GB2312" w:hAnsi="宋体" w:eastAsia="仿宋_GB2312" w:cs="宋体"/>
                <w:kern w:val="0"/>
                <w:sz w:val="24"/>
                <w:szCs w:val="24"/>
              </w:rPr>
              <w:t>产品</w:t>
            </w:r>
            <w:bookmarkStart w:id="68" w:name="_Hlk56107117"/>
            <w:r>
              <w:rPr>
                <w:rFonts w:hint="eastAsia" w:ascii="仿宋_GB2312" w:hAnsi="宋体" w:eastAsia="仿宋_GB2312" w:cs="宋体"/>
                <w:kern w:val="0"/>
                <w:sz w:val="24"/>
                <w:szCs w:val="24"/>
              </w:rPr>
              <w:t>支持IPv6访问控制策略设置，基于IPv6的IP地址、服务、域名、应用、时间等条件设置访问控制策略。</w:t>
            </w:r>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VPN功能</w:t>
            </w:r>
          </w:p>
        </w:tc>
        <w:tc>
          <w:tcPr>
            <w:tcW w:w="4009" w:type="pct"/>
          </w:tcPr>
          <w:p>
            <w:pPr>
              <w:widowControl/>
              <w:rPr>
                <w:rFonts w:ascii="仿宋_GB2312" w:hAnsi="宋体" w:eastAsia="仿宋_GB2312" w:cs="宋体"/>
                <w:kern w:val="0"/>
                <w:sz w:val="24"/>
                <w:szCs w:val="24"/>
              </w:rPr>
            </w:pPr>
            <w:bookmarkStart w:id="69" w:name="_Hlk56174638"/>
            <w:r>
              <w:rPr>
                <w:rFonts w:hint="eastAsia" w:ascii="仿宋_GB2312" w:hAnsi="宋体" w:eastAsia="仿宋_GB2312" w:cs="宋体"/>
                <w:kern w:val="0"/>
                <w:sz w:val="24"/>
                <w:szCs w:val="24"/>
              </w:rPr>
              <w:t>产品支持IPsec VPN和SSL VPN功能。</w:t>
            </w:r>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70" w:name="_Hlk56175110"/>
            <w:r>
              <w:rPr>
                <w:rFonts w:hint="eastAsia" w:ascii="仿宋_GB2312" w:hAnsi="宋体" w:eastAsia="仿宋_GB2312" w:cs="宋体"/>
                <w:kern w:val="0"/>
                <w:sz w:val="24"/>
                <w:szCs w:val="24"/>
              </w:rPr>
              <w:t>为满足组网兼容性，IPSec VPN需支持IKEv1和IKEv2协议，支持基于主模式和野蛮模式建立加密隧道。</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sz w:val="24"/>
                <w:szCs w:val="24"/>
              </w:rPr>
              <w:t>▲</w:t>
            </w:r>
            <w:bookmarkStart w:id="71" w:name="_Hlk56174746"/>
            <w:r>
              <w:rPr>
                <w:rFonts w:hint="eastAsia" w:ascii="仿宋_GB2312" w:hAnsi="宋体" w:eastAsia="仿宋_GB2312"/>
                <w:sz w:val="24"/>
                <w:szCs w:val="24"/>
              </w:rPr>
              <w:t>产品支持</w:t>
            </w:r>
            <w:r>
              <w:rPr>
                <w:rFonts w:hint="eastAsia" w:ascii="仿宋_GB2312" w:hAnsi="宋体" w:eastAsia="仿宋_GB2312" w:cs="宋体"/>
                <w:bCs/>
                <w:kern w:val="0"/>
                <w:sz w:val="24"/>
                <w:szCs w:val="24"/>
              </w:rPr>
              <w:t>IPSec VPN智能选路功能，根据线路质量实现自动链路切换</w:t>
            </w:r>
            <w:bookmarkEnd w:id="71"/>
            <w:r>
              <w:rPr>
                <w:rFonts w:hint="eastAsia" w:ascii="仿宋_GB2312" w:hAnsi="宋体" w:eastAsia="仿宋_GB2312" w:cs="宋体"/>
                <w:bCs/>
                <w:kern w:val="0"/>
                <w:sz w:val="24"/>
                <w:szCs w:val="24"/>
              </w:rPr>
              <w:t>。（需提供产品功能截图证明并加盖厂商公章）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72" w:name="_Hlk56175434"/>
            <w:r>
              <w:rPr>
                <w:rFonts w:hint="eastAsia" w:ascii="仿宋_GB2312" w:hAnsi="宋体" w:eastAsia="仿宋_GB2312" w:cs="宋体"/>
                <w:kern w:val="0"/>
                <w:sz w:val="24"/>
                <w:szCs w:val="24"/>
              </w:rPr>
              <w:t>产品支持多种SSL VPN用户认证方式，至少包括本地密码认证、LADP认证和硬件特征码认证。</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认证方式</w:t>
            </w:r>
          </w:p>
        </w:tc>
        <w:tc>
          <w:tcPr>
            <w:tcW w:w="4009" w:type="pct"/>
          </w:tcPr>
          <w:p>
            <w:pPr>
              <w:widowControl/>
              <w:rPr>
                <w:rFonts w:ascii="仿宋_GB2312" w:hAnsi="宋体" w:eastAsia="仿宋_GB2312" w:cs="宋体"/>
                <w:kern w:val="0"/>
                <w:sz w:val="24"/>
                <w:szCs w:val="24"/>
              </w:rPr>
            </w:pPr>
            <w:bookmarkStart w:id="73" w:name="_Hlk56177120"/>
            <w:r>
              <w:rPr>
                <w:rFonts w:hint="eastAsia" w:ascii="仿宋_GB2312" w:hAnsi="宋体" w:eastAsia="仿宋_GB2312" w:cs="宋体"/>
                <w:kern w:val="0"/>
                <w:sz w:val="24"/>
                <w:szCs w:val="24"/>
              </w:rPr>
              <w:t>产品支持多种用户认证方式，用户认证方式要求支持本地密码认证、外部密码认证和单点登陆等方式。</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应用识别</w:t>
            </w:r>
          </w:p>
        </w:tc>
        <w:tc>
          <w:tcPr>
            <w:tcW w:w="4009" w:type="pct"/>
          </w:tcPr>
          <w:p>
            <w:pPr>
              <w:widowControl/>
              <w:rPr>
                <w:rFonts w:ascii="仿宋_GB2312" w:hAnsi="宋体" w:eastAsia="仿宋_GB2312" w:cs="宋体"/>
                <w:kern w:val="0"/>
                <w:sz w:val="24"/>
                <w:szCs w:val="24"/>
              </w:rPr>
            </w:pPr>
            <w:bookmarkStart w:id="74" w:name="_Hlk56179407"/>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产品支持对不少于9</w:t>
            </w:r>
            <w:r>
              <w:rPr>
                <w:rFonts w:ascii="仿宋_GB2312" w:hAnsi="宋体" w:eastAsia="仿宋_GB2312" w:cs="宋体"/>
                <w:kern w:val="0"/>
                <w:sz w:val="24"/>
                <w:szCs w:val="24"/>
              </w:rPr>
              <w:t>000</w:t>
            </w:r>
            <w:r>
              <w:rPr>
                <w:rFonts w:hint="eastAsia" w:ascii="仿宋_GB2312" w:hAnsi="宋体" w:eastAsia="仿宋_GB2312" w:cs="宋体"/>
                <w:kern w:val="0"/>
                <w:sz w:val="24"/>
                <w:szCs w:val="24"/>
              </w:rPr>
              <w:t>种应用的识别和控制，应用类型包括游戏、购物、图书百科、工作招聘、P2P下载、聊天工具、旅游出行、股票软件等类型应用进行检测与控制。</w:t>
            </w:r>
            <w:bookmarkEnd w:id="74"/>
            <w:r>
              <w:rPr>
                <w:rFonts w:hint="eastAsia" w:ascii="仿宋_GB2312" w:hAnsi="宋体" w:eastAsia="仿宋_GB2312" w:cs="宋体"/>
                <w:bCs/>
                <w:kern w:val="0"/>
                <w:sz w:val="24"/>
                <w:szCs w:val="24"/>
              </w:rPr>
              <w:t>（需提供产品功能截图证明并加盖厂商公章）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流量控制</w:t>
            </w: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产品支持多维度流量控制功能，支持基于IP地址、用户、应用、时间设置流量控制策略，保证关键业务带宽日常需求。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▲产品支持基于地区维度设置流控策略，实现多区域流量批量快速管控功能。所投产品必须提供具备CMA认证的第三方权威机构关于“</w:t>
            </w:r>
            <w:r>
              <w:rPr>
                <w:rFonts w:hint="eastAsia" w:ascii="仿宋_GB2312" w:hAnsi="宋体" w:eastAsia="仿宋_GB2312" w:cs="宋体"/>
                <w:kern w:val="0"/>
                <w:sz w:val="24"/>
                <w:szCs w:val="24"/>
              </w:rPr>
              <w:t>国家/地区的流量管理</w:t>
            </w:r>
            <w:r>
              <w:rPr>
                <w:rFonts w:hint="eastAsia" w:ascii="仿宋_GB2312" w:hAnsi="宋体" w:eastAsia="仿宋_GB2312"/>
                <w:color w:val="000000"/>
                <w:sz w:val="24"/>
                <w:szCs w:val="24"/>
              </w:rPr>
              <w:t>”功能项的产品检测报告。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会话控制</w:t>
            </w:r>
          </w:p>
        </w:tc>
        <w:tc>
          <w:tcPr>
            <w:tcW w:w="4009" w:type="pct"/>
          </w:tcPr>
          <w:p>
            <w:pPr>
              <w:widowControl/>
              <w:rPr>
                <w:rFonts w:ascii="仿宋_GB2312" w:hAnsi="宋体" w:eastAsia="仿宋_GB2312" w:cs="宋体"/>
                <w:kern w:val="0"/>
                <w:sz w:val="24"/>
                <w:szCs w:val="24"/>
              </w:rPr>
            </w:pPr>
            <w:bookmarkStart w:id="75" w:name="_Hlk57276805"/>
            <w:r>
              <w:rPr>
                <w:rFonts w:hint="eastAsia" w:ascii="仿宋_GB2312" w:hAnsi="宋体" w:eastAsia="仿宋_GB2312" w:cs="宋体"/>
                <w:kern w:val="0"/>
                <w:sz w:val="24"/>
                <w:szCs w:val="24"/>
              </w:rPr>
              <w:t>产品支持基于IP对象的会话控制策略，实现并发连接数的合理限制。</w:t>
            </w:r>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访问控制策略</w:t>
            </w: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产品支持多维度安全策略设置，可基于时间、用户、应用、IP、域名等内容进行安全策略设置。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地域访问控制</w:t>
            </w:r>
          </w:p>
        </w:tc>
        <w:tc>
          <w:tcPr>
            <w:tcW w:w="4009" w:type="pct"/>
          </w:tcPr>
          <w:p>
            <w:pPr>
              <w:widowControl/>
              <w:rPr>
                <w:rFonts w:ascii="仿宋_GB2312" w:hAnsi="宋体" w:eastAsia="仿宋_GB2312"/>
                <w:sz w:val="24"/>
                <w:szCs w:val="24"/>
              </w:rPr>
            </w:pPr>
            <w:bookmarkStart w:id="76" w:name="_Hlk57280244"/>
            <w:r>
              <w:rPr>
                <w:rFonts w:hint="eastAsia" w:ascii="仿宋_GB2312" w:hAnsi="宋体" w:eastAsia="仿宋_GB2312"/>
                <w:sz w:val="24"/>
                <w:szCs w:val="24"/>
              </w:rPr>
              <w:t>产品支持与国家位置信息结合设置安全策略，识别流量发起的国家或地区的位置信息，根据流量发起的国家或地区的访问位置信息实现对不同区域访问的差异化控制。</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DDoS防护</w:t>
            </w:r>
          </w:p>
        </w:tc>
        <w:tc>
          <w:tcPr>
            <w:tcW w:w="4009" w:type="pct"/>
          </w:tcPr>
          <w:p>
            <w:pPr>
              <w:widowControl/>
              <w:rPr>
                <w:rFonts w:ascii="仿宋_GB2312" w:hAnsi="宋体" w:eastAsia="仿宋_GB2312" w:cs="宋体"/>
                <w:kern w:val="0"/>
                <w:sz w:val="24"/>
                <w:szCs w:val="24"/>
              </w:rPr>
            </w:pPr>
            <w:bookmarkStart w:id="77" w:name="_Hlk57282691"/>
            <w:r>
              <w:rPr>
                <w:rFonts w:hint="eastAsia" w:ascii="仿宋_GB2312" w:hAnsi="宋体" w:eastAsia="仿宋_GB2312" w:cs="宋体"/>
                <w:kern w:val="0"/>
                <w:sz w:val="24"/>
                <w:szCs w:val="24"/>
              </w:rPr>
              <w:t>产品支持对ICMP、UDP、DNS、SYN等协议进行DDOS防护。</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kern w:val="0"/>
                <w:sz w:val="24"/>
                <w:szCs w:val="24"/>
              </w:rPr>
            </w:pPr>
            <w:bookmarkStart w:id="78" w:name="_Hlk57282730"/>
            <w:r>
              <w:rPr>
                <w:rFonts w:hint="eastAsia" w:ascii="仿宋_GB2312" w:hAnsi="宋体" w:eastAsia="仿宋_GB2312" w:cs="宋体"/>
                <w:kern w:val="0"/>
                <w:sz w:val="24"/>
                <w:szCs w:val="24"/>
              </w:rPr>
              <w:t>产品支持异常包攻击防御，异常包攻击类型至少包括Ping of Death、Teardrop、Smurf、Land、WinNuke等攻击类型。</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URL分类过滤</w:t>
            </w:r>
          </w:p>
        </w:tc>
        <w:tc>
          <w:tcPr>
            <w:tcW w:w="4009" w:type="pct"/>
          </w:tcPr>
          <w:p>
            <w:pPr>
              <w:widowControl/>
              <w:rPr>
                <w:rFonts w:ascii="仿宋_GB2312" w:hAnsi="宋体" w:eastAsia="仿宋_GB2312" w:cs="宋体"/>
                <w:kern w:val="0"/>
                <w:sz w:val="24"/>
                <w:szCs w:val="24"/>
              </w:rPr>
            </w:pPr>
            <w:bookmarkStart w:id="79" w:name="_Hlk57283665"/>
            <w:r>
              <w:rPr>
                <w:rFonts w:hint="eastAsia" w:ascii="仿宋_GB2312" w:hAnsi="宋体" w:eastAsia="仿宋_GB2312" w:cs="宋体"/>
                <w:kern w:val="0"/>
                <w:sz w:val="24"/>
                <w:szCs w:val="24"/>
              </w:rPr>
              <w:t>产品支持全面的URL分类库，针对网站类别实现细粒度管控，杜绝非法、违规网站的访问行为。</w:t>
            </w:r>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文件过滤</w:t>
            </w:r>
          </w:p>
        </w:tc>
        <w:tc>
          <w:tcPr>
            <w:tcW w:w="4009" w:type="pct"/>
          </w:tcPr>
          <w:p>
            <w:pPr>
              <w:widowControl/>
              <w:rPr>
                <w:rFonts w:ascii="仿宋_GB2312" w:hAnsi="宋体" w:eastAsia="仿宋_GB2312" w:cs="宋体"/>
                <w:kern w:val="0"/>
                <w:sz w:val="24"/>
                <w:szCs w:val="24"/>
              </w:rPr>
            </w:pPr>
            <w:bookmarkStart w:id="80" w:name="_Hlk57284408"/>
            <w:r>
              <w:rPr>
                <w:rFonts w:hint="eastAsia" w:ascii="仿宋_GB2312" w:hAnsi="宋体" w:eastAsia="仿宋_GB2312" w:cs="宋体"/>
                <w:kern w:val="0"/>
                <w:sz w:val="24"/>
                <w:szCs w:val="24"/>
              </w:rPr>
              <w:t>产品支持对文件传输行为进行安全过滤，支持基于上传、下载、双向的文件内容过滤，内容过滤类型至少支持网页、脚本、压缩文件、图片、可执行文件、适配、文本等常见文件类型。</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加密流量安全防护</w:t>
            </w:r>
          </w:p>
        </w:tc>
        <w:tc>
          <w:tcPr>
            <w:tcW w:w="4009" w:type="pct"/>
          </w:tcPr>
          <w:p>
            <w:pPr>
              <w:widowControl/>
              <w:rPr>
                <w:rFonts w:ascii="仿宋_GB2312" w:hAnsi="宋体" w:eastAsia="仿宋_GB2312" w:cs="宋体"/>
                <w:kern w:val="0"/>
                <w:sz w:val="24"/>
                <w:szCs w:val="24"/>
              </w:rPr>
            </w:pPr>
            <w:bookmarkStart w:id="81" w:name="_Hlk57284504"/>
            <w:r>
              <w:rPr>
                <w:rFonts w:hint="eastAsia" w:ascii="仿宋_GB2312" w:hAnsi="宋体" w:eastAsia="仿宋_GB2312" w:cs="宋体"/>
                <w:kern w:val="0"/>
                <w:sz w:val="24"/>
                <w:szCs w:val="24"/>
              </w:rPr>
              <w:t>产品支持对HTTPS协议加密流量进行解密，支持配置基于区域、对象、业务类型、服务器IP/端口的解密策略。</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防病毒</w:t>
            </w:r>
          </w:p>
        </w:tc>
        <w:tc>
          <w:tcPr>
            <w:tcW w:w="4009" w:type="pct"/>
          </w:tcPr>
          <w:p>
            <w:pPr>
              <w:widowControl/>
              <w:rPr>
                <w:rFonts w:ascii="仿宋_GB2312" w:hAnsi="宋体" w:eastAsia="仿宋_GB2312"/>
                <w:color w:val="000000"/>
                <w:sz w:val="24"/>
                <w:szCs w:val="24"/>
              </w:rPr>
            </w:pPr>
            <w:bookmarkStart w:id="82" w:name="_Hlk57293223"/>
            <w:r>
              <w:rPr>
                <w:rFonts w:hint="eastAsia" w:ascii="仿宋_GB2312" w:hAnsi="宋体" w:eastAsia="仿宋_GB2312"/>
                <w:color w:val="000000"/>
                <w:sz w:val="24"/>
                <w:szCs w:val="24"/>
              </w:rPr>
              <w:t>产品支持</w:t>
            </w:r>
            <w:r>
              <w:rPr>
                <w:rFonts w:hint="eastAsia" w:ascii="仿宋_GB2312" w:hAnsi="宋体" w:eastAsia="仿宋_GB2312" w:cs="宋体"/>
                <w:color w:val="000000"/>
                <w:kern w:val="0"/>
                <w:sz w:val="24"/>
                <w:szCs w:val="24"/>
              </w:rPr>
              <w:t>对SMTP、HTTP、FTP、SMB、POP3、</w:t>
            </w:r>
            <w:r>
              <w:rPr>
                <w:rFonts w:hint="eastAsia" w:ascii="仿宋_GB2312" w:hAnsi="宋体" w:eastAsia="仿宋_GB2312" w:cs="宋体"/>
                <w:kern w:val="0"/>
                <w:sz w:val="24"/>
                <w:szCs w:val="24"/>
              </w:rPr>
              <w:t>HTTPS、</w:t>
            </w:r>
            <w:r>
              <w:rPr>
                <w:rFonts w:hint="eastAsia" w:ascii="仿宋_GB2312" w:hAnsi="宋体" w:eastAsia="仿宋_GB2312" w:cs="宋体"/>
                <w:color w:val="000000"/>
                <w:kern w:val="0"/>
                <w:sz w:val="24"/>
                <w:szCs w:val="24"/>
              </w:rPr>
              <w:t>IMAP等协议进行病毒防御。</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olor w:val="000000"/>
                <w:sz w:val="24"/>
                <w:szCs w:val="24"/>
              </w:rPr>
            </w:pPr>
            <w:bookmarkStart w:id="83" w:name="_Hlk57293701"/>
            <w:r>
              <w:rPr>
                <w:rFonts w:hint="eastAsia" w:ascii="仿宋_GB2312" w:hAnsi="宋体" w:eastAsia="仿宋_GB2312"/>
                <w:color w:val="000000"/>
                <w:sz w:val="24"/>
                <w:szCs w:val="24"/>
              </w:rPr>
              <w:t>▲产品支持对多重压缩文件的病毒检测能力，支持不小于12层压缩文件病毒检测与处置。</w:t>
            </w:r>
            <w:bookmarkEnd w:id="83"/>
            <w:r>
              <w:rPr>
                <w:rFonts w:hint="eastAsia" w:ascii="仿宋_GB2312" w:hAnsi="宋体" w:eastAsia="仿宋_GB2312" w:cs="宋体"/>
                <w:bCs/>
                <w:kern w:val="0"/>
                <w:sz w:val="24"/>
                <w:szCs w:val="24"/>
              </w:rPr>
              <w:t>（需提供产品功能截图证明并加盖厂商公章）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olor w:val="000000"/>
                <w:sz w:val="24"/>
                <w:szCs w:val="24"/>
              </w:rPr>
            </w:pPr>
            <w:bookmarkStart w:id="84" w:name="_Hlk57294207"/>
            <w:r>
              <w:rPr>
                <w:rFonts w:hint="eastAsia" w:ascii="仿宋_GB2312" w:hAnsi="宋体" w:eastAsia="仿宋_GB2312"/>
                <w:color w:val="000000"/>
                <w:sz w:val="24"/>
                <w:szCs w:val="24"/>
              </w:rPr>
              <w:t>产品支持病毒例外特征设置，根据文件MD5值和文件URL设置病毒白名单，不对白名单进行病毒查杀。</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bCs/>
                <w:color w:val="000000"/>
                <w:kern w:val="0"/>
                <w:sz w:val="24"/>
                <w:szCs w:val="24"/>
                <w:highlight w:val="green"/>
              </w:rPr>
            </w:pPr>
            <w:r>
              <w:rPr>
                <w:rFonts w:hint="eastAsia" w:ascii="仿宋_GB2312" w:hAnsi="宋体" w:eastAsia="仿宋_GB2312"/>
                <w:color w:val="000000"/>
                <w:sz w:val="24"/>
                <w:szCs w:val="24"/>
              </w:rPr>
              <w:t>▲</w:t>
            </w:r>
            <w:r>
              <w:rPr>
                <w:rFonts w:hint="eastAsia" w:ascii="仿宋_GB2312" w:hAnsi="宋体" w:eastAsia="仿宋_GB2312" w:cs="宋体"/>
                <w:bCs/>
                <w:color w:val="000000"/>
                <w:kern w:val="0"/>
                <w:sz w:val="24"/>
                <w:szCs w:val="24"/>
              </w:rPr>
              <w:t>产品支持勒索病毒检测与防御功能，为保障勒索病毒的防御效果，</w:t>
            </w:r>
            <w:r>
              <w:rPr>
                <w:rFonts w:hint="eastAsia" w:ascii="仿宋_GB2312" w:hAnsi="宋体" w:eastAsia="仿宋_GB2312"/>
                <w:color w:val="000000"/>
                <w:sz w:val="24"/>
                <w:szCs w:val="24"/>
              </w:rPr>
              <w:t>所投产品必须提供具备CMA认证的第三方权威机构关于“</w:t>
            </w:r>
            <w:r>
              <w:rPr>
                <w:rFonts w:hint="eastAsia" w:ascii="仿宋_GB2312" w:hAnsi="宋体" w:eastAsia="仿宋_GB2312" w:cs="宋体"/>
                <w:bCs/>
                <w:color w:val="000000"/>
                <w:kern w:val="0"/>
                <w:sz w:val="24"/>
                <w:szCs w:val="24"/>
              </w:rPr>
              <w:t>勒索软件通信防护</w:t>
            </w:r>
            <w:r>
              <w:rPr>
                <w:rFonts w:hint="eastAsia" w:ascii="仿宋_GB2312" w:hAnsi="宋体" w:eastAsia="仿宋_GB2312"/>
                <w:color w:val="000000"/>
                <w:sz w:val="24"/>
                <w:szCs w:val="24"/>
              </w:rPr>
              <w:t>”功能项的产品检测报告。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91" w:type="pct"/>
            <w:vMerge w:val="restar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入侵防御</w:t>
            </w: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w:t>
            </w:r>
            <w:bookmarkStart w:id="85" w:name="_Hlk57297264"/>
            <w:r>
              <w:rPr>
                <w:rFonts w:hint="eastAsia" w:ascii="仿宋_GB2312" w:hAnsi="宋体" w:eastAsia="仿宋_GB2312"/>
                <w:color w:val="000000"/>
                <w:sz w:val="24"/>
                <w:szCs w:val="24"/>
              </w:rPr>
              <w:t>产品预</w:t>
            </w:r>
            <w:r>
              <w:rPr>
                <w:rFonts w:hint="eastAsia" w:ascii="仿宋_GB2312" w:hAnsi="宋体" w:eastAsia="仿宋_GB2312"/>
                <w:sz w:val="24"/>
                <w:szCs w:val="24"/>
              </w:rPr>
              <w:t>定义漏洞特征数量超过</w:t>
            </w:r>
            <w:r>
              <w:rPr>
                <w:rFonts w:ascii="仿宋_GB2312" w:hAnsi="宋体" w:eastAsia="仿宋_GB2312"/>
                <w:sz w:val="24"/>
                <w:szCs w:val="24"/>
              </w:rPr>
              <w:t>7000</w:t>
            </w:r>
            <w:r>
              <w:rPr>
                <w:rFonts w:hint="eastAsia" w:ascii="仿宋_GB2312" w:hAnsi="宋体" w:eastAsia="仿宋_GB2312"/>
                <w:sz w:val="24"/>
                <w:szCs w:val="24"/>
              </w:rPr>
              <w:t>种，</w:t>
            </w:r>
            <w:bookmarkStart w:id="86" w:name="_Hlk57297665"/>
            <w:r>
              <w:rPr>
                <w:rFonts w:hint="eastAsia" w:ascii="仿宋_GB2312" w:hAnsi="宋体" w:eastAsia="仿宋_GB2312"/>
                <w:color w:val="000000"/>
                <w:sz w:val="24"/>
                <w:szCs w:val="24"/>
              </w:rPr>
              <w:t>支持在产品漏洞特征库中以漏洞名称、漏洞ID、漏洞CVE标识、危险等级和漏洞描述等条件快速查询特定漏洞特征信息，支持用户自定义IPS规则</w:t>
            </w:r>
            <w:bookmarkEnd w:id="86"/>
            <w:r>
              <w:rPr>
                <w:rFonts w:hint="eastAsia" w:ascii="仿宋_GB2312" w:hAnsi="宋体" w:eastAsia="仿宋_GB2312"/>
                <w:color w:val="000000"/>
                <w:sz w:val="24"/>
                <w:szCs w:val="24"/>
              </w:rPr>
              <w:t>。</w:t>
            </w:r>
            <w:bookmarkEnd w:id="85"/>
            <w:r>
              <w:rPr>
                <w:rFonts w:hint="eastAsia" w:ascii="仿宋_GB2312" w:hAnsi="宋体" w:eastAsia="仿宋_GB2312" w:cs="宋体"/>
                <w:bCs/>
                <w:kern w:val="0"/>
                <w:sz w:val="24"/>
                <w:szCs w:val="24"/>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olor w:val="000000"/>
                <w:sz w:val="24"/>
                <w:szCs w:val="24"/>
              </w:rPr>
            </w:pPr>
            <w:bookmarkStart w:id="87" w:name="_Hlk57298254"/>
            <w:r>
              <w:rPr>
                <w:rFonts w:hint="eastAsia" w:ascii="仿宋_GB2312" w:hAnsi="宋体" w:eastAsia="仿宋_GB2312"/>
                <w:color w:val="000000"/>
                <w:sz w:val="24"/>
                <w:szCs w:val="24"/>
              </w:rPr>
              <w:t>产品支持基于IMAP、FTP、RDP、VNC、SSH、TELNET、ORACLE、MYSQL、MSSQL等应用协议进行深度检测与防护。</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kern w:val="0"/>
                <w:sz w:val="24"/>
                <w:szCs w:val="24"/>
              </w:rPr>
            </w:pPr>
          </w:p>
        </w:tc>
        <w:tc>
          <w:tcPr>
            <w:tcW w:w="4009" w:type="pct"/>
          </w:tcPr>
          <w:p>
            <w:pPr>
              <w:widowControl/>
              <w:rPr>
                <w:rFonts w:ascii="仿宋_GB2312" w:hAnsi="宋体" w:eastAsia="仿宋_GB2312" w:cs="宋体"/>
                <w:bCs/>
                <w:kern w:val="0"/>
                <w:sz w:val="24"/>
                <w:szCs w:val="24"/>
              </w:rPr>
            </w:pPr>
            <w:bookmarkStart w:id="88" w:name="_Hlk57302178"/>
            <w:r>
              <w:rPr>
                <w:rFonts w:hint="eastAsia" w:ascii="仿宋_GB2312" w:hAnsi="宋体" w:eastAsia="仿宋_GB2312"/>
                <w:color w:val="000000"/>
                <w:sz w:val="24"/>
                <w:szCs w:val="24"/>
              </w:rPr>
              <w:t>▲</w:t>
            </w:r>
            <w:r>
              <w:rPr>
                <w:rFonts w:hint="eastAsia" w:ascii="仿宋_GB2312" w:hAnsi="宋体" w:eastAsia="仿宋_GB2312" w:cs="宋体"/>
                <w:bCs/>
                <w:kern w:val="0"/>
                <w:sz w:val="24"/>
                <w:szCs w:val="24"/>
              </w:rPr>
              <w:t>产品支持僵尸主机检测功能，</w:t>
            </w:r>
            <w:r>
              <w:rPr>
                <w:rFonts w:hint="eastAsia" w:ascii="仿宋_GB2312" w:hAnsi="宋体" w:eastAsia="仿宋_GB2312"/>
                <w:color w:val="000000"/>
                <w:sz w:val="24"/>
                <w:szCs w:val="24"/>
              </w:rPr>
              <w:t>产品预定义特征库超过110万种，</w:t>
            </w:r>
            <w:r>
              <w:rPr>
                <w:rFonts w:hint="eastAsia" w:ascii="仿宋_GB2312" w:hAnsi="宋体" w:eastAsia="仿宋_GB2312" w:cs="宋体"/>
                <w:bCs/>
                <w:kern w:val="0"/>
                <w:sz w:val="24"/>
                <w:szCs w:val="24"/>
              </w:rPr>
              <w:t>可识别主机的异常外联行为</w:t>
            </w:r>
            <w:bookmarkEnd w:id="88"/>
            <w:r>
              <w:rPr>
                <w:rFonts w:hint="eastAsia" w:ascii="仿宋_GB2312" w:hAnsi="宋体" w:eastAsia="仿宋_GB2312" w:cs="宋体"/>
                <w:bCs/>
                <w:kern w:val="0"/>
                <w:sz w:val="24"/>
                <w:szCs w:val="24"/>
              </w:rPr>
              <w:t>。（需提供产品功能截图证明并加盖厂商公章）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终端安全软件联动</w:t>
            </w: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w:t>
            </w:r>
            <w:bookmarkStart w:id="89" w:name="_Hlk57313940"/>
            <w:r>
              <w:rPr>
                <w:rFonts w:hint="eastAsia" w:ascii="仿宋_GB2312" w:hAnsi="宋体" w:eastAsia="仿宋_GB2312"/>
                <w:color w:val="000000"/>
                <w:sz w:val="24"/>
                <w:szCs w:val="24"/>
              </w:rPr>
              <w:t>产品支持与终端安全软件联动管理，在防火墙产品完成终端安全策略设置和内网终端安全软件的统一管理。</w:t>
            </w:r>
            <w:bookmarkEnd w:id="89"/>
            <w:r>
              <w:rPr>
                <w:rFonts w:hint="eastAsia" w:ascii="仿宋_GB2312" w:hAnsi="宋体" w:eastAsia="仿宋_GB2312" w:cs="宋体"/>
                <w:bCs/>
                <w:kern w:val="0"/>
                <w:sz w:val="24"/>
                <w:szCs w:val="24"/>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态势感知平台联动</w:t>
            </w: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产品支持与现有态势感知平台联动，将本地防火墙产品产生的安全日志等数据上报至态势感知平台，并在态势感知平台进行威胁展示。</w:t>
            </w:r>
            <w:r>
              <w:rPr>
                <w:rFonts w:hint="eastAsia" w:ascii="仿宋_GB2312" w:hAnsi="宋体" w:eastAsia="仿宋_GB2312" w:cs="宋体"/>
                <w:bCs/>
                <w:kern w:val="0"/>
                <w:sz w:val="24"/>
                <w:szCs w:val="24"/>
              </w:rPr>
              <w:t>（需提供产品功能截图证明并加盖厂商公章）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策略有效性分析</w:t>
            </w:r>
          </w:p>
        </w:tc>
        <w:tc>
          <w:tcPr>
            <w:tcW w:w="4009" w:type="pct"/>
          </w:tcPr>
          <w:p>
            <w:pPr>
              <w:widowControl/>
              <w:rPr>
                <w:rFonts w:ascii="仿宋_GB2312" w:hAnsi="宋体" w:eastAsia="仿宋_GB2312" w:cs="宋体"/>
                <w:color w:val="000000"/>
                <w:kern w:val="0"/>
                <w:sz w:val="24"/>
                <w:szCs w:val="24"/>
              </w:rPr>
            </w:pPr>
            <w:bookmarkStart w:id="90" w:name="_Hlk57315111"/>
            <w:r>
              <w:rPr>
                <w:rFonts w:hint="eastAsia" w:ascii="仿宋_GB2312" w:hAnsi="宋体" w:eastAsia="仿宋_GB2312" w:cs="宋体"/>
                <w:color w:val="000000"/>
                <w:kern w:val="0"/>
                <w:sz w:val="24"/>
                <w:szCs w:val="24"/>
              </w:rPr>
              <w:t>产品支持安全策略有效性分析功能，分析内容至少包括策略冗余分析、策略匹配分析、风险端口风险等内容，提供安全策略优化建议。</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策略生命周期管理</w:t>
            </w:r>
          </w:p>
        </w:tc>
        <w:tc>
          <w:tcPr>
            <w:tcW w:w="4009" w:type="pct"/>
          </w:tcPr>
          <w:p>
            <w:pPr>
              <w:widowControl/>
              <w:rPr>
                <w:rFonts w:ascii="仿宋_GB2312" w:hAnsi="宋体" w:eastAsia="仿宋_GB2312"/>
                <w:color w:val="000000"/>
                <w:sz w:val="24"/>
                <w:szCs w:val="24"/>
              </w:rPr>
            </w:pPr>
            <w:r>
              <w:rPr>
                <w:rFonts w:hint="eastAsia" w:ascii="仿宋_GB2312" w:hAnsi="宋体" w:eastAsia="仿宋_GB2312"/>
                <w:color w:val="000000"/>
                <w:sz w:val="24"/>
                <w:szCs w:val="24"/>
              </w:rPr>
              <w:t>▲</w:t>
            </w:r>
            <w:bookmarkStart w:id="91" w:name="_Hlk57315496"/>
            <w:r>
              <w:rPr>
                <w:rFonts w:hint="eastAsia" w:ascii="仿宋_GB2312" w:hAnsi="宋体" w:eastAsia="仿宋_GB2312"/>
                <w:color w:val="000000"/>
                <w:sz w:val="24"/>
                <w:szCs w:val="24"/>
              </w:rPr>
              <w:t>产品支持策略生命周期管理功能，支持对安全策略修改的时间、原因、变更类型进行统一管理，便于策略的运维与管理。</w:t>
            </w:r>
            <w:bookmarkEnd w:id="91"/>
            <w:r>
              <w:rPr>
                <w:rFonts w:hint="eastAsia" w:ascii="仿宋_GB2312" w:hAnsi="宋体" w:eastAsia="仿宋_GB2312" w:cs="宋体"/>
                <w:bCs/>
                <w:color w:val="000000"/>
                <w:kern w:val="0"/>
                <w:sz w:val="24"/>
                <w:szCs w:val="24"/>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双机部署</w:t>
            </w:r>
          </w:p>
        </w:tc>
        <w:tc>
          <w:tcPr>
            <w:tcW w:w="4009" w:type="pct"/>
          </w:tcPr>
          <w:p>
            <w:pPr>
              <w:widowControl/>
              <w:rPr>
                <w:rFonts w:ascii="仿宋_GB2312" w:hAnsi="宋体" w:eastAsia="仿宋_GB2312" w:cs="宋体"/>
                <w:bCs/>
                <w:color w:val="000000"/>
                <w:kern w:val="0"/>
                <w:sz w:val="24"/>
                <w:szCs w:val="24"/>
              </w:rPr>
            </w:pPr>
            <w:bookmarkStart w:id="92" w:name="_Hlk57316621"/>
            <w:r>
              <w:rPr>
                <w:rFonts w:hint="eastAsia" w:ascii="仿宋_GB2312" w:hAnsi="宋体" w:eastAsia="仿宋_GB2312" w:cs="宋体"/>
                <w:bCs/>
                <w:color w:val="000000"/>
                <w:kern w:val="0"/>
                <w:sz w:val="24"/>
                <w:szCs w:val="24"/>
              </w:rPr>
              <w:t>产品支持主主、主备两种双机模式部署。</w:t>
            </w: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管理方式</w:t>
            </w:r>
          </w:p>
        </w:tc>
        <w:tc>
          <w:tcPr>
            <w:tcW w:w="4009" w:type="pct"/>
          </w:tcPr>
          <w:p>
            <w:pPr>
              <w:widowControl/>
              <w:rPr>
                <w:rFonts w:ascii="仿宋_GB2312" w:hAnsi="宋体" w:eastAsia="仿宋_GB2312" w:cs="宋体"/>
                <w:bCs/>
                <w:color w:val="000000"/>
                <w:kern w:val="0"/>
                <w:sz w:val="24"/>
                <w:szCs w:val="24"/>
              </w:rPr>
            </w:pPr>
            <w:bookmarkStart w:id="93" w:name="_Hlk57316812"/>
            <w:r>
              <w:rPr>
                <w:rFonts w:hint="eastAsia" w:ascii="仿宋_GB2312" w:hAnsi="宋体" w:eastAsia="仿宋_GB2312" w:cs="宋体"/>
                <w:bCs/>
                <w:color w:val="000000"/>
                <w:kern w:val="0"/>
                <w:sz w:val="24"/>
                <w:szCs w:val="24"/>
              </w:rPr>
              <w:t>产品支持Web管理、串口管理、SSH管理等多种不同方式。</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安全日志设置</w:t>
            </w:r>
          </w:p>
        </w:tc>
        <w:tc>
          <w:tcPr>
            <w:tcW w:w="4009" w:type="pct"/>
          </w:tcPr>
          <w:p>
            <w:pPr>
              <w:widowControl/>
              <w:rPr>
                <w:rFonts w:ascii="仿宋_GB2312" w:hAnsi="宋体" w:eastAsia="仿宋_GB2312" w:cs="宋体"/>
                <w:kern w:val="0"/>
                <w:sz w:val="24"/>
                <w:szCs w:val="24"/>
              </w:rPr>
            </w:pPr>
            <w:bookmarkStart w:id="94" w:name="_Hlk57317283"/>
            <w:r>
              <w:rPr>
                <w:rFonts w:hint="eastAsia" w:ascii="仿宋_GB2312" w:hAnsi="宋体" w:eastAsia="仿宋_GB2312" w:cs="宋体"/>
                <w:kern w:val="0"/>
                <w:sz w:val="24"/>
                <w:szCs w:val="24"/>
              </w:rPr>
              <w:t>产品安全日志支持本机、Syslog服务器和第三方管理平台等不同形式存储方式。</w:t>
            </w:r>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安全日志查询</w:t>
            </w:r>
          </w:p>
        </w:tc>
        <w:tc>
          <w:tcPr>
            <w:tcW w:w="4009" w:type="pct"/>
          </w:tcPr>
          <w:p>
            <w:pPr>
              <w:widowControl/>
              <w:rPr>
                <w:rFonts w:ascii="仿宋_GB2312" w:hAnsi="宋体" w:eastAsia="仿宋_GB2312" w:cs="宋体"/>
                <w:kern w:val="0"/>
                <w:sz w:val="24"/>
                <w:szCs w:val="24"/>
              </w:rPr>
            </w:pPr>
            <w:bookmarkStart w:id="95" w:name="_Hlk57317645"/>
            <w:r>
              <w:rPr>
                <w:rFonts w:hint="eastAsia" w:ascii="仿宋_GB2312" w:hAnsi="宋体" w:eastAsia="仿宋_GB2312" w:cs="宋体"/>
                <w:kern w:val="0"/>
                <w:sz w:val="24"/>
                <w:szCs w:val="24"/>
              </w:rPr>
              <w:t>产品支持多种自定义条件快速查询安全日志，自定义条件至少包括时间、日志类型、安全日志严重等级等条件。</w:t>
            </w:r>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管理员账号权限管控</w:t>
            </w:r>
          </w:p>
        </w:tc>
        <w:tc>
          <w:tcPr>
            <w:tcW w:w="4009" w:type="pct"/>
          </w:tcPr>
          <w:p>
            <w:pPr>
              <w:widowControl/>
              <w:rPr>
                <w:rFonts w:ascii="仿宋_GB2312" w:hAnsi="宋体" w:eastAsia="仿宋_GB2312" w:cs="宋体"/>
                <w:kern w:val="0"/>
                <w:sz w:val="24"/>
                <w:szCs w:val="24"/>
              </w:rPr>
            </w:pPr>
            <w:bookmarkStart w:id="96" w:name="_Hlk57317968"/>
            <w:r>
              <w:rPr>
                <w:rFonts w:hint="eastAsia" w:ascii="仿宋_GB2312" w:hAnsi="宋体" w:eastAsia="仿宋_GB2312" w:cs="宋体"/>
                <w:kern w:val="0"/>
                <w:sz w:val="24"/>
                <w:szCs w:val="24"/>
              </w:rPr>
              <w:t>产品支持三权分立功能，根据管理员权限分为安全管理员、审计员、系统管理员三种角色。</w:t>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双因素认证</w:t>
            </w:r>
          </w:p>
        </w:tc>
        <w:tc>
          <w:tcPr>
            <w:tcW w:w="4009" w:type="pct"/>
          </w:tcPr>
          <w:p>
            <w:pPr>
              <w:widowControl/>
              <w:rPr>
                <w:rFonts w:ascii="仿宋_GB2312" w:hAnsi="宋体" w:eastAsia="仿宋_GB2312" w:cs="宋体"/>
                <w:bCs/>
                <w:kern w:val="0"/>
                <w:sz w:val="24"/>
                <w:szCs w:val="24"/>
              </w:rPr>
            </w:pPr>
            <w:bookmarkStart w:id="97" w:name="_Hlk57318031"/>
            <w:r>
              <w:rPr>
                <w:rFonts w:hint="eastAsia" w:ascii="仿宋_GB2312" w:hAnsi="宋体" w:eastAsia="仿宋_GB2312"/>
                <w:color w:val="000000"/>
                <w:sz w:val="24"/>
                <w:szCs w:val="24"/>
              </w:rPr>
              <w:t>▲</w:t>
            </w:r>
            <w:bookmarkStart w:id="98" w:name="_Hlk57319226"/>
            <w:r>
              <w:rPr>
                <w:rFonts w:hint="eastAsia" w:ascii="仿宋_GB2312" w:hAnsi="宋体" w:eastAsia="仿宋_GB2312" w:cs="宋体"/>
                <w:kern w:val="0"/>
                <w:sz w:val="24"/>
                <w:szCs w:val="24"/>
              </w:rPr>
              <w:t>产品支持管理员双因素认证功能，用户通过用户名/密码和Key等不同方式登陆产品管理界面。</w:t>
            </w:r>
            <w:bookmarkEnd w:id="97"/>
            <w:bookmarkEnd w:id="98"/>
            <w:r>
              <w:rPr>
                <w:rFonts w:hint="eastAsia" w:ascii="仿宋_GB2312" w:hAnsi="宋体" w:eastAsia="仿宋_GB2312" w:cs="宋体"/>
                <w:bCs/>
                <w:color w:val="000000"/>
                <w:kern w:val="0"/>
                <w:sz w:val="24"/>
                <w:szCs w:val="24"/>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网管协议</w:t>
            </w:r>
          </w:p>
        </w:tc>
        <w:tc>
          <w:tcPr>
            <w:tcW w:w="4009" w:type="pct"/>
          </w:tcPr>
          <w:p>
            <w:pPr>
              <w:widowControl/>
              <w:rPr>
                <w:rFonts w:ascii="仿宋_GB2312" w:hAnsi="宋体" w:eastAsia="仿宋_GB2312" w:cs="宋体"/>
                <w:bCs/>
                <w:kern w:val="0"/>
                <w:sz w:val="24"/>
                <w:szCs w:val="24"/>
              </w:rPr>
            </w:pPr>
            <w:bookmarkStart w:id="99" w:name="_Hlk57319250"/>
            <w:r>
              <w:rPr>
                <w:rFonts w:hint="eastAsia" w:ascii="仿宋_GB2312" w:hAnsi="宋体" w:eastAsia="仿宋_GB2312" w:cs="宋体"/>
                <w:bCs/>
                <w:kern w:val="0"/>
                <w:sz w:val="24"/>
                <w:szCs w:val="24"/>
              </w:rPr>
              <w:t>产品支持标准网管协议SNMP V1、SNMP V2、SNMP V3、SNMP Trap。</w:t>
            </w:r>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restar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产品资质</w:t>
            </w: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要求所投产品具备计算机信息系统安全专用产品销售许可证，提供有效证书复印件。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要求所投产品具备中国国家信息安全产品认证证书，提供有效证书复印件。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要求所投产品具备IT产品信息安全认证证书EAL4增强级，提供有效证书复印件。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▲要求所投产品通过ICSA Labs 防火墙品类产品认证，提供有效证明材料。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要求所投产品具备国家信息安全漏洞库兼容性资质证书，提供有效证书复印件。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bCs/>
                <w:kern w:val="0"/>
                <w:sz w:val="24"/>
                <w:szCs w:val="24"/>
              </w:rPr>
              <w:t>要求所投产品具备</w:t>
            </w:r>
            <w:r>
              <w:rPr>
                <w:rFonts w:hint="eastAsia" w:ascii="仿宋_GB2312" w:hAnsi="宋体" w:eastAsia="仿宋_GB2312" w:cs="宋体"/>
                <w:kern w:val="0"/>
                <w:sz w:val="24"/>
                <w:szCs w:val="24"/>
              </w:rPr>
              <w:t>中华人民共和国工业和信息化部颁发的《电信设备进网许可证》，需提供证书复印件。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bCs/>
                <w:kern w:val="0"/>
                <w:sz w:val="24"/>
                <w:szCs w:val="24"/>
              </w:rPr>
              <w:t>要求所投产品具备IPv6 Ready Phase-2认证，需提供证书复印件。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restart"/>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厂商资质</w:t>
            </w: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所投产品的生产厂商应是国家互联网应急响应中心网络安全应急服务国家级支撑单位，提供有效证书的复印件。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所投产品的生产厂商的软件研发实力具备CMMI L5认证，提供有效证书的复印件。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要求所投产品的生产厂商为国家信息安全漏洞共享平台(CNVD)技术组成员，提供有效证书的复印件。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要求所投产品的生产厂商为中国反网络病毒联盟ANVA成员单位，提供有效证书的复印件。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要求所投产品的生产厂商为国家信息安全漏洞库CNNVD技术支撑单位，提供有效证书复印件。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1" w:type="pct"/>
            <w:vMerge w:val="continue"/>
            <w:vAlign w:val="center"/>
          </w:tcPr>
          <w:p>
            <w:pPr>
              <w:widowControl/>
              <w:jc w:val="center"/>
              <w:rPr>
                <w:rFonts w:ascii="仿宋_GB2312" w:hAnsi="宋体" w:eastAsia="仿宋_GB2312" w:cs="宋体"/>
                <w:color w:val="000000"/>
                <w:kern w:val="0"/>
                <w:sz w:val="24"/>
                <w:szCs w:val="24"/>
              </w:rPr>
            </w:pPr>
          </w:p>
        </w:tc>
        <w:tc>
          <w:tcPr>
            <w:tcW w:w="4009" w:type="pct"/>
          </w:tcPr>
          <w:p>
            <w:pPr>
              <w:widowControl/>
              <w:rPr>
                <w:rFonts w:ascii="仿宋_GB2312" w:hAnsi="宋体" w:eastAsia="仿宋_GB2312" w:cs="宋体"/>
                <w:kern w:val="0"/>
                <w:sz w:val="24"/>
                <w:szCs w:val="24"/>
              </w:rPr>
            </w:pPr>
            <w:r>
              <w:rPr>
                <w:rFonts w:hint="eastAsia" w:ascii="仿宋_GB2312" w:hAnsi="宋体" w:eastAsia="仿宋_GB2312"/>
                <w:color w:val="000000"/>
                <w:sz w:val="24"/>
                <w:szCs w:val="24"/>
              </w:rPr>
              <w:t>▲</w:t>
            </w:r>
            <w:r>
              <w:rPr>
                <w:rFonts w:hint="eastAsia" w:ascii="仿宋_GB2312" w:hAnsi="宋体" w:eastAsia="仿宋_GB2312" w:cs="宋体"/>
                <w:kern w:val="0"/>
                <w:sz w:val="24"/>
                <w:szCs w:val="24"/>
              </w:rPr>
              <w:t>要求所投产品的生产厂商具备中国网络安全审查技术与认证中心的信息安全软件开发服务资质，提供有效证书复印件。</w:t>
            </w:r>
          </w:p>
        </w:tc>
      </w:tr>
    </w:tbl>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w:t>
      </w:r>
      <w:r>
        <w:rPr>
          <w:rFonts w:ascii="仿宋_GB2312" w:hAnsi="楷体" w:eastAsia="仿宋_GB2312"/>
          <w:b/>
          <w:sz w:val="32"/>
        </w:rPr>
        <w:t>5</w:t>
      </w:r>
      <w:r>
        <w:rPr>
          <w:rFonts w:hint="eastAsia" w:ascii="仿宋_GB2312" w:hAnsi="楷体" w:eastAsia="仿宋_GB2312"/>
          <w:b/>
          <w:sz w:val="32"/>
        </w:rPr>
        <w:t>）网络版防病毒系统（EDR）</w:t>
      </w:r>
    </w:p>
    <w:tbl>
      <w:tblPr>
        <w:tblStyle w:val="36"/>
        <w:tblpPr w:leftFromText="180" w:rightFromText="180" w:vertAnchor="page" w:horzAnchor="page" w:tblpX="1862" w:tblpY="23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622"/>
        <w:gridCol w:w="1623"/>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trPr>
        <w:tc>
          <w:tcPr>
            <w:tcW w:w="852"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招标指标</w:t>
            </w:r>
          </w:p>
        </w:tc>
        <w:tc>
          <w:tcPr>
            <w:tcW w:w="4148" w:type="pct"/>
            <w:gridSpan w:val="2"/>
            <w:shd w:val="clear" w:color="auto" w:fill="FFFFFF" w:themeFill="background1"/>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55" w:hRule="atLeast"/>
        </w:trPr>
        <w:tc>
          <w:tcPr>
            <w:tcW w:w="852" w:type="pct"/>
            <w:shd w:val="clear" w:color="auto" w:fill="FFFFFF" w:themeFill="background1"/>
            <w:noWrap/>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产品资质要求</w:t>
            </w:r>
          </w:p>
        </w:tc>
        <w:tc>
          <w:tcPr>
            <w:tcW w:w="4148" w:type="pct"/>
            <w:gridSpan w:val="2"/>
            <w:shd w:val="clear" w:color="auto" w:fill="FFFFFF" w:themeFill="background1"/>
            <w:vAlign w:val="center"/>
          </w:tcPr>
          <w:p>
            <w:pPr>
              <w:widowControl/>
              <w:tabs>
                <w:tab w:val="left" w:pos="5071"/>
              </w:tabs>
              <w:ind w:left="-2" w:leftChars="-19" w:hanging="38" w:hangingChars="16"/>
              <w:rPr>
                <w:rFonts w:ascii="仿宋_GB2312" w:hAnsi="宋体" w:eastAsia="仿宋_GB2312" w:cs="宋体"/>
                <w:kern w:val="0"/>
                <w:sz w:val="24"/>
                <w:szCs w:val="24"/>
              </w:rPr>
            </w:pPr>
            <w:r>
              <w:rPr>
                <w:rFonts w:hint="eastAsia" w:ascii="仿宋_GB2312" w:hAnsi="宋体" w:eastAsia="仿宋_GB2312" w:cs="宋体"/>
                <w:kern w:val="0"/>
                <w:sz w:val="24"/>
                <w:szCs w:val="24"/>
              </w:rPr>
              <w:t>1、提供公安部网络安全保卫局颁发的《计算机信息系统安全专用产品销售许可证》网络版防病毒产品（一级品）资质证书</w:t>
            </w:r>
          </w:p>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2、提供中华人民共和国国家版权局颁发的《计算机软件著作权登记证书》，且该证书仅针对终端安全软件的客户端软件</w:t>
            </w:r>
          </w:p>
          <w:p>
            <w:pPr>
              <w:widowControl/>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、提供国家计算机病毒应急处理中心计算机病毒防治产品检验实验室出具的检验报告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环境要求</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产品形态</w:t>
            </w:r>
          </w:p>
        </w:tc>
        <w:tc>
          <w:tcPr>
            <w:tcW w:w="3295"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产品可以纯软件交付，包含管理控制中心软件及终端客户端软件，其中管理控制中心可云化部署；同时也支持硬件管理平台交付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管理控制中心要求</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单一管理控制中心可统一管理分别部署在Windows PC，Win服务器以及Linux服务器的客户端软件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管理平台支持在64位的Centos7或ubuntu操作系统环境部署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全网威胁展示</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管理可视化</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采用B/S架构的管理控制中心，具备终端安全可视，终端统一管理，统一威胁处置，统一漏洞修复，威胁响应处置，日志记录与查询等功能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多维度威胁展示</w:t>
            </w:r>
          </w:p>
        </w:tc>
        <w:tc>
          <w:tcPr>
            <w:tcW w:w="3295"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支持全网风险展示，包括但不限于未处理的勒索病毒数量、暴力破解数量、WebShell后门数量、高危漏洞及其各自影响的终端数量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提供勒索病毒整体防护体系入口，直观展示最近七天勒索病毒防护效果，包括已处置的勒索病毒数量、已阻止的勒索病毒行为次数、已阻止的未知进程操作次数、已阻止的暴力破解攻击次数 （需提供产品截图证明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1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多平台联动防御展示</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支持同时展示跟同品牌下一代防火墙、安全感知平台、上网行为管理，云端SOC平台，SAAS化管理平台、等保合规工具平台的联动状态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云端威胁分析</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支持跳转链接至云端安全威胁响应系统，针对已发生的病毒的基本信息，影响分析（客户情况、影响行业、区域分布）、威胁分析和处理建议（需提供产品截图证明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终端配置管理</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自动分组</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支持终端自动分组管理，新接入的终端可以根据网段自动分配到对应的分组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影子终端发现</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支持按照扫描网段、扫描方式、扫描协议、扫描端口对终端进行扫描，及时发现尚未纳入管控的终端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策略配置管理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支持终端客户端软件的启用禁用，统一重启和卸载客户端软件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支持以安全策略模板方式对指定终端组快速部署安全策略，安全策略模板支持默认模板和自定义模板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资产管理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支持全网视角的终端资产统一清点，清点信息包括操作系统、应用软件、监听端口和主机账户，其中操作系统、应用软件和监听端口支持从资产和终端两个视角进行统计和展示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支持资产登记功能，支持录入本终端所属责任人、责任人联系方式、邮箱、资产编号、资产位置信息，并可设置哪些为必填项，以便于进行终端资产管理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支持收集并展示单个终端的基本信息、硬件信息、软件信息、</w:t>
            </w:r>
            <w:r>
              <w:rPr>
                <w:rFonts w:ascii="仿宋_GB2312" w:hAnsi="宋体" w:eastAsia="仿宋_GB2312" w:cs="宋体"/>
                <w:kern w:val="0"/>
                <w:sz w:val="24"/>
                <w:szCs w:val="24"/>
              </w:rPr>
              <w:t>运行状态</w:t>
            </w:r>
            <w:r>
              <w:rPr>
                <w:rFonts w:hint="eastAsia" w:ascii="仿宋_GB2312" w:hAnsi="宋体" w:eastAsia="仿宋_GB2312" w:cs="宋体"/>
                <w:kern w:val="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支持对系统高危端口执行一键封堵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系统维护</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消息下发</w:t>
            </w:r>
          </w:p>
        </w:tc>
        <w:tc>
          <w:tcPr>
            <w:tcW w:w="3295" w:type="pct"/>
            <w:shd w:val="clear" w:color="auto" w:fill="FFFFFF" w:themeFill="background1"/>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支持对在线终端下发实时通知消息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终端日志报表</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支持根据统计周期、终端名称、IP地址，补丁信息和漏洞等级等多维度的入侵检测日志，杀毒扫描日志，微隔离日志，合规检测日志，管理员操作日志，运维日志，联动日志等的日志查询和检测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终端风险报表</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支持导出针对全网终端的终端风险报告，从整体分析全网安全状况，快速了解业务和网络的安全风险，提供安全规划建设建议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升级管理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支持客户端的错峰升级或灰度升级，可根据实际情况控制客户端同时升级的最大数量，避免大量终端程序同时更新造成网络拥堵或I/O风暴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管理员管理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支持配置不同的权限角色，支持超级管理员、普通管理员（管理）、审计管理员（查看）三种权限，并配置可管辖的终端范围，支持管理员账号限制IP登录；支持管理员账号采用用户名密码和USBKey双因素认证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威胁防御</w:t>
            </w: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威胁检测</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具备基于人工智能的检测引擎，支持无特征检测技术，有效应对恶意代码及其变种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支持极速、均衡、低耗三种病毒扫描模式， 支持虚拟化环境下优化病毒扫描时的资源消耗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具备基于本地缓存信誉检测与全网信誉检测，构建企业全网信誉库的检测引擎，做到企业内网一台威胁，全网感知并进行针对性查杀，支持处置病毒时选择是否在其它终端上同步处置有效提升查杀效率，减少终端资源开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具备针对最新未知的文件，使用IOC特征（文件hash、dns、url、ip等）的技术，进行云端查询。云端的安全中心，使用大数据分析平台，基于多维威胁情报、云端沙箱技术、多引擎扩展的检测技术等，秒级响应未知文件的检测结果，构架公有云云查体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本地查杀缓存，具备二级缓存机制：终端侧使用全盘文件缓存，加速本地二次扫描速度，减少对本地虚拟化环境的资源消耗；管理平台侧使用全网文件缓存，加速云查杀速度，减少通过互联网进行云查杀的带宽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可通过多维度引擎进行漏斗式检测，保障查杀效果在低误报率的情况下保持高检出率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支持对zip， rar， jar， cab， 7z等常见压缩文件的扫描检测，支持压缩文件层级进行策略配置，最大可配置检查10层压缩文件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扫描文件支持配置跳过一定大小的文件，大小范围支持1M~100M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终端自保护</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支持agent安装目录的文件保护，可以保护agent目录和文件实时监控驱动文件，可以保护agent的服务/进程/文件不被恶意删除，以免影响正常功能，导致用户的终端受到病毒入侵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支持禁止黑客工具启动，包含：冰刃、xuetr、ProcessHacker、PCHunter、火绒剑、Mimikatz的自启动，可以防止黑客攻击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支持客户端防卸载，客户端卸载需要输入密码才能卸载，避免非管理员卸载终端，造成终端安全真空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介入点实时防护</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支持对来自Internet、E-mail或是光盘、移动存储、网络等各种入口渠道病毒进行实时检测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文件实时监控</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可实时监控文件的状态，在文件读、写、执行或者进入主机时主动进行扫描，支持根据用户性能偏好设置高、中、低3种防护级别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3"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WebShell事件处理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Windows终端安全加固</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支持对服务器重要目录进行权限控制，仅允许配置的可信进程操作该目录并提供配置指引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提供基于可信鉴定方式的进程防护方式，通过人工智能自学习机制，自动建立信任进程名单，阻断非可信进程的运行并提供配置指引，同时支持通过模板和手动的方式添加信任进程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支持windows服务器RDP远程登录保护，可开启RDP远程登录二次认证，以防止黑客对服务器的入侵。还可开启RDP文件加白功能，避免黑客入侵服务器后使用EDR对文件/目录加白，加密这些文档进行勒索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3"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勒索病毒专防</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基于勒索病毒攻击过程，建立多维度立体防护机制，提供事前入侵防御-事中反加密-事后检测响应的完整防护体系，展示勒索病毒处置情况，对勒索病毒及变种实现专门有效防御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支持监控诱饵文件，诱饵文件可被实时监控，当勒索病毒对该文件进行修改或加密操作时进行拦截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支持用户直接对勒索病毒的家族名、病毒名、加密文件后缀名执行链接查询，可通过直接上传加密文件的方式确定勒索病毒类型，如果能解密可以提供必要的解密工具（需提供产品截图证明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挖矿病毒巡检</w:t>
            </w: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提供挖矿病毒巡检工具，支持通过内存、进程和启动项来检索病毒相关信息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暴力破解检测</w:t>
            </w: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统计单个攻击源及分布式攻击源的暴力破解检测，支持按照RDP、SMB和SSH类型进行封堵并自定义爆破阈值，可对封停时间进行自设置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adjustRightInd w:val="0"/>
              <w:snapToGrid w:val="0"/>
              <w:rPr>
                <w:rFonts w:ascii="仿宋_GB2312" w:hAnsi="宋体" w:eastAsia="仿宋_GB2312" w:cs="宋体"/>
                <w:kern w:val="0"/>
                <w:sz w:val="24"/>
                <w:szCs w:val="24"/>
              </w:rPr>
            </w:pP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支持展示终端检测到的暴力破解事件及事件详情，包括：攻击源、攻击类型、最后攻击时间、发现方式、攻击内容、攻击历史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adjustRightInd w:val="0"/>
              <w:snapToGrid w:val="0"/>
              <w:rPr>
                <w:rFonts w:ascii="仿宋_GB2312" w:hAnsi="宋体" w:eastAsia="仿宋_GB2312" w:cs="宋体"/>
                <w:kern w:val="0"/>
                <w:sz w:val="24"/>
                <w:szCs w:val="24"/>
              </w:rPr>
            </w:pP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支持防暴力破解IP白名单，白名单中的IP不告警也不做封堵；IP白名单的设置支持IP、IP段、IP/子网掩码的不同设置方式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Windows终端合规检查</w:t>
            </w: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一键式操作对指定终端/终端组进行合规性检查，包括身份鉴别、访问控制、安全审计、剩余信息保护、入侵防范、恶意代码防范，对不合规的检查项提供设置建议，并可视化展示终端的基线合规检查结果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Linux终端合规检查</w:t>
            </w:r>
          </w:p>
        </w:tc>
        <w:tc>
          <w:tcPr>
            <w:tcW w:w="3295" w:type="pct"/>
            <w:shd w:val="clear" w:color="auto" w:fill="FFFFFF" w:themeFill="background1"/>
            <w:vAlign w:val="center"/>
          </w:tcPr>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一键式操作对指定终端/终端组进行合规性检查，包括身份鉴别、访问控制、安全审计、 SSH策略检测、入侵防范、恶意代码防范，对不合规的检查项提供设置建议，并可视化展示终端的基线合规检查结果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威胁同步处置</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构建全网文件信誉库，当一台终端发现某一病毒文件，全网可进行感知并进行针对性查杀，支持处置病毒时选择是否在其它终端上同步处置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shd w:val="clear" w:color="auto" w:fill="FFFFFF" w:themeFill="background1"/>
            <w:noWrap/>
            <w:vAlign w:val="center"/>
          </w:tcPr>
          <w:p>
            <w:pPr>
              <w:widowControl/>
              <w:rPr>
                <w:rFonts w:ascii="仿宋_GB2312" w:hAnsi="宋体" w:eastAsia="仿宋_GB2312" w:cs="宋体"/>
                <w:kern w:val="0"/>
                <w:sz w:val="24"/>
                <w:szCs w:val="24"/>
              </w:rPr>
            </w:pP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违规外联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支持违规外联动能，有效帮助管理员规范终端上网行为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3"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补丁管理</w:t>
            </w: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漏洞修复及补丁管理</w:t>
            </w:r>
          </w:p>
        </w:tc>
        <w:tc>
          <w:tcPr>
            <w:tcW w:w="3295" w:type="pct"/>
            <w:shd w:val="clear" w:color="auto" w:fill="FFFFFF" w:themeFill="background1"/>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支持对终端的漏洞情况进行扫描，并查看漏洞具体情况及KB号，并显示具体修复情况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3"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支持流行Windows高危漏洞的轻补丁免疫防御，支持支持Windows补丁批量一键修复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微隔离</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控制策略</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支持基于IP（组）、服务和角色维度进行配置项设置，并且支持对配置项的备份以及恢复操作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4"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流量可视</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支持图形化显示业务系统、服务器及流量详情 （需提供产品截图证明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业务系统详情支持展示流量分布Top5、业务流量排行Top5(发送，接收)、业务访问趋势（发送流速、接收流速和用户数）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服务器详情支持展示服务器的资源状态（CPU占有率、内存占有率和磁盘率）、流量分布Top5、该服务器开放的服务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流量线详情支持展示该流量线对应的控制策略；图形化显示服务器间流量关系，包括访问详情、流量趋势等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网端响应</w:t>
            </w:r>
          </w:p>
        </w:tc>
        <w:tc>
          <w:tcPr>
            <w:tcW w:w="853" w:type="pc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全网威胁定位</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支持基于威胁情报的病毒文件哈希值和域名全网终端搜索，可定位出全网终端该病毒的感染情况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安全感知平台的联动响应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支持与同厂商的安全感知平台进行安全联动，支持管理员在安全感知平台管理界面下发快速查杀任务，并查看任务状态、结果并进行处置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支持管理员在同厂商的安全感知平台管理界面下发一键隔离指令，对终端所有连接进行阻断，防止病毒进一步扩散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 xml:space="preserve">支持将终端安全软件客户端检测出来的恶意文件事件、暴力破解事件、微隔离事件的日志上报到同厂商安全态势感知平台，安全态势感知平台进行分析和展示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防火墙的联动响应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支持与同厂商的网络防火墙进行安全联动，管理员可以在网络防火墙管理界面下发快速查杀任务，并查看任务状态、结果并进行处置，支持在管理平台查询和统计联动信息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支持管理员在同厂商的网络防火墙管理界面下发一键隔离指令，对终端恶意文件进行隔离，防止病毒进一步扩散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支持与同厂商的网络防火墙进行情报共享，提供C&amp;C通信检测，对僵尸网络实现联合举证溯源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上网行为管理的联动响应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支持与同厂商的上网行为管理平台进行安全联动，支持管理员在上网行为管理界面下发快速查杀任务，并查看任务状态、结果并进行处置，支持在管理平台查询和统计联动信息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支持管理员在同厂商的上网行为管理平台界面下发一键隔离指令，对终端恶意文件进行隔离，防止病毒进一步扩散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支持管理员在同厂商的上网行为管理平台界面下发推送指令，对指定网段的终端重定向推送客户端软件，支持自定义重定向的地址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6"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等保合规工具联动响应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支持管理员在等保合规工具平台对EDR下发任务，EDR采集终端侧信息并对终端启动合规基线检测，同时对EDR产品发起合规自检。检测结束后EDR上报所有信息给等保合规平台，平台判断是否合规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与安全感知平台的联动响应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支持与现有的安全感知平台对接，支持在安全感知平台管理界面下发快速查杀任务，并查看任务状态、结果并进行处置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支持管理员在现有的安全感知平台管理界面下发一键隔离指令，对终端所有连接进行阻断，防止病毒进一步扩散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 xml:space="preserve">支持将终端安全软件客户端检测出来的恶意文件事件、暴力破解事件、微隔离事件的日志上报到现有的安全态势感知平台，安全态势感知平台进行分析和展示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8"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restart"/>
            <w:shd w:val="clear" w:color="auto" w:fill="FFFFFF" w:themeFill="background1"/>
            <w:noWrap/>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与网络防火墙的联动响应</w:t>
            </w: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支持防火墙平台对接，支持在防火墙管理界面下发快速查杀任务，并查看任务状态、结果并进行处置，支持在管理平台查询和统计联动信息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7" w:hRule="atLeast"/>
        </w:trPr>
        <w:tc>
          <w:tcPr>
            <w:tcW w:w="852"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853" w:type="pct"/>
            <w:vMerge w:val="continue"/>
            <w:shd w:val="clear" w:color="auto" w:fill="FFFFFF" w:themeFill="background1"/>
            <w:vAlign w:val="center"/>
          </w:tcPr>
          <w:p>
            <w:pPr>
              <w:widowControl/>
              <w:rPr>
                <w:rFonts w:ascii="仿宋_GB2312" w:hAnsi="宋体" w:eastAsia="仿宋_GB2312" w:cs="宋体"/>
                <w:kern w:val="0"/>
                <w:sz w:val="24"/>
                <w:szCs w:val="24"/>
              </w:rPr>
            </w:pPr>
          </w:p>
        </w:tc>
        <w:tc>
          <w:tcPr>
            <w:tcW w:w="3295" w:type="pct"/>
            <w:shd w:val="clear" w:color="auto" w:fill="FFFFFF" w:themeFill="background1"/>
            <w:vAlign w:val="center"/>
          </w:tcPr>
          <w:p>
            <w:pPr>
              <w:widowControl/>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支持管理员在现有的防火墙管理界面下发一键隔离指令，对终端恶意文件进行隔离，防止病毒进一步扩散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trPr>
        <w:tc>
          <w:tcPr>
            <w:tcW w:w="852" w:type="pct"/>
            <w:vMerge w:val="continue"/>
            <w:shd w:val="clear" w:color="auto" w:fill="FFFFFF" w:themeFill="background1"/>
            <w:vAlign w:val="center"/>
          </w:tcPr>
          <w:p>
            <w:pPr>
              <w:widowControl/>
              <w:rPr>
                <w:rFonts w:ascii="仿宋_GB2312" w:hAnsi="宋体" w:eastAsia="仿宋_GB2312" w:cs="宋体"/>
                <w:kern w:val="0"/>
                <w:sz w:val="18"/>
                <w:szCs w:val="18"/>
              </w:rPr>
            </w:pPr>
          </w:p>
        </w:tc>
        <w:tc>
          <w:tcPr>
            <w:tcW w:w="853" w:type="pct"/>
            <w:vMerge w:val="continue"/>
            <w:shd w:val="clear" w:color="auto" w:fill="FFFFFF" w:themeFill="background1"/>
            <w:vAlign w:val="center"/>
          </w:tcPr>
          <w:p>
            <w:pPr>
              <w:widowControl/>
              <w:rPr>
                <w:rFonts w:ascii="仿宋_GB2312" w:hAnsi="宋体" w:eastAsia="仿宋_GB2312" w:cs="宋体"/>
                <w:kern w:val="0"/>
                <w:sz w:val="18"/>
                <w:szCs w:val="18"/>
              </w:rPr>
            </w:pPr>
          </w:p>
        </w:tc>
        <w:tc>
          <w:tcPr>
            <w:tcW w:w="3295" w:type="pct"/>
            <w:shd w:val="clear" w:color="auto" w:fill="FFFFFF" w:themeFill="background1"/>
            <w:vAlign w:val="center"/>
          </w:tcPr>
          <w:p>
            <w:pPr>
              <w:widowControl/>
              <w:rPr>
                <w:rFonts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支持与防火墙进行情报共享，提供C&amp;C通信检测，对僵尸网络实现联合举证溯源</w:t>
            </w:r>
          </w:p>
        </w:tc>
      </w:tr>
    </w:tbl>
    <w:p>
      <w:pPr>
        <w:adjustRightInd w:val="0"/>
        <w:snapToGrid w:val="0"/>
        <w:spacing w:after="240" w:line="560" w:lineRule="exact"/>
        <w:rPr>
          <w:rFonts w:ascii="仿宋_GB2312" w:hAnsi="楷体" w:eastAsia="仿宋_GB2312"/>
          <w:b/>
          <w:sz w:val="32"/>
        </w:rPr>
      </w:pPr>
      <w:r>
        <w:rPr>
          <w:rFonts w:hint="eastAsia" w:ascii="仿宋_GB2312" w:hAnsi="楷体" w:eastAsia="仿宋_GB2312"/>
          <w:b/>
          <w:sz w:val="32"/>
        </w:rPr>
        <w:t>（</w:t>
      </w:r>
      <w:r>
        <w:rPr>
          <w:rFonts w:ascii="仿宋_GB2312" w:hAnsi="楷体" w:eastAsia="仿宋_GB2312"/>
          <w:b/>
          <w:sz w:val="32"/>
        </w:rPr>
        <w:t>6</w:t>
      </w:r>
      <w:r>
        <w:rPr>
          <w:rFonts w:hint="eastAsia" w:ascii="仿宋_GB2312" w:hAnsi="楷体" w:eastAsia="仿宋_GB2312"/>
          <w:b/>
          <w:sz w:val="32"/>
        </w:rPr>
        <w:t>）精密空调风扇组件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50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名称</w:t>
            </w:r>
          </w:p>
        </w:tc>
        <w:tc>
          <w:tcPr>
            <w:tcW w:w="349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50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精密空调风扇组件</w:t>
            </w:r>
          </w:p>
        </w:tc>
        <w:tc>
          <w:tcPr>
            <w:tcW w:w="349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艾特网能CS020，原厂质保1年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0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光纤网卡</w:t>
            </w:r>
          </w:p>
        </w:tc>
        <w:tc>
          <w:tcPr>
            <w:tcW w:w="3495" w:type="pct"/>
            <w:vAlign w:val="center"/>
          </w:tcPr>
          <w:p>
            <w:pPr>
              <w:widowControl/>
              <w:spacing w:after="220"/>
              <w:jc w:val="center"/>
              <w:rPr>
                <w:rFonts w:ascii="仿宋_GB2312" w:hAnsi="宋体" w:eastAsia="仿宋_GB2312"/>
                <w:color w:val="000000"/>
                <w:sz w:val="24"/>
                <w:szCs w:val="24"/>
              </w:rPr>
            </w:pPr>
            <w:r>
              <w:rPr>
                <w:rFonts w:hint="eastAsia" w:ascii="仿宋_GB2312" w:hAnsi="宋体" w:eastAsia="仿宋_GB2312"/>
                <w:color w:val="000000"/>
                <w:sz w:val="24"/>
                <w:szCs w:val="24"/>
              </w:rPr>
              <w:t>万兆PCIe网卡 TL-NT521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0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光纤布设</w:t>
            </w:r>
          </w:p>
        </w:tc>
        <w:tc>
          <w:tcPr>
            <w:tcW w:w="349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三楼办公室到中心机房的布设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0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CPU</w:t>
            </w:r>
          </w:p>
        </w:tc>
        <w:tc>
          <w:tcPr>
            <w:tcW w:w="3495" w:type="pct"/>
            <w:vAlign w:val="center"/>
          </w:tcPr>
          <w:p>
            <w:pPr>
              <w:widowControl/>
              <w:jc w:val="center"/>
              <w:rPr>
                <w:rFonts w:ascii="仿宋_GB2312" w:hAnsi="宋体" w:eastAsia="仿宋_GB2312"/>
                <w:color w:val="000000"/>
                <w:sz w:val="24"/>
                <w:szCs w:val="24"/>
              </w:rPr>
            </w:pPr>
            <w:r>
              <w:rPr>
                <w:rFonts w:hint="eastAsia" w:ascii="仿宋_GB2312" w:hAnsi="宋体" w:eastAsia="仿宋_GB2312"/>
                <w:color w:val="000000"/>
                <w:sz w:val="24"/>
                <w:szCs w:val="24"/>
              </w:rPr>
              <w:t>INTEL XEON SILVER 4108</w:t>
            </w:r>
          </w:p>
        </w:tc>
      </w:tr>
    </w:tbl>
    <w:p>
      <w:pPr>
        <w:adjustRightInd w:val="0"/>
        <w:snapToGrid w:val="0"/>
        <w:spacing w:line="560" w:lineRule="exact"/>
        <w:rPr>
          <w:rFonts w:hint="eastAsia" w:ascii="仿宋_GB2312" w:hAnsi="楷体" w:eastAsia="仿宋_GB2312"/>
          <w:b/>
          <w:sz w:val="32"/>
        </w:rPr>
      </w:pPr>
    </w:p>
    <w:p>
      <w:pPr>
        <w:adjustRightInd w:val="0"/>
        <w:snapToGrid w:val="0"/>
        <w:spacing w:line="560" w:lineRule="exact"/>
        <w:rPr>
          <w:rFonts w:hint="eastAsia" w:ascii="仿宋_GB2312" w:hAnsi="楷体" w:eastAsia="仿宋_GB2312"/>
          <w:b/>
          <w:sz w:val="32"/>
        </w:rPr>
      </w:pPr>
    </w:p>
    <w:p>
      <w:pPr>
        <w:adjustRightInd w:val="0"/>
        <w:snapToGrid w:val="0"/>
        <w:spacing w:line="560" w:lineRule="exact"/>
        <w:rPr>
          <w:rFonts w:ascii="仿宋_GB2312" w:hAnsi="楷体" w:eastAsia="仿宋_GB2312"/>
          <w:b/>
          <w:sz w:val="32"/>
        </w:rPr>
      </w:pPr>
      <w:r>
        <w:rPr>
          <w:rFonts w:hint="eastAsia" w:ascii="仿宋_GB2312" w:hAnsi="楷体" w:eastAsia="仿宋_GB2312"/>
          <w:b/>
          <w:sz w:val="32"/>
        </w:rPr>
        <w:t>（</w:t>
      </w:r>
      <w:r>
        <w:rPr>
          <w:rFonts w:ascii="仿宋_GB2312" w:hAnsi="楷体" w:eastAsia="仿宋_GB2312"/>
          <w:b/>
          <w:sz w:val="32"/>
        </w:rPr>
        <w:t>7</w:t>
      </w:r>
      <w:r>
        <w:rPr>
          <w:rFonts w:hint="eastAsia" w:ascii="仿宋_GB2312" w:hAnsi="楷体" w:eastAsia="仿宋_GB2312"/>
          <w:b/>
          <w:sz w:val="32"/>
        </w:rPr>
        <w:t>）驻场运维</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3"/>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项目</w:t>
            </w:r>
          </w:p>
        </w:tc>
        <w:tc>
          <w:tcPr>
            <w:tcW w:w="6565" w:type="dxa"/>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机房巡检要求</w:t>
            </w:r>
          </w:p>
        </w:tc>
        <w:tc>
          <w:tcPr>
            <w:tcW w:w="6565" w:type="dxa"/>
            <w:vAlign w:val="center"/>
          </w:tcPr>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（1）响应方每周安排技术工程师重点对机房基础环境进行现场巡检，形成周巡检报告；</w:t>
            </w:r>
          </w:p>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（2）响应方每月安排技术工程师对机房基础环境以及</w:t>
            </w:r>
          </w:p>
          <w:p>
            <w:pPr>
              <w:widowControl/>
              <w:rPr>
                <w:rFonts w:ascii="仿宋_GB2312" w:eastAsia="仿宋_GB2312" w:hAnsiTheme="minorEastAsia" w:cstheme="minorEastAsia"/>
              </w:rPr>
            </w:pPr>
            <w:r>
              <w:rPr>
                <w:rFonts w:hint="eastAsia" w:ascii="仿宋_GB2312" w:eastAsia="仿宋_GB2312" w:hAnsiTheme="minorEastAsia" w:cstheme="minorEastAsia"/>
                <w:color w:val="000000"/>
                <w:kern w:val="0"/>
                <w:sz w:val="24"/>
                <w:szCs w:val="24"/>
              </w:rPr>
              <w:t>存储、服务器、安全系统及设备、网络设备等进行现场巡检，形成月度巡检报告；</w:t>
            </w:r>
          </w:p>
          <w:p>
            <w:pPr>
              <w:widowControl/>
              <w:rPr>
                <w:rFonts w:ascii="仿宋_GB2312" w:eastAsia="仿宋_GB2312" w:hAnsiTheme="minorEastAsia" w:cstheme="minorEastAsia"/>
              </w:rPr>
            </w:pPr>
            <w:r>
              <w:rPr>
                <w:rFonts w:hint="eastAsia" w:ascii="仿宋_GB2312" w:eastAsia="仿宋_GB2312" w:hAnsiTheme="minorEastAsia" w:cstheme="minorEastAsia"/>
                <w:color w:val="000000"/>
                <w:kern w:val="0"/>
                <w:sz w:val="24"/>
                <w:szCs w:val="24"/>
              </w:rPr>
              <w:t>（3）月度巡检报告，内容至少应包括系统运行状况（包括系统日志分析及服务的运行状况）、故障分析、总结建议等内容。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日常维护要求</w:t>
            </w:r>
          </w:p>
        </w:tc>
        <w:tc>
          <w:tcPr>
            <w:tcW w:w="6565" w:type="dxa"/>
            <w:vAlign w:val="center"/>
          </w:tcPr>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（1）响应方对日常维护工作建立维护文档并规范管理。</w:t>
            </w:r>
          </w:p>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（2）每次维护和故障处理应有记录表，详细记录故障原因，处理办法和最终结果。</w:t>
            </w:r>
          </w:p>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3）响应方在维护周期结束前1个月，提供机房网络、服务器、存储、安全等设备的生命周期管理报告，包含所有设备的保修信息及产品生命周期信息，并在此基础上生成提交年度的系统维护及设备更新预算报告。</w:t>
            </w:r>
          </w:p>
          <w:p>
            <w:pPr>
              <w:widowControl/>
              <w:rPr>
                <w:rFonts w:ascii="仿宋_GB2312" w:eastAsia="仿宋_GB2312" w:hAnsiTheme="minorEastAsia" w:cstheme="minorEastAsia"/>
              </w:rPr>
            </w:pPr>
            <w:r>
              <w:rPr>
                <w:rFonts w:hint="eastAsia" w:ascii="仿宋_GB2312" w:eastAsia="仿宋_GB2312" w:hAnsiTheme="minorEastAsia" w:cstheme="minorEastAsia"/>
                <w:color w:val="000000"/>
                <w:kern w:val="0"/>
                <w:sz w:val="24"/>
                <w:szCs w:val="24"/>
              </w:rPr>
              <w:t>（4）建立应急响应预案，就预案每年至少1次预演。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相关硬件基础维护</w:t>
            </w:r>
          </w:p>
        </w:tc>
        <w:tc>
          <w:tcPr>
            <w:tcW w:w="6565" w:type="dxa"/>
            <w:vAlign w:val="center"/>
          </w:tcPr>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（1）通过安全管理设备及现场巡查方式对已有各类计算、存储、网络、安全设备运行状态和资源使用情况进行分析，每周对核心业务支撑设备预警信息进行统计与汇报。</w:t>
            </w:r>
          </w:p>
          <w:p>
            <w:pPr>
              <w:widowControl/>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（2）机房设备出现故障，负责2个小时内进行处置，重大问题需要项目团队进行现场处理，并给出优化方案。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人员及值班要求</w:t>
            </w:r>
          </w:p>
        </w:tc>
        <w:tc>
          <w:tcPr>
            <w:tcW w:w="6565" w:type="dxa"/>
          </w:tcPr>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（1）要求提供至少1名驻场员工，现场维护人员必须长期固定，且严格遵守招标方的规章制度，熟悉机房基础环境，具备相应的技术能力，能应对突发紧急事件。</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（2）5*8小时机房值守，7*24小时机房监控，2小时到达现场</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（3）服务地点在招标单位，服务周期12个月</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需提供服务承诺，后期作为合同要件。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服务管理要求</w:t>
            </w:r>
          </w:p>
        </w:tc>
        <w:tc>
          <w:tcPr>
            <w:tcW w:w="6565" w:type="dxa"/>
          </w:tcPr>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（1）项目实施承诺、项目组织机构、人员安排、项目管理和服务质量保证、文档管理、项目服务阶段划分与进度安排等内容。</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（2）投标人应列出详细人员清单，包括姓名、经验、学历、在本项目中的职责分工，未经招标人许可，不得更换团队主要成员。</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（3）投标人提出有效服务方案，项目经理在项目结束之前不得调离该项目。</w:t>
            </w:r>
          </w:p>
          <w:p>
            <w:pPr>
              <w:pStyle w:val="112"/>
              <w:adjustRightInd w:val="0"/>
              <w:snapToGrid w:val="0"/>
              <w:ind w:firstLine="0" w:firstLineChars="0"/>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4）保密要求：投标人须严格遵守对本项目涉及内容的保密承诺，任何接触的过程文件、内部数据、内部资料、技术文档和信息予以保密，不得向第三方透露或者使用。本条款在项目完成或者无论何种原因导致合同终止后依然有效。本条以最终合同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vAlign w:val="center"/>
          </w:tcPr>
          <w:p>
            <w:pPr>
              <w:pStyle w:val="112"/>
              <w:adjustRightInd w:val="0"/>
              <w:snapToGrid w:val="0"/>
              <w:ind w:firstLine="0" w:firstLineChars="0"/>
              <w:jc w:val="center"/>
              <w:rPr>
                <w:rFonts w:ascii="仿宋_GB2312" w:eastAsia="仿宋_GB2312" w:hAnsiTheme="minorEastAsia" w:cstheme="minorEastAsia"/>
                <w:bCs/>
                <w:sz w:val="24"/>
                <w:szCs w:val="24"/>
              </w:rPr>
            </w:pPr>
            <w:r>
              <w:rPr>
                <w:rFonts w:hint="eastAsia" w:ascii="仿宋_GB2312" w:eastAsia="仿宋_GB2312" w:hAnsiTheme="minorEastAsia" w:cstheme="minorEastAsia"/>
                <w:bCs/>
                <w:sz w:val="24"/>
                <w:szCs w:val="24"/>
              </w:rPr>
              <w:t>其他要求</w:t>
            </w:r>
          </w:p>
        </w:tc>
        <w:tc>
          <w:tcPr>
            <w:tcW w:w="6565" w:type="dxa"/>
          </w:tcPr>
          <w:p>
            <w:pPr>
              <w:pStyle w:val="112"/>
              <w:adjustRightInd w:val="0"/>
              <w:snapToGrid w:val="0"/>
              <w:ind w:firstLine="0" w:firstLineChars="0"/>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w:t>
            </w:r>
            <w:r>
              <w:rPr>
                <w:rFonts w:ascii="仿宋_GB2312" w:eastAsia="仿宋_GB2312" w:hAnsiTheme="minorEastAsia" w:cstheme="minorEastAsia"/>
                <w:color w:val="000000"/>
                <w:kern w:val="0"/>
                <w:sz w:val="24"/>
                <w:szCs w:val="24"/>
              </w:rPr>
              <w:t>1</w:t>
            </w:r>
            <w:r>
              <w:rPr>
                <w:rFonts w:hint="eastAsia" w:ascii="仿宋_GB2312" w:eastAsia="仿宋_GB2312" w:hAnsiTheme="minorEastAsia" w:cstheme="minorEastAsia"/>
                <w:color w:val="000000"/>
                <w:kern w:val="0"/>
                <w:sz w:val="24"/>
                <w:szCs w:val="24"/>
              </w:rPr>
              <w:t>）涉及部分办公室的布线调整</w:t>
            </w:r>
          </w:p>
          <w:p>
            <w:pPr>
              <w:pStyle w:val="112"/>
              <w:adjustRightInd w:val="0"/>
              <w:snapToGrid w:val="0"/>
              <w:ind w:firstLine="0" w:firstLineChars="0"/>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（2）根据院工作需求，</w:t>
            </w:r>
            <w:r>
              <w:rPr>
                <w:rFonts w:ascii="仿宋_GB2312" w:eastAsia="仿宋_GB2312" w:hAnsiTheme="minorEastAsia" w:cstheme="minorEastAsia"/>
                <w:color w:val="000000"/>
                <w:kern w:val="0"/>
                <w:sz w:val="24"/>
                <w:szCs w:val="24"/>
              </w:rPr>
              <w:t>提供</w:t>
            </w:r>
            <w:r>
              <w:rPr>
                <w:rFonts w:hint="eastAsia" w:ascii="仿宋_GB2312" w:eastAsia="仿宋_GB2312" w:hAnsiTheme="minorEastAsia" w:cstheme="minorEastAsia"/>
                <w:color w:val="000000"/>
                <w:kern w:val="0"/>
                <w:sz w:val="24"/>
                <w:szCs w:val="24"/>
              </w:rPr>
              <w:t>网络建设优化方案</w:t>
            </w:r>
          </w:p>
          <w:p>
            <w:pPr>
              <w:pStyle w:val="112"/>
              <w:adjustRightInd w:val="0"/>
              <w:snapToGrid w:val="0"/>
              <w:ind w:firstLine="0" w:firstLineChars="0"/>
              <w:rPr>
                <w:rFonts w:ascii="仿宋_GB2312" w:eastAsia="仿宋_GB2312" w:hAnsiTheme="minorEastAsia" w:cstheme="minorEastAsia"/>
                <w:color w:val="000000"/>
                <w:kern w:val="0"/>
                <w:sz w:val="24"/>
                <w:szCs w:val="24"/>
              </w:rPr>
            </w:pPr>
            <w:r>
              <w:rPr>
                <w:rFonts w:hint="eastAsia" w:ascii="仿宋_GB2312" w:eastAsia="仿宋_GB2312" w:hAnsiTheme="minorEastAsia" w:cstheme="minorEastAsia"/>
                <w:color w:val="000000"/>
                <w:kern w:val="0"/>
                <w:sz w:val="24"/>
                <w:szCs w:val="24"/>
              </w:rPr>
              <w:t>（3）</w:t>
            </w:r>
            <w:r>
              <w:rPr>
                <w:rFonts w:ascii="仿宋_GB2312" w:eastAsia="仿宋_GB2312" w:hAnsiTheme="minorEastAsia" w:cstheme="minorEastAsia"/>
                <w:color w:val="000000"/>
                <w:kern w:val="0"/>
                <w:sz w:val="24"/>
                <w:szCs w:val="24"/>
              </w:rPr>
              <w:t>配合</w:t>
            </w:r>
            <w:r>
              <w:rPr>
                <w:rFonts w:hint="eastAsia" w:ascii="仿宋_GB2312" w:eastAsia="仿宋_GB2312" w:hAnsiTheme="minorEastAsia" w:cstheme="minorEastAsia"/>
                <w:color w:val="000000"/>
                <w:kern w:val="0"/>
                <w:sz w:val="24"/>
                <w:szCs w:val="24"/>
              </w:rPr>
              <w:t>开展网络测评等其他任务</w:t>
            </w:r>
          </w:p>
        </w:tc>
      </w:tr>
    </w:tbl>
    <w:p>
      <w:pPr>
        <w:pStyle w:val="2"/>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bookmarkEnd w:id="53"/>
    <w:p>
      <w:pPr>
        <w:rPr>
          <w:rFonts w:hint="eastAsia" w:asciiTheme="minorEastAsia" w:hAnsiTheme="minorEastAsia" w:eastAsiaTheme="minorEastAsia" w:cstheme="minorEastAsia"/>
          <w:b/>
          <w:sz w:val="21"/>
          <w:szCs w:val="21"/>
        </w:rPr>
      </w:pPr>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4"/>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100" w:name="_Toc455412770"/>
      <w:bookmarkStart w:id="101" w:name="_Toc381724074"/>
      <w:bookmarkStart w:id="102" w:name="_Toc462223649"/>
    </w:p>
    <w:bookmarkEnd w:id="100"/>
    <w:bookmarkEnd w:id="101"/>
    <w:bookmarkEnd w:id="102"/>
    <w:p>
      <w:pPr>
        <w:spacing w:line="400" w:lineRule="exact"/>
        <w:rPr>
          <w:rFonts w:hint="eastAsia" w:asciiTheme="minorEastAsia" w:hAnsiTheme="minorEastAsia" w:eastAsiaTheme="minorEastAsia" w:cstheme="minorEastAsia"/>
          <w:sz w:val="21"/>
          <w:szCs w:val="21"/>
        </w:rPr>
      </w:pPr>
      <w:bookmarkStart w:id="103" w:name="_Toc462223650"/>
      <w:bookmarkStart w:id="104" w:name="_Toc349637943"/>
      <w:bookmarkStart w:id="105" w:name="_Toc298240429"/>
      <w:bookmarkStart w:id="106" w:name="_Toc349573144"/>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107" w:name="_Toc12367"/>
      <w:r>
        <w:rPr>
          <w:rFonts w:hint="eastAsia" w:asciiTheme="minorEastAsia" w:hAnsiTheme="minorEastAsia" w:eastAsiaTheme="minorEastAsia" w:cstheme="minorEastAsia"/>
          <w:sz w:val="21"/>
          <w:szCs w:val="21"/>
        </w:rPr>
        <w:t>第五章</w:t>
      </w:r>
      <w:bookmarkEnd w:id="103"/>
      <w:bookmarkEnd w:id="104"/>
      <w:bookmarkEnd w:id="105"/>
      <w:bookmarkEnd w:id="106"/>
      <w:r>
        <w:rPr>
          <w:rFonts w:hint="eastAsia" w:asciiTheme="minorEastAsia" w:hAnsiTheme="minorEastAsia" w:eastAsiaTheme="minorEastAsia" w:cstheme="minorEastAsia"/>
          <w:sz w:val="21"/>
          <w:szCs w:val="21"/>
        </w:rPr>
        <w:t xml:space="preserve">  附件</w:t>
      </w:r>
      <w:bookmarkEnd w:id="107"/>
    </w:p>
    <w:p>
      <w:pPr>
        <w:spacing w:line="400" w:lineRule="exact"/>
        <w:jc w:val="center"/>
        <w:outlineLvl w:val="0"/>
        <w:rPr>
          <w:rFonts w:hint="eastAsia" w:asciiTheme="minorEastAsia" w:hAnsiTheme="minorEastAsia" w:eastAsiaTheme="minorEastAsia" w:cstheme="minorEastAsia"/>
          <w:b/>
          <w:bCs/>
          <w:sz w:val="21"/>
          <w:szCs w:val="21"/>
        </w:rPr>
      </w:pPr>
      <w:bookmarkStart w:id="108" w:name="_Toc10875"/>
      <w:r>
        <w:rPr>
          <w:rFonts w:hint="eastAsia" w:asciiTheme="minorEastAsia" w:hAnsiTheme="minorEastAsia" w:eastAsiaTheme="minorEastAsia" w:cstheme="minorEastAsia"/>
          <w:b/>
          <w:bCs/>
          <w:sz w:val="21"/>
          <w:szCs w:val="21"/>
        </w:rPr>
        <w:t>开标一览表</w:t>
      </w:r>
      <w:bookmarkEnd w:id="108"/>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109" w:name="_Toc22719"/>
      <w:r>
        <w:rPr>
          <w:rFonts w:hint="eastAsia" w:asciiTheme="minorEastAsia" w:hAnsiTheme="minorEastAsia" w:eastAsiaTheme="minorEastAsia" w:cstheme="minorEastAsia"/>
          <w:color w:val="000000"/>
          <w:sz w:val="21"/>
          <w:szCs w:val="21"/>
        </w:rPr>
        <w:t>投标供应商名称（公章）：</w:t>
      </w:r>
      <w:bookmarkEnd w:id="109"/>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110" w:name="_Toc13389"/>
      <w:r>
        <w:rPr>
          <w:rFonts w:hint="eastAsia" w:asciiTheme="minorEastAsia" w:hAnsiTheme="minorEastAsia" w:eastAsiaTheme="minorEastAsia" w:cstheme="minorEastAsia"/>
          <w:color w:val="000000"/>
          <w:sz w:val="21"/>
          <w:szCs w:val="21"/>
        </w:rPr>
        <w:t>法定代表人或授权代表人（签字）：</w:t>
      </w:r>
      <w:bookmarkEnd w:id="110"/>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1" w:name="_Toc30854"/>
      <w:r>
        <w:rPr>
          <w:rFonts w:hint="eastAsia" w:asciiTheme="minorEastAsia" w:hAnsiTheme="minorEastAsia" w:eastAsiaTheme="minorEastAsia" w:cstheme="minorEastAsia"/>
          <w:color w:val="000000"/>
          <w:sz w:val="21"/>
          <w:szCs w:val="21"/>
        </w:rPr>
        <w:t>附件1: 磋 商 响 应 函</w:t>
      </w:r>
      <w:bookmarkEnd w:id="11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2" w:name="_Toc18786"/>
      <w:r>
        <w:rPr>
          <w:rFonts w:hint="eastAsia" w:asciiTheme="minorEastAsia" w:hAnsiTheme="minorEastAsia" w:eastAsiaTheme="minorEastAsia" w:cstheme="minorEastAsia"/>
          <w:color w:val="000000"/>
          <w:sz w:val="21"/>
          <w:szCs w:val="21"/>
        </w:rPr>
        <w:t>附件2：法定代表人身份证明</w:t>
      </w:r>
      <w:bookmarkEnd w:id="112"/>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3" w:name="_Toc22439"/>
      <w:r>
        <w:rPr>
          <w:rFonts w:hint="eastAsia" w:asciiTheme="minorEastAsia" w:hAnsiTheme="minorEastAsia" w:eastAsiaTheme="minorEastAsia" w:cstheme="minorEastAsia"/>
          <w:color w:val="000000"/>
          <w:sz w:val="21"/>
          <w:szCs w:val="21"/>
        </w:rPr>
        <w:t>附件3：法定代表人授权委托书</w:t>
      </w:r>
      <w:bookmarkEnd w:id="113"/>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4" w:name="_Toc24061"/>
      <w:r>
        <w:rPr>
          <w:rFonts w:hint="eastAsia" w:asciiTheme="minorEastAsia" w:hAnsiTheme="minorEastAsia" w:eastAsiaTheme="minorEastAsia" w:cstheme="minorEastAsia"/>
          <w:color w:val="000000"/>
          <w:sz w:val="21"/>
          <w:szCs w:val="21"/>
        </w:rPr>
        <w:t>附件4：磋商报价表（开标一览表）</w:t>
      </w:r>
      <w:bookmarkEnd w:id="114"/>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5" w:name="_Toc23676"/>
      <w:r>
        <w:rPr>
          <w:rFonts w:hint="eastAsia" w:asciiTheme="minorEastAsia" w:hAnsiTheme="minorEastAsia" w:eastAsiaTheme="minorEastAsia" w:cstheme="minorEastAsia"/>
          <w:color w:val="000000"/>
          <w:sz w:val="21"/>
          <w:szCs w:val="21"/>
        </w:rPr>
        <w:t>附件5：商务偏离表</w:t>
      </w:r>
      <w:bookmarkEnd w:id="11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6" w:name="_Toc32168"/>
      <w:r>
        <w:rPr>
          <w:rFonts w:hint="eastAsia" w:asciiTheme="minorEastAsia" w:hAnsiTheme="minorEastAsia" w:eastAsiaTheme="minorEastAsia" w:cstheme="minorEastAsia"/>
          <w:color w:val="000000"/>
          <w:sz w:val="21"/>
          <w:szCs w:val="21"/>
        </w:rPr>
        <w:t>附件6：技术偏离表</w:t>
      </w:r>
      <w:bookmarkEnd w:id="11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7" w:name="_Toc4252"/>
      <w:r>
        <w:rPr>
          <w:rFonts w:hint="eastAsia" w:asciiTheme="minorEastAsia" w:hAnsiTheme="minorEastAsia" w:eastAsiaTheme="minorEastAsia" w:cstheme="minorEastAsia"/>
          <w:color w:val="000000"/>
          <w:sz w:val="21"/>
          <w:szCs w:val="21"/>
        </w:rPr>
        <w:t>附件7：公司业绩一览表</w:t>
      </w:r>
      <w:bookmarkEnd w:id="117"/>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118" w:name="_Toc20234"/>
      <w:r>
        <w:rPr>
          <w:rFonts w:hint="eastAsia" w:asciiTheme="minorEastAsia" w:hAnsiTheme="minorEastAsia" w:eastAsiaTheme="minorEastAsia" w:cstheme="minorEastAsia"/>
          <w:color w:val="000000"/>
          <w:sz w:val="21"/>
          <w:szCs w:val="21"/>
        </w:rPr>
        <w:t>附件8：优惠条件承诺书</w:t>
      </w:r>
      <w:bookmarkEnd w:id="11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19" w:name="_Toc24015"/>
      <w:r>
        <w:rPr>
          <w:rFonts w:hint="eastAsia" w:asciiTheme="minorEastAsia" w:hAnsiTheme="minorEastAsia" w:eastAsiaTheme="minorEastAsia" w:cstheme="minorEastAsia"/>
          <w:color w:val="000000"/>
          <w:sz w:val="21"/>
          <w:szCs w:val="21"/>
        </w:rPr>
        <w:t>附件9：售后服务承诺</w:t>
      </w:r>
      <w:bookmarkEnd w:id="119"/>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20" w:name="_Toc901"/>
      <w:r>
        <w:rPr>
          <w:rFonts w:hint="eastAsia" w:asciiTheme="minorEastAsia" w:hAnsiTheme="minorEastAsia" w:eastAsiaTheme="minorEastAsia" w:cstheme="minorEastAsia"/>
          <w:color w:val="000000"/>
          <w:sz w:val="21"/>
          <w:szCs w:val="21"/>
        </w:rPr>
        <w:t>附件10：无重大违法记录声明</w:t>
      </w:r>
      <w:bookmarkEnd w:id="12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21" w:name="_Toc19396"/>
      <w:r>
        <w:rPr>
          <w:rFonts w:hint="eastAsia" w:asciiTheme="minorEastAsia" w:hAnsiTheme="minorEastAsia" w:eastAsiaTheme="minorEastAsia" w:cstheme="minorEastAsia"/>
          <w:color w:val="000000"/>
          <w:sz w:val="21"/>
          <w:szCs w:val="21"/>
        </w:rPr>
        <w:t>附件 11：供应商反商业贿赂承诺书</w:t>
      </w:r>
      <w:bookmarkEnd w:id="12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22" w:name="_Toc30867"/>
      <w:r>
        <w:rPr>
          <w:rFonts w:hint="eastAsia" w:asciiTheme="minorEastAsia" w:hAnsiTheme="minorEastAsia" w:eastAsiaTheme="minorEastAsia" w:cstheme="minorEastAsia"/>
          <w:color w:val="000000"/>
          <w:sz w:val="21"/>
          <w:szCs w:val="21"/>
        </w:rPr>
        <w:t>附件12：中小微企业证明文件等（如有）</w:t>
      </w:r>
      <w:bookmarkEnd w:id="122"/>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123"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123"/>
    </w:p>
    <w:p>
      <w:pPr>
        <w:spacing w:line="400" w:lineRule="exact"/>
        <w:rPr>
          <w:rFonts w:hint="eastAsia" w:asciiTheme="minorEastAsia" w:hAnsiTheme="minorEastAsia" w:eastAsiaTheme="minorEastAsia" w:cstheme="minorEastAsia"/>
          <w:sz w:val="21"/>
          <w:szCs w:val="21"/>
        </w:rPr>
        <w:sectPr>
          <w:footerReference r:id="rId8" w:type="first"/>
          <w:footerReference r:id="rId7" w:type="default"/>
          <w:pgSz w:w="11907" w:h="16840"/>
          <w:pgMar w:top="1440" w:right="1247" w:bottom="1440" w:left="1361" w:header="851" w:footer="799" w:gutter="0"/>
          <w:pgNumType w:fmt="decimal"/>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124" w:name="_Toc16702"/>
      <w:r>
        <w:rPr>
          <w:rFonts w:hint="eastAsia" w:asciiTheme="minorEastAsia" w:hAnsiTheme="minorEastAsia" w:eastAsiaTheme="minorEastAsia" w:cstheme="minorEastAsia"/>
          <w:b/>
          <w:color w:val="000000"/>
          <w:sz w:val="21"/>
          <w:szCs w:val="21"/>
        </w:rPr>
        <w:t>附件1：</w:t>
      </w:r>
      <w:bookmarkEnd w:id="124"/>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125" w:name="_Toc21536"/>
      <w:r>
        <w:rPr>
          <w:rFonts w:hint="eastAsia" w:asciiTheme="minorEastAsia" w:hAnsiTheme="minorEastAsia" w:eastAsiaTheme="minorEastAsia" w:cstheme="minorEastAsia"/>
          <w:b/>
          <w:sz w:val="21"/>
          <w:szCs w:val="21"/>
        </w:rPr>
        <w:t>附件2：</w:t>
      </w:r>
      <w:bookmarkEnd w:id="125"/>
      <w:bookmarkStart w:id="126" w:name="_Toc139965362"/>
    </w:p>
    <w:p>
      <w:pPr>
        <w:spacing w:line="400" w:lineRule="exact"/>
        <w:jc w:val="center"/>
        <w:rPr>
          <w:rFonts w:hint="eastAsia" w:asciiTheme="minorEastAsia" w:hAnsiTheme="minorEastAsia" w:eastAsiaTheme="minorEastAsia" w:cstheme="minorEastAsia"/>
          <w:b/>
          <w:sz w:val="21"/>
          <w:szCs w:val="21"/>
        </w:rPr>
      </w:pPr>
      <w:bookmarkStart w:id="127"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128" w:name="_Toc16424"/>
      <w:r>
        <w:rPr>
          <w:rFonts w:hint="eastAsia" w:asciiTheme="minorEastAsia" w:hAnsiTheme="minorEastAsia" w:eastAsiaTheme="minorEastAsia" w:cstheme="minorEastAsia"/>
          <w:b/>
          <w:sz w:val="21"/>
          <w:szCs w:val="21"/>
        </w:rPr>
        <w:t>附件3：</w:t>
      </w:r>
      <w:bookmarkEnd w:id="128"/>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129"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129"/>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126"/>
    <w:bookmarkEnd w:id="127"/>
    <w:p>
      <w:pPr>
        <w:spacing w:line="400" w:lineRule="exact"/>
        <w:rPr>
          <w:rFonts w:hint="eastAsia" w:asciiTheme="minorEastAsia" w:hAnsiTheme="minorEastAsia" w:eastAsiaTheme="minorEastAsia" w:cstheme="minorEastAsia"/>
          <w:b/>
          <w:sz w:val="21"/>
          <w:szCs w:val="21"/>
        </w:rPr>
      </w:pPr>
      <w:bookmarkStart w:id="130" w:name="_Toc32506"/>
      <w:r>
        <w:rPr>
          <w:rFonts w:hint="eastAsia" w:asciiTheme="minorEastAsia" w:hAnsiTheme="minorEastAsia" w:eastAsiaTheme="minorEastAsia" w:cstheme="minorEastAsia"/>
          <w:b/>
          <w:sz w:val="21"/>
          <w:szCs w:val="21"/>
        </w:rPr>
        <w:t>附件5：</w:t>
      </w:r>
      <w:bookmarkEnd w:id="130"/>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131"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132" w:name="_Toc8206"/>
      <w:r>
        <w:rPr>
          <w:rFonts w:hint="eastAsia" w:asciiTheme="minorEastAsia" w:hAnsiTheme="minorEastAsia" w:eastAsiaTheme="minorEastAsia" w:cstheme="minorEastAsia"/>
          <w:b/>
          <w:sz w:val="21"/>
          <w:szCs w:val="21"/>
        </w:rPr>
        <w:t>附件6：</w:t>
      </w:r>
      <w:bookmarkEnd w:id="132"/>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5"/>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5"/>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131"/>
    <w:p>
      <w:pPr>
        <w:spacing w:line="400" w:lineRule="exact"/>
        <w:rPr>
          <w:rFonts w:hint="eastAsia" w:asciiTheme="minorEastAsia" w:hAnsiTheme="minorEastAsia" w:eastAsiaTheme="minorEastAsia" w:cstheme="minorEastAsia"/>
          <w:sz w:val="21"/>
          <w:szCs w:val="21"/>
        </w:rPr>
        <w:sectPr>
          <w:headerReference r:id="rId9" w:type="default"/>
          <w:pgSz w:w="11906" w:h="16838"/>
          <w:pgMar w:top="1304" w:right="1247" w:bottom="1418" w:left="1247" w:header="851" w:footer="992" w:gutter="0"/>
          <w:pgNumType w:fmt="decimal"/>
          <w:cols w:space="720" w:num="1"/>
          <w:docGrid w:linePitch="312" w:charSpace="0"/>
        </w:sectPr>
      </w:pPr>
      <w:bookmarkStart w:id="133" w:name="_Toc258923314"/>
      <w:bookmarkStart w:id="134" w:name="_Toc400536597"/>
    </w:p>
    <w:p>
      <w:pPr>
        <w:spacing w:line="400" w:lineRule="exact"/>
        <w:rPr>
          <w:rFonts w:hint="eastAsia" w:asciiTheme="minorEastAsia" w:hAnsiTheme="minorEastAsia" w:eastAsiaTheme="minorEastAsia" w:cstheme="minorEastAsia"/>
          <w:b/>
          <w:sz w:val="21"/>
          <w:szCs w:val="21"/>
        </w:rPr>
      </w:pPr>
      <w:bookmarkStart w:id="135" w:name="_Toc5690"/>
      <w:r>
        <w:rPr>
          <w:rFonts w:hint="eastAsia" w:asciiTheme="minorEastAsia" w:hAnsiTheme="minorEastAsia" w:eastAsiaTheme="minorEastAsia" w:cstheme="minorEastAsia"/>
          <w:b/>
          <w:sz w:val="21"/>
          <w:szCs w:val="21"/>
        </w:rPr>
        <w:t>附件7：</w:t>
      </w:r>
      <w:bookmarkEnd w:id="135"/>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133"/>
      <w:bookmarkEnd w:id="134"/>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6"/>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6"/>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136" w:name="_Toc6256"/>
      <w:r>
        <w:rPr>
          <w:rFonts w:hint="eastAsia" w:asciiTheme="minorEastAsia" w:hAnsiTheme="minorEastAsia" w:eastAsiaTheme="minorEastAsia" w:cstheme="minorEastAsia"/>
          <w:b/>
          <w:sz w:val="21"/>
          <w:szCs w:val="21"/>
        </w:rPr>
        <w:t>附件8：</w:t>
      </w:r>
      <w:bookmarkEnd w:id="136"/>
    </w:p>
    <w:p>
      <w:pPr>
        <w:spacing w:line="400" w:lineRule="exact"/>
        <w:jc w:val="center"/>
        <w:rPr>
          <w:rFonts w:hint="eastAsia" w:asciiTheme="minorEastAsia" w:hAnsiTheme="minorEastAsia" w:eastAsiaTheme="minorEastAsia" w:cstheme="minorEastAsia"/>
          <w:b/>
          <w:sz w:val="21"/>
          <w:szCs w:val="21"/>
        </w:rPr>
      </w:pPr>
      <w:bookmarkStart w:id="137" w:name="_Toc258923315"/>
      <w:bookmarkStart w:id="138" w:name="_Toc400536598"/>
      <w:r>
        <w:rPr>
          <w:rFonts w:hint="eastAsia" w:asciiTheme="minorEastAsia" w:hAnsiTheme="minorEastAsia" w:eastAsiaTheme="minorEastAsia" w:cstheme="minorEastAsia"/>
          <w:b/>
          <w:sz w:val="21"/>
          <w:szCs w:val="21"/>
        </w:rPr>
        <w:t>优惠条件承诺书</w:t>
      </w:r>
      <w:bookmarkEnd w:id="137"/>
      <w:bookmarkEnd w:id="138"/>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139" w:name="_Toc20690"/>
      <w:r>
        <w:rPr>
          <w:rFonts w:hint="eastAsia" w:asciiTheme="minorEastAsia" w:hAnsiTheme="minorEastAsia" w:eastAsiaTheme="minorEastAsia" w:cstheme="minorEastAsia"/>
          <w:b/>
          <w:sz w:val="21"/>
          <w:szCs w:val="21"/>
        </w:rPr>
        <w:t>附件9：</w:t>
      </w:r>
      <w:bookmarkEnd w:id="139"/>
    </w:p>
    <w:p>
      <w:pPr>
        <w:spacing w:line="400" w:lineRule="exact"/>
        <w:jc w:val="center"/>
        <w:rPr>
          <w:rFonts w:hint="eastAsia" w:asciiTheme="minorEastAsia" w:hAnsiTheme="minorEastAsia" w:eastAsiaTheme="minorEastAsia" w:cstheme="minorEastAsia"/>
          <w:b/>
          <w:sz w:val="21"/>
          <w:szCs w:val="21"/>
        </w:rPr>
      </w:pPr>
      <w:bookmarkStart w:id="140" w:name="_Toc400536599"/>
      <w:bookmarkStart w:id="141" w:name="_Toc258923316"/>
      <w:r>
        <w:rPr>
          <w:rFonts w:hint="eastAsia" w:asciiTheme="minorEastAsia" w:hAnsiTheme="minorEastAsia" w:eastAsiaTheme="minorEastAsia" w:cstheme="minorEastAsia"/>
          <w:b/>
          <w:sz w:val="21"/>
          <w:szCs w:val="21"/>
        </w:rPr>
        <w:t>售后服务承诺</w:t>
      </w:r>
      <w:bookmarkEnd w:id="140"/>
      <w:bookmarkEnd w:id="141"/>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142" w:name="_Toc25362"/>
      <w:r>
        <w:rPr>
          <w:rFonts w:hint="eastAsia" w:asciiTheme="minorEastAsia" w:hAnsiTheme="minorEastAsia" w:eastAsiaTheme="minorEastAsia" w:cstheme="minorEastAsia"/>
          <w:b/>
          <w:sz w:val="21"/>
          <w:szCs w:val="21"/>
        </w:rPr>
        <w:t>附件10：</w:t>
      </w:r>
      <w:bookmarkEnd w:id="142"/>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143" w:name="_Toc20687"/>
      <w:r>
        <w:rPr>
          <w:rFonts w:hint="eastAsia" w:asciiTheme="minorEastAsia" w:hAnsiTheme="minorEastAsia" w:eastAsiaTheme="minorEastAsia" w:cstheme="minorEastAsia"/>
          <w:b/>
          <w:sz w:val="21"/>
          <w:szCs w:val="21"/>
        </w:rPr>
        <w:t>附件11：</w:t>
      </w:r>
      <w:bookmarkEnd w:id="143"/>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44" w:name="_Toc22028"/>
      <w:r>
        <w:rPr>
          <w:rFonts w:hint="eastAsia" w:asciiTheme="minorEastAsia" w:hAnsiTheme="minorEastAsia" w:eastAsiaTheme="minorEastAsia" w:cstheme="minorEastAsia"/>
          <w:b/>
          <w:sz w:val="21"/>
          <w:szCs w:val="21"/>
        </w:rPr>
        <w:t>附件12：</w:t>
      </w:r>
      <w:bookmarkEnd w:id="144"/>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45" w:name="_Toc26407"/>
      <w:r>
        <w:rPr>
          <w:rFonts w:hint="eastAsia" w:asciiTheme="minorEastAsia" w:hAnsiTheme="minorEastAsia" w:eastAsiaTheme="minorEastAsia" w:cstheme="minorEastAsia"/>
          <w:b/>
          <w:sz w:val="21"/>
          <w:szCs w:val="21"/>
        </w:rPr>
        <w:t>附件13：</w:t>
      </w:r>
      <w:bookmarkEnd w:id="145"/>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二次（最终）报价表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AC032D73"/>
    <w:multiLevelType w:val="singleLevel"/>
    <w:tmpl w:val="AC032D73"/>
    <w:lvl w:ilvl="0" w:tentative="0">
      <w:start w:val="1"/>
      <w:numFmt w:val="decimal"/>
      <w:suff w:val="nothing"/>
      <w:lvlText w:val="（%1）"/>
      <w:lvlJc w:val="left"/>
    </w:lvl>
  </w:abstractNum>
  <w:abstractNum w:abstractNumId="2">
    <w:nsid w:val="B0204A4B"/>
    <w:multiLevelType w:val="singleLevel"/>
    <w:tmpl w:val="B0204A4B"/>
    <w:lvl w:ilvl="0" w:tentative="0">
      <w:start w:val="1"/>
      <w:numFmt w:val="decimal"/>
      <w:lvlText w:val="%1."/>
      <w:lvlJc w:val="left"/>
      <w:pPr>
        <w:tabs>
          <w:tab w:val="left" w:pos="312"/>
        </w:tabs>
      </w:pPr>
    </w:lvl>
  </w:abstractNum>
  <w:abstractNum w:abstractNumId="3">
    <w:nsid w:val="39A80FC8"/>
    <w:multiLevelType w:val="singleLevel"/>
    <w:tmpl w:val="39A80FC8"/>
    <w:lvl w:ilvl="0" w:tentative="0">
      <w:start w:val="3"/>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NmY0OWMxNmIzZTVlMGI1NDc5OTQ2Y2FjOGVjMDI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4F002B0"/>
    <w:rsid w:val="05551D4C"/>
    <w:rsid w:val="057B5C57"/>
    <w:rsid w:val="05ED58B4"/>
    <w:rsid w:val="06E77E03"/>
    <w:rsid w:val="0C456161"/>
    <w:rsid w:val="0DEB1BBD"/>
    <w:rsid w:val="0FC23828"/>
    <w:rsid w:val="10A1579F"/>
    <w:rsid w:val="10D93C93"/>
    <w:rsid w:val="10EE66CF"/>
    <w:rsid w:val="118045F5"/>
    <w:rsid w:val="14596455"/>
    <w:rsid w:val="15367EF7"/>
    <w:rsid w:val="17D05530"/>
    <w:rsid w:val="17D31521"/>
    <w:rsid w:val="17F8635D"/>
    <w:rsid w:val="180C582A"/>
    <w:rsid w:val="182D6B6F"/>
    <w:rsid w:val="1AA323AD"/>
    <w:rsid w:val="1C131EBB"/>
    <w:rsid w:val="1C493F61"/>
    <w:rsid w:val="1D70046D"/>
    <w:rsid w:val="1E881342"/>
    <w:rsid w:val="1E93629D"/>
    <w:rsid w:val="1F9C084C"/>
    <w:rsid w:val="20BD66A9"/>
    <w:rsid w:val="21E2535E"/>
    <w:rsid w:val="23FA0FAB"/>
    <w:rsid w:val="27175F3F"/>
    <w:rsid w:val="2831225C"/>
    <w:rsid w:val="288A4CC3"/>
    <w:rsid w:val="2A1711BC"/>
    <w:rsid w:val="2AA412BD"/>
    <w:rsid w:val="2BE637A0"/>
    <w:rsid w:val="2E5844D8"/>
    <w:rsid w:val="2FB15C4D"/>
    <w:rsid w:val="2FFA78BA"/>
    <w:rsid w:val="304C23F1"/>
    <w:rsid w:val="335334BF"/>
    <w:rsid w:val="3B2C5316"/>
    <w:rsid w:val="3BA63A7F"/>
    <w:rsid w:val="3BED17BF"/>
    <w:rsid w:val="3CA07775"/>
    <w:rsid w:val="3D4E3AD5"/>
    <w:rsid w:val="3E554590"/>
    <w:rsid w:val="3E7A28CA"/>
    <w:rsid w:val="3F3E5881"/>
    <w:rsid w:val="41295675"/>
    <w:rsid w:val="41E22DC7"/>
    <w:rsid w:val="41F51C9B"/>
    <w:rsid w:val="41FF2FA2"/>
    <w:rsid w:val="4201606C"/>
    <w:rsid w:val="43836531"/>
    <w:rsid w:val="45CF6B25"/>
    <w:rsid w:val="47584B4F"/>
    <w:rsid w:val="478B4A59"/>
    <w:rsid w:val="47B133BE"/>
    <w:rsid w:val="47C80C64"/>
    <w:rsid w:val="480B2C86"/>
    <w:rsid w:val="483D3A2C"/>
    <w:rsid w:val="48A26AF4"/>
    <w:rsid w:val="4A167366"/>
    <w:rsid w:val="4A370ACA"/>
    <w:rsid w:val="4B450FC6"/>
    <w:rsid w:val="4C3B7513"/>
    <w:rsid w:val="4CC4526E"/>
    <w:rsid w:val="4DA37EA8"/>
    <w:rsid w:val="4EB33338"/>
    <w:rsid w:val="50D54034"/>
    <w:rsid w:val="511B4946"/>
    <w:rsid w:val="537C456F"/>
    <w:rsid w:val="54687E3F"/>
    <w:rsid w:val="546B0B19"/>
    <w:rsid w:val="54C85664"/>
    <w:rsid w:val="56006F00"/>
    <w:rsid w:val="5DA24E17"/>
    <w:rsid w:val="63F57FF1"/>
    <w:rsid w:val="67C223E6"/>
    <w:rsid w:val="6800454F"/>
    <w:rsid w:val="687B3C27"/>
    <w:rsid w:val="687D3777"/>
    <w:rsid w:val="6AF905B4"/>
    <w:rsid w:val="6B947839"/>
    <w:rsid w:val="6D1B05CF"/>
    <w:rsid w:val="6D201C56"/>
    <w:rsid w:val="6ED04B50"/>
    <w:rsid w:val="6F2B6D0F"/>
    <w:rsid w:val="6FC8115D"/>
    <w:rsid w:val="703B4AE4"/>
    <w:rsid w:val="710F35DD"/>
    <w:rsid w:val="72CA055B"/>
    <w:rsid w:val="72F80E15"/>
    <w:rsid w:val="765E2E38"/>
    <w:rsid w:val="78EE0B2B"/>
    <w:rsid w:val="79FA77BE"/>
    <w:rsid w:val="7A28432B"/>
    <w:rsid w:val="7B186783"/>
    <w:rsid w:val="7B674B1C"/>
    <w:rsid w:val="7C2B55CD"/>
    <w:rsid w:val="7C525B87"/>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 w:type="paragraph" w:customStyle="1" w:styleId="131">
    <w:name w:val="item"/>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32140</Words>
  <Characters>34340</Characters>
  <Lines>182</Lines>
  <Paragraphs>51</Paragraphs>
  <TotalTime>4</TotalTime>
  <ScaleCrop>false</ScaleCrop>
  <LinksUpToDate>false</LinksUpToDate>
  <CharactersWithSpaces>35501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2021-06-18T02:14:00Z</cp:lastPrinted>
  <dcterms:modified xsi:type="dcterms:W3CDTF">2022-05-20T02:59:18Z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3CDCF02AD1334CFBBC3F600B8D6221FC</vt:lpwstr>
  </property>
</Properties>
</file>