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Theme="minorEastAsia" w:hAnsiTheme="minorEastAsia" w:eastAsiaTheme="minorEastAsia" w:cstheme="minorEastAsia"/>
          <w:b/>
          <w:sz w:val="21"/>
          <w:szCs w:val="21"/>
        </w:rPr>
      </w:pPr>
    </w:p>
    <w:p>
      <w:pPr>
        <w:pStyle w:val="46"/>
        <w:rPr>
          <w:rFonts w:hint="eastAsia" w:asciiTheme="minorEastAsia" w:hAnsiTheme="minorEastAsia" w:eastAsiaTheme="minorEastAsia" w:cstheme="minorEastAsia"/>
          <w:b/>
          <w:sz w:val="21"/>
          <w:szCs w:val="21"/>
        </w:rPr>
      </w:pPr>
    </w:p>
    <w:p>
      <w:pPr>
        <w:pStyle w:val="46"/>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sz w:val="21"/>
          <w:szCs w:val="21"/>
        </w:rPr>
      </w:pPr>
    </w:p>
    <w:p>
      <w:pPr>
        <w:tabs>
          <w:tab w:val="left" w:pos="1960"/>
          <w:tab w:val="left" w:pos="3480"/>
          <w:tab w:val="left" w:pos="4980"/>
        </w:tabs>
        <w:spacing w:line="480" w:lineRule="auto"/>
        <w:jc w:val="center"/>
        <w:rPr>
          <w:rFonts w:hint="eastAsia" w:asciiTheme="minorEastAsia" w:hAnsiTheme="minorEastAsia" w:eastAsiaTheme="minorEastAsia" w:cstheme="minorEastAsia"/>
          <w:b/>
          <w:sz w:val="32"/>
          <w:szCs w:val="32"/>
          <w:lang w:eastAsia="zh-CN"/>
        </w:rPr>
      </w:pPr>
      <w:r>
        <w:rPr>
          <w:rFonts w:hint="eastAsia" w:asciiTheme="minorEastAsia" w:hAnsiTheme="minorEastAsia" w:eastAsiaTheme="minorEastAsia" w:cstheme="minorEastAsia"/>
          <w:b/>
          <w:sz w:val="32"/>
          <w:szCs w:val="32"/>
          <w:lang w:eastAsia="zh-CN"/>
        </w:rPr>
        <w:t>自治区自然资源规划院公有云服务采购项目（包一）</w:t>
      </w:r>
    </w:p>
    <w:p>
      <w:pPr>
        <w:tabs>
          <w:tab w:val="left" w:pos="1960"/>
          <w:tab w:val="left" w:pos="3480"/>
          <w:tab w:val="left" w:pos="4980"/>
        </w:tabs>
        <w:spacing w:line="480" w:lineRule="auto"/>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竞争性磋商文件</w:t>
      </w: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rPr>
        <w:t>项目编号：</w:t>
      </w:r>
      <w:r>
        <w:rPr>
          <w:rFonts w:hint="eastAsia" w:asciiTheme="minorEastAsia" w:hAnsiTheme="minorEastAsia" w:eastAsiaTheme="minorEastAsia" w:cstheme="minorEastAsia"/>
          <w:b/>
          <w:sz w:val="21"/>
          <w:szCs w:val="21"/>
          <w:lang w:eastAsia="zh-CN"/>
        </w:rPr>
        <w:t>HYGJ-ZFCG-2022-052-1</w:t>
      </w:r>
    </w:p>
    <w:p>
      <w:pPr>
        <w:pStyle w:val="13"/>
        <w:spacing w:line="400" w:lineRule="exact"/>
        <w:ind w:left="0" w:leftChars="0"/>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sz w:val="21"/>
          <w:szCs w:val="21"/>
        </w:rPr>
      </w:pPr>
    </w:p>
    <w:p>
      <w:pPr>
        <w:pStyle w:val="34"/>
        <w:spacing w:after="0" w:line="400" w:lineRule="exact"/>
        <w:ind w:firstLine="240"/>
        <w:rPr>
          <w:rFonts w:hint="eastAsia" w:asciiTheme="minorEastAsia" w:hAnsiTheme="minorEastAsia" w:eastAsiaTheme="minorEastAsia" w:cstheme="minorEastAsia"/>
          <w:sz w:val="21"/>
          <w:szCs w:val="21"/>
        </w:rPr>
      </w:pPr>
    </w:p>
    <w:p>
      <w:pPr>
        <w:pStyle w:val="35"/>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bCs/>
          <w:sz w:val="21"/>
          <w:szCs w:val="21"/>
        </w:rPr>
      </w:pPr>
    </w:p>
    <w:p>
      <w:pPr>
        <w:pStyle w:val="35"/>
        <w:rPr>
          <w:rFonts w:hint="eastAsia" w:asciiTheme="minorEastAsia" w:hAnsiTheme="minorEastAsia" w:eastAsiaTheme="minorEastAsia" w:cstheme="minorEastAsia"/>
          <w:b/>
          <w:bCs/>
          <w:sz w:val="21"/>
          <w:szCs w:val="21"/>
        </w:rPr>
      </w:pPr>
    </w:p>
    <w:p>
      <w:pPr>
        <w:rPr>
          <w:rFonts w:hint="eastAsia" w:asciiTheme="minorEastAsia" w:hAnsiTheme="minorEastAsia" w:eastAsiaTheme="minorEastAsia" w:cstheme="minorEastAsia"/>
          <w:b/>
          <w:bCs/>
          <w:sz w:val="21"/>
          <w:szCs w:val="21"/>
        </w:rPr>
      </w:pPr>
    </w:p>
    <w:p>
      <w:pPr>
        <w:pStyle w:val="35"/>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pStyle w:val="34"/>
        <w:spacing w:after="0" w:line="400" w:lineRule="exact"/>
        <w:ind w:firstLine="2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采购人名称：</w:t>
      </w:r>
      <w:r>
        <w:rPr>
          <w:rFonts w:hint="eastAsia" w:asciiTheme="minorEastAsia" w:hAnsiTheme="minorEastAsia" w:cstheme="minorEastAsia"/>
          <w:sz w:val="21"/>
          <w:szCs w:val="21"/>
          <w:lang w:eastAsia="zh-CN"/>
        </w:rPr>
        <w:t>新疆维吾尔自治区自然资源规划研究院</w:t>
      </w:r>
    </w:p>
    <w:p>
      <w:pPr>
        <w:pStyle w:val="34"/>
        <w:spacing w:after="0" w:line="400" w:lineRule="exact"/>
        <w:ind w:firstLine="240"/>
        <w:jc w:val="left"/>
        <w:rPr>
          <w:rFonts w:hint="eastAsia" w:asciiTheme="minorEastAsia" w:hAnsiTheme="minorEastAsia" w:cstheme="minorEastAsia"/>
          <w:sz w:val="21"/>
          <w:szCs w:val="21"/>
          <w:lang w:eastAsia="zh-CN"/>
        </w:rPr>
      </w:pPr>
      <w:r>
        <w:rPr>
          <w:rFonts w:hint="eastAsia" w:asciiTheme="minorEastAsia" w:hAnsiTheme="minorEastAsia" w:eastAsiaTheme="minorEastAsia" w:cstheme="minorEastAsia"/>
          <w:sz w:val="21"/>
          <w:szCs w:val="21"/>
        </w:rPr>
        <w:t>联系人：</w:t>
      </w:r>
      <w:r>
        <w:rPr>
          <w:rFonts w:hint="eastAsia" w:asciiTheme="minorEastAsia" w:hAnsiTheme="minorEastAsia" w:cstheme="minorEastAsia"/>
          <w:sz w:val="21"/>
          <w:szCs w:val="21"/>
          <w:lang w:eastAsia="zh-CN"/>
        </w:rPr>
        <w:t>茹皮亚</w:t>
      </w:r>
    </w:p>
    <w:p>
      <w:pPr>
        <w:pStyle w:val="34"/>
        <w:spacing w:after="0" w:line="400" w:lineRule="exact"/>
        <w:ind w:firstLine="24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联系方式：</w:t>
      </w:r>
      <w:r>
        <w:rPr>
          <w:rFonts w:hint="eastAsia" w:asciiTheme="minorEastAsia" w:hAnsiTheme="minorEastAsia" w:cstheme="minorEastAsia"/>
          <w:sz w:val="21"/>
          <w:szCs w:val="21"/>
          <w:lang w:eastAsia="zh-CN"/>
        </w:rPr>
        <w:t>17799910552</w:t>
      </w:r>
    </w:p>
    <w:p>
      <w:pPr>
        <w:pStyle w:val="35"/>
        <w:ind w:left="0" w:leftChars="0"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地址：</w:t>
      </w:r>
      <w:r>
        <w:rPr>
          <w:rFonts w:hint="eastAsia" w:asciiTheme="minorEastAsia" w:hAnsiTheme="minorEastAsia" w:eastAsiaTheme="minorEastAsia" w:cstheme="minorEastAsia"/>
          <w:sz w:val="21"/>
          <w:szCs w:val="21"/>
          <w:lang w:val="en-US" w:eastAsia="zh-CN"/>
        </w:rPr>
        <w:t>乌鲁木齐新市区北京南路广安街199号</w:t>
      </w:r>
    </w:p>
    <w:p>
      <w:pPr>
        <w:rPr>
          <w:rFonts w:hint="eastAsia"/>
        </w:rPr>
      </w:pP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采购代理机构：宏业国际项目管理有限公司</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联系人：李苗</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联系电话：15022921857</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地址：乌鲁木齐水磨沟区红光山路万科大都会8号楼1202</w:t>
      </w: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pStyle w:val="29"/>
        <w:tabs>
          <w:tab w:val="right" w:leader="dot" w:pos="9683"/>
        </w:tabs>
        <w:spacing w:line="400" w:lineRule="exact"/>
        <w:jc w:val="left"/>
        <w:rPr>
          <w:rStyle w:val="43"/>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fldChar w:fldCharType="begin"/>
      </w:r>
      <w:r>
        <w:rPr>
          <w:rFonts w:hint="eastAsia" w:asciiTheme="minorEastAsia" w:hAnsiTheme="minorEastAsia" w:eastAsiaTheme="minorEastAsia" w:cstheme="minorEastAsia"/>
          <w:b/>
          <w:sz w:val="21"/>
          <w:szCs w:val="21"/>
        </w:rPr>
        <w:instrText xml:space="preserve"> TOC \o "1-2" \h \z \u </w:instrText>
      </w:r>
      <w:r>
        <w:rPr>
          <w:rFonts w:hint="eastAsia" w:asciiTheme="minorEastAsia" w:hAnsiTheme="minorEastAsia" w:eastAsiaTheme="minorEastAsia" w:cstheme="minorEastAsia"/>
          <w:b/>
          <w:sz w:val="21"/>
          <w:szCs w:val="21"/>
        </w:rPr>
        <w:fldChar w:fldCharType="separate"/>
      </w:r>
      <w:r>
        <w:rPr>
          <w:rFonts w:hint="eastAsia" w:asciiTheme="minorEastAsia" w:hAnsiTheme="minorEastAsia" w:eastAsiaTheme="minorEastAsia" w:cstheme="minorEastAsia"/>
          <w:b/>
          <w:sz w:val="21"/>
          <w:szCs w:val="21"/>
        </w:rPr>
        <w:fldChar w:fldCharType="begin"/>
      </w:r>
      <w:r>
        <w:rPr>
          <w:rFonts w:hint="eastAsia" w:asciiTheme="minorEastAsia" w:hAnsiTheme="minorEastAsia" w:eastAsiaTheme="minorEastAsia" w:cstheme="minorEastAsia"/>
          <w:b/>
          <w:sz w:val="21"/>
          <w:szCs w:val="21"/>
        </w:rPr>
        <w:instrText xml:space="preserve"> TOC \o "1-2" \h \z \u </w:instrText>
      </w:r>
      <w:r>
        <w:rPr>
          <w:rFonts w:hint="eastAsia" w:asciiTheme="minorEastAsia" w:hAnsiTheme="minorEastAsia" w:eastAsiaTheme="minorEastAsia" w:cstheme="minorEastAsia"/>
          <w:b/>
          <w:sz w:val="21"/>
          <w:szCs w:val="21"/>
        </w:rPr>
        <w:fldChar w:fldCharType="separate"/>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"_Toc462223639" </w:instrText>
      </w:r>
      <w:r>
        <w:rPr>
          <w:rFonts w:hint="eastAsia" w:asciiTheme="minorEastAsia" w:hAnsiTheme="minorEastAsia" w:eastAsiaTheme="minorEastAsia" w:cstheme="minorEastAsia"/>
          <w:sz w:val="21"/>
          <w:szCs w:val="21"/>
        </w:rPr>
        <w:fldChar w:fldCharType="separate"/>
      </w:r>
    </w:p>
    <w:sdt>
      <w:sdtPr>
        <w:rPr>
          <w:rFonts w:hint="eastAsia" w:asciiTheme="minorEastAsia" w:hAnsiTheme="minorEastAsia" w:eastAsiaTheme="minorEastAsia" w:cstheme="minorEastAsia"/>
          <w:sz w:val="21"/>
          <w:szCs w:val="21"/>
        </w:rPr>
        <w:id w:val="147474017"/>
        <w:docPartObj>
          <w:docPartGallery w:val="Table of Contents"/>
          <w:docPartUnique/>
        </w:docPartObj>
      </w:sdtPr>
      <w:sdtEndPr>
        <w:rPr>
          <w:rFonts w:hint="eastAsia" w:asciiTheme="minorEastAsia" w:hAnsiTheme="minorEastAsia" w:eastAsiaTheme="minorEastAsia" w:cstheme="minorEastAsia"/>
          <w:sz w:val="21"/>
          <w:szCs w:val="21"/>
        </w:rPr>
      </w:sdtEndPr>
      <w:sdtContent>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  录</w:t>
          </w:r>
        </w:p>
        <w:p>
          <w:pPr>
            <w:pStyle w:val="127"/>
            <w:tabs>
              <w:tab w:val="right" w:leader="dot" w:pos="9299"/>
            </w:tabs>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TOC \o "1-1" \h \u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"_Toc23056"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xml:space="preserve">第一章 </w:t>
          </w:r>
          <w:r>
            <w:rPr>
              <w:rFonts w:hint="eastAsia" w:asciiTheme="minorEastAsia" w:hAnsiTheme="minorEastAsia" w:eastAsiaTheme="minorEastAsia" w:cstheme="minorEastAsia"/>
              <w:kern w:val="2"/>
              <w:sz w:val="21"/>
              <w:szCs w:val="21"/>
            </w:rPr>
            <w:t>竞争性磋商公告</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_Toc23056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27"/>
            <w:tabs>
              <w:tab w:val="right" w:leader="dot" w:pos="9299"/>
            </w:tabs>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"_Toc11946"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第二章  供应商须知</w:t>
          </w:r>
          <w:r>
            <w:rPr>
              <w:rFonts w:hint="eastAsia" w:asciiTheme="minorEastAsia" w:hAnsiTheme="minorEastAsia" w:eastAsiaTheme="minorEastAsia" w:cstheme="minorEastAsia"/>
              <w:sz w:val="21"/>
              <w:szCs w:val="21"/>
            </w:rPr>
            <w:tab/>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fldChar w:fldCharType="end"/>
          </w:r>
        </w:p>
        <w:p>
          <w:pPr>
            <w:pStyle w:val="127"/>
            <w:tabs>
              <w:tab w:val="right" w:leader="dot" w:pos="9299"/>
            </w:tabs>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"_Toc16105"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第三章  项目需求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_Toc16105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27"/>
            <w:tabs>
              <w:tab w:val="right" w:leader="dot" w:pos="9299"/>
            </w:tabs>
            <w:spacing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"_Toc28434"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第四章  合同条款（仅供参考）</w:t>
          </w:r>
          <w:r>
            <w:rPr>
              <w:rFonts w:hint="eastAsia" w:asciiTheme="minorEastAsia" w:hAnsiTheme="minorEastAsia" w:eastAsiaTheme="minorEastAsia" w:cstheme="minorEastAsia"/>
              <w:sz w:val="21"/>
              <w:szCs w:val="21"/>
            </w:rPr>
            <w:tab/>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fldChar w:fldCharType="end"/>
          </w:r>
          <w:r>
            <w:rPr>
              <w:rFonts w:hint="eastAsia" w:asciiTheme="minorEastAsia" w:hAnsiTheme="minorEastAsia" w:cstheme="minorEastAsia"/>
              <w:sz w:val="21"/>
              <w:szCs w:val="21"/>
              <w:lang w:val="en-US" w:eastAsia="zh-CN"/>
            </w:rPr>
            <w:t>1</w:t>
          </w:r>
        </w:p>
        <w:p>
          <w:pPr>
            <w:pStyle w:val="127"/>
            <w:tabs>
              <w:tab w:val="right" w:leader="dot" w:pos="9299"/>
            </w:tabs>
            <w:spacing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"_Toc12367"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第五章  附件</w:t>
          </w:r>
          <w:r>
            <w:rPr>
              <w:rFonts w:hint="eastAsia" w:asciiTheme="minorEastAsia" w:hAnsiTheme="minorEastAsia" w:eastAsiaTheme="minorEastAsia" w:cstheme="minorEastAsia"/>
              <w:sz w:val="21"/>
              <w:szCs w:val="21"/>
            </w:rPr>
            <w:tab/>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fldChar w:fldCharType="end"/>
          </w:r>
          <w:r>
            <w:rPr>
              <w:rFonts w:hint="eastAsia" w:asciiTheme="minorEastAsia" w:hAnsiTheme="minorEastAsia" w:cstheme="minorEastAsia"/>
              <w:sz w:val="21"/>
              <w:szCs w:val="21"/>
              <w:lang w:val="en-US" w:eastAsia="zh-CN"/>
            </w:rPr>
            <w:t>4</w:t>
          </w:r>
        </w:p>
        <w:p>
          <w:pPr>
            <w:pStyle w:val="127"/>
            <w:tabs>
              <w:tab w:val="right" w:leader="dot" w:pos="9299"/>
            </w:tabs>
            <w:spacing w:line="400" w:lineRule="exact"/>
            <w:rPr>
              <w:rFonts w:hint="eastAsia" w:asciiTheme="minorEastAsia" w:hAnsiTheme="minorEastAsia" w:eastAsiaTheme="minorEastAsia" w:cstheme="minorEastAsia"/>
              <w:sz w:val="21"/>
              <w:szCs w:val="21"/>
            </w:rPr>
          </w:pPr>
        </w:p>
        <w:p>
          <w:pPr>
            <w:pStyle w:val="127"/>
            <w:tabs>
              <w:tab w:val="right" w:leader="dot" w:pos="9299"/>
            </w:tabs>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end"/>
          </w:r>
        </w:p>
      </w:sdtContent>
    </w:sdt>
    <w:p>
      <w:pPr>
        <w:pStyle w:val="29"/>
        <w:tabs>
          <w:tab w:val="right" w:leader="dot" w:pos="9683"/>
        </w:tabs>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end"/>
      </w:r>
    </w:p>
    <w:p>
      <w:pPr>
        <w:pStyle w:val="29"/>
        <w:tabs>
          <w:tab w:val="right" w:leader="dot" w:pos="9683"/>
        </w:tabs>
        <w:spacing w:line="400" w:lineRule="exact"/>
        <w:jc w:val="left"/>
        <w:rPr>
          <w:rFonts w:hint="eastAsia" w:asciiTheme="minorEastAsia" w:hAnsiTheme="minorEastAsia" w:eastAsiaTheme="minorEastAsia" w:cstheme="minorEastAsia"/>
          <w:sz w:val="21"/>
          <w:szCs w:val="21"/>
        </w:rPr>
      </w:pPr>
    </w:p>
    <w:p>
      <w:pPr>
        <w:pStyle w:val="29"/>
        <w:tabs>
          <w:tab w:val="right" w:leader="dot" w:pos="8541"/>
        </w:tabs>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fldChar w:fldCharType="end"/>
      </w:r>
    </w:p>
    <w:p>
      <w:pPr>
        <w:pStyle w:val="29"/>
        <w:tabs>
          <w:tab w:val="right" w:leader="dot" w:pos="9683"/>
        </w:tabs>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fldChar w:fldCharType="end"/>
      </w:r>
    </w:p>
    <w:p>
      <w:pPr>
        <w:widowControl/>
        <w:spacing w:line="400" w:lineRule="exact"/>
        <w:jc w:val="center"/>
        <w:rPr>
          <w:rFonts w:hint="eastAsia" w:asciiTheme="minorEastAsia" w:hAnsiTheme="minorEastAsia" w:eastAsiaTheme="minorEastAsia" w:cstheme="minorEastAsia"/>
          <w:b/>
          <w:sz w:val="21"/>
          <w:szCs w:val="21"/>
        </w:rPr>
        <w:sectPr>
          <w:headerReference r:id="rId4" w:type="first"/>
          <w:headerReference r:id="rId3" w:type="default"/>
          <w:footerReference r:id="rId5" w:type="even"/>
          <w:pgSz w:w="11907" w:h="16840"/>
          <w:pgMar w:top="1440" w:right="1247" w:bottom="1440" w:left="1361" w:header="851" w:footer="799" w:gutter="0"/>
          <w:pgNumType w:start="0"/>
          <w:cols w:space="720" w:num="1"/>
          <w:titlePg/>
          <w:docGrid w:type="lines" w:linePitch="409" w:charSpace="0"/>
        </w:sectPr>
      </w:pPr>
      <w:bookmarkStart w:id="0" w:name="_Toc349637917"/>
      <w:bookmarkStart w:id="1" w:name="_Toc462223629"/>
      <w:bookmarkStart w:id="2" w:name="_Toc298240402"/>
      <w:bookmarkStart w:id="3" w:name="_Toc349573118"/>
    </w:p>
    <w:p>
      <w:pPr>
        <w:widowControl/>
        <w:spacing w:line="400" w:lineRule="exact"/>
        <w:jc w:val="center"/>
        <w:outlineLvl w:val="0"/>
        <w:rPr>
          <w:rFonts w:hint="eastAsia" w:asciiTheme="minorEastAsia" w:hAnsiTheme="minorEastAsia" w:eastAsiaTheme="minorEastAsia" w:cstheme="minorEastAsia"/>
          <w:b/>
          <w:sz w:val="21"/>
          <w:szCs w:val="21"/>
        </w:rPr>
      </w:pPr>
      <w:bookmarkStart w:id="4" w:name="_Toc23056"/>
      <w:r>
        <w:rPr>
          <w:rFonts w:hint="eastAsia" w:asciiTheme="minorEastAsia" w:hAnsiTheme="minorEastAsia" w:eastAsiaTheme="minorEastAsia" w:cstheme="minorEastAsia"/>
          <w:b/>
          <w:sz w:val="21"/>
          <w:szCs w:val="21"/>
        </w:rPr>
        <w:t>第一章</w:t>
      </w:r>
      <w:bookmarkEnd w:id="0"/>
      <w:bookmarkEnd w:id="1"/>
      <w:bookmarkEnd w:id="2"/>
      <w:bookmarkEnd w:id="3"/>
      <w:bookmarkStart w:id="5" w:name="_Hlk51338716"/>
      <w:bookmarkStart w:id="6" w:name="_Toc349637918"/>
      <w:bookmarkStart w:id="7" w:name="_Toc298240403"/>
      <w:bookmarkStart w:id="8" w:name="_Toc267301280"/>
      <w:bookmarkStart w:id="9" w:name="_Toc349573119"/>
      <w:bookmarkStart w:id="10" w:name="_Toc462223630"/>
      <w:r>
        <w:rPr>
          <w:rFonts w:hint="eastAsia" w:asciiTheme="minorEastAsia" w:hAnsiTheme="minorEastAsia" w:eastAsiaTheme="minorEastAsia" w:cstheme="minorEastAsia"/>
          <w:b/>
          <w:sz w:val="21"/>
          <w:szCs w:val="21"/>
        </w:rPr>
        <w:t xml:space="preserve"> 竞争性磋商公告</w:t>
      </w:r>
      <w:bookmarkEnd w:id="4"/>
    </w:p>
    <w:p>
      <w:pPr>
        <w:widowControl/>
        <w:spacing w:line="400" w:lineRule="exact"/>
        <w:jc w:val="center"/>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自治区自然资源规划院公有云服务采购项目（包一）</w:t>
      </w:r>
    </w:p>
    <w:p>
      <w:pPr>
        <w:widowControl/>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竞争性磋商公告</w:t>
      </w:r>
    </w:p>
    <w:p>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项目概况</w:t>
      </w:r>
    </w:p>
    <w:p>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u w:val="single"/>
          <w:lang w:eastAsia="zh-CN"/>
        </w:rPr>
        <w:t>自治区自然资源规划院公有云服务采购项目（包一）</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highlight w:val="none"/>
        </w:rPr>
        <w:t>的潜在投标人应在乌鲁木齐水磨沟区红光山路万科大都会8号楼1202室获取招标文件，并于</w:t>
      </w:r>
      <w:r>
        <w:rPr>
          <w:rFonts w:hint="eastAsia" w:asciiTheme="minorEastAsia" w:hAnsiTheme="minorEastAsia" w:eastAsiaTheme="minorEastAsia" w:cstheme="minorEastAsia"/>
          <w:sz w:val="21"/>
          <w:szCs w:val="21"/>
          <w:highlight w:val="none"/>
          <w:lang w:eastAsia="zh-CN"/>
        </w:rPr>
        <w:t>2022年6月2日 11:00</w:t>
      </w:r>
      <w:r>
        <w:rPr>
          <w:rFonts w:hint="eastAsia" w:asciiTheme="minorEastAsia" w:hAnsiTheme="minorEastAsia" w:eastAsiaTheme="minorEastAsia" w:cstheme="minorEastAsia"/>
          <w:sz w:val="21"/>
          <w:szCs w:val="21"/>
          <w:highlight w:val="none"/>
        </w:rPr>
        <w:t>（北京时间）前递交投标文件。</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color w:val="000000"/>
          <w:sz w:val="21"/>
          <w:szCs w:val="21"/>
          <w:highlight w:val="none"/>
        </w:rPr>
        <w:t>一、项目基本情况</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项目编号：</w:t>
      </w:r>
      <w:r>
        <w:rPr>
          <w:rFonts w:hint="eastAsia" w:asciiTheme="minorEastAsia" w:hAnsiTheme="minorEastAsia" w:eastAsiaTheme="minorEastAsia" w:cstheme="minorEastAsia"/>
          <w:color w:val="000000"/>
          <w:sz w:val="21"/>
          <w:szCs w:val="21"/>
          <w:highlight w:val="none"/>
          <w:lang w:eastAsia="zh-CN"/>
        </w:rPr>
        <w:t>HYGJ-ZFCG-2022-052-1</w:t>
      </w:r>
      <w:r>
        <w:rPr>
          <w:rFonts w:hint="eastAsia" w:asciiTheme="minorEastAsia" w:hAnsiTheme="minorEastAsia" w:eastAsiaTheme="minorEastAsia" w:cstheme="minorEastAsia"/>
          <w:color w:val="000000"/>
          <w:sz w:val="21"/>
          <w:szCs w:val="21"/>
          <w:highlight w:val="none"/>
        </w:rPr>
        <w:t> </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项目名称：</w:t>
      </w:r>
      <w:r>
        <w:rPr>
          <w:rFonts w:hint="eastAsia" w:asciiTheme="minorEastAsia" w:hAnsiTheme="minorEastAsia" w:eastAsiaTheme="minorEastAsia" w:cstheme="minorEastAsia"/>
          <w:color w:val="000000"/>
          <w:sz w:val="21"/>
          <w:szCs w:val="21"/>
          <w:highlight w:val="none"/>
          <w:lang w:eastAsia="zh-CN"/>
        </w:rPr>
        <w:t>自治区自然资源规划院公有云服务采购项目（包一）</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采购方式：竞争性磋商</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预算金额（元）：</w:t>
      </w:r>
      <w:r>
        <w:rPr>
          <w:rFonts w:hint="eastAsia" w:asciiTheme="minorEastAsia" w:hAnsiTheme="minorEastAsia" w:eastAsiaTheme="minorEastAsia" w:cstheme="minorEastAsia"/>
          <w:color w:val="000000"/>
          <w:sz w:val="21"/>
          <w:szCs w:val="21"/>
          <w:highlight w:val="none"/>
          <w:lang w:val="en-US" w:eastAsia="zh-CN"/>
        </w:rPr>
        <w:t>394300.00</w:t>
      </w:r>
      <w:r>
        <w:rPr>
          <w:rFonts w:hint="eastAsia" w:asciiTheme="minorEastAsia" w:hAnsiTheme="minorEastAsia" w:eastAsiaTheme="minorEastAsia" w:cstheme="minorEastAsia"/>
          <w:color w:val="000000"/>
          <w:sz w:val="21"/>
          <w:szCs w:val="21"/>
          <w:highlight w:val="none"/>
        </w:rPr>
        <w:t>   </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最高限价（元）：</w:t>
      </w:r>
      <w:r>
        <w:rPr>
          <w:rFonts w:hint="eastAsia" w:asciiTheme="minorEastAsia" w:hAnsiTheme="minorEastAsia" w:eastAsiaTheme="minorEastAsia" w:cstheme="minorEastAsia"/>
          <w:color w:val="000000"/>
          <w:sz w:val="21"/>
          <w:szCs w:val="21"/>
          <w:highlight w:val="none"/>
          <w:lang w:val="en-US" w:eastAsia="zh-CN"/>
        </w:rPr>
        <w:t>394300.00</w:t>
      </w:r>
      <w:r>
        <w:rPr>
          <w:rFonts w:hint="eastAsia" w:asciiTheme="minorEastAsia" w:hAnsiTheme="minorEastAsia" w:eastAsiaTheme="minorEastAsia" w:cstheme="minorEastAsia"/>
          <w:color w:val="000000"/>
          <w:sz w:val="21"/>
          <w:szCs w:val="21"/>
          <w:highlight w:val="none"/>
        </w:rPr>
        <w:t> </w:t>
      </w:r>
    </w:p>
    <w:p>
      <w:pPr>
        <w:pStyle w:val="33"/>
        <w:spacing w:before="0" w:beforeAutospacing="0" w:after="0" w:afterAutospacing="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简要规格描述：</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提供云计算、存储、备份、网络、云短信、安全防护等资源租赁及运维、培训等服务，服务期1年。</w:t>
      </w:r>
    </w:p>
    <w:p>
      <w:pPr>
        <w:pStyle w:val="33"/>
        <w:spacing w:before="0" w:beforeAutospacing="0" w:after="0" w:afterAutospacing="0" w:line="400" w:lineRule="exact"/>
        <w:jc w:val="both"/>
        <w:rPr>
          <w:rStyle w:val="39"/>
          <w:rFonts w:hint="eastAsia" w:asciiTheme="minorEastAsia" w:hAnsiTheme="minorEastAsia" w:eastAsiaTheme="minorEastAsia" w:cstheme="minorEastAsia"/>
          <w:color w:val="000000"/>
          <w:sz w:val="21"/>
          <w:szCs w:val="21"/>
        </w:rPr>
      </w:pPr>
      <w:r>
        <w:rPr>
          <w:rStyle w:val="39"/>
          <w:rFonts w:hint="eastAsia" w:asciiTheme="minorEastAsia" w:hAnsiTheme="minorEastAsia" w:eastAsiaTheme="minorEastAsia" w:cstheme="minorEastAsia"/>
          <w:color w:val="000000"/>
          <w:sz w:val="21"/>
          <w:szCs w:val="21"/>
        </w:rPr>
        <w:t>二、申请人的资格要求：</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1.落实政府采购政策需满足的资格要求：详见政府采购法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2.满足《中华人民共和国政府采购法》第二十二条规定；并提供下列材料：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（1）具有独立承担民事责任的能力；投标人提供营业执照等证明文件，分公司投标的需提供具有法人资格的总公司的营业执照复印件及授权书，并加盖公司公章。</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（2）具有良好的商业信誉和健全的财务会计制度；财务状况报告，依法缴纳税收的相关材料。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（3）具有履行合同所需的设备和专业技术能力的证明材料；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（4）有依法缴纳税收和社会保障资金的良好记录；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（5）参加政府采购活动前3年内,在经营活动中没有重大违法记录的书面声明；</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3.单位负责人为同一人或者存在直接控股、管理关系的不同投标人，不得参加同一合同项下的政府采购活动。否则，皆取消投标资格；</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4.本项目不接受投标人以联合体方式进行投标；</w:t>
      </w:r>
    </w:p>
    <w:p>
      <w:pPr>
        <w:spacing w:line="560" w:lineRule="exact"/>
        <w:ind w:firstLine="420" w:firstLineChars="200"/>
        <w:rPr>
          <w:rFonts w:hint="eastAsia"/>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SA"/>
        </w:rPr>
        <w:t>5.经信用中国（www.creditchina.gov.cn）、中国政府采购网（www.ccgp.gov.cn）等渠道查询后，列入失信被执行人、重大税收违法案件当事人名单、政府采购严重违法失信行为记录名单的，取消投标资格。（提供“信用中国”网站无任何不良记录的查询截图，时间为投标截止时间前20天内）</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color w:val="000000"/>
          <w:sz w:val="21"/>
          <w:szCs w:val="21"/>
        </w:rPr>
        <w:t>三、获取采购文</w:t>
      </w:r>
      <w:r>
        <w:rPr>
          <w:rStyle w:val="39"/>
          <w:rFonts w:hint="eastAsia" w:asciiTheme="minorEastAsia" w:hAnsiTheme="minorEastAsia" w:eastAsiaTheme="minorEastAsia" w:cstheme="minorEastAsia"/>
          <w:color w:val="000000"/>
          <w:sz w:val="21"/>
          <w:szCs w:val="21"/>
          <w:highlight w:val="none"/>
        </w:rPr>
        <w:t>件</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时间：2022年</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日至2022年</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27</w:t>
      </w:r>
      <w:r>
        <w:rPr>
          <w:rFonts w:hint="eastAsia" w:asciiTheme="minorEastAsia" w:hAnsiTheme="minorEastAsia" w:eastAsiaTheme="minorEastAsia" w:cstheme="minorEastAsia"/>
          <w:sz w:val="21"/>
          <w:szCs w:val="21"/>
          <w:highlight w:val="none"/>
        </w:rPr>
        <w:t>日，每天上午10:00至</w:t>
      </w:r>
      <w:r>
        <w:rPr>
          <w:rFonts w:hint="eastAsia" w:asciiTheme="minorEastAsia" w:hAnsiTheme="minorEastAsia" w:eastAsiaTheme="minorEastAsia" w:cstheme="minorEastAsia"/>
          <w:sz w:val="21"/>
          <w:szCs w:val="21"/>
          <w:highlight w:val="none"/>
          <w:lang w:val="en-US" w:eastAsia="zh-CN"/>
        </w:rPr>
        <w:t>14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0，下午16:00至19:00（北京时间，法定节假日除外）</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地点：乌鲁木齐水磨沟区红光山路万科大都会8号楼1202室  </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方式：线下获取 </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售价（元）：300 </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color w:val="000000"/>
          <w:sz w:val="21"/>
          <w:szCs w:val="21"/>
          <w:highlight w:val="none"/>
        </w:rPr>
        <w:t>四、响应文件提交</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color w:val="000000"/>
          <w:sz w:val="21"/>
          <w:szCs w:val="21"/>
          <w:highlight w:val="none"/>
        </w:rPr>
        <w:t>    截止时间</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2022年6月2日 11:00（北京时间）</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地点：乌鲁木齐水磨沟区红光山路万科大都会8号楼1202室 </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highlight w:val="none"/>
        </w:rPr>
      </w:pPr>
      <w:r>
        <w:rPr>
          <w:rStyle w:val="39"/>
          <w:rFonts w:hint="eastAsia" w:asciiTheme="minorEastAsia" w:hAnsiTheme="minorEastAsia" w:eastAsiaTheme="minorEastAsia" w:cstheme="minorEastAsia"/>
          <w:sz w:val="21"/>
          <w:szCs w:val="21"/>
          <w:highlight w:val="none"/>
        </w:rPr>
        <w:t>五、响应文件开启</w:t>
      </w:r>
    </w:p>
    <w:p>
      <w:pPr>
        <w:pStyle w:val="33"/>
        <w:spacing w:before="0" w:beforeAutospacing="0" w:after="0" w:afterAutospacing="0"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    开启时间：</w:t>
      </w:r>
      <w:r>
        <w:rPr>
          <w:rFonts w:hint="eastAsia" w:asciiTheme="minorEastAsia" w:hAnsiTheme="minorEastAsia" w:eastAsiaTheme="minorEastAsia" w:cstheme="minorEastAsia"/>
          <w:sz w:val="21"/>
          <w:szCs w:val="21"/>
          <w:highlight w:val="none"/>
          <w:lang w:eastAsia="zh-CN"/>
        </w:rPr>
        <w:t>2022年6月2日 11:00（北京时间）</w:t>
      </w:r>
    </w:p>
    <w:p>
      <w:pPr>
        <w:pStyle w:val="33"/>
        <w:spacing w:before="0" w:beforeAutospacing="0" w:after="0" w:afterAutospacing="0"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highlight w:val="none"/>
        </w:rPr>
        <w:t>    地点：乌鲁木齐水磨沟区红光山路万科大都会8号</w:t>
      </w:r>
      <w:r>
        <w:rPr>
          <w:rFonts w:hint="eastAsia" w:asciiTheme="minorEastAsia" w:hAnsiTheme="minorEastAsia" w:eastAsiaTheme="minorEastAsia" w:cstheme="minorEastAsia"/>
          <w:color w:val="000000"/>
          <w:sz w:val="21"/>
          <w:szCs w:val="21"/>
        </w:rPr>
        <w:t>楼1202室 </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color w:val="000000"/>
          <w:sz w:val="21"/>
          <w:szCs w:val="21"/>
        </w:rPr>
        <w:t>六、公告期限</w:t>
      </w:r>
    </w:p>
    <w:p>
      <w:pPr>
        <w:pStyle w:val="33"/>
        <w:spacing w:before="0" w:beforeAutospacing="0" w:after="0" w:afterAutospacing="0"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    自本公告发布之日起5个工作日。</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color w:val="000000"/>
          <w:sz w:val="21"/>
          <w:szCs w:val="21"/>
        </w:rPr>
        <w:t>七、其他补充事宜</w:t>
      </w:r>
      <w:r>
        <w:rPr>
          <w:rFonts w:hint="eastAsia" w:asciiTheme="minorEastAsia" w:hAnsiTheme="minorEastAsia" w:eastAsiaTheme="minorEastAsia" w:cstheme="minorEastAsia"/>
          <w:color w:val="000000"/>
          <w:sz w:val="21"/>
          <w:szCs w:val="21"/>
        </w:rPr>
        <w:t>  </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标供应商购买标书时应提交的资料：（1）满足招标要求的“三证合一的营业执照；（2）授权委托书原件及被授权人身份证原件（或者法定代表人身份证明书及法定代表人身份证）；所有报名的投标供应商需提供上述资格要求中的资料原件及加盖企业鲜章的复印件三套交由招标代理公司存档，资料不全者不予受理。</w:t>
      </w:r>
    </w:p>
    <w:p>
      <w:pPr>
        <w:pStyle w:val="33"/>
        <w:spacing w:before="0" w:beforeAutospacing="0" w:after="0" w:afterAutospacing="0" w:line="400" w:lineRule="exact"/>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以</w:t>
      </w:r>
      <w:r>
        <w:rPr>
          <w:rFonts w:hint="eastAsia" w:asciiTheme="minorEastAsia" w:hAnsiTheme="minorEastAsia" w:eastAsiaTheme="minorEastAsia" w:cstheme="minorEastAsia"/>
          <w:b/>
          <w:bCs/>
          <w:color w:val="000000"/>
          <w:sz w:val="21"/>
          <w:szCs w:val="21"/>
        </w:rPr>
        <w:t>上资料提交原件审核，复印件叁套加盖公章，资料不全者，一律谢绝报名。</w:t>
      </w:r>
    </w:p>
    <w:p>
      <w:pPr>
        <w:pStyle w:val="33"/>
        <w:spacing w:before="0" w:beforeAutospacing="0" w:after="0" w:afterAutospacing="0" w:line="400" w:lineRule="exact"/>
        <w:jc w:val="both"/>
        <w:rPr>
          <w:rFonts w:hint="eastAsia" w:asciiTheme="minorEastAsia" w:hAnsiTheme="minorEastAsia" w:eastAsiaTheme="minorEastAsia" w:cstheme="minorEastAsia"/>
          <w:sz w:val="21"/>
          <w:szCs w:val="21"/>
        </w:rPr>
      </w:pPr>
      <w:r>
        <w:rPr>
          <w:rStyle w:val="39"/>
          <w:rFonts w:hint="eastAsia" w:asciiTheme="minorEastAsia" w:hAnsiTheme="minorEastAsia" w:eastAsiaTheme="minorEastAsia" w:cstheme="minorEastAsia"/>
          <w:color w:val="000000"/>
          <w:sz w:val="21"/>
          <w:szCs w:val="21"/>
        </w:rPr>
        <w:t>八、凡对本次招标提出询问，请按以下方式联系</w:t>
      </w:r>
      <w:r>
        <w:rPr>
          <w:rFonts w:hint="eastAsia" w:asciiTheme="minorEastAsia" w:hAnsiTheme="minorEastAsia" w:eastAsiaTheme="minorEastAsia" w:cstheme="minorEastAsia"/>
          <w:color w:val="000000"/>
          <w:sz w:val="21"/>
          <w:szCs w:val="21"/>
        </w:rPr>
        <w:t>　　　　　　　　　　　　</w:t>
      </w:r>
    </w:p>
    <w:p>
      <w:pPr>
        <w:pStyle w:val="33"/>
        <w:spacing w:before="0" w:beforeAutospacing="0" w:after="0" w:afterAutospacing="0" w:line="400" w:lineRule="exact"/>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1.采购人信息</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采购人名称：新疆维吾尔自治区自然资源规划研究院</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联系人：茹皮亚</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联系方式：17799910552</w:t>
      </w:r>
    </w:p>
    <w:p>
      <w:pPr>
        <w:widowControl/>
        <w:spacing w:line="400" w:lineRule="exact"/>
        <w:ind w:firstLine="480"/>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地址：乌鲁木齐新市区北京南路广安街199号</w:t>
      </w:r>
    </w:p>
    <w:p>
      <w:pPr>
        <w:widowControl/>
        <w:spacing w:line="400" w:lineRule="exact"/>
        <w:ind w:firstLine="480"/>
        <w:jc w:val="left"/>
        <w:rPr>
          <w:rFonts w:hint="eastAsia" w:asciiTheme="minorEastAsia" w:hAnsiTheme="minorEastAsia" w:eastAsiaTheme="minorEastAsia" w:cstheme="minorEastAsia"/>
          <w:sz w:val="21"/>
          <w:szCs w:val="21"/>
        </w:rPr>
      </w:pPr>
    </w:p>
    <w:p>
      <w:pPr>
        <w:widowControl/>
        <w:spacing w:line="400" w:lineRule="exact"/>
        <w:ind w:firstLine="48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2.采购代理机构信息</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采购代理机构：宏业国际项目管理有限公司</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联系人：李苗</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联系电话：15022921857</w:t>
      </w:r>
    </w:p>
    <w:p>
      <w:pPr>
        <w:pStyle w:val="33"/>
        <w:spacing w:before="0" w:beforeAutospacing="0" w:after="0" w:afterAutospacing="0" w:line="400" w:lineRule="exact"/>
        <w:ind w:firstLine="420" w:firstLineChars="200"/>
        <w:rPr>
          <w:rFonts w:hint="eastAsia"/>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Theme="minorEastAsia" w:hAnsiTheme="minorEastAsia" w:eastAsiaTheme="minorEastAsia" w:cstheme="minorEastAsia"/>
          <w:color w:val="000000"/>
          <w:sz w:val="21"/>
          <w:szCs w:val="21"/>
        </w:rPr>
        <w:t>地址：乌鲁木齐水磨沟区红光山路万科大都会8号楼1202</w:t>
      </w:r>
    </w:p>
    <w:bookmarkEnd w:id="5"/>
    <w:p>
      <w:pPr>
        <w:spacing w:line="400" w:lineRule="exact"/>
        <w:jc w:val="both"/>
        <w:outlineLvl w:val="0"/>
        <w:rPr>
          <w:rFonts w:hint="eastAsia" w:asciiTheme="minorEastAsia" w:hAnsiTheme="minorEastAsia" w:eastAsiaTheme="minorEastAsia" w:cstheme="minorEastAsia"/>
          <w:b/>
          <w:sz w:val="21"/>
          <w:szCs w:val="21"/>
        </w:rPr>
      </w:pPr>
      <w:bookmarkStart w:id="11" w:name="_Toc11946"/>
    </w:p>
    <w:p>
      <w:pPr>
        <w:spacing w:line="400" w:lineRule="exact"/>
        <w:ind w:firstLine="3795" w:firstLineChars="1800"/>
        <w:jc w:val="both"/>
        <w:outlineLvl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第二章  供应商须知</w:t>
      </w:r>
      <w:bookmarkEnd w:id="6"/>
      <w:bookmarkEnd w:id="7"/>
      <w:bookmarkEnd w:id="8"/>
      <w:bookmarkEnd w:id="9"/>
      <w:bookmarkEnd w:id="10"/>
      <w:bookmarkEnd w:id="11"/>
      <w:bookmarkStart w:id="12" w:name="_Toc349573120"/>
      <w:bookmarkStart w:id="13" w:name="_Toc267301281"/>
      <w:bookmarkStart w:id="14" w:name="_Toc298240404"/>
      <w:bookmarkStart w:id="15" w:name="_Toc349637919"/>
    </w:p>
    <w:p>
      <w:pPr>
        <w:spacing w:line="400" w:lineRule="exact"/>
        <w:jc w:val="center"/>
        <w:rPr>
          <w:rFonts w:hint="eastAsia" w:asciiTheme="minorEastAsia" w:hAnsiTheme="minorEastAsia" w:eastAsiaTheme="minorEastAsia" w:cstheme="minorEastAsia"/>
          <w:b/>
          <w:sz w:val="21"/>
          <w:szCs w:val="21"/>
        </w:rPr>
      </w:pPr>
      <w:bookmarkStart w:id="16" w:name="_Toc462223631"/>
      <w:r>
        <w:rPr>
          <w:rFonts w:hint="eastAsia" w:asciiTheme="minorEastAsia" w:hAnsiTheme="minorEastAsia" w:eastAsiaTheme="minorEastAsia" w:cstheme="minorEastAsia"/>
          <w:b/>
          <w:sz w:val="21"/>
          <w:szCs w:val="21"/>
        </w:rPr>
        <w:t>供应商须知前附表</w:t>
      </w:r>
      <w:bookmarkEnd w:id="12"/>
      <w:bookmarkEnd w:id="13"/>
      <w:bookmarkEnd w:id="14"/>
      <w:bookmarkEnd w:id="15"/>
      <w:bookmarkEnd w:id="16"/>
    </w:p>
    <w:tbl>
      <w:tblPr>
        <w:tblStyle w:val="36"/>
        <w:tblW w:w="96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6"/>
        <w:gridCol w:w="2350"/>
        <w:gridCol w:w="65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766"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sz w:val="21"/>
                <w:szCs w:val="21"/>
              </w:rPr>
              <w:br w:type="page"/>
            </w:r>
            <w:r>
              <w:rPr>
                <w:rFonts w:hint="eastAsia" w:asciiTheme="minorEastAsia" w:hAnsiTheme="minorEastAsia" w:eastAsiaTheme="minorEastAsia" w:cstheme="minorEastAsia"/>
                <w:b/>
                <w:bCs w:val="0"/>
                <w:color w:val="auto"/>
                <w:sz w:val="21"/>
                <w:szCs w:val="21"/>
                <w:highlight w:val="none"/>
              </w:rPr>
              <w:t>序列号</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条款名称</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项目名称</w:t>
            </w:r>
          </w:p>
        </w:tc>
        <w:tc>
          <w:tcPr>
            <w:tcW w:w="6583" w:type="dxa"/>
            <w:noWrap w:val="0"/>
            <w:vAlign w:val="center"/>
          </w:tcPr>
          <w:p>
            <w:pPr>
              <w:pageBreakBefore w:val="0"/>
              <w:widowControl/>
              <w:kinsoku/>
              <w:wordWrap w:val="0"/>
              <w:topLinePunct w:val="0"/>
              <w:bidi w:val="0"/>
              <w:spacing w:line="400" w:lineRule="exact"/>
              <w:ind w:left="0" w:leftChars="0" w:firstLine="0" w:firstLineChars="0"/>
              <w:jc w:val="both"/>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自治区自然资源规划院公有云服务采购项目（包一）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采购人</w:t>
            </w:r>
          </w:p>
        </w:tc>
        <w:tc>
          <w:tcPr>
            <w:tcW w:w="6583" w:type="dxa"/>
            <w:noWrap w:val="0"/>
            <w:vAlign w:val="center"/>
          </w:tcPr>
          <w:p>
            <w:pPr>
              <w:widowControl/>
              <w:spacing w:line="400" w:lineRule="exact"/>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采购人名称：新疆维吾尔自治区自然资源规划研究院</w:t>
            </w:r>
          </w:p>
          <w:p>
            <w:pPr>
              <w:widowControl/>
              <w:spacing w:line="400" w:lineRule="exact"/>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地址：乌鲁木齐新市区北京南路广安街199号</w:t>
            </w:r>
          </w:p>
          <w:p>
            <w:pPr>
              <w:widowControl/>
              <w:spacing w:line="400" w:lineRule="exact"/>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联系人：茹皮亚</w:t>
            </w:r>
          </w:p>
          <w:p>
            <w:pPr>
              <w:widowControl/>
              <w:spacing w:line="400" w:lineRule="exact"/>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联系方式：17799910552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4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采购代理机构</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名称：宏业国际项目管理有限公司</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地　址：乌鲁木齐水磨沟区红光山路万科大都会8号楼1202室</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联系人：李苗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联系电话：15022921857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5</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eastAsia="zh-CN"/>
              </w:rPr>
              <w:t>采购方式</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采购内容</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详见第一章采购公告或投标邀请书“</w:t>
            </w:r>
            <w:r>
              <w:rPr>
                <w:rFonts w:hint="eastAsia" w:asciiTheme="minorEastAsia" w:hAnsiTheme="minorEastAsia" w:eastAsiaTheme="minorEastAsia" w:cstheme="minorEastAsia"/>
                <w:color w:val="auto"/>
                <w:sz w:val="21"/>
                <w:szCs w:val="21"/>
                <w:highlight w:val="none"/>
              </w:rPr>
              <w:t>简要规格描述</w:t>
            </w:r>
            <w:r>
              <w:rPr>
                <w:rFonts w:hint="eastAsia" w:asciiTheme="minorEastAsia" w:hAnsiTheme="minorEastAsia" w:eastAsiaTheme="minorEastAsia" w:cstheme="minorEastAsia"/>
                <w:b w:val="0"/>
                <w:bCs/>
                <w:color w:val="auto"/>
                <w:kern w:val="0"/>
                <w:sz w:val="21"/>
                <w:szCs w:val="21"/>
                <w:highlight w:val="non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7</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资格审查方式</w:t>
            </w:r>
          </w:p>
        </w:tc>
        <w:tc>
          <w:tcPr>
            <w:tcW w:w="6583" w:type="dxa"/>
            <w:noWrap w:val="0"/>
            <w:vAlign w:val="center"/>
          </w:tcPr>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资格后审，资格审查内容详见第三章评标办法。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8</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项目预算（最高限价）</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zh-CN" w:eastAsia="zh-CN" w:bidi="ar-SA"/>
              </w:rPr>
              <w:t>金额（小写）：</w:t>
            </w:r>
            <w:r>
              <w:rPr>
                <w:rFonts w:hint="eastAsia" w:asciiTheme="minorEastAsia" w:hAnsiTheme="minorEastAsia" w:eastAsiaTheme="minorEastAsia" w:cstheme="minorEastAsia"/>
                <w:b w:val="0"/>
                <w:bCs/>
                <w:color w:val="auto"/>
                <w:kern w:val="0"/>
                <w:sz w:val="21"/>
                <w:szCs w:val="21"/>
                <w:highlight w:val="none"/>
                <w:lang w:val="en-US" w:eastAsia="zh-CN" w:bidi="ar-SA"/>
              </w:rPr>
              <w:t>394300元；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9</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服务期要求</w:t>
            </w:r>
          </w:p>
        </w:tc>
        <w:tc>
          <w:tcPr>
            <w:tcW w:w="6583" w:type="dxa"/>
            <w:noWrap w:val="0"/>
            <w:vAlign w:val="center"/>
          </w:tcPr>
          <w:p>
            <w:pPr>
              <w:pStyle w:val="33"/>
              <w:spacing w:before="0" w:beforeAutospacing="0" w:after="0" w:afterAutospacing="0" w:line="400" w:lineRule="exact"/>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1年；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10</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项目地点</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val="zh-CN" w:eastAsia="zh-CN"/>
              </w:rPr>
            </w:pPr>
            <w:r>
              <w:rPr>
                <w:rFonts w:hint="eastAsia" w:asciiTheme="minorEastAsia" w:hAnsiTheme="minorEastAsia" w:eastAsiaTheme="minorEastAsia" w:cstheme="minorEastAsia"/>
                <w:b w:val="0"/>
                <w:bCs/>
                <w:color w:val="auto"/>
                <w:sz w:val="21"/>
                <w:szCs w:val="21"/>
                <w:highlight w:val="none"/>
                <w:lang w:eastAsia="zh-CN"/>
              </w:rPr>
              <w:t>采购人指定地点。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付款方式</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left"/>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按照合同约定付款。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12</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质量标准</w:t>
            </w:r>
          </w:p>
        </w:tc>
        <w:tc>
          <w:tcPr>
            <w:tcW w:w="6583" w:type="dxa"/>
            <w:noWrap w:val="0"/>
            <w:vAlign w:val="center"/>
          </w:tcPr>
          <w:p>
            <w:pPr>
              <w:pageBreakBefore w:val="0"/>
              <w:kinsoku/>
              <w:wordWrap w:val="0"/>
              <w:topLinePunct w:val="0"/>
              <w:bidi w:val="0"/>
              <w:spacing w:line="400" w:lineRule="exact"/>
              <w:ind w:left="0" w:leftChars="0" w:firstLine="0" w:firstLineChars="0"/>
              <w:jc w:val="left"/>
              <w:rPr>
                <w:rFonts w:hint="eastAsia" w:asciiTheme="minorEastAsia" w:hAnsiTheme="minorEastAsia" w:eastAsiaTheme="minorEastAsia" w:cstheme="minorEastAsia"/>
                <w:b w:val="0"/>
                <w:bCs/>
                <w:color w:val="auto"/>
                <w:kern w:val="0"/>
                <w:sz w:val="21"/>
                <w:szCs w:val="21"/>
                <w:highlight w:val="none"/>
                <w:lang w:val="zh-CN" w:eastAsia="zh-CN" w:bidi="ar-SA"/>
              </w:rPr>
            </w:pPr>
            <w:r>
              <w:rPr>
                <w:rFonts w:hint="eastAsia" w:asciiTheme="minorEastAsia" w:hAnsiTheme="minorEastAsia" w:eastAsiaTheme="minorEastAsia" w:cstheme="minorEastAsia"/>
                <w:b w:val="0"/>
                <w:bCs/>
                <w:color w:val="auto"/>
                <w:sz w:val="21"/>
                <w:szCs w:val="21"/>
                <w:highlight w:val="none"/>
              </w:rPr>
              <w:t>合格</w:t>
            </w:r>
            <w:r>
              <w:rPr>
                <w:rFonts w:hint="eastAsia" w:asciiTheme="minorEastAsia" w:hAnsiTheme="minorEastAsia" w:eastAsiaTheme="minorEastAsia" w:cstheme="minorEastAsia"/>
                <w:b w:val="0"/>
                <w:bCs/>
                <w:color w:val="auto"/>
                <w:sz w:val="21"/>
                <w:szCs w:val="21"/>
                <w:highlight w:val="none"/>
                <w:lang w:eastAsia="zh-CN"/>
              </w:rPr>
              <w:t>（通过采购人及有关部门组织的项目验收）</w:t>
            </w:r>
            <w:r>
              <w:rPr>
                <w:rFonts w:hint="eastAsia" w:asciiTheme="minorEastAsia" w:hAnsiTheme="minorEastAsia" w:eastAsiaTheme="minorEastAsia" w:cstheme="minorEastAsia"/>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13</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供应商资格条件</w:t>
            </w:r>
          </w:p>
        </w:tc>
        <w:tc>
          <w:tcPr>
            <w:tcW w:w="6583" w:type="dxa"/>
            <w:noWrap w:val="0"/>
            <w:vAlign w:val="center"/>
          </w:tcPr>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1.落实政府采购政策需满足的资格要求：详见政府采购法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2.满足《中华人民共和国政府采购法》第二十二条规定；并提供下列材料：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（1）具有独立承担民事责任的能力；投标人提供营业执照等证明文件，分公司投标的需提供具有法人资格的总公司的营业执照复印件及授权书，并加盖公司公章。</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（2）具有良好的商业信誉和健全的财务会计制度；财务状况报告，依法缴纳税收的相关材料。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（3）具有履行合同所需的设备和专业技术能力的证明材料；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（4）有依法缴纳税收和社会保障资金的良好记录；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（5）参加政府采购活动前3年内,在经营活动中没有重大违法记录的书面声明；</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3.单位负责人为同一人或者存在直接控股、管理关系的不同投标人，不得参加同一合同项下的政府采购活动。否则，皆取消投标资格；</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4.本项目不接受投标人以联合体方式进行投标；</w:t>
            </w:r>
          </w:p>
          <w:p>
            <w:pPr>
              <w:spacing w:line="560" w:lineRule="exact"/>
              <w:ind w:firstLine="420" w:firstLineChars="200"/>
              <w:rPr>
                <w:rFonts w:hint="eastAsia" w:asciiTheme="minorEastAsia" w:hAnsiTheme="minorEastAsia" w:eastAsiaTheme="minorEastAsia" w:cstheme="minorEastAsia"/>
                <w:b w:val="0"/>
                <w:bCs/>
                <w:color w:val="auto"/>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val="en-US" w:eastAsia="zh-CN" w:bidi="ar-SA"/>
              </w:rPr>
              <w:t>5.经信用中国（www.creditchina.gov.cn）、中国政府采购网（www.ccgp.gov.cn）等渠道查询后，列入失信被执行人、重大税收违法案件当事人名单、政府采购严重违法失信行为记录名单的，取消投标资格。（提供“信用中国”网站无任何不良记录的查询截图，时间为投标截止时间前20天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14</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sz w:val="21"/>
                <w:szCs w:val="21"/>
              </w:rPr>
              <w:t>投标人不得存在的其他情形</w:t>
            </w:r>
          </w:p>
        </w:tc>
        <w:tc>
          <w:tcPr>
            <w:tcW w:w="6583" w:type="dxa"/>
            <w:noWrap w:val="0"/>
            <w:vAlign w:val="center"/>
          </w:tcPr>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（1）为不具有独立法人资格的附属机构（单位）；</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（2）被责令停业或破产状态的；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（3）被暂停或取消投标资格的；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（4）财产被重组、接管、查封、扣押或冻结的；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（5）在最近三年内骗取中选的；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（6）在最近三年内因严重违反合同约定被解除合同/协议，或取消供应商资格的； </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sz w:val="21"/>
                <w:szCs w:val="21"/>
              </w:rPr>
              <w:t xml:space="preserve">（7）投标人在最近五年内参与的采购活动中有行贿犯罪记录的；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15</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联合体投标    </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 xml:space="preserve">√不接受 </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备选方案</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 不接受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17</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rPr>
              <w:t>响应文件递交截止时间</w:t>
            </w:r>
            <w:r>
              <w:rPr>
                <w:rFonts w:hint="eastAsia" w:asciiTheme="minorEastAsia" w:hAnsiTheme="minorEastAsia" w:eastAsiaTheme="minorEastAsia" w:cstheme="minorEastAsia"/>
                <w:b w:val="0"/>
                <w:bCs/>
                <w:color w:val="auto"/>
                <w:sz w:val="21"/>
                <w:szCs w:val="21"/>
                <w:highlight w:val="none"/>
                <w:lang w:eastAsia="zh-CN"/>
              </w:rPr>
              <w:t>及开标时间</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sz w:val="21"/>
                <w:szCs w:val="21"/>
                <w:highlight w:val="none"/>
                <w:lang w:eastAsia="zh-CN"/>
              </w:rPr>
              <w:t>2022年6月2日 11:00（北京时间）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18</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响应文件递交截止</w:t>
            </w:r>
            <w:r>
              <w:rPr>
                <w:rFonts w:hint="eastAsia" w:asciiTheme="minorEastAsia" w:hAnsiTheme="minorEastAsia" w:eastAsiaTheme="minorEastAsia" w:cstheme="minorEastAsia"/>
                <w:b w:val="0"/>
                <w:bCs/>
                <w:color w:val="auto"/>
                <w:sz w:val="21"/>
                <w:szCs w:val="21"/>
                <w:highlight w:val="none"/>
                <w:lang w:eastAsia="zh-CN"/>
              </w:rPr>
              <w:t>地点及开标地点</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 xml:space="preserve">乌鲁木齐水磨沟区红光山路万科大都会8号楼1202室  </w:t>
            </w:r>
            <w:r>
              <w:rPr>
                <w:rFonts w:hint="eastAsia" w:asciiTheme="minorEastAsia" w:hAnsiTheme="minorEastAsia" w:eastAsiaTheme="minorEastAsia" w:cstheme="minorEastAsia"/>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19</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小组的组建及评审专家的确定方式</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招标采购单位依法组建</w:t>
            </w: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小组共</w:t>
            </w:r>
            <w:r>
              <w:rPr>
                <w:rFonts w:hint="eastAsia" w:asciiTheme="minorEastAsia" w:hAnsiTheme="minorEastAsia" w:eastAsiaTheme="minorEastAsia" w:cstheme="minorEastAsia"/>
                <w:b w:val="0"/>
                <w:bCs/>
                <w:color w:val="auto"/>
                <w:sz w:val="21"/>
                <w:szCs w:val="21"/>
                <w:highlight w:val="none"/>
                <w:u w:val="single"/>
                <w:lang w:val="en-US" w:eastAsia="zh-CN"/>
              </w:rPr>
              <w:t>3</w:t>
            </w:r>
            <w:r>
              <w:rPr>
                <w:rFonts w:hint="eastAsia" w:asciiTheme="minorEastAsia" w:hAnsiTheme="minorEastAsia" w:eastAsiaTheme="minorEastAsia" w:cstheme="minorEastAsia"/>
                <w:b w:val="0"/>
                <w:bCs/>
                <w:color w:val="auto"/>
                <w:sz w:val="21"/>
                <w:szCs w:val="21"/>
                <w:highlight w:val="none"/>
              </w:rPr>
              <w:t>人组成，其中采购人代表</w:t>
            </w:r>
            <w:r>
              <w:rPr>
                <w:rFonts w:hint="eastAsia" w:asciiTheme="minorEastAsia" w:hAnsiTheme="minorEastAsia" w:eastAsiaTheme="minorEastAsia" w:cstheme="minorEastAsia"/>
                <w:b w:val="0"/>
                <w:bCs/>
                <w:color w:val="auto"/>
                <w:sz w:val="21"/>
                <w:szCs w:val="21"/>
                <w:highlight w:val="none"/>
                <w:lang w:eastAsia="zh-CN"/>
              </w:rPr>
              <w:t>不得超过投标小组的三分之一</w:t>
            </w:r>
            <w:r>
              <w:rPr>
                <w:rFonts w:hint="eastAsia" w:asciiTheme="minorEastAsia" w:hAnsiTheme="minorEastAsia" w:eastAsiaTheme="minorEastAsia" w:cstheme="minorEastAsia"/>
                <w:b w:val="0"/>
                <w:bCs/>
                <w:color w:val="auto"/>
                <w:sz w:val="21"/>
                <w:szCs w:val="21"/>
                <w:highlight w:val="none"/>
              </w:rPr>
              <w:t>。</w:t>
            </w:r>
          </w:p>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20</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评审办法</w:t>
            </w:r>
          </w:p>
        </w:tc>
        <w:tc>
          <w:tcPr>
            <w:tcW w:w="6583" w:type="dxa"/>
            <w:noWrap w:val="0"/>
            <w:vAlign w:val="center"/>
          </w:tcPr>
          <w:p>
            <w:pPr>
              <w:pageBreakBefore w:val="0"/>
              <w:kinsoku/>
              <w:topLinePunct w:val="0"/>
              <w:bidi w:val="0"/>
              <w:spacing w:line="400" w:lineRule="exact"/>
              <w:ind w:left="0" w:leftChars="0" w:firstLine="0" w:firstLine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综合评分法，即指</w:t>
            </w:r>
            <w:r>
              <w:rPr>
                <w:rFonts w:hint="eastAsia" w:asciiTheme="minorEastAsia" w:hAnsiTheme="minorEastAsia" w:eastAsiaTheme="minorEastAsia" w:cstheme="minorEastAsia"/>
                <w:b w:val="0"/>
                <w:bCs/>
                <w:color w:val="auto"/>
                <w:sz w:val="21"/>
                <w:szCs w:val="21"/>
                <w:highlight w:val="none"/>
                <w:lang w:eastAsia="zh-CN"/>
              </w:rPr>
              <w:t>响应文件</w:t>
            </w:r>
            <w:r>
              <w:rPr>
                <w:rFonts w:hint="eastAsia" w:asciiTheme="minorEastAsia" w:hAnsiTheme="minorEastAsia" w:eastAsiaTheme="minorEastAsia" w:cstheme="minorEastAsia"/>
                <w:b w:val="0"/>
                <w:bCs/>
                <w:color w:val="auto"/>
                <w:sz w:val="21"/>
                <w:szCs w:val="21"/>
                <w:highlight w:val="none"/>
              </w:rPr>
              <w:t>满足</w:t>
            </w: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文件全部实质性要求且按照评审因素的量化指标评审得分最高的</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为中标候选人的评标方法。每一</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有效期</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u w:val="single"/>
                <w:lang w:val="en-US" w:eastAsia="zh-CN"/>
              </w:rPr>
              <w:t>9</w:t>
            </w:r>
            <w:r>
              <w:rPr>
                <w:rFonts w:hint="eastAsia" w:asciiTheme="minorEastAsia" w:hAnsiTheme="minorEastAsia" w:eastAsiaTheme="minorEastAsia" w:cstheme="minorEastAsia"/>
                <w:b w:val="0"/>
                <w:bCs/>
                <w:color w:val="auto"/>
                <w:sz w:val="21"/>
                <w:szCs w:val="21"/>
                <w:highlight w:val="none"/>
                <w:u w:val="single"/>
              </w:rPr>
              <w:t xml:space="preserve">0 </w:t>
            </w:r>
            <w:r>
              <w:rPr>
                <w:rFonts w:hint="eastAsia" w:asciiTheme="minorEastAsia" w:hAnsiTheme="minorEastAsia" w:eastAsiaTheme="minorEastAsia" w:cstheme="minorEastAsia"/>
                <w:b w:val="0"/>
                <w:bCs/>
                <w:color w:val="auto"/>
                <w:sz w:val="21"/>
                <w:szCs w:val="21"/>
                <w:highlight w:val="none"/>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22</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eastAsia="zh-CN"/>
              </w:rPr>
              <w:t>投标预备会</w:t>
            </w:r>
          </w:p>
        </w:tc>
        <w:tc>
          <w:tcPr>
            <w:tcW w:w="6583" w:type="dxa"/>
            <w:noWrap w:val="0"/>
            <w:vAlign w:val="center"/>
          </w:tcPr>
          <w:p>
            <w:pPr>
              <w:pageBreakBefore w:val="0"/>
              <w:kinsoku/>
              <w:topLinePunct w:val="0"/>
              <w:autoSpaceDE w:val="0"/>
              <w:autoSpaceDN w:val="0"/>
              <w:bidi w:val="0"/>
              <w:adjustRightInd w:val="0"/>
              <w:spacing w:line="400" w:lineRule="exact"/>
              <w:ind w:left="0" w:leftChars="0" w:firstLine="0" w:firstLineChars="0"/>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□是</w:t>
            </w:r>
          </w:p>
          <w:p>
            <w:pPr>
              <w:pageBreakBefore w:val="0"/>
              <w:kinsoku/>
              <w:topLinePunct w:val="0"/>
              <w:autoSpaceDE w:val="0"/>
              <w:autoSpaceDN w:val="0"/>
              <w:bidi w:val="0"/>
              <w:adjustRightInd w:val="0"/>
              <w:spacing w:line="400" w:lineRule="exact"/>
              <w:ind w:left="0" w:leftChars="0" w:firstLine="0" w:firstLineChars="0"/>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23</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踏勘现场</w:t>
            </w:r>
          </w:p>
        </w:tc>
        <w:tc>
          <w:tcPr>
            <w:tcW w:w="6583" w:type="dxa"/>
            <w:noWrap w:val="0"/>
            <w:vAlign w:val="center"/>
          </w:tcPr>
          <w:p>
            <w:pPr>
              <w:pageBreakBefore w:val="0"/>
              <w:kinsoku/>
              <w:topLinePunct w:val="0"/>
              <w:autoSpaceDE w:val="0"/>
              <w:autoSpaceDN w:val="0"/>
              <w:bidi w:val="0"/>
              <w:adjustRightInd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24</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资料</w:t>
            </w:r>
            <w:r>
              <w:rPr>
                <w:rFonts w:hint="eastAsia" w:asciiTheme="minorEastAsia" w:hAnsiTheme="minorEastAsia" w:eastAsiaTheme="minorEastAsia" w:cstheme="minorEastAsia"/>
                <w:b w:val="0"/>
                <w:bCs/>
                <w:color w:val="auto"/>
                <w:sz w:val="21"/>
                <w:szCs w:val="21"/>
                <w:highlight w:val="none"/>
                <w:lang w:val="en-US" w:eastAsia="zh-CN"/>
              </w:rPr>
              <w:t>备查</w:t>
            </w:r>
          </w:p>
        </w:tc>
        <w:tc>
          <w:tcPr>
            <w:tcW w:w="6583" w:type="dxa"/>
            <w:noWrap w:val="0"/>
            <w:vAlign w:val="center"/>
          </w:tcPr>
          <w:p>
            <w:pPr>
              <w:pageBreakBefore w:val="0"/>
              <w:widowControl/>
              <w:kinsoku/>
              <w:topLinePunct w:val="0"/>
              <w:bidi w:val="0"/>
              <w:spacing w:line="400" w:lineRule="exact"/>
              <w:ind w:left="0" w:leftChars="0" w:firstLine="0" w:firstLineChars="0"/>
              <w:jc w:val="left"/>
              <w:rPr>
                <w:rFonts w:hint="eastAsia"/>
                <w:lang w:val="en-US" w:eastAsia="zh-CN"/>
              </w:rPr>
            </w:pPr>
            <w:r>
              <w:rPr>
                <w:rFonts w:hint="eastAsia"/>
              </w:rPr>
              <w:t>各</w:t>
            </w:r>
            <w:r>
              <w:rPr>
                <w:rFonts w:hint="eastAsia"/>
                <w:lang w:eastAsia="zh-CN"/>
              </w:rPr>
              <w:t>供应商</w:t>
            </w:r>
            <w:r>
              <w:rPr>
                <w:rFonts w:hint="eastAsia"/>
              </w:rPr>
              <w:t>开标会现场需携带以下</w:t>
            </w:r>
            <w:r>
              <w:rPr>
                <w:rFonts w:hint="eastAsia"/>
                <w:lang w:val="en-US" w:eastAsia="zh-CN"/>
              </w:rPr>
              <w:t>资料原件备查</w:t>
            </w:r>
            <w:r>
              <w:rPr>
                <w:rFonts w:hint="eastAsia"/>
                <w:lang w:eastAsia="zh-CN"/>
              </w:rPr>
              <w:t>：</w:t>
            </w:r>
          </w:p>
          <w:p>
            <w:pPr>
              <w:pageBreakBefore w:val="0"/>
              <w:kinsoku/>
              <w:topLinePunct w:val="0"/>
              <w:bidi w:val="0"/>
              <w:spacing w:line="400" w:lineRule="exact"/>
              <w:ind w:left="0" w:leftChars="0" w:firstLine="0" w:firstLineChars="0"/>
              <w:rPr>
                <w:rFonts w:hint="eastAsia"/>
              </w:rPr>
            </w:pPr>
            <w:r>
              <w:rPr>
                <w:rFonts w:hint="eastAsia"/>
              </w:rPr>
              <w:t>（1）营业执照（三证合一）；</w:t>
            </w:r>
          </w:p>
          <w:p>
            <w:pPr>
              <w:pageBreakBefore w:val="0"/>
              <w:kinsoku/>
              <w:topLinePunct w:val="0"/>
              <w:bidi w:val="0"/>
              <w:spacing w:line="400" w:lineRule="exact"/>
              <w:ind w:left="0" w:leftChars="0" w:firstLine="0" w:firstLineChars="0"/>
              <w:rPr>
                <w:rFonts w:hint="eastAsia"/>
                <w:lang w:eastAsia="zh-CN"/>
              </w:rPr>
            </w:pPr>
            <w:r>
              <w:rPr>
                <w:rFonts w:hint="eastAsia"/>
              </w:rPr>
              <w:t>（2）投标方</w:t>
            </w:r>
            <w:r>
              <w:rPr>
                <w:rFonts w:hint="eastAsia"/>
                <w:lang w:eastAsia="zh-CN"/>
              </w:rPr>
              <w:t>为</w:t>
            </w:r>
            <w:r>
              <w:rPr>
                <w:rFonts w:hint="eastAsia"/>
              </w:rPr>
              <w:t>法人投标需携带法人授权委托书原件及被授权人身份证原件或法人身份证明书及身份证原件（加盖公章）</w:t>
            </w:r>
            <w:r>
              <w:rPr>
                <w:rFonts w:hint="eastAsia"/>
                <w:lang w:eastAsia="zh-CN"/>
              </w:rPr>
              <w:t>；</w:t>
            </w:r>
          </w:p>
          <w:p>
            <w:pPr>
              <w:pageBreakBefore w:val="0"/>
              <w:kinsoku/>
              <w:topLinePunct w:val="0"/>
              <w:bidi w:val="0"/>
              <w:spacing w:line="400" w:lineRule="exact"/>
              <w:ind w:left="0" w:leftChars="0" w:firstLine="0" w:firstLineChars="0"/>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在“信用中国”网站（https://www.creditchina.gov.cn/）中的企业信用信息查询结果，“中国政府采购网”（http://www.ccgp.gov.cn/）中“政府采购严重违法失信行为信息记录”查询结果。查询时间不能早于本项目采购公告发布之日。</w:t>
            </w:r>
          </w:p>
          <w:p>
            <w:pPr>
              <w:pageBreakBefore w:val="0"/>
              <w:kinsoku/>
              <w:topLinePunct w:val="0"/>
              <w:bidi w:val="0"/>
              <w:spacing w:line="400" w:lineRule="exact"/>
              <w:ind w:left="0" w:leftChars="0" w:firstLine="0" w:firstLineChars="0"/>
              <w:rPr>
                <w:rFonts w:hint="default"/>
                <w:lang w:val="en-US" w:eastAsia="zh-CN"/>
              </w:rPr>
            </w:pPr>
            <w:r>
              <w:rPr>
                <w:rFonts w:hint="eastAsia"/>
                <w:lang w:val="en-US" w:eastAsia="zh-CN"/>
              </w:rPr>
              <w:t>（4）投标保证金交纳凭证（复印件加盖公章）。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val="en-US" w:eastAsia="zh-CN"/>
              </w:rPr>
              <w:t>25</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val="en-US" w:eastAsia="zh-CN"/>
              </w:rPr>
              <w:t>投标文件组成</w:t>
            </w:r>
          </w:p>
        </w:tc>
        <w:tc>
          <w:tcPr>
            <w:tcW w:w="6583"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本次开标：线下投标、纸质版投标文件评审。投标人编制、提交的投标文件，须符合本项目采购文件要求的投标文件编制和提交要求。</w:t>
            </w:r>
          </w:p>
          <w:p>
            <w:pPr>
              <w:pageBreakBefore w:val="0"/>
              <w:kinsoku/>
              <w:topLinePunct w:val="0"/>
              <w:autoSpaceDE w:val="0"/>
              <w:autoSpaceDN w:val="0"/>
              <w:bidi w:val="0"/>
              <w:spacing w:line="400" w:lineRule="exact"/>
              <w:ind w:left="0" w:leftChars="0"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响应文件的装订及密封要求：</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sz w:val="21"/>
                <w:szCs w:val="21"/>
              </w:rPr>
              <w:t>正</w:t>
            </w:r>
            <w:r>
              <w:rPr>
                <w:rFonts w:hint="eastAsia" w:asciiTheme="minorEastAsia" w:hAnsiTheme="minorEastAsia" w:eastAsiaTheme="minorEastAsia" w:cstheme="minorEastAsia"/>
                <w:b w:val="0"/>
                <w:bCs/>
                <w:color w:val="auto"/>
                <w:sz w:val="21"/>
                <w:szCs w:val="21"/>
                <w:highlight w:val="none"/>
                <w:lang w:val="en-US" w:eastAsia="zh-CN"/>
              </w:rPr>
              <w:t>本壹份，副本贰份（共叁份），开标一览表壹份，电子版：U盘壹份，光盘贰份（内容为加盖公章的响应文件扫描件）</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u w:val="single"/>
              </w:rPr>
            </w:pPr>
            <w:r>
              <w:rPr>
                <w:rFonts w:hint="eastAsia" w:asciiTheme="minorEastAsia" w:hAnsiTheme="minorEastAsia" w:eastAsiaTheme="minorEastAsia" w:cstheme="minorEastAsia"/>
                <w:b w:val="0"/>
                <w:bCs/>
                <w:color w:val="auto"/>
                <w:sz w:val="21"/>
                <w:szCs w:val="21"/>
                <w:highlight w:val="none"/>
                <w:lang w:val="en-US" w:eastAsia="zh-CN"/>
              </w:rPr>
              <w:t>响应文件的装订要求：响应文件不得以活页方式装订，不可拆装。装订应牢固、胶粘不易拆散和换页2、响应文件的密封要求：</w:t>
            </w:r>
            <w:r>
              <w:rPr>
                <w:rFonts w:hint="eastAsia" w:asciiTheme="minorEastAsia" w:hAnsiTheme="minorEastAsia" w:eastAsiaTheme="minorEastAsia" w:cstheme="minorEastAsia"/>
                <w:b/>
                <w:bCs/>
                <w:sz w:val="21"/>
                <w:szCs w:val="21"/>
              </w:rPr>
              <w:t>(1)供应商应将</w:t>
            </w:r>
            <w:r>
              <w:rPr>
                <w:rFonts w:hint="eastAsia" w:asciiTheme="minorEastAsia" w:hAnsiTheme="minorEastAsia" w:eastAsiaTheme="minorEastAsia" w:cstheme="minorEastAsia"/>
                <w:b/>
                <w:bCs/>
                <w:sz w:val="21"/>
                <w:szCs w:val="21"/>
                <w:lang w:eastAsia="zh-CN"/>
              </w:rPr>
              <w:t>开标</w:t>
            </w:r>
            <w:r>
              <w:rPr>
                <w:rFonts w:hint="eastAsia" w:asciiTheme="minorEastAsia" w:hAnsiTheme="minorEastAsia" w:eastAsiaTheme="minorEastAsia" w:cstheme="minorEastAsia"/>
                <w:b/>
                <w:bCs/>
                <w:sz w:val="21"/>
                <w:szCs w:val="21"/>
              </w:rPr>
              <w:t>一览表单独密封提交，并在信封上标明"</w:t>
            </w:r>
            <w:r>
              <w:rPr>
                <w:rFonts w:hint="eastAsia" w:asciiTheme="minorEastAsia" w:hAnsiTheme="minorEastAsia" w:eastAsiaTheme="minorEastAsia" w:cstheme="minorEastAsia"/>
                <w:b/>
                <w:bCs/>
                <w:sz w:val="21"/>
                <w:szCs w:val="21"/>
                <w:lang w:eastAsia="zh-CN"/>
              </w:rPr>
              <w:t>开标</w:t>
            </w:r>
            <w:r>
              <w:rPr>
                <w:rFonts w:hint="eastAsia" w:asciiTheme="minorEastAsia" w:hAnsiTheme="minorEastAsia" w:eastAsiaTheme="minorEastAsia" w:cstheme="minorEastAsia"/>
                <w:b/>
                <w:bCs/>
                <w:sz w:val="21"/>
                <w:szCs w:val="21"/>
              </w:rPr>
              <w:t>一览表"字样；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color w:val="auto"/>
                <w:sz w:val="21"/>
                <w:szCs w:val="21"/>
                <w:highlight w:val="none"/>
                <w:lang w:val="en-US" w:eastAsia="zh-CN"/>
              </w:rPr>
              <w:t>2)电子版</w:t>
            </w:r>
            <w:r>
              <w:rPr>
                <w:rFonts w:hint="eastAsia" w:asciiTheme="minorEastAsia" w:hAnsiTheme="minorEastAsia" w:eastAsiaTheme="minorEastAsia" w:cstheme="minorEastAsia"/>
                <w:b/>
                <w:bCs/>
                <w:sz w:val="21"/>
                <w:szCs w:val="21"/>
              </w:rPr>
              <w:t>单独密封提交，并在信封上标明"</w:t>
            </w:r>
            <w:r>
              <w:rPr>
                <w:rFonts w:hint="eastAsia" w:asciiTheme="minorEastAsia" w:hAnsiTheme="minorEastAsia" w:eastAsiaTheme="minorEastAsia" w:cstheme="minorEastAsia"/>
                <w:b/>
                <w:bCs/>
                <w:sz w:val="21"/>
                <w:szCs w:val="21"/>
                <w:lang w:eastAsia="zh-CN"/>
              </w:rPr>
              <w:t>电子版</w:t>
            </w:r>
            <w:r>
              <w:rPr>
                <w:rFonts w:hint="eastAsia" w:asciiTheme="minorEastAsia" w:hAnsiTheme="minorEastAsia" w:eastAsiaTheme="minorEastAsia" w:cstheme="minorEastAsia"/>
                <w:b/>
                <w:bCs/>
                <w:sz w:val="21"/>
                <w:szCs w:val="21"/>
              </w:rPr>
              <w:t>"字样；</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color w:val="auto"/>
                <w:sz w:val="21"/>
                <w:szCs w:val="21"/>
                <w:highlight w:val="none"/>
                <w:lang w:val="en-US" w:eastAsia="zh-CN"/>
              </w:rPr>
              <w:t>3)供应商应将响应文件统包密封，封面应注明项目名称</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b w:val="0"/>
                <w:bCs/>
                <w:color w:val="auto"/>
                <w:sz w:val="21"/>
                <w:szCs w:val="21"/>
                <w:highlight w:val="none"/>
                <w:lang w:val="en-US" w:eastAsia="zh-CN"/>
              </w:rPr>
              <w:t>项目编号</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b w:val="0"/>
                <w:bCs/>
                <w:color w:val="auto"/>
                <w:sz w:val="21"/>
                <w:szCs w:val="21"/>
                <w:highlight w:val="none"/>
              </w:rPr>
              <w:t>采购人名称</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供应商名称</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lang w:val="en-US" w:eastAsia="zh-CN"/>
              </w:rPr>
              <w:t>供应商的地址、联系人、联系电话等。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2</w:t>
            </w:r>
            <w:r>
              <w:rPr>
                <w:rFonts w:hint="eastAsia" w:asciiTheme="minorEastAsia" w:hAnsiTheme="minorEastAsia" w:eastAsiaTheme="minorEastAsia" w:cstheme="minorEastAsia"/>
                <w:b w:val="0"/>
                <w:bCs/>
                <w:color w:val="auto"/>
                <w:sz w:val="21"/>
                <w:szCs w:val="21"/>
                <w:highlight w:val="none"/>
                <w:lang w:val="en-US" w:eastAsia="zh-CN"/>
              </w:rPr>
              <w:t>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sz w:val="21"/>
                <w:szCs w:val="21"/>
                <w:highlight w:val="none"/>
                <w:lang w:eastAsia="zh-CN"/>
              </w:rPr>
              <w:t>投标</w:t>
            </w:r>
            <w:r>
              <w:rPr>
                <w:rFonts w:hint="eastAsia" w:asciiTheme="minorEastAsia" w:hAnsiTheme="minorEastAsia" w:eastAsiaTheme="minorEastAsia" w:cstheme="minorEastAsia"/>
                <w:b/>
                <w:bCs w:val="0"/>
                <w:color w:val="auto"/>
                <w:sz w:val="21"/>
                <w:szCs w:val="21"/>
                <w:highlight w:val="none"/>
              </w:rPr>
              <w:t>保证金</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投标</w:t>
            </w:r>
            <w:r>
              <w:rPr>
                <w:rFonts w:hint="eastAsia" w:asciiTheme="minorEastAsia" w:hAnsiTheme="minorEastAsia" w:eastAsiaTheme="minorEastAsia" w:cstheme="minorEastAsia"/>
                <w:b w:val="0"/>
                <w:bCs/>
                <w:color w:val="auto"/>
                <w:sz w:val="21"/>
                <w:szCs w:val="21"/>
                <w:highlight w:val="none"/>
              </w:rPr>
              <w:t>保证金：</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缴纳方式：电汇、网银转账</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金额（小写）：</w:t>
            </w:r>
            <w:r>
              <w:rPr>
                <w:rFonts w:hint="eastAsia" w:asciiTheme="minorEastAsia" w:hAnsiTheme="minorEastAsia" w:eastAsiaTheme="minorEastAsia" w:cstheme="minorEastAsia"/>
                <w:b w:val="0"/>
                <w:bCs/>
                <w:color w:val="auto"/>
                <w:sz w:val="21"/>
                <w:szCs w:val="21"/>
                <w:highlight w:val="none"/>
                <w:lang w:val="en-US" w:eastAsia="zh-CN"/>
              </w:rPr>
              <w:t>7800</w:t>
            </w:r>
            <w:bookmarkStart w:id="101" w:name="_GoBack"/>
            <w:bookmarkEnd w:id="101"/>
            <w:r>
              <w:rPr>
                <w:rFonts w:hint="eastAsia" w:asciiTheme="minorEastAsia" w:hAnsiTheme="minorEastAsia" w:eastAsiaTheme="minorEastAsia" w:cstheme="minorEastAsia"/>
                <w:b w:val="0"/>
                <w:bCs/>
                <w:color w:val="auto"/>
                <w:sz w:val="21"/>
                <w:szCs w:val="21"/>
                <w:highlight w:val="none"/>
                <w:lang w:val="en-US" w:eastAsia="zh-CN"/>
              </w:rPr>
              <w:t>.00</w:t>
            </w:r>
            <w:r>
              <w:rPr>
                <w:rFonts w:hint="eastAsia" w:asciiTheme="minorEastAsia" w:hAnsiTheme="minorEastAsia" w:eastAsiaTheme="minorEastAsia" w:cstheme="minorEastAsia"/>
                <w:b w:val="0"/>
                <w:bCs/>
                <w:color w:val="auto"/>
                <w:sz w:val="21"/>
                <w:szCs w:val="21"/>
                <w:highlight w:val="none"/>
              </w:rPr>
              <w:t xml:space="preserve">元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rPr>
              <w:t>金额（大写）：</w:t>
            </w:r>
            <w:r>
              <w:rPr>
                <w:rFonts w:hint="eastAsia" w:asciiTheme="minorEastAsia" w:hAnsiTheme="minorEastAsia" w:eastAsiaTheme="minorEastAsia" w:cstheme="minorEastAsia"/>
                <w:b w:val="0"/>
                <w:bCs/>
                <w:color w:val="auto"/>
                <w:sz w:val="21"/>
                <w:szCs w:val="21"/>
                <w:highlight w:val="none"/>
                <w:lang w:val="en-US" w:eastAsia="zh-CN"/>
              </w:rPr>
              <w:t>捌仟元整</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备注项目</w:t>
            </w:r>
            <w:r>
              <w:rPr>
                <w:rFonts w:hint="eastAsia" w:asciiTheme="minorEastAsia" w:hAnsiTheme="minorEastAsia" w:eastAsiaTheme="minorEastAsia" w:cstheme="minorEastAsia"/>
                <w:b w:val="0"/>
                <w:bCs/>
                <w:color w:val="auto"/>
                <w:sz w:val="21"/>
                <w:szCs w:val="21"/>
                <w:highlight w:val="none"/>
                <w:lang w:eastAsia="zh-CN"/>
              </w:rPr>
              <w:t>编号、项目</w:t>
            </w:r>
            <w:r>
              <w:rPr>
                <w:rFonts w:hint="eastAsia" w:asciiTheme="minorEastAsia" w:hAnsiTheme="minorEastAsia" w:eastAsiaTheme="minorEastAsia" w:cstheme="minorEastAsia"/>
                <w:b w:val="0"/>
                <w:bCs/>
                <w:color w:val="auto"/>
                <w:sz w:val="21"/>
                <w:szCs w:val="21"/>
                <w:highlight w:val="none"/>
              </w:rPr>
              <w:t xml:space="preserve">名称 </w:t>
            </w:r>
            <w:r>
              <w:rPr>
                <w:rFonts w:hint="eastAsia" w:asciiTheme="minorEastAsia" w:hAnsiTheme="minorEastAsia" w:eastAsiaTheme="minorEastAsia" w:cstheme="minorEastAsia"/>
                <w:b w:val="0"/>
                <w:bCs/>
                <w:color w:val="auto"/>
                <w:sz w:val="21"/>
                <w:szCs w:val="21"/>
                <w:highlight w:val="none"/>
                <w:lang w:eastAsia="zh-CN"/>
              </w:rPr>
              <w:t>）</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收款单位：</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rPr>
              <w:t>开户名称：</w:t>
            </w:r>
            <w:r>
              <w:rPr>
                <w:rFonts w:hint="eastAsia" w:asciiTheme="minorEastAsia" w:hAnsiTheme="minorEastAsia" w:eastAsiaTheme="minorEastAsia" w:cstheme="minorEastAsia"/>
                <w:b w:val="0"/>
                <w:bCs/>
                <w:color w:val="auto"/>
                <w:sz w:val="21"/>
                <w:szCs w:val="21"/>
                <w:highlight w:val="none"/>
                <w:lang w:eastAsia="zh-CN"/>
              </w:rPr>
              <w:t>宏业国际项目管理有限公司新疆分公司</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开户行：</w:t>
            </w:r>
            <w:r>
              <w:rPr>
                <w:rFonts w:hint="eastAsia" w:asciiTheme="minorEastAsia" w:hAnsiTheme="minorEastAsia" w:eastAsiaTheme="minorEastAsia" w:cstheme="minorEastAsia"/>
                <w:b w:val="0"/>
                <w:bCs/>
                <w:color w:val="auto"/>
                <w:sz w:val="21"/>
                <w:szCs w:val="21"/>
                <w:highlight w:val="none"/>
                <w:lang w:eastAsia="zh-CN"/>
              </w:rPr>
              <w:t>交通银行股份有限公司乌鲁木齐大西门支行</w:t>
            </w:r>
            <w:r>
              <w:rPr>
                <w:rFonts w:hint="eastAsia" w:asciiTheme="minorEastAsia" w:hAnsiTheme="minorEastAsia" w:eastAsiaTheme="minorEastAsia" w:cstheme="minorEastAsia"/>
                <w:b w:val="0"/>
                <w:bCs/>
                <w:color w:val="auto"/>
                <w:sz w:val="21"/>
                <w:szCs w:val="21"/>
                <w:highlight w:val="non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账   号：</w:t>
            </w:r>
            <w:r>
              <w:rPr>
                <w:rFonts w:hint="eastAsia" w:asciiTheme="minorEastAsia" w:hAnsiTheme="minorEastAsia" w:eastAsiaTheme="minorEastAsia" w:cstheme="minorEastAsia"/>
                <w:b w:val="0"/>
                <w:bCs/>
                <w:color w:val="auto"/>
                <w:sz w:val="21"/>
                <w:szCs w:val="21"/>
                <w:highlight w:val="none"/>
                <w:lang w:val="en-US" w:eastAsia="zh-CN"/>
              </w:rPr>
              <w:t>6516 5100 1013 0007 14104</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必须</w:t>
            </w:r>
            <w:r>
              <w:rPr>
                <w:rFonts w:hint="eastAsia" w:asciiTheme="minorEastAsia" w:hAnsiTheme="minorEastAsia" w:eastAsiaTheme="minorEastAsia" w:cstheme="minorEastAsia"/>
                <w:b w:val="0"/>
                <w:bCs/>
                <w:color w:val="auto"/>
                <w:sz w:val="21"/>
                <w:szCs w:val="21"/>
                <w:highlight w:val="none"/>
                <w:lang w:eastAsia="zh-CN"/>
              </w:rPr>
              <w:t>投标截止时间前</w:t>
            </w:r>
            <w:r>
              <w:rPr>
                <w:rFonts w:hint="eastAsia" w:asciiTheme="minorEastAsia" w:hAnsiTheme="minorEastAsia" w:eastAsiaTheme="minorEastAsia" w:cstheme="minorEastAsia"/>
                <w:b w:val="0"/>
                <w:bCs/>
                <w:color w:val="auto"/>
                <w:sz w:val="21"/>
                <w:szCs w:val="21"/>
                <w:highlight w:val="none"/>
              </w:rPr>
              <w:t>完成保证金缴纳工作。</w:t>
            </w:r>
            <w:r>
              <w:rPr>
                <w:rFonts w:hint="eastAsia" w:asciiTheme="minorEastAsia" w:hAnsiTheme="minorEastAsia" w:eastAsiaTheme="minorEastAsia" w:cstheme="minorEastAsia"/>
                <w:b w:val="0"/>
                <w:bCs/>
                <w:color w:val="auto"/>
                <w:sz w:val="21"/>
                <w:szCs w:val="21"/>
                <w:highlight w:val="none"/>
                <w:lang w:eastAsia="zh-CN"/>
              </w:rPr>
              <w:t>供应商</w:t>
            </w:r>
            <w:r>
              <w:rPr>
                <w:rFonts w:hint="eastAsia" w:asciiTheme="minorEastAsia" w:hAnsiTheme="minorEastAsia" w:eastAsiaTheme="minorEastAsia" w:cstheme="minorEastAsia"/>
                <w:b w:val="0"/>
                <w:bCs/>
                <w:color w:val="auto"/>
                <w:sz w:val="21"/>
                <w:szCs w:val="21"/>
                <w:highlight w:val="none"/>
              </w:rPr>
              <w:t>需自行评估因异地、跨行、公休日等因素造成的投标保证金到账延迟风险，并承担相应责任。</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(2)投标保证金的提交以保证金账户到账时间为准。</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(3)标书内须放置投标保证金缴纳凭证。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27</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rPr>
              <w:t>履约保证金</w:t>
            </w:r>
          </w:p>
        </w:tc>
        <w:tc>
          <w:tcPr>
            <w:tcW w:w="6583"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约保证金金额：合同金额的 </w:t>
            </w:r>
            <w:r>
              <w:rPr>
                <w:rFonts w:hint="eastAsia" w:asciiTheme="minorEastAsia" w:hAnsiTheme="minorEastAsia" w:eastAsiaTheme="minorEastAsia" w:cstheme="minorEastAsia"/>
                <w:b w:val="0"/>
                <w:bCs/>
                <w:color w:val="auto"/>
                <w:sz w:val="21"/>
                <w:szCs w:val="21"/>
                <w:highlight w:val="none"/>
                <w:lang w:val="en-US" w:eastAsia="zh-CN"/>
              </w:rPr>
              <w:t xml:space="preserve">/ </w:t>
            </w:r>
            <w:r>
              <w:rPr>
                <w:rFonts w:hint="eastAsia" w:asciiTheme="minorEastAsia" w:hAnsiTheme="minorEastAsia" w:eastAsiaTheme="minorEastAsia" w:cstheme="minorEastAsia"/>
                <w:b w:val="0"/>
                <w:bCs/>
                <w:color w:val="auto"/>
                <w:sz w:val="21"/>
                <w:szCs w:val="21"/>
                <w:highlight w:val="none"/>
              </w:rPr>
              <w:t>%</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履约保证金递交：中标单位收到《</w:t>
            </w:r>
            <w:r>
              <w:rPr>
                <w:rFonts w:hint="eastAsia" w:asciiTheme="minorEastAsia" w:hAnsiTheme="minorEastAsia" w:eastAsiaTheme="minorEastAsia" w:cstheme="minorEastAsia"/>
                <w:b w:val="0"/>
                <w:bCs/>
                <w:color w:val="auto"/>
                <w:sz w:val="21"/>
                <w:szCs w:val="21"/>
                <w:highlight w:val="none"/>
                <w:lang w:val="en-US" w:eastAsia="zh-CN"/>
              </w:rPr>
              <w:t>中标</w:t>
            </w:r>
            <w:r>
              <w:rPr>
                <w:rFonts w:hint="eastAsia" w:asciiTheme="minorEastAsia" w:hAnsiTheme="minorEastAsia" w:eastAsiaTheme="minorEastAsia" w:cstheme="minorEastAsia"/>
                <w:b w:val="0"/>
                <w:bCs/>
                <w:color w:val="auto"/>
                <w:sz w:val="21"/>
                <w:szCs w:val="21"/>
                <w:highlight w:val="none"/>
              </w:rPr>
              <w:t>通知书》</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签订合同</w:t>
            </w:r>
            <w:r>
              <w:rPr>
                <w:rFonts w:hint="eastAsia" w:asciiTheme="minorEastAsia" w:hAnsiTheme="minorEastAsia" w:eastAsiaTheme="minorEastAsia" w:cstheme="minorEastAsia"/>
                <w:b w:val="0"/>
                <w:bCs/>
                <w:color w:val="auto"/>
                <w:sz w:val="21"/>
                <w:szCs w:val="21"/>
                <w:highlight w:val="none"/>
                <w:lang w:val="en-US" w:eastAsia="zh-CN"/>
              </w:rPr>
              <w:t>前</w:t>
            </w:r>
            <w:r>
              <w:rPr>
                <w:rFonts w:hint="eastAsia" w:asciiTheme="minorEastAsia" w:hAnsiTheme="minorEastAsia" w:eastAsiaTheme="minorEastAsia" w:cstheme="minorEastAsia"/>
                <w:b w:val="0"/>
                <w:bCs/>
                <w:color w:val="auto"/>
                <w:sz w:val="21"/>
                <w:szCs w:val="21"/>
                <w:highlight w:val="none"/>
              </w:rPr>
              <w:t>缴纳</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履约保证金形式：银行转账形式（中标单位未按</w:t>
            </w:r>
            <w:r>
              <w:rPr>
                <w:rFonts w:hint="eastAsia" w:asciiTheme="minorEastAsia" w:hAnsiTheme="minorEastAsia" w:eastAsiaTheme="minorEastAsia" w:cstheme="minorEastAsia"/>
                <w:b w:val="0"/>
                <w:bCs/>
                <w:color w:val="auto"/>
                <w:sz w:val="21"/>
                <w:szCs w:val="21"/>
                <w:highlight w:val="none"/>
                <w:lang w:val="en-US" w:eastAsia="zh-CN"/>
              </w:rPr>
              <w:t>采购</w:t>
            </w:r>
            <w:r>
              <w:rPr>
                <w:rFonts w:hint="eastAsia" w:asciiTheme="minorEastAsia" w:hAnsiTheme="minorEastAsia" w:eastAsiaTheme="minorEastAsia" w:cstheme="minorEastAsia"/>
                <w:b w:val="0"/>
                <w:bCs/>
                <w:color w:val="auto"/>
                <w:sz w:val="21"/>
                <w:szCs w:val="21"/>
                <w:highlight w:val="none"/>
              </w:rPr>
              <w:t>文件规定缴纳履约保证金的，其投标保证金将不予退还）</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val="zh-CN"/>
              </w:rPr>
              <w:t>履约保证金（质保金）退还：（1）履约保证金的有效期为该项目</w:t>
            </w:r>
            <w:r>
              <w:rPr>
                <w:rFonts w:hint="eastAsia" w:asciiTheme="minorEastAsia" w:hAnsiTheme="minorEastAsia" w:eastAsiaTheme="minorEastAsia" w:cstheme="minorEastAsia"/>
                <w:b w:val="0"/>
                <w:bCs/>
                <w:color w:val="auto"/>
                <w:sz w:val="21"/>
                <w:szCs w:val="21"/>
                <w:highlight w:val="none"/>
                <w:lang w:val="en-US" w:eastAsia="zh-CN"/>
              </w:rPr>
              <w:t>完成供货且通过采购人组织的项目验收</w:t>
            </w:r>
            <w:r>
              <w:rPr>
                <w:rFonts w:hint="eastAsia" w:asciiTheme="minorEastAsia" w:hAnsiTheme="minorEastAsia" w:eastAsiaTheme="minorEastAsia" w:cstheme="minorEastAsia"/>
                <w:b w:val="0"/>
                <w:bCs/>
                <w:color w:val="auto"/>
                <w:sz w:val="21"/>
                <w:szCs w:val="21"/>
                <w:highlight w:val="none"/>
                <w:lang w:val="zh-CN"/>
              </w:rPr>
              <w:t>止。（2）供应商在</w:t>
            </w:r>
            <w:r>
              <w:rPr>
                <w:rFonts w:hint="eastAsia" w:asciiTheme="minorEastAsia" w:hAnsiTheme="minorEastAsia" w:eastAsiaTheme="minorEastAsia" w:cstheme="minorEastAsia"/>
                <w:b w:val="0"/>
                <w:bCs/>
                <w:color w:val="auto"/>
                <w:sz w:val="21"/>
                <w:szCs w:val="21"/>
                <w:highlight w:val="none"/>
                <w:lang w:val="en-US" w:eastAsia="zh-CN"/>
              </w:rPr>
              <w:t>产品</w:t>
            </w:r>
            <w:r>
              <w:rPr>
                <w:rFonts w:hint="eastAsia" w:asciiTheme="minorEastAsia" w:hAnsiTheme="minorEastAsia" w:eastAsiaTheme="minorEastAsia" w:cstheme="minorEastAsia"/>
                <w:b w:val="0"/>
                <w:bCs/>
                <w:color w:val="auto"/>
                <w:sz w:val="21"/>
                <w:szCs w:val="21"/>
                <w:highlight w:val="none"/>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28</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代理服务费</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本项目招标代理服务费根据发改价格[2011]534 号及计价格[2002]1980 号文件计算的招标代理服务收费标准</w:t>
            </w:r>
            <w:r>
              <w:rPr>
                <w:rFonts w:hint="eastAsia" w:asciiTheme="minorEastAsia" w:hAnsiTheme="minorEastAsia" w:eastAsiaTheme="minorEastAsia" w:cstheme="minorEastAsia"/>
                <w:b w:val="0"/>
                <w:bCs/>
                <w:color w:val="auto"/>
                <w:sz w:val="21"/>
                <w:szCs w:val="21"/>
                <w:highlight w:val="none"/>
                <w:lang w:eastAsia="zh-CN"/>
              </w:rPr>
              <w:t>收取</w:t>
            </w:r>
            <w:r>
              <w:rPr>
                <w:rFonts w:hint="eastAsia" w:asciiTheme="minorEastAsia" w:hAnsiTheme="minorEastAsia" w:eastAsiaTheme="minorEastAsia" w:cstheme="minorEastAsia"/>
                <w:b w:val="0"/>
                <w:bCs/>
                <w:color w:val="auto"/>
                <w:sz w:val="21"/>
                <w:szCs w:val="21"/>
                <w:highlight w:val="none"/>
              </w:rPr>
              <w:t>。由中标</w:t>
            </w:r>
            <w:r>
              <w:rPr>
                <w:rFonts w:hint="eastAsia" w:asciiTheme="minorEastAsia" w:hAnsiTheme="minorEastAsia" w:eastAsiaTheme="minorEastAsia" w:cstheme="minorEastAsia"/>
                <w:b w:val="0"/>
                <w:bCs/>
                <w:color w:val="auto"/>
                <w:sz w:val="21"/>
                <w:szCs w:val="21"/>
                <w:highlight w:val="none"/>
                <w:lang w:eastAsia="zh-CN"/>
              </w:rPr>
              <w:t>（成交）</w:t>
            </w:r>
            <w:r>
              <w:rPr>
                <w:rFonts w:hint="eastAsia" w:asciiTheme="minorEastAsia" w:hAnsiTheme="minorEastAsia" w:eastAsiaTheme="minorEastAsia" w:cstheme="minorEastAsia"/>
                <w:b w:val="0"/>
                <w:bCs/>
                <w:color w:val="auto"/>
                <w:sz w:val="21"/>
                <w:szCs w:val="21"/>
                <w:highlight w:val="none"/>
              </w:rPr>
              <w:t>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29</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中小微型企业</w:t>
            </w:r>
          </w:p>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rPr>
              <w:t>有关政策</w:t>
            </w:r>
          </w:p>
        </w:tc>
        <w:tc>
          <w:tcPr>
            <w:tcW w:w="6583" w:type="dxa"/>
            <w:noWrap w:val="0"/>
            <w:vAlign w:val="center"/>
          </w:tcPr>
          <w:p>
            <w:pPr>
              <w:pageBreakBefore w:val="0"/>
              <w:numPr>
                <w:ilvl w:val="0"/>
                <w:numId w:val="2"/>
              </w:numPr>
              <w:kinsoku/>
              <w:topLinePunct w:val="0"/>
              <w:bidi w:val="0"/>
              <w:spacing w:line="400" w:lineRule="exact"/>
              <w:ind w:left="0" w:leftChars="0" w:firstLine="0" w:firstLineChars="0"/>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rPr>
              <w:t>《政府采购促进中小企业发展暂行办法》（财库〔2020〕47号）；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p>
            <w:pPr>
              <w:pageBreakBefore w:val="0"/>
              <w:numPr>
                <w:ilvl w:val="0"/>
                <w:numId w:val="0"/>
              </w:numPr>
              <w:kinsoku/>
              <w:topLinePunct w:val="0"/>
              <w:bidi w:val="0"/>
              <w:spacing w:line="400" w:lineRule="exact"/>
              <w:ind w:leftChars="0"/>
              <w:rPr>
                <w:rFonts w:hint="eastAsia" w:asciiTheme="minorEastAsia" w:hAnsiTheme="minorEastAsia" w:eastAsiaTheme="minorEastAsia" w:cstheme="minorEastAsia"/>
                <w:b w:val="0"/>
                <w:bCs/>
                <w:color w:val="auto"/>
                <w:kern w:val="2"/>
                <w:sz w:val="21"/>
                <w:szCs w:val="21"/>
                <w:highlight w:val="none"/>
                <w:lang w:val="en-US" w:eastAsia="zh-CN" w:bidi="ar-SA"/>
              </w:rPr>
            </w:pPr>
            <w:r>
              <w:rPr>
                <w:rStyle w:val="122"/>
                <w:rFonts w:hint="eastAsia" w:asciiTheme="minorEastAsia" w:hAnsiTheme="minorEastAsia" w:eastAsiaTheme="minorEastAsia" w:cstheme="minorEastAsia"/>
                <w:b w:val="0"/>
                <w:bCs/>
                <w:color w:val="auto"/>
                <w:sz w:val="21"/>
                <w:szCs w:val="21"/>
                <w:highlight w:val="none"/>
              </w:rPr>
              <w:t>价格扣除幅度：价格给予6 %的扣除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kern w:val="0"/>
                <w:sz w:val="21"/>
                <w:szCs w:val="21"/>
                <w:highlight w:val="none"/>
              </w:rPr>
              <w:t>30</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封套上应载明的信息</w:t>
            </w:r>
          </w:p>
        </w:tc>
        <w:tc>
          <w:tcPr>
            <w:tcW w:w="6583" w:type="dxa"/>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项目名称：</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项目编号：</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采购人名称：</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供应商名称：</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供应商地址：</w:t>
            </w:r>
            <w:r>
              <w:rPr>
                <w:rFonts w:hint="eastAsia" w:asciiTheme="minorEastAsia" w:hAnsiTheme="minorEastAsia" w:eastAsiaTheme="minorEastAsia" w:cstheme="minorEastAsia"/>
                <w:b w:val="0"/>
                <w:bCs/>
                <w:color w:val="auto"/>
                <w:sz w:val="21"/>
                <w:szCs w:val="21"/>
                <w:highlight w:val="none"/>
                <w:u w:val="single"/>
              </w:rPr>
              <w:t xml:space="preserve">                               </w:t>
            </w:r>
          </w:p>
          <w:p>
            <w:pPr>
              <w:pStyle w:val="3"/>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u w:val="single"/>
              </w:rPr>
            </w:pPr>
            <w:r>
              <w:rPr>
                <w:rFonts w:hint="eastAsia" w:asciiTheme="minorEastAsia" w:hAnsiTheme="minorEastAsia" w:eastAsiaTheme="minorEastAsia" w:cstheme="minorEastAsia"/>
                <w:b w:val="0"/>
                <w:bCs/>
                <w:color w:val="auto"/>
                <w:sz w:val="21"/>
                <w:szCs w:val="21"/>
                <w:highlight w:val="none"/>
              </w:rPr>
              <w:t>联系人：</w:t>
            </w:r>
            <w:r>
              <w:rPr>
                <w:rFonts w:hint="eastAsia" w:asciiTheme="minorEastAsia" w:hAnsiTheme="minorEastAsia" w:eastAsiaTheme="minorEastAsia" w:cstheme="minorEastAsia"/>
                <w:b w:val="0"/>
                <w:bCs/>
                <w:color w:val="auto"/>
                <w:sz w:val="21"/>
                <w:szCs w:val="21"/>
                <w:highlight w:val="none"/>
                <w:u w:val="single"/>
              </w:rPr>
              <w:t xml:space="preserve">                                   </w:t>
            </w:r>
          </w:p>
          <w:p>
            <w:pPr>
              <w:pStyle w:val="3"/>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联系电话：</w:t>
            </w:r>
            <w:r>
              <w:rPr>
                <w:rFonts w:hint="eastAsia" w:asciiTheme="minorEastAsia" w:hAnsiTheme="minorEastAsia" w:eastAsiaTheme="minorEastAsia" w:cstheme="minorEastAsia"/>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在</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年</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月</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日</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时</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0"/>
                <w:sz w:val="21"/>
                <w:szCs w:val="21"/>
                <w:highlight w:val="none"/>
              </w:rPr>
            </w:pPr>
          </w:p>
        </w:tc>
        <w:tc>
          <w:tcPr>
            <w:tcW w:w="2350" w:type="dxa"/>
            <w:noWrap w:val="0"/>
            <w:vAlign w:val="center"/>
          </w:tcPr>
          <w:p>
            <w:pPr>
              <w:autoSpaceDE w:val="0"/>
              <w:autoSpaceDN w:val="0"/>
              <w:spacing w:line="360" w:lineRule="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sz w:val="21"/>
                <w:szCs w:val="21"/>
              </w:rPr>
              <w:t>需要补充的其他内容</w:t>
            </w:r>
          </w:p>
        </w:tc>
        <w:tc>
          <w:tcPr>
            <w:tcW w:w="6583" w:type="dxa"/>
            <w:noWrap w:val="0"/>
            <w:vAlign w:val="center"/>
          </w:tcPr>
          <w:p>
            <w:pPr>
              <w:pageBreakBefore w:val="0"/>
              <w:numPr>
                <w:ilvl w:val="0"/>
                <w:numId w:val="0"/>
              </w:numPr>
              <w:kinsoku/>
              <w:topLinePunct w:val="0"/>
              <w:bidi w:val="0"/>
              <w:spacing w:line="400" w:lineRule="exact"/>
              <w:ind w:leftChars="0"/>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lang w:val="en-US" w:eastAsia="zh-CN"/>
              </w:rPr>
              <w:t>1</w:t>
            </w:r>
            <w:r>
              <w:rPr>
                <w:rStyle w:val="122"/>
                <w:rFonts w:hint="eastAsia" w:asciiTheme="minorEastAsia" w:hAnsiTheme="minorEastAsia" w:eastAsiaTheme="minorEastAsia" w:cstheme="minorEastAsia"/>
                <w:b w:val="0"/>
                <w:bCs/>
                <w:color w:val="auto"/>
                <w:sz w:val="21"/>
                <w:szCs w:val="21"/>
                <w:highlight w:val="none"/>
              </w:rPr>
              <w:t>、本项目投标应以人民币报价；</w:t>
            </w:r>
          </w:p>
          <w:p>
            <w:pPr>
              <w:pageBreakBefore w:val="0"/>
              <w:numPr>
                <w:ilvl w:val="0"/>
                <w:numId w:val="0"/>
              </w:numPr>
              <w:kinsoku/>
              <w:topLinePunct w:val="0"/>
              <w:bidi w:val="0"/>
              <w:spacing w:line="400" w:lineRule="exact"/>
              <w:ind w:leftChars="0"/>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rPr>
              <w:t>2、不论投标结果如何，投标人均应自行承担所有与投标有关的全部费用</w:t>
            </w:r>
            <w:r>
              <w:rPr>
                <w:rStyle w:val="122"/>
                <w:rFonts w:hint="eastAsia" w:asciiTheme="minorEastAsia" w:hAnsiTheme="minorEastAsia" w:eastAsiaTheme="minorEastAsia" w:cstheme="minorEastAsia"/>
                <w:b w:val="0"/>
                <w:bCs/>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kern w:val="0"/>
                <w:sz w:val="21"/>
                <w:szCs w:val="21"/>
                <w:highlight w:val="none"/>
              </w:rPr>
            </w:pPr>
          </w:p>
        </w:tc>
        <w:tc>
          <w:tcPr>
            <w:tcW w:w="2350" w:type="dxa"/>
            <w:noWrap w:val="0"/>
            <w:vAlign w:val="center"/>
          </w:tcPr>
          <w:p>
            <w:pPr>
              <w:autoSpaceDE w:val="0"/>
              <w:autoSpaceDN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583" w:type="dxa"/>
            <w:noWrap w:val="0"/>
            <w:vAlign w:val="center"/>
          </w:tcPr>
          <w:p>
            <w:pPr>
              <w:pageBreakBefore w:val="0"/>
              <w:numPr>
                <w:ilvl w:val="0"/>
                <w:numId w:val="0"/>
              </w:numPr>
              <w:kinsoku/>
              <w:topLinePunct w:val="0"/>
              <w:bidi w:val="0"/>
              <w:spacing w:line="400" w:lineRule="exact"/>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lang w:val="en-US" w:eastAsia="zh-CN"/>
              </w:rPr>
              <w:t>1、</w:t>
            </w:r>
            <w:r>
              <w:rPr>
                <w:rStyle w:val="122"/>
                <w:rFonts w:hint="eastAsia" w:asciiTheme="minorEastAsia" w:hAnsiTheme="minorEastAsia" w:eastAsiaTheme="minorEastAsia" w:cstheme="minorEastAsia"/>
                <w:b w:val="0"/>
                <w:bCs/>
                <w:color w:val="auto"/>
                <w:sz w:val="21"/>
                <w:szCs w:val="21"/>
                <w:highlight w:val="none"/>
              </w:rPr>
              <w:t>为保证本项目质量，良好的售后服务，最低报价不作为中标的唯一依据。</w:t>
            </w:r>
          </w:p>
          <w:p>
            <w:pPr>
              <w:pageBreakBefore w:val="0"/>
              <w:numPr>
                <w:ilvl w:val="0"/>
                <w:numId w:val="0"/>
              </w:numPr>
              <w:kinsoku/>
              <w:topLinePunct w:val="0"/>
              <w:bidi w:val="0"/>
              <w:spacing w:line="400" w:lineRule="exact"/>
              <w:rPr>
                <w:rStyle w:val="122"/>
                <w:rFonts w:hint="eastAsia" w:asciiTheme="minorEastAsia" w:hAnsiTheme="minorEastAsia" w:eastAsiaTheme="minorEastAsia" w:cstheme="minorEastAsia"/>
                <w:b w:val="0"/>
                <w:bCs/>
                <w:color w:val="auto"/>
                <w:sz w:val="21"/>
                <w:szCs w:val="21"/>
                <w:highlight w:val="none"/>
              </w:rPr>
            </w:pPr>
            <w:r>
              <w:rPr>
                <w:rStyle w:val="122"/>
                <w:rFonts w:hint="eastAsia" w:asciiTheme="minorEastAsia" w:hAnsiTheme="minorEastAsia" w:eastAsiaTheme="minorEastAsia" w:cstheme="minorEastAsia"/>
                <w:b w:val="0"/>
                <w:bCs/>
                <w:color w:val="auto"/>
                <w:sz w:val="21"/>
                <w:szCs w:val="21"/>
                <w:highlight w:val="none"/>
                <w:lang w:val="en-US" w:eastAsia="zh-CN"/>
              </w:rPr>
              <w:t>2、</w:t>
            </w:r>
            <w:r>
              <w:rPr>
                <w:rStyle w:val="122"/>
                <w:rFonts w:hint="eastAsia" w:asciiTheme="minorEastAsia" w:hAnsiTheme="minorEastAsia" w:eastAsiaTheme="minorEastAsia" w:cstheme="minorEastAsia"/>
                <w:b w:val="0"/>
                <w:bCs/>
                <w:color w:val="auto"/>
                <w:sz w:val="21"/>
                <w:szCs w:val="21"/>
                <w:highlight w:val="none"/>
              </w:rPr>
              <w:t>采购人若发现成交候选供应商在竞标过程中提供虚假证明文件，故意隐瞒公司不良信誉和财务状况，以及存在可能对合同圆满履行造成风险的其他因素等，则按规定取消其成交资格，监管部门依法进行处理。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766" w:type="dxa"/>
            <w:noWrap w:val="0"/>
            <w:vAlign w:val="center"/>
          </w:tcPr>
          <w:p>
            <w:pPr>
              <w:pStyle w:val="3"/>
              <w:pageBreakBefore w:val="0"/>
              <w:kinsoku/>
              <w:topLinePunct w:val="0"/>
              <w:bidi w:val="0"/>
              <w:spacing w:line="400" w:lineRule="exact"/>
              <w:ind w:left="0" w:leftChars="0" w:firstLine="0" w:firstLineChars="0"/>
              <w:contextualSpacing/>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注意</w:t>
            </w:r>
          </w:p>
          <w:p>
            <w:pPr>
              <w:pStyle w:val="3"/>
              <w:pageBreakBefore w:val="0"/>
              <w:kinsoku/>
              <w:topLinePunct w:val="0"/>
              <w:bidi w:val="0"/>
              <w:spacing w:line="400" w:lineRule="exact"/>
              <w:ind w:left="0" w:leftChars="0" w:firstLine="0" w:firstLineChars="0"/>
              <w:contextualSpacing/>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事项</w:t>
            </w:r>
          </w:p>
        </w:tc>
        <w:tc>
          <w:tcPr>
            <w:tcW w:w="8933" w:type="dxa"/>
            <w:gridSpan w:val="2"/>
            <w:noWrap w:val="0"/>
            <w:vAlign w:val="center"/>
          </w:tcPr>
          <w:p>
            <w:pPr>
              <w:pStyle w:val="3"/>
              <w:pageBreakBefore w:val="0"/>
              <w:kinsoku/>
              <w:topLinePunct w:val="0"/>
              <w:bidi w:val="0"/>
              <w:spacing w:line="400" w:lineRule="exact"/>
              <w:ind w:left="0" w:leftChars="0" w:firstLine="0" w:firstLineChars="0"/>
              <w:contextualSpacing/>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各供应商应在本项目采购公告发布之日起到响应文件递交截止时间期间，通过“信用中国”网站（</w:t>
            </w:r>
            <w:r>
              <w:rPr>
                <w:rFonts w:hint="eastAsia" w:asciiTheme="minorEastAsia" w:hAnsiTheme="minorEastAsia" w:eastAsiaTheme="minorEastAsia" w:cstheme="minorEastAsia"/>
                <w:b w:val="0"/>
                <w:bCs/>
                <w:color w:val="auto"/>
                <w:sz w:val="21"/>
                <w:szCs w:val="21"/>
                <w:highlight w:val="none"/>
              </w:rPr>
              <w:fldChar w:fldCharType="begin"/>
            </w:r>
            <w:r>
              <w:rPr>
                <w:rFonts w:hint="eastAsia" w:asciiTheme="minorEastAsia" w:hAnsiTheme="minorEastAsia" w:eastAsiaTheme="minorEastAsia" w:cstheme="minorEastAsia"/>
                <w:b w:val="0"/>
                <w:bCs/>
                <w:color w:val="auto"/>
                <w:sz w:val="21"/>
                <w:szCs w:val="21"/>
                <w:highlight w:val="none"/>
              </w:rPr>
              <w:instrText xml:space="preserve"> HYPERLINK "qq://txfile/" </w:instrText>
            </w:r>
            <w:r>
              <w:rPr>
                <w:rFonts w:hint="eastAsia" w:asciiTheme="minorEastAsia" w:hAnsiTheme="minorEastAsia" w:eastAsiaTheme="minorEastAsia" w:cstheme="minorEastAsia"/>
                <w:b w:val="0"/>
                <w:bCs/>
                <w:color w:val="auto"/>
                <w:sz w:val="21"/>
                <w:szCs w:val="21"/>
                <w:highlight w:val="none"/>
              </w:rPr>
              <w:fldChar w:fldCharType="separate"/>
            </w:r>
            <w:r>
              <w:rPr>
                <w:rFonts w:hint="eastAsia" w:asciiTheme="minorEastAsia" w:hAnsiTheme="minorEastAsia" w:eastAsiaTheme="minorEastAsia" w:cstheme="minorEastAsia"/>
                <w:b w:val="0"/>
                <w:bCs/>
                <w:color w:val="auto"/>
                <w:sz w:val="21"/>
                <w:szCs w:val="21"/>
                <w:highlight w:val="none"/>
              </w:rPr>
              <w:t>www.creditchina.gov.cn</w:t>
            </w:r>
            <w:r>
              <w:rPr>
                <w:rFonts w:hint="eastAsia" w:asciiTheme="minorEastAsia" w:hAnsiTheme="minorEastAsia" w:eastAsiaTheme="minorEastAsia" w:cstheme="minorEastAsia"/>
                <w:b w:val="0"/>
                <w:bCs/>
                <w:color w:val="auto"/>
                <w:sz w:val="21"/>
                <w:szCs w:val="21"/>
                <w:highlight w:val="none"/>
              </w:rPr>
              <w:fldChar w:fldCharType="end"/>
            </w:r>
            <w:r>
              <w:rPr>
                <w:rFonts w:hint="eastAsia" w:asciiTheme="minorEastAsia" w:hAnsiTheme="minorEastAsia" w:eastAsiaTheme="minorEastAsia" w:cstheme="minorEastAsia"/>
                <w:b w:val="0"/>
                <w:bCs/>
                <w:color w:val="auto"/>
                <w:sz w:val="21"/>
                <w:szCs w:val="21"/>
                <w:highlight w:val="none"/>
              </w:rPr>
              <w:t>）、中国政府采购网（</w:t>
            </w:r>
            <w:r>
              <w:rPr>
                <w:rFonts w:hint="eastAsia" w:asciiTheme="minorEastAsia" w:hAnsiTheme="minorEastAsia" w:eastAsiaTheme="minorEastAsia" w:cstheme="minorEastAsia"/>
                <w:b w:val="0"/>
                <w:bCs/>
                <w:color w:val="auto"/>
                <w:sz w:val="21"/>
                <w:szCs w:val="21"/>
                <w:highlight w:val="none"/>
              </w:rPr>
              <w:fldChar w:fldCharType="begin"/>
            </w:r>
            <w:r>
              <w:rPr>
                <w:rFonts w:hint="eastAsia" w:asciiTheme="minorEastAsia" w:hAnsiTheme="minorEastAsia" w:eastAsiaTheme="minorEastAsia" w:cstheme="minorEastAsia"/>
                <w:b w:val="0"/>
                <w:bCs/>
                <w:color w:val="auto"/>
                <w:sz w:val="21"/>
                <w:szCs w:val="21"/>
                <w:highlight w:val="none"/>
              </w:rPr>
              <w:instrText xml:space="preserve"> HYPERLINK "qq://txfile/" </w:instrText>
            </w:r>
            <w:r>
              <w:rPr>
                <w:rFonts w:hint="eastAsia" w:asciiTheme="minorEastAsia" w:hAnsiTheme="minorEastAsia" w:eastAsiaTheme="minorEastAsia" w:cstheme="minorEastAsia"/>
                <w:b w:val="0"/>
                <w:bCs/>
                <w:color w:val="auto"/>
                <w:sz w:val="21"/>
                <w:szCs w:val="21"/>
                <w:highlight w:val="none"/>
              </w:rPr>
              <w:fldChar w:fldCharType="separate"/>
            </w:r>
            <w:r>
              <w:rPr>
                <w:rFonts w:hint="eastAsia" w:asciiTheme="minorEastAsia" w:hAnsiTheme="minorEastAsia" w:eastAsiaTheme="minorEastAsia" w:cstheme="minorEastAsia"/>
                <w:b w:val="0"/>
                <w:bCs/>
                <w:color w:val="auto"/>
                <w:sz w:val="21"/>
                <w:szCs w:val="21"/>
                <w:highlight w:val="none"/>
              </w:rPr>
              <w:t>www.ccgp.gov.cn</w:t>
            </w:r>
            <w:r>
              <w:rPr>
                <w:rFonts w:hint="eastAsia" w:asciiTheme="minorEastAsia" w:hAnsiTheme="minorEastAsia" w:eastAsiaTheme="minorEastAsia" w:cstheme="minorEastAsia"/>
                <w:b w:val="0"/>
                <w:bCs/>
                <w:color w:val="auto"/>
                <w:sz w:val="21"/>
                <w:szCs w:val="21"/>
                <w:highlight w:val="none"/>
              </w:rPr>
              <w:fldChar w:fldCharType="end"/>
            </w:r>
            <w:r>
              <w:rPr>
                <w:rFonts w:hint="eastAsia" w:asciiTheme="minorEastAsia" w:hAnsiTheme="minorEastAsia" w:eastAsiaTheme="minorEastAsia" w:cstheme="minorEastAsia"/>
                <w:b w:val="0"/>
                <w:bCs/>
                <w:color w:val="auto"/>
                <w:sz w:val="21"/>
                <w:szCs w:val="21"/>
                <w:highlight w:val="none"/>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其他</w:t>
            </w:r>
          </w:p>
        </w:tc>
        <w:tc>
          <w:tcPr>
            <w:tcW w:w="8933" w:type="dxa"/>
            <w:gridSpan w:val="2"/>
            <w:noWrap w:val="0"/>
            <w:vAlign w:val="center"/>
          </w:tcPr>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rPr>
              <w:t>品牌产品参加投标处理办法：</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6"/>
              <w:pageBreakBefore w:val="0"/>
              <w:kinsoku/>
              <w:topLinePunct w:val="0"/>
              <w:bidi w:val="0"/>
              <w:spacing w:before="0"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2.</w:t>
            </w:r>
            <w:r>
              <w:rPr>
                <w:rFonts w:hint="eastAsia" w:asciiTheme="minorEastAsia" w:hAnsiTheme="minorEastAsia" w:eastAsiaTheme="minorEastAsia" w:cstheme="minorEastAsia"/>
                <w:b w:val="0"/>
                <w:bCs/>
                <w:sz w:val="21"/>
                <w:szCs w:val="21"/>
              </w:rPr>
              <w:t>非单一产品采购项目，采购人应当根据采购项目技术构成、产品价格比重等合理确定核心产品，并在招标文件中载明。多家投标人提供的核心产品品牌相同的，按前款规定处理。</w:t>
            </w:r>
          </w:p>
          <w:p>
            <w:pPr>
              <w:pageBreakBefore w:val="0"/>
              <w:kinsoku/>
              <w:topLinePunct w:val="0"/>
              <w:bidi w:val="0"/>
              <w:snapToGrid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特别说明：</w:t>
            </w:r>
          </w:p>
          <w:p>
            <w:pPr>
              <w:pageBreakBefore w:val="0"/>
              <w:kinsoku/>
              <w:topLinePunct w:val="0"/>
              <w:bidi w:val="0"/>
              <w:snapToGrid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1.为保证本项目质量，良好的售后服务，最低报价不作为中标的唯一依据。</w:t>
            </w:r>
          </w:p>
          <w:p>
            <w:pPr>
              <w:pageBreakBefore w:val="0"/>
              <w:kinsoku/>
              <w:topLinePunct w:val="0"/>
              <w:bidi w:val="0"/>
              <w:spacing w:line="400" w:lineRule="exact"/>
              <w:ind w:left="0" w:leftChars="0"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2.采购人若发现成交候选供应商在竞标过程中提供虚假证明文件，故意隐瞒公司不良信誉和财务状况，以及存在可能对合同圆满履行造成风险的其他因素等，则按规定取消其成交资格，监管部门依法进行处理。</w:t>
            </w:r>
          </w:p>
        </w:tc>
      </w:tr>
    </w:tbl>
    <w:p>
      <w:pPr>
        <w:pStyle w:val="5"/>
        <w:spacing w:before="0" w:after="0"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bookmarkStart w:id="17" w:name="_Toc349637920"/>
      <w:bookmarkStart w:id="18" w:name="_Toc298240405"/>
      <w:bookmarkStart w:id="19" w:name="_Toc349573121"/>
      <w:bookmarkStart w:id="20" w:name="_Toc267301282"/>
      <w:bookmarkStart w:id="21" w:name="_Toc462223632"/>
      <w:r>
        <w:rPr>
          <w:rFonts w:hint="eastAsia" w:asciiTheme="minorEastAsia" w:hAnsiTheme="minorEastAsia" w:eastAsiaTheme="minorEastAsia" w:cstheme="minorEastAsia"/>
          <w:sz w:val="21"/>
          <w:szCs w:val="21"/>
        </w:rPr>
        <w:t>（一）说　明</w:t>
      </w:r>
      <w:bookmarkEnd w:id="17"/>
      <w:bookmarkEnd w:id="18"/>
      <w:bookmarkEnd w:id="19"/>
      <w:bookmarkEnd w:id="20"/>
      <w:bookmarkEnd w:id="21"/>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1、适用范围</w:t>
      </w:r>
    </w:p>
    <w:p>
      <w:pPr>
        <w:tabs>
          <w:tab w:val="left" w:pos="360"/>
        </w:tabs>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1.1本磋商文件仅适用于本次磋商邀请中所叙述项目的货物及服务采购。</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2、定义</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color w:val="000000"/>
          <w:sz w:val="21"/>
          <w:szCs w:val="21"/>
        </w:rPr>
        <w:t>1 “招标代理机构”系指宏业国际项目管理有限公司；</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 “需方”系指</w:t>
      </w:r>
      <w:r>
        <w:rPr>
          <w:rFonts w:hint="eastAsia" w:asciiTheme="minorEastAsia" w:hAnsiTheme="minorEastAsia" w:eastAsiaTheme="minorEastAsia" w:cstheme="minorEastAsia"/>
          <w:color w:val="000000"/>
          <w:sz w:val="21"/>
          <w:szCs w:val="21"/>
          <w:lang w:eastAsia="zh-CN"/>
        </w:rPr>
        <w:t>新疆维吾尔自治区自然资源规划研究院</w:t>
      </w:r>
      <w:r>
        <w:rPr>
          <w:rFonts w:hint="eastAsia" w:asciiTheme="minorEastAsia" w:hAnsiTheme="minorEastAsia" w:eastAsiaTheme="minorEastAsia" w:cstheme="minorEastAsia"/>
          <w:color w:val="000000"/>
          <w:sz w:val="21"/>
          <w:szCs w:val="21"/>
        </w:rPr>
        <w:t>；</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 “磋商供应商”系指向招标代理机构提交磋商响应性文件的制造商或代理商；</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 “成交方”系指在本次磋商中成交，将被授予合同的供应商，即成为“成交方”。</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3、合格的供应商</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 有能力提供磋商文件中所要求的货物及服务、资格审查合格的制造商或代理商为合格的供应商；</w:t>
      </w:r>
    </w:p>
    <w:p>
      <w:pPr>
        <w:spacing w:line="400" w:lineRule="exact"/>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3.2 供应商必须遵守有关的国内法律和规章条例。</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4、供应商资格</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1.落实政府采购政策需满足的资格要求：详见政府采购法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2.满足《中华人民共和国政府采购法》第二十二条规定；并提供下列材料：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（1）具有独立承担民事责任的能力；投标人提供营业执照等证明文件，分公司投标的需提供具有法人资格的总公司的营业执照复印件及授权书，并加盖公司公章。</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（2）具有良好的商业信誉和健全的财务会计制度；财务状况报告，依法缴纳税收的相关材料。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（3）具有履行合同所需的设备和专业技术能力的证明材料；</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（4）有依法缴纳税收和社会保障资金的良好记录；</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（5）参加政府采购活动前3年内,在经营活动中没有重大违法记录的书面声明；</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3.单位负责人为同一人或者存在直接控股、管理关系的不同投标人，不得参加同一合同项下的政府采购活动。否则，皆取消投标资格；</w:t>
      </w:r>
    </w:p>
    <w:p>
      <w:pPr>
        <w:spacing w:line="560" w:lineRule="exact"/>
        <w:ind w:firstLine="420" w:firstLineChars="200"/>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val="en-US" w:eastAsia="zh-CN" w:bidi="ar-SA"/>
        </w:rPr>
        <w:t>4.本项目不接受投标人以联合体方式进行投标；</w:t>
      </w:r>
    </w:p>
    <w:p>
      <w:pPr>
        <w:spacing w:line="56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highlight w:val="none"/>
          <w:lang w:val="en-US" w:eastAsia="zh-CN" w:bidi="ar-SA"/>
        </w:rPr>
        <w:t>5.经信用中国（www.creditchina.gov.cn）、中国政府采购网（www.ccgp.gov.cn）等渠道查询后，列入失信被执行人、重大税收违法案件当事人名单、政府采购严重违法失信行为记录名单的，取消投标资格。（提供“信用中国”网站无任何不良记录的查询截图，时间为投标截止时间前20天内）</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5、磋商费用</w:t>
      </w:r>
    </w:p>
    <w:p>
      <w:pPr>
        <w:spacing w:line="400" w:lineRule="exact"/>
        <w:ind w:firstLine="210" w:firstLineChars="1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5.1 无论磋商过程中的作法和结果如何，供应商将自行承担所有与参加磋商有关的全部费用。</w:t>
      </w:r>
      <w:bookmarkStart w:id="22" w:name="_Toc267301283"/>
      <w:bookmarkStart w:id="23" w:name="_Toc349573122"/>
      <w:bookmarkStart w:id="24" w:name="_Toc349637921"/>
      <w:bookmarkStart w:id="25" w:name="_Toc298240406"/>
    </w:p>
    <w:p>
      <w:pPr>
        <w:pStyle w:val="5"/>
        <w:spacing w:before="0" w:after="0" w:line="400" w:lineRule="exact"/>
        <w:jc w:val="center"/>
        <w:rPr>
          <w:rFonts w:hint="eastAsia" w:asciiTheme="minorEastAsia" w:hAnsiTheme="minorEastAsia" w:eastAsiaTheme="minorEastAsia" w:cstheme="minorEastAsia"/>
          <w:sz w:val="21"/>
          <w:szCs w:val="21"/>
        </w:rPr>
      </w:pPr>
      <w:bookmarkStart w:id="26" w:name="_Toc462223633"/>
      <w:r>
        <w:rPr>
          <w:rFonts w:hint="eastAsia" w:asciiTheme="minorEastAsia" w:hAnsiTheme="minorEastAsia" w:eastAsiaTheme="minorEastAsia" w:cstheme="minorEastAsia"/>
          <w:sz w:val="21"/>
          <w:szCs w:val="21"/>
        </w:rPr>
        <w:t>（二）磋商文件</w:t>
      </w:r>
      <w:bookmarkEnd w:id="22"/>
      <w:bookmarkEnd w:id="23"/>
      <w:bookmarkEnd w:id="24"/>
      <w:bookmarkEnd w:id="25"/>
      <w:bookmarkEnd w:id="26"/>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6、磋商文件构成</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6.1磋商文件包括：</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⑴磋商公告；</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⑵供应商须知；</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⑶项目需求；</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⑷合同条款；</w:t>
      </w:r>
    </w:p>
    <w:p>
      <w:pPr>
        <w:spacing w:line="400" w:lineRule="exact"/>
        <w:ind w:firstLine="2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⑸附件。</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 磋商文件以中文编写。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7、磋商文件澄清</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 供应商对磋商文件有疑问的，可以向招标代理机构提出询问，招标代理机构将及时做出答复；</w:t>
      </w:r>
    </w:p>
    <w:p>
      <w:pPr>
        <w:spacing w:line="400" w:lineRule="exact"/>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 供应商对磋商文件有质疑，须在磋商响应文件递交截止时间3日以前，以书面形式向招标机构提出质疑；招标机构在收到书面质疑后尽快做出答复，并以书面形式通知质疑供应商。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8、磋商文件的修改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对磋商文件进行必要的修改，招标代理机构将在投标截止时间2日前以书面形式通知所有购买磋商文件的供应商。该修改的内容为磋商文件的组成部分；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 供应商在规定的时间内未对磋商文件提出澄清要求的，招标代理机构将视其为同意。</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8.3在投标截止时间前，招标机构可视具体情况延长磋商截止时间，并将变更时间书面通知所有购买磋商文件的供应商。</w:t>
      </w:r>
    </w:p>
    <w:p>
      <w:pPr>
        <w:pStyle w:val="5"/>
        <w:spacing w:before="0" w:after="0" w:line="400" w:lineRule="exact"/>
        <w:jc w:val="center"/>
        <w:rPr>
          <w:rFonts w:hint="eastAsia" w:asciiTheme="minorEastAsia" w:hAnsiTheme="minorEastAsia" w:eastAsiaTheme="minorEastAsia" w:cstheme="minorEastAsia"/>
          <w:sz w:val="21"/>
          <w:szCs w:val="21"/>
        </w:rPr>
      </w:pPr>
      <w:bookmarkStart w:id="27" w:name="_Toc462223634"/>
      <w:bookmarkStart w:id="28" w:name="_Toc267301284"/>
      <w:bookmarkStart w:id="29" w:name="_Toc349637922"/>
      <w:bookmarkStart w:id="30" w:name="_Toc349573123"/>
      <w:bookmarkStart w:id="31" w:name="_Toc298240407"/>
      <w:r>
        <w:rPr>
          <w:rFonts w:hint="eastAsia" w:asciiTheme="minorEastAsia" w:hAnsiTheme="minorEastAsia" w:eastAsiaTheme="minorEastAsia" w:cstheme="minorEastAsia"/>
          <w:sz w:val="21"/>
          <w:szCs w:val="21"/>
        </w:rPr>
        <w:t>（三）磋商响应性文件的编写</w:t>
      </w:r>
      <w:bookmarkEnd w:id="27"/>
      <w:bookmarkEnd w:id="28"/>
      <w:bookmarkEnd w:id="29"/>
      <w:bookmarkEnd w:id="30"/>
      <w:bookmarkEnd w:id="31"/>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9、要求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 供应商应仔细阅读磋商文件的所有内容，按磋商文件的要求提供磋商响应性文件，并保证所提供的全部资料的真实性，以使其磋商响应对磋商文件作出实质性响应，否则，其磋商可能被拒绝。</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10、磋商语言</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磋商响应性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11、磋商响应性文件的构成</w:t>
      </w:r>
    </w:p>
    <w:p>
      <w:pPr>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11.1 供应商编写的磋商响应性文件应包括下列内容：</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1）磋 商 响 应 函</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2）法定代表人身份证明</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3）法定代表人授权委托书</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4）磋商报价表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5）商务偏离表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6）技术偏离表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7）公司业绩一览表</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8）优惠条件承诺书</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9）售后服务承诺</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 无重大违法记录声明</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11)供应商反商业贿赂承诺书</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12）中小微企业证明文件等（如有）</w:t>
      </w:r>
    </w:p>
    <w:p>
      <w:pPr>
        <w:snapToGrid w:val="0"/>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13）投标人认为有必要提交的其他相关证明材料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11.2供应商应将磋商响应性文件装订成册，并填写文件资</w:t>
      </w:r>
      <w:r>
        <w:rPr>
          <w:rFonts w:hint="eastAsia" w:asciiTheme="minorEastAsia" w:hAnsiTheme="minorEastAsia" w:eastAsiaTheme="minorEastAsia" w:cstheme="minorEastAsia"/>
          <w:sz w:val="21"/>
          <w:szCs w:val="21"/>
        </w:rPr>
        <w:t>料清单。</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12、磋商响应文件格式</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 供应商应按磋商文件的范本格式中提供的文件格式填写。</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13、磋商报价</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 供应商应在磋商报价表上标明单价和总价。单价和总价要相符。小写和大写要相符。供应商应在磋商报价表中标明其提供的所有服务及其相关工作范围内所有费用的总价，不接受有任何选择性磋商报价。</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13.2算术性修正。算术性修正是指对磋商响应文件的报价明细进行校核，并对其算术上和运算上的差错给予修正。修正的原则如下：</w:t>
      </w:r>
    </w:p>
    <w:p>
      <w:pPr>
        <w:spacing w:line="400" w:lineRule="exact"/>
        <w:ind w:left="240" w:hanging="210" w:hanging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13.2.1 当以数字表示的金额与文字表示的金额有差异时，以文字表示的金额为准；</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13.2.2 当单价与数量相乘不等于合价时，以单价计算为准。如果单价有明显的小数点位置差错，应以标出的合价为准，同时对单价予以修正；</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13.2.3 当各明细部分的价格累计不等于合价时，应以各明细的累计计数为准，修正合价。</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13.2.4 按以上原则对算术性差错修正，应取得供应商的同意，并确认修正后最终磋商报价。如果供应商拒绝确认，则其磋商响应文件将不予以评审并按废标处理，没收其投标担保。</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14、投标货币</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14.1人民币报价。</w:t>
      </w:r>
    </w:p>
    <w:p>
      <w:pPr>
        <w:pageBreakBefore w:val="0"/>
        <w:numPr>
          <w:ilvl w:val="0"/>
          <w:numId w:val="0"/>
        </w:numPr>
        <w:kinsoku/>
        <w:topLinePunct w:val="0"/>
        <w:bidi w:val="0"/>
        <w:spacing w:line="400" w:lineRule="exact"/>
        <w:jc w:val="both"/>
        <w:rPr>
          <w:rFonts w:hint="eastAsia" w:ascii="宋体" w:hAnsi="宋体" w:eastAsia="宋体" w:cs="宋体"/>
          <w:b w:val="0"/>
          <w:bCs/>
          <w:color w:val="auto"/>
          <w:kern w:val="0"/>
          <w:sz w:val="21"/>
          <w:szCs w:val="21"/>
          <w:highlight w:val="none"/>
        </w:rPr>
      </w:pPr>
      <w:r>
        <w:rPr>
          <w:rFonts w:hint="eastAsia" w:asciiTheme="minorEastAsia" w:hAnsiTheme="minorEastAsia" w:eastAsiaTheme="minorEastAsia" w:cstheme="minorEastAsia"/>
          <w:sz w:val="21"/>
          <w:szCs w:val="21"/>
        </w:rPr>
        <w:t>15、</w:t>
      </w:r>
      <w:r>
        <w:rPr>
          <w:rFonts w:hint="eastAsia" w:ascii="宋体" w:hAnsi="宋体" w:eastAsia="宋体" w:cs="宋体"/>
          <w:b w:val="0"/>
          <w:bCs/>
          <w:color w:val="auto"/>
          <w:kern w:val="0"/>
          <w:sz w:val="21"/>
          <w:szCs w:val="21"/>
          <w:highlight w:val="none"/>
        </w:rPr>
        <w:t>中小微型企业有关政策</w:t>
      </w:r>
    </w:p>
    <w:p>
      <w:pPr>
        <w:pageBreakBefore w:val="0"/>
        <w:numPr>
          <w:ilvl w:val="0"/>
          <w:numId w:val="0"/>
        </w:numPr>
        <w:kinsoku/>
        <w:topLinePunct w:val="0"/>
        <w:bidi w:val="0"/>
        <w:spacing w:line="400" w:lineRule="exact"/>
        <w:ind w:leftChars="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p>
      <w:pPr>
        <w:pageBreakBefore w:val="0"/>
        <w:kinsoku/>
        <w:topLinePunct w:val="0"/>
        <w:bidi w:val="0"/>
        <w:spacing w:line="400" w:lineRule="exact"/>
        <w:ind w:left="0" w:leftChars="0" w:firstLine="0" w:firstLineChars="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价格扣除幅度：价格给予6 %的扣除</w:t>
      </w:r>
    </w:p>
    <w:p>
      <w:pPr>
        <w:pStyle w:val="33"/>
        <w:spacing w:before="0" w:beforeAutospacing="0" w:after="0" w:afterAutospacing="0"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15.6单位负责人为同一人或者存在直接控股、管理关系的不同投标人，不得同时参加本项目的竞争。 </w:t>
      </w:r>
    </w:p>
    <w:p>
      <w:pPr>
        <w:tabs>
          <w:tab w:val="left" w:pos="252"/>
          <w:tab w:val="left" w:pos="671"/>
        </w:tabs>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注：（1）磋商响应性文件中，所有供应商签字、法人代表签字、法人代表授权人签字和其它签字处必须签字有效；</w:t>
      </w:r>
    </w:p>
    <w:p>
      <w:pPr>
        <w:spacing w:line="400" w:lineRule="exact"/>
        <w:ind w:firstLine="735" w:firstLineChars="3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（2）所有资格证明文件必须满足磋商文件要求，否则将导致废标。</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16、参数符合磋商文件规定的技术要求</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16.1供应商提交的成果资料符合磋商文件规定的要求，作为磋商响应文件的一部分。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17、磋商的有效期</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 磋商响应文件从磋商之日起，投标有效期为60天。（如不满足将导致废标）</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17.2 在特殊情况下，招标代理机构可与供应商商量延长磋商响应文件的有效期。</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18、磋商响应性文件的书写要求。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 磋商响应性文件须打印。</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 磋商响应性文件应清楚工整，修改处应由磋商供应商全权代表签章。</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18.3</w:t>
      </w:r>
      <w:r>
        <w:rPr>
          <w:rFonts w:hint="eastAsia" w:asciiTheme="minorEastAsia" w:hAnsiTheme="minorEastAsia" w:eastAsiaTheme="minorEastAsia" w:cstheme="minorEastAsia"/>
          <w:b/>
          <w:sz w:val="21"/>
          <w:szCs w:val="21"/>
        </w:rPr>
        <w:t>磋商响应性文件中要求由投标人法定代表人或被授权人签字的内容必须签字、盖章的内容必须盖章，否则视为无效投标。</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18.4电报、电话、传真形式的投标概不接受。</w:t>
      </w:r>
    </w:p>
    <w:p>
      <w:pPr>
        <w:spacing w:line="400" w:lineRule="exact"/>
        <w:ind w:firstLine="210" w:firstLineChars="1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sz w:val="21"/>
          <w:szCs w:val="21"/>
        </w:rPr>
        <w:t>18.5磋商响应文件的份数</w:t>
      </w:r>
      <w:r>
        <w:rPr>
          <w:rFonts w:hint="eastAsia" w:asciiTheme="minorEastAsia" w:hAnsiTheme="minorEastAsia" w:eastAsiaTheme="minorEastAsia" w:cstheme="minorEastAsia"/>
          <w:bCs/>
          <w:color w:val="auto"/>
          <w:sz w:val="21"/>
          <w:szCs w:val="21"/>
        </w:rPr>
        <w:t>：正本1份，副本2份，开标一览表1份，电子U盘1份，光盘</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份。</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19、投标保证金</w:t>
      </w:r>
    </w:p>
    <w:p>
      <w:pPr>
        <w:spacing w:line="400" w:lineRule="exact"/>
        <w:ind w:left="360" w:hanging="315" w:hanging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19.1供应商按照供应商须知附表中要求缴纳磋商响应保证金。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19.2本次招标接受网银或电汇等非</w:t>
      </w:r>
      <w:r>
        <w:rPr>
          <w:rFonts w:hint="eastAsia" w:asciiTheme="minorEastAsia" w:hAnsiTheme="minorEastAsia" w:eastAsiaTheme="minorEastAsia" w:cstheme="minorEastAsia"/>
          <w:sz w:val="21"/>
          <w:szCs w:val="21"/>
        </w:rPr>
        <w:t>现金方式缴纳作为磋商保证金，磋商保证金有效期应当与磋商响应有效期一致。</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19.3磋商保证金的退还时间：</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19.3.1中标供应商的投标保证金，将在合同签订后的5个工作日内予以退还；未中标供应商的投标保证金在中标通知书发出后5个工作日内予以退还。</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19.4未按规定提交磋商保证金的投标，将被视为磋商无效。</w:t>
      </w:r>
    </w:p>
    <w:p>
      <w:pPr>
        <w:pStyle w:val="23"/>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19.5下列任何情况发生时，磋商保证金将被没收：</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19.5.1供应商在磋商文件规定的投标有效期内撤回其磋商；</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19.5.2成交方在规定期限内未能：</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19.5.2.1按本须知第31条规定签订合同；</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19.5.2.2按须知第32条向买方提交履约保证金；</w:t>
      </w:r>
    </w:p>
    <w:p>
      <w:pPr>
        <w:pStyle w:val="23"/>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19.5.2.3按本须知第33条规定向招标代理机构交纳代理服务费。</w:t>
      </w:r>
    </w:p>
    <w:p>
      <w:pPr>
        <w:pStyle w:val="5"/>
        <w:spacing w:before="0" w:after="0" w:line="400" w:lineRule="exact"/>
        <w:jc w:val="center"/>
        <w:rPr>
          <w:rFonts w:hint="eastAsia" w:asciiTheme="minorEastAsia" w:hAnsiTheme="minorEastAsia" w:eastAsiaTheme="minorEastAsia" w:cstheme="minorEastAsia"/>
          <w:sz w:val="21"/>
          <w:szCs w:val="21"/>
        </w:rPr>
      </w:pPr>
      <w:bookmarkStart w:id="32" w:name="_Toc298240408"/>
      <w:bookmarkStart w:id="33" w:name="_Toc462223635"/>
      <w:bookmarkStart w:id="34" w:name="_Toc267301285"/>
      <w:bookmarkStart w:id="35" w:name="_Toc349573124"/>
      <w:bookmarkStart w:id="36" w:name="_Toc349637923"/>
      <w:r>
        <w:rPr>
          <w:rFonts w:hint="eastAsia" w:asciiTheme="minorEastAsia" w:hAnsiTheme="minorEastAsia" w:eastAsiaTheme="minorEastAsia" w:cstheme="minorEastAsia"/>
          <w:sz w:val="21"/>
          <w:szCs w:val="21"/>
        </w:rPr>
        <w:t>（四）磋商响应文件的递交</w:t>
      </w:r>
      <w:bookmarkEnd w:id="32"/>
      <w:bookmarkEnd w:id="33"/>
      <w:bookmarkEnd w:id="34"/>
      <w:bookmarkEnd w:id="35"/>
      <w:bookmarkEnd w:id="36"/>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20、磋商响应性文件的密封与标记</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 供应商应将磋商响应性文件正本副本、开标一览表、电子版分别密封，在每个密封件的封面上标明：</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招标机构：</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项目名称：</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项目编号：</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磋商单位名称：</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磋商单位地址：</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联系人及联系方式</w:t>
      </w:r>
    </w:p>
    <w:p>
      <w:pPr>
        <w:numPr>
          <w:ilvl w:val="0"/>
          <w:numId w:val="0"/>
        </w:numPr>
        <w:tabs>
          <w:tab w:val="left" w:pos="1080"/>
        </w:tabs>
        <w:spacing w:line="400" w:lineRule="exact"/>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注明“开标时才能启封”</w:t>
      </w:r>
    </w:p>
    <w:p>
      <w:pPr>
        <w:spacing w:line="400" w:lineRule="exact"/>
        <w:ind w:left="361" w:hanging="316" w:hangingChars="1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20.2</w:t>
      </w:r>
      <w:r>
        <w:rPr>
          <w:rFonts w:hint="eastAsia" w:asciiTheme="minorEastAsia" w:hAnsiTheme="minorEastAsia" w:eastAsiaTheme="minorEastAsia" w:cstheme="minorEastAsia"/>
          <w:sz w:val="21"/>
          <w:szCs w:val="21"/>
        </w:rPr>
        <w:t>为方便磋商，磋商报价表单独密封，并在信封上标明“开标一览表”字样。</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20.3磋商响应文件装订要求：磋商响应文件要求不得活页装订</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21、磋商响应文件递交截止时间</w:t>
      </w:r>
    </w:p>
    <w:p>
      <w:pPr>
        <w:spacing w:line="400" w:lineRule="exact"/>
        <w:ind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21.1磋商响应文件的递交截止时间</w:t>
      </w:r>
      <w:r>
        <w:rPr>
          <w:rFonts w:hint="eastAsia" w:asciiTheme="minorEastAsia" w:hAnsiTheme="minorEastAsia" w:eastAsiaTheme="minorEastAsia" w:cstheme="minorEastAsia"/>
          <w:sz w:val="21"/>
          <w:szCs w:val="21"/>
          <w:lang w:eastAsia="zh-CN"/>
        </w:rPr>
        <w:t>通前附表。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磋商响应文件以密封形式递交至：开标现场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 所有磋商响应文件都必须按招标代理机构在磋商邀请中规定的投标截止时间之前送到磋商文件规定的地点。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21.3 出现第8.2款因磋商文件的修改推迟投标截止时间时，则按招标代理机构修改通知规定的时间递交。</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22、磋商响应文件的修改和撤销</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22.1 供应商在提交磋商响应文件后可对其磋商响应文件进行修改或撤销，但招标代理机构须在投标截止时间之前收到该修改或撤销的书面通知，该通知须有经正式授权的供应商代表签字。</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22.2供应商不得在磋商时间起至磋商有效期期满前撤销磋商响应文件。否则招标代理机构将没收其磋商保证金。</w:t>
      </w:r>
    </w:p>
    <w:p>
      <w:pPr>
        <w:pStyle w:val="5"/>
        <w:spacing w:before="0" w:after="0" w:line="400" w:lineRule="exact"/>
        <w:jc w:val="center"/>
        <w:rPr>
          <w:rFonts w:hint="eastAsia" w:asciiTheme="minorEastAsia" w:hAnsiTheme="minorEastAsia" w:eastAsiaTheme="minorEastAsia" w:cstheme="minorEastAsia"/>
          <w:sz w:val="21"/>
          <w:szCs w:val="21"/>
        </w:rPr>
      </w:pPr>
      <w:bookmarkStart w:id="37" w:name="_Toc267301286"/>
      <w:bookmarkStart w:id="38" w:name="_Toc298240409"/>
      <w:bookmarkStart w:id="39" w:name="_Toc349637924"/>
      <w:bookmarkStart w:id="40" w:name="_Toc462223636"/>
      <w:bookmarkStart w:id="41" w:name="_Toc349573125"/>
      <w:r>
        <w:rPr>
          <w:rFonts w:hint="eastAsia" w:asciiTheme="minorEastAsia" w:hAnsiTheme="minorEastAsia" w:eastAsiaTheme="minorEastAsia" w:cstheme="minorEastAsia"/>
          <w:sz w:val="21"/>
          <w:szCs w:val="21"/>
        </w:rPr>
        <w:t>（五）磋商程序</w:t>
      </w:r>
      <w:bookmarkEnd w:id="37"/>
      <w:bookmarkEnd w:id="38"/>
      <w:bookmarkEnd w:id="39"/>
      <w:bookmarkEnd w:id="40"/>
      <w:bookmarkEnd w:id="41"/>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23、磋商</w:t>
      </w:r>
    </w:p>
    <w:p>
      <w:pPr>
        <w:spacing w:line="400" w:lineRule="exact"/>
        <w:ind w:left="360" w:hanging="315" w:hangingChars="1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23.1磋商时，采购人将对供应商进行资格初审。</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供应商应在密封的磋商响应文件之外随身携带：</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eastAsia="zh-CN"/>
        </w:rPr>
        <w:t>三证合一营业执照原件； </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（2）供应商提供授权委托书原件及被授权人身份证原件（或者法定代表人身份证明书及法定代表人身份证）； </w:t>
      </w:r>
    </w:p>
    <w:p>
      <w:pPr>
        <w:pStyle w:val="33"/>
        <w:spacing w:before="0" w:beforeAutospacing="0" w:after="0" w:afterAutospacing="0"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spacing w:line="400" w:lineRule="exact"/>
        <w:ind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（4）投标保证金</w:t>
      </w:r>
      <w:r>
        <w:rPr>
          <w:rFonts w:hint="eastAsia" w:asciiTheme="minorEastAsia" w:hAnsiTheme="minorEastAsia" w:eastAsiaTheme="minorEastAsia" w:cstheme="minorEastAsia"/>
          <w:color w:val="000000"/>
          <w:sz w:val="21"/>
          <w:szCs w:val="21"/>
          <w:lang w:eastAsia="zh-CN"/>
        </w:rPr>
        <w:t>缴纳凭证加盖公章。</w:t>
      </w:r>
    </w:p>
    <w:p>
      <w:pPr>
        <w:spacing w:line="400" w:lineRule="exact"/>
        <w:ind w:firstLine="422"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注：</w:t>
      </w:r>
      <w:r>
        <w:rPr>
          <w:rFonts w:hint="eastAsia" w:asciiTheme="minorEastAsia" w:hAnsiTheme="minorEastAsia" w:eastAsiaTheme="minorEastAsia" w:cstheme="minorEastAsia"/>
          <w:b/>
          <w:sz w:val="21"/>
          <w:szCs w:val="21"/>
        </w:rPr>
        <w:t>营业执照、保证金</w:t>
      </w:r>
      <w:r>
        <w:rPr>
          <w:rFonts w:hint="eastAsia" w:asciiTheme="minorEastAsia" w:hAnsiTheme="minorEastAsia" w:eastAsiaTheme="minorEastAsia" w:cstheme="minorEastAsia"/>
          <w:b/>
          <w:sz w:val="21"/>
          <w:szCs w:val="21"/>
          <w:lang w:eastAsia="zh-CN"/>
        </w:rPr>
        <w:t>缴纳凭证</w:t>
      </w:r>
      <w:r>
        <w:rPr>
          <w:rFonts w:hint="eastAsia" w:asciiTheme="minorEastAsia" w:hAnsiTheme="minorEastAsia" w:eastAsiaTheme="minorEastAsia" w:cstheme="minorEastAsia"/>
          <w:b/>
          <w:sz w:val="21"/>
          <w:szCs w:val="21"/>
        </w:rPr>
        <w:t>、法人授权委托书及被授权人身份证（如为法人投标，提供法人身份证明和身份证）为原件单独提交审核；其他</w:t>
      </w:r>
      <w:r>
        <w:rPr>
          <w:rFonts w:hint="eastAsia" w:asciiTheme="minorEastAsia" w:hAnsiTheme="minorEastAsia" w:eastAsiaTheme="minorEastAsia" w:cstheme="minorEastAsia"/>
          <w:b/>
          <w:bCs/>
          <w:color w:val="000000"/>
          <w:sz w:val="21"/>
          <w:szCs w:val="21"/>
        </w:rPr>
        <w:t>资格审查</w:t>
      </w:r>
      <w:r>
        <w:rPr>
          <w:rFonts w:hint="eastAsia" w:asciiTheme="minorEastAsia" w:hAnsiTheme="minorEastAsia" w:eastAsiaTheme="minorEastAsia" w:cstheme="minorEastAsia"/>
          <w:b/>
          <w:sz w:val="21"/>
          <w:szCs w:val="21"/>
        </w:rPr>
        <w:t>为复印件加盖公章单独提交审核（资格审查文件开标会议现场提交供采购人检查），并将所有资格审查复印件胶装在投标文件中，不合格或缺少一项将被认为资格审查不合格，将取消其竞标资格。</w:t>
      </w:r>
    </w:p>
    <w:p>
      <w:pPr>
        <w:spacing w:line="400" w:lineRule="exact"/>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以备磋商前做初步的审查，确认其是否已具备提交磋商响应文件的资格。但该初步审查并不妨碍磋商小组对供应商进行的进一步资格详细审查。</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23.2本次磋商按磋商文件中磋商邀请规定的时间地点进行磋商，</w:t>
      </w:r>
      <w:r>
        <w:rPr>
          <w:rFonts w:hint="eastAsia" w:asciiTheme="minorEastAsia" w:hAnsiTheme="minorEastAsia" w:eastAsiaTheme="minorEastAsia" w:cstheme="minorEastAsia"/>
          <w:sz w:val="21"/>
          <w:szCs w:val="21"/>
        </w:rPr>
        <w:t>将邀请供应商的法定代表人或其授权委托人准时参加磋商会。</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23.3宣布磋商响应文件开启顺序。</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23.4磋商时检查磋商响应文件密封情况。</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23.5磋商原则在磋商会议上宣布。</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23.6 对采购方的纪律要求</w:t>
      </w:r>
    </w:p>
    <w:p>
      <w:pPr>
        <w:spacing w:line="4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采购方不得泄露磋商活动中应当保密的情况和资料，不得与供应商串通损害国家利益、社会公共利益或者他人合法权益。</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23.7对供应商的纪律要求</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23.8 对与磋商活动有关的工作人员的纪律要求</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23.9对磋商小组成员要求磋商纪律</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23.9.1磋商小组应当依照有关法律法规的规定，按照磋商文件确定的磋商标准和办法客观、公正的对磋商响应文件提出评审意见。磋商文件设有规定的磋商标准和方法不得作为磋商依据。</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23.9.2磋商小组成员不得私下接触供应商，不得收受供应商给予的财务或者其他好处，不得向采购方征询确定成交方意向。</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23.9.3不得接受任何单位或个人明示或暗示提出的倾向或排斥特定供应商的要求。</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23.9.4不得有其他不客观，不公正履行职务的行为。</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24、磋商过程</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24.1 磋商的依据为磋商文件和磋商响应文件。</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24.2 磋商后磋商小组审查磋商响应文件是否完整，是否有计算错误，要求的保证金是否提供，文件是否恰当地签署。</w:t>
      </w:r>
    </w:p>
    <w:p>
      <w:pPr>
        <w:pStyle w:val="2"/>
        <w:rPr>
          <w:rFonts w:hint="eastAsia"/>
        </w:rPr>
      </w:pPr>
    </w:p>
    <w:tbl>
      <w:tblPr>
        <w:tblStyle w:val="36"/>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1"/>
        <w:gridCol w:w="4340"/>
        <w:gridCol w:w="732"/>
        <w:gridCol w:w="720"/>
        <w:gridCol w:w="684"/>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817"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项目</w:t>
            </w:r>
          </w:p>
        </w:tc>
        <w:tc>
          <w:tcPr>
            <w:tcW w:w="4961" w:type="dxa"/>
            <w:gridSpan w:val="2"/>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  审  内  容</w:t>
            </w:r>
          </w:p>
        </w:tc>
        <w:tc>
          <w:tcPr>
            <w:tcW w:w="732"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投标人1</w:t>
            </w:r>
          </w:p>
        </w:tc>
        <w:tc>
          <w:tcPr>
            <w:tcW w:w="72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投标人2</w:t>
            </w:r>
          </w:p>
        </w:tc>
        <w:tc>
          <w:tcPr>
            <w:tcW w:w="684"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投标人3</w:t>
            </w:r>
          </w:p>
        </w:tc>
        <w:tc>
          <w:tcPr>
            <w:tcW w:w="84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17" w:type="dxa"/>
            <w:vMerge w:val="restart"/>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合</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性</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投标报价是否高于本项目的最高限价；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投标文件的</w:t>
            </w:r>
            <w:r>
              <w:rPr>
                <w:rFonts w:hint="eastAsia" w:ascii="宋体" w:hAnsi="宋体" w:eastAsia="宋体" w:cs="宋体"/>
                <w:sz w:val="21"/>
                <w:szCs w:val="21"/>
                <w:lang w:eastAsia="zh-CN"/>
              </w:rPr>
              <w:t>服务</w:t>
            </w:r>
            <w:r>
              <w:rPr>
                <w:rFonts w:hint="eastAsia" w:ascii="宋体" w:hAnsi="宋体" w:eastAsia="宋体" w:cs="宋体"/>
                <w:sz w:val="21"/>
                <w:szCs w:val="21"/>
              </w:rPr>
              <w:t>期</w:t>
            </w:r>
            <w:r>
              <w:rPr>
                <w:rFonts w:hint="eastAsia" w:ascii="宋体" w:hAnsi="宋体" w:eastAsia="宋体" w:cs="宋体"/>
                <w:sz w:val="21"/>
                <w:szCs w:val="21"/>
                <w:lang w:eastAsia="zh-CN"/>
              </w:rPr>
              <w:t>（工期）</w:t>
            </w:r>
            <w:r>
              <w:rPr>
                <w:rFonts w:hint="eastAsia" w:ascii="宋体" w:hAnsi="宋体" w:eastAsia="宋体" w:cs="宋体"/>
                <w:sz w:val="21"/>
                <w:szCs w:val="21"/>
              </w:rPr>
              <w:t>是否超过采购文件规定期限；</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投标保证金的缴纳主体是否与投标人一致、提供投标担保或者所提供的投标担保不符合采购文件要求；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zh-CN"/>
              </w:rPr>
              <w:t>投标货物的应标参数</w:t>
            </w:r>
            <w:r>
              <w:rPr>
                <w:rFonts w:hint="eastAsia" w:ascii="宋体" w:hAnsi="宋体" w:eastAsia="宋体" w:cs="宋体"/>
                <w:sz w:val="21"/>
                <w:szCs w:val="21"/>
              </w:rPr>
              <w:t>是否满足采购文件技术要求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投标文件是否按采购文件规定格式完整提供、且按采购文件要求签字或盖章；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企业信誉（信用查询）是否满足采购文件的要求；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法定代表人身份证明书及法定代表人授权委托书是否按采购文件规定格式完整提供、并按采购文件要求签字盖章。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文件需求</w:t>
            </w:r>
            <w:r>
              <w:rPr>
                <w:rFonts w:hint="eastAsia" w:ascii="宋体" w:hAnsi="宋体" w:eastAsia="宋体" w:cs="宋体"/>
                <w:sz w:val="21"/>
                <w:szCs w:val="21"/>
                <w:lang w:eastAsia="zh-CN"/>
              </w:rPr>
              <w:t>没有采购人不可接收的</w:t>
            </w:r>
            <w:r>
              <w:rPr>
                <w:rFonts w:hint="eastAsia" w:ascii="宋体" w:hAnsi="宋体" w:eastAsia="宋体" w:cs="宋体"/>
                <w:sz w:val="21"/>
                <w:szCs w:val="21"/>
              </w:rPr>
              <w:t>重大偏离</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10</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投标文件是否附有采购人不能接受的条件</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投标文件封面右上角是否注明“正本”或“副本”字样；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是否满足采购文件实质性要求的其他情形</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评标委员会成员签名：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24.3 在对磋商响应文件进行详细评估之前，磋商小组将依据供应商提供的资格证明文件审查供应商的财务、技术和生产能力。如果确定供应商无资格履行合同，其投标将被拒绝。</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25、磋商响应文件的澄清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25.2 要澄清的答复应是书面的，但不得对磋商内容进行实质性修改。澄清文件须由供应商法人代表或法人授权代表签字和/或加盖公章并作为磋商响应文件的组成部分。</w:t>
      </w:r>
    </w:p>
    <w:p>
      <w:pPr>
        <w:spacing w:line="400" w:lineRule="exact"/>
        <w:ind w:left="360" w:hanging="315" w:hanging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25.3 磋商结束后，磋商小组要求所有参加磋商的供应商在规定的时间内进行最后报价。</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26、确定成交供应商的办法</w:t>
      </w:r>
    </w:p>
    <w:p>
      <w:pPr>
        <w:spacing w:line="400" w:lineRule="exact"/>
        <w:ind w:firstLine="210" w:firstLineChars="1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26.1磋商小组按照磋商文件要求对磋商响应文件中的供应商资格、供应商资格证明文件、重要技术指标以及技术和商务上要求的其它重要内容进行审核。</w:t>
      </w:r>
    </w:p>
    <w:p>
      <w:pPr>
        <w:spacing w:line="400" w:lineRule="atLeas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26.2磋商小组和供应商磋商过程中作出的书面承诺是否符合磋商文件中对质量、技术和服务的要求。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26.3</w:t>
      </w:r>
      <w:r>
        <w:rPr>
          <w:rFonts w:hint="eastAsia" w:asciiTheme="minorEastAsia" w:hAnsiTheme="minorEastAsia" w:eastAsiaTheme="minorEastAsia" w:cstheme="minorEastAsia"/>
          <w:sz w:val="21"/>
          <w:szCs w:val="21"/>
          <w:shd w:val="clear" w:color="auto" w:fill="FFFFFF"/>
        </w:rPr>
        <w:t>经磋商确定最终采购需求和提交最后报价</w:t>
      </w:r>
      <w:r>
        <w:rPr>
          <w:rFonts w:hint="eastAsia" w:asciiTheme="minorEastAsia" w:hAnsiTheme="minorEastAsia" w:eastAsiaTheme="minorEastAsia" w:cstheme="minorEastAsia"/>
          <w:bCs/>
          <w:sz w:val="21"/>
          <w:szCs w:val="21"/>
        </w:rPr>
        <w:t>（二次报价或多轮报价）</w:t>
      </w:r>
      <w:r>
        <w:rPr>
          <w:rFonts w:hint="eastAsia" w:asciiTheme="minorEastAsia" w:hAnsiTheme="minorEastAsia" w:eastAsiaTheme="minorEastAsia" w:cstheme="minorEastAsia"/>
          <w:sz w:val="21"/>
          <w:szCs w:val="21"/>
          <w:shd w:val="clear" w:color="auto" w:fill="FFFFFF"/>
        </w:rPr>
        <w:t>的供应商后，由磋商小组采用综合评分法对提交最后报价</w:t>
      </w:r>
      <w:r>
        <w:rPr>
          <w:rFonts w:hint="eastAsia" w:asciiTheme="minorEastAsia" w:hAnsiTheme="minorEastAsia" w:eastAsiaTheme="minorEastAsia" w:cstheme="minorEastAsia"/>
          <w:bCs/>
          <w:sz w:val="21"/>
          <w:szCs w:val="21"/>
        </w:rPr>
        <w:t>（二次报价或多轮报价）</w:t>
      </w:r>
      <w:r>
        <w:rPr>
          <w:rFonts w:hint="eastAsia" w:asciiTheme="minorEastAsia" w:hAnsiTheme="minorEastAsia" w:eastAsiaTheme="minorEastAsia" w:cstheme="minorEastAsia"/>
          <w:sz w:val="21"/>
          <w:szCs w:val="21"/>
          <w:shd w:val="clear" w:color="auto" w:fill="FFFFFF"/>
        </w:rPr>
        <w:t>的供应商的响应文件和最后</w:t>
      </w:r>
      <w:r>
        <w:rPr>
          <w:rFonts w:hint="eastAsia" w:asciiTheme="minorEastAsia" w:hAnsiTheme="minorEastAsia" w:eastAsiaTheme="minorEastAsia" w:cstheme="minorEastAsia"/>
          <w:bCs/>
          <w:sz w:val="21"/>
          <w:szCs w:val="21"/>
        </w:rPr>
        <w:t>（二次报价或多轮报价）</w:t>
      </w:r>
      <w:r>
        <w:rPr>
          <w:rFonts w:hint="eastAsia" w:asciiTheme="minorEastAsia" w:hAnsiTheme="minorEastAsia" w:eastAsiaTheme="minorEastAsia" w:cstheme="minorEastAsia"/>
          <w:sz w:val="21"/>
          <w:szCs w:val="21"/>
          <w:shd w:val="clear" w:color="auto" w:fill="FFFFFF"/>
        </w:rPr>
        <w:t>报价进行综合评分。</w:t>
      </w:r>
    </w:p>
    <w:p>
      <w:pPr>
        <w:tabs>
          <w:tab w:val="left" w:pos="-94"/>
          <w:tab w:val="left" w:pos="428"/>
        </w:tabs>
        <w:adjustRightInd w:val="0"/>
        <w:spacing w:line="400" w:lineRule="exact"/>
        <w:jc w:val="left"/>
        <w:textAlignment w:val="baseline"/>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sz w:val="21"/>
          <w:szCs w:val="21"/>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0分，技术、商务、售后服务因素占</w:t>
      </w:r>
      <w:r>
        <w:rPr>
          <w:rFonts w:hint="eastAsia" w:asciiTheme="minorEastAsia" w:hAnsiTheme="minorEastAsia" w:eastAsiaTheme="minorEastAsia" w:cstheme="minorEastAsia"/>
          <w:bCs/>
          <w:sz w:val="21"/>
          <w:szCs w:val="21"/>
          <w:lang w:val="en-US" w:eastAsia="zh-CN"/>
        </w:rPr>
        <w:t>80</w:t>
      </w:r>
      <w:r>
        <w:rPr>
          <w:rFonts w:hint="eastAsia" w:asciiTheme="minorEastAsia" w:hAnsiTheme="minorEastAsia" w:eastAsiaTheme="minorEastAsia" w:cstheme="minorEastAsia"/>
          <w:bCs/>
          <w:sz w:val="21"/>
          <w:szCs w:val="21"/>
        </w:rPr>
        <w:t>分。将每位投标商的价格得分、技术得分、商务得分</w:t>
      </w:r>
      <w:r>
        <w:rPr>
          <w:rFonts w:hint="eastAsia" w:asciiTheme="minorEastAsia" w:hAnsiTheme="minorEastAsia" w:eastAsiaTheme="minorEastAsia" w:cstheme="minorEastAsia"/>
          <w:bCs/>
          <w:color w:val="000000"/>
          <w:sz w:val="21"/>
          <w:szCs w:val="21"/>
        </w:rPr>
        <w:t>相加即为该投标商的总得分。详细评分标准如下：</w:t>
      </w:r>
    </w:p>
    <w:p>
      <w:pPr>
        <w:pStyle w:val="2"/>
        <w:rPr>
          <w:rFonts w:hint="eastAsia" w:asciiTheme="minorEastAsia" w:hAnsiTheme="minorEastAsia" w:eastAsiaTheme="minorEastAsia" w:cstheme="minorEastAsia"/>
          <w:bCs/>
          <w:color w:val="000000"/>
          <w:sz w:val="21"/>
          <w:szCs w:val="21"/>
        </w:rPr>
      </w:pPr>
    </w:p>
    <w:p>
      <w:pPr>
        <w:pStyle w:val="3"/>
        <w:rPr>
          <w:rFonts w:hint="eastAsia" w:asciiTheme="minorEastAsia" w:hAnsiTheme="minorEastAsia" w:eastAsiaTheme="minorEastAsia" w:cstheme="minorEastAsia"/>
          <w:bCs/>
          <w:color w:val="000000"/>
          <w:sz w:val="21"/>
          <w:szCs w:val="21"/>
        </w:rPr>
      </w:pPr>
    </w:p>
    <w:p>
      <w:pPr>
        <w:pStyle w:val="3"/>
        <w:rPr>
          <w:rFonts w:hint="eastAsia" w:asciiTheme="minorEastAsia" w:hAnsiTheme="minorEastAsia" w:eastAsiaTheme="minorEastAsia" w:cstheme="minorEastAsia"/>
          <w:bCs/>
          <w:color w:val="000000"/>
          <w:sz w:val="21"/>
          <w:szCs w:val="21"/>
        </w:rPr>
      </w:pPr>
    </w:p>
    <w:p>
      <w:pPr>
        <w:pStyle w:val="3"/>
        <w:rPr>
          <w:rFonts w:hint="eastAsia" w:asciiTheme="minorEastAsia" w:hAnsiTheme="minorEastAsia" w:eastAsiaTheme="minorEastAsia" w:cstheme="minorEastAsia"/>
          <w:bCs/>
          <w:color w:val="000000"/>
          <w:sz w:val="21"/>
          <w:szCs w:val="21"/>
        </w:rPr>
      </w:pPr>
    </w:p>
    <w:p>
      <w:pPr>
        <w:pStyle w:val="3"/>
        <w:rPr>
          <w:rFonts w:hint="eastAsia" w:asciiTheme="minorEastAsia" w:hAnsiTheme="minorEastAsia" w:eastAsiaTheme="minorEastAsia" w:cstheme="minorEastAsia"/>
          <w:bCs/>
          <w:color w:val="000000"/>
          <w:sz w:val="21"/>
          <w:szCs w:val="21"/>
        </w:rPr>
      </w:pPr>
    </w:p>
    <w:p>
      <w:pPr>
        <w:pStyle w:val="3"/>
        <w:rPr>
          <w:rFonts w:hint="eastAsia" w:asciiTheme="minorEastAsia" w:hAnsiTheme="minorEastAsia" w:eastAsiaTheme="minorEastAsia" w:cstheme="minorEastAsia"/>
          <w:bCs/>
          <w:color w:val="000000"/>
          <w:sz w:val="21"/>
          <w:szCs w:val="21"/>
        </w:rPr>
      </w:pPr>
    </w:p>
    <w:p>
      <w:pPr>
        <w:pStyle w:val="3"/>
        <w:rPr>
          <w:rFonts w:hint="eastAsia" w:asciiTheme="minorEastAsia" w:hAnsiTheme="minorEastAsia" w:eastAsiaTheme="minorEastAsia" w:cstheme="minorEastAsia"/>
          <w:bCs/>
          <w:color w:val="000000"/>
          <w:sz w:val="21"/>
          <w:szCs w:val="21"/>
        </w:rPr>
      </w:pPr>
    </w:p>
    <w:p>
      <w:pPr>
        <w:pStyle w:val="5"/>
        <w:numPr>
          <w:ilvl w:val="0"/>
          <w:numId w:val="0"/>
        </w:numPr>
        <w:tabs>
          <w:tab w:val="left" w:pos="576"/>
        </w:tabs>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报价部分  </w:t>
      </w:r>
    </w:p>
    <w:tbl>
      <w:tblPr>
        <w:tblStyle w:val="36"/>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1338"/>
        <w:gridCol w:w="6185"/>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01" w:type="pct"/>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评审项目</w:t>
            </w:r>
          </w:p>
        </w:tc>
        <w:tc>
          <w:tcPr>
            <w:tcW w:w="701" w:type="pct"/>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评审内容</w:t>
            </w:r>
          </w:p>
        </w:tc>
        <w:tc>
          <w:tcPr>
            <w:tcW w:w="3240" w:type="pct"/>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评分标准</w:t>
            </w:r>
          </w:p>
        </w:tc>
        <w:tc>
          <w:tcPr>
            <w:tcW w:w="355" w:type="pct"/>
            <w:shd w:val="pct10" w:color="auto" w:fill="auto"/>
            <w:vAlign w:val="center"/>
          </w:tcPr>
          <w:p>
            <w:pPr>
              <w:pStyle w:val="128"/>
              <w:spacing w:before="0" w:after="0" w:line="320" w:lineRule="exact"/>
              <w:ind w:firstLine="0"/>
              <w:jc w:val="center"/>
              <w:rPr>
                <w:rFonts w:ascii="宋体" w:hAnsi="宋体" w:eastAsia="宋体" w:cs="宋体"/>
                <w:sz w:val="21"/>
                <w:szCs w:val="21"/>
              </w:rPr>
            </w:pPr>
            <w:r>
              <w:rPr>
                <w:rFonts w:hint="eastAsia" w:ascii="宋体" w:hAnsi="宋体" w:eastAsia="宋体" w:cs="宋体"/>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701" w:type="pct"/>
            <w:vAlign w:val="center"/>
          </w:tcPr>
          <w:p>
            <w:pPr>
              <w:snapToGrid w:val="0"/>
              <w:spacing w:line="360" w:lineRule="exact"/>
              <w:jc w:val="center"/>
              <w:rPr>
                <w:rFonts w:ascii="宋体" w:hAnsi="宋体" w:eastAsia="宋体" w:cs="宋体"/>
                <w:b/>
                <w:bCs/>
                <w:kern w:val="0"/>
                <w:szCs w:val="21"/>
              </w:rPr>
            </w:pPr>
            <w:r>
              <w:rPr>
                <w:rFonts w:hint="eastAsia" w:ascii="宋体" w:hAnsi="宋体" w:eastAsia="宋体" w:cs="宋体"/>
                <w:b/>
                <w:bCs/>
                <w:kern w:val="0"/>
                <w:szCs w:val="21"/>
              </w:rPr>
              <w:t>价格部分</w:t>
            </w:r>
          </w:p>
          <w:p>
            <w:pPr>
              <w:snapToGrid w:val="0"/>
              <w:spacing w:line="360" w:lineRule="exact"/>
              <w:jc w:val="center"/>
              <w:rPr>
                <w:rFonts w:ascii="宋体" w:hAnsi="宋体" w:eastAsia="宋体" w:cs="宋体"/>
                <w:b/>
                <w:bCs/>
                <w:kern w:val="0"/>
                <w:szCs w:val="21"/>
              </w:rPr>
            </w:pPr>
            <w:r>
              <w:rPr>
                <w:rFonts w:hint="eastAsia" w:ascii="宋体" w:hAnsi="宋体" w:eastAsia="宋体" w:cs="宋体"/>
                <w:b/>
                <w:bCs/>
                <w:kern w:val="0"/>
                <w:szCs w:val="21"/>
              </w:rPr>
              <w:t>（</w:t>
            </w:r>
            <w:r>
              <w:rPr>
                <w:rFonts w:hint="eastAsia" w:ascii="宋体" w:hAnsi="宋体" w:cs="宋体"/>
                <w:b/>
                <w:bCs/>
                <w:kern w:val="0"/>
                <w:szCs w:val="21"/>
                <w:lang w:val="en-US" w:eastAsia="zh-CN"/>
              </w:rPr>
              <w:t>2</w:t>
            </w:r>
            <w:r>
              <w:rPr>
                <w:rFonts w:hint="eastAsia" w:ascii="宋体" w:hAnsi="宋体" w:eastAsia="宋体" w:cs="宋体"/>
                <w:b/>
                <w:bCs/>
                <w:kern w:val="0"/>
                <w:szCs w:val="21"/>
              </w:rPr>
              <w:t>0）</w:t>
            </w:r>
          </w:p>
        </w:tc>
        <w:tc>
          <w:tcPr>
            <w:tcW w:w="701" w:type="pct"/>
            <w:vAlign w:val="center"/>
          </w:tcPr>
          <w:p>
            <w:pPr>
              <w:snapToGrid w:val="0"/>
              <w:spacing w:line="360" w:lineRule="exact"/>
              <w:jc w:val="center"/>
              <w:rPr>
                <w:rFonts w:ascii="宋体" w:hAnsi="宋体" w:eastAsia="宋体" w:cs="宋体"/>
                <w:sz w:val="24"/>
              </w:rPr>
            </w:pPr>
            <w:r>
              <w:rPr>
                <w:rFonts w:hint="eastAsia" w:ascii="宋体" w:hAnsi="宋体" w:eastAsia="宋体" w:cs="宋体"/>
              </w:rPr>
              <w:t>价格分（权值</w:t>
            </w:r>
            <w:r>
              <w:rPr>
                <w:rFonts w:hint="eastAsia" w:ascii="宋体" w:hAnsi="宋体" w:cs="宋体"/>
                <w:lang w:val="en-US" w:eastAsia="zh-CN"/>
              </w:rPr>
              <w:t>2</w:t>
            </w:r>
            <w:r>
              <w:rPr>
                <w:rFonts w:hint="eastAsia" w:ascii="宋体" w:hAnsi="宋体" w:eastAsia="宋体" w:cs="宋体"/>
              </w:rPr>
              <w:t>0%）</w:t>
            </w:r>
          </w:p>
        </w:tc>
        <w:tc>
          <w:tcPr>
            <w:tcW w:w="3240" w:type="pct"/>
            <w:vAlign w:val="center"/>
          </w:tcPr>
          <w:p>
            <w:pPr>
              <w:widowControl/>
              <w:snapToGrid w:val="0"/>
              <w:spacing w:line="360" w:lineRule="exact"/>
              <w:ind w:firstLine="480" w:firstLineChars="20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在所有的有效投标报价中，以最低投标报价为基准价，其价格分为满分。其他投标人的报价分统一按下列公式计算：投标报价得分=(评标基准价／投标报价)×价格权值（</w:t>
            </w:r>
            <w:r>
              <w:rPr>
                <w:rFonts w:hint="eastAsia" w:ascii="仿宋_GB2312" w:hAnsi="宋体" w:eastAsia="仿宋_GB2312" w:cs="宋体"/>
                <w:color w:val="000000"/>
                <w:kern w:val="0"/>
                <w:sz w:val="24"/>
                <w:szCs w:val="24"/>
                <w:lang w:val="en-US" w:eastAsia="zh-CN"/>
              </w:rPr>
              <w:t>2</w:t>
            </w:r>
            <w:r>
              <w:rPr>
                <w:rFonts w:hint="eastAsia" w:ascii="仿宋_GB2312" w:hAnsi="宋体" w:eastAsia="仿宋_GB2312" w:cs="宋体"/>
                <w:color w:val="000000"/>
                <w:kern w:val="0"/>
                <w:sz w:val="24"/>
                <w:szCs w:val="24"/>
              </w:rPr>
              <w:t>0%）×100（四舍五入后保留小数点后两位）。</w:t>
            </w:r>
          </w:p>
          <w:p>
            <w:pPr>
              <w:widowControl/>
              <w:snapToGrid w:val="0"/>
              <w:spacing w:line="360" w:lineRule="exact"/>
              <w:ind w:firstLine="480" w:firstLineChars="200"/>
              <w:jc w:val="left"/>
              <w:rPr>
                <w:rFonts w:ascii="宋体" w:hAnsi="宋体" w:eastAsia="宋体" w:cs="宋体"/>
                <w:sz w:val="24"/>
              </w:rPr>
            </w:pPr>
            <w:r>
              <w:rPr>
                <w:rFonts w:hint="eastAsia" w:ascii="仿宋_GB2312" w:hAnsi="宋体" w:eastAsia="仿宋_GB2312" w:cs="宋体"/>
                <w:color w:val="000000"/>
                <w:kern w:val="0"/>
                <w:sz w:val="24"/>
                <w:szCs w:val="24"/>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其投标将被作为无效投标被拒绝。</w:t>
            </w:r>
          </w:p>
        </w:tc>
        <w:tc>
          <w:tcPr>
            <w:tcW w:w="355" w:type="pct"/>
            <w:vAlign w:val="center"/>
          </w:tcPr>
          <w:p>
            <w:pPr>
              <w:widowControl/>
              <w:jc w:val="center"/>
              <w:rPr>
                <w:rFonts w:ascii="宋体" w:hAnsi="宋体" w:eastAsia="宋体" w:cs="宋体"/>
                <w:sz w:val="24"/>
              </w:rPr>
            </w:pPr>
            <w:r>
              <w:rPr>
                <w:rFonts w:hint="eastAsia" w:ascii="仿宋_GB2312" w:hAnsi="宋体" w:eastAsia="仿宋_GB2312" w:cs="宋体"/>
                <w:color w:val="000000"/>
                <w:kern w:val="0"/>
                <w:sz w:val="24"/>
                <w:szCs w:val="24"/>
                <w:lang w:val="en-US" w:eastAsia="zh-CN"/>
              </w:rPr>
              <w:t>2</w:t>
            </w:r>
            <w:r>
              <w:rPr>
                <w:rFonts w:hint="eastAsia" w:ascii="仿宋_GB2312" w:hAnsi="宋体" w:eastAsia="仿宋_GB2312" w:cs="宋体"/>
                <w:color w:val="000000"/>
                <w:kern w:val="0"/>
                <w:sz w:val="24"/>
                <w:szCs w:val="24"/>
              </w:rPr>
              <w:t>0分</w:t>
            </w:r>
          </w:p>
        </w:tc>
      </w:tr>
    </w:tbl>
    <w:p>
      <w:pPr>
        <w:rPr>
          <w:rFonts w:hint="eastAsia" w:ascii="宋体" w:hAnsi="宋体" w:eastAsia="宋体" w:cs="宋体"/>
          <w:b/>
          <w:bCs/>
          <w:color w:val="auto"/>
          <w:sz w:val="21"/>
          <w:szCs w:val="21"/>
          <w:highlight w:val="none"/>
        </w:rPr>
      </w:pPr>
    </w:p>
    <w:p>
      <w:pP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商务部分</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lang w:eastAsia="zh-CN"/>
        </w:rPr>
        <w:t>）</w:t>
      </w:r>
    </w:p>
    <w:tbl>
      <w:tblPr>
        <w:tblStyle w:val="36"/>
        <w:tblW w:w="953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7"/>
        <w:gridCol w:w="1300"/>
        <w:gridCol w:w="6200"/>
        <w:gridCol w:w="6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1" w:hRule="atLeast"/>
        </w:trPr>
        <w:tc>
          <w:tcPr>
            <w:tcW w:w="2647" w:type="dxa"/>
            <w:gridSpan w:val="2"/>
            <w:tcBorders>
              <w:top w:val="single" w:color="auto" w:sz="4" w:space="0"/>
            </w:tcBorders>
            <w:vAlign w:val="center"/>
          </w:tcPr>
          <w:p>
            <w:pPr>
              <w:spacing w:before="156" w:after="156" w:line="240" w:lineRule="atLeast"/>
              <w:jc w:val="center"/>
              <w:textAlignment w:val="baseline"/>
              <w:rPr>
                <w:rFonts w:ascii="宋体" w:hAnsi="宋体" w:eastAsia="宋体" w:cs="宋体"/>
                <w:b/>
                <w:bCs/>
                <w:szCs w:val="21"/>
              </w:rPr>
            </w:pPr>
            <w:r>
              <w:rPr>
                <w:rFonts w:hint="eastAsia" w:ascii="宋体" w:hAnsi="宋体" w:eastAsia="宋体" w:cs="宋体"/>
                <w:b/>
                <w:bCs/>
                <w:szCs w:val="21"/>
              </w:rPr>
              <w:t>评分项</w:t>
            </w:r>
          </w:p>
        </w:tc>
        <w:tc>
          <w:tcPr>
            <w:tcW w:w="6200" w:type="dxa"/>
            <w:tcBorders>
              <w:top w:val="single" w:color="auto" w:sz="4" w:space="0"/>
            </w:tcBorders>
            <w:vAlign w:val="center"/>
          </w:tcPr>
          <w:p>
            <w:pPr>
              <w:spacing w:before="156" w:after="156" w:line="240" w:lineRule="atLeast"/>
              <w:jc w:val="center"/>
              <w:textAlignment w:val="baseline"/>
              <w:rPr>
                <w:rFonts w:ascii="宋体" w:hAnsi="宋体" w:eastAsia="宋体" w:cs="宋体"/>
                <w:szCs w:val="21"/>
              </w:rPr>
            </w:pPr>
            <w:r>
              <w:rPr>
                <w:rFonts w:hint="eastAsia" w:ascii="宋体" w:hAnsi="宋体" w:eastAsia="宋体" w:cs="宋体"/>
                <w:b/>
                <w:bCs/>
                <w:szCs w:val="21"/>
              </w:rPr>
              <w:t>评分项内容</w:t>
            </w:r>
          </w:p>
        </w:tc>
        <w:tc>
          <w:tcPr>
            <w:tcW w:w="683" w:type="dxa"/>
            <w:vAlign w:val="center"/>
          </w:tcPr>
          <w:p>
            <w:pPr>
              <w:spacing w:before="156" w:after="156" w:line="240" w:lineRule="atLeast"/>
              <w:jc w:val="center"/>
              <w:textAlignment w:val="baseline"/>
              <w:rPr>
                <w:rFonts w:ascii="宋体" w:hAnsi="宋体" w:eastAsia="宋体" w:cs="宋体"/>
                <w:szCs w:val="21"/>
              </w:rPr>
            </w:pPr>
            <w:r>
              <w:rPr>
                <w:rFonts w:hint="eastAsia" w:ascii="宋体" w:hAnsi="宋体" w:eastAsia="宋体" w:cs="宋体"/>
                <w:b/>
                <w:bCs/>
                <w:szCs w:val="21"/>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atLeast"/>
        </w:trPr>
        <w:tc>
          <w:tcPr>
            <w:tcW w:w="1347" w:type="dxa"/>
            <w:vMerge w:val="restart"/>
            <w:tcBorders>
              <w:top w:val="single" w:color="auto" w:sz="4" w:space="0"/>
            </w:tcBorders>
            <w:vAlign w:val="center"/>
          </w:tcPr>
          <w:p>
            <w:pPr>
              <w:spacing w:line="240" w:lineRule="atLeast"/>
              <w:textAlignment w:val="baseline"/>
              <w:rPr>
                <w:rFonts w:ascii="宋体" w:hAnsi="宋体" w:eastAsia="宋体" w:cs="宋体"/>
                <w:b/>
                <w:bCs/>
                <w:szCs w:val="21"/>
              </w:rPr>
            </w:pPr>
            <w:r>
              <w:rPr>
                <w:rFonts w:hint="eastAsia" w:ascii="宋体" w:hAnsi="宋体" w:eastAsia="宋体" w:cs="宋体"/>
                <w:b/>
                <w:bCs/>
                <w:szCs w:val="21"/>
              </w:rPr>
              <w:t>商务部分（</w:t>
            </w:r>
            <w:r>
              <w:rPr>
                <w:rFonts w:ascii="宋体" w:hAnsi="宋体" w:eastAsia="宋体" w:cs="宋体"/>
                <w:b/>
                <w:bCs/>
                <w:szCs w:val="21"/>
              </w:rPr>
              <w:t>3</w:t>
            </w:r>
            <w:r>
              <w:rPr>
                <w:rFonts w:hint="eastAsia" w:ascii="宋体" w:hAnsi="宋体" w:eastAsia="宋体" w:cs="宋体"/>
                <w:b/>
                <w:bCs/>
                <w:szCs w:val="21"/>
              </w:rPr>
              <w:t>0分）</w:t>
            </w:r>
          </w:p>
        </w:tc>
        <w:tc>
          <w:tcPr>
            <w:tcW w:w="1300" w:type="dxa"/>
            <w:vMerge w:val="restart"/>
            <w:tcBorders>
              <w:top w:val="single" w:color="auto" w:sz="4" w:space="0"/>
            </w:tcBorders>
            <w:vAlign w:val="center"/>
          </w:tcPr>
          <w:p>
            <w:pPr>
              <w:spacing w:line="240" w:lineRule="atLeast"/>
              <w:textAlignment w:val="baseline"/>
              <w:rPr>
                <w:rFonts w:ascii="宋体" w:hAnsi="宋体" w:eastAsia="宋体" w:cs="宋体"/>
                <w:b/>
                <w:bCs/>
                <w:szCs w:val="21"/>
              </w:rPr>
            </w:pPr>
            <w:r>
              <w:rPr>
                <w:rFonts w:hint="eastAsia" w:ascii="宋体" w:hAnsi="宋体" w:eastAsia="宋体" w:cs="宋体"/>
                <w:b/>
                <w:bCs/>
                <w:szCs w:val="21"/>
              </w:rPr>
              <w:t>资信</w:t>
            </w:r>
            <w:r>
              <w:rPr>
                <w:rFonts w:ascii="宋体" w:hAnsi="宋体" w:eastAsia="宋体" w:cs="宋体"/>
                <w:b/>
                <w:bCs/>
                <w:szCs w:val="21"/>
              </w:rPr>
              <w:t>能力</w:t>
            </w:r>
            <w:r>
              <w:rPr>
                <w:rFonts w:hint="eastAsia" w:ascii="宋体" w:hAnsi="宋体" w:eastAsia="宋体" w:cs="宋体"/>
                <w:b/>
                <w:bCs/>
                <w:szCs w:val="21"/>
              </w:rPr>
              <w:t>（</w:t>
            </w:r>
            <w:r>
              <w:rPr>
                <w:rFonts w:ascii="宋体" w:hAnsi="宋体" w:eastAsia="宋体" w:cs="宋体"/>
                <w:b/>
                <w:bCs/>
                <w:szCs w:val="21"/>
              </w:rPr>
              <w:t>5</w:t>
            </w:r>
            <w:r>
              <w:rPr>
                <w:rFonts w:hint="eastAsia" w:ascii="宋体" w:hAnsi="宋体" w:eastAsia="宋体" w:cs="宋体"/>
                <w:b/>
                <w:bCs/>
                <w:szCs w:val="21"/>
              </w:rPr>
              <w:t>分）</w:t>
            </w:r>
          </w:p>
        </w:tc>
        <w:tc>
          <w:tcPr>
            <w:tcW w:w="6200" w:type="dxa"/>
            <w:tcBorders>
              <w:top w:val="single" w:color="auto" w:sz="4" w:space="0"/>
              <w:bottom w:val="single" w:color="auto" w:sz="4" w:space="0"/>
            </w:tcBorders>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投标人具有所投云服务厂商颁发的经销商认证证书，得</w:t>
            </w: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分。</w:t>
            </w:r>
          </w:p>
        </w:tc>
        <w:tc>
          <w:tcPr>
            <w:tcW w:w="683" w:type="dxa"/>
            <w:tcBorders>
              <w:bottom w:val="single" w:color="auto" w:sz="4" w:space="0"/>
            </w:tcBorders>
            <w:vAlign w:val="center"/>
          </w:tcPr>
          <w:p>
            <w:pPr>
              <w:textAlignment w:val="baseline"/>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347" w:type="dxa"/>
            <w:vMerge w:val="continue"/>
            <w:vAlign w:val="center"/>
          </w:tcPr>
          <w:p>
            <w:pPr>
              <w:spacing w:line="240" w:lineRule="atLeast"/>
              <w:textAlignment w:val="baseline"/>
              <w:rPr>
                <w:rFonts w:ascii="宋体" w:hAnsi="宋体" w:eastAsia="宋体" w:cs="宋体"/>
                <w:b/>
                <w:bCs/>
                <w:szCs w:val="21"/>
              </w:rPr>
            </w:pPr>
          </w:p>
        </w:tc>
        <w:tc>
          <w:tcPr>
            <w:tcW w:w="1300" w:type="dxa"/>
            <w:vMerge w:val="continue"/>
            <w:vAlign w:val="center"/>
          </w:tcPr>
          <w:p>
            <w:pPr>
              <w:spacing w:line="240" w:lineRule="atLeast"/>
              <w:textAlignment w:val="baseline"/>
              <w:rPr>
                <w:rFonts w:ascii="宋体" w:hAnsi="宋体" w:eastAsia="宋体" w:cs="宋体"/>
                <w:b/>
                <w:bCs/>
                <w:szCs w:val="21"/>
              </w:rPr>
            </w:pPr>
          </w:p>
        </w:tc>
        <w:tc>
          <w:tcPr>
            <w:tcW w:w="6200" w:type="dxa"/>
            <w:tcBorders>
              <w:top w:val="single" w:color="auto" w:sz="4" w:space="0"/>
              <w:bottom w:val="single" w:color="auto" w:sz="4" w:space="0"/>
            </w:tcBorders>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投标人提供具有上云咨询、上云迁移、运维管理、安全管理能力的证明材料，得</w:t>
            </w: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分。</w:t>
            </w:r>
          </w:p>
        </w:tc>
        <w:tc>
          <w:tcPr>
            <w:tcW w:w="683" w:type="dxa"/>
            <w:tcBorders>
              <w:top w:val="single" w:color="auto" w:sz="4" w:space="0"/>
              <w:bottom w:val="single" w:color="auto" w:sz="4" w:space="0"/>
            </w:tcBorders>
            <w:vAlign w:val="center"/>
          </w:tcPr>
          <w:p>
            <w:pPr>
              <w:textAlignment w:val="baseline"/>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0" w:hRule="atLeast"/>
        </w:trPr>
        <w:tc>
          <w:tcPr>
            <w:tcW w:w="1347" w:type="dxa"/>
            <w:vMerge w:val="continue"/>
            <w:vAlign w:val="center"/>
          </w:tcPr>
          <w:p>
            <w:pPr>
              <w:spacing w:line="240" w:lineRule="atLeast"/>
              <w:textAlignment w:val="baseline"/>
              <w:rPr>
                <w:rFonts w:ascii="宋体" w:hAnsi="宋体" w:eastAsia="宋体" w:cs="宋体"/>
                <w:b/>
                <w:bCs/>
                <w:szCs w:val="21"/>
              </w:rPr>
            </w:pPr>
          </w:p>
        </w:tc>
        <w:tc>
          <w:tcPr>
            <w:tcW w:w="1300" w:type="dxa"/>
            <w:vMerge w:val="continue"/>
            <w:vAlign w:val="center"/>
          </w:tcPr>
          <w:p>
            <w:pPr>
              <w:spacing w:line="240" w:lineRule="atLeast"/>
              <w:textAlignment w:val="baseline"/>
              <w:rPr>
                <w:rFonts w:ascii="宋体" w:hAnsi="宋体" w:eastAsia="宋体" w:cs="宋体"/>
                <w:b/>
                <w:bCs/>
                <w:szCs w:val="21"/>
              </w:rPr>
            </w:pPr>
          </w:p>
        </w:tc>
        <w:tc>
          <w:tcPr>
            <w:tcW w:w="6200" w:type="dxa"/>
            <w:tcBorders>
              <w:top w:val="single" w:color="auto" w:sz="4" w:space="0"/>
              <w:bottom w:val="single" w:color="auto" w:sz="4" w:space="0"/>
            </w:tcBorders>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投标人具有I</w:t>
            </w:r>
            <w:r>
              <w:rPr>
                <w:rFonts w:ascii="仿宋_GB2312" w:hAnsi="宋体" w:eastAsia="仿宋_GB2312" w:cs="宋体"/>
                <w:color w:val="000000"/>
                <w:kern w:val="0"/>
                <w:sz w:val="24"/>
                <w:szCs w:val="24"/>
              </w:rPr>
              <w:t>SO 9001质量管理体系认证</w:t>
            </w:r>
            <w:r>
              <w:rPr>
                <w:rFonts w:hint="eastAsia" w:ascii="仿宋_GB2312" w:hAnsi="宋体" w:eastAsia="仿宋_GB2312" w:cs="宋体"/>
                <w:color w:val="000000"/>
                <w:kern w:val="0"/>
                <w:sz w:val="24"/>
                <w:szCs w:val="24"/>
              </w:rPr>
              <w:t>证书，得1分。</w:t>
            </w:r>
          </w:p>
        </w:tc>
        <w:tc>
          <w:tcPr>
            <w:tcW w:w="683" w:type="dxa"/>
            <w:tcBorders>
              <w:top w:val="single" w:color="auto" w:sz="4" w:space="0"/>
              <w:bottom w:val="single" w:color="auto" w:sz="4" w:space="0"/>
            </w:tcBorders>
            <w:vAlign w:val="center"/>
          </w:tcPr>
          <w:p>
            <w:pPr>
              <w:textAlignment w:val="baseline"/>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1" w:hRule="atLeast"/>
        </w:trPr>
        <w:tc>
          <w:tcPr>
            <w:tcW w:w="1347" w:type="dxa"/>
            <w:vMerge w:val="continue"/>
            <w:vAlign w:val="center"/>
          </w:tcPr>
          <w:p>
            <w:pPr>
              <w:spacing w:before="156" w:after="156" w:line="240" w:lineRule="atLeast"/>
              <w:textAlignment w:val="baseline"/>
              <w:rPr>
                <w:rFonts w:ascii="宋体" w:hAnsi="宋体" w:eastAsia="宋体" w:cs="宋体"/>
                <w:b/>
                <w:bCs/>
                <w:szCs w:val="21"/>
              </w:rPr>
            </w:pPr>
          </w:p>
        </w:tc>
        <w:tc>
          <w:tcPr>
            <w:tcW w:w="1300" w:type="dxa"/>
            <w:vMerge w:val="continue"/>
            <w:vAlign w:val="center"/>
          </w:tcPr>
          <w:p>
            <w:pPr>
              <w:spacing w:before="156" w:after="156" w:line="240" w:lineRule="atLeast"/>
              <w:textAlignment w:val="baseline"/>
              <w:rPr>
                <w:rFonts w:ascii="宋体" w:hAnsi="宋体" w:eastAsia="宋体" w:cs="宋体"/>
                <w:b/>
                <w:bCs/>
                <w:szCs w:val="21"/>
              </w:rPr>
            </w:pPr>
          </w:p>
        </w:tc>
        <w:tc>
          <w:tcPr>
            <w:tcW w:w="6883" w:type="dxa"/>
            <w:gridSpan w:val="2"/>
            <w:tcBorders>
              <w:top w:val="single" w:color="auto" w:sz="4" w:space="0"/>
            </w:tcBorders>
            <w:vAlign w:val="center"/>
          </w:tcPr>
          <w:p>
            <w:pPr>
              <w:spacing w:before="156" w:after="156" w:line="240" w:lineRule="atLeast"/>
              <w:textAlignment w:val="baseline"/>
              <w:rPr>
                <w:rFonts w:ascii="宋体" w:hAnsi="宋体" w:eastAsia="宋体" w:cs="宋体"/>
                <w:szCs w:val="21"/>
              </w:rPr>
            </w:pPr>
            <w:r>
              <w:rPr>
                <w:rFonts w:ascii="宋体" w:hAnsi="宋体" w:eastAsia="宋体" w:cs="Times New Roman"/>
                <w:b/>
                <w:szCs w:val="21"/>
              </w:rPr>
              <w:t>说明：提供</w:t>
            </w:r>
            <w:r>
              <w:rPr>
                <w:rFonts w:hint="eastAsia" w:ascii="宋体" w:hAnsi="宋体" w:eastAsia="宋体" w:cs="Times New Roman"/>
                <w:b/>
                <w:szCs w:val="21"/>
              </w:rPr>
              <w:t>有效期内的</w:t>
            </w:r>
            <w:r>
              <w:rPr>
                <w:rFonts w:ascii="宋体" w:hAnsi="宋体" w:eastAsia="宋体" w:cs="Times New Roman"/>
                <w:b/>
                <w:szCs w:val="21"/>
              </w:rPr>
              <w:t>相关证书复印件</w:t>
            </w:r>
            <w:r>
              <w:rPr>
                <w:rFonts w:hint="eastAsia" w:ascii="宋体" w:hAnsi="宋体" w:eastAsia="宋体" w:cs="Times New Roman"/>
                <w:b/>
                <w:szCs w:val="21"/>
              </w:rPr>
              <w:t>并</w:t>
            </w:r>
            <w:r>
              <w:rPr>
                <w:rFonts w:ascii="宋体" w:hAnsi="宋体" w:eastAsia="宋体" w:cs="Times New Roman"/>
                <w:b/>
                <w:szCs w:val="21"/>
              </w:rPr>
              <w:t>加盖投标人公章</w:t>
            </w:r>
            <w:r>
              <w:rPr>
                <w:rFonts w:hint="eastAsia" w:ascii="宋体" w:hAnsi="宋体" w:eastAsia="宋体" w:cs="Times New Roman"/>
                <w:b/>
                <w:szCs w:val="21"/>
              </w:rPr>
              <w:t>，</w:t>
            </w:r>
            <w:r>
              <w:rPr>
                <w:rFonts w:ascii="宋体" w:hAnsi="宋体" w:eastAsia="宋体" w:cs="Times New Roman"/>
                <w:b/>
                <w:szCs w:val="21"/>
              </w:rPr>
              <w:t>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6" w:hRule="atLeast"/>
        </w:trPr>
        <w:tc>
          <w:tcPr>
            <w:tcW w:w="1347" w:type="dxa"/>
            <w:vMerge w:val="continue"/>
            <w:vAlign w:val="center"/>
          </w:tcPr>
          <w:p>
            <w:pPr>
              <w:spacing w:before="156" w:after="156" w:line="240" w:lineRule="atLeast"/>
              <w:textAlignment w:val="baseline"/>
              <w:rPr>
                <w:rFonts w:ascii="宋体" w:hAnsi="宋体" w:eastAsia="宋体" w:cs="宋体"/>
                <w:b/>
                <w:bCs/>
                <w:szCs w:val="21"/>
              </w:rPr>
            </w:pPr>
          </w:p>
        </w:tc>
        <w:tc>
          <w:tcPr>
            <w:tcW w:w="1300" w:type="dxa"/>
            <w:vMerge w:val="restart"/>
            <w:tcBorders>
              <w:top w:val="single" w:color="auto" w:sz="4" w:space="0"/>
            </w:tcBorders>
            <w:vAlign w:val="center"/>
          </w:tcPr>
          <w:p>
            <w:pPr>
              <w:spacing w:before="156" w:after="156" w:line="240" w:lineRule="atLeast"/>
              <w:textAlignment w:val="baseline"/>
              <w:rPr>
                <w:rFonts w:ascii="宋体" w:hAnsi="宋体" w:eastAsia="宋体" w:cs="宋体"/>
                <w:b/>
                <w:bCs/>
                <w:szCs w:val="21"/>
              </w:rPr>
            </w:pPr>
            <w:r>
              <w:rPr>
                <w:rFonts w:hint="eastAsia" w:ascii="宋体" w:hAnsi="宋体" w:eastAsia="宋体" w:cs="宋体"/>
                <w:b/>
                <w:bCs/>
                <w:szCs w:val="21"/>
              </w:rPr>
              <w:t>服务能力（</w:t>
            </w:r>
            <w:r>
              <w:rPr>
                <w:rFonts w:ascii="宋体" w:hAnsi="宋体" w:eastAsia="宋体" w:cs="宋体"/>
                <w:b/>
                <w:bCs/>
                <w:szCs w:val="21"/>
              </w:rPr>
              <w:t>9</w:t>
            </w:r>
            <w:r>
              <w:rPr>
                <w:rFonts w:hint="eastAsia" w:ascii="宋体" w:hAnsi="宋体" w:eastAsia="宋体" w:cs="宋体"/>
                <w:b/>
                <w:bCs/>
                <w:szCs w:val="21"/>
              </w:rPr>
              <w:t>分）</w:t>
            </w:r>
          </w:p>
        </w:tc>
        <w:tc>
          <w:tcPr>
            <w:tcW w:w="6200" w:type="dxa"/>
            <w:tcBorders>
              <w:top w:val="single" w:color="auto" w:sz="4" w:space="0"/>
              <w:bottom w:val="single" w:color="auto" w:sz="4" w:space="0"/>
            </w:tcBorders>
            <w:vAlign w:val="center"/>
          </w:tcPr>
          <w:p>
            <w:pPr>
              <w:rPr>
                <w:rFonts w:ascii="宋体" w:hAnsi="宋体" w:eastAsia="宋体" w:cs="宋体"/>
                <w:szCs w:val="21"/>
              </w:rPr>
            </w:pPr>
            <w:r>
              <w:rPr>
                <w:rFonts w:hint="eastAsia" w:ascii="仿宋_GB2312" w:hAnsi="宋体" w:eastAsia="仿宋_GB2312" w:cs="宋体"/>
                <w:color w:val="000000"/>
                <w:kern w:val="0"/>
                <w:sz w:val="24"/>
                <w:szCs w:val="24"/>
              </w:rPr>
              <w:t>投标人在本地有办事处等常设机构，提供相关证明，得</w:t>
            </w:r>
            <w:r>
              <w:rPr>
                <w:rFonts w:ascii="仿宋_GB2312" w:hAnsi="宋体" w:eastAsia="仿宋_GB2312" w:cs="宋体"/>
                <w:color w:val="000000"/>
                <w:kern w:val="0"/>
                <w:sz w:val="24"/>
                <w:szCs w:val="24"/>
              </w:rPr>
              <w:t>3</w:t>
            </w:r>
            <w:r>
              <w:rPr>
                <w:rFonts w:hint="eastAsia" w:ascii="仿宋_GB2312" w:hAnsi="宋体" w:eastAsia="仿宋_GB2312" w:cs="宋体"/>
                <w:color w:val="000000"/>
                <w:kern w:val="0"/>
                <w:sz w:val="24"/>
                <w:szCs w:val="24"/>
              </w:rPr>
              <w:t xml:space="preserve">分；有合作性服务机构的，得 </w:t>
            </w:r>
            <w:r>
              <w:rPr>
                <w:rFonts w:ascii="仿宋_GB2312" w:hAnsi="宋体" w:eastAsia="仿宋_GB2312" w:cs="宋体"/>
                <w:color w:val="000000"/>
                <w:kern w:val="0"/>
                <w:sz w:val="24"/>
                <w:szCs w:val="24"/>
              </w:rPr>
              <w:t>1</w:t>
            </w:r>
            <w:r>
              <w:rPr>
                <w:rFonts w:hint="eastAsia" w:ascii="仿宋_GB2312" w:hAnsi="宋体" w:eastAsia="仿宋_GB2312" w:cs="宋体"/>
                <w:color w:val="000000"/>
                <w:kern w:val="0"/>
                <w:sz w:val="24"/>
                <w:szCs w:val="24"/>
              </w:rPr>
              <w:t xml:space="preserve"> 分；没有的不得分。（需提供相关证明材料）</w:t>
            </w:r>
          </w:p>
        </w:tc>
        <w:tc>
          <w:tcPr>
            <w:tcW w:w="683" w:type="dxa"/>
            <w:tcBorders>
              <w:bottom w:val="single" w:color="auto" w:sz="4" w:space="0"/>
            </w:tcBorders>
            <w:vAlign w:val="center"/>
          </w:tcPr>
          <w:p>
            <w:pPr>
              <w:spacing w:before="156" w:after="156" w:line="240" w:lineRule="atLeast"/>
              <w:textAlignment w:val="baseline"/>
              <w:rPr>
                <w:rFonts w:ascii="宋体" w:hAnsi="宋体" w:eastAsia="宋体" w:cs="宋体"/>
                <w:szCs w:val="21"/>
              </w:rPr>
            </w:pPr>
            <w:r>
              <w:rPr>
                <w:rFonts w:ascii="宋体" w:hAnsi="宋体" w:eastAsia="宋体" w:cs="宋体"/>
                <w:szCs w:val="21"/>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1347" w:type="dxa"/>
            <w:vMerge w:val="continue"/>
            <w:vAlign w:val="center"/>
          </w:tcPr>
          <w:p>
            <w:pPr>
              <w:spacing w:before="156" w:after="156" w:line="240" w:lineRule="atLeast"/>
              <w:textAlignment w:val="baseline"/>
              <w:rPr>
                <w:rFonts w:ascii="宋体" w:hAnsi="宋体" w:eastAsia="宋体" w:cs="宋体"/>
                <w:b/>
                <w:bCs/>
                <w:szCs w:val="21"/>
              </w:rPr>
            </w:pPr>
          </w:p>
        </w:tc>
        <w:tc>
          <w:tcPr>
            <w:tcW w:w="1300" w:type="dxa"/>
            <w:vMerge w:val="continue"/>
            <w:vAlign w:val="center"/>
          </w:tcPr>
          <w:p>
            <w:pPr>
              <w:spacing w:before="156" w:after="156" w:line="240" w:lineRule="atLeast"/>
              <w:textAlignment w:val="baseline"/>
              <w:rPr>
                <w:rFonts w:ascii="宋体" w:hAnsi="宋体" w:eastAsia="宋体" w:cs="宋体"/>
                <w:b/>
                <w:bCs/>
                <w:szCs w:val="21"/>
              </w:rPr>
            </w:pPr>
          </w:p>
        </w:tc>
        <w:tc>
          <w:tcPr>
            <w:tcW w:w="6200" w:type="dxa"/>
            <w:tcBorders>
              <w:top w:val="single" w:color="auto" w:sz="4" w:space="0"/>
              <w:bottom w:val="single" w:color="auto" w:sz="4" w:space="0"/>
            </w:tcBorders>
            <w:vAlign w:val="center"/>
          </w:tcPr>
          <w:p>
            <w:pPr>
              <w:rPr>
                <w:rFonts w:ascii="宋体" w:hAnsi="宋体" w:eastAsia="宋体" w:cs="宋体"/>
                <w:szCs w:val="21"/>
              </w:rPr>
            </w:pPr>
            <w:r>
              <w:rPr>
                <w:rFonts w:hint="eastAsia" w:ascii="仿宋_GB2312" w:hAnsi="宋体" w:eastAsia="仿宋_GB2312" w:cs="宋体"/>
                <w:color w:val="000000"/>
                <w:kern w:val="0"/>
                <w:sz w:val="24"/>
                <w:szCs w:val="24"/>
              </w:rPr>
              <w:t>投标人</w:t>
            </w:r>
            <w:r>
              <w:rPr>
                <w:rFonts w:ascii="仿宋_GB2312" w:hAnsi="宋体" w:eastAsia="仿宋_GB2312" w:cs="宋体"/>
                <w:color w:val="000000"/>
                <w:kern w:val="0"/>
                <w:sz w:val="24"/>
                <w:szCs w:val="24"/>
              </w:rPr>
              <w:t>在本地机构有服务工程师</w:t>
            </w:r>
            <w:r>
              <w:rPr>
                <w:rFonts w:hint="eastAsia" w:ascii="仿宋_GB2312" w:hAnsi="宋体" w:eastAsia="仿宋_GB2312" w:cs="宋体"/>
                <w:color w:val="000000"/>
                <w:kern w:val="0"/>
                <w:sz w:val="24"/>
                <w:szCs w:val="24"/>
              </w:rPr>
              <w:t>，</w:t>
            </w:r>
            <w:r>
              <w:rPr>
                <w:rFonts w:ascii="仿宋_GB2312" w:hAnsi="宋体" w:eastAsia="仿宋_GB2312" w:cs="宋体"/>
                <w:color w:val="000000"/>
                <w:kern w:val="0"/>
                <w:sz w:val="24"/>
                <w:szCs w:val="24"/>
              </w:rPr>
              <w:t>通过原厂云计算</w:t>
            </w:r>
            <w:r>
              <w:rPr>
                <w:rFonts w:hint="eastAsia" w:ascii="仿宋_GB2312" w:hAnsi="宋体" w:eastAsia="仿宋_GB2312" w:cs="宋体"/>
                <w:color w:val="000000"/>
                <w:kern w:val="0"/>
                <w:sz w:val="24"/>
                <w:szCs w:val="24"/>
              </w:rPr>
              <w:t>、云服务</w:t>
            </w:r>
            <w:r>
              <w:rPr>
                <w:rFonts w:ascii="仿宋_GB2312" w:hAnsi="宋体" w:eastAsia="仿宋_GB2312" w:cs="宋体"/>
                <w:color w:val="000000"/>
                <w:kern w:val="0"/>
                <w:sz w:val="24"/>
                <w:szCs w:val="24"/>
              </w:rPr>
              <w:t>或大数据认证</w:t>
            </w:r>
            <w:r>
              <w:rPr>
                <w:rFonts w:hint="eastAsia" w:ascii="仿宋_GB2312" w:hAnsi="宋体" w:eastAsia="仿宋_GB2312" w:cs="宋体"/>
                <w:color w:val="000000"/>
                <w:kern w:val="0"/>
                <w:sz w:val="24"/>
                <w:szCs w:val="24"/>
              </w:rPr>
              <w:t>证书，</w:t>
            </w:r>
            <w:r>
              <w:rPr>
                <w:rFonts w:ascii="仿宋_GB2312" w:hAnsi="宋体" w:eastAsia="仿宋_GB2312" w:cs="宋体"/>
                <w:color w:val="000000"/>
                <w:kern w:val="0"/>
                <w:sz w:val="24"/>
                <w:szCs w:val="24"/>
              </w:rPr>
              <w:t>提供服务工程师本地在职证明及认证证书复印件并加盖原厂公章</w:t>
            </w:r>
            <w:r>
              <w:rPr>
                <w:rFonts w:hint="eastAsia" w:ascii="仿宋_GB2312" w:hAnsi="宋体" w:eastAsia="仿宋_GB2312" w:cs="宋体"/>
                <w:color w:val="000000"/>
                <w:kern w:val="0"/>
                <w:sz w:val="24"/>
                <w:szCs w:val="24"/>
              </w:rPr>
              <w:t>，</w:t>
            </w:r>
            <w:r>
              <w:rPr>
                <w:rFonts w:ascii="仿宋_GB2312" w:hAnsi="宋体" w:eastAsia="仿宋_GB2312" w:cs="宋体"/>
                <w:color w:val="000000"/>
                <w:kern w:val="0"/>
                <w:sz w:val="24"/>
                <w:szCs w:val="24"/>
              </w:rPr>
              <w:t>每提供1</w:t>
            </w:r>
            <w:r>
              <w:rPr>
                <w:rFonts w:hint="eastAsia" w:ascii="仿宋_GB2312" w:hAnsi="宋体" w:eastAsia="仿宋_GB2312" w:cs="宋体"/>
                <w:color w:val="000000"/>
                <w:kern w:val="0"/>
                <w:sz w:val="24"/>
                <w:szCs w:val="24"/>
              </w:rPr>
              <w:t>人</w:t>
            </w:r>
            <w:r>
              <w:rPr>
                <w:rFonts w:ascii="仿宋_GB2312" w:hAnsi="宋体" w:eastAsia="仿宋_GB2312" w:cs="宋体"/>
                <w:color w:val="000000"/>
                <w:kern w:val="0"/>
                <w:sz w:val="24"/>
                <w:szCs w:val="24"/>
              </w:rPr>
              <w:t>的双</w:t>
            </w:r>
            <w:r>
              <w:rPr>
                <w:rFonts w:hint="eastAsia" w:ascii="仿宋_GB2312" w:hAnsi="宋体" w:eastAsia="仿宋_GB2312" w:cs="宋体"/>
                <w:color w:val="000000"/>
                <w:kern w:val="0"/>
                <w:sz w:val="24"/>
                <w:szCs w:val="24"/>
              </w:rPr>
              <w:t>证明材料得1分，共计6分。</w:t>
            </w:r>
          </w:p>
        </w:tc>
        <w:tc>
          <w:tcPr>
            <w:tcW w:w="683" w:type="dxa"/>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ascii="宋体" w:hAnsi="宋体" w:eastAsia="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trPr>
        <w:tc>
          <w:tcPr>
            <w:tcW w:w="1347" w:type="dxa"/>
            <w:vMerge w:val="continue"/>
            <w:vAlign w:val="center"/>
          </w:tcPr>
          <w:p>
            <w:pPr>
              <w:spacing w:before="156" w:after="156" w:line="240" w:lineRule="atLeast"/>
              <w:textAlignment w:val="baseline"/>
              <w:rPr>
                <w:rFonts w:ascii="宋体" w:hAnsi="宋体" w:eastAsia="宋体" w:cs="宋体"/>
                <w:b/>
                <w:bCs/>
                <w:szCs w:val="21"/>
              </w:rPr>
            </w:pPr>
          </w:p>
        </w:tc>
        <w:tc>
          <w:tcPr>
            <w:tcW w:w="1300" w:type="dxa"/>
            <w:vMerge w:val="restart"/>
            <w:tcBorders>
              <w:top w:val="single" w:color="auto" w:sz="4" w:space="0"/>
            </w:tcBorders>
            <w:vAlign w:val="center"/>
          </w:tcPr>
          <w:p>
            <w:pPr>
              <w:spacing w:before="156" w:after="156" w:line="240" w:lineRule="atLeast"/>
              <w:textAlignment w:val="baseline"/>
              <w:rPr>
                <w:rFonts w:ascii="宋体" w:hAnsi="宋体" w:eastAsia="宋体" w:cs="宋体"/>
                <w:b/>
                <w:bCs/>
                <w:szCs w:val="21"/>
              </w:rPr>
            </w:pPr>
            <w:r>
              <w:rPr>
                <w:rFonts w:hint="eastAsia" w:ascii="宋体" w:hAnsi="宋体" w:eastAsia="宋体" w:cs="宋体"/>
                <w:b/>
                <w:bCs/>
                <w:szCs w:val="21"/>
              </w:rPr>
              <w:t>投标人或云服务商实力证明（6分）</w:t>
            </w:r>
          </w:p>
        </w:tc>
        <w:tc>
          <w:tcPr>
            <w:tcW w:w="6200" w:type="dxa"/>
            <w:tcBorders>
              <w:top w:val="single" w:color="auto" w:sz="4" w:space="0"/>
              <w:bottom w:val="single" w:color="auto" w:sz="4" w:space="0"/>
            </w:tcBorders>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投标人或云服务商应具有IDC互联网数据中心业务资质，得</w:t>
            </w: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分。</w:t>
            </w:r>
          </w:p>
        </w:tc>
        <w:tc>
          <w:tcPr>
            <w:tcW w:w="683" w:type="dxa"/>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ascii="宋体" w:hAnsi="宋体" w:eastAsia="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trPr>
        <w:tc>
          <w:tcPr>
            <w:tcW w:w="1347" w:type="dxa"/>
            <w:vMerge w:val="continue"/>
            <w:vAlign w:val="center"/>
          </w:tcPr>
          <w:p>
            <w:pPr>
              <w:spacing w:before="156" w:after="156" w:line="240" w:lineRule="atLeast"/>
              <w:textAlignment w:val="baseline"/>
              <w:rPr>
                <w:rFonts w:ascii="宋体" w:hAnsi="宋体" w:eastAsia="宋体" w:cs="宋体"/>
                <w:b/>
                <w:bCs/>
                <w:szCs w:val="21"/>
              </w:rPr>
            </w:pPr>
          </w:p>
        </w:tc>
        <w:tc>
          <w:tcPr>
            <w:tcW w:w="1300" w:type="dxa"/>
            <w:vMerge w:val="continue"/>
            <w:vAlign w:val="center"/>
          </w:tcPr>
          <w:p>
            <w:pPr>
              <w:spacing w:before="156" w:after="156" w:line="240" w:lineRule="atLeast"/>
              <w:textAlignment w:val="baseline"/>
              <w:rPr>
                <w:rFonts w:ascii="宋体" w:hAnsi="宋体" w:eastAsia="宋体" w:cs="宋体"/>
                <w:b/>
                <w:bCs/>
                <w:szCs w:val="21"/>
              </w:rPr>
            </w:pPr>
          </w:p>
        </w:tc>
        <w:tc>
          <w:tcPr>
            <w:tcW w:w="6200" w:type="dxa"/>
            <w:tcBorders>
              <w:top w:val="single" w:color="auto" w:sz="4" w:space="0"/>
              <w:bottom w:val="single" w:color="auto" w:sz="4" w:space="0"/>
            </w:tcBorders>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2.投标人或云服务商应具备信息安全管理体系认证证书GB/T 22080或ISO/IEC27001标准（需包含云计算产品），得</w:t>
            </w: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分。</w:t>
            </w:r>
          </w:p>
        </w:tc>
        <w:tc>
          <w:tcPr>
            <w:tcW w:w="683" w:type="dxa"/>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hint="eastAsia" w:ascii="宋体" w:hAnsi="宋体" w:eastAsia="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trPr>
        <w:tc>
          <w:tcPr>
            <w:tcW w:w="1347" w:type="dxa"/>
            <w:vMerge w:val="continue"/>
            <w:vAlign w:val="center"/>
          </w:tcPr>
          <w:p>
            <w:pPr>
              <w:spacing w:before="156" w:after="156" w:line="240" w:lineRule="atLeast"/>
              <w:textAlignment w:val="baseline"/>
              <w:rPr>
                <w:rFonts w:ascii="宋体" w:hAnsi="宋体" w:eastAsia="宋体" w:cs="宋体"/>
                <w:b/>
                <w:bCs/>
                <w:szCs w:val="21"/>
              </w:rPr>
            </w:pPr>
          </w:p>
        </w:tc>
        <w:tc>
          <w:tcPr>
            <w:tcW w:w="1300" w:type="dxa"/>
            <w:vMerge w:val="continue"/>
            <w:vAlign w:val="center"/>
          </w:tcPr>
          <w:p>
            <w:pPr>
              <w:spacing w:before="156" w:after="156" w:line="240" w:lineRule="atLeast"/>
              <w:textAlignment w:val="baseline"/>
              <w:rPr>
                <w:rFonts w:ascii="宋体" w:hAnsi="宋体" w:eastAsia="宋体" w:cs="宋体"/>
                <w:b/>
                <w:bCs/>
                <w:szCs w:val="21"/>
              </w:rPr>
            </w:pPr>
          </w:p>
        </w:tc>
        <w:tc>
          <w:tcPr>
            <w:tcW w:w="6200" w:type="dxa"/>
            <w:tcBorders>
              <w:top w:val="single" w:color="auto" w:sz="4" w:space="0"/>
              <w:bottom w:val="single" w:color="auto" w:sz="4" w:space="0"/>
            </w:tcBorders>
            <w:vAlign w:val="center"/>
          </w:tcPr>
          <w:p>
            <w:pP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3</w:t>
            </w:r>
            <w:r>
              <w:rPr>
                <w:rFonts w:hint="eastAsia" w:ascii="仿宋_GB2312" w:hAnsi="宋体" w:eastAsia="仿宋_GB2312" w:cs="宋体"/>
                <w:color w:val="000000"/>
                <w:kern w:val="0"/>
                <w:sz w:val="24"/>
                <w:szCs w:val="24"/>
              </w:rPr>
              <w:t>.投标人或云服务商应具备信息技术服务管理体系认证ISO/IEC 20000-1（需包含云计算服务的规划、运维和运营服务），得</w:t>
            </w:r>
            <w:r>
              <w:rPr>
                <w:rFonts w:ascii="仿宋_GB2312" w:hAnsi="宋体" w:eastAsia="仿宋_GB2312" w:cs="宋体"/>
                <w:color w:val="000000"/>
                <w:kern w:val="0"/>
                <w:sz w:val="24"/>
                <w:szCs w:val="24"/>
              </w:rPr>
              <w:t>1</w:t>
            </w:r>
            <w:r>
              <w:rPr>
                <w:rFonts w:hint="eastAsia" w:ascii="仿宋_GB2312" w:hAnsi="宋体" w:eastAsia="仿宋_GB2312" w:cs="宋体"/>
                <w:color w:val="000000"/>
                <w:kern w:val="0"/>
                <w:sz w:val="24"/>
                <w:szCs w:val="24"/>
              </w:rPr>
              <w:t>分。</w:t>
            </w:r>
          </w:p>
        </w:tc>
        <w:tc>
          <w:tcPr>
            <w:tcW w:w="683" w:type="dxa"/>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hint="eastAsia" w:ascii="宋体" w:hAnsi="宋体" w:eastAsia="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trPr>
        <w:tc>
          <w:tcPr>
            <w:tcW w:w="1347" w:type="dxa"/>
            <w:vMerge w:val="continue"/>
            <w:vAlign w:val="center"/>
          </w:tcPr>
          <w:p>
            <w:pPr>
              <w:spacing w:before="156" w:after="156" w:line="240" w:lineRule="atLeast"/>
              <w:textAlignment w:val="baseline"/>
              <w:rPr>
                <w:rFonts w:ascii="宋体" w:hAnsi="宋体" w:eastAsia="宋体" w:cs="宋体"/>
                <w:b/>
                <w:bCs/>
                <w:szCs w:val="21"/>
              </w:rPr>
            </w:pPr>
          </w:p>
        </w:tc>
        <w:tc>
          <w:tcPr>
            <w:tcW w:w="1300" w:type="dxa"/>
            <w:vMerge w:val="continue"/>
            <w:vAlign w:val="center"/>
          </w:tcPr>
          <w:p>
            <w:pPr>
              <w:spacing w:before="156" w:after="156" w:line="240" w:lineRule="atLeast"/>
              <w:textAlignment w:val="baseline"/>
              <w:rPr>
                <w:rFonts w:ascii="宋体" w:hAnsi="宋体" w:eastAsia="宋体" w:cs="宋体"/>
                <w:b/>
                <w:bCs/>
                <w:szCs w:val="21"/>
              </w:rPr>
            </w:pPr>
          </w:p>
        </w:tc>
        <w:tc>
          <w:tcPr>
            <w:tcW w:w="6200" w:type="dxa"/>
            <w:tcBorders>
              <w:top w:val="single" w:color="auto" w:sz="4" w:space="0"/>
              <w:bottom w:val="single" w:color="auto" w:sz="4" w:space="0"/>
            </w:tcBorders>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4.云服务商需具备可信云-云主机服务综合级别（五星），得</w:t>
            </w:r>
            <w:r>
              <w:rPr>
                <w:rFonts w:ascii="仿宋_GB2312" w:hAnsi="宋体" w:eastAsia="仿宋_GB2312" w:cs="宋体"/>
                <w:color w:val="000000"/>
                <w:kern w:val="0"/>
                <w:sz w:val="24"/>
                <w:szCs w:val="24"/>
              </w:rPr>
              <w:t>1</w:t>
            </w:r>
            <w:r>
              <w:rPr>
                <w:rFonts w:hint="eastAsia" w:ascii="仿宋_GB2312" w:hAnsi="宋体" w:eastAsia="仿宋_GB2312" w:cs="宋体"/>
                <w:color w:val="000000"/>
                <w:kern w:val="0"/>
                <w:sz w:val="24"/>
                <w:szCs w:val="24"/>
              </w:rPr>
              <w:t>分。</w:t>
            </w:r>
            <w:r>
              <w:rPr>
                <w:rFonts w:ascii="仿宋_GB2312" w:hAnsi="宋体" w:eastAsia="仿宋_GB2312" w:cs="宋体"/>
                <w:color w:val="000000"/>
                <w:kern w:val="0"/>
                <w:sz w:val="24"/>
                <w:szCs w:val="24"/>
              </w:rPr>
              <w:t xml:space="preserve"> </w:t>
            </w:r>
          </w:p>
        </w:tc>
        <w:tc>
          <w:tcPr>
            <w:tcW w:w="683" w:type="dxa"/>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hint="eastAsia" w:ascii="宋体" w:hAnsi="宋体" w:eastAsia="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trPr>
        <w:tc>
          <w:tcPr>
            <w:tcW w:w="1347" w:type="dxa"/>
            <w:vMerge w:val="continue"/>
            <w:vAlign w:val="center"/>
          </w:tcPr>
          <w:p>
            <w:pPr>
              <w:spacing w:before="156" w:after="156" w:line="240" w:lineRule="atLeast"/>
              <w:textAlignment w:val="baseline"/>
              <w:rPr>
                <w:rFonts w:ascii="宋体" w:hAnsi="宋体" w:eastAsia="宋体" w:cs="宋体"/>
                <w:b/>
                <w:bCs/>
                <w:szCs w:val="21"/>
              </w:rPr>
            </w:pPr>
          </w:p>
        </w:tc>
        <w:tc>
          <w:tcPr>
            <w:tcW w:w="1300" w:type="dxa"/>
            <w:vMerge w:val="continue"/>
            <w:vAlign w:val="center"/>
          </w:tcPr>
          <w:p>
            <w:pPr>
              <w:spacing w:before="156" w:after="156" w:line="240" w:lineRule="atLeast"/>
              <w:textAlignment w:val="baseline"/>
              <w:rPr>
                <w:rFonts w:ascii="宋体" w:hAnsi="宋体" w:eastAsia="宋体" w:cs="宋体"/>
                <w:b/>
                <w:bCs/>
                <w:szCs w:val="21"/>
              </w:rPr>
            </w:pPr>
          </w:p>
        </w:tc>
        <w:tc>
          <w:tcPr>
            <w:tcW w:w="6883" w:type="dxa"/>
            <w:gridSpan w:val="2"/>
            <w:tcBorders>
              <w:top w:val="single" w:color="auto" w:sz="4" w:space="0"/>
              <w:bottom w:val="single" w:color="auto" w:sz="4" w:space="0"/>
            </w:tcBorders>
            <w:vAlign w:val="center"/>
          </w:tcPr>
          <w:p>
            <w:pPr>
              <w:spacing w:before="156" w:after="156" w:line="240" w:lineRule="atLeast"/>
              <w:jc w:val="center"/>
              <w:textAlignment w:val="baseline"/>
              <w:rPr>
                <w:rFonts w:ascii="宋体" w:hAnsi="宋体" w:eastAsia="宋体" w:cs="宋体"/>
                <w:szCs w:val="21"/>
              </w:rPr>
            </w:pPr>
            <w:r>
              <w:rPr>
                <w:rFonts w:hint="eastAsia" w:ascii="仿宋_GB2312" w:hAnsi="宋体" w:eastAsia="仿宋_GB2312" w:cs="宋体"/>
                <w:color w:val="000000"/>
                <w:kern w:val="0"/>
                <w:sz w:val="24"/>
                <w:szCs w:val="24"/>
              </w:rPr>
              <w:t>提供证书复印件，不提供或不符合要求不得分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trPr>
        <w:tc>
          <w:tcPr>
            <w:tcW w:w="1347" w:type="dxa"/>
            <w:vMerge w:val="continue"/>
            <w:vAlign w:val="center"/>
          </w:tcPr>
          <w:p>
            <w:pPr>
              <w:spacing w:before="156" w:after="156" w:line="240" w:lineRule="atLeast"/>
              <w:textAlignment w:val="baseline"/>
              <w:rPr>
                <w:rFonts w:ascii="宋体" w:hAnsi="宋体" w:eastAsia="宋体" w:cs="宋体"/>
                <w:b/>
                <w:bCs/>
                <w:szCs w:val="21"/>
              </w:rPr>
            </w:pPr>
          </w:p>
        </w:tc>
        <w:tc>
          <w:tcPr>
            <w:tcW w:w="1300" w:type="dxa"/>
            <w:vMerge w:val="restart"/>
            <w:tcBorders>
              <w:top w:val="single" w:color="auto" w:sz="4" w:space="0"/>
            </w:tcBorders>
            <w:vAlign w:val="center"/>
          </w:tcPr>
          <w:p>
            <w:pPr>
              <w:spacing w:before="156" w:after="156" w:line="240" w:lineRule="atLeast"/>
              <w:textAlignment w:val="baseline"/>
              <w:rPr>
                <w:rFonts w:ascii="宋体" w:hAnsi="宋体" w:eastAsia="宋体" w:cs="宋体"/>
                <w:b/>
                <w:bCs/>
                <w:szCs w:val="21"/>
              </w:rPr>
            </w:pPr>
            <w:r>
              <w:rPr>
                <w:rFonts w:hint="eastAsia" w:ascii="宋体" w:hAnsi="宋体" w:eastAsia="宋体" w:cs="宋体"/>
                <w:b/>
                <w:bCs/>
                <w:szCs w:val="21"/>
              </w:rPr>
              <w:t>云厂家、投标人、投标产品证书（</w:t>
            </w:r>
            <w:r>
              <w:rPr>
                <w:rFonts w:hint="eastAsia" w:ascii="宋体" w:hAnsi="宋体" w:cs="宋体"/>
                <w:b/>
                <w:bCs/>
                <w:szCs w:val="21"/>
                <w:lang w:val="en-US" w:eastAsia="zh-CN"/>
              </w:rPr>
              <w:t>7</w:t>
            </w:r>
            <w:r>
              <w:rPr>
                <w:rFonts w:hint="eastAsia" w:ascii="宋体" w:hAnsi="宋体" w:eastAsia="宋体" w:cs="宋体"/>
                <w:b/>
                <w:bCs/>
                <w:szCs w:val="21"/>
              </w:rPr>
              <w:t>分）</w:t>
            </w:r>
          </w:p>
        </w:tc>
        <w:tc>
          <w:tcPr>
            <w:tcW w:w="6200" w:type="dxa"/>
            <w:tcBorders>
              <w:top w:val="single" w:color="auto" w:sz="4" w:space="0"/>
              <w:bottom w:val="single" w:color="auto" w:sz="4" w:space="0"/>
            </w:tcBorders>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TL9000质量管理体系认证证书、</w:t>
            </w:r>
          </w:p>
        </w:tc>
        <w:tc>
          <w:tcPr>
            <w:tcW w:w="683" w:type="dxa"/>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hint="eastAsia" w:ascii="宋体" w:hAnsi="宋体" w:eastAsia="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trPr>
        <w:tc>
          <w:tcPr>
            <w:tcW w:w="1347" w:type="dxa"/>
            <w:vMerge w:val="continue"/>
            <w:vAlign w:val="center"/>
          </w:tcPr>
          <w:p>
            <w:pPr>
              <w:spacing w:before="156" w:after="156" w:line="240" w:lineRule="atLeast"/>
              <w:textAlignment w:val="baseline"/>
              <w:rPr>
                <w:rFonts w:ascii="宋体" w:hAnsi="宋体" w:eastAsia="宋体" w:cs="宋体"/>
                <w:b/>
                <w:bCs/>
                <w:szCs w:val="21"/>
              </w:rPr>
            </w:pPr>
          </w:p>
        </w:tc>
        <w:tc>
          <w:tcPr>
            <w:tcW w:w="1300" w:type="dxa"/>
            <w:vMerge w:val="continue"/>
            <w:vAlign w:val="center"/>
          </w:tcPr>
          <w:p>
            <w:pPr>
              <w:spacing w:before="156" w:after="156" w:line="240" w:lineRule="atLeast"/>
              <w:textAlignment w:val="baseline"/>
              <w:rPr>
                <w:rFonts w:ascii="宋体" w:hAnsi="宋体" w:eastAsia="宋体" w:cs="宋体"/>
                <w:b/>
                <w:bCs/>
                <w:szCs w:val="21"/>
              </w:rPr>
            </w:pPr>
          </w:p>
        </w:tc>
        <w:tc>
          <w:tcPr>
            <w:tcW w:w="6200" w:type="dxa"/>
            <w:tcBorders>
              <w:top w:val="single" w:color="auto" w:sz="4" w:space="0"/>
              <w:bottom w:val="single" w:color="auto" w:sz="4" w:space="0"/>
            </w:tcBorders>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公有云服务系统网络安全等级保护三级（或以上）测评报告、</w:t>
            </w:r>
          </w:p>
        </w:tc>
        <w:tc>
          <w:tcPr>
            <w:tcW w:w="683" w:type="dxa"/>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hint="eastAsia" w:ascii="宋体" w:hAnsi="宋体" w:eastAsia="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trPr>
        <w:tc>
          <w:tcPr>
            <w:tcW w:w="1347" w:type="dxa"/>
            <w:vMerge w:val="continue"/>
            <w:vAlign w:val="center"/>
          </w:tcPr>
          <w:p>
            <w:pPr>
              <w:spacing w:before="156" w:after="156" w:line="240" w:lineRule="atLeast"/>
              <w:textAlignment w:val="baseline"/>
              <w:rPr>
                <w:rFonts w:ascii="宋体" w:hAnsi="宋体" w:eastAsia="宋体" w:cs="宋体"/>
                <w:b/>
                <w:bCs/>
                <w:szCs w:val="21"/>
              </w:rPr>
            </w:pPr>
          </w:p>
        </w:tc>
        <w:tc>
          <w:tcPr>
            <w:tcW w:w="1300" w:type="dxa"/>
            <w:vMerge w:val="continue"/>
            <w:vAlign w:val="center"/>
          </w:tcPr>
          <w:p>
            <w:pPr>
              <w:spacing w:before="156" w:after="156" w:line="240" w:lineRule="atLeast"/>
              <w:textAlignment w:val="baseline"/>
              <w:rPr>
                <w:rFonts w:ascii="宋体" w:hAnsi="宋体" w:eastAsia="宋体" w:cs="宋体"/>
                <w:b/>
                <w:bCs/>
                <w:szCs w:val="21"/>
              </w:rPr>
            </w:pPr>
          </w:p>
        </w:tc>
        <w:tc>
          <w:tcPr>
            <w:tcW w:w="6200" w:type="dxa"/>
            <w:tcBorders>
              <w:top w:val="single" w:color="auto" w:sz="4" w:space="0"/>
              <w:bottom w:val="single" w:color="auto" w:sz="4" w:space="0"/>
            </w:tcBorders>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信息安全服务资质云计算安全类一级认证证书、</w:t>
            </w:r>
          </w:p>
        </w:tc>
        <w:tc>
          <w:tcPr>
            <w:tcW w:w="683" w:type="dxa"/>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hint="eastAsia" w:ascii="宋体" w:hAnsi="宋体" w:eastAsia="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trPr>
        <w:tc>
          <w:tcPr>
            <w:tcW w:w="1347" w:type="dxa"/>
            <w:vMerge w:val="continue"/>
            <w:vAlign w:val="center"/>
          </w:tcPr>
          <w:p>
            <w:pPr>
              <w:spacing w:before="156" w:after="156" w:line="240" w:lineRule="atLeast"/>
              <w:textAlignment w:val="baseline"/>
              <w:rPr>
                <w:rFonts w:ascii="宋体" w:hAnsi="宋体" w:eastAsia="宋体" w:cs="宋体"/>
                <w:b/>
                <w:bCs/>
                <w:szCs w:val="21"/>
              </w:rPr>
            </w:pPr>
          </w:p>
        </w:tc>
        <w:tc>
          <w:tcPr>
            <w:tcW w:w="1300" w:type="dxa"/>
            <w:vMerge w:val="continue"/>
            <w:vAlign w:val="center"/>
          </w:tcPr>
          <w:p>
            <w:pPr>
              <w:spacing w:before="156" w:after="156" w:line="240" w:lineRule="atLeast"/>
              <w:textAlignment w:val="baseline"/>
              <w:rPr>
                <w:rFonts w:ascii="宋体" w:hAnsi="宋体" w:eastAsia="宋体" w:cs="宋体"/>
                <w:b/>
                <w:bCs/>
                <w:szCs w:val="21"/>
              </w:rPr>
            </w:pPr>
          </w:p>
        </w:tc>
        <w:tc>
          <w:tcPr>
            <w:tcW w:w="6200" w:type="dxa"/>
            <w:tcBorders>
              <w:top w:val="single" w:color="auto" w:sz="4" w:space="0"/>
              <w:bottom w:val="single" w:color="auto" w:sz="4" w:space="0"/>
            </w:tcBorders>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信息系统安全集成服务资质一级认证证书、</w:t>
            </w:r>
          </w:p>
        </w:tc>
        <w:tc>
          <w:tcPr>
            <w:tcW w:w="683" w:type="dxa"/>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hint="eastAsia" w:ascii="宋体" w:hAnsi="宋体" w:eastAsia="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trPr>
        <w:tc>
          <w:tcPr>
            <w:tcW w:w="1347" w:type="dxa"/>
            <w:vMerge w:val="continue"/>
            <w:vAlign w:val="center"/>
          </w:tcPr>
          <w:p>
            <w:pPr>
              <w:spacing w:before="156" w:after="156" w:line="240" w:lineRule="atLeast"/>
              <w:textAlignment w:val="baseline"/>
              <w:rPr>
                <w:rFonts w:ascii="宋体" w:hAnsi="宋体" w:eastAsia="宋体" w:cs="宋体"/>
                <w:b/>
                <w:bCs/>
                <w:szCs w:val="21"/>
              </w:rPr>
            </w:pPr>
          </w:p>
        </w:tc>
        <w:tc>
          <w:tcPr>
            <w:tcW w:w="1300" w:type="dxa"/>
            <w:vMerge w:val="continue"/>
            <w:vAlign w:val="center"/>
          </w:tcPr>
          <w:p>
            <w:pPr>
              <w:spacing w:before="156" w:after="156" w:line="240" w:lineRule="atLeast"/>
              <w:textAlignment w:val="baseline"/>
              <w:rPr>
                <w:rFonts w:ascii="宋体" w:hAnsi="宋体" w:eastAsia="宋体" w:cs="宋体"/>
                <w:b/>
                <w:bCs/>
                <w:szCs w:val="21"/>
              </w:rPr>
            </w:pPr>
          </w:p>
        </w:tc>
        <w:tc>
          <w:tcPr>
            <w:tcW w:w="6200" w:type="dxa"/>
            <w:tcBorders>
              <w:top w:val="single" w:color="auto" w:sz="4" w:space="0"/>
              <w:bottom w:val="single" w:color="auto" w:sz="4" w:space="0"/>
            </w:tcBorders>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ISO/IEC 27701隐私信息管理体系认证证书</w:t>
            </w:r>
          </w:p>
        </w:tc>
        <w:tc>
          <w:tcPr>
            <w:tcW w:w="683" w:type="dxa"/>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hint="eastAsia" w:ascii="宋体" w:hAnsi="宋体" w:eastAsia="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trPr>
        <w:tc>
          <w:tcPr>
            <w:tcW w:w="1347" w:type="dxa"/>
            <w:vMerge w:val="continue"/>
            <w:vAlign w:val="center"/>
          </w:tcPr>
          <w:p>
            <w:pPr>
              <w:spacing w:before="156" w:after="156" w:line="240" w:lineRule="atLeast"/>
              <w:textAlignment w:val="baseline"/>
              <w:rPr>
                <w:rFonts w:ascii="宋体" w:hAnsi="宋体" w:eastAsia="宋体" w:cs="宋体"/>
                <w:b/>
                <w:bCs/>
                <w:szCs w:val="21"/>
              </w:rPr>
            </w:pPr>
          </w:p>
        </w:tc>
        <w:tc>
          <w:tcPr>
            <w:tcW w:w="1300" w:type="dxa"/>
            <w:vMerge w:val="continue"/>
            <w:vAlign w:val="center"/>
          </w:tcPr>
          <w:p>
            <w:pPr>
              <w:spacing w:before="156" w:after="156" w:line="240" w:lineRule="atLeast"/>
              <w:textAlignment w:val="baseline"/>
              <w:rPr>
                <w:rFonts w:ascii="宋体" w:hAnsi="宋体" w:eastAsia="宋体" w:cs="宋体"/>
                <w:b/>
                <w:bCs/>
                <w:szCs w:val="21"/>
              </w:rPr>
            </w:pPr>
          </w:p>
        </w:tc>
        <w:tc>
          <w:tcPr>
            <w:tcW w:w="6200" w:type="dxa"/>
            <w:tcBorders>
              <w:top w:val="single" w:color="auto" w:sz="4" w:space="0"/>
              <w:bottom w:val="single" w:color="auto" w:sz="4" w:space="0"/>
            </w:tcBorders>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ITSS云计算服务能力标准符合性评估资质（公有云基础设施服务能力等级）一级认证证书</w:t>
            </w:r>
          </w:p>
        </w:tc>
        <w:tc>
          <w:tcPr>
            <w:tcW w:w="683" w:type="dxa"/>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hint="eastAsia" w:ascii="宋体" w:hAnsi="宋体" w:eastAsia="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trPr>
        <w:tc>
          <w:tcPr>
            <w:tcW w:w="1347" w:type="dxa"/>
            <w:vMerge w:val="continue"/>
            <w:vAlign w:val="center"/>
          </w:tcPr>
          <w:p>
            <w:pPr>
              <w:spacing w:before="156" w:after="156" w:line="240" w:lineRule="atLeast"/>
              <w:textAlignment w:val="baseline"/>
              <w:rPr>
                <w:rFonts w:ascii="宋体" w:hAnsi="宋体" w:eastAsia="宋体" w:cs="宋体"/>
                <w:b/>
                <w:bCs/>
                <w:szCs w:val="21"/>
              </w:rPr>
            </w:pPr>
          </w:p>
        </w:tc>
        <w:tc>
          <w:tcPr>
            <w:tcW w:w="1300" w:type="dxa"/>
            <w:vMerge w:val="continue"/>
            <w:vAlign w:val="center"/>
          </w:tcPr>
          <w:p>
            <w:pPr>
              <w:spacing w:before="156" w:after="156" w:line="240" w:lineRule="atLeast"/>
              <w:textAlignment w:val="baseline"/>
              <w:rPr>
                <w:rFonts w:ascii="宋体" w:hAnsi="宋体" w:eastAsia="宋体" w:cs="宋体"/>
                <w:b/>
                <w:bCs/>
                <w:szCs w:val="21"/>
              </w:rPr>
            </w:pPr>
          </w:p>
        </w:tc>
        <w:tc>
          <w:tcPr>
            <w:tcW w:w="6200" w:type="dxa"/>
            <w:tcBorders>
              <w:top w:val="single" w:color="auto" w:sz="4" w:space="0"/>
              <w:bottom w:val="single" w:color="auto" w:sz="4" w:space="0"/>
            </w:tcBorders>
            <w:vAlign w:val="center"/>
          </w:tcPr>
          <w:p>
            <w:pPr>
              <w:rPr>
                <w:rFonts w:ascii="宋体" w:hAnsi="宋体" w:eastAsia="宋体" w:cs="宋体"/>
                <w:szCs w:val="21"/>
              </w:rPr>
            </w:pPr>
            <w:r>
              <w:rPr>
                <w:rFonts w:hint="eastAsia" w:ascii="仿宋_GB2312" w:hAnsi="宋体" w:eastAsia="仿宋_GB2312" w:cs="宋体"/>
                <w:color w:val="000000"/>
                <w:kern w:val="0"/>
                <w:sz w:val="24"/>
                <w:szCs w:val="24"/>
              </w:rPr>
              <w:t>PCI DSS第三方支付行业数据安全认证证书。</w:t>
            </w:r>
          </w:p>
        </w:tc>
        <w:tc>
          <w:tcPr>
            <w:tcW w:w="683" w:type="dxa"/>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hint="eastAsia" w:ascii="宋体" w:hAnsi="宋体" w:eastAsia="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trPr>
        <w:tc>
          <w:tcPr>
            <w:tcW w:w="1347" w:type="dxa"/>
            <w:vMerge w:val="continue"/>
            <w:vAlign w:val="center"/>
          </w:tcPr>
          <w:p>
            <w:pPr>
              <w:spacing w:before="156" w:after="156" w:line="240" w:lineRule="atLeast"/>
              <w:textAlignment w:val="baseline"/>
              <w:rPr>
                <w:rFonts w:ascii="宋体" w:hAnsi="宋体" w:eastAsia="宋体" w:cs="宋体"/>
                <w:b/>
                <w:bCs/>
                <w:szCs w:val="21"/>
              </w:rPr>
            </w:pPr>
          </w:p>
        </w:tc>
        <w:tc>
          <w:tcPr>
            <w:tcW w:w="1300" w:type="dxa"/>
            <w:vMerge w:val="continue"/>
            <w:vAlign w:val="center"/>
          </w:tcPr>
          <w:p>
            <w:pPr>
              <w:spacing w:before="156" w:after="156" w:line="240" w:lineRule="atLeast"/>
              <w:textAlignment w:val="baseline"/>
              <w:rPr>
                <w:rFonts w:ascii="宋体" w:hAnsi="宋体" w:eastAsia="宋体" w:cs="宋体"/>
                <w:b/>
                <w:bCs/>
                <w:szCs w:val="21"/>
              </w:rPr>
            </w:pPr>
          </w:p>
        </w:tc>
        <w:tc>
          <w:tcPr>
            <w:tcW w:w="6883" w:type="dxa"/>
            <w:gridSpan w:val="2"/>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hint="eastAsia" w:ascii="仿宋_GB2312" w:hAnsi="宋体" w:eastAsia="仿宋_GB2312" w:cs="宋体"/>
                <w:color w:val="000000"/>
                <w:kern w:val="0"/>
                <w:sz w:val="24"/>
                <w:szCs w:val="24"/>
              </w:rPr>
              <w:t>提供证书复印件，不提供或不符合要求不得分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 w:hRule="atLeast"/>
        </w:trPr>
        <w:tc>
          <w:tcPr>
            <w:tcW w:w="1347" w:type="dxa"/>
            <w:vMerge w:val="continue"/>
            <w:vAlign w:val="center"/>
          </w:tcPr>
          <w:p>
            <w:pPr>
              <w:spacing w:before="156" w:after="156" w:line="240" w:lineRule="atLeast"/>
              <w:textAlignment w:val="baseline"/>
              <w:rPr>
                <w:rFonts w:ascii="宋体" w:hAnsi="宋体" w:eastAsia="宋体" w:cs="宋体"/>
                <w:b/>
                <w:bCs/>
                <w:szCs w:val="21"/>
              </w:rPr>
            </w:pPr>
          </w:p>
        </w:tc>
        <w:tc>
          <w:tcPr>
            <w:tcW w:w="1300" w:type="dxa"/>
            <w:vMerge w:val="restart"/>
            <w:tcBorders>
              <w:top w:val="single" w:color="auto" w:sz="4" w:space="0"/>
            </w:tcBorders>
            <w:vAlign w:val="center"/>
          </w:tcPr>
          <w:p>
            <w:pPr>
              <w:spacing w:before="156" w:after="156" w:line="240" w:lineRule="atLeast"/>
              <w:textAlignment w:val="baseline"/>
              <w:rPr>
                <w:rFonts w:ascii="宋体" w:hAnsi="宋体" w:eastAsia="宋体" w:cs="宋体"/>
                <w:b/>
                <w:bCs/>
                <w:szCs w:val="21"/>
              </w:rPr>
            </w:pPr>
            <w:r>
              <w:rPr>
                <w:rFonts w:hint="eastAsia" w:ascii="宋体" w:hAnsi="宋体" w:eastAsia="宋体" w:cs="宋体"/>
                <w:b/>
                <w:bCs/>
                <w:szCs w:val="21"/>
              </w:rPr>
              <w:t>相关</w:t>
            </w:r>
            <w:r>
              <w:rPr>
                <w:rFonts w:ascii="宋体" w:hAnsi="宋体" w:eastAsia="宋体" w:cs="宋体"/>
                <w:b/>
                <w:bCs/>
                <w:szCs w:val="21"/>
              </w:rPr>
              <w:t>业绩（3</w:t>
            </w:r>
            <w:r>
              <w:rPr>
                <w:rFonts w:hint="eastAsia" w:ascii="宋体" w:hAnsi="宋体" w:eastAsia="宋体" w:cs="宋体"/>
                <w:b/>
                <w:bCs/>
                <w:szCs w:val="21"/>
              </w:rPr>
              <w:t>分</w:t>
            </w:r>
            <w:r>
              <w:rPr>
                <w:rFonts w:ascii="宋体" w:hAnsi="宋体" w:eastAsia="宋体" w:cs="宋体"/>
                <w:b/>
                <w:bCs/>
                <w:szCs w:val="21"/>
              </w:rPr>
              <w:t>）</w:t>
            </w:r>
          </w:p>
        </w:tc>
        <w:tc>
          <w:tcPr>
            <w:tcW w:w="6200" w:type="dxa"/>
            <w:tcBorders>
              <w:top w:val="single" w:color="auto" w:sz="4" w:space="0"/>
              <w:bottom w:val="single" w:color="auto" w:sz="4" w:space="0"/>
            </w:tcBorders>
            <w:vAlign w:val="center"/>
          </w:tcPr>
          <w:p>
            <w:pPr>
              <w:spacing w:before="156" w:after="156" w:line="240" w:lineRule="atLeast"/>
              <w:textAlignment w:val="baseline"/>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要求投标商提供近三年（2019年至今）内承担过类似业绩，每提供一项得</w:t>
            </w:r>
            <w:r>
              <w:rPr>
                <w:rFonts w:ascii="仿宋_GB2312" w:hAnsi="宋体" w:eastAsia="仿宋_GB2312" w:cs="宋体"/>
                <w:color w:val="000000"/>
                <w:kern w:val="0"/>
                <w:sz w:val="24"/>
                <w:szCs w:val="24"/>
              </w:rPr>
              <w:t>1</w:t>
            </w:r>
            <w:r>
              <w:rPr>
                <w:rFonts w:hint="eastAsia" w:ascii="仿宋_GB2312" w:hAnsi="宋体" w:eastAsia="仿宋_GB2312" w:cs="宋体"/>
                <w:color w:val="000000"/>
                <w:kern w:val="0"/>
                <w:sz w:val="24"/>
                <w:szCs w:val="24"/>
              </w:rPr>
              <w:t>分，最高得</w:t>
            </w:r>
            <w:r>
              <w:rPr>
                <w:rFonts w:ascii="仿宋_GB2312" w:hAnsi="宋体" w:eastAsia="仿宋_GB2312" w:cs="宋体"/>
                <w:color w:val="000000"/>
                <w:kern w:val="0"/>
                <w:sz w:val="24"/>
                <w:szCs w:val="24"/>
              </w:rPr>
              <w:t>3</w:t>
            </w:r>
            <w:r>
              <w:rPr>
                <w:rFonts w:hint="eastAsia" w:ascii="仿宋_GB2312" w:hAnsi="宋体" w:eastAsia="仿宋_GB2312" w:cs="宋体"/>
                <w:color w:val="000000"/>
                <w:kern w:val="0"/>
                <w:sz w:val="24"/>
                <w:szCs w:val="24"/>
              </w:rPr>
              <w:t>分。</w:t>
            </w:r>
          </w:p>
        </w:tc>
        <w:tc>
          <w:tcPr>
            <w:tcW w:w="683" w:type="dxa"/>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hint="eastAsia" w:ascii="宋体" w:hAnsi="宋体" w:eastAsia="宋体" w:cs="宋体"/>
                <w:szCs w:val="21"/>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9" w:hRule="atLeast"/>
        </w:trPr>
        <w:tc>
          <w:tcPr>
            <w:tcW w:w="1347" w:type="dxa"/>
            <w:vMerge w:val="continue"/>
            <w:vAlign w:val="center"/>
          </w:tcPr>
          <w:p>
            <w:pPr>
              <w:spacing w:before="156" w:after="156" w:line="240" w:lineRule="atLeast"/>
              <w:textAlignment w:val="baseline"/>
              <w:rPr>
                <w:rFonts w:ascii="宋体" w:hAnsi="宋体" w:eastAsia="宋体" w:cs="宋体"/>
                <w:b/>
                <w:bCs/>
                <w:szCs w:val="21"/>
              </w:rPr>
            </w:pPr>
          </w:p>
        </w:tc>
        <w:tc>
          <w:tcPr>
            <w:tcW w:w="1300" w:type="dxa"/>
            <w:vMerge w:val="continue"/>
            <w:vAlign w:val="center"/>
          </w:tcPr>
          <w:p>
            <w:pPr>
              <w:spacing w:before="156" w:after="156" w:line="240" w:lineRule="atLeast"/>
              <w:textAlignment w:val="baseline"/>
              <w:rPr>
                <w:rFonts w:ascii="宋体" w:hAnsi="宋体" w:eastAsia="宋体" w:cs="宋体"/>
                <w:b/>
                <w:bCs/>
                <w:szCs w:val="21"/>
              </w:rPr>
            </w:pPr>
          </w:p>
        </w:tc>
        <w:tc>
          <w:tcPr>
            <w:tcW w:w="6883" w:type="dxa"/>
            <w:gridSpan w:val="2"/>
            <w:tcBorders>
              <w:top w:val="single" w:color="auto" w:sz="4" w:space="0"/>
              <w:bottom w:val="single" w:color="auto" w:sz="4" w:space="0"/>
            </w:tcBorders>
            <w:vAlign w:val="center"/>
          </w:tcPr>
          <w:p>
            <w:pPr>
              <w:spacing w:before="156" w:after="156" w:line="240" w:lineRule="atLeast"/>
              <w:textAlignment w:val="baseline"/>
              <w:rPr>
                <w:rFonts w:ascii="宋体" w:hAnsi="宋体" w:eastAsia="宋体" w:cs="宋体"/>
                <w:szCs w:val="21"/>
              </w:rPr>
            </w:pPr>
            <w:r>
              <w:rPr>
                <w:rFonts w:hint="eastAsia" w:ascii="仿宋_GB2312" w:hAnsi="宋体" w:eastAsia="仿宋_GB2312" w:cs="宋体"/>
                <w:color w:val="000000"/>
                <w:kern w:val="0"/>
                <w:sz w:val="24"/>
                <w:szCs w:val="24"/>
              </w:rPr>
              <w:t>注：上述要求的业绩证明必须提供中标通知书或合同关键页扫描件，合同关键页（包括但不限于以下页面：合同服务内容、合同金额、合同签字盖章）。</w:t>
            </w:r>
          </w:p>
        </w:tc>
      </w:tr>
    </w:tbl>
    <w:p>
      <w:pPr>
        <w:rPr>
          <w:rFonts w:hint="eastAsia" w:ascii="宋体" w:hAnsi="宋体" w:eastAsia="宋体" w:cs="宋体"/>
          <w:color w:val="auto"/>
          <w:sz w:val="21"/>
          <w:szCs w:val="21"/>
          <w:highlight w:val="none"/>
        </w:rPr>
      </w:pPr>
    </w:p>
    <w:p>
      <w:pPr>
        <w:pStyle w:val="5"/>
        <w:numPr>
          <w:ilvl w:val="0"/>
          <w:numId w:val="0"/>
        </w:numPr>
        <w:tabs>
          <w:tab w:val="left" w:pos="576"/>
        </w:tabs>
        <w:spacing w:line="5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50分</w:t>
      </w:r>
      <w:r>
        <w:rPr>
          <w:rFonts w:hint="eastAsia" w:ascii="宋体" w:hAnsi="宋体" w:eastAsia="宋体" w:cs="宋体"/>
          <w:color w:val="auto"/>
          <w:sz w:val="21"/>
          <w:szCs w:val="21"/>
          <w:highlight w:val="none"/>
          <w:lang w:eastAsia="zh-CN"/>
        </w:rPr>
        <w:t>）</w:t>
      </w:r>
    </w:p>
    <w:tbl>
      <w:tblPr>
        <w:tblStyle w:val="36"/>
        <w:tblW w:w="88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8"/>
        <w:gridCol w:w="1310"/>
        <w:gridCol w:w="6150"/>
        <w:gridCol w:w="7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1" w:hRule="atLeast"/>
        </w:trPr>
        <w:tc>
          <w:tcPr>
            <w:tcW w:w="2008" w:type="dxa"/>
            <w:gridSpan w:val="2"/>
            <w:tcBorders>
              <w:top w:val="single" w:color="auto" w:sz="4" w:space="0"/>
            </w:tcBorders>
            <w:vAlign w:val="center"/>
          </w:tcPr>
          <w:p>
            <w:pPr>
              <w:spacing w:before="156" w:after="156" w:line="240" w:lineRule="atLeast"/>
              <w:jc w:val="center"/>
              <w:textAlignment w:val="baseline"/>
              <w:rPr>
                <w:rFonts w:ascii="宋体" w:hAnsi="宋体" w:eastAsia="宋体" w:cs="宋体"/>
                <w:b/>
                <w:bCs/>
                <w:szCs w:val="21"/>
              </w:rPr>
            </w:pPr>
            <w:r>
              <w:rPr>
                <w:rFonts w:hint="eastAsia" w:ascii="宋体" w:hAnsi="宋体" w:eastAsia="宋体" w:cs="宋体"/>
                <w:b/>
                <w:bCs/>
                <w:szCs w:val="21"/>
              </w:rPr>
              <w:t>评分项</w:t>
            </w:r>
          </w:p>
        </w:tc>
        <w:tc>
          <w:tcPr>
            <w:tcW w:w="6150" w:type="dxa"/>
            <w:tcBorders>
              <w:top w:val="single" w:color="auto" w:sz="4" w:space="0"/>
            </w:tcBorders>
            <w:vAlign w:val="center"/>
          </w:tcPr>
          <w:p>
            <w:pPr>
              <w:spacing w:before="156" w:after="156" w:line="240" w:lineRule="atLeast"/>
              <w:jc w:val="center"/>
              <w:textAlignment w:val="baseline"/>
              <w:rPr>
                <w:rFonts w:ascii="宋体" w:hAnsi="宋体" w:eastAsia="宋体" w:cs="宋体"/>
                <w:szCs w:val="21"/>
              </w:rPr>
            </w:pPr>
            <w:r>
              <w:rPr>
                <w:rFonts w:hint="eastAsia" w:ascii="宋体" w:hAnsi="宋体" w:eastAsia="宋体" w:cs="宋体"/>
                <w:b/>
                <w:bCs/>
                <w:szCs w:val="21"/>
              </w:rPr>
              <w:t>评分项内容</w:t>
            </w:r>
          </w:p>
        </w:tc>
        <w:tc>
          <w:tcPr>
            <w:tcW w:w="739" w:type="dxa"/>
            <w:vAlign w:val="center"/>
          </w:tcPr>
          <w:p>
            <w:pPr>
              <w:spacing w:before="156" w:after="156" w:line="240" w:lineRule="atLeast"/>
              <w:jc w:val="center"/>
              <w:textAlignment w:val="baseline"/>
              <w:rPr>
                <w:rFonts w:ascii="宋体" w:hAnsi="宋体" w:eastAsia="宋体" w:cs="宋体"/>
                <w:szCs w:val="21"/>
              </w:rPr>
            </w:pPr>
            <w:r>
              <w:rPr>
                <w:rFonts w:hint="eastAsia" w:ascii="宋体" w:hAnsi="宋体" w:eastAsia="宋体" w:cs="宋体"/>
                <w:b/>
                <w:bCs/>
                <w:szCs w:val="21"/>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1" w:hRule="atLeast"/>
        </w:trPr>
        <w:tc>
          <w:tcPr>
            <w:tcW w:w="698" w:type="dxa"/>
            <w:vMerge w:val="restart"/>
            <w:tcBorders>
              <w:top w:val="single" w:color="auto" w:sz="4" w:space="0"/>
            </w:tcBorders>
            <w:vAlign w:val="center"/>
          </w:tcPr>
          <w:p>
            <w:pPr>
              <w:spacing w:line="240" w:lineRule="atLeast"/>
              <w:textAlignment w:val="baseline"/>
              <w:rPr>
                <w:rFonts w:ascii="宋体" w:hAnsi="宋体" w:eastAsia="宋体" w:cs="宋体"/>
                <w:b/>
                <w:bCs/>
                <w:szCs w:val="21"/>
              </w:rPr>
            </w:pPr>
            <w:r>
              <w:rPr>
                <w:rFonts w:hint="eastAsia" w:ascii="宋体" w:hAnsi="宋体" w:eastAsia="宋体" w:cs="宋体"/>
                <w:b/>
                <w:bCs/>
                <w:szCs w:val="21"/>
              </w:rPr>
              <w:t>技术部分（</w:t>
            </w:r>
            <w:r>
              <w:rPr>
                <w:rFonts w:ascii="宋体" w:hAnsi="宋体" w:eastAsia="宋体" w:cs="宋体"/>
                <w:b/>
                <w:bCs/>
                <w:szCs w:val="21"/>
              </w:rPr>
              <w:t>50</w:t>
            </w:r>
            <w:r>
              <w:rPr>
                <w:rFonts w:hint="eastAsia" w:ascii="宋体" w:hAnsi="宋体" w:eastAsia="宋体" w:cs="宋体"/>
                <w:b/>
                <w:bCs/>
                <w:szCs w:val="21"/>
              </w:rPr>
              <w:t>分）</w:t>
            </w:r>
          </w:p>
        </w:tc>
        <w:tc>
          <w:tcPr>
            <w:tcW w:w="1310" w:type="dxa"/>
            <w:tcBorders>
              <w:top w:val="single" w:color="auto" w:sz="4" w:space="0"/>
            </w:tcBorders>
            <w:vAlign w:val="center"/>
          </w:tcPr>
          <w:p>
            <w:pPr>
              <w:spacing w:line="240" w:lineRule="atLeast"/>
              <w:textAlignment w:val="baseline"/>
              <w:rPr>
                <w:rFonts w:ascii="宋体" w:hAnsi="宋体" w:eastAsia="宋体" w:cs="宋体"/>
                <w:b/>
                <w:bCs/>
                <w:szCs w:val="21"/>
              </w:rPr>
            </w:pPr>
            <w:r>
              <w:rPr>
                <w:rFonts w:hint="eastAsia" w:ascii="宋体" w:hAnsi="宋体" w:eastAsia="宋体" w:cs="宋体"/>
                <w:b/>
                <w:bCs/>
                <w:szCs w:val="21"/>
              </w:rPr>
              <w:t>产品技术参数评分（3</w:t>
            </w:r>
            <w:r>
              <w:rPr>
                <w:rFonts w:ascii="宋体" w:hAnsi="宋体" w:eastAsia="宋体" w:cs="宋体"/>
                <w:b/>
                <w:bCs/>
                <w:szCs w:val="21"/>
              </w:rPr>
              <w:t>0</w:t>
            </w:r>
            <w:r>
              <w:rPr>
                <w:rFonts w:hint="eastAsia" w:ascii="宋体" w:hAnsi="宋体" w:eastAsia="宋体" w:cs="宋体"/>
                <w:b/>
                <w:bCs/>
                <w:szCs w:val="21"/>
              </w:rPr>
              <w:t>分）</w:t>
            </w:r>
          </w:p>
        </w:tc>
        <w:tc>
          <w:tcPr>
            <w:tcW w:w="6150" w:type="dxa"/>
            <w:tcBorders>
              <w:top w:val="single" w:color="auto" w:sz="4" w:space="0"/>
            </w:tcBorders>
            <w:vAlign w:val="center"/>
          </w:tcPr>
          <w:p>
            <w:pPr>
              <w:spacing w:line="240" w:lineRule="atLeast"/>
              <w:textAlignment w:val="baseline"/>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按照技术参数指标提供证明材料，证明材料可以使用生产厂家官方网站截图或产品白皮书或第三方机构检验报告或其他相关证明材料，未提供有效证明材料或证明材料中内容与所填报指标不一致的，该指标按不满足处理，证明材料加盖原厂公章。技术参数指标中基础需求（</w:t>
            </w:r>
            <w:r>
              <w:rPr>
                <w:rFonts w:ascii="仿宋_GB2312" w:hAnsi="宋体" w:eastAsia="仿宋_GB2312" w:cs="宋体"/>
                <w:color w:val="000000"/>
                <w:kern w:val="0"/>
                <w:sz w:val="24"/>
                <w:szCs w:val="24"/>
              </w:rPr>
              <w:t>除</w:t>
            </w:r>
            <w:r>
              <w:rPr>
                <w:rFonts w:hint="eastAsia" w:ascii="仿宋_GB2312" w:hAnsi="宋体" w:eastAsia="仿宋_GB2312" w:cs="宋体"/>
                <w:color w:val="000000"/>
                <w:kern w:val="0"/>
                <w:sz w:val="24"/>
                <w:szCs w:val="24"/>
              </w:rPr>
              <w:t>短信包）</w:t>
            </w:r>
            <w:r>
              <w:rPr>
                <w:rFonts w:ascii="仿宋_GB2312" w:hAnsi="宋体" w:eastAsia="仿宋_GB2312" w:cs="宋体"/>
                <w:color w:val="000000"/>
                <w:kern w:val="0"/>
                <w:sz w:val="24"/>
                <w:szCs w:val="24"/>
              </w:rPr>
              <w:t>必须</w:t>
            </w:r>
            <w:r>
              <w:rPr>
                <w:rFonts w:hint="eastAsia" w:ascii="仿宋_GB2312" w:hAnsi="宋体" w:eastAsia="仿宋_GB2312" w:cs="宋体"/>
                <w:color w:val="000000"/>
                <w:kern w:val="0"/>
                <w:sz w:val="24"/>
                <w:szCs w:val="24"/>
              </w:rPr>
              <w:t>响应并提供证明材料，每少一项扣除3分，</w:t>
            </w:r>
            <w:r>
              <w:rPr>
                <w:rFonts w:ascii="仿宋_GB2312" w:hAnsi="宋体" w:eastAsia="仿宋_GB2312" w:cs="宋体"/>
                <w:color w:val="000000"/>
                <w:kern w:val="0"/>
                <w:sz w:val="24"/>
                <w:szCs w:val="24"/>
              </w:rPr>
              <w:t>扣完</w:t>
            </w:r>
            <w:r>
              <w:rPr>
                <w:rFonts w:hint="eastAsia" w:ascii="仿宋_GB2312" w:hAnsi="宋体" w:eastAsia="仿宋_GB2312" w:cs="宋体"/>
                <w:color w:val="000000"/>
                <w:kern w:val="0"/>
                <w:sz w:val="24"/>
                <w:szCs w:val="24"/>
              </w:rPr>
              <w:t>为止；重要</w:t>
            </w:r>
            <w:r>
              <w:rPr>
                <w:rFonts w:ascii="仿宋_GB2312" w:hAnsi="宋体" w:eastAsia="仿宋_GB2312" w:cs="宋体"/>
                <w:color w:val="000000"/>
                <w:kern w:val="0"/>
                <w:sz w:val="24"/>
                <w:szCs w:val="24"/>
              </w:rPr>
              <w:t>服务能力</w:t>
            </w:r>
            <w:r>
              <w:rPr>
                <w:rFonts w:hint="eastAsia" w:ascii="仿宋_GB2312" w:hAnsi="宋体" w:eastAsia="仿宋_GB2312" w:cs="宋体"/>
                <w:color w:val="000000"/>
                <w:kern w:val="0"/>
                <w:sz w:val="24"/>
                <w:szCs w:val="24"/>
              </w:rPr>
              <w:t>指标需响应并提供证明资料，</w:t>
            </w:r>
            <w:r>
              <w:rPr>
                <w:rFonts w:ascii="仿宋_GB2312" w:hAnsi="宋体" w:eastAsia="仿宋_GB2312" w:cs="宋体"/>
                <w:color w:val="000000"/>
                <w:kern w:val="0"/>
                <w:sz w:val="24"/>
                <w:szCs w:val="24"/>
              </w:rPr>
              <w:t>每</w:t>
            </w:r>
            <w:r>
              <w:rPr>
                <w:rFonts w:hint="eastAsia" w:ascii="仿宋_GB2312" w:hAnsi="宋体" w:eastAsia="仿宋_GB2312" w:cs="宋体"/>
                <w:color w:val="000000"/>
                <w:kern w:val="0"/>
                <w:sz w:val="24"/>
                <w:szCs w:val="24"/>
              </w:rPr>
              <w:t>少1项扣除1分；</w:t>
            </w:r>
          </w:p>
        </w:tc>
        <w:tc>
          <w:tcPr>
            <w:tcW w:w="739" w:type="dxa"/>
            <w:vAlign w:val="center"/>
          </w:tcPr>
          <w:p>
            <w:pPr>
              <w:spacing w:line="240" w:lineRule="atLeast"/>
              <w:textAlignment w:val="baseline"/>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1" w:hRule="atLeast"/>
        </w:trPr>
        <w:tc>
          <w:tcPr>
            <w:tcW w:w="698" w:type="dxa"/>
            <w:vMerge w:val="continue"/>
            <w:vAlign w:val="center"/>
          </w:tcPr>
          <w:p>
            <w:pPr>
              <w:spacing w:line="240" w:lineRule="atLeast"/>
              <w:textAlignment w:val="baseline"/>
              <w:rPr>
                <w:rFonts w:ascii="宋体" w:hAnsi="宋体" w:eastAsia="宋体" w:cs="宋体"/>
                <w:b/>
                <w:bCs/>
                <w:szCs w:val="21"/>
              </w:rPr>
            </w:pPr>
          </w:p>
        </w:tc>
        <w:tc>
          <w:tcPr>
            <w:tcW w:w="1310" w:type="dxa"/>
            <w:vMerge w:val="restart"/>
            <w:vAlign w:val="center"/>
          </w:tcPr>
          <w:p>
            <w:pPr>
              <w:spacing w:line="240" w:lineRule="atLeast"/>
              <w:textAlignment w:val="baseline"/>
              <w:rPr>
                <w:rFonts w:ascii="宋体" w:hAnsi="宋体" w:eastAsia="宋体" w:cs="宋体"/>
                <w:b/>
                <w:bCs/>
                <w:szCs w:val="21"/>
              </w:rPr>
            </w:pPr>
            <w:r>
              <w:rPr>
                <w:rFonts w:hint="eastAsia" w:ascii="宋体" w:hAnsi="宋体" w:eastAsia="宋体" w:cs="宋体"/>
                <w:b/>
                <w:bCs/>
                <w:szCs w:val="21"/>
              </w:rPr>
              <w:t>技术方案及实施方案（11分）</w:t>
            </w:r>
          </w:p>
        </w:tc>
        <w:tc>
          <w:tcPr>
            <w:tcW w:w="6150" w:type="dxa"/>
            <w:vAlign w:val="center"/>
          </w:tcPr>
          <w:p>
            <w:pPr>
              <w:spacing w:line="240" w:lineRule="atLeast"/>
              <w:textAlignment w:val="baseline"/>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投标人提供所投产品所在数据中心概述、</w:t>
            </w:r>
            <w:r>
              <w:rPr>
                <w:rFonts w:ascii="仿宋_GB2312" w:hAnsi="宋体" w:eastAsia="仿宋_GB2312" w:cs="宋体"/>
                <w:color w:val="000000"/>
                <w:kern w:val="0"/>
                <w:sz w:val="24"/>
                <w:szCs w:val="24"/>
              </w:rPr>
              <w:t>服务器</w:t>
            </w:r>
            <w:r>
              <w:rPr>
                <w:rFonts w:hint="eastAsia" w:ascii="仿宋_GB2312" w:hAnsi="宋体" w:eastAsia="仿宋_GB2312" w:cs="宋体"/>
                <w:color w:val="000000"/>
                <w:kern w:val="0"/>
                <w:sz w:val="24"/>
                <w:szCs w:val="24"/>
              </w:rPr>
              <w:t>、</w:t>
            </w:r>
            <w:r>
              <w:rPr>
                <w:rFonts w:ascii="仿宋_GB2312" w:hAnsi="宋体" w:eastAsia="仿宋_GB2312" w:cs="宋体"/>
                <w:color w:val="000000"/>
                <w:kern w:val="0"/>
                <w:sz w:val="24"/>
                <w:szCs w:val="24"/>
              </w:rPr>
              <w:t>存储</w:t>
            </w:r>
            <w:r>
              <w:rPr>
                <w:rFonts w:hint="eastAsia" w:ascii="仿宋_GB2312" w:hAnsi="宋体" w:eastAsia="仿宋_GB2312" w:cs="宋体"/>
                <w:color w:val="000000"/>
                <w:kern w:val="0"/>
                <w:sz w:val="24"/>
                <w:szCs w:val="24"/>
              </w:rPr>
              <w:t>、安全防护、</w:t>
            </w:r>
            <w:r>
              <w:rPr>
                <w:rFonts w:ascii="仿宋_GB2312" w:hAnsi="宋体" w:eastAsia="仿宋_GB2312" w:cs="宋体"/>
                <w:color w:val="000000"/>
                <w:kern w:val="0"/>
                <w:sz w:val="24"/>
                <w:szCs w:val="24"/>
              </w:rPr>
              <w:t>运维</w:t>
            </w:r>
            <w:r>
              <w:rPr>
                <w:rFonts w:hint="eastAsia" w:ascii="仿宋_GB2312" w:hAnsi="宋体" w:eastAsia="仿宋_GB2312" w:cs="宋体"/>
                <w:color w:val="000000"/>
                <w:kern w:val="0"/>
                <w:sz w:val="24"/>
                <w:szCs w:val="24"/>
              </w:rPr>
              <w:t>等技术方案，投标人响应产品技术先进，性能稳定、升级扩展性强，技术方案科学、合理、详尽，可行性强，得</w:t>
            </w:r>
            <w:r>
              <w:rPr>
                <w:rFonts w:ascii="仿宋_GB2312" w:hAnsi="宋体" w:eastAsia="仿宋_GB2312" w:cs="宋体"/>
                <w:color w:val="000000"/>
                <w:kern w:val="0"/>
                <w:sz w:val="24"/>
                <w:szCs w:val="24"/>
              </w:rPr>
              <w:t>4</w:t>
            </w:r>
            <w:r>
              <w:rPr>
                <w:rFonts w:hint="eastAsia" w:ascii="仿宋_GB2312" w:hAnsi="宋体" w:eastAsia="仿宋_GB2312" w:cs="宋体"/>
                <w:color w:val="000000"/>
                <w:kern w:val="0"/>
                <w:sz w:val="24"/>
                <w:szCs w:val="24"/>
              </w:rPr>
              <w:t>分；产品选型能够满足采购项目要求，技术方案全面、合理，得</w:t>
            </w: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分；产品选型能够满足采购项目基本要求，响应中包含整体技术方案，但缺少项目针对性、合理性，得1分；缺少技术方案，不得分。</w:t>
            </w:r>
          </w:p>
        </w:tc>
        <w:tc>
          <w:tcPr>
            <w:tcW w:w="739" w:type="dxa"/>
            <w:vAlign w:val="center"/>
          </w:tcPr>
          <w:p>
            <w:pPr>
              <w:spacing w:line="240" w:lineRule="atLeast"/>
              <w:textAlignment w:val="baseline"/>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6" w:hRule="atLeast"/>
        </w:trPr>
        <w:tc>
          <w:tcPr>
            <w:tcW w:w="698" w:type="dxa"/>
            <w:vMerge w:val="continue"/>
            <w:vAlign w:val="center"/>
          </w:tcPr>
          <w:p>
            <w:pPr>
              <w:spacing w:before="156" w:after="156" w:line="240" w:lineRule="atLeast"/>
              <w:textAlignment w:val="baseline"/>
              <w:rPr>
                <w:rFonts w:ascii="宋体" w:hAnsi="宋体" w:eastAsia="宋体" w:cs="宋体"/>
                <w:b/>
                <w:bCs/>
                <w:szCs w:val="21"/>
              </w:rPr>
            </w:pPr>
          </w:p>
        </w:tc>
        <w:tc>
          <w:tcPr>
            <w:tcW w:w="1310" w:type="dxa"/>
            <w:vMerge w:val="continue"/>
            <w:vAlign w:val="center"/>
          </w:tcPr>
          <w:p>
            <w:pPr>
              <w:spacing w:line="240" w:lineRule="atLeast"/>
              <w:jc w:val="center"/>
              <w:textAlignment w:val="baseline"/>
              <w:rPr>
                <w:rFonts w:ascii="宋体" w:hAnsi="宋体" w:eastAsia="宋体" w:cs="宋体"/>
                <w:b/>
                <w:bCs/>
                <w:szCs w:val="21"/>
              </w:rPr>
            </w:pPr>
          </w:p>
        </w:tc>
        <w:tc>
          <w:tcPr>
            <w:tcW w:w="6150" w:type="dxa"/>
            <w:vAlign w:val="center"/>
          </w:tcPr>
          <w:p>
            <w:pPr>
              <w:spacing w:line="240" w:lineRule="atLeast"/>
              <w:textAlignment w:val="baseline"/>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结合项目需求，提供完备的项目部署实施、服务运维、持续改进、监督管理计划等，实施方案详尽，科学，合理，项目团队人员配备充足，技术能力出众，人员分工合理，项目实施关键时间节点清晰，项目进度控制措施清晰，得</w:t>
            </w:r>
            <w:r>
              <w:rPr>
                <w:rFonts w:ascii="仿宋_GB2312" w:hAnsi="宋体" w:eastAsia="仿宋_GB2312" w:cs="宋体"/>
                <w:color w:val="000000"/>
                <w:kern w:val="0"/>
                <w:sz w:val="24"/>
                <w:szCs w:val="24"/>
              </w:rPr>
              <w:t>4</w:t>
            </w:r>
            <w:r>
              <w:rPr>
                <w:rFonts w:hint="eastAsia" w:ascii="仿宋_GB2312" w:hAnsi="宋体" w:eastAsia="仿宋_GB2312" w:cs="宋体"/>
                <w:color w:val="000000"/>
                <w:kern w:val="0"/>
                <w:sz w:val="24"/>
                <w:szCs w:val="24"/>
              </w:rPr>
              <w:t>分；服务、实施方案较为合理，项目团队人员分工合理，响应方案中包括项目进度控制措施，得</w:t>
            </w: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分；投标人对服务、实施方案进行了响应，但缺少详细方案，得</w:t>
            </w:r>
            <w:r>
              <w:rPr>
                <w:rFonts w:ascii="仿宋_GB2312" w:hAnsi="宋体" w:eastAsia="仿宋_GB2312" w:cs="宋体"/>
                <w:color w:val="000000"/>
                <w:kern w:val="0"/>
                <w:sz w:val="24"/>
                <w:szCs w:val="24"/>
              </w:rPr>
              <w:t>1</w:t>
            </w:r>
            <w:r>
              <w:rPr>
                <w:rFonts w:hint="eastAsia" w:ascii="仿宋_GB2312" w:hAnsi="宋体" w:eastAsia="仿宋_GB2312" w:cs="宋体"/>
                <w:color w:val="000000"/>
                <w:kern w:val="0"/>
                <w:sz w:val="24"/>
                <w:szCs w:val="24"/>
              </w:rPr>
              <w:t>分；缺少服务、实施方案，得0分。</w:t>
            </w:r>
          </w:p>
        </w:tc>
        <w:tc>
          <w:tcPr>
            <w:tcW w:w="739" w:type="dxa"/>
            <w:vAlign w:val="center"/>
          </w:tcPr>
          <w:p>
            <w:pPr>
              <w:spacing w:before="156" w:after="156" w:line="240" w:lineRule="atLeast"/>
              <w:textAlignment w:val="baseline"/>
              <w:rPr>
                <w:rFonts w:ascii="宋体" w:hAnsi="宋体" w:eastAsia="宋体" w:cs="宋体"/>
                <w:szCs w:val="21"/>
              </w:rPr>
            </w:pPr>
            <w:r>
              <w:rPr>
                <w:rFonts w:ascii="宋体" w:hAnsi="宋体" w:eastAsia="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1" w:hRule="atLeast"/>
        </w:trPr>
        <w:tc>
          <w:tcPr>
            <w:tcW w:w="698" w:type="dxa"/>
            <w:vMerge w:val="continue"/>
            <w:vAlign w:val="center"/>
          </w:tcPr>
          <w:p>
            <w:pPr>
              <w:spacing w:before="156" w:after="156" w:line="240" w:lineRule="atLeast"/>
              <w:textAlignment w:val="baseline"/>
              <w:rPr>
                <w:rFonts w:ascii="宋体" w:hAnsi="宋体" w:eastAsia="宋体" w:cs="宋体"/>
                <w:b/>
                <w:bCs/>
                <w:szCs w:val="21"/>
              </w:rPr>
            </w:pPr>
          </w:p>
        </w:tc>
        <w:tc>
          <w:tcPr>
            <w:tcW w:w="1310" w:type="dxa"/>
            <w:vMerge w:val="continue"/>
            <w:vAlign w:val="center"/>
          </w:tcPr>
          <w:p>
            <w:pPr>
              <w:spacing w:before="156" w:after="156" w:line="240" w:lineRule="atLeast"/>
              <w:textAlignment w:val="baseline"/>
              <w:rPr>
                <w:rFonts w:ascii="宋体" w:hAnsi="宋体" w:eastAsia="宋体" w:cs="宋体"/>
                <w:b/>
                <w:bCs/>
                <w:szCs w:val="21"/>
              </w:rPr>
            </w:pPr>
          </w:p>
        </w:tc>
        <w:tc>
          <w:tcPr>
            <w:tcW w:w="6150" w:type="dxa"/>
            <w:vAlign w:val="center"/>
          </w:tcPr>
          <w:p>
            <w:pPr>
              <w:spacing w:line="240" w:lineRule="atLeast"/>
              <w:textAlignment w:val="baseline"/>
              <w:rPr>
                <w:rFonts w:ascii="宋体" w:hAnsi="宋体" w:eastAsia="宋体" w:cs="宋体"/>
                <w:szCs w:val="21"/>
              </w:rPr>
            </w:pPr>
            <w:r>
              <w:rPr>
                <w:rFonts w:hint="eastAsia" w:ascii="仿宋_GB2312" w:hAnsi="宋体" w:eastAsia="仿宋_GB2312" w:cs="宋体"/>
                <w:color w:val="000000"/>
                <w:kern w:val="0"/>
                <w:sz w:val="24"/>
                <w:szCs w:val="24"/>
              </w:rPr>
              <w:t>投标人应提供基于云平台的内部规范、规定或预案，其内容应包含但不限于云服务标准、故障处置、义务及惩戒、应急处置、人员值班管理等，内容完整得</w:t>
            </w:r>
            <w:r>
              <w:rPr>
                <w:rFonts w:ascii="仿宋_GB2312" w:hAnsi="宋体" w:eastAsia="仿宋_GB2312" w:cs="宋体"/>
                <w:color w:val="000000"/>
                <w:kern w:val="0"/>
                <w:sz w:val="24"/>
                <w:szCs w:val="24"/>
              </w:rPr>
              <w:t>3</w:t>
            </w:r>
            <w:r>
              <w:rPr>
                <w:rFonts w:hint="eastAsia" w:ascii="仿宋_GB2312" w:hAnsi="宋体" w:eastAsia="仿宋_GB2312" w:cs="宋体"/>
                <w:color w:val="000000"/>
                <w:kern w:val="0"/>
                <w:sz w:val="24"/>
                <w:szCs w:val="24"/>
              </w:rPr>
              <w:t>分，</w:t>
            </w:r>
            <w:r>
              <w:rPr>
                <w:rFonts w:ascii="仿宋_GB2312" w:hAnsi="宋体" w:eastAsia="仿宋_GB2312" w:cs="宋体"/>
                <w:color w:val="000000"/>
                <w:kern w:val="0"/>
                <w:sz w:val="24"/>
                <w:szCs w:val="24"/>
              </w:rPr>
              <w:t>内容</w:t>
            </w:r>
            <w:r>
              <w:rPr>
                <w:rFonts w:hint="eastAsia" w:ascii="仿宋_GB2312" w:hAnsi="宋体" w:eastAsia="仿宋_GB2312" w:cs="宋体"/>
                <w:color w:val="000000"/>
                <w:kern w:val="0"/>
                <w:sz w:val="24"/>
                <w:szCs w:val="24"/>
              </w:rPr>
              <w:t>基本完整得</w:t>
            </w: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分，</w:t>
            </w:r>
            <w:r>
              <w:rPr>
                <w:rFonts w:ascii="仿宋_GB2312" w:hAnsi="宋体" w:eastAsia="仿宋_GB2312" w:cs="宋体"/>
                <w:color w:val="000000"/>
                <w:kern w:val="0"/>
                <w:sz w:val="24"/>
                <w:szCs w:val="24"/>
              </w:rPr>
              <w:t>内容</w:t>
            </w:r>
            <w:r>
              <w:rPr>
                <w:rFonts w:hint="eastAsia" w:ascii="仿宋_GB2312" w:hAnsi="宋体" w:eastAsia="仿宋_GB2312" w:cs="宋体"/>
                <w:color w:val="000000"/>
                <w:kern w:val="0"/>
                <w:sz w:val="24"/>
                <w:szCs w:val="24"/>
              </w:rPr>
              <w:t>一般得1分；</w:t>
            </w:r>
            <w:r>
              <w:rPr>
                <w:rFonts w:ascii="仿宋_GB2312" w:hAnsi="宋体" w:eastAsia="仿宋_GB2312" w:cs="宋体"/>
                <w:color w:val="000000"/>
                <w:kern w:val="0"/>
                <w:sz w:val="24"/>
                <w:szCs w:val="24"/>
              </w:rPr>
              <w:t>缺少</w:t>
            </w:r>
            <w:r>
              <w:rPr>
                <w:rFonts w:hint="eastAsia" w:ascii="仿宋_GB2312" w:hAnsi="宋体" w:eastAsia="仿宋_GB2312" w:cs="宋体"/>
                <w:color w:val="000000"/>
                <w:kern w:val="0"/>
                <w:sz w:val="24"/>
                <w:szCs w:val="24"/>
              </w:rPr>
              <w:t>此部分内容得0分</w:t>
            </w:r>
          </w:p>
        </w:tc>
        <w:tc>
          <w:tcPr>
            <w:tcW w:w="739" w:type="dxa"/>
            <w:vAlign w:val="center"/>
          </w:tcPr>
          <w:p>
            <w:pPr>
              <w:spacing w:before="156" w:after="156" w:line="240" w:lineRule="atLeast"/>
              <w:textAlignment w:val="baseline"/>
              <w:rPr>
                <w:rFonts w:ascii="宋体" w:hAnsi="宋体" w:eastAsia="宋体" w:cs="宋体"/>
                <w:szCs w:val="21"/>
              </w:rPr>
            </w:pPr>
            <w:r>
              <w:rPr>
                <w:rFonts w:ascii="宋体" w:hAnsi="宋体" w:eastAsia="宋体" w:cs="宋体"/>
                <w:szCs w:val="21"/>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698" w:type="dxa"/>
            <w:vMerge w:val="continue"/>
            <w:vAlign w:val="center"/>
          </w:tcPr>
          <w:p>
            <w:pPr>
              <w:spacing w:before="156" w:after="156" w:line="240" w:lineRule="atLeast"/>
              <w:textAlignment w:val="baseline"/>
              <w:rPr>
                <w:rFonts w:ascii="宋体" w:hAnsi="宋体" w:eastAsia="宋体" w:cs="宋体"/>
                <w:b/>
                <w:bCs/>
                <w:szCs w:val="21"/>
              </w:rPr>
            </w:pPr>
          </w:p>
        </w:tc>
        <w:tc>
          <w:tcPr>
            <w:tcW w:w="1310" w:type="dxa"/>
            <w:vMerge w:val="restart"/>
            <w:vAlign w:val="center"/>
          </w:tcPr>
          <w:p>
            <w:pPr>
              <w:spacing w:line="240" w:lineRule="atLeast"/>
              <w:jc w:val="center"/>
              <w:textAlignment w:val="baseline"/>
              <w:rPr>
                <w:rFonts w:ascii="宋体" w:hAnsi="宋体" w:eastAsia="宋体" w:cs="宋体"/>
                <w:b/>
                <w:bCs/>
                <w:szCs w:val="21"/>
              </w:rPr>
            </w:pPr>
            <w:r>
              <w:rPr>
                <w:rFonts w:hint="eastAsia" w:ascii="宋体" w:hAnsi="宋体" w:eastAsia="宋体" w:cs="宋体"/>
                <w:b/>
                <w:bCs/>
                <w:szCs w:val="21"/>
              </w:rPr>
              <w:t>售后服务及保障（9分）</w:t>
            </w:r>
          </w:p>
        </w:tc>
        <w:tc>
          <w:tcPr>
            <w:tcW w:w="6150" w:type="dxa"/>
            <w:vAlign w:val="center"/>
          </w:tcPr>
          <w:p>
            <w:pPr>
              <w:spacing w:line="240" w:lineRule="atLeast"/>
              <w:textAlignment w:val="baseline"/>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售后服务方案：结合本项目需求（服务要求内容），提供详尽、完备的售后服务方案，服务响应时间、售后服务人员清单、售后服务内容、重大事故处理能力等多个方面，服务方案全面完整得</w:t>
            </w:r>
            <w:r>
              <w:rPr>
                <w:rFonts w:ascii="仿宋_GB2312" w:hAnsi="宋体" w:eastAsia="仿宋_GB2312" w:cs="宋体"/>
                <w:color w:val="000000"/>
                <w:kern w:val="0"/>
                <w:sz w:val="24"/>
                <w:szCs w:val="24"/>
              </w:rPr>
              <w:t>4</w:t>
            </w:r>
            <w:r>
              <w:rPr>
                <w:rFonts w:hint="eastAsia" w:ascii="仿宋_GB2312" w:hAnsi="宋体" w:eastAsia="仿宋_GB2312" w:cs="宋体"/>
                <w:color w:val="000000"/>
                <w:kern w:val="0"/>
                <w:sz w:val="24"/>
                <w:szCs w:val="24"/>
              </w:rPr>
              <w:t>分，内容基本完整得2分，一般得1分，没有不得分。</w:t>
            </w:r>
          </w:p>
          <w:p>
            <w:pPr>
              <w:pStyle w:val="2"/>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售后服务承诺：针对售后服务方案，提供对应的服务承诺，保证能够按照服务方案及工期要求提供服务，有得2分</w:t>
            </w:r>
          </w:p>
        </w:tc>
        <w:tc>
          <w:tcPr>
            <w:tcW w:w="739" w:type="dxa"/>
            <w:vAlign w:val="center"/>
          </w:tcPr>
          <w:p>
            <w:pPr>
              <w:spacing w:before="156" w:after="156" w:line="240" w:lineRule="atLeast"/>
              <w:textAlignment w:val="baseline"/>
              <w:rPr>
                <w:rFonts w:ascii="宋体" w:hAnsi="宋体" w:eastAsia="宋体" w:cs="宋体"/>
                <w:szCs w:val="21"/>
              </w:rPr>
            </w:pPr>
            <w:r>
              <w:rPr>
                <w:rFonts w:hint="eastAsia" w:ascii="宋体" w:hAnsi="宋体" w:eastAsia="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698" w:type="dxa"/>
            <w:vMerge w:val="continue"/>
            <w:vAlign w:val="center"/>
          </w:tcPr>
          <w:p>
            <w:pPr>
              <w:spacing w:before="156" w:after="156" w:line="240" w:lineRule="atLeast"/>
              <w:textAlignment w:val="baseline"/>
              <w:rPr>
                <w:rFonts w:ascii="宋体" w:hAnsi="宋体" w:eastAsia="宋体" w:cs="宋体"/>
                <w:b/>
                <w:bCs/>
                <w:szCs w:val="21"/>
              </w:rPr>
            </w:pPr>
          </w:p>
        </w:tc>
        <w:tc>
          <w:tcPr>
            <w:tcW w:w="1310" w:type="dxa"/>
            <w:vMerge w:val="continue"/>
            <w:vAlign w:val="center"/>
          </w:tcPr>
          <w:p>
            <w:pPr>
              <w:spacing w:before="156" w:after="156" w:line="240" w:lineRule="atLeast"/>
              <w:textAlignment w:val="baseline"/>
              <w:rPr>
                <w:rFonts w:ascii="宋体" w:hAnsi="宋体" w:eastAsia="宋体" w:cs="宋体"/>
                <w:b/>
                <w:bCs/>
                <w:szCs w:val="21"/>
              </w:rPr>
            </w:pPr>
          </w:p>
        </w:tc>
        <w:tc>
          <w:tcPr>
            <w:tcW w:w="6150" w:type="dxa"/>
            <w:vAlign w:val="center"/>
          </w:tcPr>
          <w:p>
            <w:pPr>
              <w:spacing w:line="240" w:lineRule="atLeast"/>
              <w:textAlignment w:val="baseline"/>
              <w:rPr>
                <w:rFonts w:ascii="宋体" w:hAnsi="宋体" w:eastAsia="宋体" w:cs="Times New Roman"/>
                <w:szCs w:val="21"/>
              </w:rPr>
            </w:pPr>
            <w:r>
              <w:rPr>
                <w:rFonts w:ascii="仿宋_GB2312" w:hAnsi="宋体" w:eastAsia="仿宋_GB2312" w:cs="宋体"/>
                <w:color w:val="000000"/>
                <w:kern w:val="0"/>
                <w:sz w:val="24"/>
                <w:szCs w:val="24"/>
              </w:rPr>
              <w:t>培训方案：提供详细完整的培训方案，包括但不仅限于培训内容、培训时间、培训地点、培训对象，培训师资力量等；方案科学、高效、可行的得3分，方案欠科学或欠高效或欠可行的，</w:t>
            </w:r>
            <w:r>
              <w:rPr>
                <w:rFonts w:hint="eastAsia" w:ascii="仿宋_GB2312" w:hAnsi="宋体" w:eastAsia="仿宋_GB2312" w:cs="宋体"/>
                <w:color w:val="000000"/>
                <w:kern w:val="0"/>
                <w:sz w:val="24"/>
                <w:szCs w:val="24"/>
              </w:rPr>
              <w:t>得2分</w:t>
            </w:r>
            <w:r>
              <w:rPr>
                <w:rFonts w:ascii="仿宋_GB2312" w:hAnsi="宋体" w:eastAsia="仿宋_GB2312" w:cs="宋体"/>
                <w:color w:val="000000"/>
                <w:kern w:val="0"/>
                <w:sz w:val="24"/>
                <w:szCs w:val="24"/>
              </w:rPr>
              <w:t>；方案不科学或不高效或不可行的每项扣1分，</w:t>
            </w:r>
            <w:r>
              <w:rPr>
                <w:rFonts w:hint="eastAsia" w:ascii="仿宋_GB2312" w:hAnsi="宋体" w:eastAsia="仿宋_GB2312" w:cs="宋体"/>
                <w:color w:val="000000"/>
                <w:kern w:val="0"/>
                <w:sz w:val="24"/>
                <w:szCs w:val="24"/>
              </w:rPr>
              <w:t>没有不得分</w:t>
            </w:r>
            <w:r>
              <w:rPr>
                <w:rFonts w:ascii="仿宋_GB2312" w:hAnsi="宋体" w:eastAsia="仿宋_GB2312" w:cs="宋体"/>
                <w:color w:val="000000"/>
                <w:kern w:val="0"/>
                <w:sz w:val="24"/>
                <w:szCs w:val="24"/>
              </w:rPr>
              <w:t>。</w:t>
            </w:r>
          </w:p>
        </w:tc>
        <w:tc>
          <w:tcPr>
            <w:tcW w:w="739" w:type="dxa"/>
            <w:vAlign w:val="center"/>
          </w:tcPr>
          <w:p>
            <w:pPr>
              <w:spacing w:before="156" w:after="156" w:line="240" w:lineRule="atLeast"/>
              <w:textAlignment w:val="baseline"/>
              <w:rPr>
                <w:rFonts w:ascii="宋体" w:hAnsi="宋体" w:eastAsia="宋体" w:cs="宋体"/>
                <w:szCs w:val="21"/>
              </w:rPr>
            </w:pPr>
            <w:r>
              <w:rPr>
                <w:rFonts w:hint="eastAsia" w:ascii="宋体" w:hAnsi="宋体" w:eastAsia="宋体" w:cs="宋体"/>
                <w:szCs w:val="21"/>
              </w:rPr>
              <w:t>3</w:t>
            </w:r>
          </w:p>
        </w:tc>
      </w:tr>
    </w:tbl>
    <w:p>
      <w:pPr>
        <w:rPr>
          <w:rFonts w:hint="eastAsia"/>
          <w:lang w:eastAsia="zh-CN"/>
        </w:rPr>
      </w:pPr>
    </w:p>
    <w:p>
      <w:pPr>
        <w:spacing w:line="400" w:lineRule="exact"/>
        <w:ind w:firstLine="210" w:firstLineChars="100"/>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bCs/>
          <w:sz w:val="21"/>
          <w:szCs w:val="21"/>
        </w:rPr>
        <w:t>26.4</w:t>
      </w:r>
      <w:r>
        <w:rPr>
          <w:rFonts w:hint="eastAsia" w:asciiTheme="minorEastAsia" w:hAnsiTheme="minorEastAsia" w:eastAsiaTheme="minorEastAsia" w:cstheme="minorEastAsia"/>
          <w:sz w:val="21"/>
          <w:szCs w:val="21"/>
          <w:shd w:val="clear" w:color="auto" w:fill="FFFFFF"/>
        </w:rPr>
        <w:t>磋商小组应当根据综合评分情况，按照评审得分由高到低顺序推荐3名以上成交候选供应商。评审得分相同的，按照最后报价由低到高的顺序推荐。评审得分且最后报价相同的，按照设计指标优劣顺序推荐。</w:t>
      </w:r>
    </w:p>
    <w:p>
      <w:pPr>
        <w:spacing w:line="400" w:lineRule="exact"/>
        <w:ind w:firstLine="210" w:firstLineChars="1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400" w:lineRule="exact"/>
        <w:ind w:firstLine="210" w:firstLineChars="1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26.6本项目将对小型和微型企业产品的价格给予6%的扣除，用扣除后的价格参与评审并计算商务得分。若投标人和小微企业产品/服务制造商均符合小微企业条件，并且提供了《中小企业声明函》及加盖单位公章的声明函附件（须说明投标人和产品制造商的从业人员、营业收入、资产总额等相关情况）的，则其评标价=投标人报价中属于小型和微型企业产品的价格部分×（100%-6%）+ 投标人报价中不属于小型和微型企业产品的价格部分；否则，其评标价=投标人报价。</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27．磋商过程的保密性</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27.2 供应商在磋商过程中，所进行的力图影响磋商结果的，不符合《政府采购法》及本次磋商中有关规定的活动，将被取消其磋商资格。</w:t>
      </w:r>
    </w:p>
    <w:p>
      <w:pPr>
        <w:pStyle w:val="5"/>
        <w:spacing w:before="0" w:after="0" w:line="400" w:lineRule="exact"/>
        <w:jc w:val="center"/>
        <w:rPr>
          <w:rFonts w:hint="eastAsia" w:asciiTheme="minorEastAsia" w:hAnsiTheme="minorEastAsia" w:eastAsiaTheme="minorEastAsia" w:cstheme="minorEastAsia"/>
          <w:sz w:val="21"/>
          <w:szCs w:val="21"/>
        </w:rPr>
      </w:pPr>
      <w:bookmarkStart w:id="42" w:name="_Toc349637925"/>
      <w:bookmarkStart w:id="43" w:name="_Toc349573126"/>
      <w:bookmarkStart w:id="44" w:name="_Toc462223637"/>
      <w:bookmarkStart w:id="45" w:name="_Toc267301287"/>
      <w:bookmarkStart w:id="46" w:name="_Toc298240410"/>
      <w:r>
        <w:rPr>
          <w:rFonts w:hint="eastAsia" w:asciiTheme="minorEastAsia" w:hAnsiTheme="minorEastAsia" w:eastAsiaTheme="minorEastAsia" w:cstheme="minorEastAsia"/>
          <w:sz w:val="21"/>
          <w:szCs w:val="21"/>
        </w:rPr>
        <w:t>（六）授予合同</w:t>
      </w:r>
      <w:bookmarkEnd w:id="42"/>
      <w:bookmarkEnd w:id="43"/>
      <w:bookmarkEnd w:id="44"/>
      <w:bookmarkEnd w:id="45"/>
      <w:bookmarkEnd w:id="46"/>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28、合同授予标准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28.1</w:t>
      </w:r>
      <w:r>
        <w:rPr>
          <w:rFonts w:hint="eastAsia" w:asciiTheme="minorEastAsia" w:hAnsiTheme="minorEastAsia" w:eastAsiaTheme="minorEastAsia" w:cstheme="minorEastAsia"/>
          <w:bCs/>
          <w:sz w:val="21"/>
          <w:szCs w:val="21"/>
        </w:rPr>
        <w:t>合同将授予被确定为实质上响应磋商文件要求，符合采购需求、质量和服务相等且报价最低的供应商</w:t>
      </w:r>
      <w:r>
        <w:rPr>
          <w:rFonts w:hint="eastAsia" w:asciiTheme="minorEastAsia" w:hAnsiTheme="minorEastAsia" w:eastAsiaTheme="minorEastAsia" w:cstheme="minorEastAsia"/>
          <w:sz w:val="21"/>
          <w:szCs w:val="21"/>
        </w:rPr>
        <w:t>。</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28.2 最低报价不一定是被授予合同的保证。</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28.3 如果确定该供应商无法圆满履行合同，招标代理机构将对下一个可能中标的供应商资格作出类似的审查。</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29、接受和拒绝任何或所有磋商的权力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29.1为维护国家利益，买方在授予合同之前仍有选择或拒绝任何全部磋商的权力，并对所采取的行为不作任何解释。</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30、成交通知书</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30.1 成交公告期满后，招标代理机构将以书面形式发出《成交通知书》，但发出时间不超过磋商有效期，《成交通知书》一经发出即发生法律效力。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30.2 《成交通知书》将作为签订合同的依据。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30.3 招标代理机构将在成交方按规定签订合同并提交履约保证金（如适用）后退还其磋商保证金。</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31、签订合同</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31.1 供应商收到《成交通知书》后，按《成交通知书》中规定的时间地点与买方签订合同。买方和成交方不得再订立背离合同实质性内容的其他协议。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31.2如成交方拒签合同，则按违约处理。招标代理机构没收其磋商保证金。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31.3磋商文件、成交方的磋商响应文件及其澄清文件等，均为签订经济合同的依据。</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32、履约保证金（如适用）</w:t>
      </w:r>
      <w:r>
        <w:rPr>
          <w:rFonts w:hint="eastAsia" w:asciiTheme="minorEastAsia" w:hAnsiTheme="minorEastAsia" w:eastAsiaTheme="minorEastAsia" w:cstheme="minorEastAsia"/>
          <w:sz w:val="21"/>
          <w:szCs w:val="21"/>
          <w:lang w:eastAsia="zh-CN"/>
        </w:rPr>
        <w:t>及</w:t>
      </w:r>
      <w:r>
        <w:rPr>
          <w:rFonts w:hint="eastAsia" w:asciiTheme="minorEastAsia" w:hAnsiTheme="minorEastAsia" w:eastAsiaTheme="minorEastAsia" w:cstheme="minorEastAsia"/>
          <w:sz w:val="21"/>
          <w:szCs w:val="21"/>
        </w:rPr>
        <w:t>招标代理服务费</w:t>
      </w:r>
    </w:p>
    <w:p>
      <w:pPr>
        <w:spacing w:line="400" w:lineRule="exact"/>
        <w:ind w:left="480" w:hanging="420" w:hanging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32.1成交方应按合同规定的方式、时间和金额向买方提交履约保证金。</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成交方须向招标代理机构按如下标准和期限交纳招标代理代理服务费：</w:t>
      </w:r>
    </w:p>
    <w:p>
      <w:pPr>
        <w:pStyle w:val="23"/>
        <w:adjustRightInd w:val="0"/>
        <w:spacing w:line="400" w:lineRule="exact"/>
        <w:ind w:left="480" w:hanging="420" w:hanging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sz w:val="21"/>
          <w:szCs w:val="21"/>
        </w:rPr>
        <w:t>成交方须向宏业国际项目管理有限公司支付招标代理服务费。</w:t>
      </w:r>
    </w:p>
    <w:p>
      <w:pPr>
        <w:pStyle w:val="23"/>
        <w:adjustRightInd w:val="0"/>
        <w:spacing w:line="40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2.4</w:t>
      </w:r>
      <w:r>
        <w:rPr>
          <w:rFonts w:hint="eastAsia" w:asciiTheme="minorEastAsia" w:hAnsiTheme="minorEastAsia" w:eastAsiaTheme="minorEastAsia" w:cstheme="minorEastAsia"/>
          <w:bCs/>
          <w:sz w:val="21"/>
          <w:szCs w:val="21"/>
        </w:rPr>
        <w:t xml:space="preserve"> 在合同签订后一周内，成交方须按规定的标准以网银或电汇的方式一次性向招标代理机构缴纳磋商代理服务费。</w:t>
      </w:r>
      <w:bookmarkStart w:id="47" w:name="_Toc267301288"/>
    </w:p>
    <w:p>
      <w:pPr>
        <w:pStyle w:val="5"/>
        <w:spacing w:before="0" w:after="0" w:line="400" w:lineRule="exact"/>
        <w:jc w:val="center"/>
        <w:rPr>
          <w:rFonts w:hint="eastAsia" w:asciiTheme="minorEastAsia" w:hAnsiTheme="minorEastAsia" w:eastAsiaTheme="minorEastAsia" w:cstheme="minorEastAsia"/>
          <w:sz w:val="21"/>
          <w:szCs w:val="21"/>
        </w:rPr>
      </w:pPr>
      <w:bookmarkStart w:id="48" w:name="_Toc349573127"/>
      <w:bookmarkStart w:id="49" w:name="_Toc298240411"/>
      <w:bookmarkStart w:id="50" w:name="_Toc349637926"/>
      <w:r>
        <w:rPr>
          <w:rFonts w:hint="eastAsia" w:asciiTheme="minorEastAsia" w:hAnsiTheme="minorEastAsia" w:eastAsiaTheme="minorEastAsia" w:cstheme="minorEastAsia"/>
          <w:sz w:val="21"/>
          <w:szCs w:val="21"/>
          <w:lang w:eastAsia="zh-CN"/>
        </w:rPr>
        <w:t>（七）</w:t>
      </w:r>
      <w:r>
        <w:rPr>
          <w:rFonts w:hint="eastAsia" w:asciiTheme="minorEastAsia" w:hAnsiTheme="minorEastAsia" w:eastAsiaTheme="minorEastAsia" w:cstheme="minorEastAsia"/>
          <w:sz w:val="21"/>
          <w:szCs w:val="21"/>
        </w:rPr>
        <w:t>质疑的提出及处理</w:t>
      </w:r>
    </w:p>
    <w:p>
      <w:pPr>
        <w:spacing w:line="440" w:lineRule="exact"/>
        <w:ind w:firstLine="472" w:firstLineChars="196"/>
        <w:rPr>
          <w:rFonts w:hint="eastAsia" w:ascii="宋体"/>
          <w:b/>
          <w:sz w:val="24"/>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政府采购供应商（以下简称供应商）提出质疑和投诉应当坚持依法依规、诚实信用原则。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质疑的提出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33.1 供应商认为采购文件、采购过程、中标或者成交结果使自己的权益受到损害的，可以在知道或者应知其权益受到损害之日起七个工作日内，以书面形式向采购人、采购代理机构提出质疑。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采购文件可以要求供应商在法定质疑期内一次性提出针对同一采购程序环节的质疑。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33.2 提出质疑的供应商（以下简称质疑供应商）应当是参与所质疑项目采购活动的供应商。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潜在供应商已依法获取其可质疑的采购文件的，可以对该文件提出质疑。对采购文件提出质疑的，应当在获取采购文件或者采购文件公告期限届满之日起7个工作日内提出。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33.3 供应商提出质疑应当提交质疑函和必要的证明材料。质疑函应当包括下列内容：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（1）供应商的姓名或者名称、地址、邮编、联系人及联系电话；</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（2）质疑项目的名称、编号；</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（3）具体、明确的质疑事项和与质疑事项相关的请求；</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（4）事实依据；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（5）必要的法律依据；</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（6）提出质疑的日期。</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供应商为自然人的，应当由本人签字；供应商为法人或者其他组织的，应当由法定代表人、主要负责人，或者其授权代表签字或者盖章，并加盖公章。</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提出质疑时，必须按照“实事求是”、“谁主张，谁举证”的原则，提供相关证明材料，不能主观臆测。</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33.4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代理人提出质疑和投诉，应当提交供应商签署的授权委托书。</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33.5 以联合体形式参加政府采购活动的，其投诉应当由组成联合体的所有供应商共同提出。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33.7 证明材料要具备客观性、关联性、合法性，无法查实的（如宣传册、媒体报道、猜测、推理等）不能作为证明材料。</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33.8 对不能提供相关证明材料的、涉及商业秘密的、非书面形式送达的、匿名的质疑将不予受理。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 受理和处理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34.1 《质疑函》必须由质疑方的法定代表人或参与本次投标的被授权人以书面的形式送达招标方或采购单位。</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34.2采购人、采购代理机构不得拒收质疑供应商在法定质疑期内发出的质疑函，应当在收到质疑函后7个工作日内作出答复，并以书面形式通知质疑供应商和其他有关供应商。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34.3质疑答复的内容不得涉及商业秘密。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34.4 对于不符合上述33项所述的相关条款要求的质疑，招标方将不予受理。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34.5 在处理过程中，发现需要质疑人进一步补充相关佐证材料的，要求质疑人在规定时间内提供。质疑人不能按照要求提供相关佐证材料的，视同放弃质疑。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34.6 招标方或采购单位负责对质疑的回复工作，将质疑人的质疑材料提供给相关专家或评标委员会，并将处理意见回复质疑人。</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34.7采购人、采购代理机构认为供应商质疑不成立，或者成立但未对中标、成交结果构成影响的，继续开展采购活动；认为供应商质疑成立且影响或者可能影响中标、成交结果的，按照下列情况处理：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（1）对采购文件提出的质疑，依法通过澄清或者修改可以继续开展采购活动的，澄清或者修改采购文件后继续开展采购活动；否则应当修改采购文件后重新开展采购活动。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质疑答复导致中标、成交结果改变的，采购人或者采购代理机构应当将有关情况书面报告本级财政部门。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 质疑无效的处理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35.1 质疑人提供的相关佐证材料不能证明质疑成立的，招标方可要求质疑人补充相关佐证材料，如补充材料仍不能证明质疑成立的，将不予受理。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35.2 对于质疑人在质疑期间不配合进行质疑调查处理的，视为自动放弃质疑。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35.3 质疑人提出的质疑，经评标专家审定后驳回的，列为无效质疑。</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35.4 对于质疑中使用虚假材料或恶意方式质疑的，按无效质疑处理，并列入不良记录供应商名单。</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35.5 质疑人进行质疑后，招标方在法定时间内对质疑进行回复，质疑人认为回复不满意的，可向相关的采购管理部门进行投诉。</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 其他</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36.1质疑函和投诉书应当使用中文。质疑函和投诉书的范本，由财政部制定。</w:t>
      </w:r>
    </w:p>
    <w:p>
      <w:pPr>
        <w:spacing w:line="400" w:lineRule="exact"/>
        <w:ind w:firstLine="211" w:firstLineChars="10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36.2对在质疑答复和投诉处理过程中知悉的国家秘密、商业秘密、个人隐私和依法不予公开的信息，财政部门、采购人、采购代理机构等相关知情人应当保密。</w:t>
      </w:r>
    </w:p>
    <w:p>
      <w:pPr>
        <w:pStyle w:val="5"/>
        <w:spacing w:before="0" w:after="0" w:line="400" w:lineRule="exact"/>
        <w:jc w:val="center"/>
        <w:rPr>
          <w:rFonts w:hint="eastAsia" w:asciiTheme="minorEastAsia" w:hAnsiTheme="minorEastAsia" w:eastAsiaTheme="minorEastAsia" w:cstheme="minorEastAsia"/>
          <w:bCs/>
          <w:sz w:val="21"/>
          <w:szCs w:val="21"/>
        </w:rPr>
      </w:pPr>
      <w:bookmarkStart w:id="51" w:name="_Toc462223638"/>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八</w:t>
      </w:r>
      <w:r>
        <w:rPr>
          <w:rFonts w:hint="eastAsia" w:asciiTheme="minorEastAsia" w:hAnsiTheme="minorEastAsia" w:eastAsiaTheme="minorEastAsia" w:cstheme="minorEastAsia"/>
          <w:sz w:val="21"/>
          <w:szCs w:val="21"/>
        </w:rPr>
        <w:t>）磋商失败条件</w:t>
      </w:r>
      <w:bookmarkEnd w:id="51"/>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7</w:t>
      </w:r>
      <w:r>
        <w:rPr>
          <w:rFonts w:hint="eastAsia" w:asciiTheme="minorEastAsia" w:hAnsiTheme="minorEastAsia" w:eastAsiaTheme="minorEastAsia" w:cstheme="minorEastAsia"/>
          <w:bCs/>
          <w:sz w:val="21"/>
          <w:szCs w:val="21"/>
        </w:rPr>
        <w:t>、出现影响采购公正的违法、违规行为的；</w:t>
      </w:r>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8</w:t>
      </w:r>
      <w:r>
        <w:rPr>
          <w:rFonts w:hint="eastAsia" w:asciiTheme="minorEastAsia" w:hAnsiTheme="minorEastAsia" w:eastAsiaTheme="minorEastAsia" w:cstheme="minorEastAsia"/>
          <w:bCs/>
          <w:sz w:val="21"/>
          <w:szCs w:val="21"/>
        </w:rPr>
        <w:t>、因重大变故，采购任务取消的；</w:t>
      </w:r>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9</w:t>
      </w:r>
      <w:r>
        <w:rPr>
          <w:rFonts w:hint="eastAsia" w:asciiTheme="minorEastAsia" w:hAnsiTheme="minorEastAsia" w:eastAsiaTheme="minorEastAsia" w:cstheme="minorEastAsia"/>
          <w:bCs/>
          <w:sz w:val="21"/>
          <w:szCs w:val="21"/>
        </w:rPr>
        <w:t>、磋商响应文件截止时间后，实际参与的供应商不足法定家数的；</w:t>
      </w:r>
    </w:p>
    <w:p>
      <w:pPr>
        <w:pStyle w:val="23"/>
        <w:tabs>
          <w:tab w:val="left" w:pos="720"/>
          <w:tab w:val="left" w:pos="900"/>
          <w:tab w:val="left" w:pos="1260"/>
        </w:tabs>
        <w:adjustRightInd w:val="0"/>
        <w:spacing w:line="400" w:lineRule="exact"/>
        <w:ind w:left="720" w:hanging="630" w:hangingChars="3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40</w:t>
      </w:r>
      <w:r>
        <w:rPr>
          <w:rFonts w:hint="eastAsia" w:asciiTheme="minorEastAsia" w:hAnsiTheme="minorEastAsia" w:eastAsiaTheme="minorEastAsia" w:cstheme="minorEastAsia"/>
          <w:bCs/>
          <w:sz w:val="21"/>
          <w:szCs w:val="21"/>
        </w:rPr>
        <w:t>、最终报价均超过采购预算的；</w:t>
      </w:r>
    </w:p>
    <w:p>
      <w:pPr>
        <w:spacing w:line="40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41</w:t>
      </w:r>
      <w:r>
        <w:rPr>
          <w:rFonts w:hint="eastAsia" w:asciiTheme="minorEastAsia" w:hAnsiTheme="minorEastAsia" w:eastAsiaTheme="minorEastAsia" w:cstheme="minorEastAsia"/>
          <w:bCs/>
          <w:sz w:val="21"/>
          <w:szCs w:val="21"/>
        </w:rPr>
        <w:t>、对磋商文件作出实质性响应的供应商不足法定家数的；</w:t>
      </w:r>
    </w:p>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br w:type="page"/>
      </w:r>
    </w:p>
    <w:bookmarkEnd w:id="47"/>
    <w:bookmarkEnd w:id="48"/>
    <w:bookmarkEnd w:id="49"/>
    <w:bookmarkEnd w:id="50"/>
    <w:p>
      <w:pPr>
        <w:numPr>
          <w:ilvl w:val="0"/>
          <w:numId w:val="3"/>
        </w:numPr>
        <w:spacing w:line="400" w:lineRule="exact"/>
        <w:jc w:val="center"/>
        <w:outlineLvl w:val="0"/>
        <w:rPr>
          <w:rFonts w:hint="eastAsia" w:asciiTheme="minorEastAsia" w:hAnsiTheme="minorEastAsia" w:eastAsiaTheme="minorEastAsia" w:cstheme="minorEastAsia"/>
          <w:b/>
          <w:sz w:val="21"/>
          <w:szCs w:val="21"/>
        </w:rPr>
      </w:pPr>
      <w:bookmarkStart w:id="52" w:name="_Toc16105"/>
      <w:r>
        <w:rPr>
          <w:rFonts w:hint="eastAsia" w:asciiTheme="minorEastAsia" w:hAnsiTheme="minorEastAsia" w:eastAsiaTheme="minorEastAsia" w:cstheme="minorEastAsia"/>
          <w:b/>
          <w:sz w:val="21"/>
          <w:szCs w:val="21"/>
        </w:rPr>
        <w:t xml:space="preserve"> 项目需求</w:t>
      </w:r>
      <w:bookmarkEnd w:id="52"/>
    </w:p>
    <w:p>
      <w:pPr>
        <w:pStyle w:val="33"/>
        <w:widowControl/>
        <w:spacing w:beforeAutospacing="0" w:afterAutospacing="0" w:line="560" w:lineRule="exact"/>
        <w:outlineLvl w:val="0"/>
        <w:rPr>
          <w:rStyle w:val="39"/>
          <w:rFonts w:ascii="黑体" w:hAnsi="黑体" w:eastAsia="黑体"/>
          <w:b w:val="0"/>
          <w:sz w:val="32"/>
          <w:szCs w:val="32"/>
        </w:rPr>
      </w:pPr>
      <w:r>
        <w:rPr>
          <w:rFonts w:hint="eastAsia"/>
          <w:sz w:val="28"/>
          <w:szCs w:val="28"/>
        </w:rPr>
        <w:br w:type="textWrapping"/>
      </w:r>
      <w:bookmarkStart w:id="53" w:name="_Toc28434"/>
      <w:r>
        <w:rPr>
          <w:rStyle w:val="39"/>
          <w:rFonts w:hint="eastAsia" w:ascii="黑体" w:hAnsi="黑体" w:eastAsia="黑体"/>
          <w:b w:val="0"/>
          <w:sz w:val="32"/>
          <w:szCs w:val="32"/>
        </w:rPr>
        <w:t>一、采购需求</w:t>
      </w:r>
    </w:p>
    <w:p>
      <w:pPr>
        <w:pStyle w:val="33"/>
        <w:widowControl/>
        <w:spacing w:beforeAutospacing="0" w:afterAutospacing="0" w:line="560" w:lineRule="exact"/>
        <w:outlineLvl w:val="1"/>
        <w:rPr>
          <w:rStyle w:val="39"/>
          <w:rFonts w:ascii="楷体" w:hAnsi="楷体" w:eastAsia="楷体"/>
          <w:sz w:val="32"/>
          <w:szCs w:val="31"/>
        </w:rPr>
      </w:pPr>
      <w:r>
        <w:rPr>
          <w:rStyle w:val="39"/>
          <w:rFonts w:hint="eastAsia" w:ascii="楷体" w:hAnsi="楷体" w:eastAsia="楷体"/>
          <w:sz w:val="32"/>
          <w:szCs w:val="31"/>
        </w:rPr>
        <w:t>（一）</w:t>
      </w:r>
      <w:r>
        <w:rPr>
          <w:rStyle w:val="39"/>
          <w:rFonts w:ascii="楷体" w:hAnsi="楷体" w:eastAsia="楷体"/>
          <w:sz w:val="32"/>
          <w:szCs w:val="31"/>
        </w:rPr>
        <w:t>项目基本情况</w:t>
      </w:r>
    </w:p>
    <w:p>
      <w:pPr>
        <w:spacing w:line="560" w:lineRule="exact"/>
        <w:ind w:firstLine="640" w:firstLineChars="200"/>
        <w:rPr>
          <w:rFonts w:ascii="仿宋_GB2312" w:hAnsi="Times New Roman" w:eastAsia="仿宋_GB2312" w:cs="Times New Roman"/>
          <w:sz w:val="32"/>
          <w:szCs w:val="28"/>
        </w:rPr>
      </w:pPr>
      <w:r>
        <w:rPr>
          <w:rFonts w:hint="eastAsia" w:ascii="仿宋_GB2312" w:hAnsi="Times New Roman" w:eastAsia="仿宋_GB2312" w:cs="Times New Roman"/>
          <w:sz w:val="32"/>
          <w:szCs w:val="28"/>
        </w:rPr>
        <w:t>项目名称：自治区自然资源规划院公有云服务采购项目</w:t>
      </w:r>
    </w:p>
    <w:p>
      <w:pPr>
        <w:pStyle w:val="33"/>
        <w:widowControl/>
        <w:spacing w:beforeAutospacing="0" w:afterAutospacing="0" w:line="560" w:lineRule="exact"/>
        <w:ind w:firstLine="640" w:firstLineChars="200"/>
        <w:jc w:val="both"/>
        <w:rPr>
          <w:rFonts w:ascii="仿宋_GB2312" w:eastAsia="仿宋_GB2312"/>
          <w:kern w:val="2"/>
          <w:sz w:val="32"/>
          <w:szCs w:val="28"/>
        </w:rPr>
      </w:pPr>
      <w:r>
        <w:rPr>
          <w:rFonts w:hint="eastAsia" w:ascii="仿宋_GB2312" w:eastAsia="仿宋_GB2312"/>
          <w:kern w:val="2"/>
          <w:sz w:val="32"/>
          <w:szCs w:val="28"/>
        </w:rPr>
        <w:t>预算金额（元）：594300</w:t>
      </w:r>
    </w:p>
    <w:p>
      <w:pPr>
        <w:pStyle w:val="33"/>
        <w:widowControl/>
        <w:spacing w:beforeAutospacing="0" w:afterAutospacing="0" w:line="560" w:lineRule="exact"/>
        <w:outlineLvl w:val="1"/>
        <w:rPr>
          <w:rFonts w:ascii="楷体" w:hAnsi="楷体" w:eastAsia="楷体"/>
          <w:b/>
          <w:sz w:val="32"/>
          <w:szCs w:val="31"/>
        </w:rPr>
      </w:pPr>
      <w:r>
        <w:rPr>
          <w:rStyle w:val="39"/>
          <w:rFonts w:hint="eastAsia" w:ascii="楷体" w:hAnsi="楷体" w:eastAsia="楷体"/>
          <w:sz w:val="32"/>
          <w:szCs w:val="31"/>
        </w:rPr>
        <w:t>（二）项目采购内容</w:t>
      </w:r>
    </w:p>
    <w:p>
      <w:pPr>
        <w:pStyle w:val="5"/>
        <w:numPr>
          <w:ilvl w:val="0"/>
          <w:numId w:val="0"/>
        </w:numPr>
        <w:tabs>
          <w:tab w:val="left" w:pos="576"/>
        </w:tabs>
        <w:spacing w:line="560" w:lineRule="exact"/>
        <w:rPr>
          <w:rFonts w:hint="eastAsia" w:ascii="仿宋_GB2312" w:hAnsi="楷体" w:eastAsia="仿宋_GB2312" w:cs="Times New Roman"/>
        </w:rPr>
      </w:pPr>
      <w:bookmarkStart w:id="54" w:name="_Hlk65234920"/>
      <w:r>
        <w:rPr>
          <w:rFonts w:hint="eastAsia" w:ascii="仿宋_GB2312" w:hAnsi="楷体" w:eastAsia="仿宋_GB2312" w:cs="Times New Roman"/>
        </w:rPr>
        <w:t>1</w:t>
      </w:r>
      <w:r>
        <w:rPr>
          <w:rFonts w:ascii="仿宋_GB2312" w:hAnsi="楷体" w:eastAsia="仿宋_GB2312" w:cs="Times New Roman"/>
        </w:rPr>
        <w:t>.</w:t>
      </w:r>
      <w:r>
        <w:rPr>
          <w:rFonts w:hint="eastAsia" w:ascii="仿宋_GB2312" w:hAnsi="楷体" w:eastAsia="仿宋_GB2312" w:cs="Times New Roman"/>
        </w:rPr>
        <w:t>采购内容</w:t>
      </w:r>
    </w:p>
    <w:p>
      <w:pPr>
        <w:spacing w:line="560" w:lineRule="exact"/>
        <w:ind w:firstLine="640" w:firstLineChars="200"/>
      </w:pPr>
      <w:r>
        <w:rPr>
          <w:rFonts w:hint="eastAsia" w:ascii="仿宋_GB2312" w:hAnsi="Times New Roman" w:eastAsia="仿宋_GB2312" w:cs="Times New Roman"/>
          <w:sz w:val="32"/>
          <w:szCs w:val="28"/>
        </w:rPr>
        <w:t>为我院互联网应用系统提供安全可靠的网络、计算、存储、安全服务等云资源环境，满足云端应用的建设需求，保证系统稳定运行。本项目共分2个包，</w:t>
      </w:r>
      <w:r>
        <w:rPr>
          <w:rFonts w:ascii="仿宋_GB2312" w:hAnsi="Times New Roman" w:eastAsia="仿宋_GB2312" w:cs="Times New Roman"/>
          <w:sz w:val="32"/>
          <w:szCs w:val="28"/>
        </w:rPr>
        <w:t>包</w:t>
      </w:r>
      <w:r>
        <w:rPr>
          <w:rFonts w:hint="eastAsia" w:ascii="仿宋_GB2312" w:hAnsi="Times New Roman" w:eastAsia="仿宋_GB2312" w:cs="Times New Roman"/>
          <w:sz w:val="32"/>
          <w:szCs w:val="28"/>
        </w:rPr>
        <w:t>1为互联网信息化平台公有云资源租赁项目；</w:t>
      </w:r>
      <w:r>
        <w:rPr>
          <w:rFonts w:ascii="仿宋_GB2312" w:hAnsi="Times New Roman" w:eastAsia="仿宋_GB2312" w:cs="Times New Roman"/>
          <w:sz w:val="32"/>
          <w:szCs w:val="28"/>
        </w:rPr>
        <w:t>包</w:t>
      </w:r>
      <w:r>
        <w:rPr>
          <w:rFonts w:hint="eastAsia" w:ascii="仿宋_GB2312" w:hAnsi="Times New Roman" w:eastAsia="仿宋_GB2312" w:cs="Times New Roman"/>
          <w:sz w:val="32"/>
          <w:szCs w:val="28"/>
        </w:rPr>
        <w:t>2为互联网信息化平台公有云环境安全加固项目</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68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jc w:val="center"/>
              <w:textAlignment w:val="baseline"/>
              <w:rPr>
                <w:rFonts w:ascii="仿宋_GB2312" w:hAnsi="Times New Roman" w:eastAsia="仿宋_GB2312" w:cs="Times New Roman"/>
                <w:sz w:val="24"/>
                <w:szCs w:val="28"/>
              </w:rPr>
            </w:pPr>
            <w:r>
              <w:rPr>
                <w:rFonts w:hint="eastAsia" w:ascii="仿宋_GB2312" w:hAnsi="Times New Roman" w:eastAsia="仿宋_GB2312" w:cs="Times New Roman"/>
                <w:sz w:val="24"/>
                <w:szCs w:val="28"/>
              </w:rPr>
              <w:t>包号</w:t>
            </w:r>
          </w:p>
        </w:tc>
        <w:tc>
          <w:tcPr>
            <w:tcW w:w="4684" w:type="dxa"/>
            <w:vAlign w:val="center"/>
          </w:tcPr>
          <w:p>
            <w:pPr>
              <w:spacing w:line="560" w:lineRule="exact"/>
              <w:jc w:val="center"/>
              <w:textAlignment w:val="baseline"/>
              <w:rPr>
                <w:rFonts w:ascii="仿宋_GB2312" w:hAnsi="Times New Roman" w:eastAsia="仿宋_GB2312" w:cs="Times New Roman"/>
                <w:sz w:val="24"/>
                <w:szCs w:val="28"/>
              </w:rPr>
            </w:pPr>
            <w:r>
              <w:rPr>
                <w:rFonts w:hint="eastAsia" w:ascii="仿宋_GB2312" w:hAnsi="Times New Roman" w:eastAsia="仿宋_GB2312" w:cs="Times New Roman"/>
                <w:sz w:val="24"/>
                <w:szCs w:val="28"/>
              </w:rPr>
              <w:t>采购内容简要描述</w:t>
            </w:r>
          </w:p>
        </w:tc>
        <w:tc>
          <w:tcPr>
            <w:tcW w:w="2766" w:type="dxa"/>
            <w:vAlign w:val="center"/>
          </w:tcPr>
          <w:p>
            <w:pPr>
              <w:spacing w:line="560" w:lineRule="exact"/>
              <w:jc w:val="center"/>
              <w:textAlignment w:val="baseline"/>
              <w:rPr>
                <w:rFonts w:ascii="仿宋_GB2312" w:hAnsi="Times New Roman" w:eastAsia="仿宋_GB2312" w:cs="Times New Roman"/>
                <w:sz w:val="24"/>
                <w:szCs w:val="28"/>
              </w:rPr>
            </w:pPr>
            <w:r>
              <w:rPr>
                <w:rFonts w:hint="eastAsia" w:ascii="仿宋_GB2312" w:hAnsi="Times New Roman" w:eastAsia="仿宋_GB2312" w:cs="Times New Roman"/>
                <w:sz w:val="24"/>
                <w:szCs w:val="28"/>
              </w:rPr>
              <w:t>分包预算（</w:t>
            </w:r>
            <w:r>
              <w:rPr>
                <w:rFonts w:ascii="仿宋_GB2312" w:hAnsi="Times New Roman" w:eastAsia="仿宋_GB2312" w:cs="Times New Roman"/>
                <w:sz w:val="24"/>
                <w:szCs w:val="28"/>
              </w:rPr>
              <w:t>万元</w:t>
            </w:r>
            <w:r>
              <w:rPr>
                <w:rFonts w:hint="eastAsia" w:ascii="仿宋_GB2312"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jc w:val="center"/>
              <w:textAlignment w:val="baseline"/>
              <w:rPr>
                <w:rFonts w:ascii="仿宋_GB2312" w:hAnsi="Times New Roman" w:eastAsia="仿宋_GB2312" w:cs="Times New Roman"/>
                <w:sz w:val="24"/>
                <w:szCs w:val="28"/>
              </w:rPr>
            </w:pPr>
            <w:r>
              <w:rPr>
                <w:rFonts w:hint="eastAsia" w:ascii="仿宋_GB2312" w:hAnsi="Times New Roman" w:eastAsia="仿宋_GB2312" w:cs="Times New Roman"/>
                <w:sz w:val="24"/>
                <w:szCs w:val="28"/>
              </w:rPr>
              <w:t>1</w:t>
            </w:r>
          </w:p>
        </w:tc>
        <w:tc>
          <w:tcPr>
            <w:tcW w:w="4684" w:type="dxa"/>
            <w:vAlign w:val="center"/>
          </w:tcPr>
          <w:p>
            <w:pPr>
              <w:textAlignment w:val="baseline"/>
              <w:rPr>
                <w:rFonts w:ascii="仿宋_GB2312" w:hAnsi="Times New Roman" w:eastAsia="仿宋_GB2312" w:cs="Times New Roman"/>
                <w:sz w:val="24"/>
                <w:szCs w:val="28"/>
              </w:rPr>
            </w:pPr>
            <w:r>
              <w:rPr>
                <w:rFonts w:hint="eastAsia" w:ascii="仿宋_GB2312" w:hAnsi="Times New Roman" w:eastAsia="仿宋_GB2312" w:cs="Times New Roman"/>
                <w:sz w:val="24"/>
                <w:szCs w:val="28"/>
              </w:rPr>
              <w:t>提供云计算、存储、备份、网络、云短信、安全防护等资源租赁及运维、培训等服务，服务期1年。</w:t>
            </w:r>
          </w:p>
        </w:tc>
        <w:tc>
          <w:tcPr>
            <w:tcW w:w="2766" w:type="dxa"/>
            <w:vAlign w:val="center"/>
          </w:tcPr>
          <w:p>
            <w:pPr>
              <w:spacing w:line="560" w:lineRule="exact"/>
              <w:jc w:val="center"/>
              <w:textAlignment w:val="baseline"/>
              <w:rPr>
                <w:rFonts w:ascii="仿宋_GB2312" w:hAnsi="Times New Roman" w:eastAsia="仿宋_GB2312" w:cs="Times New Roman"/>
                <w:sz w:val="24"/>
                <w:szCs w:val="28"/>
              </w:rPr>
            </w:pPr>
            <w:r>
              <w:rPr>
                <w:rFonts w:ascii="仿宋_GB2312" w:hAnsi="Times New Roman" w:eastAsia="仿宋_GB2312" w:cs="Times New Roman"/>
                <w:sz w:val="24"/>
                <w:szCs w:val="28"/>
              </w:rPr>
              <w:t>39</w:t>
            </w:r>
            <w:r>
              <w:rPr>
                <w:rFonts w:hint="eastAsia" w:ascii="仿宋_GB2312" w:hAnsi="Times New Roman" w:eastAsia="仿宋_GB2312" w:cs="Times New Roman"/>
                <w:sz w:val="24"/>
                <w:szCs w:val="28"/>
              </w:rPr>
              <w:t>.</w:t>
            </w:r>
            <w:r>
              <w:rPr>
                <w:rFonts w:ascii="仿宋_GB2312" w:hAnsi="Times New Roman" w:eastAsia="仿宋_GB2312" w:cs="Times New Roman"/>
                <w:sz w:val="24"/>
                <w:szCs w:val="28"/>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560" w:lineRule="exact"/>
              <w:jc w:val="center"/>
              <w:textAlignment w:val="baseline"/>
              <w:rPr>
                <w:rFonts w:ascii="仿宋_GB2312" w:hAnsi="Times New Roman" w:eastAsia="仿宋_GB2312" w:cs="Times New Roman"/>
                <w:sz w:val="24"/>
                <w:szCs w:val="28"/>
              </w:rPr>
            </w:pPr>
            <w:r>
              <w:rPr>
                <w:rFonts w:hint="eastAsia" w:ascii="仿宋_GB2312" w:hAnsi="Times New Roman" w:eastAsia="仿宋_GB2312" w:cs="Times New Roman"/>
                <w:sz w:val="24"/>
                <w:szCs w:val="28"/>
              </w:rPr>
              <w:t>2</w:t>
            </w:r>
          </w:p>
        </w:tc>
        <w:tc>
          <w:tcPr>
            <w:tcW w:w="4684" w:type="dxa"/>
            <w:vAlign w:val="center"/>
          </w:tcPr>
          <w:p>
            <w:pPr>
              <w:textAlignment w:val="baseline"/>
              <w:rPr>
                <w:rFonts w:ascii="仿宋_GB2312" w:hAnsi="Times New Roman" w:eastAsia="仿宋_GB2312" w:cs="Times New Roman"/>
                <w:sz w:val="24"/>
                <w:szCs w:val="28"/>
              </w:rPr>
            </w:pPr>
            <w:r>
              <w:rPr>
                <w:rFonts w:hint="eastAsia" w:ascii="仿宋_GB2312" w:hAnsi="Times New Roman" w:eastAsia="仿宋_GB2312" w:cs="Times New Roman"/>
                <w:sz w:val="24"/>
                <w:szCs w:val="28"/>
              </w:rPr>
              <w:t>提供公有云环境的安全加固，包括云主机安全、云防火墙（含WAF）、云主机备份等服务，服务期</w:t>
            </w:r>
            <w:r>
              <w:rPr>
                <w:rFonts w:ascii="仿宋_GB2312" w:hAnsi="Times New Roman" w:eastAsia="仿宋_GB2312" w:cs="Times New Roman"/>
                <w:sz w:val="24"/>
                <w:szCs w:val="28"/>
              </w:rPr>
              <w:t>18</w:t>
            </w:r>
            <w:r>
              <w:rPr>
                <w:rFonts w:hint="eastAsia" w:ascii="仿宋_GB2312" w:hAnsi="Times New Roman" w:eastAsia="仿宋_GB2312" w:cs="Times New Roman"/>
                <w:sz w:val="24"/>
                <w:szCs w:val="28"/>
              </w:rPr>
              <w:t>个月</w:t>
            </w:r>
          </w:p>
        </w:tc>
        <w:tc>
          <w:tcPr>
            <w:tcW w:w="2766" w:type="dxa"/>
            <w:vAlign w:val="center"/>
          </w:tcPr>
          <w:p>
            <w:pPr>
              <w:spacing w:line="560" w:lineRule="exact"/>
              <w:jc w:val="center"/>
              <w:textAlignment w:val="baseline"/>
              <w:rPr>
                <w:rFonts w:ascii="仿宋_GB2312" w:hAnsi="Times New Roman" w:eastAsia="仿宋_GB2312" w:cs="Times New Roman"/>
                <w:sz w:val="24"/>
                <w:szCs w:val="28"/>
              </w:rPr>
            </w:pPr>
            <w:r>
              <w:rPr>
                <w:rFonts w:ascii="仿宋_GB2312" w:hAnsi="Times New Roman" w:eastAsia="仿宋_GB2312" w:cs="Times New Roman"/>
                <w:sz w:val="24"/>
                <w:szCs w:val="28"/>
              </w:rPr>
              <w:t>20</w:t>
            </w:r>
            <w:r>
              <w:rPr>
                <w:rFonts w:hint="eastAsia" w:ascii="仿宋_GB2312" w:hAnsi="Times New Roman" w:eastAsia="仿宋_GB2312" w:cs="Times New Roman"/>
                <w:sz w:val="24"/>
                <w:szCs w:val="28"/>
              </w:rPr>
              <w:t>.</w:t>
            </w:r>
            <w:r>
              <w:rPr>
                <w:rFonts w:ascii="仿宋_GB2312" w:hAnsi="Times New Roman" w:eastAsia="仿宋_GB2312" w:cs="Times New Roman"/>
                <w:sz w:val="24"/>
                <w:szCs w:val="28"/>
              </w:rPr>
              <w:t>00</w:t>
            </w:r>
          </w:p>
        </w:tc>
      </w:tr>
    </w:tbl>
    <w:p>
      <w:pPr>
        <w:pStyle w:val="5"/>
        <w:numPr>
          <w:ilvl w:val="0"/>
          <w:numId w:val="0"/>
        </w:numPr>
        <w:tabs>
          <w:tab w:val="left" w:pos="576"/>
        </w:tabs>
        <w:spacing w:line="560" w:lineRule="exact"/>
        <w:rPr>
          <w:rFonts w:ascii="仿宋_GB2312" w:hAnsi="楷体" w:eastAsia="仿宋_GB2312" w:cs="Times New Roman"/>
        </w:rPr>
      </w:pPr>
      <w:r>
        <w:rPr>
          <w:rFonts w:hint="eastAsia" w:ascii="仿宋_GB2312" w:hAnsi="楷体" w:eastAsia="仿宋_GB2312" w:cs="Times New Roman"/>
        </w:rPr>
        <w:t>2</w:t>
      </w:r>
      <w:r>
        <w:rPr>
          <w:rFonts w:ascii="仿宋_GB2312" w:hAnsi="楷体" w:eastAsia="仿宋_GB2312" w:cs="Times New Roman"/>
        </w:rPr>
        <w:t>.</w:t>
      </w:r>
      <w:r>
        <w:rPr>
          <w:rFonts w:hint="eastAsia" w:ascii="仿宋_GB2312" w:hAnsi="楷体" w:eastAsia="仿宋_GB2312" w:cs="Times New Roman"/>
        </w:rPr>
        <w:t>采购清单</w:t>
      </w:r>
    </w:p>
    <w:p>
      <w:pPr>
        <w:pStyle w:val="6"/>
        <w:numPr>
          <w:ilvl w:val="0"/>
          <w:numId w:val="0"/>
        </w:numPr>
        <w:tabs>
          <w:tab w:val="left" w:pos="720"/>
        </w:tabs>
        <w:spacing w:line="560" w:lineRule="exact"/>
        <w:rPr>
          <w:rFonts w:ascii="仿宋" w:hAnsi="仿宋" w:eastAsia="仿宋" w:cs="Times New Roman"/>
          <w:szCs w:val="28"/>
        </w:rPr>
      </w:pPr>
      <w:r>
        <w:rPr>
          <w:rFonts w:ascii="仿宋" w:hAnsi="仿宋" w:eastAsia="仿宋" w:cs="Times New Roman"/>
          <w:szCs w:val="28"/>
        </w:rPr>
        <w:t>包</w:t>
      </w:r>
      <w:r>
        <w:rPr>
          <w:rFonts w:hint="eastAsia" w:ascii="仿宋" w:hAnsi="仿宋" w:eastAsia="仿宋" w:cs="Times New Roman"/>
          <w:szCs w:val="28"/>
        </w:rPr>
        <w:t>1内容</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4343"/>
        <w:gridCol w:w="821"/>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分类</w:t>
            </w:r>
          </w:p>
        </w:tc>
        <w:tc>
          <w:tcPr>
            <w:tcW w:w="43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配置及规格要求</w:t>
            </w:r>
          </w:p>
        </w:tc>
        <w:tc>
          <w:tcPr>
            <w:tcW w:w="82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数量</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云主机</w:t>
            </w: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X86计算 | 通用计算增强型 | c6.2xlarge.2 | 8核 | 16GB; Windows | Windows Server 2016 标准版 64位简体中文; 超高IO | 40GB; 超高IO | 200GB;</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3台</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X86计算 | 通用计算增强型 | c6.4xlarge.2 | 16核 | 32GB; CentOS | CentOS 7.9 64bit; 高IO | 40GB; 高IO | 300GB;</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2台</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云备份</w:t>
            </w: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云服务器备份存储库 | 1500GB;</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1个</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对象存储</w:t>
            </w: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对象存储 | 标准存储单AZ存储包 | 5TB;</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1个</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 xml:space="preserve">对象存储 | 公网流出流量包 | 2TB; </w:t>
            </w:r>
            <w:r>
              <w:rPr>
                <w:rFonts w:ascii="仿宋_GB2312" w:eastAsia="仿宋_GB2312"/>
                <w:sz w:val="24"/>
                <w:szCs w:val="24"/>
              </w:rPr>
              <w:t>2</w:t>
            </w:r>
            <w:r>
              <w:rPr>
                <w:rFonts w:hint="eastAsia" w:ascii="仿宋_GB2312" w:eastAsia="仿宋_GB2312"/>
                <w:sz w:val="24"/>
                <w:szCs w:val="24"/>
              </w:rPr>
              <w:t>TB</w:t>
            </w:r>
            <w:r>
              <w:rPr>
                <w:rFonts w:ascii="仿宋_GB2312" w:eastAsia="仿宋_GB2312"/>
                <w:sz w:val="24"/>
                <w:szCs w:val="24"/>
              </w:rPr>
              <w:t>/</w:t>
            </w:r>
            <w:r>
              <w:rPr>
                <w:rFonts w:hint="eastAsia" w:ascii="仿宋_GB2312" w:eastAsia="仿宋_GB2312"/>
                <w:sz w:val="24"/>
                <w:szCs w:val="24"/>
              </w:rPr>
              <w:t>月</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1个</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弹性文件服务</w:t>
            </w: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SFS Turbo 标准增强型 | 10240GB;</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1个</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网络</w:t>
            </w: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弹性公网iP</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4个</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公网带宽：共享 | 全动态BGP | 50Mbit/s ;</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1个</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弹性负载均衡：共享 | 全动态BGP;</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1个</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迁移服务</w:t>
            </w: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数据复制服务：实时同步 | 入云 | PostgreSQL;</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1个</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主机迁移服务：实时同步 | 入云;</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1个</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云短信</w:t>
            </w: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行业短信包套餐1.5万条；</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1个</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分布式缓存</w:t>
            </w: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分布式缓存服务Redis版 ：5.0 | 主备 | X86 | DRAM | 3 | 4 GB;</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1个</w:t>
            </w:r>
          </w:p>
          <w:p>
            <w:pPr>
              <w:rPr>
                <w:rFonts w:ascii="仿宋_GB2312" w:eastAsia="仿宋_GB2312"/>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数据库</w:t>
            </w: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PostgreSQL | 12 | 主备 | 独享型 | 32核64GB; SSD云盘 | 1024GB;</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1个</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安全防护</w:t>
            </w: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企业主机安全：旗舰版</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5个</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Web应用防火墙 标准版 | （独享模式）;</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2个</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漏洞扫描服务：专业版 | 扫描配额包2个;</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1个</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SSL证书：OV（企业型） | GlobalSign | 单域名 | 1个;</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2个</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1年一次性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auto" w:sz="4" w:space="0"/>
              <w:left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高峰期预留弹性扩容</w:t>
            </w: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云主机:X86计算 | 通用计算增强型 | c6.4xlarge.2 | 16核 | 32GB; CentOS | CentOS 7.9 64bit; 高IO | 40GB; 高IO | 300GB;</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1个</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pPr>
              <w:jc w:val="center"/>
              <w:rPr>
                <w:rFonts w:ascii="仿宋_GB2312" w:eastAsia="仿宋_GB2312"/>
                <w:sz w:val="24"/>
                <w:szCs w:val="24"/>
              </w:rPr>
            </w:pPr>
          </w:p>
        </w:tc>
        <w:tc>
          <w:tcPr>
            <w:tcW w:w="434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网络：公网带宽：共享 | 全动态BGP | 50Mbit/s ;</w:t>
            </w:r>
          </w:p>
        </w:tc>
        <w:tc>
          <w:tcPr>
            <w:tcW w:w="82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1个</w:t>
            </w:r>
          </w:p>
        </w:tc>
        <w:tc>
          <w:tcPr>
            <w:tcW w:w="81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pPr>
              <w:jc w:val="center"/>
              <w:rPr>
                <w:rFonts w:ascii="仿宋_GB2312" w:eastAsia="仿宋_GB2312"/>
                <w:sz w:val="24"/>
                <w:szCs w:val="24"/>
              </w:rPr>
            </w:pPr>
          </w:p>
        </w:tc>
        <w:tc>
          <w:tcPr>
            <w:tcW w:w="5979"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在不超预留资金前提下以实际扩展资源为准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工期</w:t>
            </w:r>
          </w:p>
        </w:tc>
        <w:tc>
          <w:tcPr>
            <w:tcW w:w="5979"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hAnsi="Times New Roman" w:eastAsia="仿宋_GB2312" w:cs="Times New Roman"/>
                <w:sz w:val="24"/>
                <w:szCs w:val="28"/>
              </w:rPr>
              <w:t>合同签订1周内完成部署安装测试工作</w:t>
            </w:r>
          </w:p>
        </w:tc>
      </w:tr>
    </w:tbl>
    <w:p/>
    <w:p>
      <w:pPr>
        <w:pStyle w:val="5"/>
        <w:numPr>
          <w:ilvl w:val="0"/>
          <w:numId w:val="0"/>
        </w:numPr>
        <w:tabs>
          <w:tab w:val="left" w:pos="576"/>
        </w:tabs>
        <w:spacing w:line="560" w:lineRule="exact"/>
        <w:rPr>
          <w:rFonts w:ascii="仿宋_GB2312" w:hAnsi="楷体" w:eastAsia="仿宋_GB2312" w:cs="Times New Roman"/>
        </w:rPr>
      </w:pPr>
      <w:r>
        <w:rPr>
          <w:rFonts w:hint="eastAsia" w:ascii="仿宋_GB2312" w:hAnsi="楷体" w:eastAsia="仿宋_GB2312" w:cs="Times New Roman"/>
        </w:rPr>
        <w:t>3</w:t>
      </w:r>
      <w:r>
        <w:rPr>
          <w:rFonts w:ascii="仿宋_GB2312" w:hAnsi="楷体" w:eastAsia="仿宋_GB2312" w:cs="Times New Roman"/>
        </w:rPr>
        <w:t>.</w:t>
      </w:r>
      <w:r>
        <w:rPr>
          <w:rFonts w:hint="eastAsia" w:ascii="仿宋_GB2312" w:hAnsi="楷体" w:eastAsia="仿宋_GB2312" w:cs="Times New Roman"/>
        </w:rPr>
        <w:t>技术参数</w:t>
      </w:r>
    </w:p>
    <w:p>
      <w:pPr>
        <w:pStyle w:val="6"/>
        <w:numPr>
          <w:ilvl w:val="0"/>
          <w:numId w:val="0"/>
        </w:numPr>
        <w:tabs>
          <w:tab w:val="left" w:pos="720"/>
        </w:tabs>
        <w:spacing w:line="560" w:lineRule="exact"/>
        <w:rPr>
          <w:rFonts w:ascii="仿宋" w:hAnsi="仿宋" w:eastAsia="仿宋" w:cs="Times New Roman"/>
          <w:szCs w:val="28"/>
        </w:rPr>
      </w:pPr>
      <w:r>
        <w:rPr>
          <w:rFonts w:ascii="仿宋" w:hAnsi="仿宋" w:eastAsia="仿宋" w:cs="Times New Roman"/>
          <w:szCs w:val="28"/>
        </w:rPr>
        <w:t>包</w:t>
      </w:r>
      <w:r>
        <w:rPr>
          <w:rFonts w:hint="eastAsia" w:ascii="仿宋" w:hAnsi="仿宋" w:eastAsia="仿宋" w:cs="Times New Roman"/>
          <w:szCs w:val="28"/>
        </w:rPr>
        <w:t>1技术参数</w:t>
      </w:r>
    </w:p>
    <w:p>
      <w:pPr>
        <w:rPr>
          <w:rFonts w:ascii="仿宋_GB2312" w:hAnsi="楷体" w:eastAsia="仿宋_GB2312"/>
          <w:sz w:val="32"/>
        </w:rPr>
      </w:pPr>
      <w:r>
        <w:rPr>
          <w:rFonts w:hint="eastAsia" w:ascii="仿宋_GB2312" w:hAnsi="楷体" w:eastAsia="仿宋_GB2312"/>
          <w:sz w:val="32"/>
        </w:rPr>
        <w:t>（1）</w:t>
      </w:r>
      <w:r>
        <w:rPr>
          <w:rFonts w:ascii="仿宋_GB2312" w:hAnsi="楷体" w:eastAsia="仿宋_GB2312"/>
          <w:sz w:val="32"/>
        </w:rPr>
        <w:t>云主机</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7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shd w:val="clear" w:color="auto" w:fill="auto"/>
          </w:tcPr>
          <w:p>
            <w:pPr>
              <w:jc w:val="center"/>
              <w:rPr>
                <w:rFonts w:ascii="仿宋_GB2312" w:eastAsia="仿宋_GB2312"/>
                <w:sz w:val="24"/>
                <w:szCs w:val="24"/>
              </w:rPr>
            </w:pPr>
            <w:r>
              <w:rPr>
                <w:rFonts w:hint="eastAsia" w:ascii="仿宋_GB2312" w:eastAsia="仿宋_GB2312"/>
                <w:sz w:val="24"/>
                <w:szCs w:val="24"/>
              </w:rPr>
              <w:t>指标项</w:t>
            </w:r>
          </w:p>
        </w:tc>
        <w:tc>
          <w:tcPr>
            <w:tcW w:w="4148" w:type="pct"/>
            <w:shd w:val="clear" w:color="auto" w:fill="auto"/>
          </w:tcPr>
          <w:p>
            <w:pPr>
              <w:jc w:val="center"/>
              <w:rPr>
                <w:rFonts w:ascii="仿宋_GB2312" w:eastAsia="仿宋_GB2312"/>
                <w:sz w:val="24"/>
                <w:szCs w:val="24"/>
              </w:rPr>
            </w:pPr>
            <w:r>
              <w:rPr>
                <w:rFonts w:hint="eastAsia" w:ascii="仿宋_GB2312" w:eastAsia="仿宋_GB2312"/>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shd w:val="clear" w:color="auto" w:fill="auto"/>
            <w:vAlign w:val="center"/>
          </w:tcPr>
          <w:p>
            <w:pPr>
              <w:jc w:val="left"/>
              <w:rPr>
                <w:rFonts w:ascii="仿宋_GB2312" w:eastAsia="仿宋_GB2312"/>
                <w:sz w:val="24"/>
                <w:szCs w:val="24"/>
              </w:rPr>
            </w:pPr>
            <w:r>
              <w:rPr>
                <w:rFonts w:hint="eastAsia" w:ascii="仿宋_GB2312" w:eastAsia="仿宋_GB2312"/>
                <w:sz w:val="24"/>
                <w:szCs w:val="24"/>
              </w:rPr>
              <w:t>基础需求</w:t>
            </w:r>
          </w:p>
        </w:tc>
        <w:tc>
          <w:tcPr>
            <w:tcW w:w="4148" w:type="pct"/>
            <w:shd w:val="clear" w:color="auto" w:fill="auto"/>
          </w:tcPr>
          <w:p>
            <w:pPr>
              <w:adjustRightInd w:val="0"/>
              <w:snapToGrid w:val="0"/>
              <w:jc w:val="left"/>
              <w:rPr>
                <w:rFonts w:ascii="仿宋_GB2312" w:eastAsia="仿宋_GB2312"/>
                <w:sz w:val="24"/>
                <w:szCs w:val="24"/>
              </w:rPr>
            </w:pPr>
            <w:r>
              <w:rPr>
                <w:rFonts w:hint="eastAsia" w:ascii="仿宋_GB2312" w:eastAsia="仿宋_GB2312"/>
                <w:sz w:val="24"/>
                <w:szCs w:val="24"/>
              </w:rPr>
              <w:t>▲支持且配置3台</w:t>
            </w:r>
            <w:r>
              <w:rPr>
                <w:rFonts w:ascii="仿宋_GB2312" w:eastAsia="仿宋_GB2312"/>
                <w:sz w:val="24"/>
                <w:szCs w:val="24"/>
              </w:rPr>
              <w:t>x86架构8</w:t>
            </w:r>
            <w:r>
              <w:rPr>
                <w:rFonts w:hint="eastAsia" w:ascii="仿宋_GB2312" w:eastAsia="仿宋_GB2312"/>
                <w:sz w:val="24"/>
                <w:szCs w:val="24"/>
              </w:rPr>
              <w:t>核 32G内存，</w:t>
            </w:r>
            <w:r>
              <w:rPr>
                <w:rFonts w:ascii="仿宋_GB2312" w:eastAsia="仿宋_GB2312"/>
                <w:sz w:val="24"/>
                <w:szCs w:val="24"/>
              </w:rPr>
              <w:t>cpu</w:t>
            </w:r>
            <w:r>
              <w:rPr>
                <w:rFonts w:hint="eastAsia" w:ascii="仿宋_GB2312" w:eastAsia="仿宋_GB2312"/>
                <w:sz w:val="24"/>
                <w:szCs w:val="24"/>
              </w:rPr>
              <w:t>基</w:t>
            </w:r>
            <w:r>
              <w:rPr>
                <w:rFonts w:ascii="仿宋_GB2312" w:eastAsia="仿宋_GB2312"/>
                <w:sz w:val="24"/>
                <w:szCs w:val="24"/>
              </w:rPr>
              <w:t>频≥</w:t>
            </w:r>
            <w:r>
              <w:rPr>
                <w:rFonts w:hint="eastAsia" w:ascii="仿宋_GB2312" w:eastAsia="仿宋_GB2312"/>
                <w:sz w:val="24"/>
                <w:szCs w:val="24"/>
              </w:rPr>
              <w:t>2.6</w:t>
            </w:r>
            <w:r>
              <w:rPr>
                <w:rFonts w:ascii="仿宋_GB2312" w:eastAsia="仿宋_GB2312"/>
                <w:sz w:val="24"/>
                <w:szCs w:val="24"/>
              </w:rPr>
              <w:t xml:space="preserve">GHz </w:t>
            </w:r>
          </w:p>
          <w:p>
            <w:pPr>
              <w:adjustRightInd w:val="0"/>
              <w:snapToGrid w:val="0"/>
              <w:jc w:val="left"/>
              <w:rPr>
                <w:rFonts w:ascii="仿宋_GB2312" w:eastAsia="仿宋_GB2312"/>
                <w:sz w:val="24"/>
                <w:szCs w:val="24"/>
              </w:rPr>
            </w:pPr>
            <w:r>
              <w:rPr>
                <w:rFonts w:hint="eastAsia" w:ascii="仿宋_GB2312" w:eastAsia="仿宋_GB2312"/>
                <w:sz w:val="24"/>
                <w:szCs w:val="24"/>
              </w:rPr>
              <w:t>▲支持且配置2台</w:t>
            </w:r>
            <w:r>
              <w:rPr>
                <w:rFonts w:ascii="仿宋_GB2312" w:eastAsia="仿宋_GB2312"/>
                <w:sz w:val="24"/>
                <w:szCs w:val="24"/>
              </w:rPr>
              <w:t>x86架构</w:t>
            </w:r>
            <w:r>
              <w:rPr>
                <w:rFonts w:hint="eastAsia" w:ascii="仿宋_GB2312" w:eastAsia="仿宋_GB2312"/>
                <w:sz w:val="24"/>
                <w:szCs w:val="24"/>
              </w:rPr>
              <w:t>16核 32G内存，</w:t>
            </w:r>
            <w:r>
              <w:rPr>
                <w:rFonts w:ascii="仿宋_GB2312" w:eastAsia="仿宋_GB2312"/>
                <w:sz w:val="24"/>
                <w:szCs w:val="24"/>
              </w:rPr>
              <w:t>cpu</w:t>
            </w:r>
            <w:r>
              <w:rPr>
                <w:rFonts w:hint="eastAsia" w:ascii="仿宋_GB2312" w:eastAsia="仿宋_GB2312"/>
                <w:sz w:val="24"/>
                <w:szCs w:val="24"/>
              </w:rPr>
              <w:t>基</w:t>
            </w:r>
            <w:r>
              <w:rPr>
                <w:rFonts w:ascii="仿宋_GB2312" w:eastAsia="仿宋_GB2312"/>
                <w:sz w:val="24"/>
                <w:szCs w:val="24"/>
              </w:rPr>
              <w:t>频≥</w:t>
            </w:r>
            <w:r>
              <w:rPr>
                <w:rFonts w:hint="eastAsia" w:ascii="仿宋_GB2312" w:eastAsia="仿宋_GB2312"/>
                <w:sz w:val="24"/>
                <w:szCs w:val="24"/>
              </w:rPr>
              <w:t>2.6</w:t>
            </w:r>
            <w:r>
              <w:rPr>
                <w:rFonts w:ascii="仿宋_GB2312" w:eastAsia="仿宋_GB2312"/>
                <w:sz w:val="24"/>
                <w:szCs w:val="24"/>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restart"/>
            <w:shd w:val="clear" w:color="auto" w:fill="auto"/>
            <w:vAlign w:val="center"/>
          </w:tcPr>
          <w:p>
            <w:pPr>
              <w:jc w:val="left"/>
              <w:rPr>
                <w:rFonts w:ascii="仿宋_GB2312" w:eastAsia="仿宋_GB2312"/>
                <w:sz w:val="24"/>
                <w:szCs w:val="24"/>
              </w:rPr>
            </w:pPr>
            <w:r>
              <w:rPr>
                <w:rFonts w:ascii="仿宋_GB2312" w:eastAsia="仿宋_GB2312"/>
                <w:sz w:val="24"/>
                <w:szCs w:val="24"/>
              </w:rPr>
              <w:t>服务能力</w:t>
            </w:r>
          </w:p>
        </w:tc>
        <w:tc>
          <w:tcPr>
            <w:tcW w:w="4148" w:type="pct"/>
            <w:shd w:val="clear" w:color="auto" w:fill="auto"/>
          </w:tcPr>
          <w:p>
            <w:pPr>
              <w:adjustRightInd w:val="0"/>
              <w:snapToGrid w:val="0"/>
              <w:jc w:val="left"/>
              <w:rPr>
                <w:rFonts w:ascii="仿宋_GB2312" w:eastAsia="仿宋_GB2312"/>
                <w:sz w:val="24"/>
                <w:szCs w:val="24"/>
              </w:rPr>
            </w:pPr>
            <w:r>
              <w:rPr>
                <w:rFonts w:hint="eastAsia" w:ascii="仿宋_GB2312" w:eastAsia="仿宋_GB2312"/>
                <w:sz w:val="24"/>
                <w:szCs w:val="24"/>
              </w:rPr>
              <w:t>云主机批量购买网络规划能力，可以指定虚拟机私有IP地址，并且批量创建时，可以指定连续的IP地址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shd w:val="clear" w:color="auto" w:fill="auto"/>
            <w:vAlign w:val="center"/>
          </w:tcPr>
          <w:p>
            <w:pPr>
              <w:jc w:val="left"/>
              <w:rPr>
                <w:rFonts w:ascii="仿宋_GB2312" w:eastAsia="仿宋_GB2312"/>
                <w:sz w:val="24"/>
                <w:szCs w:val="24"/>
              </w:rPr>
            </w:pPr>
          </w:p>
        </w:tc>
        <w:tc>
          <w:tcPr>
            <w:tcW w:w="4148" w:type="pct"/>
            <w:shd w:val="clear" w:color="auto" w:fill="auto"/>
          </w:tcPr>
          <w:p>
            <w:pPr>
              <w:adjustRightInd w:val="0"/>
              <w:snapToGrid w:val="0"/>
              <w:jc w:val="left"/>
              <w:rPr>
                <w:rFonts w:ascii="仿宋_GB2312" w:eastAsia="仿宋_GB2312"/>
                <w:sz w:val="24"/>
                <w:szCs w:val="24"/>
              </w:rPr>
            </w:pPr>
            <w:r>
              <w:rPr>
                <w:rFonts w:hint="eastAsia" w:ascii="仿宋_GB2312" w:eastAsia="仿宋_GB2312"/>
                <w:sz w:val="24"/>
                <w:szCs w:val="24"/>
              </w:rPr>
              <w:t>单个云主机在创建时支持设置多个网卡，并且可以设置不同的IP地址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shd w:val="clear" w:color="auto" w:fill="auto"/>
            <w:vAlign w:val="center"/>
          </w:tcPr>
          <w:p>
            <w:pPr>
              <w:jc w:val="left"/>
              <w:rPr>
                <w:rFonts w:ascii="仿宋_GB2312" w:eastAsia="仿宋_GB2312"/>
                <w:sz w:val="24"/>
                <w:szCs w:val="24"/>
              </w:rPr>
            </w:pPr>
          </w:p>
        </w:tc>
        <w:tc>
          <w:tcPr>
            <w:tcW w:w="4148" w:type="pct"/>
            <w:shd w:val="clear" w:color="auto" w:fill="auto"/>
          </w:tcPr>
          <w:p>
            <w:pPr>
              <w:adjustRightInd w:val="0"/>
              <w:snapToGrid w:val="0"/>
              <w:jc w:val="left"/>
              <w:rPr>
                <w:rFonts w:ascii="仿宋_GB2312" w:eastAsia="仿宋_GB2312"/>
                <w:sz w:val="24"/>
                <w:szCs w:val="24"/>
              </w:rPr>
            </w:pPr>
            <w:r>
              <w:rPr>
                <w:rFonts w:hint="eastAsia" w:ascii="仿宋_GB2312" w:eastAsia="仿宋_GB2312"/>
                <w:sz w:val="24"/>
                <w:szCs w:val="24"/>
              </w:rPr>
              <w:t>添加共享盘：支持创建共享盘。默认支持将共享盘挂载给最大16个ECS；</w:t>
            </w:r>
          </w:p>
          <w:p>
            <w:pPr>
              <w:adjustRightInd w:val="0"/>
              <w:snapToGrid w:val="0"/>
              <w:jc w:val="left"/>
              <w:rPr>
                <w:rFonts w:ascii="仿宋_GB2312" w:eastAsia="仿宋_GB2312"/>
                <w:sz w:val="24"/>
                <w:szCs w:val="24"/>
              </w:rPr>
            </w:pPr>
            <w:r>
              <w:rPr>
                <w:rFonts w:hint="eastAsia" w:ascii="仿宋_GB2312" w:eastAsia="仿宋_GB2312"/>
                <w:sz w:val="24"/>
                <w:szCs w:val="24"/>
              </w:rPr>
              <w:t>系统盘和数据盘支持加密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shd w:val="clear" w:color="auto" w:fill="auto"/>
            <w:vAlign w:val="center"/>
          </w:tcPr>
          <w:p>
            <w:pPr>
              <w:jc w:val="left"/>
              <w:rPr>
                <w:rFonts w:ascii="仿宋_GB2312" w:eastAsia="仿宋_GB2312"/>
                <w:sz w:val="24"/>
                <w:szCs w:val="24"/>
              </w:rPr>
            </w:pPr>
          </w:p>
        </w:tc>
        <w:tc>
          <w:tcPr>
            <w:tcW w:w="4148" w:type="pct"/>
            <w:shd w:val="clear" w:color="auto" w:fill="auto"/>
          </w:tcPr>
          <w:p>
            <w:pPr>
              <w:adjustRightInd w:val="0"/>
              <w:snapToGrid w:val="0"/>
              <w:jc w:val="left"/>
              <w:rPr>
                <w:rFonts w:ascii="仿宋_GB2312" w:eastAsia="仿宋_GB2312"/>
                <w:sz w:val="24"/>
                <w:szCs w:val="24"/>
              </w:rPr>
            </w:pPr>
            <w:r>
              <w:rPr>
                <w:rFonts w:hint="eastAsia" w:ascii="仿宋_GB2312" w:eastAsia="仿宋_GB2312"/>
                <w:sz w:val="24"/>
                <w:szCs w:val="24"/>
              </w:rPr>
              <w:t>支持整机备份，一个云主机一个备份文件，支持基于多云硬盘一致性快照技术的数据保护，可以将备份数据恢复到初始主机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shd w:val="clear" w:color="auto" w:fill="auto"/>
            <w:vAlign w:val="center"/>
          </w:tcPr>
          <w:p>
            <w:pPr>
              <w:jc w:val="left"/>
              <w:rPr>
                <w:rFonts w:ascii="仿宋_GB2312" w:eastAsia="仿宋_GB2312"/>
                <w:sz w:val="24"/>
                <w:szCs w:val="24"/>
              </w:rPr>
            </w:pPr>
          </w:p>
        </w:tc>
        <w:tc>
          <w:tcPr>
            <w:tcW w:w="4148" w:type="pct"/>
            <w:shd w:val="clear" w:color="auto" w:fill="auto"/>
          </w:tcPr>
          <w:p>
            <w:pPr>
              <w:adjustRightInd w:val="0"/>
              <w:snapToGrid w:val="0"/>
              <w:jc w:val="left"/>
              <w:rPr>
                <w:rFonts w:ascii="仿宋_GB2312" w:eastAsia="仿宋_GB2312"/>
                <w:sz w:val="24"/>
                <w:szCs w:val="24"/>
              </w:rPr>
            </w:pPr>
            <w:r>
              <w:rPr>
                <w:rFonts w:hint="eastAsia" w:ascii="仿宋_GB2312" w:eastAsia="仿宋_GB2312"/>
                <w:sz w:val="24"/>
                <w:szCs w:val="24"/>
              </w:rPr>
              <w:t>提供主流W</w:t>
            </w:r>
            <w:r>
              <w:rPr>
                <w:rFonts w:ascii="仿宋_GB2312" w:eastAsia="仿宋_GB2312"/>
                <w:sz w:val="24"/>
                <w:szCs w:val="24"/>
              </w:rPr>
              <w:t>indows和</w:t>
            </w:r>
            <w:r>
              <w:rPr>
                <w:rFonts w:hint="eastAsia" w:ascii="仿宋_GB2312" w:eastAsia="仿宋_GB2312"/>
                <w:sz w:val="24"/>
                <w:szCs w:val="24"/>
              </w:rPr>
              <w:t>L</w:t>
            </w:r>
            <w:r>
              <w:rPr>
                <w:rFonts w:ascii="仿宋_GB2312" w:eastAsia="仿宋_GB2312"/>
                <w:sz w:val="24"/>
                <w:szCs w:val="24"/>
              </w:rPr>
              <w:t>inux操作系统</w:t>
            </w:r>
            <w:r>
              <w:rPr>
                <w:rFonts w:hint="eastAsia" w:ascii="仿宋_GB2312" w:eastAsia="仿宋_GB2312"/>
                <w:sz w:val="24"/>
                <w:szCs w:val="24"/>
              </w:rPr>
              <w:t>，</w:t>
            </w:r>
            <w:r>
              <w:rPr>
                <w:rFonts w:ascii="仿宋_GB2312" w:eastAsia="仿宋_GB2312"/>
                <w:sz w:val="24"/>
                <w:szCs w:val="24"/>
              </w:rPr>
              <w:t>用户可自由选择</w:t>
            </w:r>
            <w:r>
              <w:rPr>
                <w:rFonts w:hint="eastAsia" w:ascii="仿宋_GB2312" w:eastAsia="仿宋_GB2312"/>
                <w:sz w:val="24"/>
                <w:szCs w:val="24"/>
              </w:rPr>
              <w:t>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shd w:val="clear" w:color="auto" w:fill="auto"/>
            <w:vAlign w:val="center"/>
          </w:tcPr>
          <w:p>
            <w:pPr>
              <w:jc w:val="left"/>
              <w:rPr>
                <w:rFonts w:ascii="仿宋_GB2312" w:eastAsia="仿宋_GB2312"/>
                <w:sz w:val="24"/>
                <w:szCs w:val="24"/>
              </w:rPr>
            </w:pPr>
          </w:p>
        </w:tc>
        <w:tc>
          <w:tcPr>
            <w:tcW w:w="4148" w:type="pct"/>
            <w:shd w:val="clear" w:color="auto" w:fill="auto"/>
          </w:tcPr>
          <w:p>
            <w:pPr>
              <w:adjustRightInd w:val="0"/>
              <w:snapToGrid w:val="0"/>
              <w:jc w:val="left"/>
              <w:rPr>
                <w:rFonts w:ascii="仿宋_GB2312" w:eastAsia="仿宋_GB2312"/>
                <w:sz w:val="24"/>
                <w:szCs w:val="24"/>
              </w:rPr>
            </w:pPr>
            <w:r>
              <w:rPr>
                <w:rFonts w:hint="eastAsia" w:ascii="仿宋_GB2312" w:eastAsia="仿宋_GB2312"/>
                <w:sz w:val="24"/>
                <w:szCs w:val="24"/>
              </w:rPr>
              <w:t>linux和windows系统提供密码登录和密钥登录两种方式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shd w:val="clear" w:color="auto" w:fill="auto"/>
            <w:vAlign w:val="center"/>
          </w:tcPr>
          <w:p>
            <w:pPr>
              <w:jc w:val="left"/>
              <w:rPr>
                <w:rFonts w:ascii="仿宋_GB2312" w:eastAsia="仿宋_GB2312"/>
                <w:sz w:val="24"/>
                <w:szCs w:val="24"/>
              </w:rPr>
            </w:pPr>
          </w:p>
        </w:tc>
        <w:tc>
          <w:tcPr>
            <w:tcW w:w="4148" w:type="pct"/>
            <w:shd w:val="clear" w:color="auto" w:fill="auto"/>
          </w:tcPr>
          <w:p>
            <w:pPr>
              <w:adjustRightInd w:val="0"/>
              <w:snapToGrid w:val="0"/>
              <w:jc w:val="left"/>
              <w:rPr>
                <w:rFonts w:ascii="仿宋_GB2312" w:eastAsia="仿宋_GB2312"/>
                <w:sz w:val="24"/>
                <w:szCs w:val="24"/>
              </w:rPr>
            </w:pPr>
            <w:r>
              <w:rPr>
                <w:rFonts w:hint="eastAsia" w:ascii="仿宋_GB2312" w:eastAsia="仿宋_GB2312"/>
                <w:sz w:val="24"/>
                <w:szCs w:val="24"/>
              </w:rPr>
              <w:t>具备云主机生命周期管理，云主机支持重装操作系统，支持切换到其他操作系统，</w:t>
            </w:r>
            <w:r>
              <w:rPr>
                <w:rFonts w:ascii="仿宋_GB2312" w:eastAsia="仿宋_GB2312"/>
                <w:sz w:val="24"/>
                <w:szCs w:val="24"/>
              </w:rPr>
              <w:t>不需要提供</w:t>
            </w:r>
            <w:r>
              <w:rPr>
                <w:rFonts w:hint="eastAsia" w:ascii="仿宋_GB2312" w:eastAsia="仿宋_GB2312"/>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shd w:val="clear" w:color="auto" w:fill="auto"/>
            <w:vAlign w:val="center"/>
          </w:tcPr>
          <w:p>
            <w:pPr>
              <w:jc w:val="left"/>
              <w:rPr>
                <w:rFonts w:ascii="仿宋_GB2312" w:eastAsia="仿宋_GB2312"/>
                <w:sz w:val="24"/>
                <w:szCs w:val="24"/>
              </w:rPr>
            </w:pPr>
          </w:p>
        </w:tc>
        <w:tc>
          <w:tcPr>
            <w:tcW w:w="4148" w:type="pct"/>
            <w:shd w:val="clear" w:color="auto" w:fill="auto"/>
          </w:tcPr>
          <w:p>
            <w:pPr>
              <w:adjustRightInd w:val="0"/>
              <w:snapToGrid w:val="0"/>
              <w:jc w:val="left"/>
              <w:rPr>
                <w:rFonts w:ascii="仿宋_GB2312" w:eastAsia="仿宋_GB2312"/>
                <w:sz w:val="24"/>
                <w:szCs w:val="24"/>
              </w:rPr>
            </w:pPr>
            <w:r>
              <w:rPr>
                <w:rFonts w:hint="eastAsia" w:ascii="仿宋_GB2312" w:eastAsia="仿宋_GB2312"/>
                <w:sz w:val="24"/>
                <w:szCs w:val="24"/>
              </w:rPr>
              <w:t>云主机支持挂载≥</w:t>
            </w:r>
            <w:r>
              <w:rPr>
                <w:rFonts w:ascii="仿宋_GB2312" w:eastAsia="仿宋_GB2312"/>
                <w:sz w:val="24"/>
                <w:szCs w:val="24"/>
              </w:rPr>
              <w:t>30</w:t>
            </w:r>
            <w:r>
              <w:rPr>
                <w:rFonts w:hint="eastAsia" w:ascii="仿宋_GB2312" w:eastAsia="仿宋_GB2312"/>
                <w:sz w:val="24"/>
                <w:szCs w:val="24"/>
              </w:rPr>
              <w:t>块云盘；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shd w:val="clear" w:color="auto" w:fill="auto"/>
            <w:vAlign w:val="center"/>
          </w:tcPr>
          <w:p>
            <w:pPr>
              <w:jc w:val="left"/>
              <w:rPr>
                <w:rFonts w:ascii="仿宋_GB2312" w:eastAsia="仿宋_GB2312"/>
                <w:sz w:val="24"/>
                <w:szCs w:val="24"/>
              </w:rPr>
            </w:pPr>
          </w:p>
        </w:tc>
        <w:tc>
          <w:tcPr>
            <w:tcW w:w="4148" w:type="pct"/>
            <w:shd w:val="clear" w:color="auto" w:fill="auto"/>
          </w:tcPr>
          <w:p>
            <w:pPr>
              <w:adjustRightInd w:val="0"/>
              <w:snapToGrid w:val="0"/>
              <w:jc w:val="left"/>
              <w:rPr>
                <w:rFonts w:ascii="仿宋_GB2312" w:eastAsia="仿宋_GB2312"/>
                <w:sz w:val="24"/>
                <w:szCs w:val="24"/>
              </w:rPr>
            </w:pPr>
            <w:r>
              <w:rPr>
                <w:rFonts w:hint="eastAsia" w:ascii="仿宋_GB2312" w:eastAsia="仿宋_GB2312"/>
                <w:sz w:val="24"/>
                <w:szCs w:val="24"/>
              </w:rPr>
              <w:t>云主机支持高带宽/高pps网络性能，pps满足≥1000W，带宽满足≥35Gbps</w:t>
            </w:r>
            <w:r>
              <w:rPr>
                <w:rFonts w:ascii="仿宋_GB2312" w:eastAsia="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shd w:val="clear" w:color="auto" w:fill="auto"/>
            <w:vAlign w:val="center"/>
          </w:tcPr>
          <w:p>
            <w:pPr>
              <w:jc w:val="left"/>
              <w:rPr>
                <w:rFonts w:ascii="仿宋_GB2312" w:eastAsia="仿宋_GB2312"/>
                <w:sz w:val="24"/>
                <w:szCs w:val="24"/>
              </w:rPr>
            </w:pPr>
          </w:p>
        </w:tc>
        <w:tc>
          <w:tcPr>
            <w:tcW w:w="4148" w:type="pct"/>
            <w:shd w:val="clear" w:color="auto" w:fill="auto"/>
          </w:tcPr>
          <w:p>
            <w:pPr>
              <w:adjustRightInd w:val="0"/>
              <w:snapToGrid w:val="0"/>
              <w:jc w:val="left"/>
              <w:rPr>
                <w:rFonts w:ascii="仿宋_GB2312" w:eastAsia="仿宋_GB2312"/>
                <w:sz w:val="24"/>
                <w:szCs w:val="24"/>
              </w:rPr>
            </w:pPr>
            <w:r>
              <w:rPr>
                <w:rFonts w:hint="eastAsia" w:ascii="仿宋_GB2312" w:eastAsia="仿宋_GB2312"/>
                <w:sz w:val="24"/>
                <w:szCs w:val="24"/>
              </w:rPr>
              <w:t>支持AI</w:t>
            </w:r>
            <w:r>
              <w:rPr>
                <w:rFonts w:ascii="仿宋_GB2312" w:eastAsia="仿宋_GB2312"/>
                <w:sz w:val="24"/>
                <w:szCs w:val="24"/>
              </w:rPr>
              <w:t>实例</w:t>
            </w:r>
            <w:r>
              <w:rPr>
                <w:rFonts w:hint="eastAsia" w:ascii="仿宋_GB2312" w:eastAsia="仿宋_GB2312"/>
                <w:sz w:val="24"/>
                <w:szCs w:val="24"/>
              </w:rPr>
              <w:t>、突发实例、ARM实例等多种云主机实例,并且支持单个实例变更规格以及批量变更规格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shd w:val="clear" w:color="auto" w:fill="auto"/>
            <w:vAlign w:val="center"/>
          </w:tcPr>
          <w:p>
            <w:pPr>
              <w:jc w:val="left"/>
              <w:rPr>
                <w:rFonts w:ascii="仿宋_GB2312" w:eastAsia="仿宋_GB2312"/>
                <w:sz w:val="24"/>
                <w:szCs w:val="24"/>
              </w:rPr>
            </w:pPr>
          </w:p>
        </w:tc>
        <w:tc>
          <w:tcPr>
            <w:tcW w:w="4148" w:type="pct"/>
            <w:shd w:val="clear" w:color="auto" w:fill="auto"/>
          </w:tcPr>
          <w:p>
            <w:pPr>
              <w:adjustRightInd w:val="0"/>
              <w:snapToGrid w:val="0"/>
              <w:jc w:val="left"/>
              <w:rPr>
                <w:rFonts w:ascii="仿宋_GB2312" w:eastAsia="仿宋_GB2312"/>
                <w:sz w:val="24"/>
                <w:szCs w:val="24"/>
              </w:rPr>
            </w:pPr>
            <w:r>
              <w:rPr>
                <w:rFonts w:hint="eastAsia" w:ascii="仿宋_GB2312" w:eastAsia="仿宋_GB2312"/>
                <w:sz w:val="24"/>
                <w:szCs w:val="24"/>
              </w:rPr>
              <w:t>提供虚拟主机的动态升级、快照备份、性能监测分析、异常告警、日志管理等功能，</w:t>
            </w:r>
            <w:r>
              <w:rPr>
                <w:rFonts w:ascii="仿宋_GB2312" w:eastAsia="仿宋_GB2312"/>
                <w:sz w:val="24"/>
                <w:szCs w:val="24"/>
              </w:rPr>
              <w:t>不需要提供</w:t>
            </w:r>
            <w:r>
              <w:rPr>
                <w:rFonts w:hint="eastAsia" w:ascii="仿宋_GB2312" w:eastAsia="仿宋_GB2312"/>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shd w:val="clear" w:color="auto" w:fill="auto"/>
            <w:vAlign w:val="center"/>
          </w:tcPr>
          <w:p>
            <w:pPr>
              <w:jc w:val="left"/>
              <w:rPr>
                <w:rFonts w:ascii="仿宋_GB2312" w:eastAsia="仿宋_GB2312"/>
                <w:sz w:val="24"/>
                <w:szCs w:val="24"/>
              </w:rPr>
            </w:pPr>
          </w:p>
        </w:tc>
        <w:tc>
          <w:tcPr>
            <w:tcW w:w="4148" w:type="pct"/>
            <w:shd w:val="clear" w:color="auto" w:fill="auto"/>
          </w:tcPr>
          <w:p>
            <w:pPr>
              <w:adjustRightInd w:val="0"/>
              <w:snapToGrid w:val="0"/>
              <w:jc w:val="left"/>
              <w:rPr>
                <w:rFonts w:ascii="仿宋_GB2312" w:eastAsia="仿宋_GB2312"/>
                <w:sz w:val="24"/>
                <w:szCs w:val="24"/>
              </w:rPr>
            </w:pPr>
            <w:r>
              <w:rPr>
                <w:rFonts w:hint="eastAsia" w:ascii="仿宋_GB2312" w:eastAsia="仿宋_GB2312"/>
                <w:sz w:val="24"/>
                <w:szCs w:val="24"/>
              </w:rPr>
              <w:t>反亲和性，支持物理机级别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shd w:val="clear" w:color="auto" w:fill="auto"/>
            <w:vAlign w:val="center"/>
          </w:tcPr>
          <w:p>
            <w:pPr>
              <w:jc w:val="left"/>
              <w:rPr>
                <w:rFonts w:ascii="仿宋_GB2312" w:eastAsia="仿宋_GB2312"/>
                <w:sz w:val="24"/>
                <w:szCs w:val="24"/>
              </w:rPr>
            </w:pPr>
            <w:r>
              <w:rPr>
                <w:rFonts w:hint="eastAsia" w:ascii="仿宋_GB2312" w:eastAsia="仿宋_GB2312"/>
                <w:sz w:val="24"/>
                <w:szCs w:val="24"/>
              </w:rPr>
              <w:t>安全可靠</w:t>
            </w:r>
          </w:p>
        </w:tc>
        <w:tc>
          <w:tcPr>
            <w:tcW w:w="4148" w:type="pct"/>
            <w:shd w:val="clear" w:color="auto" w:fill="auto"/>
          </w:tcPr>
          <w:p>
            <w:pPr>
              <w:adjustRightInd w:val="0"/>
              <w:snapToGrid w:val="0"/>
              <w:jc w:val="left"/>
              <w:rPr>
                <w:rFonts w:ascii="仿宋_GB2312" w:eastAsia="仿宋_GB2312"/>
                <w:sz w:val="24"/>
                <w:szCs w:val="24"/>
              </w:rPr>
            </w:pPr>
            <w:r>
              <w:rPr>
                <w:rFonts w:hint="eastAsia" w:ascii="仿宋_GB2312" w:eastAsia="仿宋_GB2312"/>
                <w:sz w:val="24"/>
                <w:szCs w:val="24"/>
              </w:rPr>
              <w:t>云主机单个弹性云服务器每服务周期服务可用率不低于99.95%；同一区域内多个可用区的弹性云服务器每服务周期服务可用率不低于99.99%，</w:t>
            </w:r>
            <w:r>
              <w:rPr>
                <w:rFonts w:ascii="仿宋_GB2312" w:eastAsia="仿宋_GB2312"/>
                <w:sz w:val="24"/>
                <w:szCs w:val="24"/>
              </w:rPr>
              <w:t>不需要提供</w:t>
            </w:r>
            <w:r>
              <w:rPr>
                <w:rFonts w:hint="eastAsia" w:ascii="仿宋_GB2312" w:eastAsia="仿宋_GB2312"/>
                <w:sz w:val="24"/>
                <w:szCs w:val="24"/>
              </w:rPr>
              <w:t>证明资料</w:t>
            </w:r>
          </w:p>
        </w:tc>
      </w:tr>
    </w:tbl>
    <w:p>
      <w:pPr>
        <w:rPr>
          <w:rFonts w:ascii="仿宋_GB2312" w:hAnsi="楷体" w:eastAsia="仿宋_GB2312"/>
          <w:sz w:val="32"/>
        </w:rPr>
      </w:pPr>
      <w:r>
        <w:rPr>
          <w:rFonts w:hint="eastAsia" w:ascii="仿宋_GB2312" w:hAnsi="楷体" w:eastAsia="仿宋_GB2312"/>
          <w:sz w:val="32"/>
        </w:rPr>
        <w:t>（2）</w:t>
      </w:r>
      <w:r>
        <w:rPr>
          <w:rFonts w:ascii="仿宋_GB2312" w:hAnsi="楷体" w:eastAsia="仿宋_GB2312"/>
          <w:sz w:val="32"/>
        </w:rPr>
        <w:t>云硬盘</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7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shd w:val="clear" w:color="auto" w:fill="auto"/>
          </w:tcPr>
          <w:p>
            <w:pPr>
              <w:jc w:val="center"/>
              <w:rPr>
                <w:rFonts w:ascii="仿宋_GB2312" w:eastAsia="仿宋_GB2312"/>
                <w:sz w:val="24"/>
                <w:szCs w:val="24"/>
              </w:rPr>
            </w:pPr>
            <w:r>
              <w:rPr>
                <w:rFonts w:hint="eastAsia" w:ascii="仿宋_GB2312" w:eastAsia="仿宋_GB2312"/>
                <w:sz w:val="24"/>
                <w:szCs w:val="24"/>
              </w:rPr>
              <w:t>指标项</w:t>
            </w:r>
          </w:p>
        </w:tc>
        <w:tc>
          <w:tcPr>
            <w:tcW w:w="4148" w:type="pct"/>
            <w:shd w:val="clear" w:color="auto" w:fill="auto"/>
          </w:tcPr>
          <w:p>
            <w:pPr>
              <w:jc w:val="center"/>
              <w:rPr>
                <w:rFonts w:ascii="仿宋_GB2312" w:eastAsia="仿宋_GB2312"/>
                <w:sz w:val="24"/>
                <w:szCs w:val="24"/>
              </w:rPr>
            </w:pPr>
            <w:r>
              <w:rPr>
                <w:rFonts w:hint="eastAsia" w:ascii="仿宋_GB2312" w:eastAsia="仿宋_GB2312"/>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Align w:val="center"/>
          </w:tcPr>
          <w:p>
            <w:pPr>
              <w:jc w:val="left"/>
              <w:rPr>
                <w:rFonts w:ascii="仿宋_GB2312" w:eastAsia="仿宋_GB2312"/>
                <w:sz w:val="24"/>
                <w:szCs w:val="24"/>
              </w:rPr>
            </w:pPr>
            <w:r>
              <w:rPr>
                <w:rFonts w:hint="eastAsia" w:ascii="仿宋_GB2312" w:eastAsia="仿宋_GB2312"/>
                <w:sz w:val="24"/>
                <w:szCs w:val="24"/>
              </w:rPr>
              <w:t>基础需求</w:t>
            </w:r>
          </w:p>
        </w:tc>
        <w:tc>
          <w:tcPr>
            <w:tcW w:w="4148" w:type="pct"/>
          </w:tcPr>
          <w:p>
            <w:pPr>
              <w:pStyle w:val="112"/>
              <w:ind w:firstLine="0" w:firstLineChars="0"/>
              <w:contextualSpacing/>
              <w:jc w:val="left"/>
              <w:rPr>
                <w:rFonts w:ascii="仿宋_GB2312" w:eastAsia="仿宋_GB2312"/>
                <w:sz w:val="24"/>
                <w:szCs w:val="24"/>
              </w:rPr>
            </w:pPr>
            <w:r>
              <w:rPr>
                <w:rFonts w:hint="eastAsia" w:ascii="仿宋_GB2312" w:eastAsia="仿宋_GB2312"/>
                <w:sz w:val="24"/>
                <w:szCs w:val="24"/>
              </w:rPr>
              <w:t>▲支持且配置高IO云硬盘（SAS）可用容量≥1360GB；</w:t>
            </w:r>
          </w:p>
          <w:p>
            <w:pPr>
              <w:pStyle w:val="112"/>
              <w:ind w:firstLine="0" w:firstLineChars="0"/>
              <w:contextualSpacing/>
              <w:jc w:val="left"/>
              <w:rPr>
                <w:rFonts w:ascii="仿宋_GB2312" w:eastAsia="仿宋_GB2312"/>
                <w:sz w:val="24"/>
                <w:szCs w:val="24"/>
              </w:rPr>
            </w:pPr>
            <w:r>
              <w:rPr>
                <w:rFonts w:hint="eastAsia" w:ascii="仿宋_GB2312" w:eastAsia="仿宋_GB2312"/>
                <w:sz w:val="24"/>
                <w:szCs w:val="24"/>
              </w:rPr>
              <w:t>▲支持且配置超高IO硬盘可用容量≥720GB；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restart"/>
            <w:vAlign w:val="center"/>
          </w:tcPr>
          <w:p>
            <w:pPr>
              <w:jc w:val="left"/>
              <w:rPr>
                <w:rFonts w:ascii="仿宋_GB2312" w:eastAsia="仿宋_GB2312"/>
                <w:sz w:val="24"/>
                <w:szCs w:val="24"/>
              </w:rPr>
            </w:pPr>
            <w:r>
              <w:rPr>
                <w:rFonts w:hint="eastAsia" w:ascii="仿宋_GB2312" w:eastAsia="仿宋_GB2312"/>
                <w:sz w:val="24"/>
                <w:szCs w:val="24"/>
              </w:rPr>
              <w:t>服务能力</w:t>
            </w:r>
          </w:p>
        </w:tc>
        <w:tc>
          <w:tcPr>
            <w:tcW w:w="4148" w:type="pct"/>
          </w:tcPr>
          <w:p>
            <w:pPr>
              <w:jc w:val="left"/>
              <w:rPr>
                <w:rFonts w:ascii="仿宋_GB2312" w:eastAsia="仿宋_GB2312"/>
                <w:sz w:val="24"/>
                <w:szCs w:val="24"/>
              </w:rPr>
            </w:pPr>
            <w:r>
              <w:rPr>
                <w:rFonts w:hint="eastAsia" w:ascii="仿宋_GB2312" w:eastAsia="仿宋_GB2312"/>
                <w:sz w:val="24"/>
                <w:szCs w:val="24"/>
              </w:rPr>
              <w:t>能够为云主机提供多种类型的磁盘，每个云硬盘存储均需要有3份分布于不同机架的副本，</w:t>
            </w:r>
            <w:r>
              <w:rPr>
                <w:rFonts w:ascii="仿宋_GB2312" w:eastAsia="仿宋_GB2312"/>
                <w:sz w:val="24"/>
                <w:szCs w:val="24"/>
              </w:rPr>
              <w:t>不需要提供</w:t>
            </w:r>
            <w:r>
              <w:rPr>
                <w:rFonts w:hint="eastAsia" w:ascii="仿宋_GB2312" w:eastAsia="仿宋_GB2312"/>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vAlign w:val="center"/>
          </w:tcPr>
          <w:p>
            <w:pPr>
              <w:jc w:val="left"/>
              <w:rPr>
                <w:rFonts w:ascii="仿宋_GB2312" w:eastAsia="仿宋_GB2312"/>
                <w:sz w:val="24"/>
                <w:szCs w:val="24"/>
              </w:rPr>
            </w:pPr>
          </w:p>
        </w:tc>
        <w:tc>
          <w:tcPr>
            <w:tcW w:w="4148" w:type="pct"/>
          </w:tcPr>
          <w:p>
            <w:pPr>
              <w:jc w:val="left"/>
              <w:rPr>
                <w:rFonts w:ascii="仿宋_GB2312" w:eastAsia="仿宋_GB2312"/>
                <w:sz w:val="24"/>
                <w:szCs w:val="24"/>
              </w:rPr>
            </w:pPr>
            <w:r>
              <w:rPr>
                <w:rFonts w:ascii="仿宋_GB2312" w:eastAsia="仿宋_GB2312"/>
                <w:sz w:val="24"/>
                <w:szCs w:val="24"/>
              </w:rPr>
              <w:t>支持</w:t>
            </w:r>
            <w:r>
              <w:rPr>
                <w:rFonts w:hint="eastAsia" w:ascii="仿宋_GB2312" w:eastAsia="仿宋_GB2312"/>
                <w:sz w:val="24"/>
                <w:szCs w:val="24"/>
              </w:rPr>
              <w:t>在线扩容，无需关机，支持快照、加密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vAlign w:val="center"/>
          </w:tcPr>
          <w:p>
            <w:pPr>
              <w:jc w:val="left"/>
              <w:rPr>
                <w:rFonts w:ascii="仿宋_GB2312" w:eastAsia="仿宋_GB2312"/>
                <w:sz w:val="24"/>
                <w:szCs w:val="24"/>
              </w:rPr>
            </w:pPr>
          </w:p>
        </w:tc>
        <w:tc>
          <w:tcPr>
            <w:tcW w:w="4148" w:type="pct"/>
          </w:tcPr>
          <w:p>
            <w:pPr>
              <w:jc w:val="left"/>
              <w:rPr>
                <w:rFonts w:ascii="仿宋_GB2312" w:eastAsia="仿宋_GB2312"/>
                <w:sz w:val="24"/>
                <w:szCs w:val="24"/>
              </w:rPr>
            </w:pPr>
            <w:r>
              <w:rPr>
                <w:rFonts w:hint="eastAsia" w:ascii="仿宋_GB2312" w:eastAsia="仿宋_GB2312"/>
                <w:sz w:val="24"/>
                <w:szCs w:val="24"/>
              </w:rPr>
              <w:t>高I</w:t>
            </w:r>
            <w:r>
              <w:rPr>
                <w:rFonts w:ascii="仿宋_GB2312" w:eastAsia="仿宋_GB2312"/>
                <w:sz w:val="24"/>
                <w:szCs w:val="24"/>
              </w:rPr>
              <w:t>O云硬盘支持≥5000IOPS</w:t>
            </w:r>
            <w:r>
              <w:rPr>
                <w:rFonts w:hint="eastAsia" w:ascii="仿宋_GB2312" w:eastAsia="仿宋_GB2312"/>
                <w:sz w:val="24"/>
                <w:szCs w:val="24"/>
              </w:rPr>
              <w:t>，</w:t>
            </w:r>
            <w:r>
              <w:rPr>
                <w:rFonts w:ascii="仿宋_GB2312" w:eastAsia="仿宋_GB2312"/>
                <w:sz w:val="24"/>
                <w:szCs w:val="24"/>
              </w:rPr>
              <w:t>带宽支持≥</w:t>
            </w:r>
            <w:r>
              <w:rPr>
                <w:rFonts w:hint="eastAsia" w:ascii="仿宋_GB2312" w:eastAsia="仿宋_GB2312"/>
                <w:sz w:val="24"/>
                <w:szCs w:val="24"/>
              </w:rPr>
              <w:t>1</w:t>
            </w:r>
            <w:r>
              <w:rPr>
                <w:rFonts w:ascii="仿宋_GB2312" w:eastAsia="仿宋_GB2312"/>
                <w:sz w:val="24"/>
                <w:szCs w:val="24"/>
              </w:rPr>
              <w:t>50MB/s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vAlign w:val="center"/>
          </w:tcPr>
          <w:p>
            <w:pPr>
              <w:jc w:val="left"/>
              <w:rPr>
                <w:rFonts w:ascii="仿宋_GB2312" w:eastAsia="仿宋_GB2312"/>
                <w:sz w:val="24"/>
                <w:szCs w:val="24"/>
              </w:rPr>
            </w:pPr>
          </w:p>
        </w:tc>
        <w:tc>
          <w:tcPr>
            <w:tcW w:w="4148" w:type="pct"/>
          </w:tcPr>
          <w:p>
            <w:pPr>
              <w:jc w:val="left"/>
              <w:rPr>
                <w:rFonts w:ascii="仿宋_GB2312" w:eastAsia="仿宋_GB2312"/>
                <w:sz w:val="24"/>
                <w:szCs w:val="24"/>
              </w:rPr>
            </w:pPr>
            <w:r>
              <w:rPr>
                <w:rFonts w:hint="eastAsia" w:ascii="仿宋_GB2312" w:eastAsia="仿宋_GB2312"/>
                <w:sz w:val="24"/>
                <w:szCs w:val="24"/>
              </w:rPr>
              <w:t>超高IO云硬盘支持</w:t>
            </w:r>
            <w:r>
              <w:rPr>
                <w:rFonts w:ascii="仿宋_GB2312" w:eastAsia="仿宋_GB2312"/>
                <w:sz w:val="24"/>
                <w:szCs w:val="24"/>
              </w:rPr>
              <w:t>≥</w:t>
            </w:r>
            <w:r>
              <w:rPr>
                <w:rFonts w:hint="eastAsia" w:ascii="仿宋_GB2312" w:eastAsia="仿宋_GB2312"/>
                <w:sz w:val="24"/>
                <w:szCs w:val="24"/>
              </w:rPr>
              <w:t>50000IOPS，带宽支持</w:t>
            </w:r>
            <w:r>
              <w:rPr>
                <w:rFonts w:ascii="仿宋_GB2312" w:eastAsia="仿宋_GB2312"/>
                <w:sz w:val="24"/>
                <w:szCs w:val="24"/>
              </w:rPr>
              <w:t>≥</w:t>
            </w:r>
            <w:r>
              <w:rPr>
                <w:rFonts w:hint="eastAsia" w:ascii="仿宋_GB2312" w:eastAsia="仿宋_GB2312"/>
                <w:sz w:val="24"/>
                <w:szCs w:val="24"/>
              </w:rPr>
              <w:t>350MB/s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restart"/>
            <w:vAlign w:val="center"/>
          </w:tcPr>
          <w:p>
            <w:pPr>
              <w:jc w:val="left"/>
              <w:rPr>
                <w:rFonts w:ascii="仿宋_GB2312" w:eastAsia="仿宋_GB2312"/>
                <w:sz w:val="24"/>
                <w:szCs w:val="24"/>
              </w:rPr>
            </w:pPr>
            <w:r>
              <w:rPr>
                <w:rFonts w:hint="eastAsia" w:ascii="仿宋_GB2312" w:eastAsia="仿宋_GB2312"/>
                <w:sz w:val="24"/>
                <w:szCs w:val="24"/>
              </w:rPr>
              <w:t>安全可靠</w:t>
            </w:r>
          </w:p>
        </w:tc>
        <w:tc>
          <w:tcPr>
            <w:tcW w:w="4148" w:type="pct"/>
          </w:tcPr>
          <w:p>
            <w:pPr>
              <w:jc w:val="left"/>
              <w:rPr>
                <w:rFonts w:ascii="仿宋_GB2312" w:eastAsia="仿宋_GB2312"/>
                <w:sz w:val="24"/>
                <w:szCs w:val="24"/>
              </w:rPr>
            </w:pPr>
            <w:r>
              <w:rPr>
                <w:rFonts w:hint="eastAsia" w:ascii="仿宋_GB2312" w:eastAsia="仿宋_GB2312"/>
                <w:sz w:val="24"/>
                <w:szCs w:val="24"/>
              </w:rPr>
              <w:t>云硬盘支持备份，可以自动备份策略，具备云硬盘云上容灾能力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vAlign w:val="center"/>
          </w:tcPr>
          <w:p>
            <w:pPr>
              <w:jc w:val="left"/>
              <w:rPr>
                <w:rFonts w:ascii="仿宋_GB2312" w:eastAsia="仿宋_GB2312"/>
                <w:sz w:val="24"/>
                <w:szCs w:val="24"/>
              </w:rPr>
            </w:pPr>
          </w:p>
        </w:tc>
        <w:tc>
          <w:tcPr>
            <w:tcW w:w="4148" w:type="pct"/>
          </w:tcPr>
          <w:p>
            <w:pPr>
              <w:jc w:val="left"/>
              <w:rPr>
                <w:rFonts w:ascii="仿宋_GB2312" w:eastAsia="仿宋_GB2312"/>
                <w:sz w:val="24"/>
                <w:szCs w:val="24"/>
              </w:rPr>
            </w:pPr>
            <w:r>
              <w:rPr>
                <w:rFonts w:hint="eastAsia" w:ascii="仿宋_GB2312" w:eastAsia="仿宋_GB2312"/>
                <w:sz w:val="24"/>
                <w:szCs w:val="24"/>
              </w:rPr>
              <w:t>支持IOPS Burst QOS控制，满足用户业务突然高峰情况</w:t>
            </w:r>
          </w:p>
        </w:tc>
      </w:tr>
    </w:tbl>
    <w:p>
      <w:pPr>
        <w:rPr>
          <w:rFonts w:ascii="仿宋_GB2312" w:hAnsi="楷体" w:eastAsia="仿宋_GB2312"/>
          <w:sz w:val="32"/>
        </w:rPr>
      </w:pPr>
      <w:r>
        <w:rPr>
          <w:rFonts w:hint="eastAsia" w:ascii="仿宋_GB2312" w:hAnsi="楷体" w:eastAsia="仿宋_GB2312"/>
          <w:sz w:val="32"/>
        </w:rPr>
        <w:t>（3）弹性文件存储</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7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shd w:val="clear" w:color="auto" w:fill="auto"/>
          </w:tcPr>
          <w:p>
            <w:pPr>
              <w:jc w:val="center"/>
              <w:rPr>
                <w:rFonts w:ascii="仿宋_GB2312" w:eastAsia="仿宋_GB2312"/>
                <w:sz w:val="24"/>
                <w:szCs w:val="24"/>
              </w:rPr>
            </w:pPr>
            <w:r>
              <w:rPr>
                <w:rFonts w:hint="eastAsia" w:ascii="仿宋_GB2312" w:eastAsia="仿宋_GB2312"/>
                <w:sz w:val="24"/>
                <w:szCs w:val="24"/>
              </w:rPr>
              <w:t>指标项</w:t>
            </w:r>
          </w:p>
        </w:tc>
        <w:tc>
          <w:tcPr>
            <w:tcW w:w="4148" w:type="pct"/>
            <w:shd w:val="clear" w:color="auto" w:fill="auto"/>
          </w:tcPr>
          <w:p>
            <w:pPr>
              <w:jc w:val="center"/>
              <w:rPr>
                <w:rFonts w:ascii="仿宋_GB2312" w:eastAsia="仿宋_GB2312"/>
                <w:sz w:val="24"/>
                <w:szCs w:val="24"/>
              </w:rPr>
            </w:pPr>
            <w:r>
              <w:rPr>
                <w:rFonts w:hint="eastAsia" w:ascii="仿宋_GB2312" w:eastAsia="仿宋_GB2312"/>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restart"/>
            <w:vAlign w:val="center"/>
          </w:tcPr>
          <w:p>
            <w:pPr>
              <w:jc w:val="left"/>
              <w:rPr>
                <w:rFonts w:ascii="仿宋_GB2312" w:eastAsia="仿宋_GB2312"/>
                <w:sz w:val="24"/>
                <w:szCs w:val="24"/>
              </w:rPr>
            </w:pPr>
            <w:r>
              <w:rPr>
                <w:rFonts w:hint="eastAsia" w:ascii="仿宋_GB2312" w:eastAsia="仿宋_GB2312"/>
                <w:sz w:val="24"/>
                <w:szCs w:val="24"/>
              </w:rPr>
              <w:t>基础需求</w:t>
            </w:r>
          </w:p>
        </w:tc>
        <w:tc>
          <w:tcPr>
            <w:tcW w:w="4148" w:type="pct"/>
          </w:tcPr>
          <w:p>
            <w:pPr>
              <w:jc w:val="left"/>
              <w:rPr>
                <w:rFonts w:ascii="仿宋_GB2312" w:eastAsia="仿宋_GB2312"/>
                <w:sz w:val="24"/>
                <w:szCs w:val="24"/>
              </w:rPr>
            </w:pPr>
            <w:r>
              <w:rPr>
                <w:rFonts w:hint="eastAsia" w:ascii="仿宋_GB2312" w:eastAsia="仿宋_GB2312"/>
                <w:sz w:val="24"/>
                <w:szCs w:val="24"/>
              </w:rPr>
              <w:t>▲支持且配置弹性文件存储≥10240GB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vAlign w:val="center"/>
          </w:tcPr>
          <w:p>
            <w:pPr>
              <w:jc w:val="left"/>
              <w:rPr>
                <w:rFonts w:ascii="仿宋_GB2312" w:eastAsia="仿宋_GB2312"/>
                <w:sz w:val="24"/>
                <w:szCs w:val="24"/>
              </w:rPr>
            </w:pPr>
          </w:p>
        </w:tc>
        <w:tc>
          <w:tcPr>
            <w:tcW w:w="4148" w:type="pct"/>
          </w:tcPr>
          <w:p>
            <w:pPr>
              <w:jc w:val="left"/>
              <w:rPr>
                <w:rFonts w:ascii="仿宋_GB2312" w:eastAsia="仿宋_GB2312"/>
                <w:sz w:val="24"/>
                <w:szCs w:val="24"/>
              </w:rPr>
            </w:pPr>
            <w:r>
              <w:rPr>
                <w:rFonts w:hint="eastAsia" w:ascii="仿宋_GB2312" w:eastAsia="仿宋_GB2312"/>
                <w:sz w:val="24"/>
                <w:szCs w:val="24"/>
              </w:rPr>
              <w:t>线下IDC主机通过VPC/专线直接访问云上文件服务，</w:t>
            </w:r>
            <w:r>
              <w:rPr>
                <w:rFonts w:ascii="仿宋_GB2312" w:eastAsia="仿宋_GB2312"/>
                <w:sz w:val="24"/>
                <w:szCs w:val="24"/>
              </w:rPr>
              <w:t>不需要提供</w:t>
            </w:r>
            <w:r>
              <w:rPr>
                <w:rFonts w:hint="eastAsia" w:ascii="仿宋_GB2312" w:eastAsia="仿宋_GB2312"/>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vAlign w:val="center"/>
          </w:tcPr>
          <w:p>
            <w:pPr>
              <w:jc w:val="left"/>
              <w:rPr>
                <w:rFonts w:ascii="仿宋_GB2312" w:eastAsia="仿宋_GB2312"/>
                <w:sz w:val="24"/>
                <w:szCs w:val="24"/>
              </w:rPr>
            </w:pPr>
          </w:p>
        </w:tc>
        <w:tc>
          <w:tcPr>
            <w:tcW w:w="4148" w:type="pct"/>
          </w:tcPr>
          <w:p>
            <w:pPr>
              <w:jc w:val="left"/>
              <w:rPr>
                <w:rFonts w:ascii="仿宋_GB2312" w:eastAsia="仿宋_GB2312"/>
                <w:sz w:val="24"/>
                <w:szCs w:val="24"/>
              </w:rPr>
            </w:pPr>
            <w:r>
              <w:rPr>
                <w:rFonts w:hint="eastAsia" w:ascii="仿宋_GB2312" w:eastAsia="仿宋_GB2312"/>
                <w:sz w:val="24"/>
                <w:szCs w:val="24"/>
              </w:rPr>
              <w:t>支持客户的多个VPC虚机共享同一文件系统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restart"/>
            <w:vAlign w:val="center"/>
          </w:tcPr>
          <w:p>
            <w:pPr>
              <w:jc w:val="left"/>
              <w:rPr>
                <w:rFonts w:ascii="仿宋_GB2312" w:eastAsia="仿宋_GB2312"/>
                <w:sz w:val="24"/>
                <w:szCs w:val="24"/>
              </w:rPr>
            </w:pPr>
            <w:r>
              <w:rPr>
                <w:rFonts w:hint="eastAsia" w:ascii="仿宋_GB2312" w:eastAsia="仿宋_GB2312"/>
                <w:sz w:val="24"/>
                <w:szCs w:val="24"/>
              </w:rPr>
              <w:t>服务能力</w:t>
            </w:r>
          </w:p>
        </w:tc>
        <w:tc>
          <w:tcPr>
            <w:tcW w:w="4148" w:type="pct"/>
          </w:tcPr>
          <w:p>
            <w:pPr>
              <w:jc w:val="left"/>
              <w:rPr>
                <w:rFonts w:ascii="仿宋_GB2312" w:eastAsia="仿宋_GB2312"/>
                <w:sz w:val="24"/>
                <w:szCs w:val="24"/>
              </w:rPr>
            </w:pPr>
            <w:r>
              <w:rPr>
                <w:rFonts w:ascii="仿宋_GB2312" w:eastAsia="仿宋_GB2312"/>
                <w:sz w:val="24"/>
                <w:szCs w:val="24"/>
              </w:rPr>
              <w:t>最大带宽可达1GB/s，最高IOPS为15K。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vAlign w:val="center"/>
          </w:tcPr>
          <w:p>
            <w:pPr>
              <w:jc w:val="left"/>
              <w:rPr>
                <w:rFonts w:ascii="仿宋_GB2312" w:eastAsia="仿宋_GB2312"/>
                <w:sz w:val="24"/>
                <w:szCs w:val="24"/>
              </w:rPr>
            </w:pPr>
          </w:p>
        </w:tc>
        <w:tc>
          <w:tcPr>
            <w:tcW w:w="4148" w:type="pct"/>
          </w:tcPr>
          <w:p>
            <w:pPr>
              <w:jc w:val="left"/>
              <w:rPr>
                <w:rFonts w:ascii="仿宋_GB2312" w:eastAsia="仿宋_GB2312"/>
                <w:sz w:val="24"/>
                <w:szCs w:val="24"/>
              </w:rPr>
            </w:pPr>
            <w:r>
              <w:rPr>
                <w:rFonts w:hint="eastAsia" w:ascii="仿宋_GB2312" w:eastAsia="仿宋_GB2312"/>
                <w:sz w:val="24"/>
                <w:szCs w:val="24"/>
              </w:rPr>
              <w:t>文件系统支持备份，备份可跨region保存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vAlign w:val="center"/>
          </w:tcPr>
          <w:p>
            <w:pPr>
              <w:jc w:val="left"/>
              <w:rPr>
                <w:rFonts w:ascii="仿宋_GB2312" w:eastAsia="仿宋_GB2312"/>
                <w:sz w:val="24"/>
                <w:szCs w:val="24"/>
              </w:rPr>
            </w:pPr>
          </w:p>
        </w:tc>
        <w:tc>
          <w:tcPr>
            <w:tcW w:w="4148" w:type="pct"/>
          </w:tcPr>
          <w:p>
            <w:pPr>
              <w:jc w:val="left"/>
              <w:rPr>
                <w:rFonts w:ascii="仿宋_GB2312" w:eastAsia="仿宋_GB2312"/>
                <w:sz w:val="24"/>
                <w:szCs w:val="24"/>
              </w:rPr>
            </w:pPr>
            <w:r>
              <w:rPr>
                <w:rFonts w:hint="eastAsia" w:ascii="仿宋_GB2312" w:eastAsia="仿宋_GB2312"/>
                <w:sz w:val="24"/>
                <w:szCs w:val="24"/>
              </w:rPr>
              <w:t>支持创建加密或者不加密的文件系统，支持KMS加密。</w:t>
            </w:r>
          </w:p>
        </w:tc>
      </w:tr>
    </w:tbl>
    <w:p>
      <w:pPr>
        <w:rPr>
          <w:rFonts w:ascii="仿宋_GB2312" w:hAnsi="楷体" w:eastAsia="仿宋_GB2312"/>
          <w:sz w:val="32"/>
        </w:rPr>
      </w:pPr>
      <w:r>
        <w:rPr>
          <w:rFonts w:hint="eastAsia" w:ascii="仿宋_GB2312" w:hAnsi="楷体" w:eastAsia="仿宋_GB2312"/>
          <w:sz w:val="32"/>
        </w:rPr>
        <w:t>（4）</w:t>
      </w:r>
      <w:r>
        <w:rPr>
          <w:rFonts w:ascii="仿宋_GB2312" w:hAnsi="楷体" w:eastAsia="仿宋_GB2312"/>
          <w:sz w:val="32"/>
        </w:rPr>
        <w:t>云数据库</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7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shd w:val="clear" w:color="auto" w:fill="auto"/>
          </w:tcPr>
          <w:p>
            <w:pPr>
              <w:jc w:val="center"/>
              <w:rPr>
                <w:rFonts w:ascii="仿宋_GB2312" w:eastAsia="仿宋_GB2312"/>
                <w:sz w:val="24"/>
                <w:szCs w:val="24"/>
              </w:rPr>
            </w:pPr>
            <w:r>
              <w:rPr>
                <w:rFonts w:hint="eastAsia" w:ascii="仿宋_GB2312" w:eastAsia="仿宋_GB2312"/>
                <w:sz w:val="24"/>
                <w:szCs w:val="24"/>
              </w:rPr>
              <w:t>指标项</w:t>
            </w:r>
          </w:p>
        </w:tc>
        <w:tc>
          <w:tcPr>
            <w:tcW w:w="4148" w:type="pct"/>
            <w:shd w:val="clear" w:color="auto" w:fill="auto"/>
          </w:tcPr>
          <w:p>
            <w:pPr>
              <w:jc w:val="center"/>
              <w:rPr>
                <w:rFonts w:ascii="仿宋_GB2312" w:eastAsia="仿宋_GB2312"/>
                <w:sz w:val="24"/>
                <w:szCs w:val="24"/>
              </w:rPr>
            </w:pPr>
            <w:r>
              <w:rPr>
                <w:rFonts w:hint="eastAsia" w:ascii="仿宋_GB2312" w:eastAsia="仿宋_GB2312"/>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Align w:val="center"/>
          </w:tcPr>
          <w:p>
            <w:pPr>
              <w:rPr>
                <w:rFonts w:ascii="仿宋_GB2312" w:eastAsia="仿宋_GB2312"/>
                <w:sz w:val="24"/>
                <w:szCs w:val="24"/>
              </w:rPr>
            </w:pPr>
            <w:r>
              <w:rPr>
                <w:rFonts w:hint="eastAsia" w:ascii="仿宋_GB2312" w:eastAsia="仿宋_GB2312"/>
                <w:sz w:val="24"/>
                <w:szCs w:val="24"/>
              </w:rPr>
              <w:t>基础需求</w:t>
            </w:r>
          </w:p>
        </w:tc>
        <w:tc>
          <w:tcPr>
            <w:tcW w:w="4148" w:type="pct"/>
          </w:tcPr>
          <w:p>
            <w:pPr>
              <w:adjustRightInd w:val="0"/>
              <w:snapToGrid w:val="0"/>
              <w:rPr>
                <w:rFonts w:ascii="仿宋_GB2312" w:eastAsia="仿宋_GB2312"/>
                <w:sz w:val="24"/>
                <w:szCs w:val="24"/>
              </w:rPr>
            </w:pPr>
            <w:r>
              <w:rPr>
                <w:rFonts w:hint="eastAsia" w:ascii="仿宋_GB2312" w:eastAsia="仿宋_GB2312"/>
                <w:sz w:val="24"/>
                <w:szCs w:val="24"/>
              </w:rPr>
              <w:t>▲支持且配置PostgreSQL 类型云数据库规格</w:t>
            </w:r>
            <w:r>
              <w:rPr>
                <w:rFonts w:ascii="仿宋_GB2312" w:eastAsia="仿宋_GB2312"/>
                <w:sz w:val="24"/>
                <w:szCs w:val="24"/>
              </w:rPr>
              <w:t>≥</w:t>
            </w:r>
            <w:r>
              <w:rPr>
                <w:rFonts w:hint="eastAsia" w:ascii="仿宋_GB2312" w:eastAsia="仿宋_GB2312"/>
                <w:sz w:val="24"/>
                <w:szCs w:val="24"/>
              </w:rPr>
              <w:t>32核</w:t>
            </w:r>
            <w:r>
              <w:rPr>
                <w:rFonts w:ascii="仿宋_GB2312" w:eastAsia="仿宋_GB2312"/>
                <w:sz w:val="24"/>
                <w:szCs w:val="24"/>
              </w:rPr>
              <w:t>≥</w:t>
            </w:r>
            <w:r>
              <w:rPr>
                <w:rFonts w:hint="eastAsia" w:ascii="仿宋_GB2312" w:eastAsia="仿宋_GB2312"/>
                <w:sz w:val="24"/>
                <w:szCs w:val="24"/>
              </w:rPr>
              <w:t>64G内存，主备模式独享型，存储空间</w:t>
            </w:r>
            <w:r>
              <w:rPr>
                <w:rFonts w:ascii="仿宋_GB2312" w:eastAsia="仿宋_GB2312"/>
                <w:sz w:val="24"/>
                <w:szCs w:val="24"/>
              </w:rPr>
              <w:t>≥</w:t>
            </w:r>
            <w:r>
              <w:rPr>
                <w:rFonts w:hint="eastAsia" w:ascii="仿宋_GB2312" w:eastAsia="仿宋_GB2312"/>
                <w:sz w:val="24"/>
                <w:szCs w:val="24"/>
              </w:rPr>
              <w:t>1024G</w:t>
            </w:r>
            <w:r>
              <w:rPr>
                <w:rFonts w:ascii="仿宋_GB2312" w:eastAsia="仿宋_GB2312"/>
                <w:sz w:val="24"/>
                <w:szCs w:val="24"/>
              </w:rPr>
              <w:t xml:space="preserve"> SSD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Align w:val="center"/>
          </w:tcPr>
          <w:p>
            <w:pPr>
              <w:rPr>
                <w:rFonts w:ascii="仿宋_GB2312" w:eastAsia="仿宋_GB2312"/>
                <w:sz w:val="24"/>
                <w:szCs w:val="24"/>
              </w:rPr>
            </w:pPr>
            <w:r>
              <w:rPr>
                <w:rFonts w:ascii="仿宋_GB2312" w:eastAsia="仿宋_GB2312"/>
                <w:sz w:val="24"/>
                <w:szCs w:val="24"/>
              </w:rPr>
              <w:t>服务能力</w:t>
            </w:r>
          </w:p>
        </w:tc>
        <w:tc>
          <w:tcPr>
            <w:tcW w:w="4148" w:type="pct"/>
          </w:tcPr>
          <w:p>
            <w:pPr>
              <w:rPr>
                <w:rFonts w:ascii="仿宋_GB2312" w:eastAsia="仿宋_GB2312"/>
                <w:sz w:val="24"/>
                <w:szCs w:val="24"/>
              </w:rPr>
            </w:pPr>
            <w:r>
              <w:rPr>
                <w:rFonts w:hint="eastAsia" w:ascii="仿宋_GB2312" w:eastAsia="仿宋_GB2312"/>
                <w:sz w:val="24"/>
                <w:szCs w:val="24"/>
              </w:rPr>
              <w:t>PostgreSQL数据库支持单机、主备模式、支持9.5,9.6,10,11,12,13等主流版本，单实例规格支持64核CPU核、512G内存，存储类型支持SSD。支持创建数据库实例时指定实例IP地址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restart"/>
            <w:vAlign w:val="center"/>
          </w:tcPr>
          <w:p>
            <w:pPr>
              <w:rPr>
                <w:rFonts w:ascii="仿宋_GB2312" w:eastAsia="仿宋_GB2312"/>
                <w:sz w:val="24"/>
                <w:szCs w:val="24"/>
              </w:rPr>
            </w:pPr>
            <w:r>
              <w:rPr>
                <w:rFonts w:ascii="仿宋_GB2312" w:eastAsia="仿宋_GB2312"/>
                <w:sz w:val="24"/>
                <w:szCs w:val="24"/>
              </w:rPr>
              <w:t>安全可靠</w:t>
            </w:r>
          </w:p>
        </w:tc>
        <w:tc>
          <w:tcPr>
            <w:tcW w:w="4148" w:type="pct"/>
          </w:tcPr>
          <w:p>
            <w:pPr>
              <w:rPr>
                <w:rFonts w:ascii="仿宋_GB2312" w:eastAsia="仿宋_GB2312"/>
                <w:sz w:val="24"/>
                <w:szCs w:val="24"/>
              </w:rPr>
            </w:pPr>
            <w:r>
              <w:rPr>
                <w:rFonts w:hint="eastAsia" w:ascii="仿宋_GB2312" w:eastAsia="仿宋_GB2312"/>
                <w:sz w:val="24"/>
                <w:szCs w:val="24"/>
              </w:rPr>
              <w:t>云数据库PostgreSQL服务具备弹性扩展能力，提供关系型数据冗余存储和自动备份功能。支持单独恢复某个表的数据到任意时间点。</w:t>
            </w:r>
            <w:r>
              <w:rPr>
                <w:rFonts w:ascii="仿宋_GB2312" w:eastAsia="仿宋_GB2312"/>
                <w:sz w:val="24"/>
                <w:szCs w:val="24"/>
              </w:rPr>
              <w:t>不需要提供</w:t>
            </w:r>
            <w:r>
              <w:rPr>
                <w:rFonts w:hint="eastAsia" w:ascii="仿宋_GB2312" w:eastAsia="仿宋_GB2312"/>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vAlign w:val="center"/>
          </w:tcPr>
          <w:p>
            <w:pPr>
              <w:rPr>
                <w:rFonts w:ascii="仿宋_GB2312" w:eastAsia="仿宋_GB2312"/>
                <w:sz w:val="24"/>
                <w:szCs w:val="24"/>
              </w:rPr>
            </w:pPr>
          </w:p>
        </w:tc>
        <w:tc>
          <w:tcPr>
            <w:tcW w:w="4148" w:type="pct"/>
          </w:tcPr>
          <w:p>
            <w:pPr>
              <w:rPr>
                <w:rFonts w:ascii="仿宋_GB2312" w:eastAsia="仿宋_GB2312"/>
                <w:sz w:val="24"/>
                <w:szCs w:val="24"/>
              </w:rPr>
            </w:pPr>
            <w:r>
              <w:rPr>
                <w:rFonts w:hint="eastAsia" w:ascii="仿宋_GB2312" w:eastAsia="仿宋_GB2312"/>
                <w:sz w:val="24"/>
                <w:szCs w:val="24"/>
              </w:rPr>
              <w:t>数据存储在云硬盘EVS中，3副本存储，提供9个9的可靠性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vAlign w:val="center"/>
          </w:tcPr>
          <w:p>
            <w:pPr>
              <w:rPr>
                <w:rFonts w:ascii="仿宋_GB2312" w:eastAsia="仿宋_GB2312"/>
                <w:sz w:val="24"/>
                <w:szCs w:val="24"/>
              </w:rPr>
            </w:pPr>
          </w:p>
        </w:tc>
        <w:tc>
          <w:tcPr>
            <w:tcW w:w="4148" w:type="pct"/>
          </w:tcPr>
          <w:p>
            <w:pPr>
              <w:rPr>
                <w:rFonts w:ascii="仿宋_GB2312" w:eastAsia="仿宋_GB2312"/>
                <w:sz w:val="24"/>
                <w:szCs w:val="24"/>
              </w:rPr>
            </w:pPr>
            <w:r>
              <w:rPr>
                <w:rFonts w:hint="eastAsia" w:ascii="仿宋_GB2312" w:eastAsia="仿宋_GB2312"/>
                <w:sz w:val="24"/>
                <w:szCs w:val="24"/>
              </w:rPr>
              <w:t>最大备份保存时间为732天，可将实例恢复至732天内的任意时间点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vAlign w:val="center"/>
          </w:tcPr>
          <w:p>
            <w:pPr>
              <w:rPr>
                <w:rFonts w:ascii="仿宋_GB2312" w:eastAsia="仿宋_GB2312"/>
                <w:sz w:val="24"/>
                <w:szCs w:val="24"/>
              </w:rPr>
            </w:pPr>
          </w:p>
        </w:tc>
        <w:tc>
          <w:tcPr>
            <w:tcW w:w="4148" w:type="pct"/>
          </w:tcPr>
          <w:p>
            <w:pPr>
              <w:rPr>
                <w:rFonts w:ascii="仿宋_GB2312" w:eastAsia="仿宋_GB2312"/>
                <w:sz w:val="24"/>
                <w:szCs w:val="24"/>
              </w:rPr>
            </w:pPr>
            <w:r>
              <w:rPr>
                <w:rFonts w:hint="eastAsia" w:ascii="仿宋_GB2312" w:eastAsia="仿宋_GB2312"/>
                <w:sz w:val="24"/>
                <w:szCs w:val="24"/>
              </w:rPr>
              <w:t>支持自动设置备份策略，并手动修改备份策略，</w:t>
            </w:r>
            <w:r>
              <w:rPr>
                <w:rFonts w:ascii="仿宋_GB2312" w:eastAsia="仿宋_GB2312"/>
                <w:sz w:val="24"/>
                <w:szCs w:val="24"/>
              </w:rPr>
              <w:t>不需要提供</w:t>
            </w:r>
            <w:r>
              <w:rPr>
                <w:rFonts w:hint="eastAsia" w:ascii="仿宋_GB2312" w:eastAsia="仿宋_GB2312"/>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vAlign w:val="center"/>
          </w:tcPr>
          <w:p>
            <w:pPr>
              <w:rPr>
                <w:rFonts w:ascii="仿宋_GB2312" w:eastAsia="仿宋_GB2312"/>
                <w:sz w:val="24"/>
                <w:szCs w:val="24"/>
              </w:rPr>
            </w:pPr>
          </w:p>
        </w:tc>
        <w:tc>
          <w:tcPr>
            <w:tcW w:w="4148" w:type="pct"/>
          </w:tcPr>
          <w:p>
            <w:pPr>
              <w:rPr>
                <w:rFonts w:ascii="仿宋_GB2312" w:eastAsia="仿宋_GB2312"/>
                <w:sz w:val="24"/>
                <w:szCs w:val="24"/>
              </w:rPr>
            </w:pPr>
            <w:r>
              <w:rPr>
                <w:rFonts w:hint="eastAsia" w:ascii="仿宋_GB2312" w:eastAsia="仿宋_GB2312"/>
                <w:sz w:val="24"/>
                <w:szCs w:val="24"/>
              </w:rPr>
              <w:t>支持分钟级实现磁盘扩容，对业务无影响</w:t>
            </w:r>
          </w:p>
        </w:tc>
      </w:tr>
    </w:tbl>
    <w:p>
      <w:pPr>
        <w:rPr>
          <w:rFonts w:ascii="仿宋_GB2312" w:hAnsi="楷体" w:eastAsia="仿宋_GB2312"/>
          <w:sz w:val="32"/>
        </w:rPr>
      </w:pPr>
      <w:r>
        <w:rPr>
          <w:rFonts w:hint="eastAsia" w:ascii="仿宋_GB2312" w:hAnsi="楷体" w:eastAsia="仿宋_GB2312"/>
          <w:sz w:val="32"/>
        </w:rPr>
        <w:t>（5）对象存储</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7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7" w:type="pct"/>
            <w:shd w:val="clear" w:color="auto" w:fill="auto"/>
          </w:tcPr>
          <w:p>
            <w:pPr>
              <w:jc w:val="center"/>
              <w:rPr>
                <w:rFonts w:ascii="仿宋_GB2312" w:hAnsi="仿宋" w:eastAsia="仿宋_GB2312"/>
                <w:b/>
                <w:sz w:val="24"/>
                <w:szCs w:val="24"/>
              </w:rPr>
            </w:pPr>
            <w:r>
              <w:rPr>
                <w:rFonts w:hint="eastAsia" w:ascii="仿宋_GB2312" w:hAnsi="仿宋" w:eastAsia="仿宋_GB2312"/>
                <w:b/>
                <w:sz w:val="24"/>
                <w:szCs w:val="24"/>
              </w:rPr>
              <w:t>指标项</w:t>
            </w:r>
          </w:p>
        </w:tc>
        <w:tc>
          <w:tcPr>
            <w:tcW w:w="4063" w:type="pct"/>
            <w:shd w:val="clear" w:color="auto" w:fill="auto"/>
          </w:tcPr>
          <w:p>
            <w:pPr>
              <w:jc w:val="center"/>
              <w:rPr>
                <w:rFonts w:ascii="仿宋_GB2312" w:hAnsi="仿宋" w:eastAsia="仿宋_GB2312"/>
                <w:b/>
                <w:sz w:val="24"/>
                <w:szCs w:val="24"/>
              </w:rPr>
            </w:pPr>
            <w:r>
              <w:rPr>
                <w:rFonts w:hint="eastAsia" w:ascii="仿宋_GB2312" w:hAnsi="仿宋" w:eastAsia="仿宋_GB2312"/>
                <w:b/>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7" w:type="pct"/>
            <w:vAlign w:val="center"/>
          </w:tcPr>
          <w:p>
            <w:pPr>
              <w:jc w:val="center"/>
              <w:rPr>
                <w:rFonts w:ascii="仿宋_GB2312" w:hAnsi="仿宋" w:eastAsia="仿宋_GB2312"/>
                <w:sz w:val="24"/>
                <w:szCs w:val="24"/>
              </w:rPr>
            </w:pPr>
            <w:r>
              <w:rPr>
                <w:rFonts w:hint="eastAsia" w:ascii="仿宋_GB2312" w:hAnsi="仿宋" w:eastAsia="仿宋_GB2312"/>
                <w:sz w:val="24"/>
                <w:szCs w:val="24"/>
                <w:lang w:bidi="en-US"/>
              </w:rPr>
              <w:t>基础需求</w:t>
            </w:r>
          </w:p>
        </w:tc>
        <w:tc>
          <w:tcPr>
            <w:tcW w:w="4063" w:type="pct"/>
          </w:tcPr>
          <w:p>
            <w:pPr>
              <w:rPr>
                <w:rFonts w:ascii="仿宋_GB2312" w:hAnsi="仿宋" w:eastAsia="仿宋_GB2312"/>
                <w:sz w:val="24"/>
                <w:szCs w:val="24"/>
                <w:lang w:bidi="en-US"/>
              </w:rPr>
            </w:pPr>
            <w:r>
              <w:rPr>
                <w:rFonts w:hint="eastAsia" w:ascii="仿宋_GB2312" w:eastAsia="仿宋_GB2312"/>
                <w:sz w:val="24"/>
                <w:szCs w:val="24"/>
              </w:rPr>
              <w:t>▲</w:t>
            </w:r>
            <w:r>
              <w:rPr>
                <w:rFonts w:hint="eastAsia" w:ascii="仿宋_GB2312" w:hAnsi="仿宋" w:eastAsia="仿宋_GB2312" w:cs="宋体"/>
                <w:kern w:val="0"/>
                <w:sz w:val="24"/>
                <w:szCs w:val="24"/>
              </w:rPr>
              <w:t>支持且配置对象存储可用容量≥5TB</w:t>
            </w:r>
            <w:r>
              <w:rPr>
                <w:rFonts w:hint="eastAsia" w:ascii="仿宋_GB2312" w:hAnsi="仿宋" w:eastAsia="仿宋_GB2312"/>
                <w:sz w:val="24"/>
                <w:szCs w:val="24"/>
                <w:lang w:bidi="en-US"/>
              </w:rPr>
              <w:t xml:space="preserve"> </w:t>
            </w:r>
          </w:p>
          <w:p>
            <w:pPr>
              <w:rPr>
                <w:rFonts w:ascii="仿宋_GB2312" w:hAnsi="仿宋" w:eastAsia="仿宋_GB2312"/>
                <w:sz w:val="24"/>
                <w:szCs w:val="24"/>
                <w:lang w:bidi="en-US"/>
              </w:rPr>
            </w:pPr>
            <w:r>
              <w:rPr>
                <w:rFonts w:hint="eastAsia" w:ascii="仿宋_GB2312" w:eastAsia="仿宋_GB2312"/>
                <w:sz w:val="24"/>
                <w:szCs w:val="24"/>
              </w:rPr>
              <w:t>▲</w:t>
            </w:r>
            <w:r>
              <w:rPr>
                <w:rFonts w:hint="eastAsia" w:ascii="仿宋_GB2312" w:hAnsi="仿宋" w:eastAsia="仿宋_GB2312"/>
                <w:sz w:val="24"/>
                <w:szCs w:val="24"/>
                <w:lang w:bidi="en-US"/>
              </w:rPr>
              <w:t>支持且配置对象存储公网流出流量包</w:t>
            </w:r>
            <w:r>
              <w:rPr>
                <w:rFonts w:hint="eastAsia" w:ascii="仿宋_GB2312" w:hAnsi="仿宋" w:eastAsia="仿宋_GB2312" w:cs="宋体"/>
                <w:kern w:val="0"/>
                <w:sz w:val="24"/>
                <w:szCs w:val="24"/>
              </w:rPr>
              <w:t>≥2TB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7" w:type="pct"/>
            <w:vMerge w:val="restart"/>
            <w:vAlign w:val="center"/>
          </w:tcPr>
          <w:p>
            <w:pPr>
              <w:jc w:val="center"/>
              <w:rPr>
                <w:rFonts w:ascii="仿宋_GB2312" w:hAnsi="仿宋" w:eastAsia="仿宋_GB2312"/>
                <w:sz w:val="24"/>
                <w:szCs w:val="24"/>
              </w:rPr>
            </w:pPr>
            <w:r>
              <w:rPr>
                <w:rFonts w:hint="eastAsia" w:ascii="仿宋_GB2312" w:hAnsi="仿宋" w:eastAsia="仿宋_GB2312"/>
                <w:sz w:val="24"/>
                <w:szCs w:val="24"/>
              </w:rPr>
              <w:t>服务能力</w:t>
            </w:r>
          </w:p>
        </w:tc>
        <w:tc>
          <w:tcPr>
            <w:tcW w:w="4063" w:type="pct"/>
          </w:tcPr>
          <w:p>
            <w:pPr>
              <w:rPr>
                <w:rFonts w:ascii="仿宋_GB2312" w:hAnsi="仿宋" w:eastAsia="仿宋_GB2312"/>
                <w:sz w:val="24"/>
                <w:szCs w:val="24"/>
              </w:rPr>
            </w:pPr>
            <w:r>
              <w:rPr>
                <w:rFonts w:hint="eastAsia" w:ascii="仿宋_GB2312" w:hAnsi="仿宋" w:eastAsia="仿宋_GB2312"/>
                <w:sz w:val="24"/>
                <w:szCs w:val="24"/>
              </w:rPr>
              <w:t>提供RESTful接口，支持http和https协议访问。提供用户自服务门户和API接口，用户可自行完成数据的上传下载和管理，支持多种对象上传方式，</w:t>
            </w:r>
            <w:r>
              <w:rPr>
                <w:rFonts w:ascii="仿宋_GB2312" w:eastAsia="仿宋_GB2312"/>
                <w:sz w:val="24"/>
                <w:szCs w:val="24"/>
              </w:rPr>
              <w:t>不需要提供</w:t>
            </w:r>
            <w:r>
              <w:rPr>
                <w:rFonts w:hint="eastAsia" w:ascii="仿宋_GB2312" w:eastAsia="仿宋_GB2312"/>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7" w:type="pct"/>
            <w:vMerge w:val="continue"/>
            <w:vAlign w:val="center"/>
          </w:tcPr>
          <w:p>
            <w:pPr>
              <w:jc w:val="center"/>
              <w:rPr>
                <w:rFonts w:ascii="仿宋_GB2312" w:hAnsi="仿宋" w:eastAsia="仿宋_GB2312"/>
                <w:sz w:val="24"/>
                <w:szCs w:val="24"/>
              </w:rPr>
            </w:pPr>
          </w:p>
        </w:tc>
        <w:tc>
          <w:tcPr>
            <w:tcW w:w="4063" w:type="pct"/>
          </w:tcPr>
          <w:p>
            <w:pPr>
              <w:rPr>
                <w:rFonts w:ascii="仿宋_GB2312" w:hAnsi="仿宋" w:eastAsia="仿宋_GB2312"/>
                <w:sz w:val="24"/>
                <w:szCs w:val="24"/>
              </w:rPr>
            </w:pPr>
            <w:r>
              <w:rPr>
                <w:rFonts w:hint="eastAsia" w:ascii="仿宋_GB2312" w:hAnsi="仿宋" w:eastAsia="仿宋_GB2312"/>
                <w:sz w:val="24"/>
                <w:szCs w:val="24"/>
              </w:rPr>
              <w:t>大文件单流上传速度可达2.4Gb/s，</w:t>
            </w:r>
            <w:r>
              <w:rPr>
                <w:rFonts w:ascii="仿宋_GB2312" w:eastAsia="仿宋_GB2312"/>
                <w:sz w:val="24"/>
                <w:szCs w:val="24"/>
              </w:rPr>
              <w:t>不需要提供</w:t>
            </w:r>
            <w:r>
              <w:rPr>
                <w:rFonts w:hint="eastAsia" w:ascii="仿宋_GB2312" w:eastAsia="仿宋_GB2312"/>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7" w:type="pct"/>
            <w:vMerge w:val="continue"/>
            <w:vAlign w:val="center"/>
          </w:tcPr>
          <w:p>
            <w:pPr>
              <w:jc w:val="center"/>
              <w:rPr>
                <w:rFonts w:ascii="仿宋_GB2312" w:hAnsi="仿宋" w:eastAsia="仿宋_GB2312"/>
                <w:sz w:val="24"/>
                <w:szCs w:val="24"/>
              </w:rPr>
            </w:pPr>
          </w:p>
        </w:tc>
        <w:tc>
          <w:tcPr>
            <w:tcW w:w="4063" w:type="pct"/>
          </w:tcPr>
          <w:p>
            <w:pPr>
              <w:rPr>
                <w:rFonts w:ascii="仿宋_GB2312" w:hAnsi="仿宋" w:eastAsia="仿宋_GB2312"/>
                <w:sz w:val="24"/>
                <w:szCs w:val="24"/>
              </w:rPr>
            </w:pPr>
            <w:r>
              <w:rPr>
                <w:rFonts w:hint="eastAsia" w:ascii="仿宋_GB2312" w:hAnsi="仿宋" w:eastAsia="仿宋_GB2312"/>
                <w:sz w:val="24"/>
                <w:szCs w:val="24"/>
              </w:rPr>
              <w:t>对象存储并行文件系统支持文件操作类API，</w:t>
            </w:r>
            <w:r>
              <w:rPr>
                <w:rFonts w:ascii="仿宋_GB2312" w:eastAsia="仿宋_GB2312"/>
                <w:sz w:val="24"/>
                <w:szCs w:val="24"/>
              </w:rPr>
              <w:t>不需要提供</w:t>
            </w:r>
            <w:r>
              <w:rPr>
                <w:rFonts w:hint="eastAsia" w:ascii="仿宋_GB2312" w:eastAsia="仿宋_GB2312"/>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7" w:type="pct"/>
            <w:vMerge w:val="continue"/>
            <w:vAlign w:val="center"/>
          </w:tcPr>
          <w:p>
            <w:pPr>
              <w:jc w:val="center"/>
              <w:rPr>
                <w:rFonts w:ascii="仿宋_GB2312" w:hAnsi="仿宋" w:eastAsia="仿宋_GB2312"/>
                <w:sz w:val="24"/>
                <w:szCs w:val="24"/>
              </w:rPr>
            </w:pPr>
          </w:p>
        </w:tc>
        <w:tc>
          <w:tcPr>
            <w:tcW w:w="4063" w:type="pct"/>
          </w:tcPr>
          <w:p>
            <w:pPr>
              <w:rPr>
                <w:rFonts w:ascii="仿宋_GB2312" w:hAnsi="仿宋" w:eastAsia="仿宋_GB2312"/>
                <w:sz w:val="24"/>
                <w:szCs w:val="24"/>
                <w:lang w:bidi="en-US"/>
              </w:rPr>
            </w:pPr>
            <w:r>
              <w:rPr>
                <w:rFonts w:hint="eastAsia" w:ascii="仿宋_GB2312" w:hAnsi="仿宋" w:eastAsia="仿宋_GB2312"/>
                <w:sz w:val="24"/>
                <w:szCs w:val="24"/>
              </w:rPr>
              <w:t>提供日志记录功能，方便追查访问来源以及进行多维度的统计分析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7" w:type="pct"/>
            <w:vMerge w:val="continue"/>
            <w:vAlign w:val="center"/>
          </w:tcPr>
          <w:p>
            <w:pPr>
              <w:jc w:val="center"/>
              <w:rPr>
                <w:rFonts w:ascii="仿宋_GB2312" w:hAnsi="仿宋" w:eastAsia="仿宋_GB2312"/>
                <w:sz w:val="24"/>
                <w:szCs w:val="24"/>
              </w:rPr>
            </w:pPr>
          </w:p>
        </w:tc>
        <w:tc>
          <w:tcPr>
            <w:tcW w:w="4063" w:type="pct"/>
          </w:tcPr>
          <w:p>
            <w:pPr>
              <w:rPr>
                <w:rFonts w:ascii="仿宋_GB2312" w:hAnsi="仿宋" w:eastAsia="仿宋_GB2312"/>
                <w:sz w:val="24"/>
                <w:szCs w:val="24"/>
              </w:rPr>
            </w:pPr>
            <w:r>
              <w:rPr>
                <w:rFonts w:hint="eastAsia" w:ascii="仿宋_GB2312" w:hAnsi="仿宋" w:eastAsia="仿宋_GB2312"/>
                <w:sz w:val="24"/>
                <w:szCs w:val="24"/>
              </w:rPr>
              <w:t>提供POSIX文件语义功能的API和客户端，可提供高性能、追加写、修改写、文件截断等功能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7" w:type="pct"/>
            <w:vMerge w:val="continue"/>
            <w:vAlign w:val="center"/>
          </w:tcPr>
          <w:p>
            <w:pPr>
              <w:jc w:val="center"/>
              <w:rPr>
                <w:rFonts w:ascii="仿宋_GB2312" w:hAnsi="仿宋" w:eastAsia="仿宋_GB2312"/>
                <w:sz w:val="24"/>
                <w:szCs w:val="24"/>
              </w:rPr>
            </w:pPr>
          </w:p>
        </w:tc>
        <w:tc>
          <w:tcPr>
            <w:tcW w:w="4063" w:type="pct"/>
          </w:tcPr>
          <w:p>
            <w:pPr>
              <w:rPr>
                <w:rFonts w:ascii="仿宋_GB2312" w:hAnsi="仿宋" w:eastAsia="仿宋_GB2312"/>
                <w:sz w:val="24"/>
                <w:szCs w:val="24"/>
                <w:lang w:bidi="en-US"/>
              </w:rPr>
            </w:pPr>
            <w:r>
              <w:rPr>
                <w:rFonts w:hint="eastAsia" w:ascii="仿宋_GB2312" w:hAnsi="仿宋" w:eastAsia="仿宋_GB2312"/>
                <w:sz w:val="24"/>
                <w:szCs w:val="24"/>
              </w:rPr>
              <w:t>支持静态网站托管、桶标签，对象存储支持数据回源，，</w:t>
            </w:r>
            <w:r>
              <w:rPr>
                <w:rFonts w:ascii="仿宋_GB2312" w:eastAsia="仿宋_GB2312"/>
                <w:sz w:val="24"/>
                <w:szCs w:val="24"/>
              </w:rPr>
              <w:t>不需要提供</w:t>
            </w:r>
            <w:r>
              <w:rPr>
                <w:rFonts w:hint="eastAsia" w:ascii="仿宋_GB2312" w:eastAsia="仿宋_GB2312"/>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7" w:type="pct"/>
            <w:vMerge w:val="continue"/>
            <w:vAlign w:val="center"/>
          </w:tcPr>
          <w:p>
            <w:pPr>
              <w:jc w:val="center"/>
              <w:rPr>
                <w:rFonts w:ascii="仿宋_GB2312" w:hAnsi="仿宋" w:eastAsia="仿宋_GB2312"/>
                <w:sz w:val="24"/>
                <w:szCs w:val="24"/>
              </w:rPr>
            </w:pPr>
          </w:p>
        </w:tc>
        <w:tc>
          <w:tcPr>
            <w:tcW w:w="4063" w:type="pct"/>
          </w:tcPr>
          <w:p>
            <w:pPr>
              <w:rPr>
                <w:rFonts w:ascii="仿宋_GB2312" w:hAnsi="仿宋" w:eastAsia="仿宋_GB2312"/>
                <w:sz w:val="24"/>
                <w:szCs w:val="24"/>
                <w:lang w:bidi="en-US"/>
              </w:rPr>
            </w:pPr>
            <w:r>
              <w:rPr>
                <w:rFonts w:hint="eastAsia" w:ascii="仿宋_GB2312" w:hAnsi="仿宋" w:eastAsia="仿宋_GB2312"/>
                <w:sz w:val="24"/>
                <w:szCs w:val="24"/>
              </w:rPr>
              <w:t>支持归档数据直读功能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7" w:type="pct"/>
            <w:vMerge w:val="continue"/>
            <w:vAlign w:val="center"/>
          </w:tcPr>
          <w:p>
            <w:pPr>
              <w:jc w:val="center"/>
              <w:rPr>
                <w:rFonts w:ascii="仿宋_GB2312" w:hAnsi="仿宋" w:eastAsia="仿宋_GB2312"/>
                <w:sz w:val="24"/>
                <w:szCs w:val="24"/>
              </w:rPr>
            </w:pPr>
          </w:p>
        </w:tc>
        <w:tc>
          <w:tcPr>
            <w:tcW w:w="4063" w:type="pct"/>
          </w:tcPr>
          <w:p>
            <w:pPr>
              <w:rPr>
                <w:rFonts w:ascii="仿宋_GB2312" w:hAnsi="仿宋" w:eastAsia="仿宋_GB2312"/>
                <w:sz w:val="24"/>
                <w:szCs w:val="24"/>
                <w:lang w:bidi="en-US"/>
              </w:rPr>
            </w:pPr>
            <w:r>
              <w:rPr>
                <w:rFonts w:hint="eastAsia" w:ascii="仿宋_GB2312" w:hAnsi="仿宋" w:eastAsia="仿宋_GB2312"/>
                <w:sz w:val="24"/>
                <w:szCs w:val="24"/>
              </w:rPr>
              <w:t>支持定时上传任务，按照每天/每周/每月或自定义的频率自动上传本地磁盘或目录中的文件到对象存储中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7" w:type="pct"/>
            <w:vAlign w:val="center"/>
          </w:tcPr>
          <w:p>
            <w:pPr>
              <w:jc w:val="center"/>
              <w:rPr>
                <w:rFonts w:ascii="仿宋_GB2312" w:hAnsi="仿宋" w:eastAsia="仿宋_GB2312"/>
                <w:sz w:val="24"/>
                <w:szCs w:val="24"/>
              </w:rPr>
            </w:pPr>
            <w:r>
              <w:rPr>
                <w:rFonts w:hint="eastAsia" w:ascii="仿宋_GB2312" w:hAnsi="仿宋" w:eastAsia="仿宋_GB2312"/>
                <w:sz w:val="24"/>
                <w:szCs w:val="24"/>
              </w:rPr>
              <w:t>安全可靠</w:t>
            </w:r>
          </w:p>
        </w:tc>
        <w:tc>
          <w:tcPr>
            <w:tcW w:w="4063" w:type="pct"/>
          </w:tcPr>
          <w:p>
            <w:pPr>
              <w:rPr>
                <w:rFonts w:ascii="仿宋_GB2312" w:hAnsi="仿宋" w:eastAsia="仿宋_GB2312"/>
                <w:sz w:val="24"/>
                <w:szCs w:val="24"/>
                <w:lang w:bidi="en-US"/>
              </w:rPr>
            </w:pPr>
            <w:r>
              <w:rPr>
                <w:rFonts w:hint="eastAsia" w:ascii="仿宋_GB2312" w:hAnsi="仿宋" w:eastAsia="仿宋_GB2312"/>
                <w:sz w:val="24"/>
                <w:szCs w:val="24"/>
              </w:rPr>
              <w:t>具备多层次安全防护功能，通过多级可靠性架构，保障数据持久性高达99.9999999999%（12个9），业务连续性高达99.995%，，</w:t>
            </w:r>
            <w:r>
              <w:rPr>
                <w:rFonts w:ascii="仿宋_GB2312" w:eastAsia="仿宋_GB2312"/>
                <w:sz w:val="24"/>
                <w:szCs w:val="24"/>
              </w:rPr>
              <w:t>不需要提供</w:t>
            </w:r>
            <w:r>
              <w:rPr>
                <w:rFonts w:hint="eastAsia" w:ascii="仿宋_GB2312" w:eastAsia="仿宋_GB2312"/>
                <w:sz w:val="24"/>
                <w:szCs w:val="24"/>
              </w:rPr>
              <w:t>证明资料</w:t>
            </w:r>
          </w:p>
        </w:tc>
      </w:tr>
    </w:tbl>
    <w:p>
      <w:pPr>
        <w:rPr>
          <w:rFonts w:ascii="仿宋_GB2312" w:hAnsi="楷体" w:eastAsia="仿宋_GB2312"/>
          <w:sz w:val="32"/>
        </w:rPr>
      </w:pPr>
      <w:r>
        <w:rPr>
          <w:rFonts w:hint="eastAsia" w:ascii="仿宋_GB2312" w:hAnsi="楷体" w:eastAsia="仿宋_GB2312"/>
          <w:sz w:val="32"/>
        </w:rPr>
        <w:t>（6）云备份服务</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7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shd w:val="clear" w:color="auto" w:fill="auto"/>
          </w:tcPr>
          <w:p>
            <w:pPr>
              <w:jc w:val="center"/>
              <w:rPr>
                <w:rFonts w:ascii="仿宋_GB2312" w:hAnsi="仿宋" w:eastAsia="仿宋_GB2312"/>
                <w:b/>
                <w:sz w:val="24"/>
                <w:szCs w:val="24"/>
              </w:rPr>
            </w:pPr>
            <w:r>
              <w:rPr>
                <w:rFonts w:hint="eastAsia" w:ascii="仿宋_GB2312" w:hAnsi="仿宋" w:eastAsia="仿宋_GB2312"/>
                <w:b/>
                <w:sz w:val="24"/>
                <w:szCs w:val="24"/>
              </w:rPr>
              <w:t>指标项</w:t>
            </w:r>
          </w:p>
        </w:tc>
        <w:tc>
          <w:tcPr>
            <w:tcW w:w="3978" w:type="pct"/>
            <w:shd w:val="clear" w:color="auto" w:fill="auto"/>
          </w:tcPr>
          <w:p>
            <w:pPr>
              <w:jc w:val="center"/>
              <w:rPr>
                <w:rFonts w:ascii="仿宋_GB2312" w:hAnsi="仿宋" w:eastAsia="仿宋_GB2312"/>
                <w:b/>
                <w:sz w:val="24"/>
                <w:szCs w:val="24"/>
              </w:rPr>
            </w:pPr>
            <w:r>
              <w:rPr>
                <w:rFonts w:hint="eastAsia" w:ascii="仿宋_GB2312" w:hAnsi="仿宋" w:eastAsia="仿宋_GB2312"/>
                <w:b/>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Align w:val="center"/>
          </w:tcPr>
          <w:p>
            <w:pPr>
              <w:jc w:val="center"/>
              <w:rPr>
                <w:rFonts w:ascii="仿宋_GB2312" w:hAnsi="仿宋" w:eastAsia="仿宋_GB2312"/>
                <w:sz w:val="24"/>
                <w:szCs w:val="24"/>
              </w:rPr>
            </w:pPr>
            <w:r>
              <w:rPr>
                <w:rFonts w:hint="eastAsia" w:ascii="仿宋_GB2312" w:hAnsi="仿宋" w:eastAsia="仿宋_GB2312"/>
                <w:sz w:val="24"/>
                <w:szCs w:val="24"/>
              </w:rPr>
              <w:t>基础需求</w:t>
            </w:r>
          </w:p>
        </w:tc>
        <w:tc>
          <w:tcPr>
            <w:tcW w:w="3978" w:type="pct"/>
          </w:tcPr>
          <w:p>
            <w:pPr>
              <w:rPr>
                <w:rFonts w:ascii="仿宋_GB2312" w:hAnsi="仿宋" w:eastAsia="仿宋_GB2312"/>
                <w:sz w:val="24"/>
                <w:szCs w:val="24"/>
              </w:rPr>
            </w:pPr>
            <w:r>
              <w:rPr>
                <w:rFonts w:hint="eastAsia" w:ascii="仿宋_GB2312" w:eastAsia="仿宋_GB2312"/>
                <w:sz w:val="24"/>
                <w:szCs w:val="24"/>
              </w:rPr>
              <w:t>▲</w:t>
            </w:r>
            <w:r>
              <w:rPr>
                <w:rFonts w:hint="eastAsia" w:ascii="仿宋_GB2312" w:hAnsi="仿宋" w:eastAsia="仿宋_GB2312"/>
                <w:sz w:val="24"/>
                <w:szCs w:val="24"/>
              </w:rPr>
              <w:t>支持且配置云备份空间≥1500GB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Merge w:val="restart"/>
            <w:vAlign w:val="center"/>
          </w:tcPr>
          <w:p>
            <w:pPr>
              <w:jc w:val="center"/>
              <w:rPr>
                <w:rFonts w:ascii="仿宋_GB2312" w:hAnsi="仿宋" w:eastAsia="仿宋_GB2312"/>
                <w:sz w:val="24"/>
                <w:szCs w:val="24"/>
              </w:rPr>
            </w:pPr>
            <w:r>
              <w:rPr>
                <w:rFonts w:hint="eastAsia" w:ascii="仿宋_GB2312" w:hAnsi="仿宋" w:eastAsia="仿宋_GB2312"/>
                <w:sz w:val="24"/>
                <w:szCs w:val="24"/>
              </w:rPr>
              <w:t>服务能力</w:t>
            </w:r>
          </w:p>
        </w:tc>
        <w:tc>
          <w:tcPr>
            <w:tcW w:w="3978" w:type="pct"/>
          </w:tcPr>
          <w:p>
            <w:pPr>
              <w:rPr>
                <w:rFonts w:ascii="仿宋_GB2312" w:hAnsi="仿宋" w:eastAsia="仿宋_GB2312"/>
                <w:sz w:val="24"/>
                <w:szCs w:val="24"/>
              </w:rPr>
            </w:pPr>
            <w:r>
              <w:rPr>
                <w:rFonts w:hint="eastAsia" w:ascii="仿宋_GB2312" w:hAnsi="仿宋" w:eastAsia="仿宋_GB2312"/>
                <w:sz w:val="24"/>
                <w:szCs w:val="24"/>
              </w:rPr>
              <w:t>支持云服务器多盘一致性备份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Merge w:val="continue"/>
            <w:vAlign w:val="center"/>
          </w:tcPr>
          <w:p>
            <w:pPr>
              <w:jc w:val="center"/>
              <w:rPr>
                <w:rFonts w:ascii="仿宋_GB2312" w:hAnsi="仿宋" w:eastAsia="仿宋_GB2312"/>
                <w:sz w:val="24"/>
                <w:szCs w:val="24"/>
              </w:rPr>
            </w:pPr>
          </w:p>
        </w:tc>
        <w:tc>
          <w:tcPr>
            <w:tcW w:w="3978" w:type="pct"/>
          </w:tcPr>
          <w:p>
            <w:pPr>
              <w:rPr>
                <w:rFonts w:ascii="仿宋_GB2312" w:hAnsi="仿宋" w:eastAsia="仿宋_GB2312"/>
                <w:sz w:val="24"/>
                <w:szCs w:val="24"/>
              </w:rPr>
            </w:pPr>
            <w:r>
              <w:rPr>
                <w:rFonts w:hint="eastAsia" w:ascii="仿宋_GB2312" w:hAnsi="仿宋" w:eastAsia="仿宋_GB2312"/>
                <w:sz w:val="24"/>
                <w:szCs w:val="24"/>
              </w:rPr>
              <w:t>支持加密盘的备份数据自动加密，保证数据安全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Merge w:val="continue"/>
            <w:vAlign w:val="center"/>
          </w:tcPr>
          <w:p>
            <w:pPr>
              <w:jc w:val="center"/>
              <w:rPr>
                <w:rFonts w:ascii="仿宋_GB2312" w:hAnsi="仿宋" w:eastAsia="仿宋_GB2312"/>
                <w:sz w:val="24"/>
                <w:szCs w:val="24"/>
              </w:rPr>
            </w:pPr>
          </w:p>
        </w:tc>
        <w:tc>
          <w:tcPr>
            <w:tcW w:w="3978" w:type="pct"/>
          </w:tcPr>
          <w:p>
            <w:pPr>
              <w:rPr>
                <w:rFonts w:ascii="仿宋_GB2312" w:hAnsi="仿宋" w:eastAsia="仿宋_GB2312"/>
                <w:sz w:val="24"/>
                <w:szCs w:val="24"/>
              </w:rPr>
            </w:pPr>
            <w:r>
              <w:rPr>
                <w:rFonts w:hint="eastAsia" w:ascii="仿宋_GB2312" w:hAnsi="仿宋" w:eastAsia="仿宋_GB2312"/>
                <w:sz w:val="24"/>
                <w:szCs w:val="24"/>
              </w:rPr>
              <w:t>支持当磁盘发生故障、或者由于人为误操作导致服务器数据丢失时，可以使用已经创建成功的备份恢复磁盘。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Merge w:val="continue"/>
            <w:vAlign w:val="center"/>
          </w:tcPr>
          <w:p>
            <w:pPr>
              <w:jc w:val="center"/>
              <w:rPr>
                <w:rFonts w:ascii="仿宋_GB2312" w:hAnsi="仿宋" w:eastAsia="仿宋_GB2312"/>
                <w:sz w:val="24"/>
                <w:szCs w:val="24"/>
              </w:rPr>
            </w:pPr>
          </w:p>
        </w:tc>
        <w:tc>
          <w:tcPr>
            <w:tcW w:w="3978" w:type="pct"/>
          </w:tcPr>
          <w:p>
            <w:pPr>
              <w:rPr>
                <w:rFonts w:ascii="仿宋_GB2312" w:hAnsi="仿宋" w:eastAsia="仿宋_GB2312"/>
                <w:sz w:val="24"/>
                <w:szCs w:val="24"/>
              </w:rPr>
            </w:pPr>
            <w:r>
              <w:rPr>
                <w:rFonts w:hint="eastAsia" w:ascii="仿宋_GB2312" w:hAnsi="仿宋" w:eastAsia="仿宋_GB2312"/>
                <w:sz w:val="24"/>
                <w:szCs w:val="24"/>
              </w:rPr>
              <w:t>支持永久增量备份，即时恢复，最多可能丢失数据的时长最小为1小时。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Merge w:val="continue"/>
            <w:vAlign w:val="center"/>
          </w:tcPr>
          <w:p>
            <w:pPr>
              <w:jc w:val="center"/>
              <w:rPr>
                <w:rFonts w:ascii="仿宋_GB2312" w:hAnsi="仿宋" w:eastAsia="仿宋_GB2312"/>
                <w:sz w:val="24"/>
                <w:szCs w:val="24"/>
              </w:rPr>
            </w:pPr>
          </w:p>
        </w:tc>
        <w:tc>
          <w:tcPr>
            <w:tcW w:w="3978" w:type="pct"/>
          </w:tcPr>
          <w:p>
            <w:pPr>
              <w:rPr>
                <w:rFonts w:ascii="仿宋_GB2312" w:hAnsi="仿宋" w:eastAsia="仿宋_GB2312"/>
                <w:sz w:val="24"/>
                <w:szCs w:val="24"/>
              </w:rPr>
            </w:pPr>
            <w:r>
              <w:rPr>
                <w:rFonts w:hint="eastAsia" w:ascii="仿宋_GB2312" w:hAnsi="仿宋" w:eastAsia="仿宋_GB2312"/>
                <w:sz w:val="24"/>
                <w:szCs w:val="24"/>
              </w:rPr>
              <w:t>支持通过备份策略将整个存储库绑定的磁盘按照一定的策略要求对磁盘数据进行周期性备份，以便磁盘在数据丢失或损坏时快速恢复数据，保证业务正常运行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Merge w:val="continue"/>
            <w:vAlign w:val="center"/>
          </w:tcPr>
          <w:p>
            <w:pPr>
              <w:jc w:val="center"/>
              <w:rPr>
                <w:rFonts w:ascii="仿宋_GB2312" w:hAnsi="仿宋" w:eastAsia="仿宋_GB2312"/>
                <w:sz w:val="24"/>
                <w:szCs w:val="24"/>
              </w:rPr>
            </w:pPr>
          </w:p>
        </w:tc>
        <w:tc>
          <w:tcPr>
            <w:tcW w:w="3978" w:type="pct"/>
          </w:tcPr>
          <w:p>
            <w:pPr>
              <w:rPr>
                <w:rFonts w:ascii="仿宋_GB2312" w:hAnsi="仿宋" w:eastAsia="仿宋_GB2312"/>
                <w:sz w:val="24"/>
                <w:szCs w:val="24"/>
              </w:rPr>
            </w:pPr>
            <w:r>
              <w:rPr>
                <w:rFonts w:hint="eastAsia" w:ascii="仿宋_GB2312" w:hAnsi="仿宋" w:eastAsia="仿宋_GB2312"/>
                <w:sz w:val="24"/>
                <w:szCs w:val="24"/>
              </w:rPr>
              <w:t>云服务器备份支持将弹性云服务器的备份创建为镜像，可利用镜像发放弹性云服务器，达到快速恢复业务运行环境的目的。</w:t>
            </w:r>
          </w:p>
        </w:tc>
      </w:tr>
    </w:tbl>
    <w:p>
      <w:pPr>
        <w:rPr>
          <w:rFonts w:ascii="仿宋_GB2312" w:hAnsi="楷体" w:eastAsia="仿宋_GB2312"/>
          <w:sz w:val="32"/>
        </w:rPr>
      </w:pPr>
      <w:r>
        <w:rPr>
          <w:rFonts w:hint="eastAsia" w:ascii="仿宋_GB2312" w:hAnsi="楷体" w:eastAsia="仿宋_GB2312"/>
          <w:sz w:val="32"/>
        </w:rPr>
        <w:t>（7）主机迁移服务</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7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shd w:val="clear" w:color="auto" w:fill="auto"/>
          </w:tcPr>
          <w:p>
            <w:pPr>
              <w:jc w:val="center"/>
              <w:rPr>
                <w:rFonts w:ascii="仿宋_GB2312" w:hAnsi="仿宋" w:eastAsia="仿宋_GB2312"/>
                <w:sz w:val="24"/>
                <w:szCs w:val="24"/>
              </w:rPr>
            </w:pPr>
            <w:r>
              <w:rPr>
                <w:rFonts w:hint="eastAsia" w:ascii="仿宋_GB2312" w:hAnsi="仿宋" w:eastAsia="仿宋_GB2312"/>
                <w:sz w:val="24"/>
                <w:szCs w:val="24"/>
              </w:rPr>
              <w:t>指标项</w:t>
            </w:r>
          </w:p>
        </w:tc>
        <w:tc>
          <w:tcPr>
            <w:tcW w:w="3978" w:type="pct"/>
            <w:shd w:val="clear" w:color="auto" w:fill="auto"/>
          </w:tcPr>
          <w:p>
            <w:pPr>
              <w:jc w:val="center"/>
              <w:rPr>
                <w:rFonts w:ascii="仿宋_GB2312" w:hAnsi="仿宋" w:eastAsia="仿宋_GB2312"/>
                <w:sz w:val="24"/>
                <w:szCs w:val="24"/>
              </w:rPr>
            </w:pPr>
            <w:r>
              <w:rPr>
                <w:rFonts w:hint="eastAsia" w:ascii="仿宋_GB2312" w:hAnsi="仿宋" w:eastAsia="仿宋_GB2312"/>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Align w:val="center"/>
          </w:tcPr>
          <w:p>
            <w:pPr>
              <w:jc w:val="center"/>
              <w:rPr>
                <w:rFonts w:ascii="仿宋_GB2312" w:hAnsi="仿宋" w:eastAsia="仿宋_GB2312"/>
                <w:sz w:val="24"/>
                <w:szCs w:val="24"/>
              </w:rPr>
            </w:pPr>
            <w:r>
              <w:rPr>
                <w:rFonts w:hint="eastAsia" w:ascii="仿宋_GB2312" w:hAnsi="仿宋" w:eastAsia="仿宋_GB2312"/>
                <w:sz w:val="24"/>
                <w:szCs w:val="24"/>
              </w:rPr>
              <w:t>基础需求</w:t>
            </w:r>
          </w:p>
        </w:tc>
        <w:tc>
          <w:tcPr>
            <w:tcW w:w="3978" w:type="pct"/>
          </w:tcPr>
          <w:p>
            <w:pPr>
              <w:rPr>
                <w:rFonts w:ascii="仿宋_GB2312" w:hAnsi="仿宋" w:eastAsia="仿宋_GB2312"/>
                <w:sz w:val="24"/>
                <w:szCs w:val="24"/>
              </w:rPr>
            </w:pPr>
            <w:r>
              <w:rPr>
                <w:rFonts w:hint="eastAsia" w:ascii="仿宋_GB2312" w:eastAsia="仿宋_GB2312"/>
                <w:sz w:val="24"/>
                <w:szCs w:val="24"/>
              </w:rPr>
              <w:t>▲</w:t>
            </w:r>
            <w:r>
              <w:rPr>
                <w:rFonts w:hint="eastAsia" w:ascii="仿宋_GB2312" w:hAnsi="仿宋" w:eastAsia="仿宋_GB2312"/>
                <w:sz w:val="24"/>
                <w:szCs w:val="24"/>
              </w:rPr>
              <w:t>支持P2V/V2V迁移服务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22" w:type="pct"/>
            <w:vMerge w:val="restart"/>
            <w:vAlign w:val="center"/>
          </w:tcPr>
          <w:p>
            <w:pPr>
              <w:jc w:val="center"/>
              <w:rPr>
                <w:rFonts w:ascii="仿宋_GB2312" w:hAnsi="仿宋" w:eastAsia="仿宋_GB2312"/>
                <w:sz w:val="24"/>
                <w:szCs w:val="24"/>
              </w:rPr>
            </w:pPr>
            <w:r>
              <w:rPr>
                <w:rFonts w:hint="eastAsia" w:ascii="仿宋_GB2312" w:hAnsi="仿宋" w:eastAsia="仿宋_GB2312"/>
                <w:sz w:val="24"/>
                <w:szCs w:val="24"/>
              </w:rPr>
              <w:t>服务能力</w:t>
            </w:r>
          </w:p>
        </w:tc>
        <w:tc>
          <w:tcPr>
            <w:tcW w:w="3978" w:type="pct"/>
          </w:tcPr>
          <w:p>
            <w:pPr>
              <w:rPr>
                <w:rFonts w:ascii="仿宋_GB2312" w:hAnsi="仿宋" w:eastAsia="仿宋_GB2312"/>
                <w:sz w:val="24"/>
                <w:szCs w:val="24"/>
              </w:rPr>
            </w:pPr>
            <w:r>
              <w:rPr>
                <w:rFonts w:hint="eastAsia" w:ascii="仿宋_GB2312" w:hAnsi="仿宋" w:eastAsia="仿宋_GB2312"/>
                <w:sz w:val="24"/>
                <w:szCs w:val="24"/>
              </w:rPr>
              <w:t>支持迁移可行性校验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Merge w:val="continue"/>
            <w:vAlign w:val="center"/>
          </w:tcPr>
          <w:p>
            <w:pPr>
              <w:jc w:val="center"/>
              <w:rPr>
                <w:rFonts w:ascii="仿宋_GB2312" w:hAnsi="仿宋" w:eastAsia="仿宋_GB2312"/>
                <w:sz w:val="24"/>
                <w:szCs w:val="24"/>
              </w:rPr>
            </w:pPr>
          </w:p>
        </w:tc>
        <w:tc>
          <w:tcPr>
            <w:tcW w:w="3978" w:type="pct"/>
          </w:tcPr>
          <w:p>
            <w:pPr>
              <w:rPr>
                <w:rFonts w:ascii="仿宋_GB2312" w:hAnsi="仿宋" w:eastAsia="仿宋_GB2312"/>
                <w:sz w:val="24"/>
                <w:szCs w:val="24"/>
              </w:rPr>
            </w:pPr>
            <w:r>
              <w:rPr>
                <w:rFonts w:hint="eastAsia" w:ascii="仿宋_GB2312" w:hAnsi="仿宋" w:eastAsia="仿宋_GB2312"/>
                <w:sz w:val="24"/>
                <w:szCs w:val="24"/>
              </w:rPr>
              <w:t>支持windows和linux全量迁移与同步，，</w:t>
            </w:r>
            <w:r>
              <w:rPr>
                <w:rFonts w:ascii="仿宋_GB2312" w:eastAsia="仿宋_GB2312"/>
                <w:sz w:val="24"/>
                <w:szCs w:val="24"/>
              </w:rPr>
              <w:t>不需要提供</w:t>
            </w:r>
            <w:r>
              <w:rPr>
                <w:rFonts w:hint="eastAsia" w:ascii="仿宋_GB2312" w:eastAsia="仿宋_GB2312"/>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Merge w:val="continue"/>
            <w:vAlign w:val="center"/>
          </w:tcPr>
          <w:p>
            <w:pPr>
              <w:jc w:val="center"/>
              <w:rPr>
                <w:rFonts w:ascii="仿宋_GB2312" w:hAnsi="仿宋" w:eastAsia="仿宋_GB2312"/>
                <w:sz w:val="24"/>
                <w:szCs w:val="24"/>
              </w:rPr>
            </w:pPr>
          </w:p>
        </w:tc>
        <w:tc>
          <w:tcPr>
            <w:tcW w:w="3978" w:type="pct"/>
          </w:tcPr>
          <w:p>
            <w:pPr>
              <w:rPr>
                <w:rFonts w:ascii="仿宋_GB2312" w:hAnsi="仿宋" w:eastAsia="仿宋_GB2312"/>
                <w:sz w:val="24"/>
                <w:szCs w:val="24"/>
              </w:rPr>
            </w:pPr>
            <w:r>
              <w:rPr>
                <w:rFonts w:hint="eastAsia" w:ascii="仿宋_GB2312" w:hAnsi="仿宋" w:eastAsia="仿宋_GB2312"/>
                <w:sz w:val="24"/>
                <w:szCs w:val="24"/>
              </w:rPr>
              <w:t>支持迁移过程中传输通道的动态安全，，</w:t>
            </w:r>
            <w:r>
              <w:rPr>
                <w:rFonts w:ascii="仿宋_GB2312" w:eastAsia="仿宋_GB2312"/>
                <w:sz w:val="24"/>
                <w:szCs w:val="24"/>
              </w:rPr>
              <w:t>不需要提供</w:t>
            </w:r>
            <w:r>
              <w:rPr>
                <w:rFonts w:hint="eastAsia" w:ascii="仿宋_GB2312" w:eastAsia="仿宋_GB2312"/>
                <w:sz w:val="24"/>
                <w:szCs w:val="24"/>
              </w:rPr>
              <w:t>证明资料</w:t>
            </w:r>
          </w:p>
        </w:tc>
      </w:tr>
    </w:tbl>
    <w:p>
      <w:pPr>
        <w:rPr>
          <w:rFonts w:ascii="仿宋_GB2312" w:hAnsi="楷体" w:eastAsia="仿宋_GB2312"/>
          <w:sz w:val="32"/>
        </w:rPr>
      </w:pPr>
      <w:r>
        <w:rPr>
          <w:rFonts w:hint="eastAsia" w:ascii="仿宋_GB2312" w:hAnsi="楷体" w:eastAsia="仿宋_GB2312"/>
          <w:sz w:val="32"/>
        </w:rPr>
        <w:t>（8）数据复制服务</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shd w:val="clear" w:color="auto" w:fill="auto"/>
          </w:tcPr>
          <w:p>
            <w:pPr>
              <w:jc w:val="center"/>
              <w:rPr>
                <w:rFonts w:ascii="仿宋_GB2312" w:hAnsi="仿宋" w:eastAsia="仿宋_GB2312"/>
                <w:sz w:val="24"/>
                <w:szCs w:val="24"/>
              </w:rPr>
            </w:pPr>
            <w:r>
              <w:rPr>
                <w:rFonts w:hint="eastAsia" w:ascii="仿宋_GB2312" w:hAnsi="仿宋" w:eastAsia="仿宋_GB2312"/>
                <w:sz w:val="24"/>
                <w:szCs w:val="24"/>
              </w:rPr>
              <w:t>指标项</w:t>
            </w:r>
          </w:p>
        </w:tc>
        <w:tc>
          <w:tcPr>
            <w:tcW w:w="3721" w:type="pct"/>
            <w:shd w:val="clear" w:color="auto" w:fill="auto"/>
          </w:tcPr>
          <w:p>
            <w:pPr>
              <w:jc w:val="center"/>
              <w:rPr>
                <w:rFonts w:ascii="仿宋_GB2312" w:hAnsi="仿宋" w:eastAsia="仿宋_GB2312"/>
                <w:sz w:val="24"/>
                <w:szCs w:val="24"/>
              </w:rPr>
            </w:pPr>
            <w:r>
              <w:rPr>
                <w:rFonts w:hint="eastAsia" w:ascii="仿宋_GB2312" w:hAnsi="仿宋" w:eastAsia="仿宋_GB2312"/>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vAlign w:val="center"/>
          </w:tcPr>
          <w:p>
            <w:pPr>
              <w:jc w:val="center"/>
              <w:rPr>
                <w:rFonts w:ascii="仿宋_GB2312" w:hAnsi="仿宋" w:eastAsia="仿宋_GB2312"/>
                <w:sz w:val="24"/>
                <w:szCs w:val="24"/>
              </w:rPr>
            </w:pPr>
            <w:r>
              <w:rPr>
                <w:rFonts w:hint="eastAsia" w:ascii="仿宋_GB2312" w:hAnsi="仿宋" w:eastAsia="仿宋_GB2312"/>
                <w:sz w:val="24"/>
                <w:szCs w:val="24"/>
              </w:rPr>
              <w:t>基础需求</w:t>
            </w:r>
          </w:p>
        </w:tc>
        <w:tc>
          <w:tcPr>
            <w:tcW w:w="3721" w:type="pct"/>
          </w:tcPr>
          <w:p>
            <w:pPr>
              <w:rPr>
                <w:rFonts w:ascii="仿宋_GB2312" w:hAnsi="仿宋" w:eastAsia="仿宋_GB2312"/>
                <w:sz w:val="24"/>
                <w:szCs w:val="24"/>
              </w:rPr>
            </w:pPr>
            <w:r>
              <w:rPr>
                <w:rFonts w:hint="eastAsia" w:ascii="仿宋_GB2312" w:eastAsia="仿宋_GB2312"/>
                <w:sz w:val="24"/>
                <w:szCs w:val="24"/>
              </w:rPr>
              <w:t>▲</w:t>
            </w:r>
            <w:r>
              <w:rPr>
                <w:rFonts w:hint="eastAsia" w:ascii="仿宋_GB2312" w:hAnsi="仿宋" w:eastAsia="仿宋_GB2312"/>
                <w:sz w:val="24"/>
                <w:szCs w:val="24"/>
              </w:rPr>
              <w:t>支持数据库实时迁移，备份迁移，实时同步、数据订阅和实时灾备等功能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vMerge w:val="restart"/>
            <w:vAlign w:val="center"/>
          </w:tcPr>
          <w:p>
            <w:pPr>
              <w:jc w:val="center"/>
              <w:rPr>
                <w:rFonts w:ascii="仿宋_GB2312" w:hAnsi="仿宋" w:eastAsia="仿宋_GB2312"/>
                <w:sz w:val="24"/>
                <w:szCs w:val="24"/>
              </w:rPr>
            </w:pPr>
            <w:r>
              <w:rPr>
                <w:rFonts w:hint="eastAsia" w:ascii="仿宋_GB2312" w:hAnsi="仿宋" w:eastAsia="仿宋_GB2312"/>
                <w:sz w:val="24"/>
                <w:szCs w:val="24"/>
              </w:rPr>
              <w:t>服务能力</w:t>
            </w:r>
          </w:p>
        </w:tc>
        <w:tc>
          <w:tcPr>
            <w:tcW w:w="3721" w:type="pct"/>
          </w:tcPr>
          <w:p>
            <w:pPr>
              <w:rPr>
                <w:rFonts w:ascii="仿宋_GB2312" w:hAnsi="仿宋" w:eastAsia="仿宋_GB2312"/>
                <w:sz w:val="24"/>
                <w:szCs w:val="24"/>
              </w:rPr>
            </w:pPr>
            <w:r>
              <w:rPr>
                <w:rFonts w:hint="eastAsia" w:ascii="仿宋_GB2312" w:hAnsi="仿宋" w:eastAsia="仿宋_GB2312"/>
                <w:sz w:val="24"/>
                <w:szCs w:val="24"/>
              </w:rPr>
              <w:t>支持MySQL自建或他云MySQL</w:t>
            </w:r>
          </w:p>
          <w:p>
            <w:pPr>
              <w:rPr>
                <w:rFonts w:ascii="仿宋_GB2312" w:hAnsi="仿宋" w:eastAsia="仿宋_GB2312"/>
                <w:sz w:val="24"/>
                <w:szCs w:val="24"/>
              </w:rPr>
            </w:pPr>
            <w:r>
              <w:rPr>
                <w:rFonts w:hint="eastAsia" w:ascii="仿宋_GB2312" w:hAnsi="仿宋" w:eastAsia="仿宋_GB2312"/>
                <w:sz w:val="24"/>
                <w:szCs w:val="24"/>
              </w:rPr>
              <w:t>5.5、5.6、5.7、8.0版本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vMerge w:val="continue"/>
            <w:vAlign w:val="center"/>
          </w:tcPr>
          <w:p>
            <w:pPr>
              <w:jc w:val="center"/>
              <w:rPr>
                <w:rFonts w:ascii="仿宋_GB2312" w:hAnsi="仿宋" w:eastAsia="仿宋_GB2312"/>
                <w:sz w:val="24"/>
                <w:szCs w:val="24"/>
              </w:rPr>
            </w:pPr>
          </w:p>
        </w:tc>
        <w:tc>
          <w:tcPr>
            <w:tcW w:w="3721" w:type="pct"/>
          </w:tcPr>
          <w:p>
            <w:pPr>
              <w:rPr>
                <w:rFonts w:ascii="仿宋_GB2312" w:hAnsi="仿宋" w:eastAsia="仿宋_GB2312"/>
                <w:sz w:val="24"/>
                <w:szCs w:val="24"/>
              </w:rPr>
            </w:pPr>
            <w:r>
              <w:rPr>
                <w:rFonts w:hint="eastAsia" w:ascii="仿宋_GB2312" w:hAnsi="仿宋" w:eastAsia="仿宋_GB2312"/>
                <w:sz w:val="24"/>
                <w:szCs w:val="24"/>
              </w:rPr>
              <w:t>支持自建或他云PostgreSQL</w:t>
            </w:r>
          </w:p>
          <w:p>
            <w:pPr>
              <w:rPr>
                <w:rFonts w:ascii="仿宋_GB2312" w:hAnsi="仿宋" w:eastAsia="仿宋_GB2312"/>
                <w:sz w:val="24"/>
                <w:szCs w:val="24"/>
              </w:rPr>
            </w:pPr>
            <w:r>
              <w:rPr>
                <w:rFonts w:hint="eastAsia" w:ascii="仿宋_GB2312" w:hAnsi="仿宋" w:eastAsia="仿宋_GB2312"/>
                <w:sz w:val="24"/>
                <w:szCs w:val="24"/>
              </w:rPr>
              <w:t>9.4，9.5、9.6、10、11、12、13版本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vMerge w:val="continue"/>
            <w:vAlign w:val="center"/>
          </w:tcPr>
          <w:p>
            <w:pPr>
              <w:jc w:val="center"/>
              <w:rPr>
                <w:rFonts w:ascii="仿宋_GB2312" w:hAnsi="仿宋" w:eastAsia="仿宋_GB2312"/>
                <w:sz w:val="24"/>
                <w:szCs w:val="24"/>
              </w:rPr>
            </w:pPr>
          </w:p>
        </w:tc>
        <w:tc>
          <w:tcPr>
            <w:tcW w:w="3721" w:type="pct"/>
          </w:tcPr>
          <w:p>
            <w:pPr>
              <w:rPr>
                <w:rFonts w:ascii="仿宋_GB2312" w:hAnsi="仿宋" w:eastAsia="仿宋_GB2312"/>
                <w:sz w:val="24"/>
                <w:szCs w:val="24"/>
              </w:rPr>
            </w:pPr>
            <w:r>
              <w:rPr>
                <w:rFonts w:hint="eastAsia" w:ascii="仿宋_GB2312" w:hAnsi="仿宋" w:eastAsia="仿宋_GB2312"/>
                <w:sz w:val="24"/>
                <w:szCs w:val="24"/>
              </w:rPr>
              <w:t>支持同步方式分为全量、增量、全量+增量三种</w:t>
            </w:r>
          </w:p>
        </w:tc>
      </w:tr>
    </w:tbl>
    <w:p/>
    <w:p>
      <w:pPr>
        <w:rPr>
          <w:rFonts w:ascii="仿宋_GB2312" w:hAnsi="楷体" w:eastAsia="仿宋_GB2312"/>
          <w:sz w:val="32"/>
        </w:rPr>
      </w:pPr>
      <w:r>
        <w:rPr>
          <w:rFonts w:hint="eastAsia" w:ascii="仿宋_GB2312" w:hAnsi="楷体" w:eastAsia="仿宋_GB2312"/>
          <w:sz w:val="32"/>
        </w:rPr>
        <w:t>（9）负载均衡</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shd w:val="clear" w:color="auto" w:fill="auto"/>
          </w:tcPr>
          <w:p>
            <w:pPr>
              <w:jc w:val="center"/>
              <w:rPr>
                <w:rFonts w:ascii="仿宋_GB2312" w:hAnsi="宋体" w:eastAsia="仿宋_GB2312"/>
                <w:b/>
                <w:sz w:val="24"/>
                <w:szCs w:val="24"/>
              </w:rPr>
            </w:pPr>
            <w:r>
              <w:rPr>
                <w:rFonts w:hint="eastAsia" w:ascii="仿宋_GB2312" w:hAnsi="宋体" w:eastAsia="仿宋_GB2312"/>
                <w:b/>
                <w:sz w:val="24"/>
                <w:szCs w:val="24"/>
              </w:rPr>
              <w:t>指标项</w:t>
            </w:r>
          </w:p>
        </w:tc>
        <w:tc>
          <w:tcPr>
            <w:tcW w:w="3721" w:type="pct"/>
            <w:shd w:val="clear" w:color="auto" w:fill="auto"/>
          </w:tcPr>
          <w:p>
            <w:pPr>
              <w:jc w:val="center"/>
              <w:rPr>
                <w:rFonts w:ascii="仿宋_GB2312" w:hAnsi="宋体" w:eastAsia="仿宋_GB2312"/>
                <w:b/>
                <w:sz w:val="24"/>
                <w:szCs w:val="24"/>
              </w:rPr>
            </w:pPr>
            <w:r>
              <w:rPr>
                <w:rFonts w:hint="eastAsia" w:ascii="仿宋_GB2312" w:hAnsi="宋体" w:eastAsia="仿宋_GB2312"/>
                <w:b/>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vAlign w:val="center"/>
          </w:tcPr>
          <w:p>
            <w:pPr>
              <w:rPr>
                <w:rFonts w:ascii="仿宋_GB2312" w:hAnsi="宋体" w:eastAsia="仿宋_GB2312"/>
                <w:sz w:val="24"/>
                <w:szCs w:val="24"/>
              </w:rPr>
            </w:pPr>
            <w:r>
              <w:rPr>
                <w:rFonts w:hint="eastAsia" w:ascii="仿宋_GB2312" w:hAnsi="宋体" w:eastAsia="仿宋_GB2312"/>
                <w:sz w:val="24"/>
                <w:szCs w:val="24"/>
                <w:lang w:bidi="en-US"/>
              </w:rPr>
              <w:t>基础需求</w:t>
            </w:r>
          </w:p>
        </w:tc>
        <w:tc>
          <w:tcPr>
            <w:tcW w:w="3721" w:type="pct"/>
          </w:tcPr>
          <w:p>
            <w:pPr>
              <w:rPr>
                <w:rFonts w:ascii="仿宋_GB2312" w:hAnsi="宋体" w:eastAsia="仿宋_GB2312"/>
                <w:sz w:val="24"/>
                <w:szCs w:val="24"/>
                <w:lang w:bidi="en-US"/>
              </w:rPr>
            </w:pPr>
            <w:r>
              <w:rPr>
                <w:rFonts w:hint="eastAsia" w:ascii="仿宋_GB2312" w:eastAsia="仿宋_GB2312"/>
                <w:sz w:val="24"/>
                <w:szCs w:val="24"/>
              </w:rPr>
              <w:t>▲</w:t>
            </w:r>
            <w:r>
              <w:rPr>
                <w:rFonts w:hint="eastAsia" w:ascii="仿宋_GB2312" w:hAnsi="宋体" w:eastAsia="仿宋_GB2312" w:cs="宋体"/>
                <w:kern w:val="0"/>
                <w:sz w:val="24"/>
                <w:szCs w:val="24"/>
              </w:rPr>
              <w:t>支持且配置互联网访问流量带宽≥</w:t>
            </w:r>
            <w:r>
              <w:rPr>
                <w:rFonts w:hint="eastAsia" w:ascii="仿宋_GB2312" w:hAnsi="宋体" w:eastAsia="仿宋_GB2312"/>
                <w:sz w:val="24"/>
                <w:szCs w:val="24"/>
              </w:rPr>
              <w:t>50Mbit/s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vMerge w:val="restart"/>
            <w:vAlign w:val="center"/>
          </w:tcPr>
          <w:p>
            <w:pPr>
              <w:rPr>
                <w:rFonts w:ascii="仿宋_GB2312" w:hAnsi="宋体" w:eastAsia="仿宋_GB2312"/>
                <w:sz w:val="24"/>
                <w:szCs w:val="24"/>
              </w:rPr>
            </w:pPr>
            <w:r>
              <w:rPr>
                <w:rFonts w:hint="eastAsia" w:ascii="仿宋_GB2312" w:hAnsi="宋体" w:eastAsia="仿宋_GB2312"/>
                <w:sz w:val="24"/>
                <w:szCs w:val="24"/>
              </w:rPr>
              <w:t>服务能力</w:t>
            </w:r>
          </w:p>
        </w:tc>
        <w:tc>
          <w:tcPr>
            <w:tcW w:w="3721" w:type="pct"/>
          </w:tcPr>
          <w:p>
            <w:pPr>
              <w:rPr>
                <w:rFonts w:ascii="仿宋_GB2312" w:hAnsi="宋体" w:eastAsia="仿宋_GB2312"/>
                <w:sz w:val="24"/>
                <w:szCs w:val="24"/>
              </w:rPr>
            </w:pPr>
            <w:r>
              <w:rPr>
                <w:rFonts w:hint="eastAsia" w:ascii="仿宋_GB2312" w:hAnsi="宋体" w:eastAsia="仿宋_GB2312"/>
                <w:sz w:val="24"/>
                <w:szCs w:val="24"/>
              </w:rPr>
              <w:t>支持4层、7层负载均衡，</w:t>
            </w:r>
            <w:r>
              <w:rPr>
                <w:rFonts w:ascii="仿宋_GB2312" w:eastAsia="仿宋_GB2312"/>
                <w:sz w:val="24"/>
                <w:szCs w:val="24"/>
              </w:rPr>
              <w:t>不需要提供</w:t>
            </w:r>
            <w:r>
              <w:rPr>
                <w:rFonts w:hint="eastAsia" w:ascii="仿宋_GB2312" w:eastAsia="仿宋_GB2312"/>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vMerge w:val="continue"/>
            <w:vAlign w:val="center"/>
          </w:tcPr>
          <w:p>
            <w:pPr>
              <w:rPr>
                <w:rFonts w:ascii="仿宋_GB2312" w:hAnsi="宋体" w:eastAsia="仿宋_GB2312"/>
                <w:sz w:val="24"/>
                <w:szCs w:val="24"/>
              </w:rPr>
            </w:pPr>
          </w:p>
        </w:tc>
        <w:tc>
          <w:tcPr>
            <w:tcW w:w="3721" w:type="pct"/>
          </w:tcPr>
          <w:p>
            <w:pPr>
              <w:rPr>
                <w:rFonts w:ascii="仿宋_GB2312" w:hAnsi="宋体" w:eastAsia="仿宋_GB2312"/>
                <w:sz w:val="24"/>
                <w:szCs w:val="24"/>
              </w:rPr>
            </w:pPr>
            <w:r>
              <w:rPr>
                <w:rFonts w:hint="eastAsia" w:ascii="仿宋_GB2312" w:hAnsi="宋体" w:eastAsia="仿宋_GB2312"/>
                <w:sz w:val="24"/>
                <w:szCs w:val="24"/>
              </w:rPr>
              <w:t>支持多AZ多活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vMerge w:val="continue"/>
            <w:vAlign w:val="center"/>
          </w:tcPr>
          <w:p>
            <w:pPr>
              <w:rPr>
                <w:rFonts w:ascii="仿宋_GB2312" w:hAnsi="宋体" w:eastAsia="仿宋_GB2312"/>
                <w:sz w:val="24"/>
                <w:szCs w:val="24"/>
              </w:rPr>
            </w:pPr>
          </w:p>
        </w:tc>
        <w:tc>
          <w:tcPr>
            <w:tcW w:w="3721" w:type="pct"/>
          </w:tcPr>
          <w:p>
            <w:pPr>
              <w:rPr>
                <w:rFonts w:ascii="仿宋_GB2312" w:hAnsi="宋体" w:eastAsia="仿宋_GB2312"/>
                <w:sz w:val="24"/>
                <w:szCs w:val="24"/>
                <w:lang w:bidi="en-US"/>
              </w:rPr>
            </w:pPr>
            <w:r>
              <w:rPr>
                <w:rFonts w:hint="eastAsia" w:ascii="仿宋_GB2312" w:hAnsi="宋体" w:eastAsia="仿宋_GB2312"/>
                <w:sz w:val="24"/>
                <w:szCs w:val="24"/>
              </w:rPr>
              <w:t>支持独享型实例以及黑白名单</w:t>
            </w:r>
            <w:r>
              <w:rPr>
                <w:rFonts w:hint="eastAsia" w:ascii="仿宋_GB2312" w:hAnsi="仿宋" w:eastAsia="仿宋_GB2312"/>
                <w:sz w:val="24"/>
                <w:szCs w:val="24"/>
              </w:rPr>
              <w:t>，</w:t>
            </w:r>
            <w:r>
              <w:rPr>
                <w:rFonts w:ascii="仿宋_GB2312" w:eastAsia="仿宋_GB2312"/>
                <w:sz w:val="24"/>
                <w:szCs w:val="24"/>
              </w:rPr>
              <w:t>不需要提供</w:t>
            </w:r>
            <w:r>
              <w:rPr>
                <w:rFonts w:hint="eastAsia" w:ascii="仿宋_GB2312" w:eastAsia="仿宋_GB2312"/>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vMerge w:val="continue"/>
            <w:vAlign w:val="center"/>
          </w:tcPr>
          <w:p>
            <w:pPr>
              <w:rPr>
                <w:rFonts w:ascii="仿宋_GB2312" w:hAnsi="宋体" w:eastAsia="仿宋_GB2312"/>
                <w:sz w:val="24"/>
                <w:szCs w:val="24"/>
              </w:rPr>
            </w:pPr>
          </w:p>
        </w:tc>
        <w:tc>
          <w:tcPr>
            <w:tcW w:w="3721" w:type="pct"/>
          </w:tcPr>
          <w:p>
            <w:pPr>
              <w:rPr>
                <w:rFonts w:ascii="仿宋_GB2312" w:hAnsi="宋体" w:eastAsia="仿宋_GB2312"/>
                <w:sz w:val="24"/>
                <w:szCs w:val="24"/>
                <w:lang w:bidi="en-US"/>
              </w:rPr>
            </w:pPr>
            <w:r>
              <w:rPr>
                <w:rFonts w:hint="eastAsia" w:ascii="仿宋_GB2312" w:hAnsi="宋体" w:eastAsia="仿宋_GB2312"/>
                <w:sz w:val="24"/>
                <w:szCs w:val="24"/>
              </w:rPr>
              <w:t>支持健康检查，自动隔离异常状态虚拟主机，支持会话保持功能</w:t>
            </w:r>
            <w:r>
              <w:rPr>
                <w:rFonts w:hint="eastAsia" w:ascii="仿宋_GB2312" w:hAnsi="仿宋" w:eastAsia="仿宋_GB2312"/>
                <w:sz w:val="24"/>
                <w:szCs w:val="24"/>
              </w:rPr>
              <w:t>，</w:t>
            </w:r>
            <w:r>
              <w:rPr>
                <w:rFonts w:ascii="仿宋_GB2312" w:eastAsia="仿宋_GB2312"/>
                <w:sz w:val="24"/>
                <w:szCs w:val="24"/>
              </w:rPr>
              <w:t>不需要提供</w:t>
            </w:r>
            <w:r>
              <w:rPr>
                <w:rFonts w:hint="eastAsia" w:ascii="仿宋_GB2312" w:eastAsia="仿宋_GB2312"/>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vMerge w:val="continue"/>
            <w:vAlign w:val="center"/>
          </w:tcPr>
          <w:p>
            <w:pPr>
              <w:rPr>
                <w:rFonts w:ascii="仿宋_GB2312" w:hAnsi="宋体" w:eastAsia="仿宋_GB2312"/>
                <w:sz w:val="24"/>
                <w:szCs w:val="24"/>
              </w:rPr>
            </w:pPr>
          </w:p>
        </w:tc>
        <w:tc>
          <w:tcPr>
            <w:tcW w:w="3721" w:type="pct"/>
          </w:tcPr>
          <w:p>
            <w:pPr>
              <w:rPr>
                <w:rFonts w:ascii="仿宋_GB2312" w:hAnsi="宋体" w:eastAsia="仿宋_GB2312"/>
                <w:sz w:val="24"/>
                <w:szCs w:val="24"/>
                <w:lang w:bidi="en-US"/>
              </w:rPr>
            </w:pPr>
            <w:r>
              <w:rPr>
                <w:rFonts w:hint="eastAsia" w:ascii="仿宋_GB2312" w:hAnsi="宋体" w:eastAsia="仿宋_GB2312"/>
                <w:sz w:val="24"/>
                <w:szCs w:val="24"/>
              </w:rPr>
              <w:t>支持IPV6 Only</w:t>
            </w:r>
            <w:r>
              <w:rPr>
                <w:rFonts w:hint="eastAsia" w:ascii="仿宋_GB2312" w:hAnsi="宋体" w:eastAsia="仿宋_GB2312"/>
                <w:sz w:val="24"/>
                <w:szCs w:val="24"/>
                <w:lang w:bidi="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vMerge w:val="continue"/>
            <w:vAlign w:val="center"/>
          </w:tcPr>
          <w:p>
            <w:pPr>
              <w:rPr>
                <w:rFonts w:ascii="仿宋_GB2312" w:hAnsi="宋体" w:eastAsia="仿宋_GB2312"/>
                <w:sz w:val="24"/>
                <w:szCs w:val="24"/>
              </w:rPr>
            </w:pPr>
          </w:p>
        </w:tc>
        <w:tc>
          <w:tcPr>
            <w:tcW w:w="3721" w:type="pct"/>
          </w:tcPr>
          <w:p>
            <w:pPr>
              <w:rPr>
                <w:rFonts w:ascii="仿宋_GB2312" w:hAnsi="宋体" w:eastAsia="仿宋_GB2312"/>
                <w:sz w:val="24"/>
                <w:szCs w:val="24"/>
                <w:lang w:bidi="en-US"/>
              </w:rPr>
            </w:pPr>
            <w:r>
              <w:rPr>
                <w:rFonts w:hint="eastAsia" w:ascii="仿宋_GB2312" w:hAnsi="宋体" w:eastAsia="仿宋_GB2312"/>
                <w:sz w:val="24"/>
                <w:szCs w:val="24"/>
              </w:rPr>
              <w:t>提供用户自服务门户和API接口，用户可自行创建负载均衡实例，并对其进行配置</w:t>
            </w:r>
            <w:r>
              <w:rPr>
                <w:rFonts w:hint="eastAsia" w:ascii="仿宋_GB2312" w:hAnsi="仿宋" w:eastAsia="仿宋_GB2312"/>
                <w:sz w:val="24"/>
                <w:szCs w:val="24"/>
              </w:rPr>
              <w:t>，</w:t>
            </w:r>
            <w:r>
              <w:rPr>
                <w:rFonts w:ascii="仿宋_GB2312" w:eastAsia="仿宋_GB2312"/>
                <w:sz w:val="24"/>
                <w:szCs w:val="24"/>
              </w:rPr>
              <w:t>不需要提供</w:t>
            </w:r>
            <w:r>
              <w:rPr>
                <w:rFonts w:hint="eastAsia" w:ascii="仿宋_GB2312" w:eastAsia="仿宋_GB2312"/>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vMerge w:val="continue"/>
            <w:vAlign w:val="center"/>
          </w:tcPr>
          <w:p>
            <w:pPr>
              <w:rPr>
                <w:rFonts w:ascii="仿宋_GB2312" w:hAnsi="宋体" w:eastAsia="仿宋_GB2312"/>
                <w:sz w:val="24"/>
                <w:szCs w:val="24"/>
              </w:rPr>
            </w:pPr>
          </w:p>
        </w:tc>
        <w:tc>
          <w:tcPr>
            <w:tcW w:w="3721" w:type="pct"/>
          </w:tcPr>
          <w:p>
            <w:pPr>
              <w:rPr>
                <w:rFonts w:ascii="仿宋_GB2312" w:hAnsi="宋体" w:eastAsia="仿宋_GB2312"/>
                <w:sz w:val="24"/>
                <w:szCs w:val="24"/>
                <w:lang w:bidi="en-US"/>
              </w:rPr>
            </w:pPr>
            <w:r>
              <w:rPr>
                <w:rFonts w:hint="eastAsia" w:ascii="仿宋_GB2312" w:hAnsi="宋体" w:eastAsia="仿宋_GB2312"/>
                <w:sz w:val="24"/>
                <w:szCs w:val="24"/>
              </w:rPr>
              <w:t>支持分发流量到指定IP，负载均衡支持亿级的并发连接数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vMerge w:val="continue"/>
            <w:vAlign w:val="center"/>
          </w:tcPr>
          <w:p>
            <w:pPr>
              <w:rPr>
                <w:rFonts w:ascii="仿宋_GB2312" w:hAnsi="宋体" w:eastAsia="仿宋_GB2312"/>
                <w:sz w:val="24"/>
                <w:szCs w:val="24"/>
              </w:rPr>
            </w:pPr>
          </w:p>
        </w:tc>
        <w:tc>
          <w:tcPr>
            <w:tcW w:w="3721" w:type="pct"/>
          </w:tcPr>
          <w:p>
            <w:pPr>
              <w:rPr>
                <w:rFonts w:ascii="仿宋_GB2312" w:hAnsi="宋体" w:eastAsia="仿宋_GB2312"/>
                <w:sz w:val="24"/>
                <w:szCs w:val="24"/>
                <w:lang w:bidi="en-US"/>
              </w:rPr>
            </w:pPr>
            <w:r>
              <w:rPr>
                <w:rFonts w:hint="eastAsia" w:ascii="仿宋_GB2312" w:hAnsi="宋体" w:eastAsia="仿宋_GB2312"/>
                <w:sz w:val="24"/>
                <w:szCs w:val="24"/>
              </w:rPr>
              <w:t>负载均衡提供源地址Hash算法的流量分发策略</w:t>
            </w:r>
          </w:p>
        </w:tc>
      </w:tr>
    </w:tbl>
    <w:p>
      <w:pPr>
        <w:rPr>
          <w:rFonts w:ascii="仿宋_GB2312" w:hAnsi="楷体" w:eastAsia="仿宋_GB2312"/>
          <w:sz w:val="32"/>
        </w:rPr>
      </w:pPr>
      <w:r>
        <w:rPr>
          <w:rFonts w:hint="eastAsia" w:ascii="仿宋_GB2312" w:hAnsi="楷体" w:eastAsia="仿宋_GB2312"/>
          <w:sz w:val="32"/>
        </w:rPr>
        <w:t>（10）</w:t>
      </w:r>
      <w:r>
        <w:rPr>
          <w:rFonts w:ascii="仿宋_GB2312" w:hAnsi="楷体" w:eastAsia="仿宋_GB2312"/>
          <w:sz w:val="32"/>
        </w:rPr>
        <w:t>弹性公网</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shd w:val="clear" w:color="auto" w:fill="auto"/>
          </w:tcPr>
          <w:p>
            <w:pPr>
              <w:jc w:val="center"/>
              <w:rPr>
                <w:rFonts w:ascii="仿宋_GB2312" w:hAnsi="宋体" w:eastAsia="仿宋_GB2312"/>
                <w:b/>
                <w:sz w:val="24"/>
                <w:szCs w:val="24"/>
              </w:rPr>
            </w:pPr>
            <w:r>
              <w:rPr>
                <w:rFonts w:hint="eastAsia" w:ascii="仿宋_GB2312" w:hAnsi="宋体" w:eastAsia="仿宋_GB2312"/>
                <w:b/>
                <w:sz w:val="24"/>
                <w:szCs w:val="24"/>
              </w:rPr>
              <w:t>指标项</w:t>
            </w:r>
          </w:p>
        </w:tc>
        <w:tc>
          <w:tcPr>
            <w:tcW w:w="3721" w:type="pct"/>
            <w:shd w:val="clear" w:color="auto" w:fill="auto"/>
          </w:tcPr>
          <w:p>
            <w:pPr>
              <w:jc w:val="center"/>
              <w:rPr>
                <w:rFonts w:ascii="仿宋_GB2312" w:hAnsi="宋体" w:eastAsia="仿宋_GB2312"/>
                <w:b/>
                <w:sz w:val="24"/>
                <w:szCs w:val="24"/>
              </w:rPr>
            </w:pPr>
            <w:r>
              <w:rPr>
                <w:rFonts w:hint="eastAsia" w:ascii="仿宋_GB2312" w:hAnsi="宋体" w:eastAsia="仿宋_GB2312"/>
                <w:b/>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shd w:val="clear" w:color="auto" w:fill="auto"/>
            <w:vAlign w:val="center"/>
          </w:tcPr>
          <w:p>
            <w:pPr>
              <w:rPr>
                <w:rFonts w:ascii="仿宋_GB2312" w:hAnsi="宋体" w:eastAsia="仿宋_GB2312"/>
                <w:sz w:val="24"/>
                <w:szCs w:val="24"/>
              </w:rPr>
            </w:pPr>
            <w:r>
              <w:rPr>
                <w:rFonts w:hint="eastAsia" w:ascii="仿宋_GB2312" w:hAnsi="宋体" w:eastAsia="仿宋_GB2312"/>
                <w:sz w:val="24"/>
                <w:szCs w:val="24"/>
                <w:lang w:bidi="en-US"/>
              </w:rPr>
              <w:t>基础需求</w:t>
            </w:r>
          </w:p>
        </w:tc>
        <w:tc>
          <w:tcPr>
            <w:tcW w:w="3721" w:type="pct"/>
            <w:shd w:val="clear" w:color="auto" w:fill="auto"/>
          </w:tcPr>
          <w:p>
            <w:pPr>
              <w:rPr>
                <w:rFonts w:ascii="仿宋_GB2312" w:hAnsi="宋体" w:eastAsia="仿宋_GB2312" w:cs="宋体"/>
                <w:kern w:val="0"/>
                <w:sz w:val="24"/>
                <w:szCs w:val="24"/>
              </w:rPr>
            </w:pPr>
            <w:r>
              <w:rPr>
                <w:rFonts w:hint="eastAsia" w:ascii="仿宋_GB2312" w:eastAsia="仿宋_GB2312"/>
                <w:sz w:val="24"/>
                <w:szCs w:val="24"/>
              </w:rPr>
              <w:t>▲</w:t>
            </w:r>
            <w:r>
              <w:rPr>
                <w:rFonts w:hint="eastAsia" w:ascii="仿宋_GB2312" w:hAnsi="宋体" w:eastAsia="仿宋_GB2312" w:cs="宋体"/>
                <w:kern w:val="0"/>
                <w:sz w:val="24"/>
                <w:szCs w:val="24"/>
              </w:rPr>
              <w:t>1、云数据中心机房提供多运营商（包括但不限于电信、移动、联通、教育网、广电、鹏博士）动态BGP接入；</w:t>
            </w:r>
          </w:p>
          <w:p>
            <w:pPr>
              <w:rPr>
                <w:rFonts w:ascii="仿宋_GB2312" w:hAnsi="宋体" w:eastAsia="仿宋_GB2312"/>
                <w:sz w:val="24"/>
                <w:szCs w:val="24"/>
                <w:lang w:bidi="en-US"/>
              </w:rPr>
            </w:pPr>
            <w:r>
              <w:rPr>
                <w:rFonts w:hint="eastAsia" w:ascii="仿宋_GB2312" w:eastAsia="仿宋_GB2312"/>
                <w:sz w:val="24"/>
                <w:szCs w:val="24"/>
              </w:rPr>
              <w:t>▲</w:t>
            </w:r>
            <w:r>
              <w:rPr>
                <w:rFonts w:hint="eastAsia" w:ascii="仿宋_GB2312" w:hAnsi="宋体" w:eastAsia="仿宋_GB2312" w:cs="宋体"/>
                <w:kern w:val="0"/>
                <w:sz w:val="24"/>
                <w:szCs w:val="24"/>
              </w:rPr>
              <w:t>2、支持且配置互联网访问流量带宽≥</w:t>
            </w:r>
            <w:r>
              <w:rPr>
                <w:rFonts w:hint="eastAsia" w:ascii="仿宋_GB2312" w:hAnsi="宋体" w:eastAsia="仿宋_GB2312"/>
                <w:sz w:val="24"/>
                <w:szCs w:val="24"/>
              </w:rPr>
              <w:t>50Mbit/s。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shd w:val="clear" w:color="auto" w:fill="auto"/>
            <w:vAlign w:val="center"/>
          </w:tcPr>
          <w:p>
            <w:pPr>
              <w:rPr>
                <w:rFonts w:ascii="仿宋_GB2312" w:hAnsi="宋体" w:eastAsia="仿宋_GB2312"/>
                <w:sz w:val="24"/>
                <w:szCs w:val="24"/>
              </w:rPr>
            </w:pPr>
            <w:r>
              <w:rPr>
                <w:rFonts w:hint="eastAsia" w:ascii="仿宋_GB2312" w:hAnsi="宋体" w:eastAsia="仿宋_GB2312"/>
                <w:sz w:val="24"/>
                <w:szCs w:val="24"/>
              </w:rPr>
              <w:t>服务能力</w:t>
            </w:r>
          </w:p>
        </w:tc>
        <w:tc>
          <w:tcPr>
            <w:tcW w:w="3721" w:type="pct"/>
            <w:shd w:val="clear" w:color="auto" w:fill="auto"/>
          </w:tcPr>
          <w:p>
            <w:pPr>
              <w:rPr>
                <w:rFonts w:ascii="仿宋_GB2312" w:hAnsi="宋体" w:eastAsia="仿宋_GB2312"/>
                <w:sz w:val="24"/>
                <w:szCs w:val="24"/>
              </w:rPr>
            </w:pPr>
            <w:r>
              <w:rPr>
                <w:rFonts w:hint="eastAsia" w:ascii="仿宋_GB2312" w:hAnsi="宋体" w:eastAsia="仿宋_GB2312"/>
                <w:sz w:val="24"/>
                <w:szCs w:val="24"/>
              </w:rPr>
              <w:t>按需带宽支持弹性伸缩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shd w:val="clear" w:color="auto" w:fill="auto"/>
            <w:vAlign w:val="center"/>
          </w:tcPr>
          <w:p>
            <w:pPr>
              <w:rPr>
                <w:rFonts w:ascii="仿宋_GB2312" w:hAnsi="宋体" w:eastAsia="仿宋_GB2312"/>
                <w:sz w:val="24"/>
                <w:szCs w:val="24"/>
              </w:rPr>
            </w:pPr>
            <w:r>
              <w:rPr>
                <w:rFonts w:hint="eastAsia" w:ascii="仿宋_GB2312" w:hAnsi="宋体" w:eastAsia="仿宋_GB2312"/>
                <w:sz w:val="24"/>
                <w:szCs w:val="24"/>
              </w:rPr>
              <w:t>运维监控</w:t>
            </w:r>
          </w:p>
        </w:tc>
        <w:tc>
          <w:tcPr>
            <w:tcW w:w="3721" w:type="pct"/>
            <w:shd w:val="clear" w:color="auto" w:fill="auto"/>
          </w:tcPr>
          <w:p>
            <w:pPr>
              <w:rPr>
                <w:rFonts w:ascii="仿宋_GB2312" w:hAnsi="宋体" w:eastAsia="仿宋_GB2312"/>
                <w:sz w:val="24"/>
                <w:szCs w:val="24"/>
                <w:lang w:bidi="en-US"/>
              </w:rPr>
            </w:pPr>
            <w:r>
              <w:rPr>
                <w:rFonts w:hint="eastAsia" w:ascii="仿宋_GB2312" w:hAnsi="宋体" w:eastAsia="仿宋_GB2312"/>
                <w:sz w:val="24"/>
                <w:szCs w:val="24"/>
              </w:rPr>
              <w:t>IP、带宽级别的流量监控，</w:t>
            </w:r>
            <w:r>
              <w:rPr>
                <w:rFonts w:hint="eastAsia" w:ascii="仿宋_GB2312" w:hAnsi="仿宋" w:eastAsia="仿宋_GB2312"/>
                <w:sz w:val="24"/>
                <w:szCs w:val="24"/>
              </w:rPr>
              <w:t>，</w:t>
            </w:r>
            <w:r>
              <w:rPr>
                <w:rFonts w:ascii="仿宋_GB2312" w:eastAsia="仿宋_GB2312"/>
                <w:sz w:val="24"/>
                <w:szCs w:val="24"/>
              </w:rPr>
              <w:t>不需要提供</w:t>
            </w:r>
            <w:r>
              <w:rPr>
                <w:rFonts w:hint="eastAsia" w:ascii="仿宋_GB2312" w:eastAsia="仿宋_GB2312"/>
                <w:sz w:val="24"/>
                <w:szCs w:val="24"/>
              </w:rPr>
              <w:t>证明资料</w:t>
            </w:r>
          </w:p>
        </w:tc>
      </w:tr>
    </w:tbl>
    <w:p>
      <w:pPr>
        <w:rPr>
          <w:rFonts w:ascii="仿宋_GB2312" w:hAnsi="楷体" w:eastAsia="仿宋_GB2312"/>
          <w:sz w:val="32"/>
        </w:rPr>
      </w:pPr>
      <w:r>
        <w:rPr>
          <w:rFonts w:hint="eastAsia" w:ascii="仿宋_GB2312" w:hAnsi="楷体" w:eastAsia="仿宋_GB2312"/>
          <w:sz w:val="32"/>
        </w:rPr>
        <w:t>（11）</w:t>
      </w:r>
      <w:r>
        <w:rPr>
          <w:rFonts w:ascii="仿宋_GB2312" w:hAnsi="楷体" w:eastAsia="仿宋_GB2312"/>
          <w:sz w:val="32"/>
        </w:rPr>
        <w:t>分布式缓存</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shd w:val="clear" w:color="auto" w:fill="auto"/>
          </w:tcPr>
          <w:p>
            <w:pPr>
              <w:jc w:val="center"/>
              <w:rPr>
                <w:rFonts w:ascii="仿宋_GB2312" w:hAnsi="宋体" w:eastAsia="仿宋_GB2312"/>
                <w:b/>
                <w:sz w:val="24"/>
                <w:szCs w:val="24"/>
              </w:rPr>
            </w:pPr>
            <w:r>
              <w:rPr>
                <w:rFonts w:hint="eastAsia" w:ascii="仿宋_GB2312" w:hAnsi="宋体" w:eastAsia="仿宋_GB2312"/>
                <w:b/>
                <w:sz w:val="24"/>
                <w:szCs w:val="24"/>
              </w:rPr>
              <w:t>指标项</w:t>
            </w:r>
          </w:p>
        </w:tc>
        <w:tc>
          <w:tcPr>
            <w:tcW w:w="3721" w:type="pct"/>
            <w:shd w:val="clear" w:color="auto" w:fill="auto"/>
          </w:tcPr>
          <w:p>
            <w:pPr>
              <w:jc w:val="center"/>
              <w:rPr>
                <w:rFonts w:ascii="仿宋_GB2312" w:hAnsi="宋体" w:eastAsia="仿宋_GB2312"/>
                <w:b/>
                <w:sz w:val="24"/>
                <w:szCs w:val="24"/>
              </w:rPr>
            </w:pPr>
            <w:r>
              <w:rPr>
                <w:rFonts w:hint="eastAsia" w:ascii="仿宋_GB2312" w:hAnsi="宋体" w:eastAsia="仿宋_GB2312"/>
                <w:b/>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vAlign w:val="center"/>
          </w:tcPr>
          <w:p>
            <w:pPr>
              <w:rPr>
                <w:rFonts w:ascii="仿宋_GB2312" w:hAnsi="宋体" w:eastAsia="仿宋_GB2312"/>
                <w:sz w:val="24"/>
                <w:szCs w:val="24"/>
              </w:rPr>
            </w:pPr>
            <w:r>
              <w:rPr>
                <w:rFonts w:hint="eastAsia" w:ascii="仿宋_GB2312" w:hAnsi="宋体" w:eastAsia="仿宋_GB2312"/>
                <w:sz w:val="24"/>
                <w:szCs w:val="24"/>
                <w:lang w:bidi="en-US"/>
              </w:rPr>
              <w:t>基础需求</w:t>
            </w:r>
          </w:p>
        </w:tc>
        <w:tc>
          <w:tcPr>
            <w:tcW w:w="3721" w:type="pct"/>
          </w:tcPr>
          <w:p>
            <w:pPr>
              <w:rPr>
                <w:rFonts w:ascii="仿宋_GB2312" w:hAnsi="宋体" w:eastAsia="仿宋_GB2312"/>
                <w:sz w:val="24"/>
                <w:szCs w:val="24"/>
                <w:lang w:bidi="en-US"/>
              </w:rPr>
            </w:pPr>
            <w:r>
              <w:rPr>
                <w:rFonts w:hint="eastAsia" w:ascii="仿宋_GB2312" w:eastAsia="仿宋_GB2312"/>
                <w:sz w:val="24"/>
                <w:szCs w:val="24"/>
              </w:rPr>
              <w:t>▲</w:t>
            </w:r>
            <w:r>
              <w:rPr>
                <w:rFonts w:hint="eastAsia" w:ascii="仿宋_GB2312" w:hAnsi="宋体" w:eastAsia="仿宋_GB2312" w:cs="宋体"/>
                <w:kern w:val="0"/>
                <w:sz w:val="24"/>
                <w:szCs w:val="24"/>
              </w:rPr>
              <w:t>支持且配置</w:t>
            </w:r>
            <w:r>
              <w:rPr>
                <w:rFonts w:hint="eastAsia" w:ascii="仿宋_GB2312" w:eastAsia="仿宋_GB2312"/>
                <w:sz w:val="24"/>
                <w:szCs w:val="24"/>
              </w:rPr>
              <w:t>≥</w:t>
            </w:r>
            <w:r>
              <w:rPr>
                <w:rFonts w:hint="eastAsia" w:ascii="仿宋_GB2312" w:hAnsi="宋体" w:eastAsia="仿宋_GB2312" w:cs="宋体"/>
                <w:kern w:val="0"/>
                <w:sz w:val="24"/>
                <w:szCs w:val="24"/>
              </w:rPr>
              <w:t>4G Redis服务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vAlign w:val="center"/>
          </w:tcPr>
          <w:p>
            <w:pPr>
              <w:rPr>
                <w:rFonts w:ascii="仿宋_GB2312" w:hAnsi="宋体" w:eastAsia="仿宋_GB2312"/>
                <w:sz w:val="24"/>
                <w:szCs w:val="24"/>
              </w:rPr>
            </w:pPr>
            <w:r>
              <w:rPr>
                <w:rFonts w:hint="eastAsia" w:ascii="仿宋_GB2312" w:hAnsi="宋体" w:eastAsia="仿宋_GB2312"/>
                <w:sz w:val="24"/>
                <w:szCs w:val="24"/>
              </w:rPr>
              <w:t>服务能力</w:t>
            </w:r>
          </w:p>
        </w:tc>
        <w:tc>
          <w:tcPr>
            <w:tcW w:w="3721" w:type="pct"/>
          </w:tcPr>
          <w:p>
            <w:pPr>
              <w:rPr>
                <w:rFonts w:ascii="仿宋_GB2312" w:hAnsi="宋体" w:eastAsia="仿宋_GB2312"/>
                <w:sz w:val="24"/>
                <w:szCs w:val="24"/>
              </w:rPr>
            </w:pPr>
            <w:r>
              <w:rPr>
                <w:rFonts w:hint="eastAsia" w:ascii="仿宋_GB2312" w:hAnsi="宋体" w:eastAsia="仿宋_GB2312"/>
                <w:sz w:val="24"/>
                <w:szCs w:val="24"/>
              </w:rPr>
              <w:t>支持标准Redis协议，兼容主流Redis客户端，提供单机、主备、集群等实例规格，支持Proxy代理集群模式、Redis Cluster 开源集群标准协议，支持最新Redis5.0版本，提供Stream等高级能力</w:t>
            </w:r>
            <w:r>
              <w:rPr>
                <w:rFonts w:hint="eastAsia" w:ascii="仿宋_GB2312" w:hAnsi="仿宋" w:eastAsia="仿宋_GB2312"/>
                <w:sz w:val="24"/>
                <w:szCs w:val="24"/>
              </w:rPr>
              <w:t>，</w:t>
            </w:r>
            <w:r>
              <w:rPr>
                <w:rFonts w:ascii="仿宋_GB2312" w:eastAsia="仿宋_GB2312"/>
                <w:sz w:val="24"/>
                <w:szCs w:val="24"/>
              </w:rPr>
              <w:t>不需要提供</w:t>
            </w:r>
            <w:r>
              <w:rPr>
                <w:rFonts w:hint="eastAsia" w:ascii="仿宋_GB2312" w:eastAsia="仿宋_GB2312"/>
                <w:sz w:val="24"/>
                <w:szCs w:val="24"/>
              </w:rPr>
              <w:t>证明资料</w:t>
            </w:r>
          </w:p>
        </w:tc>
      </w:tr>
    </w:tbl>
    <w:p>
      <w:pPr>
        <w:rPr>
          <w:rFonts w:ascii="仿宋_GB2312" w:hAnsi="楷体" w:eastAsia="仿宋_GB2312"/>
          <w:sz w:val="32"/>
        </w:rPr>
      </w:pPr>
      <w:r>
        <w:rPr>
          <w:rFonts w:hint="eastAsia" w:ascii="仿宋_GB2312" w:hAnsi="楷体" w:eastAsia="仿宋_GB2312"/>
          <w:sz w:val="32"/>
        </w:rPr>
        <w:t>（12）</w:t>
      </w:r>
      <w:r>
        <w:rPr>
          <w:rFonts w:ascii="仿宋_GB2312" w:hAnsi="楷体" w:eastAsia="仿宋_GB2312"/>
          <w:sz w:val="32"/>
        </w:rPr>
        <w:t>SSL证书管理</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7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shd w:val="clear" w:color="auto" w:fill="auto"/>
          </w:tcPr>
          <w:p>
            <w:pPr>
              <w:jc w:val="center"/>
              <w:rPr>
                <w:rFonts w:ascii="仿宋_GB2312" w:hAnsi="宋体" w:eastAsia="仿宋_GB2312"/>
                <w:b/>
                <w:sz w:val="24"/>
                <w:szCs w:val="24"/>
              </w:rPr>
            </w:pPr>
            <w:r>
              <w:rPr>
                <w:rFonts w:hint="eastAsia" w:ascii="仿宋_GB2312" w:hAnsi="宋体" w:eastAsia="仿宋_GB2312"/>
                <w:b/>
                <w:sz w:val="24"/>
                <w:szCs w:val="24"/>
              </w:rPr>
              <w:t>指标项</w:t>
            </w:r>
          </w:p>
        </w:tc>
        <w:tc>
          <w:tcPr>
            <w:tcW w:w="4148" w:type="pct"/>
            <w:shd w:val="clear" w:color="auto" w:fill="auto"/>
          </w:tcPr>
          <w:p>
            <w:pPr>
              <w:jc w:val="center"/>
              <w:rPr>
                <w:rFonts w:ascii="仿宋_GB2312" w:hAnsi="宋体" w:eastAsia="仿宋_GB2312"/>
                <w:b/>
                <w:sz w:val="24"/>
                <w:szCs w:val="24"/>
              </w:rPr>
            </w:pPr>
            <w:r>
              <w:rPr>
                <w:rFonts w:hint="eastAsia" w:ascii="仿宋_GB2312" w:hAnsi="宋体" w:eastAsia="仿宋_GB2312"/>
                <w:b/>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restart"/>
            <w:vAlign w:val="center"/>
          </w:tcPr>
          <w:p>
            <w:pPr>
              <w:rPr>
                <w:rFonts w:ascii="仿宋_GB2312" w:hAnsi="宋体" w:eastAsia="仿宋_GB2312"/>
                <w:sz w:val="24"/>
                <w:szCs w:val="24"/>
              </w:rPr>
            </w:pPr>
            <w:r>
              <w:rPr>
                <w:rFonts w:hint="eastAsia" w:ascii="仿宋_GB2312" w:hAnsi="宋体" w:eastAsia="仿宋_GB2312"/>
                <w:sz w:val="24"/>
                <w:szCs w:val="24"/>
              </w:rPr>
              <w:t>服务能力</w:t>
            </w:r>
          </w:p>
        </w:tc>
        <w:tc>
          <w:tcPr>
            <w:tcW w:w="4148" w:type="pct"/>
          </w:tcPr>
          <w:p>
            <w:pPr>
              <w:rPr>
                <w:rFonts w:ascii="仿宋_GB2312" w:hAnsi="宋体" w:eastAsia="仿宋_GB2312"/>
                <w:sz w:val="24"/>
                <w:szCs w:val="24"/>
              </w:rPr>
            </w:pPr>
            <w:r>
              <w:rPr>
                <w:rFonts w:hint="eastAsia" w:ascii="仿宋_GB2312" w:hAnsi="宋体" w:eastAsia="仿宋_GB2312"/>
                <w:sz w:val="24"/>
                <w:szCs w:val="24"/>
              </w:rPr>
              <w:t>网站通过HTTPS加密协议来传输数据，可帮助服务器端和客户端之间建立加密链接，从而保证数据传输的安全。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vAlign w:val="center"/>
          </w:tcPr>
          <w:p>
            <w:pPr>
              <w:rPr>
                <w:rFonts w:ascii="仿宋_GB2312" w:hAnsi="宋体" w:eastAsia="仿宋_GB2312"/>
                <w:sz w:val="24"/>
                <w:szCs w:val="24"/>
              </w:rPr>
            </w:pPr>
          </w:p>
        </w:tc>
        <w:tc>
          <w:tcPr>
            <w:tcW w:w="4148" w:type="pct"/>
          </w:tcPr>
          <w:p>
            <w:pPr>
              <w:rPr>
                <w:rFonts w:ascii="仿宋_GB2312" w:hAnsi="宋体" w:eastAsia="仿宋_GB2312"/>
                <w:sz w:val="24"/>
                <w:szCs w:val="24"/>
              </w:rPr>
            </w:pPr>
            <w:r>
              <w:rPr>
                <w:rFonts w:hint="eastAsia" w:ascii="仿宋_GB2312" w:hAnsi="宋体" w:eastAsia="仿宋_GB2312"/>
                <w:sz w:val="24"/>
                <w:szCs w:val="24"/>
              </w:rPr>
              <w:t>支持证书下载，供应商应在证书到期前60天、30天、7天、过期当天应主动提示客户有效期事宜。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vAlign w:val="center"/>
          </w:tcPr>
          <w:p>
            <w:pPr>
              <w:rPr>
                <w:rFonts w:ascii="仿宋_GB2312" w:hAnsi="宋体" w:eastAsia="仿宋_GB2312"/>
                <w:sz w:val="24"/>
                <w:szCs w:val="24"/>
              </w:rPr>
            </w:pPr>
          </w:p>
        </w:tc>
        <w:tc>
          <w:tcPr>
            <w:tcW w:w="4148" w:type="pct"/>
          </w:tcPr>
          <w:p>
            <w:pPr>
              <w:rPr>
                <w:rFonts w:ascii="仿宋_GB2312" w:hAnsi="宋体" w:eastAsia="仿宋_GB2312"/>
                <w:sz w:val="24"/>
                <w:szCs w:val="24"/>
              </w:rPr>
            </w:pPr>
            <w:r>
              <w:rPr>
                <w:rFonts w:hint="eastAsia" w:ascii="仿宋_GB2312" w:hAnsi="宋体" w:eastAsia="仿宋_GB2312"/>
                <w:sz w:val="24"/>
                <w:szCs w:val="24"/>
              </w:rPr>
              <w:t>支持通过API的方式调用SSL证书管理的能力，包括证书申请、查询、吊销等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 w:type="pct"/>
            <w:vMerge w:val="continue"/>
            <w:vAlign w:val="center"/>
          </w:tcPr>
          <w:p>
            <w:pPr>
              <w:rPr>
                <w:rFonts w:ascii="仿宋_GB2312" w:hAnsi="宋体" w:eastAsia="仿宋_GB2312"/>
                <w:sz w:val="24"/>
                <w:szCs w:val="24"/>
              </w:rPr>
            </w:pPr>
          </w:p>
        </w:tc>
        <w:tc>
          <w:tcPr>
            <w:tcW w:w="4148" w:type="pct"/>
          </w:tcPr>
          <w:p>
            <w:pPr>
              <w:rPr>
                <w:rFonts w:ascii="仿宋_GB2312" w:hAnsi="宋体" w:eastAsia="仿宋_GB2312"/>
                <w:sz w:val="24"/>
                <w:szCs w:val="24"/>
              </w:rPr>
            </w:pPr>
            <w:r>
              <w:rPr>
                <w:rFonts w:hint="eastAsia" w:ascii="仿宋_GB2312" w:hAnsi="宋体" w:eastAsia="仿宋_GB2312"/>
                <w:sz w:val="24"/>
                <w:szCs w:val="24"/>
              </w:rPr>
              <w:t>支持上传证书和私钥功能，实现统一管理各种数字证书</w:t>
            </w:r>
          </w:p>
        </w:tc>
      </w:tr>
    </w:tbl>
    <w:p>
      <w:pPr>
        <w:rPr>
          <w:rFonts w:ascii="仿宋_GB2312" w:hAnsi="楷体" w:eastAsia="仿宋_GB2312"/>
          <w:sz w:val="32"/>
        </w:rPr>
      </w:pPr>
      <w:r>
        <w:rPr>
          <w:rFonts w:hint="eastAsia" w:ascii="仿宋_GB2312" w:hAnsi="楷体" w:eastAsia="仿宋_GB2312"/>
          <w:sz w:val="32"/>
        </w:rPr>
        <w:t>（13）主机安全</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7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shd w:val="clear" w:color="auto" w:fill="auto"/>
          </w:tcPr>
          <w:p>
            <w:pPr>
              <w:jc w:val="center"/>
              <w:rPr>
                <w:rFonts w:ascii="仿宋_GB2312" w:hAnsi="宋体" w:eastAsia="仿宋_GB2312"/>
                <w:b/>
                <w:sz w:val="24"/>
                <w:szCs w:val="24"/>
              </w:rPr>
            </w:pPr>
            <w:r>
              <w:rPr>
                <w:rFonts w:hint="eastAsia" w:ascii="仿宋_GB2312" w:hAnsi="宋体" w:eastAsia="仿宋_GB2312"/>
                <w:b/>
                <w:sz w:val="24"/>
                <w:szCs w:val="24"/>
              </w:rPr>
              <w:t>指标项</w:t>
            </w:r>
          </w:p>
        </w:tc>
        <w:tc>
          <w:tcPr>
            <w:tcW w:w="3978" w:type="pct"/>
            <w:shd w:val="clear" w:color="auto" w:fill="auto"/>
          </w:tcPr>
          <w:p>
            <w:pPr>
              <w:jc w:val="center"/>
              <w:rPr>
                <w:rFonts w:ascii="仿宋_GB2312" w:hAnsi="宋体" w:eastAsia="仿宋_GB2312"/>
                <w:b/>
                <w:sz w:val="24"/>
                <w:szCs w:val="24"/>
              </w:rPr>
            </w:pPr>
            <w:r>
              <w:rPr>
                <w:rFonts w:hint="eastAsia" w:ascii="仿宋_GB2312" w:hAnsi="宋体" w:eastAsia="仿宋_GB2312"/>
                <w:b/>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Align w:val="center"/>
          </w:tcPr>
          <w:p>
            <w:pPr>
              <w:rPr>
                <w:rFonts w:ascii="仿宋_GB2312" w:hAnsi="宋体" w:eastAsia="仿宋_GB2312"/>
                <w:sz w:val="24"/>
                <w:szCs w:val="24"/>
              </w:rPr>
            </w:pPr>
            <w:r>
              <w:rPr>
                <w:rFonts w:hint="eastAsia" w:ascii="仿宋_GB2312" w:hAnsi="宋体" w:eastAsia="仿宋_GB2312"/>
                <w:sz w:val="24"/>
                <w:szCs w:val="24"/>
                <w:lang w:bidi="en-US"/>
              </w:rPr>
              <w:t>基础需求</w:t>
            </w:r>
          </w:p>
        </w:tc>
        <w:tc>
          <w:tcPr>
            <w:tcW w:w="3978" w:type="pct"/>
          </w:tcPr>
          <w:p>
            <w:pPr>
              <w:rPr>
                <w:rFonts w:ascii="仿宋_GB2312" w:hAnsi="宋体" w:eastAsia="仿宋_GB2312"/>
                <w:sz w:val="24"/>
                <w:szCs w:val="24"/>
              </w:rPr>
            </w:pPr>
            <w:r>
              <w:rPr>
                <w:rFonts w:hint="eastAsia" w:ascii="仿宋_GB2312" w:eastAsia="仿宋_GB2312"/>
                <w:sz w:val="24"/>
                <w:szCs w:val="24"/>
              </w:rPr>
              <w:t>▲</w:t>
            </w:r>
            <w:r>
              <w:rPr>
                <w:rFonts w:hint="eastAsia" w:ascii="仿宋_GB2312" w:hAnsi="宋体" w:eastAsia="仿宋_GB2312"/>
                <w:sz w:val="24"/>
                <w:szCs w:val="24"/>
              </w:rPr>
              <w:t>支持且配置≥5个主机安全防护旗舰版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Merge w:val="restart"/>
            <w:vAlign w:val="center"/>
          </w:tcPr>
          <w:p>
            <w:pPr>
              <w:rPr>
                <w:rFonts w:ascii="仿宋_GB2312" w:hAnsi="宋体" w:eastAsia="仿宋_GB2312"/>
                <w:sz w:val="24"/>
                <w:szCs w:val="24"/>
              </w:rPr>
            </w:pPr>
            <w:r>
              <w:rPr>
                <w:rFonts w:hint="eastAsia" w:ascii="仿宋_GB2312" w:hAnsi="宋体" w:eastAsia="仿宋_GB2312"/>
                <w:sz w:val="24"/>
                <w:szCs w:val="24"/>
              </w:rPr>
              <w:t>服务能力</w:t>
            </w:r>
          </w:p>
        </w:tc>
        <w:tc>
          <w:tcPr>
            <w:tcW w:w="3978" w:type="pct"/>
          </w:tcPr>
          <w:p>
            <w:pPr>
              <w:rPr>
                <w:rFonts w:ascii="仿宋_GB2312" w:hAnsi="宋体" w:eastAsia="仿宋_GB2312"/>
                <w:sz w:val="24"/>
                <w:szCs w:val="24"/>
              </w:rPr>
            </w:pPr>
            <w:r>
              <w:rPr>
                <w:rFonts w:hint="eastAsia" w:ascii="仿宋_GB2312" w:hAnsi="宋体" w:eastAsia="仿宋_GB2312"/>
                <w:sz w:val="24"/>
                <w:szCs w:val="24"/>
              </w:rPr>
              <w:t>账户暴力破解防护：检测账户遭受的口令破解攻击，对识别出的攻击源IP封锁24小时，禁止其再次登录，防止主机因账户破解被入侵。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Merge w:val="continue"/>
            <w:vAlign w:val="center"/>
          </w:tcPr>
          <w:p>
            <w:pPr>
              <w:rPr>
                <w:rFonts w:ascii="仿宋_GB2312" w:hAnsi="宋体" w:eastAsia="仿宋_GB2312"/>
                <w:sz w:val="24"/>
                <w:szCs w:val="24"/>
              </w:rPr>
            </w:pPr>
          </w:p>
        </w:tc>
        <w:tc>
          <w:tcPr>
            <w:tcW w:w="3978" w:type="pct"/>
          </w:tcPr>
          <w:p>
            <w:pPr>
              <w:rPr>
                <w:rFonts w:ascii="仿宋_GB2312" w:hAnsi="宋体" w:eastAsia="仿宋_GB2312"/>
                <w:sz w:val="24"/>
                <w:szCs w:val="24"/>
                <w:lang w:bidi="en-US"/>
              </w:rPr>
            </w:pPr>
            <w:r>
              <w:rPr>
                <w:rFonts w:hint="eastAsia" w:ascii="仿宋_GB2312" w:hAnsi="宋体" w:eastAsia="仿宋_GB2312"/>
                <w:sz w:val="24"/>
                <w:szCs w:val="24"/>
                <w:lang w:bidi="en-US"/>
              </w:rPr>
              <w:t>资产管理：支持收集并展示账号、开放端口、进程、Web目录、软件等主机资产信息，帮助用户进行监控和管理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Merge w:val="continue"/>
            <w:vAlign w:val="center"/>
          </w:tcPr>
          <w:p>
            <w:pPr>
              <w:rPr>
                <w:rFonts w:ascii="仿宋_GB2312" w:hAnsi="宋体" w:eastAsia="仿宋_GB2312"/>
                <w:sz w:val="24"/>
                <w:szCs w:val="24"/>
              </w:rPr>
            </w:pPr>
          </w:p>
        </w:tc>
        <w:tc>
          <w:tcPr>
            <w:tcW w:w="3978" w:type="pct"/>
          </w:tcPr>
          <w:p>
            <w:pPr>
              <w:rPr>
                <w:rFonts w:ascii="仿宋_GB2312" w:hAnsi="宋体" w:eastAsia="仿宋_GB2312"/>
                <w:sz w:val="24"/>
                <w:szCs w:val="24"/>
                <w:lang w:bidi="en-US"/>
              </w:rPr>
            </w:pPr>
            <w:r>
              <w:rPr>
                <w:rFonts w:hint="eastAsia" w:ascii="仿宋_GB2312" w:hAnsi="宋体" w:eastAsia="仿宋_GB2312"/>
                <w:sz w:val="24"/>
                <w:szCs w:val="24"/>
                <w:lang w:bidi="en-US"/>
              </w:rPr>
              <w:t>双因子认证：支持结合短信/邮箱验证码，对云服务器登录行为进行二次认证，极大地增强云服务器账户安全性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Merge w:val="continue"/>
            <w:vAlign w:val="center"/>
          </w:tcPr>
          <w:p>
            <w:pPr>
              <w:rPr>
                <w:rFonts w:ascii="仿宋_GB2312" w:hAnsi="宋体" w:eastAsia="仿宋_GB2312"/>
                <w:sz w:val="24"/>
                <w:szCs w:val="24"/>
              </w:rPr>
            </w:pPr>
          </w:p>
        </w:tc>
        <w:tc>
          <w:tcPr>
            <w:tcW w:w="3978" w:type="pct"/>
          </w:tcPr>
          <w:p>
            <w:pPr>
              <w:rPr>
                <w:rFonts w:ascii="仿宋_GB2312" w:hAnsi="宋体" w:eastAsia="仿宋_GB2312"/>
                <w:sz w:val="24"/>
                <w:szCs w:val="24"/>
                <w:lang w:bidi="en-US"/>
              </w:rPr>
            </w:pPr>
            <w:r>
              <w:rPr>
                <w:rFonts w:hint="eastAsia" w:ascii="仿宋_GB2312" w:hAnsi="宋体" w:eastAsia="仿宋_GB2312"/>
                <w:sz w:val="24"/>
                <w:szCs w:val="24"/>
                <w:lang w:bidi="en-US"/>
              </w:rPr>
              <w:t>恶意程序检测 ：使用最新的恶意程序库与多款病毒查杀引擎，对运行的进程进行检测，识别出其中的病毒、木马、后门、蠕虫和挖矿软件等，并提供一键隔离查杀能力</w:t>
            </w:r>
          </w:p>
        </w:tc>
      </w:tr>
    </w:tbl>
    <w:p>
      <w:pPr>
        <w:rPr>
          <w:rFonts w:ascii="仿宋_GB2312" w:hAnsi="楷体" w:eastAsia="仿宋_GB2312"/>
          <w:sz w:val="32"/>
        </w:rPr>
      </w:pPr>
      <w:r>
        <w:rPr>
          <w:rFonts w:hint="eastAsia" w:ascii="仿宋_GB2312" w:hAnsi="楷体" w:eastAsia="仿宋_GB2312"/>
          <w:sz w:val="32"/>
        </w:rPr>
        <w:t>（14）</w:t>
      </w:r>
      <w:r>
        <w:rPr>
          <w:rFonts w:ascii="仿宋_GB2312" w:hAnsi="楷体" w:eastAsia="仿宋_GB2312"/>
          <w:sz w:val="32"/>
        </w:rPr>
        <w:t>WEB应用防火墙</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7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shd w:val="clear" w:color="auto" w:fill="auto"/>
          </w:tcPr>
          <w:p>
            <w:pPr>
              <w:jc w:val="center"/>
              <w:rPr>
                <w:rFonts w:ascii="仿宋_GB2312" w:hAnsi="宋体" w:eastAsia="仿宋_GB2312"/>
                <w:b/>
                <w:sz w:val="24"/>
              </w:rPr>
            </w:pPr>
            <w:r>
              <w:rPr>
                <w:rFonts w:hint="eastAsia" w:ascii="仿宋_GB2312" w:hAnsi="宋体" w:eastAsia="仿宋_GB2312"/>
                <w:b/>
                <w:sz w:val="24"/>
              </w:rPr>
              <w:t>指标项</w:t>
            </w:r>
          </w:p>
        </w:tc>
        <w:tc>
          <w:tcPr>
            <w:tcW w:w="3978" w:type="pct"/>
            <w:shd w:val="clear" w:color="auto" w:fill="auto"/>
          </w:tcPr>
          <w:p>
            <w:pPr>
              <w:jc w:val="center"/>
              <w:rPr>
                <w:rFonts w:ascii="仿宋_GB2312" w:hAnsi="宋体" w:eastAsia="仿宋_GB2312"/>
                <w:b/>
                <w:sz w:val="24"/>
              </w:rPr>
            </w:pPr>
            <w:r>
              <w:rPr>
                <w:rFonts w:hint="eastAsia" w:ascii="仿宋_GB2312" w:hAnsi="宋体" w:eastAsia="仿宋_GB2312"/>
                <w:b/>
                <w:sz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Align w:val="center"/>
          </w:tcPr>
          <w:p>
            <w:pPr>
              <w:rPr>
                <w:rFonts w:ascii="仿宋_GB2312" w:hAnsi="宋体" w:eastAsia="仿宋_GB2312"/>
                <w:sz w:val="24"/>
              </w:rPr>
            </w:pPr>
            <w:r>
              <w:rPr>
                <w:rFonts w:hint="eastAsia" w:ascii="仿宋_GB2312" w:hAnsi="宋体" w:eastAsia="仿宋_GB2312"/>
                <w:sz w:val="24"/>
                <w:lang w:bidi="en-US"/>
              </w:rPr>
              <w:t>基础需求</w:t>
            </w:r>
          </w:p>
        </w:tc>
        <w:tc>
          <w:tcPr>
            <w:tcW w:w="3978" w:type="pct"/>
          </w:tcPr>
          <w:p>
            <w:pPr>
              <w:rPr>
                <w:rFonts w:ascii="仿宋_GB2312" w:hAnsi="宋体" w:eastAsia="仿宋_GB2312"/>
                <w:sz w:val="24"/>
              </w:rPr>
            </w:pPr>
            <w:r>
              <w:rPr>
                <w:rFonts w:hint="eastAsia" w:ascii="仿宋_GB2312" w:eastAsia="仿宋_GB2312"/>
                <w:sz w:val="24"/>
                <w:szCs w:val="24"/>
              </w:rPr>
              <w:t>▲</w:t>
            </w:r>
            <w:r>
              <w:rPr>
                <w:rFonts w:hint="eastAsia" w:ascii="仿宋_GB2312" w:hAnsi="宋体" w:eastAsia="仿宋_GB2312"/>
                <w:sz w:val="24"/>
              </w:rPr>
              <w:t>支持并提供独享引擎实例资源由用户独享，通过IP和域名进行防护，满足大规模流量攻击场景防护需求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Merge w:val="restart"/>
            <w:vAlign w:val="center"/>
          </w:tcPr>
          <w:p>
            <w:pPr>
              <w:rPr>
                <w:rFonts w:ascii="仿宋_GB2312" w:hAnsi="宋体" w:eastAsia="仿宋_GB2312"/>
                <w:sz w:val="24"/>
              </w:rPr>
            </w:pPr>
            <w:r>
              <w:rPr>
                <w:rFonts w:hint="eastAsia" w:ascii="仿宋_GB2312" w:hAnsi="宋体" w:eastAsia="仿宋_GB2312"/>
                <w:sz w:val="24"/>
              </w:rPr>
              <w:t>服务能力</w:t>
            </w:r>
          </w:p>
        </w:tc>
        <w:tc>
          <w:tcPr>
            <w:tcW w:w="3978" w:type="pct"/>
          </w:tcPr>
          <w:p>
            <w:pPr>
              <w:rPr>
                <w:rFonts w:ascii="仿宋_GB2312" w:hAnsi="宋体" w:eastAsia="仿宋_GB2312"/>
                <w:sz w:val="24"/>
                <w:lang w:bidi="en-US"/>
              </w:rPr>
            </w:pPr>
            <w:r>
              <w:rPr>
                <w:rFonts w:hint="eastAsia" w:ascii="仿宋_GB2312" w:hAnsi="宋体" w:eastAsia="仿宋_GB2312"/>
                <w:sz w:val="24"/>
              </w:rPr>
              <w:t>支持支持并提供数据防爬虫/自定义策略/网页防篡改等高级功能</w:t>
            </w:r>
            <w:r>
              <w:rPr>
                <w:rFonts w:hint="eastAsia" w:ascii="仿宋_GB2312" w:hAnsi="仿宋" w:eastAsia="仿宋_GB2312"/>
                <w:sz w:val="24"/>
                <w:szCs w:val="24"/>
              </w:rPr>
              <w:t>，</w:t>
            </w:r>
            <w:r>
              <w:rPr>
                <w:rFonts w:ascii="仿宋_GB2312" w:eastAsia="仿宋_GB2312"/>
                <w:sz w:val="24"/>
                <w:szCs w:val="24"/>
              </w:rPr>
              <w:t>不需要提供</w:t>
            </w:r>
            <w:r>
              <w:rPr>
                <w:rFonts w:hint="eastAsia" w:ascii="仿宋_GB2312" w:eastAsia="仿宋_GB2312"/>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Merge w:val="continue"/>
            <w:vAlign w:val="center"/>
          </w:tcPr>
          <w:p>
            <w:pPr>
              <w:rPr>
                <w:rFonts w:ascii="仿宋_GB2312" w:hAnsi="宋体" w:eastAsia="仿宋_GB2312"/>
                <w:sz w:val="24"/>
              </w:rPr>
            </w:pPr>
          </w:p>
        </w:tc>
        <w:tc>
          <w:tcPr>
            <w:tcW w:w="3978" w:type="pct"/>
          </w:tcPr>
          <w:p>
            <w:pPr>
              <w:rPr>
                <w:rFonts w:ascii="仿宋_GB2312" w:hAnsi="宋体" w:eastAsia="仿宋_GB2312"/>
                <w:sz w:val="24"/>
              </w:rPr>
            </w:pPr>
            <w:r>
              <w:rPr>
                <w:rFonts w:hint="eastAsia" w:ascii="仿宋_GB2312" w:hAnsi="宋体" w:eastAsia="仿宋_GB2312"/>
                <w:sz w:val="24"/>
              </w:rPr>
              <w:t>支持并提供防逃逸，至少支持对web攻击的url_encode，Unicode编码，xml编码，C-OCT编码，十六进制编码，html转义编码，base64编码，大小写混淆，javascript、shell、php等拼接混淆编码的还原能力</w:t>
            </w:r>
            <w:r>
              <w:rPr>
                <w:rFonts w:hint="eastAsia" w:ascii="仿宋_GB2312" w:hAnsi="仿宋" w:eastAsia="仿宋_GB2312"/>
                <w:sz w:val="24"/>
                <w:szCs w:val="24"/>
              </w:rPr>
              <w:t>，</w:t>
            </w:r>
            <w:r>
              <w:rPr>
                <w:rFonts w:ascii="仿宋_GB2312" w:eastAsia="仿宋_GB2312"/>
                <w:sz w:val="24"/>
                <w:szCs w:val="24"/>
              </w:rPr>
              <w:t>不需要提供</w:t>
            </w:r>
            <w:r>
              <w:rPr>
                <w:rFonts w:hint="eastAsia" w:ascii="仿宋_GB2312" w:eastAsia="仿宋_GB2312"/>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Merge w:val="continue"/>
            <w:vAlign w:val="center"/>
          </w:tcPr>
          <w:p>
            <w:pPr>
              <w:rPr>
                <w:rFonts w:ascii="仿宋_GB2312" w:hAnsi="宋体" w:eastAsia="仿宋_GB2312"/>
                <w:sz w:val="24"/>
              </w:rPr>
            </w:pPr>
          </w:p>
        </w:tc>
        <w:tc>
          <w:tcPr>
            <w:tcW w:w="3978" w:type="pct"/>
          </w:tcPr>
          <w:p>
            <w:pPr>
              <w:rPr>
                <w:rFonts w:ascii="仿宋_GB2312" w:hAnsi="宋体" w:eastAsia="仿宋_GB2312"/>
                <w:sz w:val="24"/>
                <w:lang w:bidi="en-US"/>
              </w:rPr>
            </w:pPr>
            <w:r>
              <w:rPr>
                <w:rFonts w:hint="eastAsia" w:ascii="仿宋_GB2312" w:hAnsi="宋体" w:eastAsia="仿宋_GB2312"/>
                <w:sz w:val="24"/>
              </w:rPr>
              <w:t>支持并提供用户站点设置隐私屏蔽，用户可根据自己的需要自定义隐私屏蔽规则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Merge w:val="continue"/>
            <w:vAlign w:val="center"/>
          </w:tcPr>
          <w:p>
            <w:pPr>
              <w:rPr>
                <w:rFonts w:ascii="仿宋_GB2312" w:hAnsi="宋体" w:eastAsia="仿宋_GB2312"/>
                <w:sz w:val="24"/>
              </w:rPr>
            </w:pPr>
          </w:p>
        </w:tc>
        <w:tc>
          <w:tcPr>
            <w:tcW w:w="3978" w:type="pct"/>
          </w:tcPr>
          <w:p>
            <w:pPr>
              <w:rPr>
                <w:rFonts w:ascii="仿宋_GB2312" w:hAnsi="宋体" w:eastAsia="仿宋_GB2312"/>
                <w:sz w:val="24"/>
              </w:rPr>
            </w:pPr>
            <w:r>
              <w:rPr>
                <w:rFonts w:hint="eastAsia" w:ascii="仿宋_GB2312" w:hAnsi="宋体" w:eastAsia="仿宋_GB2312"/>
                <w:sz w:val="24"/>
              </w:rPr>
              <w:t>支持并提供对OWASP top攻击进行安全防护，包括XSS、SQL注入、命令注入、CSRF、代码注入、远程溢出攻击、Webshell检测（上传木马）等</w:t>
            </w:r>
          </w:p>
        </w:tc>
      </w:tr>
    </w:tbl>
    <w:p>
      <w:pPr>
        <w:rPr>
          <w:rFonts w:ascii="仿宋_GB2312" w:hAnsi="楷体" w:eastAsia="仿宋_GB2312"/>
          <w:sz w:val="32"/>
        </w:rPr>
      </w:pPr>
      <w:r>
        <w:rPr>
          <w:rFonts w:hint="eastAsia" w:ascii="仿宋_GB2312" w:hAnsi="楷体" w:eastAsia="仿宋_GB2312"/>
          <w:sz w:val="32"/>
        </w:rPr>
        <w:t>（15）</w:t>
      </w:r>
      <w:r>
        <w:rPr>
          <w:rFonts w:ascii="仿宋_GB2312" w:hAnsi="楷体" w:eastAsia="仿宋_GB2312"/>
          <w:sz w:val="32"/>
        </w:rPr>
        <w:t>漏洞扫描</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7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shd w:val="clear" w:color="auto" w:fill="auto"/>
          </w:tcPr>
          <w:p>
            <w:pPr>
              <w:jc w:val="center"/>
              <w:rPr>
                <w:rFonts w:ascii="仿宋_GB2312" w:hAnsi="宋体" w:eastAsia="仿宋_GB2312"/>
                <w:b/>
                <w:sz w:val="24"/>
                <w:szCs w:val="24"/>
              </w:rPr>
            </w:pPr>
            <w:r>
              <w:rPr>
                <w:rFonts w:hint="eastAsia" w:ascii="仿宋_GB2312" w:hAnsi="宋体" w:eastAsia="仿宋_GB2312"/>
                <w:b/>
                <w:sz w:val="24"/>
                <w:szCs w:val="24"/>
              </w:rPr>
              <w:t>指标项</w:t>
            </w:r>
          </w:p>
        </w:tc>
        <w:tc>
          <w:tcPr>
            <w:tcW w:w="3978" w:type="pct"/>
            <w:shd w:val="clear" w:color="auto" w:fill="auto"/>
          </w:tcPr>
          <w:p>
            <w:pPr>
              <w:jc w:val="center"/>
              <w:rPr>
                <w:rFonts w:ascii="仿宋_GB2312" w:hAnsi="宋体" w:eastAsia="仿宋_GB2312"/>
                <w:b/>
                <w:sz w:val="24"/>
                <w:szCs w:val="24"/>
              </w:rPr>
            </w:pPr>
            <w:r>
              <w:rPr>
                <w:rFonts w:hint="eastAsia" w:ascii="仿宋_GB2312" w:hAnsi="宋体" w:eastAsia="仿宋_GB2312"/>
                <w:b/>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Align w:val="center"/>
          </w:tcPr>
          <w:p>
            <w:pPr>
              <w:rPr>
                <w:rFonts w:ascii="仿宋_GB2312" w:hAnsi="宋体" w:eastAsia="仿宋_GB2312"/>
                <w:sz w:val="24"/>
                <w:szCs w:val="24"/>
              </w:rPr>
            </w:pPr>
            <w:r>
              <w:rPr>
                <w:rFonts w:hint="eastAsia" w:ascii="仿宋_GB2312" w:hAnsi="宋体" w:eastAsia="仿宋_GB2312"/>
                <w:sz w:val="24"/>
                <w:szCs w:val="24"/>
                <w:lang w:bidi="en-US"/>
              </w:rPr>
              <w:t>基础需求</w:t>
            </w:r>
          </w:p>
        </w:tc>
        <w:tc>
          <w:tcPr>
            <w:tcW w:w="3978" w:type="pct"/>
          </w:tcPr>
          <w:p>
            <w:pPr>
              <w:rPr>
                <w:rFonts w:ascii="仿宋_GB2312" w:hAnsi="宋体" w:eastAsia="仿宋_GB2312"/>
                <w:sz w:val="24"/>
                <w:szCs w:val="24"/>
                <w:lang w:bidi="en-US"/>
              </w:rPr>
            </w:pPr>
            <w:r>
              <w:rPr>
                <w:rFonts w:hint="eastAsia" w:ascii="仿宋_GB2312" w:eastAsia="仿宋_GB2312"/>
                <w:sz w:val="24"/>
                <w:szCs w:val="24"/>
              </w:rPr>
              <w:t>▲</w:t>
            </w:r>
            <w:r>
              <w:rPr>
                <w:rFonts w:hint="eastAsia" w:ascii="仿宋_GB2312" w:hAnsi="宋体" w:eastAsia="仿宋_GB2312"/>
                <w:sz w:val="24"/>
                <w:szCs w:val="24"/>
              </w:rPr>
              <w:t>支持且配置≥1个一级域名漏洞扫描服务，不限二级域名数量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Merge w:val="restart"/>
            <w:vAlign w:val="center"/>
          </w:tcPr>
          <w:p>
            <w:pPr>
              <w:rPr>
                <w:rFonts w:ascii="仿宋_GB2312" w:hAnsi="宋体" w:eastAsia="仿宋_GB2312"/>
                <w:sz w:val="24"/>
                <w:szCs w:val="24"/>
              </w:rPr>
            </w:pPr>
            <w:r>
              <w:rPr>
                <w:rFonts w:hint="eastAsia" w:ascii="仿宋_GB2312" w:hAnsi="宋体" w:eastAsia="仿宋_GB2312"/>
                <w:sz w:val="24"/>
                <w:szCs w:val="24"/>
              </w:rPr>
              <w:t>服务能力</w:t>
            </w:r>
          </w:p>
        </w:tc>
        <w:tc>
          <w:tcPr>
            <w:tcW w:w="3978" w:type="pct"/>
          </w:tcPr>
          <w:p>
            <w:pPr>
              <w:rPr>
                <w:rFonts w:ascii="仿宋_GB2312" w:hAnsi="宋体" w:eastAsia="仿宋_GB2312"/>
                <w:sz w:val="24"/>
                <w:szCs w:val="24"/>
              </w:rPr>
            </w:pPr>
            <w:r>
              <w:rPr>
                <w:rFonts w:hint="eastAsia" w:ascii="仿宋_GB2312" w:hAnsi="宋体" w:eastAsia="仿宋_GB2312"/>
                <w:sz w:val="24"/>
                <w:szCs w:val="24"/>
              </w:rPr>
              <w:t>提供云化漏洞扫描，支持对Web页面中恶意链接的扫描能力</w:t>
            </w:r>
            <w:r>
              <w:rPr>
                <w:rFonts w:hint="eastAsia" w:ascii="仿宋_GB2312" w:hAnsi="仿宋" w:eastAsia="仿宋_GB2312"/>
                <w:sz w:val="24"/>
                <w:szCs w:val="24"/>
              </w:rPr>
              <w:t>，</w:t>
            </w:r>
            <w:r>
              <w:rPr>
                <w:rFonts w:ascii="仿宋_GB2312" w:eastAsia="仿宋_GB2312"/>
                <w:sz w:val="24"/>
                <w:szCs w:val="24"/>
              </w:rPr>
              <w:t>不需要提供</w:t>
            </w:r>
            <w:r>
              <w:rPr>
                <w:rFonts w:hint="eastAsia" w:ascii="仿宋_GB2312" w:eastAsia="仿宋_GB2312"/>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Merge w:val="continue"/>
            <w:vAlign w:val="center"/>
          </w:tcPr>
          <w:p>
            <w:pPr>
              <w:rPr>
                <w:rFonts w:ascii="仿宋_GB2312" w:hAnsi="宋体" w:eastAsia="仿宋_GB2312"/>
                <w:sz w:val="24"/>
                <w:szCs w:val="24"/>
              </w:rPr>
            </w:pPr>
          </w:p>
        </w:tc>
        <w:tc>
          <w:tcPr>
            <w:tcW w:w="3978" w:type="pct"/>
          </w:tcPr>
          <w:p>
            <w:pPr>
              <w:rPr>
                <w:rFonts w:ascii="仿宋_GB2312" w:hAnsi="宋体" w:eastAsia="仿宋_GB2312"/>
                <w:sz w:val="24"/>
                <w:szCs w:val="24"/>
              </w:rPr>
            </w:pPr>
            <w:r>
              <w:rPr>
                <w:rFonts w:hint="eastAsia" w:ascii="仿宋_GB2312" w:hAnsi="宋体" w:eastAsia="仿宋_GB2312"/>
                <w:sz w:val="24"/>
                <w:szCs w:val="24"/>
              </w:rPr>
              <w:t>提供网站漏洞扫描能力，支持网站目录结构发现能力，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22" w:type="pct"/>
            <w:vMerge w:val="continue"/>
            <w:vAlign w:val="center"/>
          </w:tcPr>
          <w:p>
            <w:pPr>
              <w:rPr>
                <w:rFonts w:ascii="仿宋_GB2312" w:hAnsi="宋体" w:eastAsia="仿宋_GB2312"/>
                <w:sz w:val="24"/>
                <w:szCs w:val="24"/>
              </w:rPr>
            </w:pPr>
          </w:p>
        </w:tc>
        <w:tc>
          <w:tcPr>
            <w:tcW w:w="3978" w:type="pct"/>
          </w:tcPr>
          <w:p>
            <w:pPr>
              <w:rPr>
                <w:rFonts w:ascii="仿宋_GB2312" w:hAnsi="宋体" w:eastAsia="仿宋_GB2312"/>
                <w:sz w:val="24"/>
                <w:szCs w:val="24"/>
              </w:rPr>
            </w:pPr>
            <w:r>
              <w:rPr>
                <w:rFonts w:hint="eastAsia" w:ascii="仿宋_GB2312" w:hAnsi="宋体" w:eastAsia="仿宋_GB2312"/>
                <w:sz w:val="24"/>
                <w:szCs w:val="24"/>
              </w:rPr>
              <w:t>提供对主机的端口扫描功能；提供对常见系统、应用和数据库的弱口令扫描，如ssh、ftp、mysql、sql server、mongodb等</w:t>
            </w:r>
          </w:p>
        </w:tc>
      </w:tr>
    </w:tbl>
    <w:p>
      <w:pPr>
        <w:rPr>
          <w:rFonts w:ascii="仿宋_GB2312" w:hAnsi="楷体" w:eastAsia="仿宋_GB2312"/>
          <w:sz w:val="32"/>
        </w:rPr>
      </w:pPr>
      <w:r>
        <w:rPr>
          <w:rFonts w:hint="eastAsia" w:ascii="仿宋_GB2312" w:hAnsi="楷体" w:eastAsia="仿宋_GB2312"/>
          <w:sz w:val="32"/>
        </w:rPr>
        <w:t>（16）短信包</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shd w:val="clear" w:color="auto" w:fill="auto"/>
          </w:tcPr>
          <w:p>
            <w:pPr>
              <w:jc w:val="center"/>
              <w:rPr>
                <w:rFonts w:ascii="仿宋_GB2312" w:hAnsi="宋体" w:eastAsia="仿宋_GB2312"/>
                <w:b/>
              </w:rPr>
            </w:pPr>
            <w:r>
              <w:rPr>
                <w:rFonts w:hint="eastAsia" w:ascii="仿宋_GB2312" w:hAnsi="宋体" w:eastAsia="仿宋_GB2312"/>
                <w:b/>
              </w:rPr>
              <w:t>指标项</w:t>
            </w:r>
          </w:p>
        </w:tc>
        <w:tc>
          <w:tcPr>
            <w:tcW w:w="3721" w:type="pct"/>
            <w:shd w:val="clear" w:color="auto" w:fill="auto"/>
          </w:tcPr>
          <w:p>
            <w:pPr>
              <w:jc w:val="center"/>
              <w:rPr>
                <w:rFonts w:ascii="仿宋_GB2312" w:hAnsi="宋体" w:eastAsia="仿宋_GB2312"/>
                <w:b/>
              </w:rPr>
            </w:pPr>
            <w:r>
              <w:rPr>
                <w:rFonts w:hint="eastAsia" w:ascii="仿宋_GB2312" w:hAnsi="宋体" w:eastAsia="仿宋_GB2312"/>
                <w:b/>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vAlign w:val="center"/>
          </w:tcPr>
          <w:p>
            <w:pPr>
              <w:rPr>
                <w:rFonts w:ascii="仿宋_GB2312" w:hAnsi="宋体" w:eastAsia="仿宋_GB2312"/>
              </w:rPr>
            </w:pPr>
            <w:r>
              <w:rPr>
                <w:rFonts w:hint="eastAsia" w:ascii="仿宋_GB2312" w:hAnsi="宋体" w:eastAsia="仿宋_GB2312"/>
                <w:lang w:bidi="en-US"/>
              </w:rPr>
              <w:t>基础需求</w:t>
            </w:r>
          </w:p>
        </w:tc>
        <w:tc>
          <w:tcPr>
            <w:tcW w:w="3721" w:type="pct"/>
          </w:tcPr>
          <w:p>
            <w:pPr>
              <w:rPr>
                <w:rFonts w:ascii="仿宋_GB2312" w:hAnsi="宋体" w:eastAsia="仿宋_GB2312"/>
                <w:sz w:val="24"/>
                <w:szCs w:val="24"/>
              </w:rPr>
            </w:pPr>
            <w:r>
              <w:rPr>
                <w:rFonts w:hint="eastAsia" w:ascii="仿宋_GB2312" w:hAnsi="宋体" w:eastAsia="仿宋_GB2312"/>
                <w:sz w:val="24"/>
                <w:szCs w:val="24"/>
              </w:rPr>
              <w:t>支持且配置≥50万条短信息发送服务</w:t>
            </w:r>
            <w:r>
              <w:rPr>
                <w:rFonts w:hint="eastAsia" w:ascii="仿宋_GB2312" w:hAnsi="仿宋" w:eastAsia="仿宋_GB2312"/>
                <w:sz w:val="24"/>
                <w:szCs w:val="24"/>
              </w:rPr>
              <w:t>，</w:t>
            </w:r>
            <w:r>
              <w:rPr>
                <w:rFonts w:ascii="仿宋_GB2312" w:eastAsia="仿宋_GB2312"/>
                <w:sz w:val="24"/>
                <w:szCs w:val="24"/>
              </w:rPr>
              <w:t>不需要提供</w:t>
            </w:r>
            <w:r>
              <w:rPr>
                <w:rFonts w:hint="eastAsia" w:ascii="仿宋_GB2312" w:eastAsia="仿宋_GB2312"/>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9" w:type="pct"/>
            <w:vAlign w:val="center"/>
          </w:tcPr>
          <w:p>
            <w:pPr>
              <w:rPr>
                <w:rFonts w:ascii="仿宋_GB2312" w:hAnsi="宋体" w:eastAsia="仿宋_GB2312"/>
              </w:rPr>
            </w:pPr>
            <w:r>
              <w:rPr>
                <w:rFonts w:hint="eastAsia" w:ascii="仿宋_GB2312" w:hAnsi="宋体" w:eastAsia="仿宋_GB2312"/>
              </w:rPr>
              <w:t>服务能力</w:t>
            </w:r>
          </w:p>
        </w:tc>
        <w:tc>
          <w:tcPr>
            <w:tcW w:w="3721" w:type="pct"/>
          </w:tcPr>
          <w:p>
            <w:pPr>
              <w:rPr>
                <w:rFonts w:ascii="仿宋_GB2312" w:hAnsi="宋体" w:eastAsia="仿宋_GB2312"/>
                <w:sz w:val="24"/>
                <w:szCs w:val="24"/>
              </w:rPr>
            </w:pPr>
            <w:r>
              <w:rPr>
                <w:rFonts w:hint="eastAsia" w:ascii="仿宋_GB2312" w:hAnsi="宋体" w:eastAsia="仿宋_GB2312"/>
                <w:sz w:val="24"/>
                <w:szCs w:val="24"/>
              </w:rPr>
              <w:t>提供国内通用行业短信息服务，支持移动、电信和联通三大运营商手机用户</w:t>
            </w:r>
            <w:r>
              <w:rPr>
                <w:rFonts w:hint="eastAsia" w:ascii="仿宋_GB2312" w:hAnsi="仿宋" w:eastAsia="仿宋_GB2312"/>
                <w:sz w:val="24"/>
                <w:szCs w:val="24"/>
              </w:rPr>
              <w:t>，</w:t>
            </w:r>
            <w:r>
              <w:rPr>
                <w:rFonts w:ascii="仿宋_GB2312" w:eastAsia="仿宋_GB2312"/>
                <w:sz w:val="24"/>
                <w:szCs w:val="24"/>
              </w:rPr>
              <w:t>不需要提供</w:t>
            </w:r>
            <w:r>
              <w:rPr>
                <w:rFonts w:hint="eastAsia" w:ascii="仿宋_GB2312" w:eastAsia="仿宋_GB2312"/>
                <w:sz w:val="24"/>
                <w:szCs w:val="24"/>
              </w:rPr>
              <w:t>证明资料</w:t>
            </w:r>
          </w:p>
        </w:tc>
      </w:tr>
    </w:tbl>
    <w:p>
      <w:pPr>
        <w:pStyle w:val="2"/>
      </w:pPr>
    </w:p>
    <w:p>
      <w:pPr>
        <w:pStyle w:val="33"/>
        <w:widowControl/>
        <w:spacing w:beforeAutospacing="0" w:afterAutospacing="0" w:line="560" w:lineRule="exact"/>
        <w:outlineLvl w:val="0"/>
        <w:rPr>
          <w:rStyle w:val="39"/>
          <w:rFonts w:ascii="楷体" w:hAnsi="楷体" w:eastAsia="楷体"/>
          <w:sz w:val="32"/>
          <w:szCs w:val="31"/>
        </w:rPr>
      </w:pPr>
      <w:r>
        <w:rPr>
          <w:rStyle w:val="39"/>
          <w:rFonts w:hint="eastAsia" w:ascii="楷体" w:hAnsi="楷体" w:eastAsia="楷体"/>
          <w:sz w:val="32"/>
          <w:szCs w:val="31"/>
        </w:rPr>
        <w:t>（三）项目服务</w:t>
      </w:r>
      <w:r>
        <w:rPr>
          <w:rStyle w:val="39"/>
          <w:rFonts w:ascii="楷体" w:hAnsi="楷体" w:eastAsia="楷体"/>
          <w:sz w:val="32"/>
          <w:szCs w:val="31"/>
        </w:rPr>
        <w:t>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投标人响应文件应满足以下全部服务要求，但不限于以下内容：</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9"/>
        <w:gridCol w:w="7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jc w:val="center"/>
              <w:rPr>
                <w:rFonts w:ascii="仿宋_GB2312" w:eastAsia="仿宋_GB2312"/>
                <w:sz w:val="24"/>
                <w:szCs w:val="24"/>
              </w:rPr>
            </w:pPr>
            <w:r>
              <w:rPr>
                <w:rFonts w:hint="eastAsia" w:ascii="仿宋_GB2312" w:hAnsi="等线" w:eastAsia="仿宋_GB2312" w:cs="宋体"/>
                <w:b/>
                <w:bCs/>
                <w:color w:val="000000"/>
                <w:kern w:val="0"/>
                <w:sz w:val="24"/>
                <w:szCs w:val="24"/>
              </w:rPr>
              <w:t>功能指标</w:t>
            </w:r>
          </w:p>
        </w:tc>
        <w:tc>
          <w:tcPr>
            <w:tcW w:w="3892" w:type="pct"/>
            <w:vAlign w:val="center"/>
          </w:tcPr>
          <w:p>
            <w:pPr>
              <w:jc w:val="center"/>
              <w:rPr>
                <w:rFonts w:ascii="仿宋_GB2312" w:eastAsia="仿宋_GB2312"/>
                <w:sz w:val="24"/>
                <w:szCs w:val="24"/>
              </w:rPr>
            </w:pPr>
            <w:r>
              <w:rPr>
                <w:rFonts w:hint="eastAsia" w:ascii="仿宋_GB2312" w:hAnsi="等线" w:eastAsia="仿宋_GB2312" w:cs="宋体"/>
                <w:b/>
                <w:bCs/>
                <w:color w:val="000000"/>
                <w:kern w:val="0"/>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机构人员要求</w:t>
            </w:r>
          </w:p>
        </w:tc>
        <w:tc>
          <w:tcPr>
            <w:tcW w:w="3892"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1、成交人需在新疆范围内开设常设机构或派驻技术人员。</w:t>
            </w:r>
          </w:p>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2、乌鲁木齐市本地须具备服务及运维能力的工程师，随时解决甲方在云平台上使用上遇到的各类问题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安全稳定性需求</w:t>
            </w:r>
          </w:p>
        </w:tc>
        <w:tc>
          <w:tcPr>
            <w:tcW w:w="3892"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1.投标人所提供的云资源需达到“国家信息安全等级保护三级认证”标准（投标文件中提供相关证明文件扫描件）</w:t>
            </w:r>
          </w:p>
          <w:p>
            <w:pP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.安全防护：具备提供DDos 防护、防火墙、IPS、WAF、服务器安全卫士、网页防篡改、防木马、服务器安全加固等一系列防护能力，以及云平台监控、网站安全监控等预防、预警能力。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弹性扩展需求</w:t>
            </w:r>
          </w:p>
        </w:tc>
        <w:tc>
          <w:tcPr>
            <w:tcW w:w="3892"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可以根据客户业务需求，针对业务高峰或低谷灵活调配资源，为未来业务的发展提供有力支撑。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培训要求</w:t>
            </w:r>
          </w:p>
        </w:tc>
        <w:tc>
          <w:tcPr>
            <w:tcW w:w="3892"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投标人应在合同签订后为采购人提供相应技术培训，负责对采购人所有参与项目的人员进行培训，并提交详细培训计划。培训内容包括但不限于： 云平台操作、安全防护等。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服务要求</w:t>
            </w:r>
          </w:p>
        </w:tc>
        <w:tc>
          <w:tcPr>
            <w:tcW w:w="3892" w:type="pct"/>
            <w:vAlign w:val="center"/>
          </w:tcPr>
          <w:p>
            <w:pP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1．中标人需对机房环境、硬件设备及应用系统云资源的运行情况进行7×24小时的不间断巡检监控，及时发现安全隐患，</w:t>
            </w:r>
          </w:p>
          <w:p>
            <w:pPr>
              <w:spacing w:after="240"/>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发生云资源使用率过高情况时应及时通知采购人及相应系统运维服务商。</w:t>
            </w:r>
            <w:r>
              <w:rPr>
                <w:rFonts w:hint="eastAsia" w:ascii="仿宋_GB2312" w:hAnsi="宋体" w:eastAsia="仿宋_GB2312" w:cs="宋体"/>
                <w:color w:val="FF0000"/>
                <w:kern w:val="0"/>
                <w:sz w:val="24"/>
                <w:szCs w:val="24"/>
              </w:rPr>
              <w:t>每月提供云服务报告</w:t>
            </w:r>
            <w:r>
              <w:rPr>
                <w:rFonts w:hint="eastAsia" w:ascii="仿宋_GB2312" w:hAnsi="宋体" w:eastAsia="仿宋_GB2312" w:cs="宋体"/>
                <w:color w:val="000000"/>
                <w:kern w:val="0"/>
                <w:sz w:val="24"/>
                <w:szCs w:val="24"/>
              </w:rPr>
              <w:t>，包括各类云资源调整、使用及服务情况，以及日常维护、应急值守、故障处置等情况。中标人须</w:t>
            </w:r>
            <w:r>
              <w:rPr>
                <w:rFonts w:hint="eastAsia" w:ascii="仿宋_GB2312" w:hAnsi="宋体" w:eastAsia="仿宋_GB2312" w:cs="宋体"/>
                <w:color w:val="FF0000"/>
                <w:kern w:val="0"/>
                <w:sz w:val="24"/>
                <w:szCs w:val="24"/>
              </w:rPr>
              <w:t>每季度提出云资源调整建议</w:t>
            </w:r>
            <w:r>
              <w:rPr>
                <w:rFonts w:hint="eastAsia" w:ascii="仿宋_GB2312" w:hAnsi="宋体" w:eastAsia="仿宋_GB2312" w:cs="宋体"/>
                <w:color w:val="000000"/>
                <w:kern w:val="0"/>
                <w:sz w:val="24"/>
                <w:szCs w:val="24"/>
              </w:rPr>
              <w:t>，其中的云资源占用率较大的重点项目需按月提出调整建议。</w:t>
            </w:r>
          </w:p>
          <w:p>
            <w:pPr>
              <w:spacing w:after="240"/>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迅速响应：具备丰富的面对重大、突发事件的应对策略，并专门为云资源设立三级运维管理体系，投标人应能提供高效的云资源及环境维护服务，有效防范系统风险，保证7×24小时电话畅通，发生故障应在15分钟内响应；能够在系统发生除宕机外的其他故障问题时，能够协调人力资源在1小时内到达运维现场提供服务。投标人应具备故障快速响应、定位和恢复能力，入云系统发生故障时，应在30分钟内响应，响应后故障定位排除时限不超过 30 分钟，整体需在4个小时之内使系统恢复正常，故障处理完毕后需提供相关系统故障报告。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pct"/>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安全保密要求</w:t>
            </w:r>
          </w:p>
        </w:tc>
        <w:tc>
          <w:tcPr>
            <w:tcW w:w="3892" w:type="pct"/>
            <w:vAlign w:val="center"/>
          </w:tcPr>
          <w:p>
            <w:pPr>
              <w:spacing w:after="24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1.中标人须严格遵守采购人的相关信息安全规定，不得利用系统维护服务时的便利将采购人数据及其他信息进行擅自修改或透漏给第三方。</w:t>
            </w:r>
          </w:p>
          <w:p>
            <w:pPr>
              <w:spacing w:after="24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保密承诺:在签订和履行合同过程中从采购人处获知的技术和商业秘密，无论在合同期限内还是合同终止后，均应遵守国家有关版权、专利、商标等知识产权方面的法律规定，尊重需求方的知识产权，对所知悉的采购人的技术秘密和商业秘密负有保密责任。未经采购人事先书面授权，不得以任何方式向任何其他组织或个人泄露、转让、许可使用、交换、赠与或与任何其他组织或个人共同使用或不正当使用（依据国家或上级部门指示所做的赠送除外）。违反本条规定给对方造成损失的，违约方应负相关的法律责任。</w:t>
            </w:r>
          </w:p>
        </w:tc>
      </w:tr>
    </w:tbl>
    <w:p>
      <w:pPr>
        <w:pStyle w:val="2"/>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pStyle w:val="2"/>
        <w:rPr>
          <w:rFonts w:ascii="仿宋_GB2312" w:eastAsia="仿宋_GB2312"/>
          <w:sz w:val="32"/>
          <w:szCs w:val="32"/>
        </w:rPr>
      </w:pPr>
    </w:p>
    <w:p>
      <w:pPr>
        <w:pStyle w:val="3"/>
        <w:rPr>
          <w:rFonts w:ascii="仿宋_GB2312" w:eastAsia="仿宋_GB2312"/>
          <w:sz w:val="32"/>
          <w:szCs w:val="32"/>
        </w:rPr>
      </w:pPr>
    </w:p>
    <w:p>
      <w:pPr>
        <w:pStyle w:val="3"/>
        <w:rPr>
          <w:rFonts w:ascii="仿宋_GB2312" w:eastAsia="仿宋_GB2312"/>
          <w:sz w:val="32"/>
          <w:szCs w:val="32"/>
        </w:rPr>
      </w:pPr>
    </w:p>
    <w:bookmarkEnd w:id="54"/>
    <w:p>
      <w:pPr>
        <w:rPr>
          <w:rFonts w:hint="eastAsia" w:asciiTheme="minorEastAsia" w:hAnsiTheme="minorEastAsia" w:eastAsiaTheme="minorEastAsia" w:cstheme="minorEastAsia"/>
          <w:b/>
          <w:sz w:val="21"/>
          <w:szCs w:val="21"/>
        </w:rPr>
      </w:pPr>
    </w:p>
    <w:p>
      <w:pPr>
        <w:autoSpaceDE w:val="0"/>
        <w:autoSpaceDN w:val="0"/>
        <w:adjustRightInd w:val="0"/>
        <w:spacing w:line="400" w:lineRule="exact"/>
        <w:jc w:val="center"/>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第四章  合同条款（仅供参考）</w:t>
      </w:r>
      <w:bookmarkEnd w:id="53"/>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1、定义</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 “合同”系指甲方和乙方(以下简称合同双方)已达成的协议，即由双方签订的合同格式文件，包括所有的招标文件、响应性文件、答疑纪录、澄清说明、附件、附录和组成合同的所有其他文件。</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 “合同价格”系指根据合同规定，在乙方全面正确地履行合同义务时，甲方应支付给乙方的款项。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 “货物”系指乙方按合同要求相关设备。</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 “服务”系指合同规定乙方必须承担的类似售后义务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 “甲方”、“买方”、“招标方”均系指通过招标采购，接受合同货物及服务的各行政事业单位、社会团体等采购单位及社会代理公司。</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 “乙方”、“卖方”系指中标后提供合同货物和服务的经济实体。</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 “现场”系指本次活动的服务地点。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 “验收”系指甲方依据技术规格规定接受合同货物所依据的程序和条件。</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2、适用范围</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 本合同条款仅适用于本次招标活动。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3、原产地</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 原产地系指货物的生产地，或提供辅助服务的来源地。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4、技术规格和标准</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4.1本合同项下所供货物的技术规格应与本招标文件技术规格规定的标准相一致。若技术规格中无相应规定，货物则应符合相应的国家标准或有关权威部门最新颁布的相应的正式标准。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5、专利权</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6、包装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 每件包装应附有详细装箱单和质量证书各两套，一套在包装箱里，一套在包装箱外。</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7、保险</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7.1在合同价条件下，由乙方负责办理保险。</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8、合同价款的支付方式</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除另有规定者外，本合同价款将由采购人直接向乙方支付。</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9、质量保证</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 在服务最终验收后的质量保证期之内，乙方应对自身缺陷而产生的任何不足或故障负责，费用由乙方负担。</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9.2上述内容以外的保修和售后服务内容为乙方在响应性文件中所承诺的内容。</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10、履约保证金（无）</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11、延期交货与核定损失额</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  乙方应按照“磋商响应报价表”规定提供服务，并交付甲方验收使用。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11.2 如果乙方无正当理由拖延交货，未得到甲方书面同意，将受到以下制裁：</w:t>
      </w:r>
      <w:r>
        <w:rPr>
          <w:rFonts w:hint="eastAsia" w:asciiTheme="minorEastAsia" w:hAnsiTheme="minorEastAsia" w:eastAsiaTheme="minorEastAsia" w:cstheme="minorEastAsia"/>
          <w:bCs/>
          <w:sz w:val="21"/>
          <w:szCs w:val="21"/>
        </w:rPr>
        <w:t>不予退还履约保证金，加收误期赔偿或终止合同</w:t>
      </w:r>
      <w:r>
        <w:rPr>
          <w:rFonts w:hint="eastAsia" w:asciiTheme="minorEastAsia" w:hAnsiTheme="minorEastAsia" w:eastAsiaTheme="minorEastAsia" w:cstheme="minorEastAsia"/>
          <w:sz w:val="21"/>
          <w:szCs w:val="21"/>
        </w:rPr>
        <w:t>。</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如果乙方未能按合同规定的时间按期交货(不可抗力除外)，在乙方同意支付核定损失额的条件下，甲方将同意延长交货期。核定损失额的支付将从未付款或从履约保证金中扣除。核定损失额比率为每迟交1天，按迟交货物金额的0.5%，不满1天按1天计算，直到扣完为止。如果乙方在达到核定损失额的最高限额后仍不能交货，甲方有权因乙方违约终止合同，而乙方仍有义务支付上述迟交核定损失金额。</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12、不可抗力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13、仲裁</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本项目如有合同争议，解决方式优先选择公安厅机关所在地人民法院，不施行仲裁。</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14、违约终止合同</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(1)如果乙方未能在合同规定的期限内或甲方准许的任何延期内交付部分或全部货物。</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(2)乙方未能履行合同项下的其它义务。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14.2一旦甲方根据第20.1款终止部分或全部合同，甲方可以按其认为适当的条件和方式采购类似未交付部分的货物。乙方应承担甲方购甲类似货物的价格差及额外费用。但是，乙方应继续履行合同中未终止的部分。</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15、变更指示</w:t>
      </w:r>
    </w:p>
    <w:p>
      <w:pPr>
        <w:overflowPunct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15.1甲方可以随时向乙方发出书面指示，在合同总体范围内对如下一点或几点提出变更：</w:t>
      </w:r>
    </w:p>
    <w:p>
      <w:pPr>
        <w:overflowPunct w:val="0"/>
        <w:spacing w:line="400" w:lineRule="exact"/>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w:t>
      </w:r>
      <w:r>
        <w:rPr>
          <w:rFonts w:hint="eastAsia" w:asciiTheme="minorEastAsia" w:hAnsiTheme="minorEastAsia" w:eastAsiaTheme="minorEastAsia" w:cstheme="minorEastAsia"/>
          <w:sz w:val="21"/>
          <w:szCs w:val="21"/>
        </w:rPr>
        <w:t>合同项下需为甲方特殊制定的服务项目；</w:t>
      </w:r>
    </w:p>
    <w:p>
      <w:pPr>
        <w:overflowPunct w:val="0"/>
        <w:spacing w:line="400" w:lineRule="exact"/>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 xml:space="preserve">（2） </w:t>
      </w:r>
      <w:r>
        <w:rPr>
          <w:rFonts w:hint="eastAsia" w:asciiTheme="minorEastAsia" w:hAnsiTheme="minorEastAsia" w:eastAsiaTheme="minorEastAsia" w:cstheme="minorEastAsia"/>
          <w:sz w:val="21"/>
          <w:szCs w:val="21"/>
        </w:rPr>
        <w:t>服务地点；</w:t>
      </w:r>
    </w:p>
    <w:p>
      <w:pPr>
        <w:overflowPunct w:val="0"/>
        <w:spacing w:line="400" w:lineRule="exact"/>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 xml:space="preserve">（3） </w:t>
      </w:r>
      <w:r>
        <w:rPr>
          <w:rFonts w:hint="eastAsia" w:asciiTheme="minorEastAsia" w:hAnsiTheme="minorEastAsia" w:eastAsiaTheme="minorEastAsia" w:cstheme="minorEastAsia"/>
          <w:sz w:val="21"/>
          <w:szCs w:val="21"/>
        </w:rPr>
        <w:t>乙方须提供的服务。</w:t>
      </w:r>
    </w:p>
    <w:p>
      <w:pPr>
        <w:overflowPunct w:val="0"/>
        <w:spacing w:line="4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16、合同修改</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　欲对合同条款做出任何改动或偏离，均须由甲乙双方签署书面的合同修改书。</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17、转让与分包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17.1除甲方事先同意外，乙方不得部分转让或全部转让其应履行的合同项下的义务。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17.2乙方应书面通知甲方本合同项下所授予的所有分包合同。但该通知不解除乙方承担的本合同项下的任何责任或义务。</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18、适用法律</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　本合同应按中华人民共和国的相关法律解释。</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19、通知</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19.1本合同任何一方给另一方的通知都应以书面或电传、电报、传真的形式发送，而另一方应以书面形式确认并发送到对方明确的地址。</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20、合同文件及资料的使用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20.2除非执行合同需要，在事先末得到甲方同意的情况下，乙方不得将与本合同有关的任何文件和资料给第三方使用。</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20.3除合同本身以外，若甲方要求，乙方应于其合同义务履行完毕以后将这些资料(包括所有副本)退还甲方。</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21、合同生效及其他</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　本合同应在甲方和乙方签字并加盖鉴证章后生效。</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　乙方须按技术规格中的规定，向甲方提供与合同项下本次招标的相关服务。</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21.3　商务合同应包括甲方最后确认的价格条款和付款方式。</w:t>
      </w:r>
    </w:p>
    <w:p>
      <w:pPr>
        <w:spacing w:line="400" w:lineRule="exact"/>
        <w:ind w:firstLine="210" w:firstLineChars="100"/>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z w:val="21"/>
          <w:szCs w:val="21"/>
        </w:rPr>
        <w:t>21.4　</w:t>
      </w:r>
      <w:r>
        <w:rPr>
          <w:rFonts w:hint="eastAsia" w:asciiTheme="minorEastAsia" w:hAnsiTheme="minorEastAsia" w:eastAsiaTheme="minorEastAsia" w:cstheme="minorEastAsia"/>
          <w:spacing w:val="-6"/>
          <w:sz w:val="21"/>
          <w:szCs w:val="21"/>
        </w:rPr>
        <w:t>下述文件将作为合同附件，为本合同不可分割的组成部分，并与本合具有同等效力：</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bCs/>
          <w:sz w:val="21"/>
          <w:szCs w:val="21"/>
        </w:rPr>
        <w:t>磋商文件</w:t>
      </w:r>
      <w:r>
        <w:rPr>
          <w:rFonts w:hint="eastAsia" w:asciiTheme="minorEastAsia" w:hAnsiTheme="minorEastAsia" w:eastAsiaTheme="minorEastAsia" w:cstheme="minorEastAsia"/>
          <w:sz w:val="21"/>
          <w:szCs w:val="21"/>
        </w:rPr>
        <w:t>；</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（2）中标通知书；</w:t>
      </w:r>
    </w:p>
    <w:p>
      <w:pPr>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（3）中标方的响应性文件及磋商过程中的书面答疑记录。</w:t>
      </w:r>
      <w:bookmarkStart w:id="55" w:name="_Toc455412770"/>
      <w:bookmarkStart w:id="56" w:name="_Toc462223649"/>
      <w:bookmarkStart w:id="57" w:name="_Toc381724074"/>
    </w:p>
    <w:bookmarkEnd w:id="55"/>
    <w:bookmarkEnd w:id="56"/>
    <w:bookmarkEnd w:id="57"/>
    <w:p>
      <w:pPr>
        <w:spacing w:line="400" w:lineRule="exact"/>
        <w:rPr>
          <w:rFonts w:hint="eastAsia" w:asciiTheme="minorEastAsia" w:hAnsiTheme="minorEastAsia" w:eastAsiaTheme="minorEastAsia" w:cstheme="minorEastAsia"/>
          <w:sz w:val="21"/>
          <w:szCs w:val="21"/>
        </w:rPr>
      </w:pPr>
      <w:bookmarkStart w:id="58" w:name="_Toc298240429"/>
      <w:bookmarkStart w:id="59" w:name="_Toc349573144"/>
      <w:bookmarkStart w:id="60" w:name="_Toc462223650"/>
      <w:bookmarkStart w:id="61" w:name="_Toc349637943"/>
    </w:p>
    <w:p>
      <w:pPr>
        <w:spacing w:line="400" w:lineRule="exact"/>
        <w:rPr>
          <w:rFonts w:hint="eastAsia" w:asciiTheme="minorEastAsia" w:hAnsiTheme="minorEastAsia" w:eastAsiaTheme="minorEastAsia" w:cstheme="minorEastAsia"/>
          <w:sz w:val="21"/>
          <w:szCs w:val="21"/>
        </w:rPr>
      </w:pPr>
    </w:p>
    <w:p>
      <w:pPr>
        <w:pStyle w:val="4"/>
        <w:spacing w:line="400" w:lineRule="exact"/>
        <w:ind w:left="0" w:firstLine="0"/>
        <w:jc w:val="center"/>
        <w:rPr>
          <w:rFonts w:hint="eastAsia" w:asciiTheme="minorEastAsia" w:hAnsiTheme="minorEastAsia" w:eastAsiaTheme="minorEastAsia" w:cstheme="minorEastAsia"/>
          <w:sz w:val="21"/>
          <w:szCs w:val="21"/>
        </w:rPr>
      </w:pPr>
      <w:bookmarkStart w:id="62" w:name="_Toc12367"/>
      <w:r>
        <w:rPr>
          <w:rFonts w:hint="eastAsia" w:asciiTheme="minorEastAsia" w:hAnsiTheme="minorEastAsia" w:eastAsiaTheme="minorEastAsia" w:cstheme="minorEastAsia"/>
          <w:sz w:val="21"/>
          <w:szCs w:val="21"/>
        </w:rPr>
        <w:t>第五章</w:t>
      </w:r>
      <w:bookmarkEnd w:id="58"/>
      <w:bookmarkEnd w:id="59"/>
      <w:bookmarkEnd w:id="60"/>
      <w:bookmarkEnd w:id="61"/>
      <w:r>
        <w:rPr>
          <w:rFonts w:hint="eastAsia" w:asciiTheme="minorEastAsia" w:hAnsiTheme="minorEastAsia" w:eastAsiaTheme="minorEastAsia" w:cstheme="minorEastAsia"/>
          <w:sz w:val="21"/>
          <w:szCs w:val="21"/>
        </w:rPr>
        <w:t xml:space="preserve">  附件</w:t>
      </w:r>
      <w:bookmarkEnd w:id="62"/>
    </w:p>
    <w:p>
      <w:pPr>
        <w:spacing w:line="400" w:lineRule="exact"/>
        <w:jc w:val="center"/>
        <w:outlineLvl w:val="0"/>
        <w:rPr>
          <w:rFonts w:hint="eastAsia" w:asciiTheme="minorEastAsia" w:hAnsiTheme="minorEastAsia" w:eastAsiaTheme="minorEastAsia" w:cstheme="minorEastAsia"/>
          <w:b/>
          <w:bCs/>
          <w:sz w:val="21"/>
          <w:szCs w:val="21"/>
        </w:rPr>
      </w:pPr>
      <w:bookmarkStart w:id="63" w:name="_Toc10875"/>
      <w:r>
        <w:rPr>
          <w:rFonts w:hint="eastAsia" w:asciiTheme="minorEastAsia" w:hAnsiTheme="minorEastAsia" w:eastAsiaTheme="minorEastAsia" w:cstheme="minorEastAsia"/>
          <w:b/>
          <w:bCs/>
          <w:sz w:val="21"/>
          <w:szCs w:val="21"/>
        </w:rPr>
        <w:t>开标一览表</w:t>
      </w:r>
      <w:bookmarkEnd w:id="63"/>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项目编号：    </w:t>
      </w:r>
      <w:r>
        <w:rPr>
          <w:rFonts w:hint="eastAsia" w:asciiTheme="minorEastAsia" w:hAnsiTheme="minorEastAsia" w:eastAsiaTheme="minorEastAsia" w:cstheme="minorEastAsia"/>
          <w:sz w:val="21"/>
          <w:szCs w:val="21"/>
        </w:rPr>
        <w:t xml:space="preserve">   </w:t>
      </w: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6801"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c>
          <w:tcPr>
            <w:tcW w:w="6801"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（小写）</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服务期</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质量标准</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报价说明</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4、本表须按采购文件要求，单独封装、标识后提交。</w:t>
      </w:r>
    </w:p>
    <w:p>
      <w:pPr>
        <w:spacing w:line="400" w:lineRule="exact"/>
        <w:rPr>
          <w:rFonts w:hint="eastAsia" w:asciiTheme="minorEastAsia" w:hAnsiTheme="minorEastAsia" w:eastAsiaTheme="minorEastAsia" w:cstheme="minorEastAsia"/>
          <w:b/>
          <w:bCs/>
          <w:sz w:val="21"/>
          <w:szCs w:val="21"/>
        </w:rPr>
      </w:pPr>
    </w:p>
    <w:p>
      <w:pPr>
        <w:pStyle w:val="2"/>
        <w:spacing w:line="400" w:lineRule="exact"/>
        <w:rPr>
          <w:rFonts w:hint="eastAsia" w:asciiTheme="minorEastAsia" w:hAnsiTheme="minorEastAsia" w:eastAsiaTheme="minorEastAsia" w:cstheme="minorEastAsia"/>
          <w:b/>
          <w:bCs/>
          <w:sz w:val="21"/>
          <w:szCs w:val="21"/>
        </w:rPr>
      </w:pP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bookmarkStart w:id="64" w:name="_Toc22719"/>
      <w:r>
        <w:rPr>
          <w:rFonts w:hint="eastAsia" w:asciiTheme="minorEastAsia" w:hAnsiTheme="minorEastAsia" w:eastAsiaTheme="minorEastAsia" w:cstheme="minorEastAsia"/>
          <w:color w:val="000000"/>
          <w:sz w:val="21"/>
          <w:szCs w:val="21"/>
        </w:rPr>
        <w:t>投标供应商名称（公章）：</w:t>
      </w:r>
      <w:bookmarkEnd w:id="64"/>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bookmarkStart w:id="65" w:name="_Toc13389"/>
      <w:r>
        <w:rPr>
          <w:rFonts w:hint="eastAsia" w:asciiTheme="minorEastAsia" w:hAnsiTheme="minorEastAsia" w:eastAsiaTheme="minorEastAsia" w:cstheme="minorEastAsia"/>
          <w:color w:val="000000"/>
          <w:sz w:val="21"/>
          <w:szCs w:val="21"/>
        </w:rPr>
        <w:t>法定代表人或授权代表人（签字）：</w:t>
      </w:r>
      <w:bookmarkEnd w:id="65"/>
    </w:p>
    <w:p>
      <w:pPr>
        <w:spacing w:line="40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Cs/>
          <w:color w:val="000000"/>
          <w:sz w:val="21"/>
          <w:szCs w:val="21"/>
        </w:rPr>
        <w:t>日期：</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年</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月</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sz w:val="21"/>
          <w:szCs w:val="21"/>
        </w:rPr>
        <w:br w:type="page"/>
      </w:r>
    </w:p>
    <w:p>
      <w:pPr>
        <w:spacing w:line="400" w:lineRule="exact"/>
        <w:rPr>
          <w:rFonts w:hint="eastAsia" w:asciiTheme="minorEastAsia" w:hAnsiTheme="minorEastAsia" w:eastAsiaTheme="minorEastAsia" w:cstheme="minorEastAsia"/>
          <w:sz w:val="21"/>
          <w:szCs w:val="21"/>
        </w:rPr>
      </w:pPr>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66" w:name="_Toc30854"/>
      <w:r>
        <w:rPr>
          <w:rFonts w:hint="eastAsia" w:asciiTheme="minorEastAsia" w:hAnsiTheme="minorEastAsia" w:eastAsiaTheme="minorEastAsia" w:cstheme="minorEastAsia"/>
          <w:color w:val="000000"/>
          <w:sz w:val="21"/>
          <w:szCs w:val="21"/>
        </w:rPr>
        <w:t>附件1: 磋 商 响 应 函</w:t>
      </w:r>
      <w:bookmarkEnd w:id="66"/>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67" w:name="_Toc18786"/>
      <w:r>
        <w:rPr>
          <w:rFonts w:hint="eastAsia" w:asciiTheme="minorEastAsia" w:hAnsiTheme="minorEastAsia" w:eastAsiaTheme="minorEastAsia" w:cstheme="minorEastAsia"/>
          <w:color w:val="000000"/>
          <w:sz w:val="21"/>
          <w:szCs w:val="21"/>
        </w:rPr>
        <w:t>附件2：法定代表人身份证明</w:t>
      </w:r>
      <w:bookmarkEnd w:id="67"/>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68" w:name="_Toc22439"/>
      <w:r>
        <w:rPr>
          <w:rFonts w:hint="eastAsia" w:asciiTheme="minorEastAsia" w:hAnsiTheme="minorEastAsia" w:eastAsiaTheme="minorEastAsia" w:cstheme="minorEastAsia"/>
          <w:color w:val="000000"/>
          <w:sz w:val="21"/>
          <w:szCs w:val="21"/>
        </w:rPr>
        <w:t>附件3：法定代表人授权委托书</w:t>
      </w:r>
      <w:bookmarkEnd w:id="68"/>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69" w:name="_Toc24061"/>
      <w:r>
        <w:rPr>
          <w:rFonts w:hint="eastAsia" w:asciiTheme="minorEastAsia" w:hAnsiTheme="minorEastAsia" w:eastAsiaTheme="minorEastAsia" w:cstheme="minorEastAsia"/>
          <w:color w:val="000000"/>
          <w:sz w:val="21"/>
          <w:szCs w:val="21"/>
        </w:rPr>
        <w:t>附件4：磋商报价表（开标一览表）</w:t>
      </w:r>
      <w:bookmarkEnd w:id="69"/>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0" w:name="_Toc23676"/>
      <w:r>
        <w:rPr>
          <w:rFonts w:hint="eastAsia" w:asciiTheme="minorEastAsia" w:hAnsiTheme="minorEastAsia" w:eastAsiaTheme="minorEastAsia" w:cstheme="minorEastAsia"/>
          <w:color w:val="000000"/>
          <w:sz w:val="21"/>
          <w:szCs w:val="21"/>
        </w:rPr>
        <w:t>附件5：商务偏离表</w:t>
      </w:r>
      <w:bookmarkEnd w:id="70"/>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1" w:name="_Toc32168"/>
      <w:r>
        <w:rPr>
          <w:rFonts w:hint="eastAsia" w:asciiTheme="minorEastAsia" w:hAnsiTheme="minorEastAsia" w:eastAsiaTheme="minorEastAsia" w:cstheme="minorEastAsia"/>
          <w:color w:val="000000"/>
          <w:sz w:val="21"/>
          <w:szCs w:val="21"/>
        </w:rPr>
        <w:t>附件6：技术偏离表</w:t>
      </w:r>
      <w:bookmarkEnd w:id="71"/>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2" w:name="_Toc4252"/>
      <w:r>
        <w:rPr>
          <w:rFonts w:hint="eastAsia" w:asciiTheme="minorEastAsia" w:hAnsiTheme="minorEastAsia" w:eastAsiaTheme="minorEastAsia" w:cstheme="minorEastAsia"/>
          <w:color w:val="000000"/>
          <w:sz w:val="21"/>
          <w:szCs w:val="21"/>
        </w:rPr>
        <w:t>附件7：公司业绩一览表</w:t>
      </w:r>
      <w:bookmarkEnd w:id="72"/>
    </w:p>
    <w:p>
      <w:pPr>
        <w:spacing w:line="400" w:lineRule="exact"/>
        <w:ind w:firstLine="420" w:firstLineChars="200"/>
        <w:outlineLvl w:val="0"/>
        <w:rPr>
          <w:rFonts w:hint="eastAsia" w:asciiTheme="minorEastAsia" w:hAnsiTheme="minorEastAsia" w:eastAsiaTheme="minorEastAsia" w:cstheme="minorEastAsia"/>
          <w:color w:val="000000"/>
          <w:sz w:val="21"/>
          <w:szCs w:val="21"/>
        </w:rPr>
      </w:pPr>
      <w:bookmarkStart w:id="73" w:name="_Toc20234"/>
      <w:r>
        <w:rPr>
          <w:rFonts w:hint="eastAsia" w:asciiTheme="minorEastAsia" w:hAnsiTheme="minorEastAsia" w:eastAsiaTheme="minorEastAsia" w:cstheme="minorEastAsia"/>
          <w:color w:val="000000"/>
          <w:sz w:val="21"/>
          <w:szCs w:val="21"/>
        </w:rPr>
        <w:t>附件8：优惠条件承诺书</w:t>
      </w:r>
      <w:bookmarkEnd w:id="73"/>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4" w:name="_Toc24015"/>
      <w:r>
        <w:rPr>
          <w:rFonts w:hint="eastAsia" w:asciiTheme="minorEastAsia" w:hAnsiTheme="minorEastAsia" w:eastAsiaTheme="minorEastAsia" w:cstheme="minorEastAsia"/>
          <w:color w:val="000000"/>
          <w:sz w:val="21"/>
          <w:szCs w:val="21"/>
        </w:rPr>
        <w:t>附件9：售后服务承诺</w:t>
      </w:r>
      <w:bookmarkEnd w:id="74"/>
      <w:r>
        <w:rPr>
          <w:rFonts w:hint="eastAsia" w:asciiTheme="minorEastAsia" w:hAnsiTheme="minorEastAsia" w:eastAsiaTheme="minorEastAsia" w:cstheme="minorEastAsia"/>
          <w:color w:val="000000"/>
          <w:sz w:val="21"/>
          <w:szCs w:val="21"/>
        </w:rPr>
        <w:t xml:space="preserve"> </w:t>
      </w:r>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5" w:name="_Toc901"/>
      <w:r>
        <w:rPr>
          <w:rFonts w:hint="eastAsia" w:asciiTheme="minorEastAsia" w:hAnsiTheme="minorEastAsia" w:eastAsiaTheme="minorEastAsia" w:cstheme="minorEastAsia"/>
          <w:color w:val="000000"/>
          <w:sz w:val="21"/>
          <w:szCs w:val="21"/>
        </w:rPr>
        <w:t>附件10：无重大违法记录声明</w:t>
      </w:r>
      <w:bookmarkEnd w:id="75"/>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6" w:name="_Toc19396"/>
      <w:r>
        <w:rPr>
          <w:rFonts w:hint="eastAsia" w:asciiTheme="minorEastAsia" w:hAnsiTheme="minorEastAsia" w:eastAsiaTheme="minorEastAsia" w:cstheme="minorEastAsia"/>
          <w:color w:val="000000"/>
          <w:sz w:val="21"/>
          <w:szCs w:val="21"/>
        </w:rPr>
        <w:t>附件 11：供应商反商业贿赂承诺书</w:t>
      </w:r>
      <w:bookmarkEnd w:id="76"/>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7" w:name="_Toc30867"/>
      <w:r>
        <w:rPr>
          <w:rFonts w:hint="eastAsia" w:asciiTheme="minorEastAsia" w:hAnsiTheme="minorEastAsia" w:eastAsiaTheme="minorEastAsia" w:cstheme="minorEastAsia"/>
          <w:color w:val="000000"/>
          <w:sz w:val="21"/>
          <w:szCs w:val="21"/>
        </w:rPr>
        <w:t>附件12：中小微企业证明文件等（如有）</w:t>
      </w:r>
      <w:bookmarkEnd w:id="77"/>
    </w:p>
    <w:p>
      <w:pPr>
        <w:spacing w:line="400" w:lineRule="exact"/>
        <w:ind w:firstLine="420" w:firstLineChars="200"/>
        <w:textAlignment w:val="baseline"/>
        <w:outlineLvl w:val="0"/>
        <w:rPr>
          <w:rFonts w:hint="eastAsia" w:asciiTheme="minorEastAsia" w:hAnsiTheme="minorEastAsia" w:eastAsiaTheme="minorEastAsia" w:cstheme="minorEastAsia"/>
          <w:color w:val="000000"/>
          <w:sz w:val="21"/>
          <w:szCs w:val="21"/>
        </w:rPr>
      </w:pPr>
      <w:bookmarkStart w:id="78" w:name="_Toc3181"/>
      <w:r>
        <w:rPr>
          <w:rFonts w:hint="eastAsia" w:asciiTheme="minorEastAsia" w:hAnsiTheme="minorEastAsia" w:eastAsiaTheme="minorEastAsia" w:cstheme="minorEastAsia"/>
          <w:color w:val="000000"/>
          <w:sz w:val="21"/>
          <w:szCs w:val="21"/>
        </w:rPr>
        <w:t>附件13：投标人认为有必要提交的其他相关证明材料</w:t>
      </w:r>
      <w:bookmarkEnd w:id="78"/>
    </w:p>
    <w:p>
      <w:pPr>
        <w:spacing w:line="400" w:lineRule="exact"/>
        <w:rPr>
          <w:rFonts w:hint="eastAsia" w:asciiTheme="minorEastAsia" w:hAnsiTheme="minorEastAsia" w:eastAsiaTheme="minorEastAsia" w:cstheme="minorEastAsia"/>
          <w:sz w:val="21"/>
          <w:szCs w:val="21"/>
        </w:rPr>
        <w:sectPr>
          <w:footerReference r:id="rId8" w:type="first"/>
          <w:footerReference r:id="rId7" w:type="default"/>
          <w:pgSz w:w="11907" w:h="16840"/>
          <w:pgMar w:top="1440" w:right="1247" w:bottom="1440" w:left="1361" w:header="851" w:footer="799" w:gutter="0"/>
          <w:pgNumType w:fmt="decimal"/>
          <w:cols w:space="720" w:num="1"/>
          <w:titlePg/>
          <w:docGrid w:type="lines" w:linePitch="409" w:charSpace="0"/>
        </w:sectPr>
      </w:pPr>
    </w:p>
    <w:p>
      <w:pPr>
        <w:spacing w:line="400" w:lineRule="exact"/>
        <w:rPr>
          <w:rFonts w:hint="eastAsia" w:asciiTheme="minorEastAsia" w:hAnsiTheme="minorEastAsia" w:eastAsiaTheme="minorEastAsia" w:cstheme="minorEastAsia"/>
          <w:b/>
          <w:color w:val="000000"/>
          <w:sz w:val="21"/>
          <w:szCs w:val="21"/>
        </w:rPr>
      </w:pPr>
      <w:bookmarkStart w:id="79" w:name="_Toc16702"/>
      <w:r>
        <w:rPr>
          <w:rFonts w:hint="eastAsia" w:asciiTheme="minorEastAsia" w:hAnsiTheme="minorEastAsia" w:eastAsiaTheme="minorEastAsia" w:cstheme="minorEastAsia"/>
          <w:b/>
          <w:color w:val="000000"/>
          <w:sz w:val="21"/>
          <w:szCs w:val="21"/>
        </w:rPr>
        <w:t>附件1：</w:t>
      </w:r>
      <w:bookmarkEnd w:id="79"/>
    </w:p>
    <w:p>
      <w:pPr>
        <w:spacing w:line="40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磋 商 响 应 函</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致：</w:t>
      </w:r>
      <w:r>
        <w:rPr>
          <w:rFonts w:hint="eastAsia" w:asciiTheme="minorEastAsia" w:hAnsiTheme="minorEastAsia" w:eastAsiaTheme="minorEastAsia" w:cstheme="minorEastAsia"/>
          <w:color w:val="000000"/>
          <w:sz w:val="21"/>
          <w:szCs w:val="21"/>
        </w:rPr>
        <w:t>宏业国际项目管理有限公司</w:t>
      </w:r>
    </w:p>
    <w:p>
      <w:pPr>
        <w:spacing w:line="400" w:lineRule="exact"/>
        <w:ind w:firstLine="396"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pacing w:val="-6"/>
          <w:sz w:val="21"/>
          <w:szCs w:val="21"/>
        </w:rPr>
        <w:t>根据贵方项目</w:t>
      </w:r>
      <w:r>
        <w:rPr>
          <w:rFonts w:hint="eastAsia" w:asciiTheme="minorEastAsia" w:hAnsiTheme="minorEastAsia" w:eastAsiaTheme="minorEastAsia" w:cstheme="minorEastAsia"/>
          <w:color w:val="000000"/>
          <w:sz w:val="21"/>
          <w:szCs w:val="21"/>
        </w:rPr>
        <w:t>的</w:t>
      </w:r>
      <w:r>
        <w:rPr>
          <w:rFonts w:hint="eastAsia" w:asciiTheme="minorEastAsia" w:hAnsiTheme="minorEastAsia" w:eastAsiaTheme="minorEastAsia" w:cstheme="minorEastAsia"/>
          <w:color w:val="000000"/>
          <w:spacing w:val="-6"/>
          <w:sz w:val="21"/>
          <w:szCs w:val="21"/>
        </w:rPr>
        <w:t>招标采购</w:t>
      </w:r>
      <w:r>
        <w:rPr>
          <w:rFonts w:hint="eastAsia" w:asciiTheme="minorEastAsia" w:hAnsiTheme="minorEastAsia" w:eastAsiaTheme="minorEastAsia" w:cstheme="minorEastAsia"/>
          <w:color w:val="000000"/>
          <w:sz w:val="21"/>
          <w:szCs w:val="21"/>
        </w:rPr>
        <w:t>(项目编号:      )，正式授权的下述签字人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姓名和职务）代表供应</w:t>
      </w:r>
      <w:r>
        <w:rPr>
          <w:rFonts w:hint="eastAsia" w:asciiTheme="minorEastAsia" w:hAnsiTheme="minorEastAsia" w:eastAsiaTheme="minorEastAsia" w:cstheme="minorEastAsia"/>
          <w:color w:val="auto"/>
          <w:sz w:val="21"/>
          <w:szCs w:val="21"/>
        </w:rPr>
        <w:t>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磋商供应商名称），提交下述文件</w:t>
      </w:r>
      <w:r>
        <w:rPr>
          <w:rFonts w:hint="eastAsia" w:asciiTheme="minorEastAsia" w:hAnsiTheme="minorEastAsia" w:eastAsiaTheme="minorEastAsia" w:cstheme="minorEastAsia"/>
          <w:bCs/>
          <w:color w:val="auto"/>
          <w:sz w:val="21"/>
          <w:szCs w:val="21"/>
        </w:rPr>
        <w:t>正本1份，副本2份，开标一览表1份，电子U盘1份，光盘</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份</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1.磋商响应函</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2.开标一览表</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3.磋商报价表</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4.磋商保证金</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auto"/>
          <w:sz w:val="21"/>
          <w:szCs w:val="21"/>
        </w:rPr>
        <w:t>5.按磋商文件要求供应商提交的</w:t>
      </w:r>
      <w:r>
        <w:rPr>
          <w:rFonts w:hint="eastAsia" w:asciiTheme="minorEastAsia" w:hAnsiTheme="minorEastAsia" w:eastAsiaTheme="minorEastAsia" w:cstheme="minorEastAsia"/>
          <w:color w:val="000000"/>
          <w:sz w:val="21"/>
          <w:szCs w:val="21"/>
        </w:rPr>
        <w:t>全部文件</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据此函，签字人兹宣布同意如下条款：</w:t>
      </w:r>
    </w:p>
    <w:p>
      <w:pPr>
        <w:numPr>
          <w:ilvl w:val="0"/>
          <w:numId w:val="0"/>
        </w:numPr>
        <w:spacing w:line="400" w:lineRule="exact"/>
        <w:ind w:left="-360" w:left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 xml:space="preserve">      （1）</w:t>
      </w:r>
      <w:r>
        <w:rPr>
          <w:rFonts w:hint="eastAsia" w:asciiTheme="minorEastAsia" w:hAnsiTheme="minorEastAsia" w:eastAsiaTheme="minorEastAsia" w:cstheme="minorEastAsia"/>
          <w:color w:val="000000"/>
          <w:sz w:val="21"/>
          <w:szCs w:val="21"/>
        </w:rPr>
        <w:t>附磋商价格表中规定的应提供和交付的货物及服务磋商总价为</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大写）。</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⑵ 我们将按磋商文件的规定履行合同责任和义务。</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⑶ 我们已详细审查全部磋商文件，包括修改意见（如有则附）以及全部参考资料和有关附件。我们完全理解并同意放弃对这方面有不明及误解而要求招标方解释和承担责任的权利。</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⑷ 在供应商须知规定的磋商有效期内遵循本磋商响应性文件，并在磋商须知规定的磋商有效期期满之前具有约束力。</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⑸ 如果在规定的磋商有效期内撤回投标，我们的磋商保证金可被贵方没收。</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⑹ 同意提供贵方可能要求的与本投标有关的任何证据或资料。</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⑺ 我们同意提供按照招标单位可能出示的与其投标有关的一切数据或资料。</w:t>
      </w:r>
    </w:p>
    <w:p>
      <w:pPr>
        <w:spacing w:line="40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⑻ 我们理解贵方不一定要接受最低报价的投标或收到的任何投标。</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⑼ 与本投标有关的一切正式往来通讯请寄至：</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电话：</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传真：</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法定代表人或授权代表人（签字）：</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80" w:name="_Toc21536"/>
      <w:r>
        <w:rPr>
          <w:rFonts w:hint="eastAsia" w:asciiTheme="minorEastAsia" w:hAnsiTheme="minorEastAsia" w:eastAsiaTheme="minorEastAsia" w:cstheme="minorEastAsia"/>
          <w:b/>
          <w:sz w:val="21"/>
          <w:szCs w:val="21"/>
        </w:rPr>
        <w:t>附件2：</w:t>
      </w:r>
      <w:bookmarkEnd w:id="80"/>
      <w:bookmarkStart w:id="81" w:name="_Toc139965362"/>
    </w:p>
    <w:p>
      <w:pPr>
        <w:spacing w:line="400" w:lineRule="exact"/>
        <w:jc w:val="center"/>
        <w:rPr>
          <w:rFonts w:hint="eastAsia" w:asciiTheme="minorEastAsia" w:hAnsiTheme="minorEastAsia" w:eastAsiaTheme="minorEastAsia" w:cstheme="minorEastAsia"/>
          <w:b/>
          <w:sz w:val="21"/>
          <w:szCs w:val="21"/>
        </w:rPr>
      </w:pPr>
      <w:bookmarkStart w:id="82" w:name="_Toc327439494"/>
      <w:r>
        <w:rPr>
          <w:rFonts w:hint="eastAsia" w:asciiTheme="minorEastAsia" w:hAnsiTheme="minorEastAsia" w:eastAsiaTheme="minorEastAsia" w:cstheme="minorEastAsia"/>
          <w:b/>
          <w:sz w:val="21"/>
          <w:szCs w:val="21"/>
        </w:rPr>
        <w:t>法定代表人身份证明</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磋商供应商名称：</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单位性质：</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成立时间：年月日</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经营期限：</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姓名：性别：年龄：职务：</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身份证号码：</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系（磋商供应商名称）的法定代表人。</w:t>
      </w:r>
    </w:p>
    <w:p>
      <w:pPr>
        <w:spacing w:line="400" w:lineRule="exact"/>
        <w:ind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特此证明。</w:t>
      </w: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tbl>
      <w:tblPr>
        <w:tblStyle w:val="36"/>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法定代表人身份证</w:t>
            </w:r>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复印件正面</w:t>
            </w:r>
          </w:p>
        </w:tc>
        <w:tc>
          <w:tcPr>
            <w:tcW w:w="4610" w:type="dxa"/>
            <w:vAlign w:val="center"/>
          </w:tcPr>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法定代表人身份证</w:t>
            </w:r>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复印件反面</w:t>
            </w:r>
          </w:p>
        </w:tc>
      </w:tr>
    </w:tbl>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83" w:name="_Toc16424"/>
      <w:r>
        <w:rPr>
          <w:rFonts w:hint="eastAsia" w:asciiTheme="minorEastAsia" w:hAnsiTheme="minorEastAsia" w:eastAsiaTheme="minorEastAsia" w:cstheme="minorEastAsia"/>
          <w:b/>
          <w:sz w:val="21"/>
          <w:szCs w:val="21"/>
        </w:rPr>
        <w:t>附件3：</w:t>
      </w:r>
      <w:bookmarkEnd w:id="83"/>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法定代表人授权委托书</w:t>
      </w:r>
    </w:p>
    <w:p>
      <w:pPr>
        <w:spacing w:line="400" w:lineRule="exact"/>
        <w:jc w:val="center"/>
        <w:rPr>
          <w:rFonts w:hint="eastAsia" w:asciiTheme="minorEastAsia" w:hAnsiTheme="minorEastAsia" w:eastAsiaTheme="minorEastAsia" w:cstheme="minorEastAsia"/>
          <w:sz w:val="21"/>
          <w:szCs w:val="21"/>
        </w:rPr>
      </w:pPr>
    </w:p>
    <w:p>
      <w:pPr>
        <w:spacing w:line="400" w:lineRule="exact"/>
        <w:ind w:firstLine="420" w:firstLineChars="200"/>
        <w:jc w:val="lef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 xml:space="preserve">本授权书声明：我单位的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（法人代表姓名、职务）代表本单位授权</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被授权人的姓名、职务）为本单位的合法代理人，就</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项目的投标及合同的执行、完成，以本单位的名义处理一切与之有关的事务。</w:t>
      </w:r>
    </w:p>
    <w:p>
      <w:pPr>
        <w:spacing w:line="400" w:lineRule="exact"/>
        <w:ind w:firstLine="538"/>
        <w:jc w:val="left"/>
        <w:rPr>
          <w:rFonts w:hint="eastAsia" w:asciiTheme="minorEastAsia" w:hAnsiTheme="minorEastAsia" w:eastAsiaTheme="minorEastAsia" w:cstheme="minorEastAsia"/>
          <w:color w:val="000000"/>
          <w:sz w:val="21"/>
          <w:szCs w:val="21"/>
        </w:rPr>
      </w:pPr>
    </w:p>
    <w:p>
      <w:pPr>
        <w:spacing w:line="400" w:lineRule="exact"/>
        <w:ind w:firstLine="538"/>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本授权书于年月日签字生效，特此声明。</w:t>
      </w:r>
    </w:p>
    <w:p>
      <w:pPr>
        <w:spacing w:line="400" w:lineRule="exact"/>
        <w:ind w:firstLine="538"/>
        <w:jc w:val="lef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I9UCNoAAAAJAQAADwAAAAAAAAAB&#10;ACAAAAAiAAAAZHJzL2Rvd25yZXYueG1sUEsBAhQAFAAAAAgAh07iQNlOR3NHAgAAlgQAAA4AAAAA&#10;AAAAAQAgAAAAKQ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ind w:firstLine="437"/>
        <w:rPr>
          <w:rFonts w:hint="eastAsia" w:asciiTheme="minorEastAsia" w:hAnsiTheme="minorEastAsia" w:eastAsiaTheme="minorEastAsia" w:cstheme="minorEastAsia"/>
          <w:color w:val="000000"/>
          <w:sz w:val="21"/>
          <w:szCs w:val="21"/>
        </w:rPr>
      </w:pPr>
    </w:p>
    <w:p>
      <w:pPr>
        <w:spacing w:line="400" w:lineRule="exact"/>
        <w:ind w:firstLine="437"/>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37"/>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法定代表人签字：</w:t>
      </w:r>
    </w:p>
    <w:p>
      <w:pPr>
        <w:spacing w:line="400" w:lineRule="exact"/>
        <w:ind w:firstLine="437"/>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授权代表人签字：</w:t>
      </w:r>
    </w:p>
    <w:p>
      <w:pPr>
        <w:spacing w:line="400" w:lineRule="exact"/>
        <w:ind w:firstLine="411" w:firstLineChars="1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日期：  年   月   日</w:t>
      </w:r>
    </w:p>
    <w:p>
      <w:pPr>
        <w:spacing w:line="400" w:lineRule="exact"/>
        <w:jc w:val="righ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pacing w:val="10"/>
          <w:sz w:val="21"/>
          <w:szCs w:val="21"/>
        </w:rPr>
      </w:pPr>
    </w:p>
    <w:p>
      <w:pPr>
        <w:spacing w:line="40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b/>
          <w:color w:val="000000"/>
          <w:sz w:val="21"/>
          <w:szCs w:val="21"/>
        </w:rPr>
      </w:pPr>
      <w:bookmarkStart w:id="84" w:name="_Toc9209"/>
      <w:r>
        <w:rPr>
          <w:rFonts w:hint="eastAsia" w:asciiTheme="minorEastAsia" w:hAnsiTheme="minorEastAsia" w:eastAsiaTheme="minorEastAsia" w:cstheme="minorEastAsia"/>
          <w:b/>
          <w:color w:val="000000"/>
          <w:sz w:val="21"/>
          <w:szCs w:val="21"/>
        </w:rPr>
        <w:br w:type="page"/>
      </w:r>
    </w:p>
    <w:p>
      <w:pPr>
        <w:spacing w:line="400" w:lineRule="exact"/>
        <w:jc w:val="left"/>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附件4：</w:t>
      </w:r>
      <w:bookmarkEnd w:id="84"/>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报价一览表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项目编号：    </w:t>
      </w:r>
      <w:r>
        <w:rPr>
          <w:rFonts w:hint="eastAsia" w:asciiTheme="minorEastAsia" w:hAnsiTheme="minorEastAsia" w:eastAsiaTheme="minorEastAsia" w:cstheme="minorEastAsia"/>
          <w:sz w:val="21"/>
          <w:szCs w:val="21"/>
        </w:rPr>
        <w:t xml:space="preserve">   </w:t>
      </w: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6801"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c>
          <w:tcPr>
            <w:tcW w:w="6801"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（小写）</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服务期</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质量标准</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报价说明</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p>
    <w:p>
      <w:pPr>
        <w:spacing w:line="400" w:lineRule="exact"/>
        <w:rPr>
          <w:rFonts w:hint="eastAsia" w:asciiTheme="minorEastAsia" w:hAnsiTheme="minorEastAsia" w:eastAsiaTheme="minorEastAsia" w:cstheme="minorEastAsia"/>
          <w:b/>
          <w:bCs/>
          <w:sz w:val="21"/>
          <w:szCs w:val="21"/>
        </w:rPr>
      </w:pPr>
    </w:p>
    <w:p>
      <w:pPr>
        <w:pStyle w:val="2"/>
        <w:spacing w:line="400" w:lineRule="exact"/>
        <w:rPr>
          <w:rFonts w:hint="eastAsia" w:asciiTheme="minorEastAsia" w:hAnsiTheme="minorEastAsia" w:eastAsiaTheme="minorEastAsia" w:cstheme="minorEastAsia"/>
          <w:b/>
          <w:bCs/>
          <w:sz w:val="21"/>
          <w:szCs w:val="21"/>
        </w:rPr>
      </w:pP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lang w:eastAsia="zh-CN"/>
        </w:rPr>
        <w:t>磋商</w:t>
      </w:r>
      <w:r>
        <w:rPr>
          <w:rFonts w:hint="eastAsia" w:asciiTheme="minorEastAsia" w:hAnsiTheme="minorEastAsia" w:eastAsiaTheme="minorEastAsia" w:cstheme="minorEastAsia"/>
          <w:color w:val="000000"/>
          <w:sz w:val="21"/>
          <w:szCs w:val="21"/>
        </w:rPr>
        <w:t>供应商名称（公章）：</w:t>
      </w: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法定代表人或授权代表人（签字）：</w:t>
      </w:r>
    </w:p>
    <w:p>
      <w:pPr>
        <w:spacing w:line="400" w:lineRule="exact"/>
        <w:jc w:val="center"/>
        <w:rPr>
          <w:rFonts w:hint="eastAsia" w:asciiTheme="minorEastAsia" w:hAnsiTheme="minorEastAsia" w:eastAsiaTheme="minorEastAsia" w:cstheme="minorEastAsia"/>
          <w:bCs/>
          <w:color w:val="000000"/>
          <w:sz w:val="21"/>
          <w:szCs w:val="21"/>
          <w:u w:val="single"/>
        </w:rPr>
      </w:pPr>
      <w:r>
        <w:rPr>
          <w:rFonts w:hint="eastAsia" w:asciiTheme="minorEastAsia" w:hAnsiTheme="minorEastAsia" w:eastAsiaTheme="minorEastAsia" w:cstheme="minorEastAsia"/>
          <w:bCs/>
          <w:color w:val="000000"/>
          <w:sz w:val="21"/>
          <w:szCs w:val="21"/>
        </w:rPr>
        <w:t>日期：</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年</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月</w:t>
      </w:r>
      <w:r>
        <w:rPr>
          <w:rFonts w:hint="eastAsia" w:asciiTheme="minorEastAsia" w:hAnsiTheme="minorEastAsia" w:eastAsiaTheme="minorEastAsia" w:cstheme="minorEastAsia"/>
          <w:bCs/>
          <w:color w:val="000000"/>
          <w:sz w:val="21"/>
          <w:szCs w:val="21"/>
          <w:u w:val="single"/>
        </w:rPr>
        <w:t xml:space="preserve">     </w:t>
      </w:r>
    </w:p>
    <w:p>
      <w:pPr>
        <w:spacing w:line="400" w:lineRule="exact"/>
        <w:rPr>
          <w:rFonts w:hint="eastAsia" w:asciiTheme="minorEastAsia" w:hAnsiTheme="minorEastAsia" w:eastAsiaTheme="minorEastAsia" w:cstheme="minorEastAsia"/>
          <w:bCs/>
          <w:color w:val="000000"/>
          <w:sz w:val="21"/>
          <w:szCs w:val="21"/>
          <w:u w:val="single"/>
        </w:rPr>
      </w:pPr>
      <w:r>
        <w:rPr>
          <w:rFonts w:hint="eastAsia" w:asciiTheme="minorEastAsia" w:hAnsiTheme="minorEastAsia" w:eastAsiaTheme="minorEastAsia" w:cstheme="minorEastAsia"/>
          <w:bCs/>
          <w:color w:val="000000"/>
          <w:sz w:val="21"/>
          <w:szCs w:val="21"/>
          <w:u w:val="single"/>
        </w:rPr>
        <w:br w:type="page"/>
      </w:r>
    </w:p>
    <w:p>
      <w:pPr>
        <w:spacing w:line="400" w:lineRule="exact"/>
        <w:jc w:val="center"/>
        <w:rPr>
          <w:rFonts w:hint="eastAsia" w:asciiTheme="minorEastAsia" w:hAnsiTheme="minorEastAsia" w:eastAsiaTheme="minorEastAsia" w:cstheme="minorEastAsia"/>
          <w:sz w:val="21"/>
          <w:szCs w:val="21"/>
        </w:rPr>
      </w:pPr>
    </w:p>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报价明细表</w:t>
      </w:r>
    </w:p>
    <w:p>
      <w:pPr>
        <w:pStyle w:val="35"/>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项目编号：</w:t>
      </w:r>
    </w:p>
    <w:tbl>
      <w:tblPr>
        <w:tblStyle w:val="36"/>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900"/>
        <w:gridCol w:w="2415"/>
        <w:gridCol w:w="1985"/>
        <w:gridCol w:w="18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招标内容</w:t>
            </w: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单价（元）</w:t>
            </w:r>
          </w:p>
        </w:tc>
        <w:tc>
          <w:tcPr>
            <w:tcW w:w="1985"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数量</w:t>
            </w:r>
          </w:p>
        </w:tc>
        <w:tc>
          <w:tcPr>
            <w:tcW w:w="1842"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总价（元）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left"/>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1900"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415" w:type="dxa"/>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985" w:type="dxa"/>
          </w:tcPr>
          <w:p>
            <w:pPr>
              <w:spacing w:line="400" w:lineRule="exact"/>
              <w:jc w:val="center"/>
              <w:rPr>
                <w:rFonts w:hint="eastAsia" w:asciiTheme="minorEastAsia" w:hAnsiTheme="minorEastAsia" w:eastAsiaTheme="minorEastAsia" w:cstheme="minorEastAsia"/>
                <w:b/>
                <w:color w:val="000000"/>
                <w:sz w:val="21"/>
                <w:szCs w:val="21"/>
                <w:u w:val="single"/>
              </w:rPr>
            </w:pPr>
          </w:p>
        </w:tc>
        <w:tc>
          <w:tcPr>
            <w:tcW w:w="1842" w:type="dxa"/>
          </w:tcPr>
          <w:p>
            <w:pPr>
              <w:spacing w:line="400" w:lineRule="exact"/>
              <w:jc w:val="center"/>
              <w:rPr>
                <w:rFonts w:hint="eastAsia" w:asciiTheme="minorEastAsia" w:hAnsiTheme="minorEastAsia" w:eastAsiaTheme="minorEastAsia" w:cstheme="minorEastAsia"/>
                <w:b/>
                <w:color w:val="000000"/>
                <w:sz w:val="21"/>
                <w:szCs w:val="21"/>
                <w:u w:val="single"/>
              </w:rPr>
            </w:pPr>
          </w:p>
        </w:tc>
      </w:tr>
    </w:tbl>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jc w:val="righ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jc w:val="righ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jc w:val="righ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bookmarkEnd w:id="81"/>
    <w:bookmarkEnd w:id="82"/>
    <w:p>
      <w:pPr>
        <w:spacing w:line="400" w:lineRule="exact"/>
        <w:rPr>
          <w:rFonts w:hint="eastAsia" w:asciiTheme="minorEastAsia" w:hAnsiTheme="minorEastAsia" w:eastAsiaTheme="minorEastAsia" w:cstheme="minorEastAsia"/>
          <w:b/>
          <w:sz w:val="21"/>
          <w:szCs w:val="21"/>
        </w:rPr>
      </w:pPr>
      <w:bookmarkStart w:id="85" w:name="_Toc32506"/>
      <w:r>
        <w:rPr>
          <w:rFonts w:hint="eastAsia" w:asciiTheme="minorEastAsia" w:hAnsiTheme="minorEastAsia" w:eastAsiaTheme="minorEastAsia" w:cstheme="minorEastAsia"/>
          <w:b/>
          <w:sz w:val="21"/>
          <w:szCs w:val="21"/>
        </w:rPr>
        <w:t>附件5：</w:t>
      </w:r>
      <w:bookmarkEnd w:id="85"/>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商务偏离表</w:t>
      </w:r>
    </w:p>
    <w:p>
      <w:pPr>
        <w:spacing w:line="400" w:lineRule="exact"/>
        <w:jc w:val="center"/>
        <w:rPr>
          <w:rFonts w:hint="eastAsia" w:asciiTheme="minorEastAsia" w:hAnsiTheme="minorEastAsia" w:eastAsiaTheme="minorEastAsia" w:cstheme="minorEastAsia"/>
          <w:b/>
          <w:sz w:val="21"/>
          <w:szCs w:val="21"/>
        </w:rPr>
      </w:pPr>
    </w:p>
    <w:tbl>
      <w:tblPr>
        <w:tblStyle w:val="36"/>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序号</w:t>
            </w: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招标文件条目号</w:t>
            </w: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招标文件的商务条款</w:t>
            </w: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投标文件的商务条款</w:t>
            </w: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偏离情况</w:t>
            </w: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983"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8" w:type="dxa"/>
            <w:tcMar>
              <w:top w:w="15" w:type="dxa"/>
              <w:left w:w="15" w:type="dxa"/>
              <w:bottom w:w="0" w:type="dxa"/>
              <w:right w:w="15" w:type="dxa"/>
            </w:tcMar>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2345" w:type="dxa"/>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1274"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c>
          <w:tcPr>
            <w:tcW w:w="900"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bCs/>
                <w:color w:val="000000"/>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注：除本商务偏离表中所列的偏离内容外，其他所有商务条款均应完全响应“磋商文件”中的要求。</w: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color w:val="000000"/>
          <w:sz w:val="21"/>
          <w:szCs w:val="21"/>
          <w:u w:val="single"/>
        </w:rPr>
      </w:pPr>
      <w:bookmarkStart w:id="86" w:name="_Toc327439493"/>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ind w:firstLine="5145" w:firstLineChars="2450"/>
        <w:rPr>
          <w:rFonts w:hint="eastAsia" w:asciiTheme="minorEastAsia" w:hAnsiTheme="minorEastAsia" w:eastAsiaTheme="minorEastAsia" w:cstheme="minorEastAsia"/>
          <w:bCs/>
          <w:sz w:val="21"/>
          <w:szCs w:val="21"/>
          <w:u w:val="single"/>
        </w:rPr>
      </w:pPr>
    </w:p>
    <w:p>
      <w:pPr>
        <w:snapToGrid w:val="0"/>
        <w:spacing w:line="400" w:lineRule="exact"/>
        <w:rPr>
          <w:rFonts w:hint="eastAsia" w:asciiTheme="minorEastAsia" w:hAnsiTheme="minorEastAsia" w:eastAsiaTheme="minorEastAsia" w:cstheme="minorEastAsia"/>
          <w:bCs/>
          <w:sz w:val="21"/>
          <w:szCs w:val="21"/>
          <w:u w:val="single"/>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87" w:name="_Toc8206"/>
      <w:r>
        <w:rPr>
          <w:rFonts w:hint="eastAsia" w:asciiTheme="minorEastAsia" w:hAnsiTheme="minorEastAsia" w:eastAsiaTheme="minorEastAsia" w:cstheme="minorEastAsia"/>
          <w:b/>
          <w:sz w:val="21"/>
          <w:szCs w:val="21"/>
        </w:rPr>
        <w:t>附件6：</w:t>
      </w:r>
      <w:bookmarkEnd w:id="87"/>
    </w:p>
    <w:p>
      <w:pPr>
        <w:snapToGrid w:val="0"/>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技术偏离表</w:t>
      </w:r>
    </w:p>
    <w:tbl>
      <w:tblPr>
        <w:tblStyle w:val="36"/>
        <w:tblW w:w="8496" w:type="dxa"/>
        <w:jc w:val="center"/>
        <w:tblLayout w:type="fixed"/>
        <w:tblCellMar>
          <w:top w:w="0" w:type="dxa"/>
          <w:left w:w="0" w:type="dxa"/>
          <w:bottom w:w="0" w:type="dxa"/>
          <w:right w:w="0" w:type="dxa"/>
        </w:tblCellMar>
      </w:tblPr>
      <w:tblGrid>
        <w:gridCol w:w="1427"/>
        <w:gridCol w:w="1440"/>
        <w:gridCol w:w="2160"/>
        <w:gridCol w:w="2340"/>
        <w:gridCol w:w="1129"/>
      </w:tblGrid>
      <w:tr>
        <w:tblPrEx>
          <w:tblCellMar>
            <w:top w:w="0" w:type="dxa"/>
            <w:left w:w="0" w:type="dxa"/>
            <w:bottom w:w="0" w:type="dxa"/>
            <w:right w:w="0" w:type="dxa"/>
          </w:tblCellMar>
        </w:tblPrEx>
        <w:trPr>
          <w:cantSplit/>
          <w:trHeight w:val="402" w:hRule="atLeast"/>
          <w:jc w:val="center"/>
        </w:trPr>
        <w:tc>
          <w:tcPr>
            <w:tcW w:w="142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招标内容</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偏离情况</w:t>
            </w:r>
          </w:p>
        </w:tc>
      </w:tr>
      <w:tr>
        <w:tblPrEx>
          <w:tblCellMar>
            <w:top w:w="0" w:type="dxa"/>
            <w:left w:w="0" w:type="dxa"/>
            <w:bottom w:w="0" w:type="dxa"/>
            <w:right w:w="0" w:type="dxa"/>
          </w:tblCellMar>
        </w:tblPrEx>
        <w:trPr>
          <w:cantSplit/>
          <w:trHeight w:val="402" w:hRule="atLeast"/>
          <w:jc w:val="center"/>
        </w:trPr>
        <w:tc>
          <w:tcPr>
            <w:tcW w:w="142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磋商文件技术要求</w:t>
            </w:r>
          </w:p>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磋商供应商的技术响</w:t>
            </w:r>
          </w:p>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390"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spacing w:line="400" w:lineRule="exact"/>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spacing w:line="400" w:lineRule="exact"/>
              <w:rPr>
                <w:rFonts w:hint="eastAsia" w:asciiTheme="minorEastAsia" w:hAnsiTheme="minorEastAsia" w:eastAsiaTheme="minorEastAsia" w:cstheme="minorEastAsia"/>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hint="eastAsia" w:asciiTheme="minorEastAsia" w:hAnsiTheme="minorEastAsia" w:eastAsiaTheme="minorEastAsia" w:cstheme="minorEastAsia"/>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hint="eastAsia" w:asciiTheme="minorEastAsia" w:hAnsiTheme="minorEastAsia" w:eastAsiaTheme="minorEastAsia" w:cstheme="minorEastAsia"/>
                <w:color w:val="000000"/>
                <w:sz w:val="21"/>
                <w:szCs w:val="21"/>
              </w:rPr>
            </w:pPr>
          </w:p>
        </w:tc>
      </w:tr>
    </w:tbl>
    <w:p>
      <w:pPr>
        <w:snapToGrid w:val="0"/>
        <w:spacing w:line="400" w:lineRule="exact"/>
        <w:jc w:val="center"/>
        <w:rPr>
          <w:rFonts w:hint="eastAsia" w:asciiTheme="minorEastAsia" w:hAnsiTheme="minorEastAsia" w:eastAsiaTheme="minorEastAsia" w:cstheme="minorEastAsia"/>
          <w:b/>
          <w:sz w:val="21"/>
          <w:szCs w:val="21"/>
        </w:rPr>
      </w:pPr>
    </w:p>
    <w:p>
      <w:pPr>
        <w:pStyle w:val="23"/>
        <w:spacing w:line="400" w:lineRule="exact"/>
        <w:jc w:val="center"/>
        <w:rPr>
          <w:rFonts w:hint="eastAsia" w:asciiTheme="minorEastAsia" w:hAnsiTheme="minorEastAsia" w:eastAsiaTheme="minorEastAsia" w:cstheme="minorEastAsia"/>
          <w:b/>
          <w:sz w:val="21"/>
          <w:szCs w:val="21"/>
        </w:rPr>
      </w:pPr>
    </w:p>
    <w:p>
      <w:pPr>
        <w:adjustRightInd w:val="0"/>
        <w:snapToGrid w:val="0"/>
        <w:spacing w:line="440" w:lineRule="exact"/>
        <w:ind w:left="693" w:hanging="693" w:hangingChars="330"/>
        <w:rPr>
          <w:rFonts w:hint="eastAsia" w:ascii="宋体" w:hAnsi="宋体" w:cs="宋体"/>
          <w:szCs w:val="21"/>
        </w:rPr>
      </w:pPr>
      <w:r>
        <w:rPr>
          <w:rFonts w:hint="eastAsia" w:ascii="宋体" w:hAnsi="宋体" w:cs="宋体"/>
          <w:szCs w:val="21"/>
        </w:rPr>
        <w:t>注：</w:t>
      </w:r>
    </w:p>
    <w:p>
      <w:pPr>
        <w:pStyle w:val="112"/>
        <w:numPr>
          <w:ilvl w:val="3"/>
          <w:numId w:val="4"/>
        </w:numPr>
        <w:adjustRightInd w:val="0"/>
        <w:snapToGrid w:val="0"/>
        <w:spacing w:line="440" w:lineRule="exact"/>
        <w:ind w:left="0" w:firstLine="0" w:firstLineChars="0"/>
        <w:rPr>
          <w:rFonts w:hint="eastAsia" w:ascii="宋体" w:hAnsi="宋体" w:cs="宋体"/>
          <w:szCs w:val="21"/>
        </w:rPr>
      </w:pPr>
      <w:r>
        <w:rPr>
          <w:rFonts w:hint="eastAsia" w:ascii="宋体" w:hAnsi="宋体" w:cs="宋体"/>
          <w:szCs w:val="21"/>
        </w:rPr>
        <w:t>投标人应当逐条对照采购文件合同条款，就投标文件对合同条款存在的偏差与例外逐条做出说明；</w:t>
      </w:r>
    </w:p>
    <w:p>
      <w:pPr>
        <w:pStyle w:val="112"/>
        <w:numPr>
          <w:ilvl w:val="3"/>
          <w:numId w:val="4"/>
        </w:numPr>
        <w:adjustRightInd w:val="0"/>
        <w:snapToGrid w:val="0"/>
        <w:spacing w:line="440" w:lineRule="exact"/>
        <w:ind w:left="0" w:firstLine="0" w:firstLineChars="0"/>
        <w:rPr>
          <w:rFonts w:hint="eastAsia" w:ascii="宋体" w:hAnsi="宋体" w:cs="宋体"/>
          <w:b/>
          <w:szCs w:val="21"/>
        </w:rPr>
      </w:pPr>
      <w:r>
        <w:rPr>
          <w:rFonts w:hint="eastAsia" w:ascii="宋体" w:hAnsi="宋体" w:cs="宋体"/>
          <w:b/>
          <w:szCs w:val="21"/>
        </w:rPr>
        <w:t>如投标文件对合同条款无任何偏差，投标人仅需在本偏离表中填写“无偏离”即可。</w:t>
      </w:r>
    </w:p>
    <w:p>
      <w:pPr>
        <w:pStyle w:val="30"/>
        <w:spacing w:line="400" w:lineRule="exact"/>
        <w:ind w:left="480" w:hanging="480"/>
        <w:rPr>
          <w:rFonts w:hint="eastAsia" w:asciiTheme="minorEastAsia" w:hAnsiTheme="minorEastAsia" w:eastAsiaTheme="minorEastAsia" w:cstheme="minorEastAsia"/>
          <w:b w:val="0"/>
          <w:sz w:val="21"/>
          <w:szCs w:val="21"/>
        </w:rPr>
      </w:pPr>
    </w:p>
    <w:p>
      <w:pPr>
        <w:pStyle w:val="30"/>
        <w:spacing w:line="400" w:lineRule="exact"/>
        <w:ind w:left="480" w:hanging="480"/>
        <w:rPr>
          <w:rFonts w:hint="eastAsia" w:asciiTheme="minorEastAsia" w:hAnsiTheme="minorEastAsia" w:eastAsiaTheme="minorEastAsia" w:cstheme="minorEastAsia"/>
          <w:b w:val="0"/>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ind w:firstLine="420" w:firstLineChars="200"/>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bCs/>
          <w:sz w:val="21"/>
          <w:szCs w:val="21"/>
        </w:rPr>
      </w:pPr>
    </w:p>
    <w:bookmarkEnd w:id="86"/>
    <w:p>
      <w:pPr>
        <w:spacing w:line="400" w:lineRule="exact"/>
        <w:rPr>
          <w:rFonts w:hint="eastAsia" w:asciiTheme="minorEastAsia" w:hAnsiTheme="minorEastAsia" w:eastAsiaTheme="minorEastAsia" w:cstheme="minorEastAsia"/>
          <w:sz w:val="21"/>
          <w:szCs w:val="21"/>
        </w:rPr>
        <w:sectPr>
          <w:headerReference r:id="rId9" w:type="default"/>
          <w:pgSz w:w="11906" w:h="16838"/>
          <w:pgMar w:top="1304" w:right="1247" w:bottom="1418" w:left="1247" w:header="851" w:footer="992" w:gutter="0"/>
          <w:pgNumType w:fmt="decimal"/>
          <w:cols w:space="720" w:num="1"/>
          <w:docGrid w:linePitch="312" w:charSpace="0"/>
        </w:sectPr>
      </w:pPr>
      <w:bookmarkStart w:id="88" w:name="_Toc258923314"/>
      <w:bookmarkStart w:id="89" w:name="_Toc400536597"/>
    </w:p>
    <w:p>
      <w:pPr>
        <w:spacing w:line="400" w:lineRule="exact"/>
        <w:rPr>
          <w:rFonts w:hint="eastAsia" w:asciiTheme="minorEastAsia" w:hAnsiTheme="minorEastAsia" w:eastAsiaTheme="minorEastAsia" w:cstheme="minorEastAsia"/>
          <w:b/>
          <w:sz w:val="21"/>
          <w:szCs w:val="21"/>
        </w:rPr>
      </w:pPr>
      <w:bookmarkStart w:id="90" w:name="_Toc5690"/>
      <w:r>
        <w:rPr>
          <w:rFonts w:hint="eastAsia" w:asciiTheme="minorEastAsia" w:hAnsiTheme="minorEastAsia" w:eastAsiaTheme="minorEastAsia" w:cstheme="minorEastAsia"/>
          <w:b/>
          <w:sz w:val="21"/>
          <w:szCs w:val="21"/>
        </w:rPr>
        <w:t>附件7：</w:t>
      </w:r>
      <w:bookmarkEnd w:id="90"/>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公司业绩一览表</w:t>
      </w:r>
      <w:bookmarkEnd w:id="88"/>
      <w:bookmarkEnd w:id="89"/>
    </w:p>
    <w:p>
      <w:pPr>
        <w:spacing w:line="400" w:lineRule="exact"/>
        <w:jc w:val="center"/>
        <w:rPr>
          <w:rFonts w:hint="eastAsia" w:asciiTheme="minorEastAsia" w:hAnsiTheme="minorEastAsia" w:eastAsiaTheme="minorEastAsia" w:cstheme="minorEastAsia"/>
          <w:sz w:val="21"/>
          <w:szCs w:val="21"/>
        </w:rPr>
      </w:pPr>
    </w:p>
    <w:tbl>
      <w:tblPr>
        <w:tblStyle w:val="36"/>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p>
    <w:p>
      <w:pPr>
        <w:numPr>
          <w:ilvl w:val="0"/>
          <w:numId w:val="5"/>
        </w:numPr>
        <w:spacing w:line="400" w:lineRule="exact"/>
        <w:rPr>
          <w:rFonts w:ascii="Times New Roman" w:hAnsi="Times New Roman" w:eastAsia="宋体" w:cs="Times New Roman"/>
          <w:b w:val="0"/>
          <w:bCs w:val="0"/>
        </w:rPr>
      </w:pPr>
      <w:r>
        <w:rPr>
          <w:rFonts w:ascii="Times New Roman" w:hAnsi="Times New Roman" w:eastAsia="宋体" w:cs="Times New Roman"/>
          <w:b w:val="0"/>
          <w:bCs w:val="0"/>
        </w:rPr>
        <w:t>上述业绩国家级项目的甲方必须是国家部委（部级单位）或其直属事业单位；省、市级项目的甲方必须是相应级别行政主管部门或其直属事业单位；</w:t>
      </w:r>
    </w:p>
    <w:p>
      <w:pPr>
        <w:numPr>
          <w:ilvl w:val="0"/>
          <w:numId w:val="5"/>
        </w:numPr>
        <w:spacing w:line="400" w:lineRule="exact"/>
        <w:ind w:left="0" w:leftChars="0" w:firstLine="0" w:firstLineChars="0"/>
        <w:rPr>
          <w:rFonts w:ascii="Times New Roman" w:hAnsi="Times New Roman" w:eastAsia="宋体" w:cs="Times New Roman"/>
          <w:b w:val="0"/>
          <w:bCs w:val="0"/>
        </w:rPr>
      </w:pPr>
      <w:r>
        <w:rPr>
          <w:rFonts w:ascii="Times New Roman" w:hAnsi="Times New Roman" w:eastAsia="宋体" w:cs="Times New Roman"/>
          <w:b w:val="0"/>
          <w:bCs w:val="0"/>
        </w:rPr>
        <w:t>同一项目业绩只能在上述一个分项中计分，不重复累计得分；</w:t>
      </w:r>
    </w:p>
    <w:p>
      <w:pPr>
        <w:numPr>
          <w:ilvl w:val="0"/>
          <w:numId w:val="0"/>
        </w:numPr>
        <w:spacing w:line="400" w:lineRule="exact"/>
        <w:ind w:leftChars="0"/>
        <w:rPr>
          <w:rFonts w:hint="eastAsia" w:asciiTheme="minorEastAsia" w:hAnsiTheme="minorEastAsia" w:eastAsiaTheme="minorEastAsia" w:cstheme="minorEastAsia"/>
          <w:b w:val="0"/>
          <w:bCs w:val="0"/>
          <w:sz w:val="21"/>
          <w:szCs w:val="21"/>
        </w:rPr>
      </w:pPr>
      <w:r>
        <w:rPr>
          <w:rFonts w:ascii="Times New Roman" w:hAnsi="Times New Roman" w:eastAsia="宋体" w:cs="Times New Roman"/>
          <w:b w:val="0"/>
          <w:bCs w:val="0"/>
        </w:rPr>
        <w:t>3.提供合同原件扫描件，否则不得分。</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b/>
          <w:bCs/>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sz w:val="21"/>
          <w:szCs w:val="21"/>
        </w:rPr>
      </w:pPr>
      <w:bookmarkStart w:id="91" w:name="_Toc6256"/>
      <w:r>
        <w:rPr>
          <w:rFonts w:hint="eastAsia" w:asciiTheme="minorEastAsia" w:hAnsiTheme="minorEastAsia" w:eastAsiaTheme="minorEastAsia" w:cstheme="minorEastAsia"/>
          <w:b/>
          <w:sz w:val="21"/>
          <w:szCs w:val="21"/>
        </w:rPr>
        <w:t>附件8：</w:t>
      </w:r>
      <w:bookmarkEnd w:id="91"/>
    </w:p>
    <w:p>
      <w:pPr>
        <w:spacing w:line="400" w:lineRule="exact"/>
        <w:jc w:val="center"/>
        <w:rPr>
          <w:rFonts w:hint="eastAsia" w:asciiTheme="minorEastAsia" w:hAnsiTheme="minorEastAsia" w:eastAsiaTheme="minorEastAsia" w:cstheme="minorEastAsia"/>
          <w:b/>
          <w:sz w:val="21"/>
          <w:szCs w:val="21"/>
        </w:rPr>
      </w:pPr>
      <w:bookmarkStart w:id="92" w:name="_Toc258923315"/>
      <w:bookmarkStart w:id="93" w:name="_Toc400536598"/>
      <w:r>
        <w:rPr>
          <w:rFonts w:hint="eastAsia" w:asciiTheme="minorEastAsia" w:hAnsiTheme="minorEastAsia" w:eastAsiaTheme="minorEastAsia" w:cstheme="minorEastAsia"/>
          <w:b/>
          <w:sz w:val="21"/>
          <w:szCs w:val="21"/>
        </w:rPr>
        <w:t>优惠条件承诺书</w:t>
      </w:r>
      <w:bookmarkEnd w:id="92"/>
      <w:bookmarkEnd w:id="93"/>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致：宏业国际项目管理有限公司</w:t>
      </w:r>
    </w:p>
    <w:p>
      <w:pPr>
        <w:spacing w:line="400" w:lineRule="exact"/>
        <w:ind w:firstLine="420" w:firstLineChars="20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经仔细阅读你们的磋商文件，对所投标项目向贵单位特作如下优惠条件承诺：</w:t>
      </w:r>
    </w:p>
    <w:p>
      <w:pPr>
        <w:spacing w:line="400" w:lineRule="exact"/>
        <w:ind w:firstLine="315" w:firstLineChars="15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p>
      <w:pPr>
        <w:spacing w:line="400" w:lineRule="exact"/>
        <w:ind w:firstLine="315" w:firstLineChars="15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p>
      <w:pPr>
        <w:spacing w:line="400" w:lineRule="exact"/>
        <w:ind w:firstLine="315" w:firstLineChars="15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p>
      <w:pPr>
        <w:spacing w:line="400" w:lineRule="exact"/>
        <w:ind w:firstLine="420" w:firstLineChars="200"/>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p>
      <w:pPr>
        <w:spacing w:line="400" w:lineRule="exact"/>
        <w:textAlignment w:val="baseline"/>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特此承诺！</w:t>
      </w:r>
    </w:p>
    <w:p>
      <w:pPr>
        <w:spacing w:line="400" w:lineRule="exact"/>
        <w:textAlignment w:val="baseline"/>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法定代表人或授权代表人（签字）：</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职务：</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地址：</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电话：</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传真：</w:t>
      </w:r>
    </w:p>
    <w:p>
      <w:pPr>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日期：   年   月   日</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bookmarkStart w:id="94" w:name="_Toc20690"/>
      <w:r>
        <w:rPr>
          <w:rFonts w:hint="eastAsia" w:asciiTheme="minorEastAsia" w:hAnsiTheme="minorEastAsia" w:eastAsiaTheme="minorEastAsia" w:cstheme="minorEastAsia"/>
          <w:b/>
          <w:sz w:val="21"/>
          <w:szCs w:val="21"/>
        </w:rPr>
        <w:t>附件9：</w:t>
      </w:r>
      <w:bookmarkEnd w:id="94"/>
    </w:p>
    <w:p>
      <w:pPr>
        <w:spacing w:line="400" w:lineRule="exact"/>
        <w:jc w:val="center"/>
        <w:rPr>
          <w:rFonts w:hint="eastAsia" w:asciiTheme="minorEastAsia" w:hAnsiTheme="minorEastAsia" w:eastAsiaTheme="minorEastAsia" w:cstheme="minorEastAsia"/>
          <w:b/>
          <w:sz w:val="21"/>
          <w:szCs w:val="21"/>
        </w:rPr>
      </w:pPr>
      <w:bookmarkStart w:id="95" w:name="_Toc258923316"/>
      <w:bookmarkStart w:id="96" w:name="_Toc400536599"/>
      <w:r>
        <w:rPr>
          <w:rFonts w:hint="eastAsia" w:asciiTheme="minorEastAsia" w:hAnsiTheme="minorEastAsia" w:eastAsiaTheme="minorEastAsia" w:cstheme="minorEastAsia"/>
          <w:b/>
          <w:sz w:val="21"/>
          <w:szCs w:val="21"/>
        </w:rPr>
        <w:t>售后服务承诺</w:t>
      </w:r>
      <w:bookmarkEnd w:id="95"/>
      <w:bookmarkEnd w:id="96"/>
    </w:p>
    <w:p>
      <w:pPr>
        <w:spacing w:line="400" w:lineRule="exact"/>
        <w:rPr>
          <w:rFonts w:hint="eastAsia" w:asciiTheme="minorEastAsia" w:hAnsiTheme="minorEastAsia" w:eastAsiaTheme="minorEastAsia" w:cstheme="minorEastAsia"/>
          <w:sz w:val="21"/>
          <w:szCs w:val="21"/>
        </w:rPr>
      </w:pPr>
    </w:p>
    <w:p>
      <w:pPr>
        <w:spacing w:line="400" w:lineRule="exact"/>
        <w:ind w:firstLine="840" w:firstLineChars="400"/>
        <w:rPr>
          <w:rFonts w:hint="eastAsia" w:asciiTheme="minorEastAsia" w:hAnsiTheme="minorEastAsia" w:eastAsiaTheme="minorEastAsia" w:cstheme="minorEastAsia"/>
          <w:sz w:val="21"/>
          <w:szCs w:val="21"/>
        </w:rPr>
      </w:pPr>
    </w:p>
    <w:p>
      <w:pPr>
        <w:spacing w:line="400" w:lineRule="exact"/>
        <w:ind w:firstLine="2415" w:firstLineChars="1150"/>
        <w:rPr>
          <w:rFonts w:hint="eastAsia" w:asciiTheme="minorEastAsia" w:hAnsiTheme="minorEastAsia" w:eastAsiaTheme="minorEastAsia" w:cstheme="minorEastAsia"/>
          <w:sz w:val="21"/>
          <w:szCs w:val="21"/>
        </w:rPr>
      </w:pPr>
    </w:p>
    <w:p>
      <w:pPr>
        <w:spacing w:line="400" w:lineRule="exact"/>
        <w:ind w:firstLine="2415" w:firstLineChars="1150"/>
        <w:rPr>
          <w:rFonts w:hint="eastAsia" w:asciiTheme="minorEastAsia" w:hAnsiTheme="minorEastAsia" w:eastAsiaTheme="minorEastAsia" w:cstheme="minorEastAsia"/>
          <w:sz w:val="21"/>
          <w:szCs w:val="21"/>
        </w:rPr>
      </w:pPr>
    </w:p>
    <w:p>
      <w:pPr>
        <w:spacing w:line="400" w:lineRule="exact"/>
        <w:ind w:firstLine="2520" w:firstLineChars="1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格式自拟</w:t>
      </w: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bCs/>
          <w:sz w:val="21"/>
          <w:szCs w:val="21"/>
        </w:rPr>
      </w:pPr>
      <w:bookmarkStart w:id="97" w:name="_Toc25362"/>
      <w:r>
        <w:rPr>
          <w:rFonts w:hint="eastAsia" w:asciiTheme="minorEastAsia" w:hAnsiTheme="minorEastAsia" w:eastAsiaTheme="minorEastAsia" w:cstheme="minorEastAsia"/>
          <w:b/>
          <w:sz w:val="21"/>
          <w:szCs w:val="21"/>
        </w:rPr>
        <w:t>附件10：</w:t>
      </w:r>
      <w:bookmarkEnd w:id="97"/>
    </w:p>
    <w:p>
      <w:pPr>
        <w:spacing w:line="40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无重大违法记录声明</w:t>
      </w:r>
    </w:p>
    <w:p>
      <w:pPr>
        <w:spacing w:line="400" w:lineRule="exact"/>
        <w:jc w:val="center"/>
        <w:rPr>
          <w:rFonts w:hint="eastAsia" w:asciiTheme="minorEastAsia" w:hAnsiTheme="minorEastAsia" w:eastAsiaTheme="minorEastAsia" w:cstheme="minorEastAsia"/>
          <w:b/>
          <w:bCs/>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致：宏业国际项目管理有限公司</w:t>
      </w:r>
    </w:p>
    <w:p>
      <w:pPr>
        <w:spacing w:line="400" w:lineRule="exact"/>
        <w:ind w:firstLine="48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我单位参加政府采购活动前三年内，在经营活动中没有重大违法记录。</w:t>
      </w:r>
    </w:p>
    <w:p>
      <w:pPr>
        <w:spacing w:line="400" w:lineRule="exact"/>
        <w:ind w:firstLine="48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若采购单位在本项目采购过程中发现我单位近三年内在经营活动中有重大违法记录，我单位将无条件地退出本项目的招标，并承担因此引起的一切后果。</w:t>
      </w:r>
    </w:p>
    <w:p>
      <w:pPr>
        <w:spacing w:line="400" w:lineRule="exact"/>
        <w:ind w:firstLine="480"/>
        <w:rPr>
          <w:rFonts w:hint="eastAsia" w:asciiTheme="minorEastAsia" w:hAnsiTheme="minorEastAsia" w:eastAsiaTheme="minorEastAsia" w:cstheme="minorEastAsia"/>
          <w:bCs/>
          <w:sz w:val="21"/>
          <w:szCs w:val="21"/>
        </w:rPr>
      </w:pPr>
    </w:p>
    <w:p>
      <w:pPr>
        <w:spacing w:line="400" w:lineRule="exact"/>
        <w:ind w:firstLine="480"/>
        <w:rPr>
          <w:rFonts w:hint="eastAsia" w:asciiTheme="minorEastAsia" w:hAnsiTheme="minorEastAsia" w:eastAsiaTheme="minorEastAsia" w:cstheme="minorEastAsia"/>
          <w:bCs/>
          <w:sz w:val="21"/>
          <w:szCs w:val="21"/>
        </w:rPr>
      </w:pPr>
    </w:p>
    <w:p>
      <w:pPr>
        <w:spacing w:line="400" w:lineRule="exact"/>
        <w:ind w:firstLine="48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特此声明!</w:t>
      </w:r>
    </w:p>
    <w:p>
      <w:pPr>
        <w:spacing w:line="400" w:lineRule="exact"/>
        <w:ind w:firstLine="480"/>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bCs/>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jc w:val="center"/>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spacing w:line="400" w:lineRule="exact"/>
        <w:rPr>
          <w:rFonts w:hint="eastAsia" w:asciiTheme="minorEastAsia" w:hAnsiTheme="minorEastAsia" w:eastAsiaTheme="minorEastAsia" w:cstheme="minorEastAsia"/>
          <w:b/>
          <w:bCs/>
          <w:sz w:val="21"/>
          <w:szCs w:val="21"/>
        </w:rPr>
      </w:pPr>
      <w:bookmarkStart w:id="98" w:name="_Toc20687"/>
      <w:r>
        <w:rPr>
          <w:rFonts w:hint="eastAsia" w:asciiTheme="minorEastAsia" w:hAnsiTheme="minorEastAsia" w:eastAsiaTheme="minorEastAsia" w:cstheme="minorEastAsia"/>
          <w:b/>
          <w:sz w:val="21"/>
          <w:szCs w:val="21"/>
        </w:rPr>
        <w:t>附件11：</w:t>
      </w:r>
      <w:bookmarkEnd w:id="98"/>
    </w:p>
    <w:p>
      <w:pPr>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供应商反商业贿赂承诺书</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ind w:firstLine="432"/>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我公司承诺在</w:t>
      </w:r>
      <w:r>
        <w:rPr>
          <w:rFonts w:hint="eastAsia" w:asciiTheme="minorEastAsia" w:hAnsiTheme="minorEastAsia" w:eastAsiaTheme="minorEastAsia" w:cstheme="minorEastAsia"/>
          <w:kern w:val="0"/>
          <w:sz w:val="21"/>
          <w:szCs w:val="21"/>
          <w:u w:val="single"/>
        </w:rPr>
        <w:t>（项目编号、项目名称）</w:t>
      </w:r>
      <w:r>
        <w:rPr>
          <w:rFonts w:hint="eastAsia" w:asciiTheme="minorEastAsia" w:hAnsiTheme="minorEastAsia" w:eastAsiaTheme="minorEastAsia" w:cstheme="minorEastAsia"/>
          <w:kern w:val="0"/>
          <w:sz w:val="21"/>
          <w:szCs w:val="21"/>
        </w:rPr>
        <w:t>招标活动中，不给予国家工作人员以及中介机构工作人员及其亲属各种形式的商业贿（包括送礼金礼品、有价证券、购物券、回扣、佣金、咨询费、劳务费、赞助费、宣传费、支付旅游费用、报销各种消费凭证、宴请、娱乐等），如有上述行为，我公司及项目参与人员愿意按照《反不正当竞争法》的有关规定接受处罚。</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ind w:firstLine="897"/>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法定代表人：</w:t>
      </w:r>
    </w:p>
    <w:p>
      <w:pPr>
        <w:autoSpaceDE w:val="0"/>
        <w:autoSpaceDN w:val="0"/>
        <w:adjustRightInd w:val="0"/>
        <w:spacing w:line="400" w:lineRule="exact"/>
        <w:ind w:firstLine="897"/>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法人授权代表：</w:t>
      </w:r>
    </w:p>
    <w:p>
      <w:pPr>
        <w:autoSpaceDE w:val="0"/>
        <w:autoSpaceDN w:val="0"/>
        <w:adjustRightInd w:val="0"/>
        <w:spacing w:line="400" w:lineRule="exact"/>
        <w:ind w:firstLine="897"/>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项目经办人：</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我公司承诺在参加本次投标前三年内，无以下行为：</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重大违法行为；</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商业贿行为；</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政府采购法《第七十七条》，列入不良行为记录名单的各种行为；</w:t>
      </w:r>
    </w:p>
    <w:p>
      <w:pPr>
        <w:autoSpaceDE w:val="0"/>
        <w:autoSpaceDN w:val="0"/>
        <w:adjustRightInd w:val="0"/>
        <w:spacing w:line="400" w:lineRule="exact"/>
        <w:jc w:val="left"/>
        <w:rPr>
          <w:rFonts w:hint="eastAsia" w:asciiTheme="minorEastAsia" w:hAnsiTheme="minorEastAsia" w:eastAsiaTheme="minorEastAsia" w:cstheme="minorEastAsia"/>
          <w:kern w:val="0"/>
          <w:sz w:val="21"/>
          <w:szCs w:val="21"/>
        </w:rPr>
      </w:pPr>
    </w:p>
    <w:p>
      <w:pPr>
        <w:autoSpaceDE w:val="0"/>
        <w:autoSpaceDN w:val="0"/>
        <w:adjustRightInd w:val="0"/>
        <w:spacing w:line="400" w:lineRule="exact"/>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如有上述行为，我公司及项目参与人员自愿放弃本次项目的投标、报价资格，若为预中标、成交人，也自愿放弃中标、成交资格</w:t>
      </w:r>
    </w:p>
    <w:p>
      <w:pPr>
        <w:autoSpaceDE w:val="0"/>
        <w:autoSpaceDN w:val="0"/>
        <w:adjustRightInd w:val="0"/>
        <w:spacing w:line="400" w:lineRule="exact"/>
        <w:ind w:firstLine="480"/>
        <w:jc w:val="left"/>
        <w:rPr>
          <w:rFonts w:hint="eastAsia" w:asciiTheme="minorEastAsia" w:hAnsiTheme="minorEastAsia" w:eastAsiaTheme="minorEastAsia" w:cstheme="minorEastAsia"/>
          <w:b/>
          <w:bCs/>
          <w:kern w:val="0"/>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磋商供应商名称（公章）：</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法定代表人（签字）：</w:t>
      </w:r>
    </w:p>
    <w:p>
      <w:pPr>
        <w:spacing w:line="400" w:lineRule="exact"/>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bCs/>
          <w:color w:val="000000"/>
          <w:sz w:val="21"/>
          <w:szCs w:val="21"/>
        </w:rPr>
        <w:t>日期：  年   月   日</w:t>
      </w: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widowControl/>
        <w:spacing w:line="400" w:lineRule="exact"/>
        <w:rPr>
          <w:rFonts w:hint="eastAsia" w:asciiTheme="minorEastAsia" w:hAnsiTheme="minorEastAsia" w:eastAsiaTheme="minorEastAsia" w:cstheme="minorEastAsia"/>
          <w:b/>
          <w:sz w:val="21"/>
          <w:szCs w:val="21"/>
        </w:rPr>
      </w:pPr>
      <w:bookmarkStart w:id="99" w:name="_Toc22028"/>
      <w:r>
        <w:rPr>
          <w:rFonts w:hint="eastAsia" w:asciiTheme="minorEastAsia" w:hAnsiTheme="minorEastAsia" w:eastAsiaTheme="minorEastAsia" w:cstheme="minorEastAsia"/>
          <w:b/>
          <w:sz w:val="21"/>
          <w:szCs w:val="21"/>
        </w:rPr>
        <w:t>附件12：</w:t>
      </w:r>
      <w:bookmarkEnd w:id="99"/>
    </w:p>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b/>
          <w:bCs/>
          <w:color w:val="000000"/>
          <w:kern w:val="0"/>
          <w:sz w:val="21"/>
          <w:szCs w:val="21"/>
        </w:rPr>
        <w:t>中小企业声明函</w:t>
      </w:r>
    </w:p>
    <w:p>
      <w:pPr>
        <w:widowControl/>
        <w:spacing w:line="400" w:lineRule="exact"/>
        <w:jc w:val="left"/>
        <w:rPr>
          <w:rFonts w:hint="eastAsia" w:asciiTheme="minorEastAsia" w:hAnsiTheme="minorEastAsia" w:eastAsiaTheme="minorEastAsia" w:cstheme="minorEastAsia"/>
          <w:color w:val="000000"/>
          <w:kern w:val="0"/>
          <w:sz w:val="21"/>
          <w:szCs w:val="21"/>
        </w:rPr>
      </w:pP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kern w:val="0"/>
          <w:sz w:val="21"/>
          <w:szCs w:val="21"/>
          <w:u w:val="single"/>
        </w:rPr>
        <w:t>（单位名称）</w:t>
      </w:r>
      <w:r>
        <w:rPr>
          <w:rFonts w:hint="eastAsia" w:asciiTheme="minorEastAsia" w:hAnsiTheme="minorEastAsia" w:eastAsiaTheme="minorEastAsia" w:cstheme="minorEastAsia"/>
          <w:color w:val="000000"/>
          <w:kern w:val="0"/>
          <w:sz w:val="21"/>
          <w:szCs w:val="21"/>
        </w:rPr>
        <w:t>的</w:t>
      </w:r>
      <w:r>
        <w:rPr>
          <w:rFonts w:hint="eastAsia" w:asciiTheme="minorEastAsia" w:hAnsiTheme="minorEastAsia" w:eastAsiaTheme="minorEastAsia" w:cstheme="minorEastAsia"/>
          <w:color w:val="000000"/>
          <w:kern w:val="0"/>
          <w:sz w:val="21"/>
          <w:szCs w:val="21"/>
          <w:u w:val="single"/>
        </w:rPr>
        <w:t>（项目名称）</w:t>
      </w:r>
      <w:r>
        <w:rPr>
          <w:rFonts w:hint="eastAsia" w:asciiTheme="minorEastAsia" w:hAnsiTheme="minorEastAsia" w:eastAsiaTheme="minorEastAsia" w:cstheme="minorEastAsia"/>
          <w:color w:val="000000"/>
          <w:kern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 xml:space="preserve">1. </w:t>
      </w:r>
      <w:r>
        <w:rPr>
          <w:rFonts w:hint="eastAsia" w:asciiTheme="minorEastAsia" w:hAnsiTheme="minorEastAsia" w:eastAsiaTheme="minorEastAsia" w:cstheme="minorEastAsia"/>
          <w:color w:val="000000"/>
          <w:kern w:val="0"/>
          <w:sz w:val="21"/>
          <w:szCs w:val="21"/>
          <w:u w:val="single"/>
        </w:rPr>
        <w:t>（标的名称）</w:t>
      </w:r>
      <w:r>
        <w:rPr>
          <w:rFonts w:hint="eastAsia" w:asciiTheme="minorEastAsia" w:hAnsiTheme="minorEastAsia" w:eastAsiaTheme="minorEastAsia" w:cstheme="minorEastAsia"/>
          <w:color w:val="000000"/>
          <w:kern w:val="0"/>
          <w:sz w:val="21"/>
          <w:szCs w:val="21"/>
        </w:rPr>
        <w:t xml:space="preserve"> ，属于</w:t>
      </w:r>
      <w:r>
        <w:rPr>
          <w:rFonts w:hint="eastAsia" w:asciiTheme="minorEastAsia" w:hAnsiTheme="minorEastAsia" w:eastAsiaTheme="minorEastAsia" w:cstheme="minorEastAsia"/>
          <w:color w:val="000000"/>
          <w:kern w:val="0"/>
          <w:sz w:val="21"/>
          <w:szCs w:val="21"/>
          <w:u w:val="single"/>
        </w:rPr>
        <w:t>（采购文件中明确的所属行业）</w:t>
      </w:r>
      <w:r>
        <w:rPr>
          <w:rFonts w:hint="eastAsia" w:asciiTheme="minorEastAsia" w:hAnsiTheme="minorEastAsia" w:eastAsiaTheme="minorEastAsia" w:cstheme="minorEastAsia"/>
          <w:color w:val="000000"/>
          <w:kern w:val="0"/>
          <w:sz w:val="21"/>
          <w:szCs w:val="21"/>
        </w:rPr>
        <w:t>；承建（承接）企业为</w:t>
      </w:r>
      <w:r>
        <w:rPr>
          <w:rFonts w:hint="eastAsia" w:asciiTheme="minorEastAsia" w:hAnsiTheme="minorEastAsia" w:eastAsiaTheme="minorEastAsia" w:cstheme="minorEastAsia"/>
          <w:color w:val="000000"/>
          <w:kern w:val="0"/>
          <w:sz w:val="21"/>
          <w:szCs w:val="21"/>
          <w:u w:val="single"/>
        </w:rPr>
        <w:t>（企业名称）</w:t>
      </w:r>
      <w:r>
        <w:rPr>
          <w:rFonts w:hint="eastAsia" w:asciiTheme="minorEastAsia" w:hAnsiTheme="minorEastAsia" w:eastAsiaTheme="minorEastAsia" w:cstheme="minorEastAsia"/>
          <w:color w:val="000000"/>
          <w:kern w:val="0"/>
          <w:sz w:val="21"/>
          <w:szCs w:val="21"/>
        </w:rPr>
        <w:t>，从业人员人，营业收入为万元，资产总额为万元，属于</w:t>
      </w:r>
      <w:r>
        <w:rPr>
          <w:rFonts w:hint="eastAsia" w:asciiTheme="minorEastAsia" w:hAnsiTheme="minorEastAsia" w:eastAsiaTheme="minorEastAsia" w:cstheme="minorEastAsia"/>
          <w:color w:val="000000"/>
          <w:kern w:val="0"/>
          <w:sz w:val="21"/>
          <w:szCs w:val="21"/>
          <w:u w:val="single"/>
        </w:rPr>
        <w:t>（中型企业、小型企业、微型企业）</w:t>
      </w:r>
      <w:r>
        <w:rPr>
          <w:rFonts w:hint="eastAsia" w:asciiTheme="minorEastAsia" w:hAnsiTheme="minorEastAsia" w:eastAsiaTheme="minorEastAsia" w:cstheme="minorEastAsia"/>
          <w:color w:val="000000"/>
          <w:kern w:val="0"/>
          <w:sz w:val="21"/>
          <w:szCs w:val="21"/>
        </w:rPr>
        <w:t xml:space="preserve">； </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2.</w:t>
      </w:r>
      <w:r>
        <w:rPr>
          <w:rFonts w:hint="eastAsia" w:asciiTheme="minorEastAsia" w:hAnsiTheme="minorEastAsia" w:eastAsiaTheme="minorEastAsia" w:cstheme="minorEastAsia"/>
          <w:color w:val="000000"/>
          <w:kern w:val="0"/>
          <w:sz w:val="21"/>
          <w:szCs w:val="21"/>
          <w:u w:val="single"/>
        </w:rPr>
        <w:t xml:space="preserve"> （标的名称）</w:t>
      </w:r>
      <w:r>
        <w:rPr>
          <w:rFonts w:hint="eastAsia" w:asciiTheme="minorEastAsia" w:hAnsiTheme="minorEastAsia" w:eastAsiaTheme="minorEastAsia" w:cstheme="minorEastAsia"/>
          <w:color w:val="000000"/>
          <w:kern w:val="0"/>
          <w:sz w:val="21"/>
          <w:szCs w:val="21"/>
        </w:rPr>
        <w:t xml:space="preserve"> ，属于</w:t>
      </w:r>
      <w:r>
        <w:rPr>
          <w:rFonts w:hint="eastAsia" w:asciiTheme="minorEastAsia" w:hAnsiTheme="minorEastAsia" w:eastAsiaTheme="minorEastAsia" w:cstheme="minorEastAsia"/>
          <w:color w:val="000000"/>
          <w:kern w:val="0"/>
          <w:sz w:val="21"/>
          <w:szCs w:val="21"/>
          <w:u w:val="single"/>
        </w:rPr>
        <w:t>（采购文件中明确的所属行业）</w:t>
      </w:r>
      <w:r>
        <w:rPr>
          <w:rFonts w:hint="eastAsia" w:asciiTheme="minorEastAsia" w:hAnsiTheme="minorEastAsia" w:eastAsiaTheme="minorEastAsia" w:cstheme="minorEastAsia"/>
          <w:color w:val="000000"/>
          <w:kern w:val="0"/>
          <w:sz w:val="21"/>
          <w:szCs w:val="21"/>
        </w:rPr>
        <w:t>；承建（承接）企业为</w:t>
      </w:r>
      <w:r>
        <w:rPr>
          <w:rFonts w:hint="eastAsia" w:asciiTheme="minorEastAsia" w:hAnsiTheme="minorEastAsia" w:eastAsiaTheme="minorEastAsia" w:cstheme="minorEastAsia"/>
          <w:color w:val="000000"/>
          <w:kern w:val="0"/>
          <w:sz w:val="21"/>
          <w:szCs w:val="21"/>
          <w:u w:val="single"/>
        </w:rPr>
        <w:t>（企业名称）</w:t>
      </w:r>
      <w:r>
        <w:rPr>
          <w:rFonts w:hint="eastAsia" w:asciiTheme="minorEastAsia" w:hAnsiTheme="minorEastAsia" w:eastAsiaTheme="minorEastAsia" w:cstheme="minorEastAsia"/>
          <w:color w:val="000000"/>
          <w:kern w:val="0"/>
          <w:sz w:val="21"/>
          <w:szCs w:val="21"/>
        </w:rPr>
        <w:t>，从业人员人，营业收入为万元，资产总额为万元，属于</w:t>
      </w:r>
      <w:r>
        <w:rPr>
          <w:rFonts w:hint="eastAsia" w:asciiTheme="minorEastAsia" w:hAnsiTheme="minorEastAsia" w:eastAsiaTheme="minorEastAsia" w:cstheme="minorEastAsia"/>
          <w:color w:val="000000"/>
          <w:kern w:val="0"/>
          <w:sz w:val="21"/>
          <w:szCs w:val="21"/>
          <w:u w:val="single"/>
        </w:rPr>
        <w:t>（中型企业、小型企业、微型企业）</w:t>
      </w:r>
      <w:r>
        <w:rPr>
          <w:rFonts w:hint="eastAsia" w:asciiTheme="minorEastAsia" w:hAnsiTheme="minorEastAsia" w:eastAsiaTheme="minorEastAsia" w:cstheme="minorEastAsia"/>
          <w:color w:val="000000"/>
          <w:kern w:val="0"/>
          <w:sz w:val="21"/>
          <w:szCs w:val="21"/>
        </w:rPr>
        <w:t xml:space="preserve">； </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以上企业，不属于大企业的分支机构，不存在控股股东为大企业的情形，也不存在与大企业的负责人为同一人的情形。</w:t>
      </w: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 xml:space="preserve">本企业对上述声明内容的真实性负责。如有虚假，将依法承担相应责任。 </w:t>
      </w:r>
    </w:p>
    <w:p>
      <w:pPr>
        <w:widowControl/>
        <w:spacing w:line="400" w:lineRule="exact"/>
        <w:jc w:val="center"/>
        <w:rPr>
          <w:rFonts w:hint="eastAsia" w:asciiTheme="minorEastAsia" w:hAnsiTheme="minorEastAsia" w:eastAsiaTheme="minorEastAsia" w:cstheme="minorEastAsia"/>
          <w:color w:val="000000"/>
          <w:kern w:val="0"/>
          <w:sz w:val="21"/>
          <w:szCs w:val="21"/>
        </w:rPr>
      </w:pPr>
    </w:p>
    <w:p>
      <w:pPr>
        <w:widowControl/>
        <w:spacing w:line="400" w:lineRule="exact"/>
        <w:jc w:val="center"/>
        <w:rPr>
          <w:rFonts w:hint="eastAsia" w:asciiTheme="minorEastAsia" w:hAnsiTheme="minorEastAsia" w:eastAsiaTheme="minorEastAsia" w:cstheme="minorEastAsia"/>
          <w:color w:val="000000"/>
          <w:kern w:val="0"/>
          <w:sz w:val="21"/>
          <w:szCs w:val="21"/>
        </w:rPr>
      </w:pPr>
    </w:p>
    <w:p>
      <w:pPr>
        <w:widowControl/>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企业名称（盖章）：</w:t>
      </w:r>
    </w:p>
    <w:p>
      <w:pPr>
        <w:widowControl/>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日 期：</w:t>
      </w:r>
    </w:p>
    <w:p>
      <w:pPr>
        <w:spacing w:line="400" w:lineRule="exact"/>
        <w:rPr>
          <w:rFonts w:hint="eastAsia" w:asciiTheme="minorEastAsia" w:hAnsiTheme="minorEastAsia" w:eastAsiaTheme="minorEastAsia" w:cstheme="minorEastAsia"/>
          <w:color w:val="000000"/>
          <w:sz w:val="21"/>
          <w:szCs w:val="21"/>
        </w:rPr>
      </w:pPr>
    </w:p>
    <w:p>
      <w:pPr>
        <w:widowControl/>
        <w:spacing w:line="40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从业人员、营业收入、资产总额填报上一年度数据，无上一年度数据的新成立企业可不填报。</w:t>
      </w: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widowControl/>
        <w:spacing w:line="400" w:lineRule="exact"/>
        <w:rPr>
          <w:rFonts w:hint="eastAsia" w:asciiTheme="minorEastAsia" w:hAnsiTheme="minorEastAsia" w:eastAsiaTheme="minorEastAsia" w:cstheme="minorEastAsia"/>
          <w:b/>
          <w:sz w:val="21"/>
          <w:szCs w:val="21"/>
        </w:rPr>
      </w:pPr>
      <w:bookmarkStart w:id="100" w:name="_Toc26407"/>
      <w:r>
        <w:rPr>
          <w:rFonts w:hint="eastAsia" w:asciiTheme="minorEastAsia" w:hAnsiTheme="minorEastAsia" w:eastAsiaTheme="minorEastAsia" w:cstheme="minorEastAsia"/>
          <w:b/>
          <w:sz w:val="21"/>
          <w:szCs w:val="21"/>
        </w:rPr>
        <w:t>附件13：</w:t>
      </w:r>
      <w:bookmarkEnd w:id="100"/>
    </w:p>
    <w:p>
      <w:pPr>
        <w:widowControl/>
        <w:spacing w:line="400" w:lineRule="exact"/>
        <w:jc w:val="center"/>
        <w:rPr>
          <w:rFonts w:hint="eastAsia" w:asciiTheme="minorEastAsia" w:hAnsiTheme="minorEastAsia" w:eastAsiaTheme="minorEastAsia" w:cstheme="minorEastAsia"/>
          <w:b/>
          <w:sz w:val="21"/>
          <w:szCs w:val="21"/>
        </w:rPr>
      </w:pPr>
    </w:p>
    <w:p>
      <w:pPr>
        <w:widowControl/>
        <w:spacing w:line="40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投标人认为有必要提交的其他相关证明材料</w:t>
      </w:r>
    </w:p>
    <w:p>
      <w:pPr>
        <w:spacing w:line="40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spacing w:line="400" w:lineRule="exact"/>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二次（最终）报价表</w:t>
      </w: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color w:val="000000"/>
          <w:sz w:val="21"/>
          <w:szCs w:val="21"/>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磋商供应商名称：</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 项目编号：    </w:t>
      </w:r>
      <w:r>
        <w:rPr>
          <w:rFonts w:hint="eastAsia" w:asciiTheme="minorEastAsia" w:hAnsiTheme="minorEastAsia" w:eastAsiaTheme="minorEastAsia" w:cstheme="minorEastAsia"/>
          <w:sz w:val="21"/>
          <w:szCs w:val="21"/>
        </w:rPr>
        <w:t xml:space="preserve">   </w:t>
      </w:r>
    </w:p>
    <w:p>
      <w:pPr>
        <w:pStyle w:val="46"/>
        <w:rPr>
          <w:rFonts w:hint="eastAsia" w:asciiTheme="minorEastAsia" w:hAnsiTheme="minorEastAsia" w:eastAsiaTheme="minorEastAsia" w:cstheme="minorEastAsia"/>
          <w:sz w:val="21"/>
          <w:szCs w:val="21"/>
        </w:rPr>
      </w:pP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41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6801"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w:t>
            </w:r>
          </w:p>
        </w:tc>
        <w:tc>
          <w:tcPr>
            <w:tcW w:w="6801"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（小写）</w:t>
            </w:r>
          </w:p>
          <w:p>
            <w:pPr>
              <w:pStyle w:val="46"/>
              <w:rPr>
                <w:rFonts w:hint="eastAsia"/>
              </w:rPr>
            </w:pP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报价说明</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p>
        </w:tc>
        <w:tc>
          <w:tcPr>
            <w:tcW w:w="1418" w:type="dxa"/>
            <w:vAlign w:val="center"/>
          </w:tcPr>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801" w:type="dxa"/>
            <w:vAlign w:val="center"/>
          </w:tcPr>
          <w:p>
            <w:pPr>
              <w:spacing w:line="400" w:lineRule="exact"/>
              <w:rPr>
                <w:rFonts w:hint="eastAsia" w:asciiTheme="minorEastAsia" w:hAnsiTheme="minorEastAsia" w:eastAsiaTheme="minorEastAsia" w:cstheme="minorEastAsia"/>
                <w:sz w:val="21"/>
                <w:szCs w:val="21"/>
              </w:rPr>
            </w:pPr>
          </w:p>
        </w:tc>
      </w:tr>
    </w:tbl>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1、投标总价应为各分项报价之和。报价须以元为单位，小数点后保留2位。</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2、投标报价包括投标人为实施本项目提供投标产品及服务内容所包括的全部含税价格的体现。</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4、本表须将此表内容填写（报价大小写除外），加盖单位公章后，一式两份带到开标地点，现场进行手写二次(或多次)报价。</w:t>
      </w:r>
    </w:p>
    <w:p>
      <w:pPr>
        <w:spacing w:line="400" w:lineRule="exact"/>
        <w:rPr>
          <w:rFonts w:hint="eastAsia" w:asciiTheme="minorEastAsia" w:hAnsiTheme="minorEastAsia" w:eastAsiaTheme="minorEastAsia" w:cstheme="minorEastAsia"/>
          <w:b/>
          <w:bCs/>
          <w:sz w:val="21"/>
          <w:szCs w:val="21"/>
        </w:rPr>
      </w:pPr>
    </w:p>
    <w:p>
      <w:pPr>
        <w:pStyle w:val="2"/>
        <w:spacing w:line="400" w:lineRule="exact"/>
        <w:rPr>
          <w:rFonts w:hint="eastAsia" w:asciiTheme="minorEastAsia" w:hAnsiTheme="minorEastAsia" w:eastAsiaTheme="minorEastAsia" w:cstheme="minorEastAsia"/>
          <w:b/>
          <w:bCs/>
          <w:sz w:val="21"/>
          <w:szCs w:val="21"/>
        </w:rPr>
      </w:pPr>
    </w:p>
    <w:p>
      <w:pPr>
        <w:spacing w:line="400" w:lineRule="exact"/>
        <w:ind w:firstLine="420" w:firstLineChars="200"/>
        <w:jc w:val="center"/>
        <w:rPr>
          <w:rFonts w:hint="eastAsia" w:asciiTheme="minorEastAsia" w:hAnsiTheme="minorEastAsia" w:eastAsiaTheme="minorEastAsia" w:cstheme="minorEastAsia"/>
          <w:color w:val="0070C0"/>
          <w:sz w:val="21"/>
          <w:szCs w:val="21"/>
          <w:u w:val="single"/>
        </w:rPr>
      </w:pPr>
      <w:r>
        <w:rPr>
          <w:rFonts w:hint="eastAsia" w:asciiTheme="minorEastAsia" w:hAnsiTheme="minorEastAsia" w:eastAsiaTheme="minorEastAsia" w:cstheme="minorEastAsia"/>
          <w:color w:val="0070C0"/>
          <w:sz w:val="21"/>
          <w:szCs w:val="21"/>
          <w:lang w:eastAsia="zh-CN"/>
        </w:rPr>
        <w:t>磋商</w:t>
      </w:r>
      <w:r>
        <w:rPr>
          <w:rFonts w:hint="eastAsia" w:asciiTheme="minorEastAsia" w:hAnsiTheme="minorEastAsia" w:eastAsiaTheme="minorEastAsia" w:cstheme="minorEastAsia"/>
          <w:color w:val="0070C0"/>
          <w:sz w:val="21"/>
          <w:szCs w:val="21"/>
        </w:rPr>
        <w:t>供应商名称（公章）：</w:t>
      </w:r>
    </w:p>
    <w:p>
      <w:pPr>
        <w:spacing w:line="400" w:lineRule="exact"/>
        <w:ind w:firstLine="420" w:firstLineChars="200"/>
        <w:jc w:val="center"/>
        <w:rPr>
          <w:rFonts w:hint="eastAsia"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color w:val="000000"/>
          <w:sz w:val="21"/>
          <w:szCs w:val="21"/>
        </w:rPr>
        <w:t>法定代表人或授权代表人（签字）：</w:t>
      </w:r>
    </w:p>
    <w:p>
      <w:pPr>
        <w:pStyle w:val="46"/>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日期：</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年</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月</w:t>
      </w:r>
    </w:p>
    <w:p>
      <w:pPr>
        <w:pStyle w:val="46"/>
        <w:jc w:val="center"/>
        <w:rPr>
          <w:rFonts w:hint="eastAsia" w:asciiTheme="minorEastAsia" w:hAnsiTheme="minorEastAsia" w:eastAsiaTheme="minorEastAsia" w:cstheme="minorEastAsia"/>
          <w:bCs/>
          <w:color w:val="000000"/>
          <w:sz w:val="21"/>
          <w:szCs w:val="21"/>
        </w:rPr>
      </w:pPr>
    </w:p>
    <w:p>
      <w:pPr>
        <w:pStyle w:val="46"/>
        <w:jc w:val="center"/>
        <w:rPr>
          <w:rFonts w:hint="eastAsia" w:asciiTheme="minorEastAsia" w:hAnsiTheme="minorEastAsia" w:eastAsiaTheme="minorEastAsia" w:cstheme="minorEastAsia"/>
          <w:bCs/>
          <w:color w:val="000000"/>
          <w:sz w:val="21"/>
          <w:szCs w:val="21"/>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0"/>
      </w:rPr>
    </w:pPr>
    <w:r>
      <w:fldChar w:fldCharType="begin"/>
    </w:r>
    <w:r>
      <w:rPr>
        <w:rStyle w:val="40"/>
      </w:rPr>
      <w:instrText xml:space="preserve">PAGE  </w:instrText>
    </w:r>
    <w:r>
      <w:fldChar w:fldCharType="end"/>
    </w:r>
  </w:p>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ind w:firstLine="0"/>
      <w:jc w:val="center"/>
      <w:rPr>
        <w:rFonts w:asciiTheme="majorHAnsi" w:hAnsiTheme="majorHAnsi" w:eastAsiaTheme="majorEastAsia" w:cstheme="majorBidi"/>
        <w:sz w:val="32"/>
        <w:szCs w:val="32"/>
      </w:rPr>
    </w:pPr>
    <w:r>
      <w:rPr>
        <w:rFonts w:hint="eastAsia" w:ascii="仿宋" w:hAnsi="仿宋" w:eastAsia="仿宋" w:cs="仿宋"/>
        <w:sz w:val="32"/>
        <w:szCs w:val="32"/>
      </w:rPr>
      <w:t>宏业国际项目管理有限公司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ind w:firstLine="0"/>
      <w:jc w:val="center"/>
    </w:pPr>
    <w:r>
      <w:rPr>
        <w:rFonts w:hint="eastAsia" w:ascii="仿宋" w:hAnsi="仿宋" w:eastAsia="仿宋" w:cs="仿宋"/>
        <w:sz w:val="32"/>
        <w:szCs w:val="32"/>
      </w:rPr>
      <w:t>宏业国际项目管理有限公司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cs="宋体" w:asciiTheme="minorEastAsia" w:hAnsiTheme="minorEastAsia" w:eastAsiaTheme="minor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DFEF1"/>
    <w:multiLevelType w:val="singleLevel"/>
    <w:tmpl w:val="A5EDFEF1"/>
    <w:lvl w:ilvl="0" w:tentative="0">
      <w:start w:val="1"/>
      <w:numFmt w:val="decimal"/>
      <w:suff w:val="nothing"/>
      <w:lvlText w:val="（%1）"/>
      <w:lvlJc w:val="left"/>
      <w:pPr>
        <w:ind w:left="0"/>
      </w:pPr>
    </w:lvl>
  </w:abstractNum>
  <w:abstractNum w:abstractNumId="1">
    <w:nsid w:val="B0204A4B"/>
    <w:multiLevelType w:val="singleLevel"/>
    <w:tmpl w:val="B0204A4B"/>
    <w:lvl w:ilvl="0" w:tentative="0">
      <w:start w:val="1"/>
      <w:numFmt w:val="decimal"/>
      <w:lvlText w:val="%1."/>
      <w:lvlJc w:val="left"/>
      <w:pPr>
        <w:tabs>
          <w:tab w:val="left" w:pos="312"/>
        </w:tabs>
      </w:pPr>
    </w:lvl>
  </w:abstractNum>
  <w:abstractNum w:abstractNumId="2">
    <w:nsid w:val="39A80FC8"/>
    <w:multiLevelType w:val="singleLevel"/>
    <w:tmpl w:val="39A80FC8"/>
    <w:lvl w:ilvl="0" w:tentative="0">
      <w:start w:val="3"/>
      <w:numFmt w:val="chineseCounting"/>
      <w:suff w:val="space"/>
      <w:lvlText w:val="第%1章"/>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51C79BA"/>
    <w:multiLevelType w:val="multilevel"/>
    <w:tmpl w:val="451C79BA"/>
    <w:lvl w:ilvl="0" w:tentative="0">
      <w:start w:val="1"/>
      <w:numFmt w:val="decimal"/>
      <w:lvlText w:val="%1."/>
      <w:lvlJc w:val="left"/>
      <w:pPr>
        <w:ind w:left="420" w:hanging="420"/>
      </w:pPr>
      <w:rPr>
        <w:rFonts w:hint="eastAsia" w:eastAsia="仿宋_GB2312"/>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ZTdkMTcyNThmNTQxNmY5Mzc2Njk0YWQwNDg5ZmYifQ=="/>
  </w:docVars>
  <w:rsids>
    <w:rsidRoot w:val="0010740B"/>
    <w:rsid w:val="00002FBC"/>
    <w:rsid w:val="00025A80"/>
    <w:rsid w:val="000313A0"/>
    <w:rsid w:val="00032346"/>
    <w:rsid w:val="0003553E"/>
    <w:rsid w:val="00045F15"/>
    <w:rsid w:val="00057DB8"/>
    <w:rsid w:val="00091890"/>
    <w:rsid w:val="000A523F"/>
    <w:rsid w:val="000E112C"/>
    <w:rsid w:val="000E1B63"/>
    <w:rsid w:val="000F05D4"/>
    <w:rsid w:val="00105923"/>
    <w:rsid w:val="0010740B"/>
    <w:rsid w:val="0011016C"/>
    <w:rsid w:val="0011123D"/>
    <w:rsid w:val="00117356"/>
    <w:rsid w:val="00117B82"/>
    <w:rsid w:val="00122DD6"/>
    <w:rsid w:val="00130222"/>
    <w:rsid w:val="00140002"/>
    <w:rsid w:val="00170557"/>
    <w:rsid w:val="001914EC"/>
    <w:rsid w:val="00191B6B"/>
    <w:rsid w:val="001A5049"/>
    <w:rsid w:val="001B4008"/>
    <w:rsid w:val="0020564D"/>
    <w:rsid w:val="00211183"/>
    <w:rsid w:val="00216215"/>
    <w:rsid w:val="00222DC9"/>
    <w:rsid w:val="00242384"/>
    <w:rsid w:val="00242897"/>
    <w:rsid w:val="00246883"/>
    <w:rsid w:val="002534B6"/>
    <w:rsid w:val="00265BBB"/>
    <w:rsid w:val="00271014"/>
    <w:rsid w:val="002749C6"/>
    <w:rsid w:val="00285158"/>
    <w:rsid w:val="002861E4"/>
    <w:rsid w:val="00287C22"/>
    <w:rsid w:val="002A0CDC"/>
    <w:rsid w:val="002A2DC3"/>
    <w:rsid w:val="002B4D0A"/>
    <w:rsid w:val="002E3D09"/>
    <w:rsid w:val="002F7C41"/>
    <w:rsid w:val="00305861"/>
    <w:rsid w:val="00312170"/>
    <w:rsid w:val="0031283E"/>
    <w:rsid w:val="00335070"/>
    <w:rsid w:val="003359B3"/>
    <w:rsid w:val="003419E6"/>
    <w:rsid w:val="00343DC8"/>
    <w:rsid w:val="00347D65"/>
    <w:rsid w:val="0036615D"/>
    <w:rsid w:val="00366A84"/>
    <w:rsid w:val="00374849"/>
    <w:rsid w:val="003755E3"/>
    <w:rsid w:val="00382866"/>
    <w:rsid w:val="00395F17"/>
    <w:rsid w:val="00397C09"/>
    <w:rsid w:val="003A3718"/>
    <w:rsid w:val="003D7F8D"/>
    <w:rsid w:val="003F4B3A"/>
    <w:rsid w:val="003F4BC7"/>
    <w:rsid w:val="00415DC4"/>
    <w:rsid w:val="0043197C"/>
    <w:rsid w:val="0043462D"/>
    <w:rsid w:val="0044554B"/>
    <w:rsid w:val="004634FA"/>
    <w:rsid w:val="004745B1"/>
    <w:rsid w:val="004825FB"/>
    <w:rsid w:val="0049372E"/>
    <w:rsid w:val="0049778E"/>
    <w:rsid w:val="004A03D5"/>
    <w:rsid w:val="004B0B75"/>
    <w:rsid w:val="004D6394"/>
    <w:rsid w:val="004E724F"/>
    <w:rsid w:val="004E7A34"/>
    <w:rsid w:val="004F1973"/>
    <w:rsid w:val="00500357"/>
    <w:rsid w:val="005021C5"/>
    <w:rsid w:val="0051606D"/>
    <w:rsid w:val="005175EE"/>
    <w:rsid w:val="00521A3B"/>
    <w:rsid w:val="00527B97"/>
    <w:rsid w:val="00543826"/>
    <w:rsid w:val="0056136A"/>
    <w:rsid w:val="00586FCC"/>
    <w:rsid w:val="005A136A"/>
    <w:rsid w:val="005A5866"/>
    <w:rsid w:val="006278D6"/>
    <w:rsid w:val="00636F3E"/>
    <w:rsid w:val="00682650"/>
    <w:rsid w:val="00684EFF"/>
    <w:rsid w:val="006942A6"/>
    <w:rsid w:val="00696484"/>
    <w:rsid w:val="006A107F"/>
    <w:rsid w:val="006B2B5A"/>
    <w:rsid w:val="006D1F77"/>
    <w:rsid w:val="006D2BCC"/>
    <w:rsid w:val="006E5D57"/>
    <w:rsid w:val="006E6528"/>
    <w:rsid w:val="006F0D9E"/>
    <w:rsid w:val="0070075B"/>
    <w:rsid w:val="0070109F"/>
    <w:rsid w:val="007045BF"/>
    <w:rsid w:val="00707CAF"/>
    <w:rsid w:val="0071499C"/>
    <w:rsid w:val="00724BE8"/>
    <w:rsid w:val="007371EF"/>
    <w:rsid w:val="0074369A"/>
    <w:rsid w:val="00750FBE"/>
    <w:rsid w:val="00751D64"/>
    <w:rsid w:val="0076406B"/>
    <w:rsid w:val="007666F7"/>
    <w:rsid w:val="007712C9"/>
    <w:rsid w:val="00771816"/>
    <w:rsid w:val="00772EC2"/>
    <w:rsid w:val="007968BF"/>
    <w:rsid w:val="007A4EF4"/>
    <w:rsid w:val="007A6F7C"/>
    <w:rsid w:val="007C16EA"/>
    <w:rsid w:val="007C4BEC"/>
    <w:rsid w:val="007C4F45"/>
    <w:rsid w:val="007E389F"/>
    <w:rsid w:val="00810930"/>
    <w:rsid w:val="008176F9"/>
    <w:rsid w:val="00821731"/>
    <w:rsid w:val="00822AA1"/>
    <w:rsid w:val="00834BAB"/>
    <w:rsid w:val="0084611F"/>
    <w:rsid w:val="008517B9"/>
    <w:rsid w:val="00855A0E"/>
    <w:rsid w:val="0086449A"/>
    <w:rsid w:val="00876033"/>
    <w:rsid w:val="00877781"/>
    <w:rsid w:val="008869BE"/>
    <w:rsid w:val="008977BE"/>
    <w:rsid w:val="008B0EB4"/>
    <w:rsid w:val="008D2C9F"/>
    <w:rsid w:val="008D7A25"/>
    <w:rsid w:val="008E2B51"/>
    <w:rsid w:val="008E5BA0"/>
    <w:rsid w:val="00922417"/>
    <w:rsid w:val="00927FAE"/>
    <w:rsid w:val="009473D6"/>
    <w:rsid w:val="009537F7"/>
    <w:rsid w:val="009601D3"/>
    <w:rsid w:val="00970961"/>
    <w:rsid w:val="00993BCC"/>
    <w:rsid w:val="009B41DF"/>
    <w:rsid w:val="009C4913"/>
    <w:rsid w:val="009D46B1"/>
    <w:rsid w:val="009D71A8"/>
    <w:rsid w:val="009E00E7"/>
    <w:rsid w:val="009F4082"/>
    <w:rsid w:val="009F60F2"/>
    <w:rsid w:val="00A05341"/>
    <w:rsid w:val="00A06E7F"/>
    <w:rsid w:val="00A2022D"/>
    <w:rsid w:val="00A22238"/>
    <w:rsid w:val="00A23A54"/>
    <w:rsid w:val="00A34528"/>
    <w:rsid w:val="00A37DE8"/>
    <w:rsid w:val="00A40B4D"/>
    <w:rsid w:val="00A44B32"/>
    <w:rsid w:val="00A60FA1"/>
    <w:rsid w:val="00A71556"/>
    <w:rsid w:val="00A73880"/>
    <w:rsid w:val="00A8001C"/>
    <w:rsid w:val="00A81E68"/>
    <w:rsid w:val="00AA6C56"/>
    <w:rsid w:val="00AC0169"/>
    <w:rsid w:val="00AC6AA8"/>
    <w:rsid w:val="00AD202C"/>
    <w:rsid w:val="00AD2A2D"/>
    <w:rsid w:val="00AF6BB0"/>
    <w:rsid w:val="00B04A98"/>
    <w:rsid w:val="00B36003"/>
    <w:rsid w:val="00B41320"/>
    <w:rsid w:val="00B56FB7"/>
    <w:rsid w:val="00B60EFC"/>
    <w:rsid w:val="00B77C06"/>
    <w:rsid w:val="00BA3579"/>
    <w:rsid w:val="00BB3223"/>
    <w:rsid w:val="00BC35E1"/>
    <w:rsid w:val="00BD03E0"/>
    <w:rsid w:val="00BF3A20"/>
    <w:rsid w:val="00C0061B"/>
    <w:rsid w:val="00C018D5"/>
    <w:rsid w:val="00C04890"/>
    <w:rsid w:val="00CA1488"/>
    <w:rsid w:val="00CC0CB6"/>
    <w:rsid w:val="00CC1D1D"/>
    <w:rsid w:val="00CE6AE3"/>
    <w:rsid w:val="00D0445D"/>
    <w:rsid w:val="00D12242"/>
    <w:rsid w:val="00D17727"/>
    <w:rsid w:val="00D26E55"/>
    <w:rsid w:val="00D32C9B"/>
    <w:rsid w:val="00D4074E"/>
    <w:rsid w:val="00D445E8"/>
    <w:rsid w:val="00D45111"/>
    <w:rsid w:val="00D71ED5"/>
    <w:rsid w:val="00D80E73"/>
    <w:rsid w:val="00D86C68"/>
    <w:rsid w:val="00DB0A78"/>
    <w:rsid w:val="00DD1822"/>
    <w:rsid w:val="00DE1029"/>
    <w:rsid w:val="00DE26A0"/>
    <w:rsid w:val="00DF2FA6"/>
    <w:rsid w:val="00E203BA"/>
    <w:rsid w:val="00E22D43"/>
    <w:rsid w:val="00E30820"/>
    <w:rsid w:val="00E36362"/>
    <w:rsid w:val="00E42C15"/>
    <w:rsid w:val="00E4627C"/>
    <w:rsid w:val="00E67544"/>
    <w:rsid w:val="00E85203"/>
    <w:rsid w:val="00E86886"/>
    <w:rsid w:val="00E93FAB"/>
    <w:rsid w:val="00E95150"/>
    <w:rsid w:val="00E951B1"/>
    <w:rsid w:val="00EA5020"/>
    <w:rsid w:val="00EA58B2"/>
    <w:rsid w:val="00EC4163"/>
    <w:rsid w:val="00EE60CD"/>
    <w:rsid w:val="00EF3062"/>
    <w:rsid w:val="00F03F1F"/>
    <w:rsid w:val="00F06CA5"/>
    <w:rsid w:val="00F45575"/>
    <w:rsid w:val="00F77BEC"/>
    <w:rsid w:val="00F9171E"/>
    <w:rsid w:val="00F91C0F"/>
    <w:rsid w:val="00FB1FEF"/>
    <w:rsid w:val="00FB4B91"/>
    <w:rsid w:val="00FC4125"/>
    <w:rsid w:val="00FE6FED"/>
    <w:rsid w:val="00FF5479"/>
    <w:rsid w:val="032C17E0"/>
    <w:rsid w:val="04F002B0"/>
    <w:rsid w:val="05551D4C"/>
    <w:rsid w:val="057B5C57"/>
    <w:rsid w:val="05ED58B4"/>
    <w:rsid w:val="0C456161"/>
    <w:rsid w:val="0DEB1BBD"/>
    <w:rsid w:val="0FC23828"/>
    <w:rsid w:val="10A1579F"/>
    <w:rsid w:val="10D93C93"/>
    <w:rsid w:val="10EE66CF"/>
    <w:rsid w:val="118045F5"/>
    <w:rsid w:val="14596455"/>
    <w:rsid w:val="15367EF7"/>
    <w:rsid w:val="17D05530"/>
    <w:rsid w:val="17D31521"/>
    <w:rsid w:val="180C582A"/>
    <w:rsid w:val="182D6B6F"/>
    <w:rsid w:val="19540841"/>
    <w:rsid w:val="1AA323AD"/>
    <w:rsid w:val="1C131EBB"/>
    <w:rsid w:val="1C493F61"/>
    <w:rsid w:val="1D70046D"/>
    <w:rsid w:val="1E881342"/>
    <w:rsid w:val="1E93629D"/>
    <w:rsid w:val="1F9C084C"/>
    <w:rsid w:val="20BD66A9"/>
    <w:rsid w:val="21E2535E"/>
    <w:rsid w:val="23FA0FAB"/>
    <w:rsid w:val="27175F3F"/>
    <w:rsid w:val="27611820"/>
    <w:rsid w:val="2831225C"/>
    <w:rsid w:val="288A4CC3"/>
    <w:rsid w:val="2A1711BC"/>
    <w:rsid w:val="2AA412BD"/>
    <w:rsid w:val="2BE637A0"/>
    <w:rsid w:val="2E5844D8"/>
    <w:rsid w:val="2FB15C4D"/>
    <w:rsid w:val="2FFA78BA"/>
    <w:rsid w:val="304C23F1"/>
    <w:rsid w:val="335334BF"/>
    <w:rsid w:val="3B2C5316"/>
    <w:rsid w:val="3BA63A7F"/>
    <w:rsid w:val="3BED17BF"/>
    <w:rsid w:val="3CA07775"/>
    <w:rsid w:val="3D4E3AD5"/>
    <w:rsid w:val="3E554590"/>
    <w:rsid w:val="3E7A28CA"/>
    <w:rsid w:val="3F3E5881"/>
    <w:rsid w:val="41295675"/>
    <w:rsid w:val="41E22DC7"/>
    <w:rsid w:val="41F51C9B"/>
    <w:rsid w:val="41FF2FA2"/>
    <w:rsid w:val="4201606C"/>
    <w:rsid w:val="43836531"/>
    <w:rsid w:val="45CF6B25"/>
    <w:rsid w:val="47584B4F"/>
    <w:rsid w:val="478B4A59"/>
    <w:rsid w:val="47B133BE"/>
    <w:rsid w:val="47C80C64"/>
    <w:rsid w:val="480B2C86"/>
    <w:rsid w:val="483D3A2C"/>
    <w:rsid w:val="48A26AF4"/>
    <w:rsid w:val="4A167366"/>
    <w:rsid w:val="4A370ACA"/>
    <w:rsid w:val="4AC63FDC"/>
    <w:rsid w:val="4B450FC6"/>
    <w:rsid w:val="4C3B7513"/>
    <w:rsid w:val="4CC4526E"/>
    <w:rsid w:val="4DA37EA8"/>
    <w:rsid w:val="4EB33338"/>
    <w:rsid w:val="50D54034"/>
    <w:rsid w:val="511B4946"/>
    <w:rsid w:val="54687E3F"/>
    <w:rsid w:val="546B0B19"/>
    <w:rsid w:val="54C85664"/>
    <w:rsid w:val="56006F00"/>
    <w:rsid w:val="58A73315"/>
    <w:rsid w:val="58F76491"/>
    <w:rsid w:val="5A59153B"/>
    <w:rsid w:val="5DA24E17"/>
    <w:rsid w:val="63F57FF1"/>
    <w:rsid w:val="665B5943"/>
    <w:rsid w:val="67C223E6"/>
    <w:rsid w:val="6800454F"/>
    <w:rsid w:val="687B3C27"/>
    <w:rsid w:val="687D3777"/>
    <w:rsid w:val="6985680A"/>
    <w:rsid w:val="6AF905B4"/>
    <w:rsid w:val="6B947839"/>
    <w:rsid w:val="6D1B05CF"/>
    <w:rsid w:val="6D201C56"/>
    <w:rsid w:val="6ED04B50"/>
    <w:rsid w:val="6F2B6D0F"/>
    <w:rsid w:val="6FC8115D"/>
    <w:rsid w:val="703B4AE4"/>
    <w:rsid w:val="710F35DD"/>
    <w:rsid w:val="72CA055B"/>
    <w:rsid w:val="72F80E15"/>
    <w:rsid w:val="765E2E38"/>
    <w:rsid w:val="78735131"/>
    <w:rsid w:val="78EE0B2B"/>
    <w:rsid w:val="79FA77BE"/>
    <w:rsid w:val="7A28432B"/>
    <w:rsid w:val="7B186783"/>
    <w:rsid w:val="7B674B1C"/>
    <w:rsid w:val="7C2B55CD"/>
    <w:rsid w:val="7C525B87"/>
    <w:rsid w:val="7E80598D"/>
    <w:rsid w:val="7F222A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9"/>
    <w:qFormat/>
    <w:uiPriority w:val="9"/>
    <w:pPr>
      <w:keepNext/>
      <w:tabs>
        <w:tab w:val="left" w:pos="360"/>
      </w:tabs>
      <w:ind w:left="360" w:hanging="360"/>
      <w:outlineLvl w:val="0"/>
    </w:pPr>
    <w:rPr>
      <w:b/>
    </w:rPr>
  </w:style>
  <w:style w:type="paragraph" w:styleId="5">
    <w:name w:val="heading 2"/>
    <w:basedOn w:val="1"/>
    <w:next w:val="1"/>
    <w:link w:val="50"/>
    <w:qFormat/>
    <w:uiPriority w:val="9"/>
    <w:pPr>
      <w:keepNext/>
      <w:keepLines/>
      <w:spacing w:before="260" w:after="260" w:line="416" w:lineRule="auto"/>
      <w:outlineLvl w:val="1"/>
    </w:pPr>
    <w:rPr>
      <w:rFonts w:ascii="Arial" w:hAnsi="Arial" w:eastAsia="黑体"/>
      <w:b/>
      <w:sz w:val="32"/>
    </w:rPr>
  </w:style>
  <w:style w:type="paragraph" w:styleId="6">
    <w:name w:val="heading 3"/>
    <w:basedOn w:val="1"/>
    <w:next w:val="1"/>
    <w:link w:val="51"/>
    <w:qFormat/>
    <w:uiPriority w:val="9"/>
    <w:pPr>
      <w:keepNext/>
      <w:keepLines/>
      <w:spacing w:before="260" w:after="260" w:line="416" w:lineRule="auto"/>
      <w:outlineLvl w:val="2"/>
    </w:pPr>
    <w:rPr>
      <w:b/>
      <w:bCs/>
      <w:sz w:val="32"/>
      <w:szCs w:val="32"/>
    </w:rPr>
  </w:style>
  <w:style w:type="paragraph" w:styleId="7">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3"/>
    <w:qFormat/>
    <w:uiPriority w:val="0"/>
    <w:pPr>
      <w:keepNext/>
      <w:keepLines/>
      <w:tabs>
        <w:tab w:val="left" w:pos="1440"/>
      </w:tabs>
      <w:spacing w:before="280" w:after="290" w:line="372" w:lineRule="auto"/>
      <w:ind w:left="1440" w:hanging="900"/>
      <w:outlineLvl w:val="4"/>
    </w:pPr>
    <w:rPr>
      <w:b/>
      <w:sz w:val="28"/>
    </w:rPr>
  </w:style>
  <w:style w:type="paragraph" w:styleId="9">
    <w:name w:val="heading 6"/>
    <w:basedOn w:val="1"/>
    <w:next w:val="1"/>
    <w:link w:val="54"/>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10">
    <w:name w:val="heading 7"/>
    <w:basedOn w:val="1"/>
    <w:next w:val="1"/>
    <w:link w:val="55"/>
    <w:qFormat/>
    <w:uiPriority w:val="0"/>
    <w:pPr>
      <w:keepNext/>
      <w:keepLines/>
      <w:tabs>
        <w:tab w:val="left" w:pos="1440"/>
      </w:tabs>
      <w:spacing w:before="240" w:after="64" w:line="317" w:lineRule="auto"/>
      <w:ind w:left="1440" w:hanging="900"/>
      <w:outlineLvl w:val="6"/>
    </w:pPr>
    <w:rPr>
      <w:b/>
      <w:sz w:val="24"/>
    </w:rPr>
  </w:style>
  <w:style w:type="paragraph" w:styleId="11">
    <w:name w:val="heading 8"/>
    <w:basedOn w:val="1"/>
    <w:next w:val="1"/>
    <w:link w:val="56"/>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2">
    <w:name w:val="heading 9"/>
    <w:basedOn w:val="1"/>
    <w:next w:val="1"/>
    <w:link w:val="57"/>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qFormat/>
    <w:uiPriority w:val="0"/>
    <w:rPr>
      <w:rFonts w:ascii="Arial" w:hAnsi="Arial" w:cs="Arial" w:eastAsiaTheme="minorEastAsia"/>
      <w:sz w:val="24"/>
      <w:szCs w:val="22"/>
    </w:rPr>
  </w:style>
  <w:style w:type="paragraph" w:styleId="3">
    <w:name w:val="Normal Indent"/>
    <w:basedOn w:val="1"/>
    <w:link w:val="82"/>
    <w:qFormat/>
    <w:uiPriority w:val="99"/>
    <w:pPr>
      <w:ind w:firstLine="420" w:firstLineChars="200"/>
    </w:pPr>
    <w:rPr>
      <w:rFonts w:asciiTheme="minorHAnsi" w:hAnsiTheme="minorHAnsi" w:eastAsiaTheme="minorEastAsia" w:cstheme="minorBidi"/>
      <w:szCs w:val="24"/>
    </w:rPr>
  </w:style>
  <w:style w:type="paragraph" w:styleId="13">
    <w:name w:val="table of authorities"/>
    <w:basedOn w:val="1"/>
    <w:next w:val="1"/>
    <w:unhideWhenUsed/>
    <w:qFormat/>
    <w:uiPriority w:val="99"/>
    <w:pPr>
      <w:ind w:left="420" w:leftChars="200"/>
    </w:p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95"/>
    <w:qFormat/>
    <w:uiPriority w:val="0"/>
    <w:pPr>
      <w:shd w:val="clear" w:color="auto" w:fill="000080"/>
    </w:pPr>
    <w:rPr>
      <w:rFonts w:asciiTheme="minorHAnsi" w:hAnsiTheme="minorHAnsi" w:eastAsiaTheme="minorEastAsia" w:cstheme="minorBidi"/>
      <w:szCs w:val="22"/>
    </w:rPr>
  </w:style>
  <w:style w:type="paragraph" w:styleId="16">
    <w:name w:val="toa heading"/>
    <w:basedOn w:val="1"/>
    <w:next w:val="1"/>
    <w:qFormat/>
    <w:uiPriority w:val="0"/>
    <w:pPr>
      <w:spacing w:before="120"/>
    </w:pPr>
    <w:rPr>
      <w:rFonts w:ascii="Arial" w:hAnsi="Arial"/>
      <w:sz w:val="24"/>
      <w:szCs w:val="21"/>
    </w:rPr>
  </w:style>
  <w:style w:type="paragraph" w:styleId="17">
    <w:name w:val="annotation text"/>
    <w:basedOn w:val="1"/>
    <w:semiHidden/>
    <w:unhideWhenUsed/>
    <w:qFormat/>
    <w:uiPriority w:val="0"/>
    <w:pPr>
      <w:jc w:val="left"/>
    </w:pPr>
  </w:style>
  <w:style w:type="paragraph" w:styleId="18">
    <w:name w:val="Salutation"/>
    <w:basedOn w:val="1"/>
    <w:next w:val="1"/>
    <w:link w:val="59"/>
    <w:qFormat/>
    <w:uiPriority w:val="0"/>
    <w:rPr>
      <w:rFonts w:ascii="宋体"/>
      <w:b/>
      <w:sz w:val="28"/>
    </w:rPr>
  </w:style>
  <w:style w:type="paragraph" w:styleId="19">
    <w:name w:val="Body Text Indent"/>
    <w:basedOn w:val="1"/>
    <w:next w:val="20"/>
    <w:link w:val="61"/>
    <w:qFormat/>
    <w:uiPriority w:val="0"/>
    <w:pPr>
      <w:ind w:firstLine="480"/>
    </w:pPr>
    <w:rPr>
      <w:rFonts w:ascii="宋体" w:hAnsi="宋体"/>
      <w:sz w:val="24"/>
    </w:rPr>
  </w:style>
  <w:style w:type="paragraph" w:styleId="20">
    <w:name w:val="envelope return"/>
    <w:basedOn w:val="1"/>
    <w:qFormat/>
    <w:uiPriority w:val="0"/>
    <w:pPr>
      <w:topLinePunct/>
      <w:snapToGrid w:val="0"/>
    </w:pPr>
    <w:rPr>
      <w:rFonts w:ascii="Arial" w:hAnsi="Arial" w:cs="Arial"/>
    </w:rPr>
  </w:style>
  <w:style w:type="paragraph" w:styleId="21">
    <w:name w:val="Block Text"/>
    <w:basedOn w:val="1"/>
    <w:qFormat/>
    <w:uiPriority w:val="99"/>
    <w:pPr>
      <w:ind w:left="1171" w:right="91" w:hanging="1080"/>
    </w:pPr>
    <w:rPr>
      <w:rFonts w:eastAsia="楷体_GB2312"/>
    </w:rPr>
  </w:style>
  <w:style w:type="paragraph" w:styleId="22">
    <w:name w:val="toc 3"/>
    <w:basedOn w:val="1"/>
    <w:next w:val="1"/>
    <w:qFormat/>
    <w:uiPriority w:val="39"/>
    <w:pPr>
      <w:ind w:left="840" w:leftChars="400"/>
    </w:pPr>
  </w:style>
  <w:style w:type="paragraph" w:styleId="23">
    <w:name w:val="Plain Text"/>
    <w:basedOn w:val="1"/>
    <w:link w:val="101"/>
    <w:qFormat/>
    <w:uiPriority w:val="0"/>
    <w:rPr>
      <w:rFonts w:ascii="宋体" w:hAnsi="Courier New" w:cstheme="minorBidi"/>
      <w:szCs w:val="22"/>
    </w:rPr>
  </w:style>
  <w:style w:type="paragraph" w:styleId="24">
    <w:name w:val="Date"/>
    <w:basedOn w:val="1"/>
    <w:next w:val="1"/>
    <w:link w:val="63"/>
    <w:qFormat/>
    <w:uiPriority w:val="0"/>
    <w:pPr>
      <w:ind w:left="100"/>
    </w:pPr>
    <w:rPr>
      <w:sz w:val="24"/>
    </w:rPr>
  </w:style>
  <w:style w:type="paragraph" w:styleId="25">
    <w:name w:val="Body Text Indent 2"/>
    <w:basedOn w:val="1"/>
    <w:link w:val="94"/>
    <w:qFormat/>
    <w:uiPriority w:val="0"/>
    <w:pPr>
      <w:ind w:firstLine="435"/>
    </w:pPr>
    <w:rPr>
      <w:rFonts w:ascii="宋体" w:hAnsi="宋体" w:eastAsiaTheme="minorEastAsia" w:cstheme="minorBidi"/>
      <w:sz w:val="24"/>
      <w:szCs w:val="22"/>
    </w:rPr>
  </w:style>
  <w:style w:type="paragraph" w:styleId="26">
    <w:name w:val="Balloon Text"/>
    <w:basedOn w:val="1"/>
    <w:link w:val="65"/>
    <w:semiHidden/>
    <w:qFormat/>
    <w:uiPriority w:val="99"/>
    <w:rPr>
      <w:sz w:val="18"/>
      <w:szCs w:val="18"/>
    </w:rPr>
  </w:style>
  <w:style w:type="paragraph" w:styleId="27">
    <w:name w:val="footer"/>
    <w:basedOn w:val="1"/>
    <w:link w:val="66"/>
    <w:unhideWhenUsed/>
    <w:qFormat/>
    <w:uiPriority w:val="99"/>
    <w:pPr>
      <w:tabs>
        <w:tab w:val="center" w:pos="4153"/>
        <w:tab w:val="right" w:pos="8306"/>
      </w:tabs>
      <w:snapToGrid w:val="0"/>
      <w:jc w:val="left"/>
    </w:pPr>
    <w:rPr>
      <w:sz w:val="18"/>
      <w:szCs w:val="18"/>
    </w:rPr>
  </w:style>
  <w:style w:type="paragraph" w:styleId="28">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Body Text Indent 3"/>
    <w:basedOn w:val="1"/>
    <w:link w:val="68"/>
    <w:qFormat/>
    <w:uiPriority w:val="0"/>
    <w:pPr>
      <w:ind w:left="471" w:hanging="471" w:hangingChars="200"/>
    </w:pPr>
    <w:rPr>
      <w:rFonts w:ascii="Arial" w:hAnsi="Arial" w:cs="Arial"/>
      <w:b/>
      <w:bCs/>
      <w:sz w:val="24"/>
    </w:rPr>
  </w:style>
  <w:style w:type="paragraph" w:styleId="31">
    <w:name w:val="toc 2"/>
    <w:basedOn w:val="1"/>
    <w:next w:val="1"/>
    <w:qFormat/>
    <w:uiPriority w:val="39"/>
    <w:pPr>
      <w:ind w:left="420" w:leftChars="200"/>
    </w:pPr>
  </w:style>
  <w:style w:type="paragraph" w:styleId="32">
    <w:name w:val="Body Text 2"/>
    <w:basedOn w:val="1"/>
    <w:link w:val="69"/>
    <w:qFormat/>
    <w:uiPriority w:val="0"/>
    <w:pPr>
      <w:spacing w:line="360" w:lineRule="auto"/>
    </w:pPr>
    <w:rPr>
      <w:b/>
      <w:sz w:val="28"/>
      <w:szCs w:val="21"/>
    </w:rPr>
  </w:style>
  <w:style w:type="paragraph" w:styleId="33">
    <w:name w:val="Normal (Web)"/>
    <w:basedOn w:val="1"/>
    <w:link w:val="11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4">
    <w:name w:val="Body Text First Indent"/>
    <w:basedOn w:val="2"/>
    <w:next w:val="35"/>
    <w:link w:val="106"/>
    <w:qFormat/>
    <w:uiPriority w:val="0"/>
    <w:pPr>
      <w:spacing w:after="120"/>
      <w:ind w:firstLine="420" w:firstLineChars="100"/>
    </w:pPr>
  </w:style>
  <w:style w:type="paragraph" w:styleId="35">
    <w:name w:val="Body Text First Indent 2"/>
    <w:basedOn w:val="19"/>
    <w:next w:val="1"/>
    <w:unhideWhenUsed/>
    <w:qFormat/>
    <w:uiPriority w:val="99"/>
    <w:pPr>
      <w:ind w:firstLine="420"/>
    </w:pPr>
    <w:rPr>
      <w:rFonts w:ascii="Arial" w:hAnsi="Arial" w:eastAsia="仿宋_GB2312"/>
      <w:sz w:val="28"/>
    </w:rPr>
  </w:style>
  <w:style w:type="table" w:styleId="37">
    <w:name w:val="Table Grid"/>
    <w:basedOn w:val="36"/>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Emphasis"/>
    <w:qFormat/>
    <w:uiPriority w:val="0"/>
    <w:rPr>
      <w:color w:val="CC0033"/>
    </w:rPr>
  </w:style>
  <w:style w:type="character" w:styleId="43">
    <w:name w:val="Hyperlink"/>
    <w:basedOn w:val="38"/>
    <w:qFormat/>
    <w:uiPriority w:val="99"/>
    <w:rPr>
      <w:color w:val="0000FF"/>
      <w:u w:val="single"/>
    </w:rPr>
  </w:style>
  <w:style w:type="character" w:styleId="44">
    <w:name w:val="annotation reference"/>
    <w:basedOn w:val="38"/>
    <w:semiHidden/>
    <w:unhideWhenUsed/>
    <w:qFormat/>
    <w:uiPriority w:val="99"/>
    <w:rPr>
      <w:sz w:val="21"/>
      <w:szCs w:val="21"/>
    </w:rPr>
  </w:style>
  <w:style w:type="character" w:styleId="45">
    <w:name w:val="HTML Sample"/>
    <w:basedOn w:val="38"/>
    <w:semiHidden/>
    <w:unhideWhenUsed/>
    <w:qFormat/>
    <w:uiPriority w:val="99"/>
    <w:rPr>
      <w:rFonts w:ascii="宋体" w:hAnsi="宋体" w:eastAsia="宋体" w:cs="宋体"/>
    </w:rPr>
  </w:style>
  <w:style w:type="paragraph" w:customStyle="1" w:styleId="4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标题 5（有编号）（绿盟科技）"/>
    <w:basedOn w:val="1"/>
    <w:next w:val="4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4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9">
    <w:name w:val="标题 1 字符"/>
    <w:basedOn w:val="38"/>
    <w:link w:val="4"/>
    <w:qFormat/>
    <w:uiPriority w:val="9"/>
    <w:rPr>
      <w:rFonts w:ascii="Times New Roman" w:hAnsi="Times New Roman" w:eastAsia="宋体" w:cs="Times New Roman"/>
      <w:b/>
      <w:szCs w:val="20"/>
    </w:rPr>
  </w:style>
  <w:style w:type="character" w:customStyle="1" w:styleId="50">
    <w:name w:val="标题 2 字符"/>
    <w:basedOn w:val="38"/>
    <w:link w:val="5"/>
    <w:qFormat/>
    <w:uiPriority w:val="9"/>
    <w:rPr>
      <w:rFonts w:ascii="Arial" w:hAnsi="Arial" w:eastAsia="黑体" w:cs="Times New Roman"/>
      <w:b/>
      <w:sz w:val="32"/>
      <w:szCs w:val="20"/>
    </w:rPr>
  </w:style>
  <w:style w:type="character" w:customStyle="1" w:styleId="51">
    <w:name w:val="标题 3 字符"/>
    <w:basedOn w:val="38"/>
    <w:link w:val="6"/>
    <w:qFormat/>
    <w:uiPriority w:val="9"/>
    <w:rPr>
      <w:rFonts w:ascii="Times New Roman" w:hAnsi="Times New Roman" w:eastAsia="宋体" w:cs="Times New Roman"/>
      <w:b/>
      <w:bCs/>
      <w:sz w:val="32"/>
      <w:szCs w:val="32"/>
    </w:rPr>
  </w:style>
  <w:style w:type="character" w:customStyle="1" w:styleId="52">
    <w:name w:val="标题 4 字符"/>
    <w:basedOn w:val="38"/>
    <w:link w:val="7"/>
    <w:qFormat/>
    <w:uiPriority w:val="0"/>
    <w:rPr>
      <w:rFonts w:ascii="Arial" w:hAnsi="Arial" w:eastAsia="黑体" w:cs="Times New Roman"/>
      <w:b/>
      <w:bCs/>
      <w:sz w:val="28"/>
      <w:szCs w:val="28"/>
    </w:rPr>
  </w:style>
  <w:style w:type="character" w:customStyle="1" w:styleId="53">
    <w:name w:val="标题 5 字符"/>
    <w:basedOn w:val="38"/>
    <w:link w:val="8"/>
    <w:qFormat/>
    <w:uiPriority w:val="0"/>
    <w:rPr>
      <w:rFonts w:ascii="Times New Roman" w:hAnsi="Times New Roman" w:eastAsia="宋体" w:cs="Times New Roman"/>
      <w:b/>
      <w:sz w:val="28"/>
      <w:szCs w:val="20"/>
    </w:rPr>
  </w:style>
  <w:style w:type="character" w:customStyle="1" w:styleId="54">
    <w:name w:val="标题 6 字符"/>
    <w:basedOn w:val="38"/>
    <w:link w:val="9"/>
    <w:qFormat/>
    <w:uiPriority w:val="0"/>
    <w:rPr>
      <w:rFonts w:ascii="Arial" w:hAnsi="Arial" w:eastAsia="黑体" w:cs="Times New Roman"/>
      <w:b/>
      <w:sz w:val="24"/>
      <w:szCs w:val="20"/>
    </w:rPr>
  </w:style>
  <w:style w:type="character" w:customStyle="1" w:styleId="55">
    <w:name w:val="标题 7 字符"/>
    <w:basedOn w:val="38"/>
    <w:link w:val="10"/>
    <w:qFormat/>
    <w:uiPriority w:val="0"/>
    <w:rPr>
      <w:rFonts w:ascii="Times New Roman" w:hAnsi="Times New Roman" w:eastAsia="宋体" w:cs="Times New Roman"/>
      <w:b/>
      <w:sz w:val="24"/>
      <w:szCs w:val="20"/>
    </w:rPr>
  </w:style>
  <w:style w:type="character" w:customStyle="1" w:styleId="56">
    <w:name w:val="标题 8 字符"/>
    <w:basedOn w:val="38"/>
    <w:link w:val="11"/>
    <w:qFormat/>
    <w:uiPriority w:val="0"/>
    <w:rPr>
      <w:rFonts w:ascii="Arial" w:hAnsi="Arial" w:eastAsia="黑体" w:cs="Times New Roman"/>
      <w:sz w:val="24"/>
      <w:szCs w:val="20"/>
    </w:rPr>
  </w:style>
  <w:style w:type="character" w:customStyle="1" w:styleId="57">
    <w:name w:val="标题 9 字符"/>
    <w:basedOn w:val="38"/>
    <w:link w:val="12"/>
    <w:qFormat/>
    <w:uiPriority w:val="0"/>
    <w:rPr>
      <w:rFonts w:ascii="Arial" w:hAnsi="Arial" w:eastAsia="黑体" w:cs="Times New Roman"/>
      <w:szCs w:val="20"/>
    </w:rPr>
  </w:style>
  <w:style w:type="character" w:customStyle="1" w:styleId="58">
    <w:name w:val="文档结构图 Char"/>
    <w:basedOn w:val="38"/>
    <w:qFormat/>
    <w:uiPriority w:val="0"/>
    <w:rPr>
      <w:rFonts w:ascii="宋体" w:hAnsi="Times New Roman" w:eastAsia="宋体" w:cs="Times New Roman"/>
      <w:sz w:val="18"/>
      <w:szCs w:val="18"/>
    </w:rPr>
  </w:style>
  <w:style w:type="character" w:customStyle="1" w:styleId="59">
    <w:name w:val="称呼 字符"/>
    <w:basedOn w:val="38"/>
    <w:link w:val="18"/>
    <w:qFormat/>
    <w:uiPriority w:val="0"/>
    <w:rPr>
      <w:rFonts w:ascii="宋体" w:hAnsi="Times New Roman" w:eastAsia="宋体" w:cs="Times New Roman"/>
      <w:b/>
      <w:sz w:val="28"/>
      <w:szCs w:val="20"/>
    </w:rPr>
  </w:style>
  <w:style w:type="character" w:customStyle="1" w:styleId="60">
    <w:name w:val="正文文本 Char"/>
    <w:basedOn w:val="38"/>
    <w:qFormat/>
    <w:uiPriority w:val="0"/>
    <w:rPr>
      <w:rFonts w:ascii="Times New Roman" w:hAnsi="Times New Roman" w:eastAsia="宋体" w:cs="Times New Roman"/>
      <w:szCs w:val="20"/>
    </w:rPr>
  </w:style>
  <w:style w:type="character" w:customStyle="1" w:styleId="61">
    <w:name w:val="正文文本缩进 字符"/>
    <w:basedOn w:val="38"/>
    <w:link w:val="19"/>
    <w:qFormat/>
    <w:uiPriority w:val="0"/>
    <w:rPr>
      <w:rFonts w:ascii="宋体" w:hAnsi="宋体" w:eastAsia="宋体" w:cs="Times New Roman"/>
      <w:sz w:val="24"/>
      <w:szCs w:val="20"/>
    </w:rPr>
  </w:style>
  <w:style w:type="character" w:customStyle="1" w:styleId="62">
    <w:name w:val="纯文本 Char"/>
    <w:basedOn w:val="38"/>
    <w:qFormat/>
    <w:uiPriority w:val="0"/>
    <w:rPr>
      <w:rFonts w:ascii="宋体" w:hAnsi="Courier New" w:eastAsia="宋体" w:cs="Courier New"/>
      <w:szCs w:val="21"/>
    </w:rPr>
  </w:style>
  <w:style w:type="character" w:customStyle="1" w:styleId="63">
    <w:name w:val="日期 字符"/>
    <w:basedOn w:val="38"/>
    <w:link w:val="24"/>
    <w:qFormat/>
    <w:uiPriority w:val="0"/>
    <w:rPr>
      <w:rFonts w:ascii="Times New Roman" w:hAnsi="Times New Roman" w:eastAsia="宋体" w:cs="Times New Roman"/>
      <w:sz w:val="24"/>
      <w:szCs w:val="20"/>
    </w:rPr>
  </w:style>
  <w:style w:type="character" w:customStyle="1" w:styleId="64">
    <w:name w:val="正文文本缩进 2 Char"/>
    <w:basedOn w:val="38"/>
    <w:qFormat/>
    <w:uiPriority w:val="0"/>
    <w:rPr>
      <w:rFonts w:ascii="Times New Roman" w:hAnsi="Times New Roman" w:eastAsia="宋体" w:cs="Times New Roman"/>
      <w:szCs w:val="20"/>
    </w:rPr>
  </w:style>
  <w:style w:type="character" w:customStyle="1" w:styleId="65">
    <w:name w:val="批注框文本 字符"/>
    <w:basedOn w:val="38"/>
    <w:link w:val="26"/>
    <w:semiHidden/>
    <w:qFormat/>
    <w:uiPriority w:val="99"/>
    <w:rPr>
      <w:rFonts w:ascii="Times New Roman" w:hAnsi="Times New Roman" w:eastAsia="宋体" w:cs="Times New Roman"/>
      <w:sz w:val="18"/>
      <w:szCs w:val="18"/>
    </w:rPr>
  </w:style>
  <w:style w:type="character" w:customStyle="1" w:styleId="66">
    <w:name w:val="页脚 字符"/>
    <w:basedOn w:val="38"/>
    <w:link w:val="27"/>
    <w:qFormat/>
    <w:uiPriority w:val="99"/>
    <w:rPr>
      <w:rFonts w:ascii="Times New Roman" w:hAnsi="Times New Roman" w:eastAsia="宋体" w:cs="Times New Roman"/>
      <w:sz w:val="18"/>
      <w:szCs w:val="18"/>
    </w:rPr>
  </w:style>
  <w:style w:type="character" w:customStyle="1" w:styleId="67">
    <w:name w:val="页眉 字符"/>
    <w:basedOn w:val="38"/>
    <w:link w:val="28"/>
    <w:qFormat/>
    <w:uiPriority w:val="99"/>
    <w:rPr>
      <w:rFonts w:ascii="Times New Roman" w:hAnsi="Times New Roman" w:eastAsia="宋体" w:cs="Times New Roman"/>
      <w:sz w:val="18"/>
      <w:szCs w:val="18"/>
    </w:rPr>
  </w:style>
  <w:style w:type="character" w:customStyle="1" w:styleId="68">
    <w:name w:val="正文文本缩进 3 字符"/>
    <w:basedOn w:val="38"/>
    <w:link w:val="30"/>
    <w:qFormat/>
    <w:uiPriority w:val="0"/>
    <w:rPr>
      <w:rFonts w:ascii="Arial" w:hAnsi="Arial" w:eastAsia="宋体" w:cs="Arial"/>
      <w:b/>
      <w:bCs/>
      <w:sz w:val="24"/>
      <w:szCs w:val="20"/>
    </w:rPr>
  </w:style>
  <w:style w:type="character" w:customStyle="1" w:styleId="69">
    <w:name w:val="正文文本 2 字符"/>
    <w:basedOn w:val="38"/>
    <w:link w:val="32"/>
    <w:qFormat/>
    <w:uiPriority w:val="0"/>
    <w:rPr>
      <w:rFonts w:ascii="Times New Roman" w:hAnsi="Times New Roman" w:eastAsia="宋体" w:cs="Times New Roman"/>
      <w:b/>
      <w:sz w:val="28"/>
      <w:szCs w:val="21"/>
    </w:rPr>
  </w:style>
  <w:style w:type="character" w:customStyle="1" w:styleId="70">
    <w:name w:val="正文首行缩进 Char"/>
    <w:basedOn w:val="60"/>
    <w:qFormat/>
    <w:uiPriority w:val="0"/>
    <w:rPr>
      <w:rFonts w:ascii="Times New Roman" w:hAnsi="Times New Roman" w:eastAsia="宋体" w:cs="Times New Roman"/>
      <w:szCs w:val="20"/>
    </w:rPr>
  </w:style>
  <w:style w:type="character" w:customStyle="1" w:styleId="71">
    <w:name w:val="p21"/>
    <w:qFormat/>
    <w:uiPriority w:val="0"/>
    <w:rPr>
      <w:rFonts w:hint="default" w:ascii="Arial" w:hAnsi="Arial" w:cs="Arial"/>
      <w:color w:val="333333"/>
      <w:sz w:val="18"/>
      <w:szCs w:val="18"/>
      <w:u w:val="none"/>
    </w:rPr>
  </w:style>
  <w:style w:type="character" w:customStyle="1" w:styleId="72">
    <w:name w:val="font21"/>
    <w:basedOn w:val="38"/>
    <w:qFormat/>
    <w:uiPriority w:val="0"/>
    <w:rPr>
      <w:rFonts w:hint="eastAsia" w:ascii="宋体" w:hAnsi="宋体" w:eastAsia="宋体" w:cs="宋体"/>
      <w:color w:val="000000"/>
      <w:sz w:val="22"/>
      <w:szCs w:val="22"/>
      <w:u w:val="none"/>
    </w:rPr>
  </w:style>
  <w:style w:type="character" w:customStyle="1" w:styleId="73">
    <w:name w:val="所标正文 Char Char"/>
    <w:link w:val="74"/>
    <w:qFormat/>
    <w:uiPriority w:val="0"/>
    <w:rPr>
      <w:rFonts w:ascii="仿宋_GB2312" w:hAnsi="Calibri" w:eastAsia="仿宋_GB2312"/>
      <w:sz w:val="30"/>
      <w:szCs w:val="28"/>
    </w:rPr>
  </w:style>
  <w:style w:type="paragraph" w:customStyle="1" w:styleId="74">
    <w:name w:val="所标正文"/>
    <w:basedOn w:val="1"/>
    <w:link w:val="73"/>
    <w:qFormat/>
    <w:uiPriority w:val="0"/>
    <w:pPr>
      <w:spacing w:line="360" w:lineRule="auto"/>
      <w:ind w:firstLine="200" w:firstLineChars="200"/>
    </w:pPr>
    <w:rPr>
      <w:rFonts w:ascii="仿宋_GB2312" w:hAnsi="Calibri" w:eastAsia="仿宋_GB2312" w:cstheme="minorBidi"/>
      <w:sz w:val="30"/>
      <w:szCs w:val="28"/>
    </w:rPr>
  </w:style>
  <w:style w:type="character" w:customStyle="1" w:styleId="75">
    <w:name w:val="正文文字 Char1"/>
    <w:link w:val="76"/>
    <w:qFormat/>
    <w:uiPriority w:val="0"/>
    <w:rPr>
      <w:rFonts w:ascii="宋体" w:eastAsia="宋体"/>
      <w:color w:val="000000"/>
      <w:sz w:val="28"/>
      <w:u w:color="000000"/>
    </w:rPr>
  </w:style>
  <w:style w:type="paragraph" w:customStyle="1" w:styleId="76">
    <w:name w:val="正文文字"/>
    <w:basedOn w:val="1"/>
    <w:link w:val="75"/>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77">
    <w:name w:val="marklong"/>
    <w:basedOn w:val="38"/>
    <w:qFormat/>
    <w:uiPriority w:val="0"/>
  </w:style>
  <w:style w:type="character" w:customStyle="1" w:styleId="78">
    <w:name w:val="unnamed1"/>
    <w:basedOn w:val="38"/>
    <w:qFormat/>
    <w:uiPriority w:val="0"/>
  </w:style>
  <w:style w:type="character" w:customStyle="1" w:styleId="79">
    <w:name w:val="css21"/>
    <w:qFormat/>
    <w:uiPriority w:val="0"/>
    <w:rPr>
      <w:sz w:val="18"/>
      <w:szCs w:val="18"/>
    </w:rPr>
  </w:style>
  <w:style w:type="character" w:customStyle="1" w:styleId="80">
    <w:name w:val="font01"/>
    <w:basedOn w:val="38"/>
    <w:qFormat/>
    <w:uiPriority w:val="0"/>
    <w:rPr>
      <w:rFonts w:hint="eastAsia" w:ascii="宋体" w:hAnsi="宋体" w:eastAsia="宋体" w:cs="宋体"/>
      <w:color w:val="000000"/>
      <w:sz w:val="22"/>
      <w:szCs w:val="22"/>
      <w:u w:val="none"/>
    </w:rPr>
  </w:style>
  <w:style w:type="character" w:customStyle="1" w:styleId="81">
    <w:name w:val="纯文本 Char Char Char Char Char Char"/>
    <w:qFormat/>
    <w:locked/>
    <w:uiPriority w:val="0"/>
    <w:rPr>
      <w:rFonts w:ascii="宋体" w:hAnsi="Courier New" w:eastAsia="宋体"/>
      <w:kern w:val="2"/>
      <w:sz w:val="21"/>
      <w:lang w:val="en-US" w:eastAsia="zh-CN" w:bidi="ar-SA"/>
    </w:rPr>
  </w:style>
  <w:style w:type="character" w:customStyle="1" w:styleId="82">
    <w:name w:val="正文缩进 字符"/>
    <w:link w:val="3"/>
    <w:qFormat/>
    <w:uiPriority w:val="99"/>
    <w:rPr>
      <w:szCs w:val="24"/>
    </w:rPr>
  </w:style>
  <w:style w:type="character" w:customStyle="1" w:styleId="83">
    <w:name w:val="样式 正文缩进 + 首行缩进:  2 字符 Char"/>
    <w:link w:val="84"/>
    <w:qFormat/>
    <w:uiPriority w:val="0"/>
    <w:rPr>
      <w:sz w:val="24"/>
    </w:rPr>
  </w:style>
  <w:style w:type="paragraph" w:customStyle="1" w:styleId="84">
    <w:name w:val="样式 正文缩进 + 首行缩进:  2 字符"/>
    <w:basedOn w:val="3"/>
    <w:link w:val="83"/>
    <w:qFormat/>
    <w:uiPriority w:val="0"/>
    <w:pPr>
      <w:spacing w:line="360" w:lineRule="auto"/>
      <w:ind w:firstLine="200"/>
    </w:pPr>
    <w:rPr>
      <w:sz w:val="24"/>
      <w:szCs w:val="22"/>
    </w:rPr>
  </w:style>
  <w:style w:type="character" w:customStyle="1" w:styleId="85">
    <w:name w:val="标准段落正文 Char"/>
    <w:link w:val="86"/>
    <w:qFormat/>
    <w:uiPriority w:val="0"/>
    <w:rPr>
      <w:rFonts w:cs="宋体"/>
      <w:sz w:val="24"/>
    </w:rPr>
  </w:style>
  <w:style w:type="paragraph" w:customStyle="1" w:styleId="86">
    <w:name w:val="标准段落正文"/>
    <w:basedOn w:val="1"/>
    <w:link w:val="85"/>
    <w:qFormat/>
    <w:uiPriority w:val="0"/>
    <w:pPr>
      <w:spacing w:line="360" w:lineRule="auto"/>
      <w:ind w:firstLine="482"/>
    </w:pPr>
    <w:rPr>
      <w:rFonts w:cs="宋体" w:asciiTheme="minorHAnsi" w:hAnsiTheme="minorHAnsi" w:eastAsiaTheme="minorEastAsia"/>
      <w:sz w:val="24"/>
      <w:szCs w:val="22"/>
    </w:rPr>
  </w:style>
  <w:style w:type="character" w:customStyle="1" w:styleId="87">
    <w:name w:val="正文文字 Char"/>
    <w:qFormat/>
    <w:uiPriority w:val="0"/>
    <w:rPr>
      <w:rFonts w:ascii="Arial" w:hAnsi="Arial" w:eastAsia="宋体" w:cs="Arial"/>
      <w:kern w:val="2"/>
      <w:sz w:val="24"/>
      <w:lang w:val="en-US" w:eastAsia="zh-CN" w:bidi="ar-SA"/>
    </w:rPr>
  </w:style>
  <w:style w:type="character" w:customStyle="1" w:styleId="88">
    <w:name w:val="书籍标题1"/>
    <w:qFormat/>
    <w:uiPriority w:val="0"/>
    <w:rPr>
      <w:b/>
      <w:bCs/>
      <w:smallCaps/>
      <w:spacing w:val="5"/>
    </w:rPr>
  </w:style>
  <w:style w:type="character" w:customStyle="1" w:styleId="89">
    <w:name w:val="con"/>
    <w:qFormat/>
    <w:uiPriority w:val="0"/>
  </w:style>
  <w:style w:type="character" w:customStyle="1" w:styleId="90">
    <w:name w:val="明显参考1"/>
    <w:qFormat/>
    <w:uiPriority w:val="0"/>
    <w:rPr>
      <w:b/>
      <w:bCs/>
      <w:smallCaps/>
      <w:color w:val="C0504D"/>
      <w:spacing w:val="5"/>
      <w:u w:val="single"/>
    </w:rPr>
  </w:style>
  <w:style w:type="character" w:customStyle="1" w:styleId="91">
    <w:name w:val="grame"/>
    <w:basedOn w:val="38"/>
    <w:qFormat/>
    <w:uiPriority w:val="0"/>
  </w:style>
  <w:style w:type="paragraph" w:customStyle="1" w:styleId="92">
    <w:name w:val="列出段落1"/>
    <w:basedOn w:val="1"/>
    <w:qFormat/>
    <w:uiPriority w:val="34"/>
    <w:pPr>
      <w:ind w:firstLine="420" w:firstLineChars="200"/>
    </w:pPr>
    <w:rPr>
      <w:rFonts w:ascii="Calibri" w:hAnsi="Calibri"/>
      <w:szCs w:val="22"/>
    </w:rPr>
  </w:style>
  <w:style w:type="paragraph" w:customStyle="1" w:styleId="93">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4">
    <w:name w:val="正文文本缩进 2 字符"/>
    <w:basedOn w:val="38"/>
    <w:link w:val="25"/>
    <w:qFormat/>
    <w:uiPriority w:val="0"/>
    <w:rPr>
      <w:rFonts w:ascii="宋体" w:hAnsi="宋体"/>
      <w:sz w:val="24"/>
    </w:rPr>
  </w:style>
  <w:style w:type="character" w:customStyle="1" w:styleId="95">
    <w:name w:val="文档结构图 字符"/>
    <w:basedOn w:val="38"/>
    <w:link w:val="15"/>
    <w:qFormat/>
    <w:uiPriority w:val="0"/>
    <w:rPr>
      <w:shd w:val="clear" w:color="auto" w:fill="000080"/>
    </w:rPr>
  </w:style>
  <w:style w:type="paragraph" w:customStyle="1" w:styleId="96">
    <w:name w:val="Char"/>
    <w:basedOn w:val="1"/>
    <w:semiHidden/>
    <w:qFormat/>
    <w:uiPriority w:val="0"/>
    <w:rPr>
      <w:rFonts w:ascii="Tahoma" w:hAnsi="Tahoma" w:cs="仿宋_GB2312"/>
      <w:sz w:val="24"/>
      <w:szCs w:val="28"/>
    </w:rPr>
  </w:style>
  <w:style w:type="paragraph" w:customStyle="1" w:styleId="97">
    <w:name w:val="正文缩进1"/>
    <w:basedOn w:val="1"/>
    <w:qFormat/>
    <w:uiPriority w:val="0"/>
    <w:pPr>
      <w:ind w:firstLine="420" w:firstLineChars="200"/>
    </w:pPr>
    <w:rPr>
      <w:rFonts w:ascii="Calibri" w:hAnsi="Calibri"/>
    </w:rPr>
  </w:style>
  <w:style w:type="paragraph" w:customStyle="1" w:styleId="98">
    <w:name w:val="条目3"/>
    <w:basedOn w:val="23"/>
    <w:qFormat/>
    <w:uiPriority w:val="0"/>
  </w:style>
  <w:style w:type="character" w:customStyle="1" w:styleId="99">
    <w:name w:val="正文文本 字符"/>
    <w:basedOn w:val="38"/>
    <w:link w:val="2"/>
    <w:qFormat/>
    <w:uiPriority w:val="0"/>
    <w:rPr>
      <w:rFonts w:ascii="Arial" w:hAnsi="Arial" w:cs="Arial"/>
      <w:sz w:val="24"/>
    </w:rPr>
  </w:style>
  <w:style w:type="paragraph" w:customStyle="1" w:styleId="10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1">
    <w:name w:val="纯文本 字符"/>
    <w:basedOn w:val="38"/>
    <w:link w:val="23"/>
    <w:qFormat/>
    <w:uiPriority w:val="0"/>
    <w:rPr>
      <w:rFonts w:ascii="宋体" w:hAnsi="Courier New" w:eastAsia="宋体"/>
    </w:rPr>
  </w:style>
  <w:style w:type="paragraph" w:customStyle="1" w:styleId="10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3">
    <w:name w:val="列出段落11"/>
    <w:basedOn w:val="1"/>
    <w:qFormat/>
    <w:uiPriority w:val="0"/>
    <w:pPr>
      <w:ind w:firstLine="420" w:firstLineChars="200"/>
    </w:pPr>
  </w:style>
  <w:style w:type="paragraph" w:customStyle="1" w:styleId="104">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5">
    <w:name w:val="首页大标题"/>
    <w:basedOn w:val="74"/>
    <w:qFormat/>
    <w:uiPriority w:val="0"/>
    <w:pPr>
      <w:ind w:firstLine="0" w:firstLineChars="0"/>
      <w:jc w:val="center"/>
    </w:pPr>
    <w:rPr>
      <w:rFonts w:ascii="黑体" w:eastAsia="黑体"/>
      <w:b/>
      <w:sz w:val="52"/>
    </w:rPr>
  </w:style>
  <w:style w:type="character" w:customStyle="1" w:styleId="106">
    <w:name w:val="正文首行缩进 字符"/>
    <w:basedOn w:val="99"/>
    <w:link w:val="34"/>
    <w:qFormat/>
    <w:uiPriority w:val="0"/>
    <w:rPr>
      <w:rFonts w:ascii="Arial" w:hAnsi="Arial" w:cs="Arial"/>
      <w:sz w:val="24"/>
    </w:rPr>
  </w:style>
  <w:style w:type="paragraph" w:customStyle="1" w:styleId="10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8">
    <w:name w:val="p0"/>
    <w:basedOn w:val="1"/>
    <w:qFormat/>
    <w:uiPriority w:val="0"/>
    <w:pPr>
      <w:widowControl/>
    </w:pPr>
    <w:rPr>
      <w:kern w:val="0"/>
      <w:szCs w:val="21"/>
    </w:rPr>
  </w:style>
  <w:style w:type="paragraph" w:customStyle="1" w:styleId="109">
    <w:name w:val="条目2"/>
    <w:basedOn w:val="23"/>
    <w:qFormat/>
    <w:uiPriority w:val="0"/>
    <w:pPr>
      <w:tabs>
        <w:tab w:val="left" w:pos="420"/>
      </w:tabs>
      <w:spacing w:line="360" w:lineRule="auto"/>
      <w:ind w:left="420" w:hanging="420"/>
    </w:pPr>
    <w:rPr>
      <w:color w:val="000000"/>
      <w:sz w:val="30"/>
    </w:rPr>
  </w:style>
  <w:style w:type="paragraph" w:customStyle="1" w:styleId="110">
    <w:name w:val="1 Char Char Char Char"/>
    <w:basedOn w:val="1"/>
    <w:qFormat/>
    <w:uiPriority w:val="0"/>
    <w:rPr>
      <w:rFonts w:ascii="Tahoma" w:hAnsi="Tahoma"/>
      <w:sz w:val="24"/>
    </w:rPr>
  </w:style>
  <w:style w:type="character" w:customStyle="1" w:styleId="111">
    <w:name w:val="普通(网站) 字符"/>
    <w:link w:val="33"/>
    <w:qFormat/>
    <w:uiPriority w:val="99"/>
    <w:rPr>
      <w:rFonts w:ascii="Arial Unicode MS" w:hAnsi="Arial Unicode MS" w:eastAsia="Arial Unicode MS" w:cs="Arial Unicode MS"/>
      <w:kern w:val="0"/>
      <w:sz w:val="24"/>
      <w:szCs w:val="24"/>
    </w:rPr>
  </w:style>
  <w:style w:type="paragraph" w:styleId="112">
    <w:name w:val="List Paragraph"/>
    <w:basedOn w:val="1"/>
    <w:link w:val="121"/>
    <w:qFormat/>
    <w:uiPriority w:val="34"/>
    <w:pPr>
      <w:ind w:firstLine="420" w:firstLineChars="200"/>
    </w:pPr>
    <w:rPr>
      <w:rFonts w:asciiTheme="minorHAnsi" w:hAnsiTheme="minorHAnsi" w:eastAsiaTheme="minorEastAsia" w:cstheme="minorBidi"/>
      <w:szCs w:val="22"/>
    </w:rPr>
  </w:style>
  <w:style w:type="paragraph" w:customStyle="1" w:styleId="113">
    <w:name w:val="宋体小四"/>
    <w:basedOn w:val="1"/>
    <w:qFormat/>
    <w:uiPriority w:val="0"/>
    <w:pPr>
      <w:spacing w:line="360" w:lineRule="auto"/>
      <w:ind w:firstLine="480" w:firstLineChars="200"/>
    </w:pPr>
    <w:rPr>
      <w:rFonts w:ascii="Arial" w:hAnsi="Arial"/>
      <w:sz w:val="24"/>
    </w:rPr>
  </w:style>
  <w:style w:type="paragraph" w:customStyle="1" w:styleId="114">
    <w:name w:val="列出段落2"/>
    <w:basedOn w:val="1"/>
    <w:qFormat/>
    <w:uiPriority w:val="34"/>
    <w:pPr>
      <w:ind w:firstLine="420" w:firstLineChars="200"/>
    </w:pPr>
    <w:rPr>
      <w:rFonts w:asciiTheme="minorHAnsi" w:hAnsiTheme="minorHAnsi" w:cstheme="minorBidi"/>
      <w:szCs w:val="24"/>
    </w:rPr>
  </w:style>
  <w:style w:type="paragraph" w:customStyle="1" w:styleId="115">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6">
    <w:name w:val="样式1"/>
    <w:basedOn w:val="6"/>
    <w:qFormat/>
    <w:uiPriority w:val="0"/>
    <w:pPr>
      <w:spacing w:before="0" w:after="0" w:line="240" w:lineRule="auto"/>
    </w:pPr>
    <w:rPr>
      <w:rFonts w:ascii="宋体" w:hAnsi="宋体"/>
      <w:szCs w:val="21"/>
    </w:rPr>
  </w:style>
  <w:style w:type="paragraph" w:customStyle="1" w:styleId="117">
    <w:name w:val="验收文档-首页主标题"/>
    <w:basedOn w:val="1"/>
    <w:qFormat/>
    <w:uiPriority w:val="0"/>
    <w:pPr>
      <w:jc w:val="center"/>
    </w:pPr>
    <w:rPr>
      <w:rFonts w:ascii="黑体" w:eastAsia="黑体"/>
      <w:sz w:val="52"/>
      <w:szCs w:val="52"/>
    </w:rPr>
  </w:style>
  <w:style w:type="paragraph" w:customStyle="1" w:styleId="118">
    <w:name w:val="TOC 标题1"/>
    <w:basedOn w:val="4"/>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119">
    <w:name w:val="正文1125"/>
    <w:basedOn w:val="1"/>
    <w:qFormat/>
    <w:uiPriority w:val="0"/>
    <w:pPr>
      <w:adjustRightInd w:val="0"/>
      <w:snapToGrid w:val="0"/>
      <w:spacing w:afterLines="50"/>
      <w:ind w:firstLine="560" w:firstLineChars="200"/>
    </w:pPr>
    <w:rPr>
      <w:szCs w:val="28"/>
    </w:rPr>
  </w:style>
  <w:style w:type="paragraph" w:customStyle="1" w:styleId="120">
    <w:name w:val="文件抬头"/>
    <w:qFormat/>
    <w:uiPriority w:val="0"/>
    <w:pPr>
      <w:widowControl w:val="0"/>
      <w:jc w:val="both"/>
    </w:pPr>
    <w:rPr>
      <w:rFonts w:ascii="Calibri" w:hAnsi="Calibri" w:eastAsia="仿宋_GB2312" w:cs="Times New Roman"/>
      <w:kern w:val="2"/>
      <w:sz w:val="32"/>
      <w:szCs w:val="21"/>
      <w:lang w:val="en-US" w:eastAsia="zh-CN" w:bidi="ar-SA"/>
    </w:rPr>
  </w:style>
  <w:style w:type="character" w:customStyle="1" w:styleId="121">
    <w:name w:val="列出段落 字符"/>
    <w:link w:val="112"/>
    <w:qFormat/>
    <w:uiPriority w:val="34"/>
    <w:rPr>
      <w:kern w:val="2"/>
      <w:sz w:val="21"/>
      <w:szCs w:val="22"/>
    </w:rPr>
  </w:style>
  <w:style w:type="character" w:customStyle="1" w:styleId="122">
    <w:name w:val="bookmark-item"/>
    <w:basedOn w:val="38"/>
    <w:qFormat/>
    <w:uiPriority w:val="0"/>
  </w:style>
  <w:style w:type="paragraph" w:customStyle="1" w:styleId="12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124">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25">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12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27">
    <w:name w:val="WPSOffice手动目录 1"/>
    <w:qFormat/>
    <w:uiPriority w:val="0"/>
    <w:rPr>
      <w:rFonts w:asciiTheme="minorHAnsi" w:hAnsiTheme="minorHAnsi" w:eastAsiaTheme="minorEastAsia" w:cstheme="minorBidi"/>
      <w:lang w:val="en-US" w:eastAsia="zh-CN" w:bidi="ar-SA"/>
    </w:rPr>
  </w:style>
  <w:style w:type="paragraph" w:customStyle="1" w:styleId="12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仿宋_GB2312" w:hAnsi="@仿宋_GB2312" w:eastAsia="@仿宋_GB2312" w:cs="@仿宋_GB2312"/>
      <w:sz w:val="24"/>
      <w:szCs w:val="20"/>
    </w:rPr>
  </w:style>
  <w:style w:type="paragraph" w:customStyle="1" w:styleId="129">
    <w:name w:val="准备书正文"/>
    <w:qFormat/>
    <w:uiPriority w:val="0"/>
    <w:pPr>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30">
    <w:name w:val="正文1"/>
    <w:qFormat/>
    <w:uiPriority w:val="99"/>
    <w:rPr>
      <w:rFonts w:ascii="Times New Roman" w:hAnsi="Times New Roman" w:eastAsia="Times New Roman" w:cs="Times New Roman"/>
      <w:sz w:val="24"/>
      <w:szCs w:val="24"/>
      <w:lang w:val="en-US" w:eastAsia="zh-CN" w:bidi="ar-SA"/>
    </w:rPr>
  </w:style>
  <w:style w:type="paragraph" w:customStyle="1" w:styleId="131">
    <w:name w:val="item"/>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DF166-3BB9-4CCE-8B24-8776375523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27550</Words>
  <Characters>29593</Characters>
  <Lines>182</Lines>
  <Paragraphs>51</Paragraphs>
  <TotalTime>15</TotalTime>
  <ScaleCrop>false</ScaleCrop>
  <LinksUpToDate>false</LinksUpToDate>
  <CharactersWithSpaces>30763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2022-03-16T04:43:00Z</dcterms:created>
  <dc:creator>Administrator</dc:creator>
  <cp:lastModifiedBy>Administrator</cp:lastModifiedBy>
  <cp:lastPrinted>2021-06-18T02:14:00Z</cp:lastPrinted>
  <dcterms:modified xsi:type="dcterms:W3CDTF">2022-05-20T10:11:24Z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3CDCF02AD1334CFBBC3F600B8D6221FC</vt:lpwstr>
  </property>
</Properties>
</file>