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color w:val="auto"/>
          <w:sz w:val="20"/>
        </w:rPr>
      </w:pPr>
      <w:bookmarkStart w:id="0" w:name="EB617804c349ed43c6a2f03a96b2b0122d"/>
      <w:r>
        <w:rPr>
          <w:rFonts w:hint="eastAsia" w:ascii="宋体" w:hAnsi="宋体" w:cs="宋体"/>
          <w:color w:val="auto"/>
          <w:sz w:val="20"/>
        </w:rPr>
        <w:t xml:space="preserve"> </w:t>
      </w:r>
      <w:bookmarkEnd w:id="0"/>
      <w:bookmarkStart w:id="1" w:name="EB55c3a5730922453d8b444069d03ee88f"/>
      <w:r>
        <w:rPr>
          <w:rFonts w:hint="eastAsia" w:ascii="宋体" w:hAnsi="宋体" w:cs="宋体"/>
          <w:color w:val="auto"/>
          <w:sz w:val="20"/>
        </w:rPr>
        <w:t xml:space="preserve"> </w:t>
      </w:r>
      <w:bookmarkEnd w:id="1"/>
    </w:p>
    <w:p>
      <w:pPr>
        <w:pStyle w:val="13"/>
        <w:ind w:firstLine="803"/>
        <w:rPr>
          <w:rFonts w:ascii="宋体" w:hAnsi="宋体" w:cs="宋体"/>
          <w:b/>
          <w:bCs/>
          <w:color w:val="auto"/>
          <w:sz w:val="40"/>
          <w:szCs w:val="40"/>
        </w:rPr>
      </w:pPr>
    </w:p>
    <w:p>
      <w:pPr>
        <w:pStyle w:val="13"/>
        <w:ind w:firstLine="1446"/>
        <w:rPr>
          <w:rFonts w:ascii="宋体" w:hAnsi="宋体" w:cs="宋体"/>
          <w:b/>
          <w:bCs/>
          <w:color w:val="auto"/>
          <w:sz w:val="72"/>
          <w:szCs w:val="72"/>
        </w:rPr>
      </w:pPr>
    </w:p>
    <w:p>
      <w:pPr>
        <w:spacing w:line="480" w:lineRule="auto"/>
        <w:jc w:val="center"/>
        <w:rPr>
          <w:rFonts w:ascii="宋体" w:hAnsi="宋体" w:cs="宋体"/>
          <w:color w:val="auto"/>
          <w:sz w:val="72"/>
          <w:szCs w:val="72"/>
        </w:rPr>
      </w:pPr>
      <w:r>
        <w:rPr>
          <w:rFonts w:hint="eastAsia" w:ascii="宋体" w:hAnsi="宋体" w:cs="宋体"/>
          <w:color w:val="auto"/>
          <w:sz w:val="72"/>
          <w:szCs w:val="72"/>
        </w:rPr>
        <w:t xml:space="preserve">  招标文件</w:t>
      </w:r>
    </w:p>
    <w:p>
      <w:pPr>
        <w:spacing w:line="480" w:lineRule="auto"/>
        <w:jc w:val="left"/>
        <w:rPr>
          <w:rFonts w:ascii="宋体" w:hAnsi="宋体" w:cs="宋体"/>
          <w:color w:val="auto"/>
          <w:sz w:val="28"/>
          <w:szCs w:val="28"/>
        </w:rPr>
      </w:pPr>
    </w:p>
    <w:p>
      <w:pPr>
        <w:spacing w:line="480" w:lineRule="auto"/>
        <w:ind w:left="-197" w:leftChars="-94" w:firstLine="1038" w:firstLineChars="371"/>
        <w:rPr>
          <w:rFonts w:ascii="宋体" w:hAnsi="宋体" w:cs="宋体"/>
          <w:color w:val="auto"/>
          <w:sz w:val="28"/>
          <w:szCs w:val="28"/>
        </w:rPr>
      </w:pPr>
    </w:p>
    <w:p>
      <w:pPr>
        <w:spacing w:line="480" w:lineRule="auto"/>
        <w:ind w:firstLine="840" w:firstLineChars="300"/>
        <w:rPr>
          <w:rFonts w:ascii="宋体" w:hAnsi="宋体" w:cs="宋体"/>
          <w:color w:val="auto"/>
          <w:sz w:val="28"/>
          <w:szCs w:val="28"/>
        </w:rPr>
      </w:pPr>
    </w:p>
    <w:p>
      <w:pPr>
        <w:adjustRightInd w:val="0"/>
        <w:snapToGrid w:val="0"/>
        <w:spacing w:line="360" w:lineRule="auto"/>
        <w:ind w:left="0" w:leftChars="0" w:right="-313" w:rightChars="-149" w:firstLine="420" w:firstLineChars="150"/>
        <w:jc w:val="left"/>
        <w:rPr>
          <w:rFonts w:hint="eastAsia" w:ascii="宋体" w:hAnsi="宋体" w:eastAsia="宋体" w:cs="宋体"/>
          <w:color w:val="auto"/>
          <w:sz w:val="28"/>
          <w:szCs w:val="28"/>
          <w:lang w:eastAsia="zh-CN"/>
        </w:rPr>
      </w:pPr>
      <w:r>
        <w:rPr>
          <w:rFonts w:hint="eastAsia" w:ascii="宋体" w:hAnsi="宋体" w:cs="宋体"/>
          <w:color w:val="auto"/>
          <w:sz w:val="28"/>
          <w:szCs w:val="28"/>
        </w:rPr>
        <w:t>项目名称：</w:t>
      </w:r>
      <w:r>
        <w:rPr>
          <w:rFonts w:hint="eastAsia" w:ascii="宋体" w:hAnsi="宋体" w:cs="宋体"/>
          <w:color w:val="auto"/>
          <w:sz w:val="28"/>
          <w:szCs w:val="28"/>
          <w:lang w:eastAsia="zh-CN"/>
        </w:rPr>
        <w:t>指挥系统大屏建设监理服务项目</w:t>
      </w:r>
    </w:p>
    <w:p>
      <w:pPr>
        <w:pStyle w:val="13"/>
        <w:adjustRightInd w:val="0"/>
        <w:snapToGrid w:val="0"/>
        <w:spacing w:line="360" w:lineRule="auto"/>
        <w:ind w:left="0" w:leftChars="0" w:right="-313" w:rightChars="-149" w:firstLine="420" w:firstLineChars="150"/>
        <w:jc w:val="left"/>
        <w:rPr>
          <w:rFonts w:hint="default" w:ascii="宋体" w:hAnsi="宋体" w:eastAsia="宋体" w:cs="宋体"/>
          <w:color w:val="auto"/>
          <w:sz w:val="28"/>
          <w:szCs w:val="28"/>
          <w:lang w:val="en-US" w:eastAsia="zh-CN"/>
        </w:rPr>
      </w:pPr>
      <w:r>
        <w:rPr>
          <w:rFonts w:hint="eastAsia" w:ascii="宋体" w:hAnsi="宋体" w:cs="宋体"/>
          <w:color w:val="auto"/>
          <w:sz w:val="28"/>
          <w:szCs w:val="28"/>
        </w:rPr>
        <w:t>项目编号：</w:t>
      </w:r>
      <w:r>
        <w:rPr>
          <w:rFonts w:hint="eastAsia" w:ascii="宋体" w:hAnsi="宋体" w:cs="宋体"/>
          <w:color w:val="auto"/>
          <w:sz w:val="28"/>
          <w:szCs w:val="28"/>
          <w:lang w:eastAsia="zh-CN"/>
        </w:rPr>
        <w:t>XLZ2022-</w:t>
      </w:r>
      <w:r>
        <w:rPr>
          <w:rFonts w:hint="eastAsia" w:ascii="宋体" w:hAnsi="宋体" w:cs="宋体"/>
          <w:color w:val="auto"/>
          <w:sz w:val="28"/>
          <w:szCs w:val="28"/>
          <w:lang w:val="en-US" w:eastAsia="zh-CN"/>
        </w:rPr>
        <w:t>118</w:t>
      </w:r>
    </w:p>
    <w:p>
      <w:pPr>
        <w:adjustRightInd w:val="0"/>
        <w:snapToGrid w:val="0"/>
        <w:spacing w:line="360" w:lineRule="auto"/>
        <w:ind w:left="0" w:leftChars="0" w:right="-313" w:rightChars="-149" w:firstLine="420" w:firstLineChars="150"/>
        <w:jc w:val="left"/>
        <w:rPr>
          <w:rFonts w:ascii="宋体" w:hAnsi="宋体" w:cs="宋体"/>
          <w:color w:val="auto"/>
          <w:sz w:val="28"/>
          <w:szCs w:val="28"/>
        </w:rPr>
      </w:pPr>
    </w:p>
    <w:p>
      <w:pPr>
        <w:pStyle w:val="13"/>
        <w:ind w:left="0" w:leftChars="0" w:right="-313" w:rightChars="-149" w:firstLine="315" w:firstLineChars="150"/>
        <w:rPr>
          <w:rFonts w:ascii="宋体" w:hAnsi="宋体" w:cs="宋体"/>
          <w:color w:val="auto"/>
        </w:rPr>
      </w:pPr>
    </w:p>
    <w:p>
      <w:pPr>
        <w:adjustRightInd w:val="0"/>
        <w:snapToGrid w:val="0"/>
        <w:spacing w:line="360" w:lineRule="auto"/>
        <w:ind w:left="0" w:leftChars="0" w:right="-313" w:rightChars="-149" w:firstLine="420" w:firstLineChars="150"/>
        <w:jc w:val="left"/>
        <w:rPr>
          <w:rFonts w:hint="eastAsia" w:ascii="宋体" w:hAnsi="宋体" w:eastAsia="宋体" w:cs="宋体"/>
          <w:color w:val="auto"/>
          <w:sz w:val="28"/>
          <w:szCs w:val="28"/>
          <w:lang w:eastAsia="zh-CN"/>
        </w:rPr>
      </w:pPr>
      <w:r>
        <w:rPr>
          <w:rFonts w:hint="eastAsia" w:ascii="宋体" w:hAnsi="宋体" w:cs="宋体"/>
          <w:color w:val="auto"/>
          <w:sz w:val="28"/>
          <w:szCs w:val="28"/>
        </w:rPr>
        <w:t>采购人（盖章）：</w:t>
      </w:r>
      <w:r>
        <w:rPr>
          <w:rFonts w:hint="eastAsia" w:ascii="宋体" w:hAnsi="宋体" w:cs="宋体"/>
          <w:color w:val="auto"/>
          <w:sz w:val="28"/>
          <w:szCs w:val="28"/>
          <w:lang w:eastAsia="zh-CN"/>
        </w:rPr>
        <w:t>伊犁哈萨克自治州塔城地区公安局</w:t>
      </w:r>
    </w:p>
    <w:p>
      <w:pPr>
        <w:adjustRightInd w:val="0"/>
        <w:snapToGrid w:val="0"/>
        <w:spacing w:line="360" w:lineRule="auto"/>
        <w:ind w:left="0" w:leftChars="0" w:right="-313" w:rightChars="-149" w:firstLine="420" w:firstLineChars="150"/>
        <w:jc w:val="left"/>
        <w:rPr>
          <w:rFonts w:hint="eastAsia" w:ascii="宋体" w:hAnsi="宋体" w:eastAsia="宋体" w:cs="宋体"/>
          <w:color w:val="auto"/>
          <w:sz w:val="28"/>
          <w:szCs w:val="28"/>
          <w:lang w:val="en-US" w:eastAsia="zh-CN"/>
        </w:rPr>
      </w:pPr>
      <w:r>
        <w:rPr>
          <w:rFonts w:hint="eastAsia" w:ascii="宋体" w:hAnsi="宋体" w:cs="宋体"/>
          <w:color w:val="auto"/>
          <w:sz w:val="28"/>
          <w:szCs w:val="28"/>
        </w:rPr>
        <w:t>联系人：</w:t>
      </w:r>
      <w:r>
        <w:rPr>
          <w:rFonts w:hint="eastAsia" w:ascii="宋体" w:hAnsi="宋体" w:cs="宋体"/>
          <w:color w:val="auto"/>
          <w:sz w:val="28"/>
          <w:szCs w:val="28"/>
          <w:lang w:val="en-US" w:eastAsia="zh-CN"/>
        </w:rPr>
        <w:t>梁警官</w:t>
      </w:r>
    </w:p>
    <w:p>
      <w:pPr>
        <w:pStyle w:val="31"/>
        <w:widowControl/>
        <w:adjustRightInd w:val="0"/>
        <w:snapToGrid w:val="0"/>
        <w:spacing w:line="360" w:lineRule="auto"/>
        <w:ind w:left="0" w:leftChars="0" w:right="-313" w:rightChars="-149" w:firstLine="420" w:firstLineChars="150"/>
        <w:rPr>
          <w:rFonts w:hint="default" w:ascii="宋体" w:hAnsi="宋体" w:eastAsia="宋体" w:cs="宋体"/>
          <w:color w:val="auto"/>
          <w:lang w:val="en-US" w:eastAsia="zh-CN"/>
        </w:rPr>
      </w:pPr>
      <w:r>
        <w:rPr>
          <w:rFonts w:hint="eastAsia" w:ascii="宋体" w:hAnsi="宋体" w:cs="宋体"/>
          <w:color w:val="auto"/>
          <w:sz w:val="28"/>
          <w:szCs w:val="28"/>
        </w:rPr>
        <w:t>联系电话：</w:t>
      </w:r>
      <w:r>
        <w:rPr>
          <w:rFonts w:hint="eastAsia" w:ascii="宋体" w:hAnsi="宋体" w:cs="宋体"/>
          <w:color w:val="auto"/>
          <w:sz w:val="28"/>
          <w:szCs w:val="28"/>
          <w:lang w:val="en-US" w:eastAsia="zh-CN"/>
        </w:rPr>
        <w:t>18690128060</w:t>
      </w:r>
    </w:p>
    <w:p>
      <w:pPr>
        <w:adjustRightInd w:val="0"/>
        <w:snapToGrid w:val="0"/>
        <w:spacing w:line="360" w:lineRule="auto"/>
        <w:ind w:left="0" w:leftChars="0" w:right="-313" w:rightChars="-149" w:firstLine="420" w:firstLineChars="150"/>
        <w:jc w:val="left"/>
        <w:rPr>
          <w:rFonts w:ascii="宋体" w:hAnsi="宋体" w:cs="宋体"/>
          <w:color w:val="auto"/>
          <w:sz w:val="28"/>
          <w:szCs w:val="28"/>
        </w:rPr>
      </w:pPr>
    </w:p>
    <w:p>
      <w:pPr>
        <w:adjustRightInd w:val="0"/>
        <w:snapToGrid w:val="0"/>
        <w:spacing w:line="360" w:lineRule="auto"/>
        <w:ind w:left="0" w:leftChars="0" w:right="-313" w:rightChars="-149" w:firstLine="420" w:firstLineChars="150"/>
        <w:rPr>
          <w:rFonts w:ascii="宋体" w:hAnsi="宋体" w:cs="宋体"/>
          <w:color w:val="auto"/>
          <w:sz w:val="28"/>
          <w:szCs w:val="28"/>
        </w:rPr>
      </w:pPr>
    </w:p>
    <w:p>
      <w:pPr>
        <w:adjustRightInd w:val="0"/>
        <w:snapToGrid w:val="0"/>
        <w:spacing w:line="360" w:lineRule="auto"/>
        <w:ind w:left="0" w:leftChars="0" w:right="-313" w:rightChars="-149" w:firstLine="420" w:firstLineChars="150"/>
        <w:rPr>
          <w:rFonts w:ascii="宋体" w:hAnsi="宋体" w:cs="宋体"/>
          <w:color w:val="auto"/>
          <w:sz w:val="28"/>
          <w:szCs w:val="28"/>
        </w:rPr>
      </w:pPr>
      <w:r>
        <w:rPr>
          <w:rFonts w:hint="eastAsia" w:ascii="宋体" w:hAnsi="宋体" w:cs="宋体"/>
          <w:color w:val="auto"/>
          <w:sz w:val="28"/>
          <w:szCs w:val="28"/>
        </w:rPr>
        <w:t>采购代理机构（盖章）：新疆兴立众工程咨询有限责任公司</w:t>
      </w:r>
    </w:p>
    <w:p>
      <w:pPr>
        <w:adjustRightInd w:val="0"/>
        <w:snapToGrid w:val="0"/>
        <w:spacing w:line="360" w:lineRule="auto"/>
        <w:ind w:left="0" w:leftChars="0" w:right="-313" w:rightChars="-149" w:firstLine="420" w:firstLineChars="150"/>
        <w:rPr>
          <w:rFonts w:ascii="宋体" w:hAnsi="宋体" w:cs="宋体"/>
          <w:color w:val="auto"/>
          <w:sz w:val="28"/>
          <w:szCs w:val="28"/>
        </w:rPr>
      </w:pPr>
      <w:r>
        <w:rPr>
          <w:rFonts w:hint="eastAsia" w:ascii="宋体" w:hAnsi="宋体" w:cs="宋体"/>
          <w:color w:val="auto"/>
          <w:sz w:val="28"/>
          <w:szCs w:val="28"/>
        </w:rPr>
        <w:t>联系人：石磊、朱茜、马涛</w:t>
      </w:r>
    </w:p>
    <w:p>
      <w:pPr>
        <w:adjustRightInd w:val="0"/>
        <w:snapToGrid w:val="0"/>
        <w:spacing w:line="360" w:lineRule="auto"/>
        <w:ind w:left="0" w:leftChars="0" w:right="-313" w:rightChars="-149" w:firstLine="420" w:firstLineChars="150"/>
        <w:rPr>
          <w:rFonts w:hint="default" w:ascii="宋体" w:hAnsi="宋体" w:eastAsia="宋体" w:cs="宋体"/>
          <w:b/>
          <w:bCs/>
          <w:color w:val="auto"/>
          <w:sz w:val="28"/>
          <w:szCs w:val="28"/>
          <w:lang w:val="en-US" w:eastAsia="zh-CN"/>
        </w:rPr>
      </w:pPr>
      <w:r>
        <w:rPr>
          <w:rFonts w:hint="eastAsia" w:ascii="宋体" w:hAnsi="宋体" w:cs="宋体"/>
          <w:color w:val="auto"/>
          <w:sz w:val="28"/>
          <w:szCs w:val="28"/>
        </w:rPr>
        <w:t>联系电话：0991-8869393</w:t>
      </w:r>
      <w:r>
        <w:rPr>
          <w:rFonts w:hint="eastAsia" w:ascii="宋体" w:hAnsi="宋体" w:cs="宋体"/>
          <w:color w:val="auto"/>
          <w:sz w:val="28"/>
          <w:szCs w:val="28"/>
          <w:lang w:val="en-US" w:eastAsia="zh-CN"/>
        </w:rPr>
        <w:t xml:space="preserve"> 13899984798</w:t>
      </w:r>
    </w:p>
    <w:p>
      <w:pPr>
        <w:adjustRightInd w:val="0"/>
        <w:snapToGrid w:val="0"/>
        <w:spacing w:line="360" w:lineRule="auto"/>
        <w:ind w:left="0" w:leftChars="0" w:right="-313" w:rightChars="-149" w:firstLine="422" w:firstLineChars="150"/>
        <w:rPr>
          <w:rFonts w:ascii="宋体" w:hAnsi="宋体" w:cs="宋体"/>
          <w:b/>
          <w:color w:val="auto"/>
          <w:sz w:val="28"/>
          <w:szCs w:val="28"/>
          <w:lang w:val="zh-CN"/>
        </w:rPr>
      </w:pPr>
    </w:p>
    <w:p>
      <w:pPr>
        <w:pStyle w:val="13"/>
        <w:ind w:firstLine="562"/>
        <w:rPr>
          <w:rFonts w:ascii="宋体" w:hAnsi="宋体" w:cs="宋体"/>
          <w:b/>
          <w:color w:val="auto"/>
          <w:sz w:val="28"/>
          <w:szCs w:val="28"/>
          <w:lang w:val="zh-CN"/>
        </w:rPr>
      </w:pPr>
    </w:p>
    <w:p>
      <w:pPr>
        <w:adjustRightInd w:val="0"/>
        <w:snapToGrid w:val="0"/>
        <w:spacing w:line="360" w:lineRule="auto"/>
        <w:ind w:left="2108" w:leftChars="304" w:hanging="1470" w:hangingChars="525"/>
        <w:jc w:val="center"/>
        <w:rPr>
          <w:rFonts w:ascii="宋体" w:hAnsi="宋体" w:cs="宋体"/>
          <w:color w:val="auto"/>
          <w:sz w:val="28"/>
          <w:szCs w:val="28"/>
        </w:rPr>
        <w:sectPr>
          <w:headerReference r:id="rId5" w:type="first"/>
          <w:headerReference r:id="rId3" w:type="default"/>
          <w:footerReference r:id="rId6" w:type="default"/>
          <w:headerReference r:id="rId4" w:type="even"/>
          <w:footerReference r:id="rId7" w:type="even"/>
          <w:pgSz w:w="11906" w:h="16838"/>
          <w:pgMar w:top="1440" w:right="1800" w:bottom="1440" w:left="1600" w:header="851" w:footer="992" w:gutter="0"/>
          <w:pgBorders>
            <w:top w:val="none" w:sz="0" w:space="0"/>
            <w:left w:val="none" w:sz="0" w:space="0"/>
            <w:bottom w:val="none" w:sz="0" w:space="0"/>
            <w:right w:val="none" w:sz="0" w:space="0"/>
          </w:pgBorders>
          <w:pgNumType w:start="0"/>
          <w:cols w:space="720" w:num="1"/>
          <w:titlePg/>
          <w:docGrid w:type="lines" w:linePitch="312" w:charSpace="0"/>
        </w:sectPr>
      </w:pPr>
      <w:r>
        <w:rPr>
          <w:rFonts w:hint="eastAsia" w:ascii="宋体" w:hAnsi="宋体" w:cs="宋体"/>
          <w:color w:val="auto"/>
          <w:sz w:val="28"/>
          <w:szCs w:val="28"/>
        </w:rPr>
        <w:t>202</w:t>
      </w:r>
      <w:r>
        <w:rPr>
          <w:rFonts w:hint="eastAsia" w:ascii="宋体" w:hAnsi="宋体" w:cs="宋体"/>
          <w:color w:val="auto"/>
          <w:sz w:val="28"/>
          <w:szCs w:val="28"/>
          <w:lang w:val="en-US" w:eastAsia="zh-CN"/>
        </w:rPr>
        <w:t>2</w:t>
      </w:r>
      <w:r>
        <w:rPr>
          <w:rFonts w:hint="eastAsia" w:ascii="宋体" w:hAnsi="宋体" w:cs="宋体"/>
          <w:color w:val="auto"/>
          <w:sz w:val="28"/>
          <w:szCs w:val="28"/>
        </w:rPr>
        <w:t>年</w:t>
      </w:r>
      <w:r>
        <w:rPr>
          <w:rFonts w:hint="eastAsia" w:ascii="宋体" w:hAnsi="宋体" w:cs="宋体"/>
          <w:color w:val="auto"/>
          <w:sz w:val="28"/>
          <w:szCs w:val="28"/>
          <w:lang w:val="en-US" w:eastAsia="zh-CN"/>
        </w:rPr>
        <w:t>05</w:t>
      </w:r>
      <w:r>
        <w:rPr>
          <w:rFonts w:hint="eastAsia" w:ascii="宋体" w:hAnsi="宋体" w:cs="宋体"/>
          <w:color w:val="auto"/>
          <w:sz w:val="28"/>
          <w:szCs w:val="28"/>
        </w:rPr>
        <w:t>月</w:t>
      </w:r>
      <w:r>
        <w:rPr>
          <w:rFonts w:hint="eastAsia" w:ascii="宋体" w:hAnsi="宋体" w:cs="宋体"/>
          <w:color w:val="auto"/>
          <w:sz w:val="28"/>
          <w:szCs w:val="28"/>
          <w:lang w:val="en-US" w:eastAsia="zh-CN"/>
        </w:rPr>
        <w:t>11</w:t>
      </w:r>
      <w:r>
        <w:rPr>
          <w:rFonts w:hint="eastAsia" w:ascii="宋体" w:hAnsi="宋体" w:cs="宋体"/>
          <w:color w:val="auto"/>
          <w:sz w:val="28"/>
          <w:szCs w:val="28"/>
        </w:rPr>
        <w:t>日</w:t>
      </w:r>
    </w:p>
    <w:p>
      <w:pPr>
        <w:spacing w:line="360" w:lineRule="auto"/>
        <w:ind w:firstLine="4357" w:firstLineChars="1550"/>
        <w:rPr>
          <w:rFonts w:ascii="宋体" w:hAnsi="宋体" w:cs="宋体"/>
          <w:b/>
          <w:color w:val="auto"/>
          <w:sz w:val="28"/>
          <w:szCs w:val="28"/>
        </w:rPr>
      </w:pPr>
      <w:r>
        <w:rPr>
          <w:rFonts w:hint="eastAsia" w:ascii="宋体" w:hAnsi="宋体" w:cs="宋体"/>
          <w:b/>
          <w:color w:val="auto"/>
          <w:sz w:val="28"/>
          <w:szCs w:val="28"/>
          <w:lang w:val="zh-CN"/>
        </w:rPr>
        <w:t>目 录</w:t>
      </w:r>
    </w:p>
    <w:p>
      <w:pPr>
        <w:pStyle w:val="28"/>
        <w:tabs>
          <w:tab w:val="right" w:leader="dot" w:pos="8312"/>
          <w:tab w:val="clear" w:pos="8302"/>
        </w:tabs>
        <w:rPr>
          <w:rFonts w:ascii="宋体" w:hAnsi="宋体" w:cs="宋体"/>
          <w:color w:val="auto"/>
          <w:sz w:val="28"/>
          <w:szCs w:val="28"/>
        </w:rPr>
      </w:pPr>
      <w:r>
        <w:rPr>
          <w:rFonts w:hint="eastAsia" w:ascii="宋体" w:hAnsi="宋体" w:cs="宋体"/>
          <w:color w:val="auto"/>
        </w:rPr>
        <w:fldChar w:fldCharType="begin"/>
      </w:r>
      <w:r>
        <w:rPr>
          <w:rFonts w:hint="eastAsia" w:ascii="宋体" w:hAnsi="宋体" w:cs="宋体"/>
          <w:color w:val="auto"/>
        </w:rPr>
        <w:instrText xml:space="preserve"> TOC \o "1-3" \u </w:instrText>
      </w:r>
      <w:r>
        <w:rPr>
          <w:rFonts w:hint="eastAsia" w:ascii="宋体" w:hAnsi="宋体" w:cs="宋体"/>
          <w:color w:val="auto"/>
        </w:rPr>
        <w:fldChar w:fldCharType="separate"/>
      </w:r>
      <w:r>
        <w:rPr>
          <w:rFonts w:hint="eastAsia" w:ascii="宋体" w:hAnsi="宋体" w:cs="宋体"/>
          <w:color w:val="auto"/>
          <w:sz w:val="28"/>
          <w:szCs w:val="28"/>
        </w:rPr>
        <w:t>第一部分  招标公告</w:t>
      </w:r>
      <w:r>
        <w:rPr>
          <w:rFonts w:hint="eastAsia" w:ascii="宋体" w:hAnsi="宋体" w:cs="宋体"/>
          <w:color w:val="auto"/>
          <w:sz w:val="28"/>
          <w:szCs w:val="28"/>
        </w:rPr>
        <w:tab/>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PAGEREF _Toc32378 </w:instrText>
      </w:r>
      <w:r>
        <w:rPr>
          <w:rFonts w:hint="eastAsia" w:ascii="宋体" w:hAnsi="宋体" w:cs="宋体"/>
          <w:color w:val="auto"/>
          <w:sz w:val="28"/>
          <w:szCs w:val="28"/>
        </w:rPr>
        <w:fldChar w:fldCharType="separate"/>
      </w:r>
      <w:r>
        <w:rPr>
          <w:rFonts w:hint="eastAsia" w:ascii="宋体" w:hAnsi="宋体" w:cs="宋体"/>
          <w:color w:val="auto"/>
          <w:sz w:val="28"/>
          <w:szCs w:val="28"/>
        </w:rPr>
        <w:t>1</w:t>
      </w:r>
      <w:r>
        <w:rPr>
          <w:rFonts w:hint="eastAsia" w:ascii="宋体" w:hAnsi="宋体" w:cs="宋体"/>
          <w:color w:val="auto"/>
          <w:sz w:val="28"/>
          <w:szCs w:val="28"/>
        </w:rPr>
        <w:fldChar w:fldCharType="end"/>
      </w:r>
    </w:p>
    <w:p>
      <w:pPr>
        <w:pStyle w:val="28"/>
        <w:tabs>
          <w:tab w:val="right" w:leader="dot" w:pos="8312"/>
          <w:tab w:val="clear" w:pos="8302"/>
        </w:tabs>
        <w:rPr>
          <w:rFonts w:ascii="宋体" w:hAnsi="宋体" w:cs="宋体"/>
          <w:color w:val="auto"/>
          <w:sz w:val="28"/>
          <w:szCs w:val="28"/>
        </w:rPr>
      </w:pPr>
      <w:r>
        <w:rPr>
          <w:rFonts w:hint="eastAsia" w:ascii="宋体" w:hAnsi="宋体" w:cs="宋体"/>
          <w:color w:val="auto"/>
          <w:sz w:val="28"/>
          <w:szCs w:val="28"/>
        </w:rPr>
        <w:t>第二部分  供应商须知</w:t>
      </w:r>
      <w:r>
        <w:rPr>
          <w:rFonts w:hint="eastAsia" w:ascii="宋体" w:hAnsi="宋体" w:cs="宋体"/>
          <w:color w:val="auto"/>
          <w:sz w:val="28"/>
          <w:szCs w:val="28"/>
        </w:rPr>
        <w:tab/>
      </w:r>
      <w:r>
        <w:rPr>
          <w:rFonts w:hint="eastAsia" w:ascii="宋体" w:hAnsi="宋体" w:cs="宋体"/>
          <w:color w:val="auto"/>
          <w:sz w:val="28"/>
          <w:szCs w:val="28"/>
        </w:rPr>
        <w:t>3</w:t>
      </w:r>
    </w:p>
    <w:p>
      <w:pPr>
        <w:pStyle w:val="21"/>
        <w:tabs>
          <w:tab w:val="right" w:leader="dot" w:pos="8312"/>
        </w:tabs>
        <w:rPr>
          <w:rFonts w:ascii="宋体" w:hAnsi="宋体" w:cs="宋体"/>
          <w:color w:val="auto"/>
          <w:sz w:val="28"/>
          <w:szCs w:val="28"/>
        </w:rPr>
      </w:pPr>
      <w:r>
        <w:rPr>
          <w:rFonts w:hint="eastAsia" w:ascii="宋体" w:hAnsi="宋体" w:cs="宋体"/>
          <w:color w:val="auto"/>
          <w:sz w:val="28"/>
          <w:szCs w:val="28"/>
        </w:rPr>
        <w:t>一、总则</w:t>
      </w:r>
      <w:r>
        <w:rPr>
          <w:rFonts w:hint="eastAsia" w:ascii="宋体" w:hAnsi="宋体" w:cs="宋体"/>
          <w:color w:val="auto"/>
          <w:sz w:val="28"/>
          <w:szCs w:val="28"/>
        </w:rPr>
        <w:tab/>
      </w:r>
      <w:r>
        <w:rPr>
          <w:rFonts w:hint="eastAsia" w:ascii="宋体" w:hAnsi="宋体" w:cs="宋体"/>
          <w:color w:val="auto"/>
          <w:sz w:val="28"/>
          <w:szCs w:val="28"/>
        </w:rPr>
        <w:t>7</w:t>
      </w:r>
    </w:p>
    <w:p>
      <w:pPr>
        <w:pStyle w:val="21"/>
        <w:tabs>
          <w:tab w:val="right" w:leader="dot" w:pos="8312"/>
        </w:tabs>
        <w:rPr>
          <w:rFonts w:ascii="宋体" w:hAnsi="宋体" w:cs="宋体"/>
          <w:color w:val="auto"/>
          <w:sz w:val="28"/>
          <w:szCs w:val="28"/>
        </w:rPr>
      </w:pPr>
      <w:r>
        <w:rPr>
          <w:rFonts w:hint="eastAsia" w:ascii="宋体" w:hAnsi="宋体" w:cs="宋体"/>
          <w:color w:val="auto"/>
          <w:sz w:val="28"/>
          <w:szCs w:val="28"/>
        </w:rPr>
        <w:t>二、招标文件</w:t>
      </w:r>
      <w:r>
        <w:rPr>
          <w:rFonts w:hint="eastAsia" w:ascii="宋体" w:hAnsi="宋体" w:cs="宋体"/>
          <w:color w:val="auto"/>
          <w:sz w:val="28"/>
          <w:szCs w:val="28"/>
        </w:rPr>
        <w:tab/>
      </w:r>
      <w:r>
        <w:rPr>
          <w:rFonts w:hint="eastAsia" w:ascii="宋体" w:hAnsi="宋体" w:cs="宋体"/>
          <w:color w:val="auto"/>
          <w:sz w:val="28"/>
          <w:szCs w:val="28"/>
        </w:rPr>
        <w:t>10</w:t>
      </w:r>
    </w:p>
    <w:p>
      <w:pPr>
        <w:pStyle w:val="21"/>
        <w:tabs>
          <w:tab w:val="right" w:leader="dot" w:pos="8312"/>
        </w:tabs>
        <w:rPr>
          <w:rFonts w:ascii="宋体" w:hAnsi="宋体" w:cs="宋体"/>
          <w:color w:val="auto"/>
          <w:sz w:val="28"/>
          <w:szCs w:val="28"/>
        </w:rPr>
      </w:pPr>
      <w:r>
        <w:rPr>
          <w:rFonts w:hint="eastAsia" w:ascii="宋体" w:hAnsi="宋体" w:cs="宋体"/>
          <w:color w:val="auto"/>
          <w:sz w:val="28"/>
          <w:szCs w:val="28"/>
        </w:rPr>
        <w:t>三、投标文件</w:t>
      </w:r>
      <w:r>
        <w:rPr>
          <w:rFonts w:hint="eastAsia" w:ascii="宋体" w:hAnsi="宋体" w:cs="宋体"/>
          <w:color w:val="auto"/>
          <w:sz w:val="28"/>
          <w:szCs w:val="28"/>
        </w:rPr>
        <w:tab/>
      </w:r>
      <w:r>
        <w:rPr>
          <w:rFonts w:hint="eastAsia" w:ascii="宋体" w:hAnsi="宋体" w:cs="宋体"/>
          <w:color w:val="auto"/>
          <w:sz w:val="28"/>
          <w:szCs w:val="28"/>
        </w:rPr>
        <w:t>11</w:t>
      </w:r>
    </w:p>
    <w:p>
      <w:pPr>
        <w:pStyle w:val="21"/>
        <w:tabs>
          <w:tab w:val="right" w:leader="dot" w:pos="8312"/>
        </w:tabs>
        <w:rPr>
          <w:rFonts w:ascii="宋体" w:hAnsi="宋体" w:cs="宋体"/>
          <w:color w:val="auto"/>
          <w:sz w:val="28"/>
          <w:szCs w:val="28"/>
        </w:rPr>
      </w:pPr>
      <w:r>
        <w:rPr>
          <w:rFonts w:hint="eastAsia" w:ascii="宋体" w:hAnsi="宋体" w:cs="宋体"/>
          <w:color w:val="auto"/>
          <w:sz w:val="28"/>
          <w:szCs w:val="28"/>
        </w:rPr>
        <w:t>四、投标保证金</w:t>
      </w:r>
      <w:r>
        <w:rPr>
          <w:rFonts w:hint="eastAsia" w:ascii="宋体" w:hAnsi="宋体" w:cs="宋体"/>
          <w:color w:val="auto"/>
          <w:sz w:val="28"/>
          <w:szCs w:val="28"/>
        </w:rPr>
        <w:tab/>
      </w:r>
      <w:r>
        <w:rPr>
          <w:rFonts w:hint="eastAsia" w:ascii="宋体" w:hAnsi="宋体" w:cs="宋体"/>
          <w:color w:val="auto"/>
          <w:sz w:val="28"/>
          <w:szCs w:val="28"/>
        </w:rPr>
        <w:t>15</w:t>
      </w:r>
    </w:p>
    <w:p>
      <w:pPr>
        <w:pStyle w:val="21"/>
        <w:tabs>
          <w:tab w:val="right" w:leader="dot" w:pos="8312"/>
        </w:tabs>
        <w:rPr>
          <w:rFonts w:ascii="宋体" w:hAnsi="宋体" w:cs="宋体"/>
          <w:color w:val="auto"/>
          <w:sz w:val="28"/>
          <w:szCs w:val="28"/>
        </w:rPr>
      </w:pPr>
      <w:r>
        <w:rPr>
          <w:rFonts w:hint="eastAsia" w:ascii="宋体" w:hAnsi="宋体" w:cs="宋体"/>
          <w:color w:val="auto"/>
          <w:sz w:val="28"/>
          <w:szCs w:val="28"/>
        </w:rPr>
        <w:t>五、投标文件的递交</w:t>
      </w:r>
      <w:r>
        <w:rPr>
          <w:rFonts w:hint="eastAsia" w:ascii="宋体" w:hAnsi="宋体" w:cs="宋体"/>
          <w:color w:val="auto"/>
          <w:sz w:val="28"/>
          <w:szCs w:val="28"/>
        </w:rPr>
        <w:tab/>
      </w:r>
      <w:r>
        <w:rPr>
          <w:rFonts w:hint="eastAsia" w:ascii="宋体" w:hAnsi="宋体" w:cs="宋体"/>
          <w:color w:val="auto"/>
          <w:sz w:val="28"/>
          <w:szCs w:val="28"/>
        </w:rPr>
        <w:t>15</w:t>
      </w:r>
    </w:p>
    <w:p>
      <w:pPr>
        <w:pStyle w:val="21"/>
        <w:tabs>
          <w:tab w:val="right" w:leader="dot" w:pos="8312"/>
        </w:tabs>
        <w:rPr>
          <w:rFonts w:hint="default" w:ascii="宋体" w:hAnsi="宋体" w:eastAsia="宋体" w:cs="宋体"/>
          <w:color w:val="auto"/>
          <w:sz w:val="28"/>
          <w:szCs w:val="28"/>
          <w:lang w:val="en-US" w:eastAsia="zh-CN"/>
        </w:rPr>
      </w:pPr>
      <w:r>
        <w:rPr>
          <w:rFonts w:hint="eastAsia" w:ascii="宋体" w:hAnsi="宋体" w:cs="宋体"/>
          <w:color w:val="auto"/>
          <w:sz w:val="28"/>
          <w:szCs w:val="28"/>
        </w:rPr>
        <w:t>六、开标</w:t>
      </w:r>
      <w:r>
        <w:rPr>
          <w:rFonts w:hint="eastAsia" w:ascii="宋体" w:hAnsi="宋体" w:cs="宋体"/>
          <w:color w:val="auto"/>
          <w:sz w:val="28"/>
          <w:szCs w:val="28"/>
        </w:rPr>
        <w:tab/>
      </w:r>
      <w:r>
        <w:rPr>
          <w:rFonts w:hint="eastAsia" w:ascii="宋体" w:hAnsi="宋体" w:cs="宋体"/>
          <w:color w:val="auto"/>
          <w:sz w:val="28"/>
          <w:szCs w:val="28"/>
          <w:lang w:val="en-US" w:eastAsia="zh-CN"/>
        </w:rPr>
        <w:t>16</w:t>
      </w:r>
    </w:p>
    <w:p>
      <w:pPr>
        <w:pStyle w:val="21"/>
        <w:tabs>
          <w:tab w:val="right" w:leader="dot" w:pos="8312"/>
        </w:tabs>
        <w:rPr>
          <w:rFonts w:ascii="宋体" w:hAnsi="宋体" w:cs="宋体"/>
          <w:color w:val="auto"/>
          <w:sz w:val="28"/>
          <w:szCs w:val="28"/>
        </w:rPr>
      </w:pPr>
      <w:r>
        <w:rPr>
          <w:rFonts w:hint="eastAsia" w:ascii="宋体" w:hAnsi="宋体" w:cs="宋体"/>
          <w:color w:val="auto"/>
          <w:sz w:val="28"/>
          <w:szCs w:val="28"/>
        </w:rPr>
        <w:t>七、评标步骤和要求</w:t>
      </w:r>
      <w:r>
        <w:rPr>
          <w:rFonts w:hint="eastAsia" w:ascii="宋体" w:hAnsi="宋体" w:cs="宋体"/>
          <w:color w:val="auto"/>
          <w:sz w:val="28"/>
          <w:szCs w:val="28"/>
        </w:rPr>
        <w:tab/>
      </w:r>
      <w:r>
        <w:rPr>
          <w:rFonts w:hint="eastAsia" w:ascii="宋体" w:hAnsi="宋体" w:cs="宋体"/>
          <w:color w:val="auto"/>
          <w:sz w:val="28"/>
          <w:szCs w:val="28"/>
        </w:rPr>
        <w:t>17</w:t>
      </w:r>
    </w:p>
    <w:p>
      <w:pPr>
        <w:pStyle w:val="21"/>
        <w:tabs>
          <w:tab w:val="right" w:leader="dot" w:pos="8312"/>
        </w:tabs>
        <w:rPr>
          <w:rFonts w:ascii="宋体" w:hAnsi="宋体" w:cs="宋体"/>
          <w:color w:val="auto"/>
          <w:sz w:val="28"/>
          <w:szCs w:val="28"/>
        </w:rPr>
      </w:pPr>
      <w:r>
        <w:rPr>
          <w:rFonts w:hint="eastAsia" w:ascii="宋体" w:hAnsi="宋体" w:cs="宋体"/>
          <w:color w:val="auto"/>
          <w:sz w:val="28"/>
          <w:szCs w:val="28"/>
        </w:rPr>
        <w:t>八、履约保证金</w:t>
      </w:r>
      <w:r>
        <w:rPr>
          <w:rFonts w:hint="eastAsia" w:ascii="宋体" w:hAnsi="宋体" w:cs="宋体"/>
          <w:color w:val="auto"/>
          <w:sz w:val="28"/>
          <w:szCs w:val="28"/>
        </w:rPr>
        <w:tab/>
      </w:r>
      <w:r>
        <w:rPr>
          <w:rFonts w:hint="eastAsia" w:ascii="宋体" w:hAnsi="宋体" w:cs="宋体"/>
          <w:color w:val="auto"/>
          <w:sz w:val="28"/>
          <w:szCs w:val="28"/>
        </w:rPr>
        <w:t>21</w:t>
      </w:r>
    </w:p>
    <w:p>
      <w:pPr>
        <w:pStyle w:val="21"/>
        <w:tabs>
          <w:tab w:val="right" w:leader="dot" w:pos="8312"/>
        </w:tabs>
        <w:rPr>
          <w:rFonts w:hint="default" w:ascii="宋体" w:hAnsi="宋体" w:eastAsia="宋体" w:cs="宋体"/>
          <w:color w:val="auto"/>
          <w:sz w:val="28"/>
          <w:szCs w:val="28"/>
          <w:lang w:val="en-US" w:eastAsia="zh-CN"/>
        </w:rPr>
      </w:pPr>
      <w:r>
        <w:rPr>
          <w:rFonts w:hint="eastAsia" w:ascii="宋体" w:hAnsi="宋体" w:cs="宋体"/>
          <w:color w:val="auto"/>
          <w:sz w:val="28"/>
          <w:szCs w:val="28"/>
        </w:rPr>
        <w:t>九、签订、审核合同</w:t>
      </w:r>
      <w:r>
        <w:rPr>
          <w:rFonts w:hint="eastAsia" w:ascii="宋体" w:hAnsi="宋体" w:cs="宋体"/>
          <w:color w:val="auto"/>
          <w:sz w:val="28"/>
          <w:szCs w:val="28"/>
        </w:rPr>
        <w:tab/>
      </w:r>
      <w:r>
        <w:rPr>
          <w:rFonts w:hint="eastAsia" w:ascii="宋体" w:hAnsi="宋体" w:cs="宋体"/>
          <w:color w:val="auto"/>
          <w:sz w:val="28"/>
          <w:szCs w:val="28"/>
          <w:lang w:val="en-US" w:eastAsia="zh-CN"/>
        </w:rPr>
        <w:t>21</w:t>
      </w:r>
    </w:p>
    <w:p>
      <w:pPr>
        <w:pStyle w:val="21"/>
        <w:tabs>
          <w:tab w:val="right" w:leader="dot" w:pos="8312"/>
        </w:tabs>
        <w:rPr>
          <w:rFonts w:hint="default" w:ascii="宋体" w:hAnsi="宋体" w:eastAsia="宋体" w:cs="宋体"/>
          <w:color w:val="auto"/>
          <w:sz w:val="28"/>
          <w:szCs w:val="28"/>
          <w:lang w:val="en-US" w:eastAsia="zh-CN"/>
        </w:rPr>
      </w:pPr>
      <w:r>
        <w:rPr>
          <w:rFonts w:hint="eastAsia" w:ascii="宋体" w:hAnsi="宋体" w:cs="宋体"/>
          <w:color w:val="auto"/>
          <w:sz w:val="28"/>
          <w:szCs w:val="28"/>
        </w:rPr>
        <w:t>十、处罚、询问和质疑</w:t>
      </w:r>
      <w:r>
        <w:rPr>
          <w:rFonts w:hint="eastAsia" w:ascii="宋体" w:hAnsi="宋体" w:cs="宋体"/>
          <w:color w:val="auto"/>
          <w:sz w:val="28"/>
          <w:szCs w:val="28"/>
        </w:rPr>
        <w:tab/>
      </w:r>
      <w:r>
        <w:rPr>
          <w:rFonts w:hint="eastAsia" w:ascii="宋体" w:hAnsi="宋体" w:cs="宋体"/>
          <w:color w:val="auto"/>
          <w:sz w:val="28"/>
          <w:szCs w:val="28"/>
          <w:lang w:val="en-US" w:eastAsia="zh-CN"/>
        </w:rPr>
        <w:t>22</w:t>
      </w:r>
    </w:p>
    <w:p>
      <w:pPr>
        <w:pStyle w:val="21"/>
        <w:tabs>
          <w:tab w:val="right" w:leader="dot" w:pos="8312"/>
        </w:tabs>
        <w:rPr>
          <w:rFonts w:ascii="宋体" w:hAnsi="宋体" w:cs="宋体"/>
          <w:color w:val="auto"/>
          <w:sz w:val="28"/>
          <w:szCs w:val="28"/>
        </w:rPr>
      </w:pPr>
      <w:r>
        <w:rPr>
          <w:rFonts w:hint="eastAsia" w:ascii="宋体" w:hAnsi="宋体" w:cs="宋体"/>
          <w:color w:val="auto"/>
          <w:sz w:val="28"/>
          <w:szCs w:val="28"/>
        </w:rPr>
        <w:t>十一、保密和披露</w:t>
      </w:r>
      <w:r>
        <w:rPr>
          <w:rFonts w:hint="eastAsia" w:ascii="宋体" w:hAnsi="宋体" w:cs="宋体"/>
          <w:color w:val="auto"/>
          <w:sz w:val="28"/>
          <w:szCs w:val="28"/>
        </w:rPr>
        <w:tab/>
      </w:r>
      <w:r>
        <w:rPr>
          <w:rFonts w:hint="eastAsia" w:ascii="宋体" w:hAnsi="宋体" w:cs="宋体"/>
          <w:color w:val="auto"/>
          <w:sz w:val="28"/>
          <w:szCs w:val="28"/>
        </w:rPr>
        <w:t>24</w:t>
      </w:r>
    </w:p>
    <w:p>
      <w:pPr>
        <w:pStyle w:val="28"/>
        <w:tabs>
          <w:tab w:val="right" w:leader="dot" w:pos="8312"/>
          <w:tab w:val="clear" w:pos="8302"/>
        </w:tabs>
        <w:rPr>
          <w:rFonts w:ascii="宋体" w:hAnsi="宋体" w:cs="宋体"/>
          <w:color w:val="auto"/>
          <w:sz w:val="28"/>
          <w:szCs w:val="28"/>
        </w:rPr>
      </w:pPr>
      <w:r>
        <w:rPr>
          <w:rFonts w:hint="eastAsia" w:ascii="宋体" w:hAnsi="宋体" w:cs="宋体"/>
          <w:color w:val="auto"/>
          <w:sz w:val="28"/>
          <w:szCs w:val="28"/>
        </w:rPr>
        <w:t xml:space="preserve">第三部分  </w:t>
      </w:r>
      <w:r>
        <w:rPr>
          <w:rFonts w:hint="eastAsia" w:ascii="宋体" w:hAnsi="宋体" w:cs="宋体"/>
          <w:color w:val="auto"/>
          <w:sz w:val="28"/>
          <w:szCs w:val="28"/>
          <w:lang w:eastAsia="zh-CN"/>
        </w:rPr>
        <w:t>服务需求</w:t>
      </w:r>
      <w:r>
        <w:rPr>
          <w:rFonts w:hint="eastAsia" w:ascii="宋体" w:hAnsi="宋体" w:cs="宋体"/>
          <w:color w:val="auto"/>
          <w:sz w:val="28"/>
          <w:szCs w:val="28"/>
        </w:rPr>
        <w:tab/>
      </w:r>
      <w:r>
        <w:rPr>
          <w:rFonts w:hint="eastAsia" w:ascii="宋体" w:hAnsi="宋体" w:cs="宋体"/>
          <w:color w:val="auto"/>
          <w:sz w:val="28"/>
          <w:szCs w:val="28"/>
        </w:rPr>
        <w:t>25</w:t>
      </w:r>
    </w:p>
    <w:p>
      <w:pPr>
        <w:pStyle w:val="28"/>
        <w:tabs>
          <w:tab w:val="right" w:leader="dot" w:pos="8312"/>
          <w:tab w:val="clear" w:pos="8302"/>
        </w:tabs>
        <w:rPr>
          <w:rFonts w:ascii="宋体" w:hAnsi="宋体" w:cs="宋体"/>
          <w:color w:val="auto"/>
          <w:sz w:val="28"/>
          <w:szCs w:val="28"/>
        </w:rPr>
      </w:pPr>
      <w:r>
        <w:rPr>
          <w:rFonts w:hint="eastAsia" w:ascii="宋体" w:hAnsi="宋体" w:cs="宋体"/>
          <w:color w:val="auto"/>
          <w:sz w:val="28"/>
          <w:szCs w:val="28"/>
        </w:rPr>
        <w:t>第四部分  评审方法（综合评分法）</w:t>
      </w:r>
      <w:r>
        <w:rPr>
          <w:rFonts w:hint="eastAsia" w:ascii="宋体" w:hAnsi="宋体" w:cs="宋体"/>
          <w:color w:val="auto"/>
          <w:sz w:val="28"/>
          <w:szCs w:val="28"/>
        </w:rPr>
        <w:tab/>
      </w:r>
      <w:r>
        <w:rPr>
          <w:rFonts w:hint="eastAsia" w:ascii="宋体" w:hAnsi="宋体" w:cs="宋体"/>
          <w:color w:val="auto"/>
          <w:sz w:val="28"/>
          <w:szCs w:val="28"/>
        </w:rPr>
        <w:t>33</w:t>
      </w:r>
    </w:p>
    <w:p>
      <w:pPr>
        <w:pStyle w:val="28"/>
        <w:tabs>
          <w:tab w:val="right" w:leader="dot" w:pos="8312"/>
          <w:tab w:val="clear" w:pos="8302"/>
        </w:tabs>
        <w:rPr>
          <w:rFonts w:ascii="宋体" w:hAnsi="宋体" w:cs="宋体"/>
          <w:color w:val="auto"/>
          <w:sz w:val="28"/>
          <w:szCs w:val="28"/>
        </w:rPr>
      </w:pPr>
      <w:r>
        <w:rPr>
          <w:rFonts w:hint="eastAsia" w:ascii="宋体" w:hAnsi="宋体" w:cs="宋体"/>
          <w:color w:val="auto"/>
          <w:sz w:val="28"/>
          <w:szCs w:val="28"/>
        </w:rPr>
        <w:t>第五部分  拟签订的合同文本</w:t>
      </w:r>
      <w:r>
        <w:rPr>
          <w:rFonts w:hint="eastAsia" w:ascii="宋体" w:hAnsi="宋体" w:cs="宋体"/>
          <w:color w:val="auto"/>
          <w:sz w:val="28"/>
          <w:szCs w:val="28"/>
        </w:rPr>
        <w:tab/>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PAGEREF _Toc10894 </w:instrText>
      </w:r>
      <w:r>
        <w:rPr>
          <w:rFonts w:hint="eastAsia" w:ascii="宋体" w:hAnsi="宋体" w:cs="宋体"/>
          <w:color w:val="auto"/>
          <w:sz w:val="28"/>
          <w:szCs w:val="28"/>
        </w:rPr>
        <w:fldChar w:fldCharType="separate"/>
      </w:r>
      <w:r>
        <w:rPr>
          <w:rFonts w:hint="eastAsia" w:ascii="宋体" w:hAnsi="宋体" w:cs="宋体"/>
          <w:color w:val="auto"/>
          <w:sz w:val="28"/>
          <w:szCs w:val="28"/>
        </w:rPr>
        <w:t>38</w:t>
      </w:r>
      <w:r>
        <w:rPr>
          <w:rFonts w:hint="eastAsia" w:ascii="宋体" w:hAnsi="宋体" w:cs="宋体"/>
          <w:color w:val="auto"/>
          <w:sz w:val="28"/>
          <w:szCs w:val="28"/>
        </w:rPr>
        <w:fldChar w:fldCharType="end"/>
      </w:r>
    </w:p>
    <w:p>
      <w:pPr>
        <w:pStyle w:val="28"/>
        <w:tabs>
          <w:tab w:val="right" w:leader="dot" w:pos="8312"/>
          <w:tab w:val="clear" w:pos="8302"/>
        </w:tabs>
        <w:rPr>
          <w:rFonts w:hint="eastAsia" w:ascii="宋体" w:hAnsi="宋体" w:eastAsia="宋体" w:cs="宋体"/>
          <w:color w:val="auto"/>
          <w:sz w:val="28"/>
          <w:szCs w:val="28"/>
          <w:lang w:eastAsia="zh-CN"/>
        </w:rPr>
      </w:pPr>
      <w:r>
        <w:rPr>
          <w:rFonts w:hint="eastAsia" w:ascii="宋体" w:hAnsi="宋体" w:cs="宋体"/>
          <w:color w:val="auto"/>
          <w:sz w:val="28"/>
          <w:szCs w:val="28"/>
        </w:rPr>
        <w:t>第六部分  投标文件格式</w:t>
      </w:r>
      <w:r>
        <w:rPr>
          <w:rFonts w:hint="eastAsia" w:ascii="宋体" w:hAnsi="宋体" w:cs="宋体"/>
          <w:color w:val="auto"/>
          <w:sz w:val="28"/>
          <w:szCs w:val="28"/>
        </w:rPr>
        <w:tab/>
      </w:r>
      <w:r>
        <w:rPr>
          <w:rFonts w:hint="eastAsia" w:ascii="宋体" w:hAnsi="宋体" w:cs="宋体"/>
          <w:color w:val="auto"/>
          <w:sz w:val="28"/>
          <w:szCs w:val="28"/>
        </w:rPr>
        <w:t>4</w:t>
      </w:r>
      <w:r>
        <w:rPr>
          <w:rFonts w:hint="eastAsia" w:ascii="宋体" w:hAnsi="宋体" w:cs="宋体"/>
          <w:color w:val="auto"/>
          <w:sz w:val="28"/>
          <w:szCs w:val="28"/>
          <w:lang w:val="en-US" w:eastAsia="zh-CN"/>
        </w:rPr>
        <w:t>1</w:t>
      </w:r>
    </w:p>
    <w:p>
      <w:pPr>
        <w:pStyle w:val="30"/>
        <w:tabs>
          <w:tab w:val="right" w:leader="dot" w:pos="8312"/>
        </w:tabs>
        <w:rPr>
          <w:rFonts w:ascii="宋体" w:hAnsi="宋体" w:cs="宋体"/>
          <w:color w:val="auto"/>
        </w:rPr>
      </w:pPr>
    </w:p>
    <w:p>
      <w:pPr>
        <w:rPr>
          <w:rFonts w:ascii="宋体" w:hAnsi="宋体" w:cs="宋体"/>
          <w:b/>
          <w:bCs/>
          <w:color w:val="auto"/>
          <w:lang w:val="zh-CN"/>
        </w:rPr>
      </w:pPr>
      <w:r>
        <w:rPr>
          <w:rFonts w:hint="eastAsia" w:ascii="宋体" w:hAnsi="宋体" w:cs="宋体"/>
          <w:color w:val="auto"/>
        </w:rPr>
        <w:fldChar w:fldCharType="end"/>
      </w:r>
    </w:p>
    <w:p>
      <w:pPr>
        <w:rPr>
          <w:rFonts w:ascii="宋体" w:hAnsi="宋体" w:cs="宋体"/>
          <w:color w:val="auto"/>
        </w:rPr>
        <w:sectPr>
          <w:footerReference r:id="rId9" w:type="first"/>
          <w:footerReference r:id="rId8" w:type="default"/>
          <w:pgSz w:w="11906" w:h="16838"/>
          <w:pgMar w:top="1440" w:right="1797" w:bottom="1440" w:left="1797" w:header="851" w:footer="992" w:gutter="0"/>
          <w:pgBorders>
            <w:top w:val="none" w:sz="0" w:space="0"/>
            <w:left w:val="none" w:sz="0" w:space="0"/>
            <w:bottom w:val="none" w:sz="0" w:space="0"/>
            <w:right w:val="none" w:sz="0" w:space="0"/>
          </w:pgBorders>
          <w:pgNumType w:start="0"/>
          <w:cols w:space="720" w:num="1"/>
          <w:titlePg/>
          <w:docGrid w:type="lines" w:linePitch="312" w:charSpace="0"/>
        </w:sectPr>
      </w:pPr>
    </w:p>
    <w:p>
      <w:pPr>
        <w:pStyle w:val="19"/>
        <w:numPr>
          <w:ilvl w:val="0"/>
          <w:numId w:val="3"/>
        </w:numPr>
        <w:tabs>
          <w:tab w:val="left" w:pos="0"/>
        </w:tabs>
        <w:spacing w:line="240" w:lineRule="auto"/>
        <w:ind w:left="0" w:leftChars="0" w:firstLine="0" w:firstLineChars="0"/>
        <w:jc w:val="center"/>
        <w:outlineLvl w:val="0"/>
        <w:rPr>
          <w:rStyle w:val="42"/>
          <w:rFonts w:ascii="宋体" w:hAnsi="宋体" w:cs="宋体"/>
          <w:color w:val="auto"/>
        </w:rPr>
      </w:pPr>
      <w:bookmarkStart w:id="2" w:name="_Toc32378"/>
      <w:r>
        <w:rPr>
          <w:rStyle w:val="42"/>
          <w:rFonts w:hint="eastAsia" w:ascii="宋体" w:hAnsi="宋体" w:cs="宋体"/>
          <w:color w:val="auto"/>
        </w:rPr>
        <w:t xml:space="preserve"> 招标公告</w:t>
      </w:r>
      <w:bookmarkEnd w:id="2"/>
    </w:p>
    <w:p>
      <w:pPr>
        <w:widowControl/>
        <w:adjustRightInd w:val="0"/>
        <w:snapToGrid w:val="0"/>
        <w:spacing w:line="360" w:lineRule="auto"/>
        <w:jc w:val="center"/>
        <w:outlineLvl w:val="0"/>
        <w:rPr>
          <w:rFonts w:ascii="宋体" w:hAnsi="宋体" w:cs="宋体"/>
          <w:color w:val="auto"/>
          <w:kern w:val="36"/>
          <w:sz w:val="22"/>
        </w:rPr>
      </w:pPr>
      <w:bookmarkStart w:id="3" w:name="_Toc21898"/>
      <w:r>
        <w:rPr>
          <w:rFonts w:hint="eastAsia" w:ascii="宋体" w:hAnsi="宋体" w:cs="宋体"/>
          <w:color w:val="auto"/>
          <w:kern w:val="36"/>
          <w:sz w:val="24"/>
          <w:szCs w:val="24"/>
          <w:lang w:eastAsia="zh-CN"/>
        </w:rPr>
        <w:t>指挥系统大屏建设监理服务项目</w:t>
      </w:r>
      <w:r>
        <w:rPr>
          <w:rFonts w:hint="eastAsia" w:ascii="宋体" w:hAnsi="宋体" w:cs="宋体"/>
          <w:color w:val="auto"/>
          <w:kern w:val="36"/>
          <w:sz w:val="24"/>
          <w:szCs w:val="24"/>
        </w:rPr>
        <w:t>公开招标公告</w:t>
      </w:r>
    </w:p>
    <w:p>
      <w:pPr>
        <w:widowControl/>
        <w:adjustRightInd w:val="0"/>
        <w:snapToGri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一、招标项目编号：</w:t>
      </w:r>
      <w:r>
        <w:rPr>
          <w:rFonts w:hint="eastAsia" w:ascii="宋体" w:hAnsi="宋体" w:cs="宋体"/>
          <w:color w:val="auto"/>
          <w:kern w:val="0"/>
          <w:sz w:val="24"/>
          <w:szCs w:val="24"/>
          <w:lang w:eastAsia="zh-CN"/>
        </w:rPr>
        <w:t>XLZ2022-118</w:t>
      </w:r>
      <w:r>
        <w:rPr>
          <w:rFonts w:hint="eastAsia" w:ascii="宋体" w:hAnsi="宋体" w:cs="宋体"/>
          <w:color w:val="auto"/>
          <w:kern w:val="0"/>
          <w:sz w:val="24"/>
          <w:szCs w:val="24"/>
        </w:rPr>
        <w:t xml:space="preserve"> </w:t>
      </w:r>
    </w:p>
    <w:p>
      <w:pPr>
        <w:widowControl/>
        <w:adjustRightInd w:val="0"/>
        <w:snapToGri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二、招标组织类型：分散采购-分散委托中介 </w:t>
      </w:r>
    </w:p>
    <w:p>
      <w:pPr>
        <w:widowControl/>
        <w:adjustRightInd w:val="0"/>
        <w:snapToGri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三、招标项目概况</w:t>
      </w:r>
    </w:p>
    <w:p>
      <w:pPr>
        <w:pStyle w:val="13"/>
        <w:adjustRightInd w:val="0"/>
        <w:snapToGrid w:val="0"/>
        <w:spacing w:line="360" w:lineRule="auto"/>
        <w:ind w:firstLine="480"/>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预算金额：</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lang w:eastAsia="zh-CN"/>
        </w:rPr>
        <w:t>万元</w:t>
      </w:r>
    </w:p>
    <w:p>
      <w:pPr>
        <w:pStyle w:val="13"/>
        <w:adjustRightInd w:val="0"/>
        <w:snapToGrid w:val="0"/>
        <w:spacing w:line="360" w:lineRule="auto"/>
        <w:ind w:firstLine="480"/>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采购内容：</w:t>
      </w:r>
      <w:r>
        <w:rPr>
          <w:rFonts w:hint="eastAsia" w:ascii="宋体" w:hAnsi="宋体" w:cs="宋体"/>
          <w:color w:val="auto"/>
          <w:sz w:val="24"/>
          <w:szCs w:val="24"/>
        </w:rPr>
        <w:t xml:space="preserve">详见招标文件第三部分 </w:t>
      </w:r>
      <w:r>
        <w:rPr>
          <w:rFonts w:hint="eastAsia" w:ascii="宋体" w:hAnsi="宋体" w:cs="宋体"/>
          <w:color w:val="auto"/>
          <w:sz w:val="24"/>
          <w:szCs w:val="24"/>
          <w:lang w:eastAsia="zh-CN"/>
        </w:rPr>
        <w:t>服务需求</w:t>
      </w:r>
    </w:p>
    <w:p>
      <w:pPr>
        <w:pStyle w:val="13"/>
        <w:adjustRightInd w:val="0"/>
        <w:snapToGrid w:val="0"/>
        <w:spacing w:line="360" w:lineRule="auto"/>
        <w:ind w:firstLine="480"/>
        <w:rPr>
          <w:rFonts w:ascii="宋体" w:hAnsi="宋体" w:cs="宋体"/>
          <w:color w:val="auto"/>
          <w:kern w:val="0"/>
          <w:sz w:val="24"/>
          <w:szCs w:val="24"/>
        </w:rPr>
      </w:pPr>
      <w:r>
        <w:rPr>
          <w:rFonts w:hint="eastAsia" w:ascii="宋体" w:hAnsi="宋体" w:cs="宋体"/>
          <w:color w:val="auto"/>
          <w:kern w:val="0"/>
          <w:sz w:val="24"/>
          <w:szCs w:val="24"/>
        </w:rPr>
        <w:t>本采购项目不接受联合体投标</w:t>
      </w:r>
    </w:p>
    <w:p>
      <w:pPr>
        <w:widowControl/>
        <w:adjustRightInd w:val="0"/>
        <w:snapToGri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四、投标供应商资格要求:</w:t>
      </w:r>
    </w:p>
    <w:p>
      <w:pPr>
        <w:widowControl/>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符合《中华人民共和国政府采购法》第二十二条的规定；</w:t>
      </w:r>
    </w:p>
    <w:p>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textAlignment w:val="baseline"/>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pPr>
      <w:r>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t>2、落实政府采购政策需满足的资格要求：</w:t>
      </w:r>
    </w:p>
    <w:p>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218" w:leftChars="104" w:right="0" w:rightChars="0" w:firstLine="240" w:firstLineChars="100"/>
        <w:textAlignment w:val="baseline"/>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pPr>
      <w:r>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t>（1）鼓励节能政策：在技术、服务等指标同等条件下，优先采购属于国家公布的节能清单中产品；</w:t>
      </w:r>
      <w:r>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br w:type="textWrapping"/>
      </w:r>
      <w:r>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t xml:space="preserve">  （2）鼓励环保政策：在性能、技术、服务等指标同等条件下，优先采购国家公布的环保产品清单中的产品；</w:t>
      </w:r>
      <w:r>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br w:type="textWrapping"/>
      </w:r>
      <w:r>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t xml:space="preserve">  （3）扶持中小企业政策：评审时小型和微型企业产品享受6%的价格折扣。</w:t>
      </w:r>
    </w:p>
    <w:p>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textAlignment w:val="baseline"/>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pPr>
      <w:r>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t>3、本项目的特定资格要求：</w:t>
      </w:r>
    </w:p>
    <w:p>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218" w:leftChars="104" w:right="0" w:rightChars="0" w:firstLine="240" w:firstLineChars="100"/>
        <w:textAlignment w:val="baseline"/>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pPr>
      <w:r>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t>（1）供应商具有合法有效的营业执照；</w:t>
      </w:r>
    </w:p>
    <w:p>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218" w:leftChars="104" w:right="0" w:rightChars="0" w:firstLine="240" w:firstLineChars="100"/>
        <w:textAlignment w:val="baseline"/>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pPr>
      <w:r>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t>（2）</w:t>
      </w:r>
      <w:r>
        <w:rPr>
          <w:rFonts w:hint="eastAsia" w:asciiTheme="minorEastAsia" w:hAnsiTheme="minorEastAsia" w:eastAsiaTheme="minorEastAsia" w:cstheme="minorEastAsia"/>
          <w:b w:val="0"/>
          <w:bCs w:val="0"/>
          <w:color w:val="auto"/>
          <w:sz w:val="24"/>
          <w:lang w:val="en-US" w:eastAsia="zh-CN"/>
        </w:rPr>
        <w:t>供应商须具备住建部颁发的通信专业工程监理乙级及以上资质或工程监理综合资质；</w:t>
      </w:r>
    </w:p>
    <w:p>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218" w:leftChars="104" w:right="0" w:rightChars="0" w:firstLine="240" w:firstLineChars="100"/>
        <w:textAlignment w:val="baseline"/>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pPr>
      <w:r>
        <w:rPr>
          <w:rFonts w:hint="eastAsia" w:ascii="宋体" w:hAnsi="宋体" w:cs="宋体"/>
          <w:b w:val="0"/>
          <w:bCs/>
          <w:i w:val="0"/>
          <w:caps w:val="0"/>
          <w:color w:val="auto"/>
          <w:spacing w:val="0"/>
          <w:sz w:val="24"/>
          <w:szCs w:val="24"/>
          <w:highlight w:val="none"/>
          <w:shd w:val="clear" w:color="auto" w:fill="FFFFFF"/>
          <w:vertAlign w:val="baseline"/>
          <w:lang w:val="en-US" w:eastAsia="zh-CN"/>
        </w:rPr>
        <w:t>（3）</w:t>
      </w:r>
      <w:r>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t>供应商须提供在“信用中国”（www.creditchina.gov.cn）和中国政府采购网（www.ccgp.gov.cn）网站上未被列入失信被执行人、重大税收违法案件当事人名单、政府采购不良行为记录以及政府采购严重违法失信行为记录名单的网页打印件（网页打印件须自</w:t>
      </w:r>
      <w:r>
        <w:rPr>
          <w:rFonts w:hint="eastAsia" w:ascii="宋体" w:hAnsi="宋体" w:cs="宋体"/>
          <w:b w:val="0"/>
          <w:bCs/>
          <w:i w:val="0"/>
          <w:caps w:val="0"/>
          <w:color w:val="auto"/>
          <w:spacing w:val="0"/>
          <w:sz w:val="24"/>
          <w:szCs w:val="24"/>
          <w:highlight w:val="none"/>
          <w:shd w:val="clear" w:color="auto" w:fill="FFFFFF"/>
          <w:vertAlign w:val="baseline"/>
          <w:lang w:val="en-US" w:eastAsia="zh-CN"/>
        </w:rPr>
        <w:t>投标</w:t>
      </w:r>
      <w:r>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t>文件发布之日起至首次提交</w:t>
      </w:r>
      <w:r>
        <w:rPr>
          <w:rFonts w:hint="eastAsia" w:ascii="宋体" w:hAnsi="宋体" w:cs="宋体"/>
          <w:b w:val="0"/>
          <w:bCs/>
          <w:i w:val="0"/>
          <w:caps w:val="0"/>
          <w:color w:val="auto"/>
          <w:spacing w:val="0"/>
          <w:sz w:val="24"/>
          <w:szCs w:val="24"/>
          <w:highlight w:val="none"/>
          <w:shd w:val="clear" w:color="auto" w:fill="FFFFFF"/>
          <w:vertAlign w:val="baseline"/>
          <w:lang w:val="en-US" w:eastAsia="zh-CN"/>
        </w:rPr>
        <w:t>投标</w:t>
      </w:r>
      <w:r>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t>文件截止时间内从上述网站中打印）并加盖公章；</w:t>
      </w:r>
    </w:p>
    <w:p>
      <w:pPr>
        <w:widowControl/>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t>4、</w:t>
      </w:r>
      <w:r>
        <w:rPr>
          <w:rFonts w:hint="eastAsia" w:ascii="宋体" w:hAnsi="宋体" w:eastAsia="宋体" w:cs="宋体"/>
          <w:b w:val="0"/>
          <w:bCs/>
          <w:i w:val="0"/>
          <w:caps w:val="0"/>
          <w:color w:val="auto"/>
          <w:spacing w:val="0"/>
          <w:sz w:val="24"/>
          <w:szCs w:val="24"/>
          <w:highlight w:val="none"/>
          <w:shd w:val="clear" w:color="auto" w:fill="FFFFFF"/>
          <w:vertAlign w:val="baseline"/>
        </w:rPr>
        <w:t>其他说明：</w:t>
      </w:r>
      <w:r>
        <w:rPr>
          <w:rFonts w:hint="eastAsia" w:ascii="宋体" w:hAnsi="宋体" w:eastAsia="宋体" w:cs="宋体"/>
          <w:b w:val="0"/>
          <w:bCs/>
          <w:i w:val="0"/>
          <w:caps w:val="0"/>
          <w:color w:val="auto"/>
          <w:spacing w:val="0"/>
          <w:sz w:val="24"/>
          <w:szCs w:val="24"/>
          <w:highlight w:val="none"/>
          <w:shd w:val="clear" w:color="auto" w:fill="FFFFFF"/>
          <w:vertAlign w:val="baseline"/>
        </w:rPr>
        <w:br w:type="textWrapping"/>
      </w:r>
      <w:r>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t xml:space="preserve">    （a）与采购人存在利害关系可能影响采购公正性的法人、其他组织或者个人，不得参加投标。</w:t>
      </w:r>
      <w:r>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br w:type="textWrapping"/>
      </w:r>
      <w:r>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t xml:space="preserve">    （b）单位负责人为同一人或者存在控股、管理关系的不同单位，不得参加同一标段投标或者未划分标段的同一采购项目投标。违反前两款规定的，相关投标均无效</w:t>
      </w:r>
      <w:r>
        <w:rPr>
          <w:rFonts w:hint="eastAsia" w:ascii="宋体" w:hAnsi="宋体" w:eastAsia="宋体" w:cs="宋体"/>
          <w:b w:val="0"/>
          <w:bCs/>
          <w:i w:val="0"/>
          <w:caps w:val="0"/>
          <w:color w:val="auto"/>
          <w:spacing w:val="0"/>
          <w:sz w:val="24"/>
          <w:szCs w:val="24"/>
          <w:highlight w:val="none"/>
          <w:shd w:val="clear" w:color="auto" w:fill="FFFFFF"/>
          <w:vertAlign w:val="baseline"/>
        </w:rPr>
        <w:t>。</w:t>
      </w:r>
    </w:p>
    <w:p>
      <w:pPr>
        <w:widowControl/>
        <w:adjustRightInd w:val="0"/>
        <w:snapToGri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五、招标文件的报名/发售时间、地址：</w:t>
      </w:r>
    </w:p>
    <w:p>
      <w:pPr>
        <w:widowControl/>
        <w:adjustRightInd w:val="0"/>
        <w:snapToGrid w:val="0"/>
        <w:spacing w:line="360" w:lineRule="auto"/>
        <w:ind w:firstLine="480" w:firstLineChars="200"/>
        <w:jc w:val="left"/>
        <w:rPr>
          <w:rFonts w:hint="default" w:ascii="宋体" w:hAnsi="宋体" w:cs="宋体"/>
          <w:color w:val="auto"/>
          <w:kern w:val="0"/>
          <w:sz w:val="24"/>
          <w:szCs w:val="24"/>
          <w:lang w:val="en-US"/>
        </w:rPr>
      </w:pP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报名（发售／获取）时间：202</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05</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13</w:t>
      </w:r>
      <w:r>
        <w:rPr>
          <w:rFonts w:hint="eastAsia" w:ascii="宋体" w:hAnsi="宋体" w:cs="宋体"/>
          <w:color w:val="auto"/>
          <w:kern w:val="0"/>
          <w:sz w:val="24"/>
          <w:szCs w:val="24"/>
        </w:rPr>
        <w:t>至202</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05</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19</w:t>
      </w:r>
    </w:p>
    <w:p>
      <w:pPr>
        <w:widowControl/>
        <w:adjustRightInd w:val="0"/>
        <w:snapToGrid w:val="0"/>
        <w:spacing w:line="360" w:lineRule="auto"/>
        <w:ind w:firstLine="720" w:firstLineChars="300"/>
        <w:jc w:val="left"/>
        <w:rPr>
          <w:rFonts w:ascii="宋体" w:hAnsi="宋体" w:cs="宋体"/>
          <w:color w:val="auto"/>
          <w:kern w:val="0"/>
          <w:sz w:val="24"/>
          <w:szCs w:val="24"/>
        </w:rPr>
      </w:pPr>
      <w:r>
        <w:rPr>
          <w:rFonts w:hint="eastAsia" w:ascii="宋体" w:hAnsi="宋体" w:cs="宋体"/>
          <w:color w:val="auto"/>
          <w:kern w:val="0"/>
          <w:sz w:val="24"/>
          <w:szCs w:val="24"/>
        </w:rPr>
        <w:t>上午：10:00-14:00        下午：15:00-19:00</w:t>
      </w:r>
    </w:p>
    <w:p>
      <w:pPr>
        <w:widowControl/>
        <w:numPr>
          <w:ilvl w:val="0"/>
          <w:numId w:val="0"/>
        </w:numPr>
        <w:adjustRightInd w:val="0"/>
        <w:snapToGrid w:val="0"/>
        <w:spacing w:line="360" w:lineRule="auto"/>
        <w:ind w:left="719" w:leftChars="228" w:hanging="240" w:hangingChars="100"/>
        <w:jc w:val="left"/>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报名（发售／获取）地址：现场</w:t>
      </w:r>
      <w:r>
        <w:rPr>
          <w:rFonts w:hint="eastAsia" w:ascii="宋体" w:hAnsi="宋体" w:cs="宋体"/>
          <w:color w:val="auto"/>
          <w:kern w:val="0"/>
          <w:sz w:val="24"/>
          <w:szCs w:val="24"/>
          <w:lang w:val="en-US" w:eastAsia="zh-CN"/>
        </w:rPr>
        <w:t xml:space="preserve">获取 </w:t>
      </w:r>
      <w:r>
        <w:rPr>
          <w:rFonts w:hint="eastAsia" w:ascii="宋体" w:hAnsi="宋体" w:cs="宋体"/>
          <w:color w:val="auto"/>
          <w:kern w:val="0"/>
          <w:sz w:val="24"/>
          <w:szCs w:val="24"/>
        </w:rPr>
        <w:t>乌鲁木齐红山路16号时代广场D座23楼</w:t>
      </w:r>
      <w:r>
        <w:rPr>
          <w:rFonts w:hint="eastAsia" w:ascii="宋体" w:hAnsi="宋体" w:cs="宋体"/>
          <w:color w:val="auto"/>
          <w:kern w:val="0"/>
          <w:sz w:val="24"/>
          <w:szCs w:val="24"/>
          <w:lang w:val="en-US" w:eastAsia="zh-CN"/>
        </w:rPr>
        <w:t>O室</w:t>
      </w:r>
    </w:p>
    <w:p>
      <w:pPr>
        <w:widowControl/>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3．供应商购买标书时应提交的资料：</w:t>
      </w:r>
    </w:p>
    <w:p>
      <w:pPr>
        <w:widowControl/>
        <w:adjustRightInd w:val="0"/>
        <w:snapToGrid w:val="0"/>
        <w:spacing w:line="360" w:lineRule="auto"/>
        <w:ind w:firstLine="720" w:firstLineChars="300"/>
        <w:jc w:val="left"/>
        <w:rPr>
          <w:rFonts w:ascii="宋体" w:hAnsi="宋体" w:cs="宋体"/>
          <w:color w:val="auto"/>
          <w:kern w:val="0"/>
          <w:sz w:val="24"/>
          <w:szCs w:val="24"/>
        </w:rPr>
      </w:pPr>
      <w:r>
        <w:rPr>
          <w:rFonts w:hint="eastAsia" w:ascii="宋体" w:hAnsi="宋体" w:cs="宋体"/>
          <w:color w:val="auto"/>
          <w:kern w:val="0"/>
          <w:sz w:val="24"/>
          <w:szCs w:val="24"/>
        </w:rPr>
        <w:t>（1）企业营业执照；</w:t>
      </w:r>
    </w:p>
    <w:p>
      <w:pPr>
        <w:widowControl/>
        <w:adjustRightInd w:val="0"/>
        <w:snapToGrid w:val="0"/>
        <w:spacing w:line="360" w:lineRule="auto"/>
        <w:ind w:left="479" w:leftChars="228" w:firstLine="240" w:firstLineChars="100"/>
        <w:jc w:val="left"/>
        <w:rPr>
          <w:rFonts w:hint="default" w:ascii="宋体" w:hAnsi="宋体" w:cs="宋体"/>
          <w:color w:val="auto"/>
          <w:kern w:val="0"/>
          <w:sz w:val="24"/>
          <w:szCs w:val="24"/>
          <w:lang w:val="en-US"/>
        </w:rPr>
      </w:pPr>
      <w:r>
        <w:rPr>
          <w:rFonts w:hint="eastAsia" w:ascii="宋体" w:hAnsi="宋体" w:cs="宋体"/>
          <w:color w:val="auto"/>
          <w:kern w:val="0"/>
          <w:sz w:val="24"/>
          <w:szCs w:val="24"/>
        </w:rPr>
        <w:t>（2）</w:t>
      </w:r>
      <w:r>
        <w:rPr>
          <w:rStyle w:val="37"/>
          <w:rFonts w:hint="eastAsia" w:asciiTheme="minorEastAsia" w:hAnsiTheme="minorEastAsia" w:eastAsiaTheme="minorEastAsia" w:cstheme="minorEastAsia"/>
          <w:b w:val="0"/>
          <w:bCs w:val="0"/>
          <w:color w:val="auto"/>
          <w:sz w:val="24"/>
          <w:szCs w:val="24"/>
          <w:highlight w:val="none"/>
        </w:rPr>
        <w:t>通信专业工程监理</w:t>
      </w:r>
      <w:r>
        <w:rPr>
          <w:rStyle w:val="37"/>
          <w:rFonts w:hint="eastAsia" w:asciiTheme="minorEastAsia" w:hAnsiTheme="minorEastAsia" w:eastAsiaTheme="minorEastAsia" w:cstheme="minorEastAsia"/>
          <w:b w:val="0"/>
          <w:bCs w:val="0"/>
          <w:color w:val="auto"/>
          <w:sz w:val="24"/>
          <w:szCs w:val="24"/>
          <w:highlight w:val="none"/>
          <w:lang w:val="en-US" w:eastAsia="zh-CN"/>
        </w:rPr>
        <w:t>乙级及以上</w:t>
      </w:r>
      <w:r>
        <w:rPr>
          <w:rStyle w:val="37"/>
          <w:rFonts w:hint="eastAsia" w:asciiTheme="minorEastAsia" w:hAnsiTheme="minorEastAsia" w:eastAsiaTheme="minorEastAsia" w:cstheme="minorEastAsia"/>
          <w:b w:val="0"/>
          <w:bCs w:val="0"/>
          <w:color w:val="auto"/>
          <w:sz w:val="24"/>
          <w:szCs w:val="24"/>
          <w:highlight w:val="none"/>
        </w:rPr>
        <w:t>资质或工程监理综合资质</w:t>
      </w:r>
      <w:r>
        <w:rPr>
          <w:rStyle w:val="37"/>
          <w:rFonts w:hint="eastAsia" w:asciiTheme="minorEastAsia" w:hAnsiTheme="minorEastAsia" w:eastAsiaTheme="minorEastAsia" w:cstheme="minorEastAsia"/>
          <w:b w:val="0"/>
          <w:bCs w:val="0"/>
          <w:color w:val="auto"/>
          <w:sz w:val="24"/>
          <w:szCs w:val="24"/>
          <w:highlight w:val="none"/>
          <w:lang w:val="en-US" w:eastAsia="zh-CN"/>
        </w:rPr>
        <w:t>证书</w:t>
      </w:r>
      <w:r>
        <w:rPr>
          <w:rFonts w:hint="eastAsia" w:asciiTheme="minorEastAsia" w:hAnsiTheme="minorEastAsia" w:eastAsiaTheme="minorEastAsia" w:cstheme="minorEastAsia"/>
          <w:b w:val="0"/>
          <w:bCs w:val="0"/>
          <w:color w:val="auto"/>
          <w:sz w:val="24"/>
          <w:lang w:val="en-US" w:eastAsia="zh-CN"/>
        </w:rPr>
        <w:t>；</w:t>
      </w:r>
    </w:p>
    <w:p>
      <w:pPr>
        <w:widowControl/>
        <w:adjustRightInd w:val="0"/>
        <w:snapToGrid w:val="0"/>
        <w:spacing w:line="360" w:lineRule="auto"/>
        <w:ind w:left="479" w:leftChars="228" w:firstLine="240" w:firstLineChars="100"/>
        <w:jc w:val="left"/>
        <w:rPr>
          <w:rFonts w:ascii="宋体" w:hAnsi="宋体" w:cs="宋体"/>
          <w:color w:val="auto"/>
          <w:kern w:val="0"/>
          <w:sz w:val="24"/>
          <w:szCs w:val="24"/>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法定代表人身份证明书及法定代表人身份证或法定代表人授权委托书及被授权人身份证（法定代表人及被授权人的身份证复印件必须和授权委托书正文在同一面上，并加盖公章及法定代表人签字或盖章）；</w:t>
      </w:r>
    </w:p>
    <w:p>
      <w:pPr>
        <w:widowControl/>
        <w:adjustRightInd w:val="0"/>
        <w:snapToGrid w:val="0"/>
        <w:spacing w:line="360" w:lineRule="auto"/>
        <w:ind w:firstLine="720" w:firstLineChars="300"/>
        <w:jc w:val="left"/>
        <w:rPr>
          <w:rFonts w:ascii="宋体" w:hAnsi="宋体" w:cs="宋体"/>
          <w:color w:val="auto"/>
          <w:kern w:val="0"/>
          <w:sz w:val="24"/>
          <w:szCs w:val="24"/>
        </w:rPr>
      </w:pP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）“信用中国”、“中国政府采购网”网页打印页（加盖公章）；</w:t>
      </w:r>
    </w:p>
    <w:p>
      <w:pPr>
        <w:widowControl/>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以上文件须提供复印件2份并加盖公章。 </w:t>
      </w:r>
    </w:p>
    <w:p>
      <w:pPr>
        <w:widowControl/>
        <w:adjustRightInd w:val="0"/>
        <w:snapToGri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六、投标截止时间：202</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06</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02 16</w:t>
      </w:r>
      <w:r>
        <w:rPr>
          <w:rFonts w:hint="eastAsia" w:ascii="宋体" w:hAnsi="宋体" w:cs="宋体"/>
          <w:color w:val="auto"/>
          <w:kern w:val="0"/>
          <w:sz w:val="24"/>
          <w:szCs w:val="24"/>
        </w:rPr>
        <w:t>:00:00 </w:t>
      </w:r>
    </w:p>
    <w:p>
      <w:pPr>
        <w:widowControl/>
        <w:adjustRightInd w:val="0"/>
        <w:snapToGri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七、投标地址：乌鲁木齐红山路16号时代广场D座23楼一号会议室</w:t>
      </w:r>
    </w:p>
    <w:p>
      <w:pPr>
        <w:widowControl/>
        <w:adjustRightInd w:val="0"/>
        <w:snapToGri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八、开标时间：202</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06</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 xml:space="preserve">02 </w:t>
      </w: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rPr>
        <w:t>:00:00 </w:t>
      </w:r>
    </w:p>
    <w:p>
      <w:pPr>
        <w:widowControl/>
        <w:adjustRightInd w:val="0"/>
        <w:snapToGri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九、开标地址：乌鲁木齐红山路16号时代广场D座23楼一号会议室</w:t>
      </w:r>
    </w:p>
    <w:p>
      <w:pPr>
        <w:widowControl/>
        <w:adjustRightInd w:val="0"/>
        <w:snapToGri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十、投标保证金：详见招标文件。      </w:t>
      </w:r>
    </w:p>
    <w:p>
      <w:pPr>
        <w:widowControl/>
        <w:adjustRightInd w:val="0"/>
        <w:snapToGri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十一、联系方式</w:t>
      </w:r>
    </w:p>
    <w:p>
      <w:pPr>
        <w:widowControl/>
        <w:adjustRightInd w:val="0"/>
        <w:snapToGrid w:val="0"/>
        <w:spacing w:line="360" w:lineRule="auto"/>
        <w:jc w:val="left"/>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1、采购人名称：</w:t>
      </w:r>
      <w:r>
        <w:rPr>
          <w:rFonts w:hint="eastAsia" w:ascii="宋体" w:hAnsi="宋体" w:cs="宋体"/>
          <w:color w:val="auto"/>
          <w:kern w:val="0"/>
          <w:sz w:val="24"/>
          <w:szCs w:val="24"/>
          <w:lang w:eastAsia="zh-CN"/>
        </w:rPr>
        <w:t>伊犁哈萨克自治州塔城地区公安局</w:t>
      </w:r>
    </w:p>
    <w:p>
      <w:pPr>
        <w:widowControl/>
        <w:adjustRightInd w:val="0"/>
        <w:snapToGrid w:val="0"/>
        <w:spacing w:line="360" w:lineRule="auto"/>
        <w:jc w:val="left"/>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rPr>
        <w:t>联系人：</w:t>
      </w:r>
      <w:r>
        <w:rPr>
          <w:rFonts w:hint="eastAsia" w:ascii="宋体" w:hAnsi="宋体" w:cs="宋体"/>
          <w:color w:val="auto"/>
          <w:kern w:val="0"/>
          <w:sz w:val="24"/>
          <w:szCs w:val="24"/>
          <w:lang w:val="en-US" w:eastAsia="zh-CN"/>
        </w:rPr>
        <w:t>梁警官</w:t>
      </w:r>
    </w:p>
    <w:p>
      <w:pPr>
        <w:widowControl/>
        <w:adjustRightInd w:val="0"/>
        <w:snapToGri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联系电话：</w:t>
      </w:r>
      <w:r>
        <w:rPr>
          <w:rFonts w:hint="eastAsia" w:ascii="宋体" w:hAnsi="宋体" w:cs="宋体"/>
          <w:color w:val="auto"/>
          <w:kern w:val="0"/>
          <w:sz w:val="24"/>
          <w:szCs w:val="24"/>
          <w:lang w:val="en-US" w:eastAsia="zh-CN"/>
        </w:rPr>
        <w:t>18690128060</w:t>
      </w:r>
    </w:p>
    <w:p>
      <w:pPr>
        <w:widowControl/>
        <w:adjustRightInd w:val="0"/>
        <w:snapToGri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2、采购代理机构名称：新疆兴立众工程咨询有限责任公司 </w:t>
      </w:r>
    </w:p>
    <w:p>
      <w:pPr>
        <w:widowControl/>
        <w:adjustRightInd w:val="0"/>
        <w:snapToGri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联系人：石磊、朱茜、马涛</w:t>
      </w:r>
    </w:p>
    <w:p>
      <w:pPr>
        <w:widowControl/>
        <w:adjustRightInd w:val="0"/>
        <w:snapToGri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联系电话：</w:t>
      </w:r>
      <w:r>
        <w:rPr>
          <w:rFonts w:hint="eastAsia" w:ascii="宋体" w:hAnsi="宋体" w:cs="宋体"/>
          <w:color w:val="auto"/>
          <w:kern w:val="0"/>
          <w:sz w:val="24"/>
          <w:szCs w:val="24"/>
          <w:lang w:val="en-US" w:eastAsia="zh-CN"/>
        </w:rPr>
        <w:t xml:space="preserve">13899984798  </w:t>
      </w:r>
      <w:r>
        <w:rPr>
          <w:rFonts w:hint="eastAsia" w:ascii="宋体" w:hAnsi="宋体" w:cs="宋体"/>
          <w:color w:val="auto"/>
          <w:kern w:val="0"/>
          <w:sz w:val="24"/>
          <w:szCs w:val="24"/>
        </w:rPr>
        <w:t>0991-8869393</w:t>
      </w:r>
    </w:p>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地址：乌鲁木齐红山路16号时代广场D座23楼O室 </w:t>
      </w:r>
    </w:p>
    <w:p>
      <w:pPr>
        <w:widowControl/>
        <w:spacing w:line="400" w:lineRule="exact"/>
        <w:jc w:val="center"/>
        <w:rPr>
          <w:rStyle w:val="42"/>
          <w:rFonts w:hint="eastAsia" w:ascii="宋体" w:hAnsi="宋体" w:cs="宋体"/>
          <w:color w:val="auto"/>
        </w:rPr>
      </w:pPr>
    </w:p>
    <w:p>
      <w:pPr>
        <w:widowControl/>
        <w:spacing w:line="400" w:lineRule="exact"/>
        <w:jc w:val="center"/>
        <w:rPr>
          <w:rStyle w:val="42"/>
          <w:rFonts w:hint="eastAsia" w:ascii="宋体" w:hAnsi="宋体" w:cs="宋体"/>
          <w:color w:val="auto"/>
        </w:rPr>
      </w:pPr>
    </w:p>
    <w:p>
      <w:pPr>
        <w:widowControl/>
        <w:spacing w:line="400" w:lineRule="exact"/>
        <w:jc w:val="center"/>
        <w:rPr>
          <w:rFonts w:ascii="宋体" w:hAnsi="宋体" w:cs="宋体"/>
          <w:b/>
          <w:bCs/>
          <w:color w:val="auto"/>
          <w:sz w:val="36"/>
        </w:rPr>
      </w:pPr>
      <w:r>
        <w:rPr>
          <w:rStyle w:val="42"/>
          <w:rFonts w:hint="eastAsia" w:ascii="宋体" w:hAnsi="宋体" w:cs="宋体"/>
          <w:color w:val="auto"/>
        </w:rPr>
        <w:t>第二部分  供应商须知</w:t>
      </w:r>
      <w:bookmarkEnd w:id="3"/>
    </w:p>
    <w:p>
      <w:pPr>
        <w:jc w:val="center"/>
        <w:rPr>
          <w:rFonts w:ascii="宋体" w:hAnsi="宋体" w:cs="宋体"/>
          <w:b/>
          <w:bCs/>
          <w:color w:val="auto"/>
          <w:sz w:val="28"/>
          <w:szCs w:val="28"/>
        </w:rPr>
      </w:pPr>
      <w:bookmarkStart w:id="4" w:name="EBffab4e229c294506b82ba390aef19cb7"/>
      <w:bookmarkEnd w:id="4"/>
      <w:bookmarkStart w:id="5" w:name="EB30be2cd937ea416b86595e1f810ebc36"/>
      <w:bookmarkEnd w:id="5"/>
      <w:r>
        <w:rPr>
          <w:rFonts w:hint="eastAsia" w:ascii="宋体" w:hAnsi="宋体" w:cs="宋体"/>
          <w:b/>
          <w:bCs/>
          <w:color w:val="auto"/>
          <w:sz w:val="28"/>
          <w:szCs w:val="28"/>
        </w:rPr>
        <w:t>（一）、供应商须知前附表</w:t>
      </w:r>
    </w:p>
    <w:tbl>
      <w:tblPr>
        <w:tblStyle w:val="34"/>
        <w:tblW w:w="9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97"/>
        <w:gridCol w:w="1206"/>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adjustRightInd w:val="0"/>
              <w:snapToGrid w:val="0"/>
              <w:spacing w:line="240" w:lineRule="auto"/>
              <w:jc w:val="center"/>
              <w:rPr>
                <w:rFonts w:ascii="宋体" w:hAnsi="宋体" w:cs="宋体"/>
                <w:color w:val="auto"/>
                <w:kern w:val="0"/>
                <w:sz w:val="24"/>
                <w:szCs w:val="24"/>
              </w:rPr>
            </w:pPr>
            <w:r>
              <w:rPr>
                <w:rFonts w:hint="eastAsia" w:ascii="宋体" w:hAnsi="宋体" w:cs="宋体"/>
                <w:color w:val="auto"/>
                <w:kern w:val="0"/>
                <w:sz w:val="24"/>
                <w:szCs w:val="24"/>
              </w:rPr>
              <w:t>序号</w:t>
            </w:r>
          </w:p>
        </w:tc>
        <w:tc>
          <w:tcPr>
            <w:tcW w:w="2403" w:type="dxa"/>
            <w:gridSpan w:val="2"/>
            <w:vAlign w:val="center"/>
          </w:tcPr>
          <w:p>
            <w:pPr>
              <w:adjustRightInd w:val="0"/>
              <w:snapToGrid w:val="0"/>
              <w:spacing w:line="240" w:lineRule="auto"/>
              <w:jc w:val="center"/>
              <w:rPr>
                <w:rFonts w:ascii="宋体" w:hAnsi="宋体" w:cs="宋体"/>
                <w:color w:val="auto"/>
                <w:kern w:val="0"/>
                <w:sz w:val="24"/>
                <w:szCs w:val="24"/>
              </w:rPr>
            </w:pPr>
            <w:r>
              <w:rPr>
                <w:rFonts w:hint="eastAsia" w:ascii="宋体" w:hAnsi="宋体" w:cs="宋体"/>
                <w:color w:val="auto"/>
                <w:kern w:val="0"/>
                <w:sz w:val="24"/>
                <w:szCs w:val="24"/>
              </w:rPr>
              <w:t>内容</w:t>
            </w:r>
          </w:p>
        </w:tc>
        <w:tc>
          <w:tcPr>
            <w:tcW w:w="6234" w:type="dxa"/>
            <w:vAlign w:val="center"/>
          </w:tcPr>
          <w:p>
            <w:pPr>
              <w:pStyle w:val="167"/>
              <w:keepNext w:val="0"/>
              <w:keepLines w:val="0"/>
              <w:numPr>
                <w:ilvl w:val="0"/>
                <w:numId w:val="0"/>
              </w:numPr>
              <w:snapToGrid w:val="0"/>
              <w:spacing w:before="0" w:after="0" w:line="240" w:lineRule="auto"/>
              <w:jc w:val="center"/>
              <w:rPr>
                <w:rFonts w:ascii="宋体" w:hAnsi="宋体" w:eastAsia="宋体"/>
                <w:b w:val="0"/>
                <w:bCs w:val="0"/>
                <w:color w:val="auto"/>
                <w:sz w:val="24"/>
                <w:szCs w:val="24"/>
              </w:rPr>
            </w:pPr>
            <w:r>
              <w:rPr>
                <w:rFonts w:hint="eastAsia" w:ascii="宋体" w:hAnsi="宋体" w:eastAsia="宋体"/>
                <w:b w:val="0"/>
                <w:bCs w:val="0"/>
                <w:color w:val="auto"/>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adjustRightInd w:val="0"/>
              <w:snapToGrid w:val="0"/>
              <w:spacing w:line="240" w:lineRule="auto"/>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2403" w:type="dxa"/>
            <w:gridSpan w:val="2"/>
            <w:vAlign w:val="center"/>
          </w:tcPr>
          <w:p>
            <w:pPr>
              <w:pStyle w:val="167"/>
              <w:keepNext w:val="0"/>
              <w:keepLines w:val="0"/>
              <w:numPr>
                <w:ilvl w:val="0"/>
                <w:numId w:val="0"/>
              </w:numPr>
              <w:snapToGrid w:val="0"/>
              <w:spacing w:before="0" w:after="0" w:line="240" w:lineRule="auto"/>
              <w:jc w:val="center"/>
              <w:rPr>
                <w:rFonts w:ascii="宋体" w:hAnsi="宋体" w:eastAsia="宋体"/>
                <w:b w:val="0"/>
                <w:bCs w:val="0"/>
                <w:color w:val="auto"/>
                <w:sz w:val="24"/>
                <w:szCs w:val="24"/>
              </w:rPr>
            </w:pPr>
            <w:r>
              <w:rPr>
                <w:rFonts w:hint="eastAsia" w:ascii="宋体" w:hAnsi="宋体" w:eastAsia="宋体"/>
                <w:b w:val="0"/>
                <w:bCs w:val="0"/>
                <w:color w:val="auto"/>
                <w:sz w:val="24"/>
                <w:szCs w:val="24"/>
              </w:rPr>
              <w:t>项目名称</w:t>
            </w:r>
          </w:p>
        </w:tc>
        <w:tc>
          <w:tcPr>
            <w:tcW w:w="6234" w:type="dxa"/>
            <w:vAlign w:val="center"/>
          </w:tcPr>
          <w:p>
            <w:pPr>
              <w:widowControl/>
              <w:adjustRightInd w:val="0"/>
              <w:snapToGrid w:val="0"/>
              <w:spacing w:before="100" w:beforeAutospacing="1" w:after="100" w:afterAutospacing="1" w:line="240" w:lineRule="auto"/>
              <w:outlineLvl w:val="0"/>
              <w:rPr>
                <w:rStyle w:val="37"/>
                <w:rFonts w:hint="eastAsia" w:ascii="宋体" w:hAnsi="宋体" w:eastAsia="宋体" w:cs="宋体"/>
                <w:b w:val="0"/>
                <w:color w:val="auto"/>
                <w:sz w:val="24"/>
                <w:szCs w:val="24"/>
                <w:lang w:eastAsia="zh-CN"/>
              </w:rPr>
            </w:pPr>
            <w:r>
              <w:rPr>
                <w:rFonts w:hint="eastAsia" w:ascii="宋体" w:hAnsi="宋体" w:cs="宋体"/>
                <w:color w:val="auto"/>
                <w:kern w:val="36"/>
                <w:sz w:val="24"/>
                <w:szCs w:val="24"/>
                <w:lang w:eastAsia="zh-CN"/>
              </w:rPr>
              <w:t>指挥系统大屏建设监理服务项目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adjustRightInd w:val="0"/>
              <w:snapToGrid w:val="0"/>
              <w:spacing w:line="240" w:lineRule="auto"/>
              <w:jc w:val="center"/>
              <w:rPr>
                <w:rFonts w:ascii="宋体" w:hAnsi="宋体" w:cs="宋体"/>
                <w:color w:val="auto"/>
                <w:kern w:val="0"/>
                <w:sz w:val="24"/>
                <w:szCs w:val="24"/>
              </w:rPr>
            </w:pPr>
            <w:r>
              <w:rPr>
                <w:rFonts w:hint="eastAsia" w:ascii="宋体" w:hAnsi="宋体" w:cs="宋体"/>
                <w:color w:val="auto"/>
                <w:kern w:val="0"/>
                <w:sz w:val="24"/>
                <w:szCs w:val="24"/>
              </w:rPr>
              <w:t>2</w:t>
            </w:r>
          </w:p>
        </w:tc>
        <w:tc>
          <w:tcPr>
            <w:tcW w:w="2403" w:type="dxa"/>
            <w:gridSpan w:val="2"/>
            <w:vAlign w:val="center"/>
          </w:tcPr>
          <w:p>
            <w:pPr>
              <w:pStyle w:val="167"/>
              <w:keepNext w:val="0"/>
              <w:keepLines w:val="0"/>
              <w:numPr>
                <w:ilvl w:val="0"/>
                <w:numId w:val="0"/>
              </w:numPr>
              <w:snapToGrid w:val="0"/>
              <w:spacing w:before="0" w:after="0" w:line="240" w:lineRule="auto"/>
              <w:jc w:val="center"/>
              <w:rPr>
                <w:rFonts w:ascii="宋体" w:hAnsi="宋体" w:eastAsia="宋体"/>
                <w:b w:val="0"/>
                <w:bCs w:val="0"/>
                <w:color w:val="auto"/>
                <w:sz w:val="24"/>
                <w:szCs w:val="24"/>
              </w:rPr>
            </w:pPr>
            <w:r>
              <w:rPr>
                <w:rFonts w:hint="eastAsia" w:ascii="宋体" w:hAnsi="宋体" w:eastAsia="宋体"/>
                <w:b w:val="0"/>
                <w:bCs w:val="0"/>
                <w:color w:val="auto"/>
                <w:sz w:val="24"/>
                <w:szCs w:val="24"/>
              </w:rPr>
              <w:t>采购人</w:t>
            </w:r>
          </w:p>
        </w:tc>
        <w:tc>
          <w:tcPr>
            <w:tcW w:w="6234" w:type="dxa"/>
            <w:vAlign w:val="center"/>
          </w:tcPr>
          <w:p>
            <w:pPr>
              <w:adjustRightInd w:val="0"/>
              <w:snapToGrid w:val="0"/>
              <w:spacing w:line="240" w:lineRule="auto"/>
              <w:rPr>
                <w:rStyle w:val="37"/>
                <w:rFonts w:hint="eastAsia" w:ascii="宋体" w:hAnsi="宋体" w:eastAsia="宋体" w:cs="宋体"/>
                <w:b w:val="0"/>
                <w:color w:val="auto"/>
                <w:sz w:val="24"/>
                <w:szCs w:val="24"/>
                <w:lang w:eastAsia="zh-CN"/>
              </w:rPr>
            </w:pPr>
            <w:r>
              <w:rPr>
                <w:rStyle w:val="37"/>
                <w:rFonts w:hint="eastAsia" w:ascii="宋体" w:hAnsi="宋体" w:cs="宋体"/>
                <w:b w:val="0"/>
                <w:color w:val="auto"/>
                <w:sz w:val="24"/>
                <w:szCs w:val="24"/>
              </w:rPr>
              <w:t>名    称：</w:t>
            </w:r>
            <w:r>
              <w:rPr>
                <w:rStyle w:val="37"/>
                <w:rFonts w:hint="eastAsia" w:ascii="宋体" w:hAnsi="宋体" w:cs="宋体"/>
                <w:b w:val="0"/>
                <w:color w:val="auto"/>
                <w:sz w:val="24"/>
                <w:szCs w:val="24"/>
                <w:lang w:eastAsia="zh-CN"/>
              </w:rPr>
              <w:t>伊犁哈萨克自治州塔城地区公安局</w:t>
            </w:r>
          </w:p>
          <w:p>
            <w:pPr>
              <w:adjustRightInd w:val="0"/>
              <w:snapToGrid w:val="0"/>
              <w:spacing w:line="240" w:lineRule="auto"/>
              <w:rPr>
                <w:rStyle w:val="37"/>
                <w:rFonts w:hint="eastAsia" w:ascii="宋体" w:hAnsi="宋体" w:eastAsia="宋体" w:cs="宋体"/>
                <w:b w:val="0"/>
                <w:color w:val="auto"/>
                <w:sz w:val="24"/>
                <w:szCs w:val="24"/>
                <w:lang w:val="en-US" w:eastAsia="zh-CN"/>
              </w:rPr>
            </w:pPr>
            <w:r>
              <w:rPr>
                <w:rStyle w:val="37"/>
                <w:rFonts w:hint="eastAsia" w:ascii="宋体" w:hAnsi="宋体" w:cs="宋体"/>
                <w:b w:val="0"/>
                <w:color w:val="auto"/>
                <w:sz w:val="24"/>
                <w:szCs w:val="24"/>
              </w:rPr>
              <w:t>联 系 人：</w:t>
            </w:r>
            <w:bookmarkStart w:id="6" w:name="EBdc46765b8496439baac9487bf5cb2605"/>
            <w:bookmarkEnd w:id="6"/>
            <w:r>
              <w:rPr>
                <w:rStyle w:val="37"/>
                <w:rFonts w:hint="eastAsia" w:ascii="宋体" w:hAnsi="宋体" w:cs="宋体"/>
                <w:b w:val="0"/>
                <w:color w:val="auto"/>
                <w:sz w:val="24"/>
                <w:szCs w:val="24"/>
                <w:lang w:val="en-US" w:eastAsia="zh-CN"/>
              </w:rPr>
              <w:t>梁警官</w:t>
            </w:r>
          </w:p>
          <w:p>
            <w:pPr>
              <w:adjustRightInd w:val="0"/>
              <w:snapToGrid w:val="0"/>
              <w:spacing w:line="240" w:lineRule="auto"/>
              <w:rPr>
                <w:rStyle w:val="37"/>
                <w:rFonts w:ascii="宋体" w:hAnsi="宋体" w:cs="宋体"/>
                <w:b w:val="0"/>
                <w:color w:val="auto"/>
                <w:sz w:val="24"/>
                <w:szCs w:val="24"/>
              </w:rPr>
            </w:pPr>
            <w:r>
              <w:rPr>
                <w:rStyle w:val="37"/>
                <w:rFonts w:hint="eastAsia" w:ascii="宋体" w:hAnsi="宋体" w:cs="宋体"/>
                <w:b w:val="0"/>
                <w:color w:val="auto"/>
                <w:sz w:val="24"/>
                <w:szCs w:val="24"/>
              </w:rPr>
              <w:t>联系电话：</w:t>
            </w:r>
            <w:bookmarkStart w:id="7" w:name="EBb02062c7f213427390e93f40bb6fd07d"/>
            <w:bookmarkEnd w:id="7"/>
            <w:r>
              <w:rPr>
                <w:rStyle w:val="37"/>
                <w:rFonts w:hint="eastAsia" w:ascii="宋体" w:hAnsi="宋体" w:cs="宋体"/>
                <w:b w:val="0"/>
                <w:color w:val="auto"/>
                <w:sz w:val="24"/>
                <w:szCs w:val="24"/>
                <w:lang w:val="en-US" w:eastAsia="zh-CN"/>
              </w:rPr>
              <w:t>18690128060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adjustRightInd w:val="0"/>
              <w:snapToGrid w:val="0"/>
              <w:spacing w:line="240" w:lineRule="auto"/>
              <w:jc w:val="center"/>
              <w:rPr>
                <w:rFonts w:ascii="宋体" w:hAnsi="宋体" w:cs="宋体"/>
                <w:color w:val="auto"/>
                <w:kern w:val="0"/>
                <w:sz w:val="24"/>
                <w:szCs w:val="24"/>
              </w:rPr>
            </w:pPr>
            <w:r>
              <w:rPr>
                <w:rFonts w:hint="eastAsia" w:ascii="宋体" w:hAnsi="宋体" w:cs="宋体"/>
                <w:color w:val="auto"/>
                <w:kern w:val="0"/>
                <w:sz w:val="24"/>
                <w:szCs w:val="24"/>
              </w:rPr>
              <w:t>3</w:t>
            </w:r>
          </w:p>
        </w:tc>
        <w:tc>
          <w:tcPr>
            <w:tcW w:w="2403" w:type="dxa"/>
            <w:gridSpan w:val="2"/>
            <w:vAlign w:val="center"/>
          </w:tcPr>
          <w:p>
            <w:pPr>
              <w:adjustRightInd w:val="0"/>
              <w:snapToGrid w:val="0"/>
              <w:spacing w:line="240" w:lineRule="auto"/>
              <w:jc w:val="center"/>
              <w:rPr>
                <w:rFonts w:ascii="宋体" w:hAnsi="宋体" w:cs="宋体"/>
                <w:color w:val="auto"/>
                <w:kern w:val="0"/>
                <w:sz w:val="24"/>
                <w:szCs w:val="24"/>
              </w:rPr>
            </w:pPr>
            <w:r>
              <w:rPr>
                <w:rFonts w:hint="eastAsia" w:ascii="宋体" w:hAnsi="宋体" w:cs="宋体"/>
                <w:color w:val="auto"/>
                <w:kern w:val="0"/>
                <w:sz w:val="24"/>
                <w:szCs w:val="24"/>
              </w:rPr>
              <w:t>采购代理机构</w:t>
            </w:r>
          </w:p>
        </w:tc>
        <w:tc>
          <w:tcPr>
            <w:tcW w:w="6234" w:type="dxa"/>
            <w:vAlign w:val="center"/>
          </w:tcPr>
          <w:p>
            <w:pPr>
              <w:adjustRightInd w:val="0"/>
              <w:snapToGrid w:val="0"/>
              <w:spacing w:line="240" w:lineRule="auto"/>
              <w:rPr>
                <w:rFonts w:ascii="宋体" w:hAnsi="宋体" w:cs="宋体"/>
                <w:color w:val="auto"/>
                <w:sz w:val="24"/>
                <w:szCs w:val="24"/>
              </w:rPr>
            </w:pPr>
            <w:r>
              <w:rPr>
                <w:rFonts w:hint="eastAsia" w:ascii="宋体" w:hAnsi="宋体" w:cs="宋体"/>
                <w:color w:val="auto"/>
                <w:sz w:val="24"/>
                <w:szCs w:val="24"/>
              </w:rPr>
              <w:t>名    称：新疆兴立众工程咨询有限责任公司</w:t>
            </w:r>
          </w:p>
          <w:p>
            <w:pPr>
              <w:adjustRightInd w:val="0"/>
              <w:snapToGrid w:val="0"/>
              <w:spacing w:line="240" w:lineRule="auto"/>
              <w:rPr>
                <w:rFonts w:ascii="宋体" w:hAnsi="宋体" w:cs="宋体"/>
                <w:color w:val="auto"/>
                <w:sz w:val="24"/>
                <w:szCs w:val="24"/>
              </w:rPr>
            </w:pPr>
            <w:r>
              <w:rPr>
                <w:rFonts w:hint="eastAsia" w:ascii="宋体" w:hAnsi="宋体" w:cs="宋体"/>
                <w:color w:val="auto"/>
                <w:sz w:val="24"/>
                <w:szCs w:val="24"/>
              </w:rPr>
              <w:t>地    址：</w:t>
            </w:r>
            <w:bookmarkStart w:id="8" w:name="EB96431d05b45b454b8fe7d4524fc167a3"/>
            <w:bookmarkEnd w:id="8"/>
            <w:r>
              <w:rPr>
                <w:rFonts w:hint="eastAsia" w:ascii="宋体" w:hAnsi="宋体" w:cs="宋体"/>
                <w:color w:val="auto"/>
                <w:sz w:val="24"/>
                <w:szCs w:val="24"/>
              </w:rPr>
              <w:t>乌鲁木齐红山路16号时代广场D座23楼O室</w:t>
            </w:r>
          </w:p>
          <w:p>
            <w:pPr>
              <w:adjustRightInd w:val="0"/>
              <w:snapToGrid w:val="0"/>
              <w:spacing w:line="240" w:lineRule="auto"/>
              <w:rPr>
                <w:rFonts w:ascii="宋体" w:hAnsi="宋体" w:cs="宋体"/>
                <w:color w:val="auto"/>
                <w:sz w:val="24"/>
                <w:szCs w:val="24"/>
              </w:rPr>
            </w:pPr>
            <w:r>
              <w:rPr>
                <w:rFonts w:hint="eastAsia" w:ascii="宋体" w:hAnsi="宋体" w:cs="宋体"/>
                <w:color w:val="auto"/>
                <w:sz w:val="24"/>
                <w:szCs w:val="24"/>
              </w:rPr>
              <w:t>联 系 人：</w:t>
            </w:r>
            <w:bookmarkStart w:id="9" w:name="EB8a126f2415034440b3de4e030b75a537"/>
            <w:bookmarkEnd w:id="9"/>
            <w:r>
              <w:rPr>
                <w:rFonts w:hint="eastAsia" w:ascii="宋体" w:hAnsi="宋体" w:cs="宋体"/>
                <w:color w:val="auto"/>
                <w:sz w:val="24"/>
                <w:szCs w:val="24"/>
              </w:rPr>
              <w:t>石磊、朱茜、马涛</w:t>
            </w:r>
          </w:p>
          <w:p>
            <w:pPr>
              <w:adjustRightInd w:val="0"/>
              <w:snapToGrid w:val="0"/>
              <w:spacing w:line="240" w:lineRule="auto"/>
              <w:rPr>
                <w:rFonts w:ascii="宋体" w:hAnsi="宋体" w:cs="宋体"/>
                <w:color w:val="auto"/>
                <w:sz w:val="24"/>
                <w:szCs w:val="24"/>
              </w:rPr>
            </w:pPr>
            <w:r>
              <w:rPr>
                <w:rFonts w:hint="eastAsia" w:ascii="宋体" w:hAnsi="宋体" w:cs="宋体"/>
                <w:color w:val="auto"/>
                <w:sz w:val="24"/>
                <w:szCs w:val="24"/>
              </w:rPr>
              <w:t>联系电话：</w:t>
            </w:r>
            <w:bookmarkStart w:id="10" w:name="EBe3286ac41586486c9a2046d66d6a6c82"/>
            <w:bookmarkEnd w:id="10"/>
            <w:r>
              <w:rPr>
                <w:rFonts w:hint="eastAsia" w:ascii="宋体" w:hAnsi="宋体" w:cs="宋体"/>
                <w:color w:val="auto"/>
                <w:sz w:val="24"/>
                <w:szCs w:val="24"/>
                <w:lang w:val="en-US" w:eastAsia="zh-CN"/>
              </w:rPr>
              <w:t xml:space="preserve">13899984798  </w:t>
            </w:r>
            <w:r>
              <w:rPr>
                <w:rFonts w:hint="eastAsia" w:ascii="宋体" w:hAnsi="宋体" w:cs="宋体"/>
                <w:color w:val="auto"/>
                <w:sz w:val="24"/>
                <w:szCs w:val="24"/>
              </w:rPr>
              <w:t>0991-8869393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adjustRightInd w:val="0"/>
              <w:snapToGrid w:val="0"/>
              <w:spacing w:line="240" w:lineRule="auto"/>
              <w:jc w:val="center"/>
              <w:rPr>
                <w:rFonts w:ascii="宋体" w:hAnsi="宋体" w:cs="宋体"/>
                <w:color w:val="auto"/>
                <w:kern w:val="0"/>
                <w:sz w:val="24"/>
                <w:szCs w:val="24"/>
              </w:rPr>
            </w:pPr>
            <w:r>
              <w:rPr>
                <w:rFonts w:hint="eastAsia" w:ascii="宋体" w:hAnsi="宋体" w:cs="宋体"/>
                <w:color w:val="auto"/>
                <w:kern w:val="0"/>
                <w:sz w:val="24"/>
                <w:szCs w:val="24"/>
              </w:rPr>
              <w:t>4</w:t>
            </w:r>
          </w:p>
        </w:tc>
        <w:tc>
          <w:tcPr>
            <w:tcW w:w="2403" w:type="dxa"/>
            <w:gridSpan w:val="2"/>
            <w:vAlign w:val="center"/>
          </w:tcPr>
          <w:p>
            <w:pPr>
              <w:adjustRightInd w:val="0"/>
              <w:snapToGrid w:val="0"/>
              <w:spacing w:line="240" w:lineRule="auto"/>
              <w:jc w:val="center"/>
              <w:rPr>
                <w:rFonts w:ascii="宋体" w:hAnsi="宋体" w:cs="宋体"/>
                <w:color w:val="auto"/>
                <w:sz w:val="24"/>
                <w:szCs w:val="24"/>
              </w:rPr>
            </w:pPr>
            <w:r>
              <w:rPr>
                <w:rFonts w:hint="eastAsia" w:ascii="宋体" w:hAnsi="宋体" w:cs="宋体"/>
                <w:color w:val="auto"/>
                <w:sz w:val="24"/>
                <w:szCs w:val="24"/>
              </w:rPr>
              <w:t>采购预算</w:t>
            </w:r>
          </w:p>
        </w:tc>
        <w:tc>
          <w:tcPr>
            <w:tcW w:w="6234" w:type="dxa"/>
            <w:vAlign w:val="center"/>
          </w:tcPr>
          <w:p>
            <w:pPr>
              <w:pStyle w:val="31"/>
              <w:widowControl/>
              <w:adjustRightInd w:val="0"/>
              <w:snapToGrid w:val="0"/>
              <w:spacing w:line="240" w:lineRule="auto"/>
              <w:rPr>
                <w:rFonts w:hint="eastAsia" w:ascii="宋体" w:hAnsi="宋体" w:eastAsia="宋体" w:cs="宋体"/>
                <w:color w:val="auto"/>
                <w:szCs w:val="24"/>
                <w:lang w:eastAsia="zh-CN"/>
              </w:rPr>
            </w:pPr>
            <w:r>
              <w:rPr>
                <w:rFonts w:hint="eastAsia" w:ascii="宋体" w:hAnsi="宋体" w:cs="宋体"/>
                <w:color w:val="auto"/>
                <w:szCs w:val="24"/>
                <w:lang w:val="en-US" w:eastAsia="zh-CN"/>
              </w:rPr>
              <w:t>10</w:t>
            </w:r>
            <w:r>
              <w:rPr>
                <w:rFonts w:hint="eastAsia" w:ascii="宋体" w:hAnsi="宋体" w:cs="宋体"/>
                <w:color w:val="auto"/>
                <w:szCs w:val="24"/>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adjustRightInd w:val="0"/>
              <w:snapToGrid w:val="0"/>
              <w:spacing w:line="240" w:lineRule="auto"/>
              <w:jc w:val="center"/>
              <w:rPr>
                <w:rFonts w:ascii="宋体" w:hAnsi="宋体" w:cs="宋体"/>
                <w:color w:val="auto"/>
                <w:kern w:val="0"/>
                <w:sz w:val="24"/>
                <w:szCs w:val="24"/>
              </w:rPr>
            </w:pPr>
            <w:r>
              <w:rPr>
                <w:rFonts w:hint="eastAsia" w:ascii="宋体" w:hAnsi="宋体" w:cs="宋体"/>
                <w:color w:val="auto"/>
                <w:kern w:val="0"/>
                <w:sz w:val="24"/>
                <w:szCs w:val="24"/>
              </w:rPr>
              <w:t>5</w:t>
            </w:r>
          </w:p>
        </w:tc>
        <w:tc>
          <w:tcPr>
            <w:tcW w:w="2403" w:type="dxa"/>
            <w:gridSpan w:val="2"/>
            <w:vAlign w:val="center"/>
          </w:tcPr>
          <w:p>
            <w:pPr>
              <w:adjustRightInd w:val="0"/>
              <w:snapToGrid w:val="0"/>
              <w:spacing w:line="240" w:lineRule="auto"/>
              <w:jc w:val="center"/>
              <w:rPr>
                <w:rFonts w:ascii="宋体" w:hAnsi="宋体" w:cs="宋体"/>
                <w:color w:val="auto"/>
                <w:kern w:val="0"/>
                <w:sz w:val="24"/>
                <w:szCs w:val="24"/>
              </w:rPr>
            </w:pPr>
            <w:r>
              <w:rPr>
                <w:rFonts w:hint="eastAsia" w:ascii="宋体" w:hAnsi="宋体" w:cs="宋体"/>
                <w:color w:val="auto"/>
                <w:kern w:val="0"/>
                <w:sz w:val="24"/>
                <w:szCs w:val="24"/>
              </w:rPr>
              <w:t>资金来源及落实情况</w:t>
            </w:r>
          </w:p>
        </w:tc>
        <w:tc>
          <w:tcPr>
            <w:tcW w:w="6234" w:type="dxa"/>
            <w:vAlign w:val="center"/>
          </w:tcPr>
          <w:p>
            <w:pPr>
              <w:adjustRightInd w:val="0"/>
              <w:snapToGrid w:val="0"/>
              <w:spacing w:line="240" w:lineRule="auto"/>
              <w:rPr>
                <w:rFonts w:ascii="宋体" w:hAnsi="宋体" w:cs="宋体"/>
                <w:color w:val="auto"/>
                <w:sz w:val="24"/>
                <w:szCs w:val="24"/>
              </w:rPr>
            </w:pPr>
            <w:r>
              <w:rPr>
                <w:rFonts w:hint="eastAsia" w:ascii="宋体" w:hAnsi="宋体" w:cs="宋体"/>
                <w:color w:val="auto"/>
                <w:sz w:val="24"/>
                <w:szCs w:val="24"/>
              </w:rPr>
              <w:t>资金来源：财政资金</w:t>
            </w:r>
          </w:p>
          <w:p>
            <w:pPr>
              <w:adjustRightInd w:val="0"/>
              <w:snapToGrid w:val="0"/>
              <w:spacing w:line="240" w:lineRule="auto"/>
              <w:rPr>
                <w:rFonts w:ascii="宋体" w:hAnsi="宋体" w:cs="宋体"/>
                <w:color w:val="auto"/>
              </w:rPr>
            </w:pPr>
            <w:r>
              <w:rPr>
                <w:rFonts w:hint="eastAsia" w:ascii="宋体" w:hAnsi="宋体" w:cs="宋体"/>
                <w:color w:val="auto"/>
                <w:sz w:val="24"/>
                <w:szCs w:val="24"/>
              </w:rPr>
              <w:t>落实情况：已落实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adjustRightInd w:val="0"/>
              <w:snapToGrid w:val="0"/>
              <w:spacing w:line="240" w:lineRule="auto"/>
              <w:jc w:val="center"/>
              <w:rPr>
                <w:rFonts w:ascii="宋体" w:hAnsi="宋体" w:cs="宋体"/>
                <w:color w:val="auto"/>
                <w:kern w:val="0"/>
                <w:sz w:val="24"/>
                <w:szCs w:val="24"/>
              </w:rPr>
            </w:pPr>
            <w:r>
              <w:rPr>
                <w:rFonts w:hint="eastAsia" w:ascii="宋体" w:hAnsi="宋体" w:cs="宋体"/>
                <w:color w:val="auto"/>
                <w:kern w:val="0"/>
                <w:sz w:val="24"/>
                <w:szCs w:val="24"/>
              </w:rPr>
              <w:t>6</w:t>
            </w:r>
          </w:p>
        </w:tc>
        <w:tc>
          <w:tcPr>
            <w:tcW w:w="2403" w:type="dxa"/>
            <w:gridSpan w:val="2"/>
            <w:vAlign w:val="center"/>
          </w:tcPr>
          <w:p>
            <w:pPr>
              <w:adjustRightInd w:val="0"/>
              <w:snapToGrid w:val="0"/>
              <w:spacing w:line="240" w:lineRule="auto"/>
              <w:jc w:val="center"/>
              <w:rPr>
                <w:rFonts w:ascii="宋体" w:hAnsi="宋体" w:cs="宋体"/>
                <w:color w:val="auto"/>
                <w:kern w:val="0"/>
                <w:sz w:val="24"/>
                <w:szCs w:val="24"/>
              </w:rPr>
            </w:pPr>
            <w:r>
              <w:rPr>
                <w:rFonts w:hint="eastAsia" w:ascii="宋体" w:hAnsi="宋体" w:cs="宋体"/>
                <w:color w:val="auto"/>
                <w:kern w:val="0"/>
                <w:sz w:val="24"/>
                <w:szCs w:val="24"/>
              </w:rPr>
              <w:t>采购内容</w:t>
            </w:r>
          </w:p>
        </w:tc>
        <w:tc>
          <w:tcPr>
            <w:tcW w:w="6234" w:type="dxa"/>
            <w:vAlign w:val="center"/>
          </w:tcPr>
          <w:p>
            <w:pPr>
              <w:adjustRightInd w:val="0"/>
              <w:snapToGrid w:val="0"/>
              <w:spacing w:line="240" w:lineRule="auto"/>
              <w:rPr>
                <w:rFonts w:hint="eastAsia" w:ascii="宋体" w:hAnsi="宋体" w:eastAsia="宋体" w:cs="宋体"/>
                <w:color w:val="auto"/>
                <w:sz w:val="24"/>
                <w:szCs w:val="24"/>
                <w:lang w:eastAsia="zh-CN"/>
              </w:rPr>
            </w:pPr>
            <w:r>
              <w:rPr>
                <w:rFonts w:hint="eastAsia" w:ascii="宋体" w:hAnsi="宋体" w:cs="宋体"/>
                <w:color w:val="auto"/>
                <w:sz w:val="24"/>
                <w:szCs w:val="24"/>
              </w:rPr>
              <w:t xml:space="preserve">详见招标文件第三部分 </w:t>
            </w:r>
            <w:r>
              <w:rPr>
                <w:rFonts w:hint="eastAsia" w:ascii="宋体" w:hAnsi="宋体" w:cs="宋体"/>
                <w:color w:val="auto"/>
                <w:sz w:val="24"/>
                <w:szCs w:val="24"/>
                <w:lang w:eastAsia="zh-CN"/>
              </w:rPr>
              <w:t>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adjustRightInd w:val="0"/>
              <w:snapToGrid w:val="0"/>
              <w:spacing w:line="240" w:lineRule="auto"/>
              <w:jc w:val="center"/>
              <w:rPr>
                <w:rFonts w:ascii="宋体" w:hAnsi="宋体" w:cs="宋体"/>
                <w:color w:val="auto"/>
                <w:kern w:val="0"/>
                <w:sz w:val="24"/>
                <w:szCs w:val="24"/>
              </w:rPr>
            </w:pPr>
            <w:r>
              <w:rPr>
                <w:rFonts w:hint="eastAsia" w:ascii="宋体" w:hAnsi="宋体" w:cs="宋体"/>
                <w:color w:val="auto"/>
                <w:kern w:val="0"/>
                <w:sz w:val="24"/>
                <w:szCs w:val="24"/>
              </w:rPr>
              <w:t>7</w:t>
            </w:r>
          </w:p>
        </w:tc>
        <w:tc>
          <w:tcPr>
            <w:tcW w:w="2403" w:type="dxa"/>
            <w:gridSpan w:val="2"/>
            <w:vAlign w:val="center"/>
          </w:tcPr>
          <w:p>
            <w:pPr>
              <w:adjustRightInd w:val="0"/>
              <w:snapToGrid w:val="0"/>
              <w:spacing w:line="240" w:lineRule="auto"/>
              <w:jc w:val="center"/>
              <w:rPr>
                <w:rFonts w:ascii="宋体" w:hAnsi="宋体" w:cs="宋体"/>
                <w:color w:val="auto"/>
                <w:kern w:val="0"/>
                <w:sz w:val="24"/>
                <w:szCs w:val="24"/>
              </w:rPr>
            </w:pPr>
            <w:r>
              <w:rPr>
                <w:rFonts w:hint="eastAsia" w:ascii="宋体" w:hAnsi="宋体" w:cs="宋体"/>
                <w:color w:val="auto"/>
                <w:kern w:val="0"/>
                <w:sz w:val="24"/>
                <w:szCs w:val="24"/>
              </w:rPr>
              <w:t>供应商资格要求</w:t>
            </w:r>
          </w:p>
        </w:tc>
        <w:tc>
          <w:tcPr>
            <w:tcW w:w="6234" w:type="dxa"/>
            <w:vAlign w:val="center"/>
          </w:tcPr>
          <w:p>
            <w:pPr>
              <w:adjustRightInd w:val="0"/>
              <w:snapToGrid w:val="0"/>
              <w:spacing w:line="240" w:lineRule="auto"/>
              <w:rPr>
                <w:rFonts w:hint="eastAsia" w:ascii="宋体" w:hAnsi="宋体" w:cs="宋体"/>
                <w:color w:val="auto"/>
                <w:sz w:val="24"/>
                <w:szCs w:val="24"/>
              </w:rPr>
            </w:pPr>
            <w:bookmarkStart w:id="11" w:name="EB7907836f74a6455bb75d2ff8b438afad"/>
            <w:bookmarkEnd w:id="11"/>
            <w:r>
              <w:rPr>
                <w:rFonts w:hint="eastAsia" w:ascii="宋体" w:hAnsi="宋体" w:cs="宋体"/>
                <w:color w:val="auto"/>
                <w:sz w:val="24"/>
                <w:szCs w:val="24"/>
              </w:rPr>
              <w:t>（1）符合《中华人民共和国政府采购法》第二十二条的规定；</w:t>
            </w:r>
          </w:p>
          <w:p>
            <w:pPr>
              <w:adjustRightInd w:val="0"/>
              <w:snapToGrid w:val="0"/>
              <w:spacing w:line="240" w:lineRule="auto"/>
              <w:rPr>
                <w:rFonts w:hint="eastAsia" w:ascii="宋体" w:hAnsi="宋体" w:cs="宋体"/>
                <w:color w:val="auto"/>
                <w:sz w:val="24"/>
                <w:szCs w:val="24"/>
              </w:rPr>
            </w:pPr>
            <w:r>
              <w:rPr>
                <w:rFonts w:hint="eastAsia" w:ascii="宋体" w:hAnsi="宋体" w:cs="宋体"/>
                <w:color w:val="auto"/>
                <w:sz w:val="24"/>
                <w:szCs w:val="24"/>
              </w:rPr>
              <w:t>（2）供应商具有合法有效的营业执照；</w:t>
            </w:r>
          </w:p>
          <w:p>
            <w:pPr>
              <w:adjustRightInd w:val="0"/>
              <w:snapToGrid w:val="0"/>
              <w:spacing w:line="240" w:lineRule="auto"/>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w:t>
            </w:r>
            <w:r>
              <w:rPr>
                <w:rFonts w:hint="eastAsia" w:ascii="宋体" w:hAnsi="宋体" w:cs="宋体"/>
                <w:color w:val="auto"/>
                <w:sz w:val="24"/>
                <w:szCs w:val="24"/>
                <w:lang w:val="en-US" w:eastAsia="zh-CN"/>
              </w:rPr>
              <w:t>供应商须具备住建部颁发的通信专业工程监理</w:t>
            </w:r>
            <w:r>
              <w:rPr>
                <w:rStyle w:val="37"/>
                <w:rFonts w:hint="eastAsia" w:asciiTheme="minorEastAsia" w:hAnsiTheme="minorEastAsia" w:eastAsiaTheme="minorEastAsia" w:cstheme="minorEastAsia"/>
                <w:b w:val="0"/>
                <w:bCs w:val="0"/>
                <w:color w:val="auto"/>
                <w:sz w:val="24"/>
                <w:szCs w:val="24"/>
                <w:highlight w:val="none"/>
                <w:lang w:val="en-US" w:eastAsia="zh-CN"/>
              </w:rPr>
              <w:t>乙级及以上</w:t>
            </w:r>
            <w:r>
              <w:rPr>
                <w:rFonts w:hint="eastAsia" w:ascii="宋体" w:hAnsi="宋体" w:cs="宋体"/>
                <w:color w:val="auto"/>
                <w:sz w:val="24"/>
                <w:szCs w:val="24"/>
                <w:lang w:val="en-US" w:eastAsia="zh-CN"/>
              </w:rPr>
              <w:t>资质或工程监理综合资质；</w:t>
            </w:r>
          </w:p>
          <w:p>
            <w:pPr>
              <w:adjustRightInd w:val="0"/>
              <w:snapToGrid w:val="0"/>
              <w:spacing w:line="240" w:lineRule="auto"/>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4</w:t>
            </w:r>
            <w:r>
              <w:rPr>
                <w:rFonts w:hint="eastAsia" w:ascii="宋体" w:hAnsi="宋体" w:cs="宋体"/>
                <w:color w:val="auto"/>
                <w:sz w:val="24"/>
                <w:szCs w:val="24"/>
              </w:rPr>
              <w:t>）供应商在“信用中国”网站（www.creditchina.gov.</w:t>
            </w:r>
          </w:p>
          <w:p>
            <w:pPr>
              <w:adjustRightInd w:val="0"/>
              <w:snapToGrid w:val="0"/>
              <w:spacing w:line="240" w:lineRule="auto"/>
              <w:rPr>
                <w:rFonts w:hint="eastAsia" w:ascii="宋体" w:hAnsi="宋体" w:cs="宋体"/>
                <w:color w:val="auto"/>
                <w:sz w:val="24"/>
                <w:szCs w:val="24"/>
              </w:rPr>
            </w:pPr>
            <w:r>
              <w:rPr>
                <w:rFonts w:hint="eastAsia" w:ascii="宋体" w:hAnsi="宋体" w:cs="宋体"/>
                <w:color w:val="auto"/>
                <w:sz w:val="24"/>
                <w:szCs w:val="24"/>
              </w:rPr>
              <w:t>cn）、“中国政府采购网”网站（www.ccgp.gov.cn）未被列入失信被执行人名单、重大税收违法案件当事人名单、政府采购严重违法失信行为记录名单（尚在处罚期内的）、经营异常名录，须提供证明材料（信用中国网 、中国政府采购网网页打印页）（网页打印件须自招标公告发布之日起至投标文件递交截止时间从上述网站中打印）；</w:t>
            </w:r>
          </w:p>
          <w:p>
            <w:pPr>
              <w:adjustRightInd w:val="0"/>
              <w:snapToGrid w:val="0"/>
              <w:spacing w:line="240" w:lineRule="auto"/>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5</w:t>
            </w:r>
            <w:r>
              <w:rPr>
                <w:rFonts w:hint="eastAsia" w:ascii="宋体" w:hAnsi="宋体" w:cs="宋体"/>
                <w:color w:val="auto"/>
                <w:sz w:val="24"/>
                <w:szCs w:val="24"/>
              </w:rPr>
              <w:t>）本采购项目不接受联合体投标；</w:t>
            </w:r>
          </w:p>
          <w:p>
            <w:pPr>
              <w:adjustRightInd w:val="0"/>
              <w:snapToGrid w:val="0"/>
              <w:spacing w:line="240" w:lineRule="auto"/>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6</w:t>
            </w:r>
            <w:r>
              <w:rPr>
                <w:rFonts w:hint="eastAsia" w:ascii="宋体" w:hAnsi="宋体" w:cs="宋体"/>
                <w:color w:val="auto"/>
                <w:sz w:val="24"/>
                <w:szCs w:val="24"/>
              </w:rPr>
              <w:t>）其他说明：</w:t>
            </w:r>
          </w:p>
          <w:p>
            <w:pPr>
              <w:adjustRightInd w:val="0"/>
              <w:snapToGrid w:val="0"/>
              <w:spacing w:line="240" w:lineRule="auto"/>
              <w:rPr>
                <w:rFonts w:hint="eastAsia" w:ascii="宋体" w:hAnsi="宋体" w:cs="宋体"/>
                <w:color w:val="auto"/>
                <w:sz w:val="24"/>
                <w:szCs w:val="24"/>
              </w:rPr>
            </w:pPr>
            <w:r>
              <w:rPr>
                <w:rFonts w:hint="eastAsia" w:ascii="宋体" w:hAnsi="宋体" w:cs="宋体"/>
                <w:color w:val="auto"/>
                <w:sz w:val="24"/>
                <w:szCs w:val="24"/>
              </w:rPr>
              <w:t>（a）与采购人存在利害关系可能影响采购公正性的法人、其他组织或者个人，不得参加投标。</w:t>
            </w:r>
          </w:p>
          <w:p>
            <w:pPr>
              <w:adjustRightInd w:val="0"/>
              <w:snapToGrid w:val="0"/>
              <w:spacing w:line="240" w:lineRule="auto"/>
              <w:rPr>
                <w:rFonts w:hint="eastAsia" w:ascii="宋体" w:hAnsi="宋体" w:cs="宋体"/>
                <w:color w:val="auto"/>
                <w:sz w:val="24"/>
                <w:szCs w:val="24"/>
              </w:rPr>
            </w:pPr>
            <w:r>
              <w:rPr>
                <w:rFonts w:hint="eastAsia" w:ascii="宋体" w:hAnsi="宋体" w:cs="宋体"/>
                <w:color w:val="auto"/>
                <w:sz w:val="24"/>
                <w:szCs w:val="24"/>
              </w:rPr>
              <w:t>（b）单位负责人为同一人或者存在控股、管理关系的不同单位，不得参加同一标段投标或者未划分标段的同一采购项目投标。违反前两款规定的，相关投标均无效。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adjustRightInd w:val="0"/>
              <w:snapToGrid w:val="0"/>
              <w:spacing w:line="240" w:lineRule="auto"/>
              <w:jc w:val="center"/>
              <w:rPr>
                <w:rFonts w:ascii="宋体" w:hAnsi="宋体" w:cs="宋体"/>
                <w:color w:val="auto"/>
                <w:kern w:val="0"/>
                <w:sz w:val="24"/>
                <w:szCs w:val="24"/>
              </w:rPr>
            </w:pPr>
            <w:r>
              <w:rPr>
                <w:rFonts w:hint="eastAsia" w:ascii="宋体" w:hAnsi="宋体" w:cs="宋体"/>
                <w:color w:val="auto"/>
                <w:kern w:val="0"/>
                <w:sz w:val="24"/>
                <w:szCs w:val="24"/>
              </w:rPr>
              <w:t>8</w:t>
            </w:r>
          </w:p>
        </w:tc>
        <w:tc>
          <w:tcPr>
            <w:tcW w:w="2403" w:type="dxa"/>
            <w:gridSpan w:val="2"/>
            <w:vAlign w:val="center"/>
          </w:tcPr>
          <w:p>
            <w:pPr>
              <w:adjustRightInd w:val="0"/>
              <w:snapToGrid w:val="0"/>
              <w:spacing w:line="240" w:lineRule="auto"/>
              <w:jc w:val="center"/>
              <w:rPr>
                <w:rFonts w:ascii="宋体" w:hAnsi="宋体" w:cs="宋体"/>
                <w:color w:val="auto"/>
                <w:kern w:val="0"/>
                <w:sz w:val="24"/>
                <w:szCs w:val="24"/>
              </w:rPr>
            </w:pPr>
            <w:r>
              <w:rPr>
                <w:rFonts w:hint="eastAsia" w:ascii="宋体" w:hAnsi="宋体" w:cs="宋体"/>
                <w:color w:val="auto"/>
                <w:sz w:val="24"/>
                <w:szCs w:val="24"/>
              </w:rPr>
              <w:t>是否允许联合体投标</w:t>
            </w:r>
          </w:p>
        </w:tc>
        <w:tc>
          <w:tcPr>
            <w:tcW w:w="6234" w:type="dxa"/>
            <w:vAlign w:val="center"/>
          </w:tcPr>
          <w:p>
            <w:pPr>
              <w:autoSpaceDE w:val="0"/>
              <w:autoSpaceDN w:val="0"/>
              <w:adjustRightInd w:val="0"/>
              <w:snapToGrid w:val="0"/>
              <w:spacing w:line="240" w:lineRule="auto"/>
              <w:rPr>
                <w:rFonts w:ascii="宋体" w:hAnsi="宋体" w:cs="宋体"/>
                <w:color w:val="auto"/>
                <w:kern w:val="0"/>
                <w:sz w:val="24"/>
                <w:szCs w:val="24"/>
              </w:rPr>
            </w:pPr>
            <w:r>
              <w:rPr>
                <w:rFonts w:hint="eastAsia" w:ascii="宋体" w:hAnsi="宋体" w:cs="宋体"/>
                <w:color w:val="auto"/>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adjustRightInd w:val="0"/>
              <w:snapToGrid w:val="0"/>
              <w:spacing w:line="240" w:lineRule="auto"/>
              <w:jc w:val="center"/>
              <w:rPr>
                <w:rFonts w:ascii="宋体" w:hAnsi="宋体" w:cs="宋体"/>
                <w:color w:val="auto"/>
                <w:kern w:val="0"/>
                <w:sz w:val="24"/>
                <w:szCs w:val="24"/>
              </w:rPr>
            </w:pPr>
            <w:r>
              <w:rPr>
                <w:rFonts w:hint="eastAsia" w:ascii="宋体" w:hAnsi="宋体" w:cs="宋体"/>
                <w:color w:val="auto"/>
                <w:kern w:val="0"/>
                <w:sz w:val="24"/>
                <w:szCs w:val="24"/>
              </w:rPr>
              <w:t>7</w:t>
            </w:r>
          </w:p>
        </w:tc>
        <w:tc>
          <w:tcPr>
            <w:tcW w:w="2403" w:type="dxa"/>
            <w:gridSpan w:val="2"/>
            <w:vAlign w:val="center"/>
          </w:tcPr>
          <w:p>
            <w:pPr>
              <w:adjustRightInd w:val="0"/>
              <w:snapToGrid w:val="0"/>
              <w:spacing w:line="240" w:lineRule="auto"/>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监理期限</w:t>
            </w:r>
          </w:p>
        </w:tc>
        <w:tc>
          <w:tcPr>
            <w:tcW w:w="6234" w:type="dxa"/>
            <w:vAlign w:val="center"/>
          </w:tcPr>
          <w:p>
            <w:pPr>
              <w:autoSpaceDE w:val="0"/>
              <w:autoSpaceDN w:val="0"/>
              <w:adjustRightInd w:val="0"/>
              <w:snapToGrid w:val="0"/>
              <w:spacing w:line="240" w:lineRule="auto"/>
              <w:rPr>
                <w:rFonts w:hint="default"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自合同签订之日起至项目验收合格后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adjustRightInd w:val="0"/>
              <w:snapToGrid w:val="0"/>
              <w:spacing w:line="240" w:lineRule="auto"/>
              <w:jc w:val="center"/>
              <w:rPr>
                <w:rFonts w:ascii="宋体" w:hAnsi="宋体" w:cs="宋体"/>
                <w:color w:val="auto"/>
                <w:kern w:val="0"/>
                <w:sz w:val="24"/>
                <w:szCs w:val="24"/>
              </w:rPr>
            </w:pPr>
            <w:r>
              <w:rPr>
                <w:rFonts w:hint="eastAsia" w:ascii="宋体" w:hAnsi="宋体" w:cs="宋体"/>
                <w:color w:val="auto"/>
                <w:kern w:val="0"/>
                <w:sz w:val="24"/>
                <w:szCs w:val="24"/>
              </w:rPr>
              <w:t>8</w:t>
            </w:r>
          </w:p>
        </w:tc>
        <w:tc>
          <w:tcPr>
            <w:tcW w:w="2403" w:type="dxa"/>
            <w:gridSpan w:val="2"/>
            <w:vAlign w:val="center"/>
          </w:tcPr>
          <w:p>
            <w:pPr>
              <w:adjustRightInd w:val="0"/>
              <w:snapToGrid w:val="0"/>
              <w:spacing w:line="240" w:lineRule="auto"/>
              <w:ind w:left="1592" w:hanging="1592"/>
              <w:jc w:val="center"/>
              <w:rPr>
                <w:rFonts w:ascii="宋体" w:hAnsi="宋体" w:cs="宋体"/>
                <w:color w:val="auto"/>
                <w:kern w:val="0"/>
                <w:sz w:val="24"/>
                <w:szCs w:val="24"/>
              </w:rPr>
            </w:pPr>
            <w:r>
              <w:rPr>
                <w:rFonts w:hint="eastAsia" w:ascii="宋体" w:hAnsi="宋体" w:cs="宋体"/>
                <w:color w:val="auto"/>
                <w:kern w:val="0"/>
                <w:sz w:val="24"/>
                <w:szCs w:val="24"/>
              </w:rPr>
              <w:t>质量标准</w:t>
            </w:r>
          </w:p>
        </w:tc>
        <w:tc>
          <w:tcPr>
            <w:tcW w:w="6234" w:type="dxa"/>
            <w:vAlign w:val="center"/>
          </w:tcPr>
          <w:p>
            <w:pPr>
              <w:adjustRightInd w:val="0"/>
              <w:snapToGrid w:val="0"/>
              <w:spacing w:line="240" w:lineRule="auto"/>
              <w:jc w:val="left"/>
              <w:rPr>
                <w:rFonts w:ascii="宋体" w:hAnsi="宋体" w:cs="宋体"/>
                <w:color w:val="auto"/>
                <w:sz w:val="24"/>
                <w:szCs w:val="24"/>
              </w:rPr>
            </w:pPr>
            <w:r>
              <w:rPr>
                <w:rFonts w:hint="eastAsia" w:ascii="宋体" w:hAnsi="宋体" w:cs="宋体"/>
                <w:color w:val="auto"/>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adjustRightInd w:val="0"/>
              <w:snapToGrid w:val="0"/>
              <w:spacing w:line="240" w:lineRule="auto"/>
              <w:jc w:val="center"/>
              <w:rPr>
                <w:rFonts w:ascii="宋体" w:hAnsi="宋体" w:cs="宋体"/>
                <w:color w:val="auto"/>
                <w:kern w:val="0"/>
                <w:sz w:val="24"/>
                <w:szCs w:val="24"/>
              </w:rPr>
            </w:pPr>
            <w:r>
              <w:rPr>
                <w:rFonts w:hint="eastAsia" w:ascii="宋体" w:hAnsi="宋体" w:cs="宋体"/>
                <w:color w:val="auto"/>
                <w:kern w:val="0"/>
                <w:sz w:val="24"/>
                <w:szCs w:val="24"/>
              </w:rPr>
              <w:t>9</w:t>
            </w:r>
          </w:p>
        </w:tc>
        <w:tc>
          <w:tcPr>
            <w:tcW w:w="2403" w:type="dxa"/>
            <w:gridSpan w:val="2"/>
            <w:vAlign w:val="center"/>
          </w:tcPr>
          <w:p>
            <w:pPr>
              <w:adjustRightInd w:val="0"/>
              <w:snapToGrid w:val="0"/>
              <w:spacing w:line="240" w:lineRule="auto"/>
              <w:ind w:left="1592" w:hanging="1592"/>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付款方式</w:t>
            </w:r>
          </w:p>
        </w:tc>
        <w:tc>
          <w:tcPr>
            <w:tcW w:w="6234" w:type="dxa"/>
            <w:vAlign w:val="center"/>
          </w:tcPr>
          <w:p>
            <w:pPr>
              <w:pStyle w:val="31"/>
              <w:widowControl/>
              <w:adjustRightInd w:val="0"/>
              <w:snapToGrid w:val="0"/>
              <w:spacing w:line="240" w:lineRule="auto"/>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按合同要求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adjustRightInd w:val="0"/>
              <w:snapToGrid w:val="0"/>
              <w:spacing w:line="240" w:lineRule="auto"/>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10</w:t>
            </w:r>
          </w:p>
        </w:tc>
        <w:tc>
          <w:tcPr>
            <w:tcW w:w="2403" w:type="dxa"/>
            <w:gridSpan w:val="2"/>
            <w:vAlign w:val="center"/>
          </w:tcPr>
          <w:p>
            <w:pPr>
              <w:adjustRightInd w:val="0"/>
              <w:snapToGrid w:val="0"/>
              <w:spacing w:line="240" w:lineRule="auto"/>
              <w:ind w:left="1592" w:hanging="1592"/>
              <w:jc w:val="center"/>
              <w:rPr>
                <w:rFonts w:ascii="宋体" w:hAnsi="宋体" w:cs="宋体"/>
                <w:color w:val="auto"/>
                <w:kern w:val="0"/>
                <w:sz w:val="24"/>
                <w:szCs w:val="24"/>
              </w:rPr>
            </w:pPr>
            <w:r>
              <w:rPr>
                <w:rFonts w:hint="eastAsia" w:ascii="宋体" w:hAnsi="宋体" w:cs="宋体"/>
                <w:color w:val="auto"/>
                <w:kern w:val="0"/>
                <w:sz w:val="24"/>
                <w:szCs w:val="24"/>
              </w:rPr>
              <w:t>履约保证金</w:t>
            </w:r>
          </w:p>
        </w:tc>
        <w:tc>
          <w:tcPr>
            <w:tcW w:w="6234" w:type="dxa"/>
            <w:vAlign w:val="center"/>
          </w:tcPr>
          <w:p>
            <w:pPr>
              <w:adjustRightInd w:val="0"/>
              <w:snapToGrid w:val="0"/>
              <w:spacing w:line="240" w:lineRule="auto"/>
              <w:rPr>
                <w:rFonts w:ascii="宋体" w:hAnsi="宋体" w:cs="宋体"/>
                <w:color w:val="auto"/>
                <w:kern w:val="0"/>
                <w:sz w:val="24"/>
                <w:szCs w:val="24"/>
              </w:rPr>
            </w:pPr>
            <w:r>
              <w:rPr>
                <w:rFonts w:hint="eastAsia" w:ascii="宋体" w:hAnsi="宋体" w:cs="宋体"/>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Merge w:val="restart"/>
            <w:vAlign w:val="center"/>
          </w:tcPr>
          <w:p>
            <w:pPr>
              <w:adjustRightInd w:val="0"/>
              <w:snapToGrid w:val="0"/>
              <w:spacing w:line="240" w:lineRule="auto"/>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11</w:t>
            </w:r>
          </w:p>
        </w:tc>
        <w:tc>
          <w:tcPr>
            <w:tcW w:w="1197" w:type="dxa"/>
            <w:vMerge w:val="restart"/>
            <w:vAlign w:val="center"/>
          </w:tcPr>
          <w:p>
            <w:pPr>
              <w:adjustRightInd w:val="0"/>
              <w:snapToGrid w:val="0"/>
              <w:spacing w:line="240" w:lineRule="auto"/>
              <w:jc w:val="center"/>
              <w:rPr>
                <w:rFonts w:ascii="宋体" w:hAnsi="宋体" w:cs="宋体"/>
                <w:color w:val="auto"/>
                <w:sz w:val="24"/>
                <w:szCs w:val="24"/>
              </w:rPr>
            </w:pPr>
            <w:r>
              <w:rPr>
                <w:rFonts w:hint="eastAsia" w:ascii="宋体" w:hAnsi="宋体" w:cs="宋体"/>
                <w:color w:val="auto"/>
                <w:sz w:val="24"/>
                <w:szCs w:val="24"/>
              </w:rPr>
              <w:t>投标文件组成部分</w:t>
            </w:r>
          </w:p>
        </w:tc>
        <w:tc>
          <w:tcPr>
            <w:tcW w:w="1206" w:type="dxa"/>
            <w:vAlign w:val="center"/>
          </w:tcPr>
          <w:p>
            <w:pPr>
              <w:adjustRightInd w:val="0"/>
              <w:snapToGrid w:val="0"/>
              <w:spacing w:line="240" w:lineRule="auto"/>
              <w:rPr>
                <w:rFonts w:ascii="宋体" w:hAnsi="宋体" w:cs="宋体"/>
                <w:color w:val="auto"/>
                <w:kern w:val="0"/>
                <w:sz w:val="24"/>
                <w:szCs w:val="24"/>
              </w:rPr>
            </w:pPr>
            <w:r>
              <w:rPr>
                <w:rFonts w:hint="eastAsia" w:ascii="宋体" w:hAnsi="宋体" w:cs="宋体"/>
                <w:color w:val="auto"/>
                <w:kern w:val="0"/>
                <w:sz w:val="24"/>
                <w:szCs w:val="24"/>
              </w:rPr>
              <w:t>封面</w:t>
            </w:r>
          </w:p>
        </w:tc>
        <w:tc>
          <w:tcPr>
            <w:tcW w:w="6234" w:type="dxa"/>
            <w:vAlign w:val="center"/>
          </w:tcPr>
          <w:p>
            <w:pPr>
              <w:adjustRightInd w:val="0"/>
              <w:snapToGrid w:val="0"/>
              <w:spacing w:line="240" w:lineRule="auto"/>
              <w:rPr>
                <w:rFonts w:ascii="宋体" w:hAnsi="宋体" w:cs="宋体"/>
                <w:color w:val="auto"/>
                <w:kern w:val="0"/>
                <w:sz w:val="24"/>
                <w:szCs w:val="24"/>
              </w:rPr>
            </w:pPr>
            <w:r>
              <w:rPr>
                <w:rFonts w:hint="eastAsia" w:ascii="宋体" w:hAnsi="宋体" w:cs="宋体"/>
                <w:color w:val="auto"/>
                <w:kern w:val="0"/>
                <w:sz w:val="24"/>
                <w:szCs w:val="24"/>
              </w:rPr>
              <w:t>投标文件封面；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Merge w:val="continue"/>
            <w:vAlign w:val="center"/>
          </w:tcPr>
          <w:p>
            <w:pPr>
              <w:adjustRightInd w:val="0"/>
              <w:snapToGrid w:val="0"/>
              <w:spacing w:line="240" w:lineRule="auto"/>
              <w:jc w:val="center"/>
              <w:rPr>
                <w:rFonts w:ascii="宋体" w:hAnsi="宋体" w:cs="宋体"/>
                <w:color w:val="auto"/>
                <w:kern w:val="0"/>
                <w:sz w:val="24"/>
                <w:szCs w:val="24"/>
              </w:rPr>
            </w:pPr>
          </w:p>
        </w:tc>
        <w:tc>
          <w:tcPr>
            <w:tcW w:w="1197" w:type="dxa"/>
            <w:vMerge w:val="continue"/>
            <w:vAlign w:val="center"/>
          </w:tcPr>
          <w:p>
            <w:pPr>
              <w:adjustRightInd w:val="0"/>
              <w:snapToGrid w:val="0"/>
              <w:spacing w:line="240" w:lineRule="auto"/>
              <w:jc w:val="center"/>
              <w:rPr>
                <w:rFonts w:ascii="宋体" w:hAnsi="宋体" w:cs="宋体"/>
                <w:color w:val="auto"/>
                <w:sz w:val="24"/>
                <w:szCs w:val="24"/>
              </w:rPr>
            </w:pPr>
          </w:p>
        </w:tc>
        <w:tc>
          <w:tcPr>
            <w:tcW w:w="1206" w:type="dxa"/>
            <w:vAlign w:val="center"/>
          </w:tcPr>
          <w:p>
            <w:pPr>
              <w:adjustRightInd w:val="0"/>
              <w:snapToGrid w:val="0"/>
              <w:spacing w:line="240" w:lineRule="auto"/>
              <w:rPr>
                <w:rFonts w:ascii="宋体" w:hAnsi="宋体" w:cs="宋体"/>
                <w:color w:val="auto"/>
                <w:kern w:val="0"/>
                <w:sz w:val="24"/>
                <w:szCs w:val="24"/>
              </w:rPr>
            </w:pPr>
            <w:r>
              <w:rPr>
                <w:rFonts w:hint="eastAsia" w:ascii="宋体" w:hAnsi="宋体" w:cs="宋体"/>
                <w:color w:val="auto"/>
                <w:sz w:val="24"/>
                <w:szCs w:val="24"/>
              </w:rPr>
              <w:t>商务、经济文件</w:t>
            </w:r>
          </w:p>
        </w:tc>
        <w:tc>
          <w:tcPr>
            <w:tcW w:w="6234" w:type="dxa"/>
            <w:vAlign w:val="center"/>
          </w:tcPr>
          <w:p>
            <w:pPr>
              <w:adjustRightInd w:val="0"/>
              <w:snapToGrid w:val="0"/>
              <w:spacing w:line="240" w:lineRule="auto"/>
              <w:rPr>
                <w:rFonts w:ascii="宋体" w:hAnsi="宋体" w:cs="宋体"/>
                <w:color w:val="auto"/>
                <w:sz w:val="24"/>
                <w:szCs w:val="24"/>
              </w:rPr>
            </w:pPr>
            <w:r>
              <w:rPr>
                <w:rFonts w:hint="eastAsia" w:ascii="宋体" w:hAnsi="宋体" w:cs="宋体"/>
                <w:color w:val="auto"/>
                <w:sz w:val="24"/>
                <w:szCs w:val="24"/>
              </w:rPr>
              <w:t>★投标函；</w:t>
            </w:r>
          </w:p>
          <w:p>
            <w:pPr>
              <w:adjustRightInd w:val="0"/>
              <w:snapToGrid w:val="0"/>
              <w:spacing w:line="240" w:lineRule="auto"/>
              <w:rPr>
                <w:rFonts w:ascii="宋体" w:hAnsi="宋体" w:cs="宋体"/>
                <w:color w:val="auto"/>
                <w:sz w:val="24"/>
                <w:szCs w:val="24"/>
              </w:rPr>
            </w:pPr>
            <w:r>
              <w:rPr>
                <w:rFonts w:hint="eastAsia" w:ascii="宋体" w:hAnsi="宋体" w:cs="宋体"/>
                <w:color w:val="auto"/>
                <w:sz w:val="24"/>
                <w:szCs w:val="24"/>
              </w:rPr>
              <w:t>★开标一览表；</w:t>
            </w:r>
          </w:p>
          <w:p>
            <w:pPr>
              <w:pStyle w:val="13"/>
              <w:adjustRightInd w:val="0"/>
              <w:snapToGrid w:val="0"/>
              <w:spacing w:line="240" w:lineRule="auto"/>
              <w:ind w:firstLine="0" w:firstLineChars="0"/>
              <w:rPr>
                <w:rFonts w:ascii="宋体" w:hAnsi="宋体" w:cs="宋体"/>
                <w:color w:val="auto"/>
              </w:rPr>
            </w:pPr>
            <w:r>
              <w:rPr>
                <w:rFonts w:hint="eastAsia" w:ascii="宋体" w:hAnsi="宋体" w:cs="宋体"/>
                <w:color w:val="auto"/>
                <w:sz w:val="24"/>
                <w:szCs w:val="24"/>
              </w:rPr>
              <w:t>★</w:t>
            </w:r>
            <w:r>
              <w:rPr>
                <w:rFonts w:hint="eastAsia" w:ascii="宋体" w:hAnsi="宋体" w:cs="宋体"/>
                <w:color w:val="auto"/>
                <w:sz w:val="24"/>
                <w:szCs w:val="24"/>
                <w:lang w:val="en-US" w:eastAsia="zh-CN"/>
              </w:rPr>
              <w:t>投标承诺书</w:t>
            </w:r>
            <w:r>
              <w:rPr>
                <w:rFonts w:hint="eastAsia" w:ascii="宋体" w:hAnsi="宋体" w:cs="宋体"/>
                <w:color w:val="auto"/>
                <w:sz w:val="24"/>
                <w:szCs w:val="24"/>
              </w:rPr>
              <w:t>；</w:t>
            </w:r>
          </w:p>
          <w:p>
            <w:pPr>
              <w:adjustRightInd w:val="0"/>
              <w:snapToGrid w:val="0"/>
              <w:spacing w:line="240" w:lineRule="auto"/>
              <w:rPr>
                <w:rFonts w:ascii="宋体" w:hAnsi="宋体" w:cs="宋体"/>
                <w:color w:val="auto"/>
                <w:sz w:val="24"/>
                <w:szCs w:val="24"/>
              </w:rPr>
            </w:pPr>
            <w:r>
              <w:rPr>
                <w:rFonts w:hint="eastAsia" w:ascii="宋体" w:hAnsi="宋体" w:cs="宋体"/>
                <w:color w:val="auto"/>
                <w:sz w:val="24"/>
                <w:szCs w:val="24"/>
              </w:rPr>
              <w:t>★法定代表人资格证明书及法定代表人授权委托书；</w:t>
            </w:r>
          </w:p>
          <w:p>
            <w:pPr>
              <w:adjustRightInd w:val="0"/>
              <w:snapToGrid w:val="0"/>
              <w:spacing w:line="240" w:lineRule="auto"/>
              <w:rPr>
                <w:rFonts w:ascii="宋体" w:hAnsi="宋体" w:cs="宋体"/>
                <w:color w:val="auto"/>
                <w:sz w:val="24"/>
                <w:szCs w:val="24"/>
              </w:rPr>
            </w:pPr>
            <w:r>
              <w:rPr>
                <w:rFonts w:hint="eastAsia" w:ascii="宋体" w:hAnsi="宋体" w:cs="宋体"/>
                <w:color w:val="auto"/>
                <w:sz w:val="24"/>
                <w:szCs w:val="24"/>
              </w:rPr>
              <w:t>★资格证明文件；</w:t>
            </w:r>
          </w:p>
          <w:p>
            <w:pPr>
              <w:adjustRightInd w:val="0"/>
              <w:snapToGrid w:val="0"/>
              <w:spacing w:line="240" w:lineRule="auto"/>
              <w:rPr>
                <w:rFonts w:ascii="宋体" w:hAnsi="宋体" w:cs="宋体"/>
                <w:color w:val="auto"/>
                <w:sz w:val="24"/>
                <w:szCs w:val="24"/>
              </w:rPr>
            </w:pPr>
            <w:r>
              <w:rPr>
                <w:rFonts w:hint="eastAsia" w:ascii="宋体" w:hAnsi="宋体" w:cs="宋体"/>
                <w:color w:val="auto"/>
                <w:sz w:val="24"/>
                <w:szCs w:val="24"/>
              </w:rPr>
              <w:t>★201</w:t>
            </w:r>
            <w:r>
              <w:rPr>
                <w:rFonts w:hint="eastAsia" w:ascii="宋体" w:hAnsi="宋体" w:cs="宋体"/>
                <w:color w:val="auto"/>
                <w:sz w:val="24"/>
                <w:szCs w:val="24"/>
                <w:lang w:val="en-US" w:eastAsia="zh-CN"/>
              </w:rPr>
              <w:t>9</w:t>
            </w:r>
            <w:r>
              <w:rPr>
                <w:rFonts w:hint="eastAsia" w:ascii="宋体" w:hAnsi="宋体" w:cs="宋体"/>
                <w:color w:val="auto"/>
                <w:sz w:val="24"/>
                <w:szCs w:val="24"/>
              </w:rPr>
              <w:t>年1月1日至今类似项目业绩；</w:t>
            </w:r>
          </w:p>
          <w:p>
            <w:pPr>
              <w:pStyle w:val="13"/>
              <w:adjustRightInd w:val="0"/>
              <w:snapToGrid w:val="0"/>
              <w:spacing w:line="240" w:lineRule="auto"/>
              <w:ind w:firstLine="0" w:firstLineChars="0"/>
              <w:rPr>
                <w:rFonts w:ascii="宋体" w:hAnsi="宋体" w:cs="宋体"/>
                <w:color w:val="auto"/>
                <w:sz w:val="24"/>
                <w:szCs w:val="24"/>
              </w:rPr>
            </w:pPr>
            <w:r>
              <w:rPr>
                <w:rFonts w:hint="eastAsia" w:ascii="宋体" w:hAnsi="宋体" w:cs="宋体"/>
                <w:color w:val="auto"/>
                <w:sz w:val="24"/>
                <w:szCs w:val="24"/>
              </w:rPr>
              <w:t>★主要人员配备表；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Merge w:val="continue"/>
            <w:vAlign w:val="center"/>
          </w:tcPr>
          <w:p>
            <w:pPr>
              <w:adjustRightInd w:val="0"/>
              <w:snapToGrid w:val="0"/>
              <w:spacing w:line="240" w:lineRule="auto"/>
              <w:jc w:val="center"/>
              <w:rPr>
                <w:rFonts w:ascii="宋体" w:hAnsi="宋体" w:cs="宋体"/>
                <w:color w:val="auto"/>
                <w:kern w:val="0"/>
                <w:sz w:val="24"/>
                <w:szCs w:val="24"/>
              </w:rPr>
            </w:pPr>
          </w:p>
        </w:tc>
        <w:tc>
          <w:tcPr>
            <w:tcW w:w="1197" w:type="dxa"/>
            <w:vMerge w:val="continue"/>
            <w:vAlign w:val="center"/>
          </w:tcPr>
          <w:p>
            <w:pPr>
              <w:adjustRightInd w:val="0"/>
              <w:snapToGrid w:val="0"/>
              <w:spacing w:line="240" w:lineRule="auto"/>
              <w:jc w:val="center"/>
              <w:rPr>
                <w:rFonts w:ascii="宋体" w:hAnsi="宋体" w:cs="宋体"/>
                <w:color w:val="auto"/>
                <w:sz w:val="24"/>
                <w:szCs w:val="24"/>
              </w:rPr>
            </w:pPr>
          </w:p>
        </w:tc>
        <w:tc>
          <w:tcPr>
            <w:tcW w:w="1206" w:type="dxa"/>
            <w:vAlign w:val="center"/>
          </w:tcPr>
          <w:p>
            <w:pPr>
              <w:adjustRightInd w:val="0"/>
              <w:snapToGrid w:val="0"/>
              <w:spacing w:line="240" w:lineRule="auto"/>
              <w:rPr>
                <w:rFonts w:ascii="宋体" w:hAnsi="宋体" w:cs="宋体"/>
                <w:color w:val="auto"/>
                <w:kern w:val="0"/>
                <w:sz w:val="24"/>
                <w:szCs w:val="24"/>
              </w:rPr>
            </w:pPr>
            <w:r>
              <w:rPr>
                <w:rFonts w:hint="eastAsia" w:ascii="宋体" w:hAnsi="宋体" w:cs="宋体"/>
                <w:color w:val="auto"/>
                <w:sz w:val="24"/>
                <w:szCs w:val="24"/>
              </w:rPr>
              <w:t>技术文件</w:t>
            </w:r>
          </w:p>
        </w:tc>
        <w:tc>
          <w:tcPr>
            <w:tcW w:w="6234" w:type="dxa"/>
            <w:vAlign w:val="center"/>
          </w:tcPr>
          <w:p>
            <w:pPr>
              <w:pStyle w:val="13"/>
              <w:adjustRightInd w:val="0"/>
              <w:snapToGrid w:val="0"/>
              <w:spacing w:line="240" w:lineRule="auto"/>
              <w:ind w:firstLine="0" w:firstLineChars="0"/>
              <w:rPr>
                <w:rFonts w:ascii="宋体" w:hAnsi="宋体" w:cs="宋体"/>
                <w:color w:val="auto"/>
                <w:sz w:val="24"/>
                <w:szCs w:val="24"/>
              </w:rPr>
            </w:pPr>
            <w:r>
              <w:rPr>
                <w:rFonts w:hint="eastAsia" w:ascii="宋体" w:hAnsi="宋体" w:cs="宋体"/>
                <w:color w:val="auto"/>
                <w:sz w:val="24"/>
                <w:szCs w:val="24"/>
              </w:rPr>
              <w:t>供应商自行编写的技术文件：</w:t>
            </w:r>
          </w:p>
          <w:p>
            <w:pPr>
              <w:pStyle w:val="13"/>
              <w:adjustRightInd w:val="0"/>
              <w:snapToGrid w:val="0"/>
              <w:spacing w:line="240" w:lineRule="auto"/>
              <w:ind w:firstLine="0" w:firstLineChars="0"/>
              <w:rPr>
                <w:rFonts w:ascii="宋体" w:hAnsi="宋体" w:cs="宋体"/>
                <w:color w:val="auto"/>
                <w:sz w:val="24"/>
                <w:szCs w:val="24"/>
              </w:rPr>
            </w:pPr>
            <w:r>
              <w:rPr>
                <w:rFonts w:hint="eastAsia" w:ascii="宋体" w:hAnsi="宋体" w:cs="宋体"/>
                <w:color w:val="auto"/>
                <w:sz w:val="24"/>
                <w:szCs w:val="24"/>
              </w:rPr>
              <w:t>★项目理解；</w:t>
            </w:r>
          </w:p>
          <w:p>
            <w:pPr>
              <w:pStyle w:val="13"/>
              <w:adjustRightInd w:val="0"/>
              <w:snapToGrid w:val="0"/>
              <w:spacing w:line="240" w:lineRule="auto"/>
              <w:ind w:firstLine="0" w:firstLineChars="0"/>
              <w:rPr>
                <w:rFonts w:ascii="宋体" w:hAnsi="宋体" w:cs="宋体"/>
                <w:color w:val="auto"/>
                <w:sz w:val="24"/>
                <w:szCs w:val="24"/>
              </w:rPr>
            </w:pPr>
            <w:r>
              <w:rPr>
                <w:rFonts w:hint="eastAsia" w:ascii="宋体" w:hAnsi="宋体" w:cs="宋体"/>
                <w:color w:val="auto"/>
                <w:sz w:val="24"/>
                <w:szCs w:val="24"/>
              </w:rPr>
              <w:t>★实施方案；</w:t>
            </w:r>
          </w:p>
          <w:p>
            <w:pPr>
              <w:pStyle w:val="13"/>
              <w:adjustRightInd w:val="0"/>
              <w:snapToGrid w:val="0"/>
              <w:spacing w:line="240" w:lineRule="auto"/>
              <w:ind w:firstLine="0" w:firstLineChars="0"/>
              <w:rPr>
                <w:rFonts w:ascii="宋体" w:hAnsi="宋体" w:cs="宋体"/>
                <w:color w:val="auto"/>
                <w:sz w:val="24"/>
                <w:szCs w:val="24"/>
              </w:rPr>
            </w:pPr>
            <w:r>
              <w:rPr>
                <w:rFonts w:hint="eastAsia" w:ascii="宋体" w:hAnsi="宋体" w:cs="宋体"/>
                <w:color w:val="auto"/>
                <w:sz w:val="24"/>
                <w:szCs w:val="24"/>
              </w:rPr>
              <w:t>★组织安排；</w:t>
            </w:r>
          </w:p>
          <w:p>
            <w:pPr>
              <w:pStyle w:val="13"/>
              <w:adjustRightInd w:val="0"/>
              <w:snapToGrid w:val="0"/>
              <w:spacing w:line="240" w:lineRule="auto"/>
              <w:ind w:firstLine="0" w:firstLineChars="0"/>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项目管理</w:t>
            </w:r>
            <w:r>
              <w:rPr>
                <w:rFonts w:hint="eastAsia" w:ascii="宋体" w:hAnsi="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Merge w:val="continue"/>
            <w:vAlign w:val="center"/>
          </w:tcPr>
          <w:p>
            <w:pPr>
              <w:adjustRightInd w:val="0"/>
              <w:snapToGrid w:val="0"/>
              <w:spacing w:line="240" w:lineRule="auto"/>
              <w:jc w:val="center"/>
              <w:rPr>
                <w:rFonts w:ascii="宋体" w:hAnsi="宋体" w:cs="宋体"/>
                <w:color w:val="auto"/>
                <w:kern w:val="0"/>
                <w:sz w:val="24"/>
                <w:szCs w:val="24"/>
              </w:rPr>
            </w:pPr>
          </w:p>
        </w:tc>
        <w:tc>
          <w:tcPr>
            <w:tcW w:w="1197" w:type="dxa"/>
            <w:vMerge w:val="continue"/>
            <w:vAlign w:val="center"/>
          </w:tcPr>
          <w:p>
            <w:pPr>
              <w:adjustRightInd w:val="0"/>
              <w:snapToGrid w:val="0"/>
              <w:spacing w:line="240" w:lineRule="auto"/>
              <w:jc w:val="center"/>
              <w:rPr>
                <w:rFonts w:ascii="宋体" w:hAnsi="宋体" w:cs="宋体"/>
                <w:color w:val="auto"/>
                <w:sz w:val="24"/>
                <w:szCs w:val="24"/>
              </w:rPr>
            </w:pPr>
          </w:p>
        </w:tc>
        <w:tc>
          <w:tcPr>
            <w:tcW w:w="1206" w:type="dxa"/>
            <w:vAlign w:val="center"/>
          </w:tcPr>
          <w:p>
            <w:pPr>
              <w:adjustRightInd w:val="0"/>
              <w:snapToGrid w:val="0"/>
              <w:spacing w:line="240" w:lineRule="auto"/>
              <w:rPr>
                <w:rFonts w:ascii="宋体" w:hAnsi="宋体" w:cs="宋体"/>
                <w:color w:val="auto"/>
                <w:sz w:val="24"/>
                <w:szCs w:val="24"/>
              </w:rPr>
            </w:pPr>
            <w:r>
              <w:rPr>
                <w:rFonts w:hint="eastAsia" w:ascii="宋体" w:hAnsi="宋体" w:cs="宋体"/>
                <w:color w:val="auto"/>
                <w:sz w:val="24"/>
                <w:szCs w:val="24"/>
              </w:rPr>
              <w:t>其他资料</w:t>
            </w:r>
          </w:p>
        </w:tc>
        <w:tc>
          <w:tcPr>
            <w:tcW w:w="6234" w:type="dxa"/>
            <w:vAlign w:val="center"/>
          </w:tcPr>
          <w:p>
            <w:pPr>
              <w:adjustRightInd w:val="0"/>
              <w:snapToGrid w:val="0"/>
              <w:spacing w:line="240" w:lineRule="auto"/>
              <w:rPr>
                <w:rFonts w:ascii="宋体" w:hAnsi="宋体" w:cs="宋体"/>
                <w:color w:val="auto"/>
                <w:sz w:val="24"/>
                <w:szCs w:val="24"/>
              </w:rPr>
            </w:pPr>
            <w:r>
              <w:rPr>
                <w:rFonts w:hint="eastAsia" w:ascii="宋体" w:hAnsi="宋体" w:cs="宋体"/>
                <w:color w:val="auto"/>
                <w:sz w:val="24"/>
                <w:szCs w:val="24"/>
              </w:rPr>
              <w:t>供应商认为有必要提供的其他资料。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adjustRightInd w:val="0"/>
              <w:snapToGrid w:val="0"/>
              <w:spacing w:line="240" w:lineRule="auto"/>
              <w:jc w:val="center"/>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2</w:t>
            </w:r>
          </w:p>
        </w:tc>
        <w:tc>
          <w:tcPr>
            <w:tcW w:w="2403" w:type="dxa"/>
            <w:gridSpan w:val="2"/>
            <w:vAlign w:val="center"/>
          </w:tcPr>
          <w:p>
            <w:pPr>
              <w:adjustRightInd w:val="0"/>
              <w:snapToGrid w:val="0"/>
              <w:spacing w:line="240" w:lineRule="auto"/>
              <w:jc w:val="center"/>
              <w:rPr>
                <w:rFonts w:ascii="宋体" w:hAnsi="宋体" w:cs="宋体"/>
                <w:color w:val="auto"/>
                <w:sz w:val="24"/>
                <w:szCs w:val="24"/>
              </w:rPr>
            </w:pPr>
            <w:r>
              <w:rPr>
                <w:rFonts w:hint="eastAsia" w:ascii="宋体" w:hAnsi="宋体" w:cs="宋体"/>
                <w:color w:val="auto"/>
                <w:sz w:val="24"/>
                <w:szCs w:val="24"/>
              </w:rPr>
              <w:t>是否允许供应商将项目非主体、非关键性工作交由他人完成</w:t>
            </w:r>
          </w:p>
        </w:tc>
        <w:tc>
          <w:tcPr>
            <w:tcW w:w="6234" w:type="dxa"/>
            <w:vAlign w:val="center"/>
          </w:tcPr>
          <w:p>
            <w:pPr>
              <w:adjustRightInd w:val="0"/>
              <w:snapToGrid w:val="0"/>
              <w:spacing w:line="240" w:lineRule="auto"/>
              <w:rPr>
                <w:rFonts w:ascii="宋体" w:hAnsi="宋体" w:cs="宋体"/>
                <w:color w:val="auto"/>
                <w:kern w:val="0"/>
                <w:sz w:val="24"/>
                <w:szCs w:val="24"/>
              </w:rPr>
            </w:pPr>
            <w:bookmarkStart w:id="12" w:name="EBc6ac0877da194e1ead2e51743a97925a"/>
            <w:bookmarkEnd w:id="12"/>
            <w:r>
              <w:rPr>
                <w:rFonts w:hint="eastAsia" w:ascii="宋体" w:hAnsi="宋体" w:cs="宋体"/>
                <w:color w:val="auto"/>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adjustRightInd w:val="0"/>
              <w:snapToGrid w:val="0"/>
              <w:spacing w:line="240" w:lineRule="auto"/>
              <w:jc w:val="center"/>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3</w:t>
            </w:r>
          </w:p>
        </w:tc>
        <w:tc>
          <w:tcPr>
            <w:tcW w:w="2403" w:type="dxa"/>
            <w:gridSpan w:val="2"/>
            <w:vAlign w:val="center"/>
          </w:tcPr>
          <w:p>
            <w:pPr>
              <w:adjustRightInd w:val="0"/>
              <w:snapToGrid w:val="0"/>
              <w:spacing w:line="240" w:lineRule="auto"/>
              <w:jc w:val="center"/>
              <w:rPr>
                <w:rFonts w:ascii="宋体" w:hAnsi="宋体" w:cs="宋体"/>
                <w:color w:val="auto"/>
                <w:sz w:val="24"/>
                <w:szCs w:val="24"/>
              </w:rPr>
            </w:pPr>
            <w:r>
              <w:rPr>
                <w:rFonts w:hint="eastAsia" w:ascii="宋体" w:hAnsi="宋体" w:cs="宋体"/>
                <w:color w:val="auto"/>
                <w:sz w:val="24"/>
                <w:szCs w:val="24"/>
              </w:rPr>
              <w:t>答疑澄清时间</w:t>
            </w:r>
          </w:p>
        </w:tc>
        <w:tc>
          <w:tcPr>
            <w:tcW w:w="6234" w:type="dxa"/>
            <w:vAlign w:val="center"/>
          </w:tcPr>
          <w:p>
            <w:pPr>
              <w:adjustRightInd w:val="0"/>
              <w:snapToGrid w:val="0"/>
              <w:spacing w:line="240" w:lineRule="auto"/>
              <w:rPr>
                <w:rFonts w:ascii="宋体" w:hAnsi="宋体" w:cs="宋体"/>
                <w:bCs/>
                <w:color w:val="auto"/>
                <w:sz w:val="24"/>
                <w:szCs w:val="24"/>
              </w:rPr>
            </w:pPr>
            <w:bookmarkStart w:id="13" w:name="EB7f9a2183097e49ed95bd12c9f3aa7860"/>
            <w:bookmarkEnd w:id="13"/>
            <w:r>
              <w:rPr>
                <w:rFonts w:hint="eastAsia" w:ascii="宋体" w:hAnsi="宋体" w:cs="宋体"/>
                <w:color w:val="auto"/>
                <w:sz w:val="24"/>
                <w:szCs w:val="24"/>
              </w:rPr>
              <w:t>供应商领取招标文件后，若有疑问需要澄清的，于投标截止时间15日前提出</w:t>
            </w:r>
            <w:r>
              <w:rPr>
                <w:rFonts w:hint="eastAsia" w:ascii="宋体" w:hAnsi="宋体" w:cs="宋体"/>
                <w:bCs/>
                <w:color w:val="auto"/>
                <w:sz w:val="24"/>
                <w:szCs w:val="24"/>
              </w:rPr>
              <w:t>疑问或澄清要求（逾期不予受理）。</w:t>
            </w:r>
          </w:p>
          <w:p>
            <w:pPr>
              <w:autoSpaceDE w:val="0"/>
              <w:autoSpaceDN w:val="0"/>
              <w:adjustRightInd w:val="0"/>
              <w:snapToGrid w:val="0"/>
              <w:spacing w:line="240" w:lineRule="auto"/>
              <w:rPr>
                <w:rFonts w:ascii="宋体" w:hAnsi="宋体" w:cs="宋体"/>
                <w:color w:val="auto"/>
                <w:sz w:val="24"/>
                <w:szCs w:val="24"/>
              </w:rPr>
            </w:pPr>
            <w:r>
              <w:rPr>
                <w:rFonts w:hint="eastAsia" w:ascii="宋体" w:hAnsi="宋体" w:cs="宋体"/>
                <w:color w:val="auto"/>
                <w:kern w:val="0"/>
                <w:sz w:val="24"/>
                <w:szCs w:val="24"/>
              </w:rPr>
              <w:t>联系人：</w:t>
            </w:r>
            <w:r>
              <w:rPr>
                <w:rFonts w:hint="eastAsia" w:ascii="宋体" w:hAnsi="宋体" w:cs="宋体"/>
                <w:color w:val="auto"/>
                <w:sz w:val="24"/>
                <w:szCs w:val="24"/>
              </w:rPr>
              <w:t>马涛</w:t>
            </w:r>
          </w:p>
          <w:p>
            <w:pPr>
              <w:adjustRightInd w:val="0"/>
              <w:snapToGrid w:val="0"/>
              <w:spacing w:line="240" w:lineRule="auto"/>
              <w:rPr>
                <w:rFonts w:ascii="宋体" w:hAnsi="宋体" w:cs="宋体"/>
                <w:color w:val="auto"/>
                <w:kern w:val="0"/>
                <w:sz w:val="24"/>
                <w:szCs w:val="24"/>
              </w:rPr>
            </w:pPr>
            <w:r>
              <w:rPr>
                <w:rFonts w:hint="eastAsia" w:ascii="宋体" w:hAnsi="宋体" w:cs="宋体"/>
                <w:color w:val="auto"/>
                <w:kern w:val="0"/>
                <w:sz w:val="24"/>
                <w:szCs w:val="24"/>
              </w:rPr>
              <w:t>联系电话：0991-8869393</w:t>
            </w:r>
          </w:p>
          <w:p>
            <w:pPr>
              <w:adjustRightInd w:val="0"/>
              <w:snapToGrid w:val="0"/>
              <w:spacing w:line="240" w:lineRule="auto"/>
              <w:rPr>
                <w:rFonts w:ascii="宋体" w:hAnsi="宋体" w:cs="宋体"/>
                <w:color w:val="auto"/>
                <w:sz w:val="24"/>
                <w:szCs w:val="24"/>
              </w:rPr>
            </w:pPr>
            <w:r>
              <w:rPr>
                <w:rFonts w:hint="eastAsia" w:ascii="宋体" w:hAnsi="宋体" w:cs="宋体"/>
                <w:color w:val="auto"/>
                <w:kern w:val="0"/>
                <w:sz w:val="24"/>
                <w:szCs w:val="24"/>
              </w:rPr>
              <w:t>提交方式：书面形式一式三份并加盖单位公章，采用信函、或者直接送达方式通知采购代理机构（递交纸质版澄清函文件的同时须提供澄清函原件电子版扫描件一份发至电子信箱：290641710@QQ.com）</w:t>
            </w:r>
          </w:p>
          <w:p>
            <w:pPr>
              <w:adjustRightInd w:val="0"/>
              <w:snapToGrid w:val="0"/>
              <w:spacing w:line="240" w:lineRule="auto"/>
              <w:rPr>
                <w:rFonts w:ascii="宋体" w:hAnsi="宋体" w:cs="宋体"/>
                <w:color w:val="auto"/>
                <w:kern w:val="0"/>
                <w:sz w:val="24"/>
                <w:szCs w:val="24"/>
              </w:rPr>
            </w:pPr>
            <w:r>
              <w:rPr>
                <w:rFonts w:hint="eastAsia" w:ascii="宋体" w:hAnsi="宋体" w:cs="宋体"/>
                <w:bCs/>
                <w:color w:val="auto"/>
                <w:sz w:val="24"/>
                <w:szCs w:val="24"/>
              </w:rPr>
              <w:t>注：澄清、修改文件发出后，供应商必须使用最新的澄清文件制作投标文件。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adjustRightInd w:val="0"/>
              <w:snapToGrid w:val="0"/>
              <w:spacing w:line="240" w:lineRule="auto"/>
              <w:jc w:val="center"/>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4</w:t>
            </w:r>
          </w:p>
        </w:tc>
        <w:tc>
          <w:tcPr>
            <w:tcW w:w="2403" w:type="dxa"/>
            <w:gridSpan w:val="2"/>
            <w:vAlign w:val="center"/>
          </w:tcPr>
          <w:p>
            <w:pPr>
              <w:adjustRightInd w:val="0"/>
              <w:snapToGrid w:val="0"/>
              <w:spacing w:line="240" w:lineRule="auto"/>
              <w:jc w:val="center"/>
              <w:rPr>
                <w:rFonts w:ascii="宋体" w:hAnsi="宋体" w:cs="宋体"/>
                <w:color w:val="auto"/>
                <w:sz w:val="24"/>
                <w:szCs w:val="24"/>
              </w:rPr>
            </w:pPr>
            <w:r>
              <w:rPr>
                <w:rFonts w:hint="eastAsia" w:ascii="宋体" w:hAnsi="宋体" w:cs="宋体"/>
                <w:color w:val="auto"/>
                <w:sz w:val="24"/>
                <w:szCs w:val="24"/>
              </w:rPr>
              <w:t>投标有效期</w:t>
            </w:r>
          </w:p>
        </w:tc>
        <w:tc>
          <w:tcPr>
            <w:tcW w:w="6234" w:type="dxa"/>
            <w:vAlign w:val="center"/>
          </w:tcPr>
          <w:p>
            <w:pPr>
              <w:adjustRightInd w:val="0"/>
              <w:snapToGrid w:val="0"/>
              <w:spacing w:line="240" w:lineRule="auto"/>
              <w:rPr>
                <w:rFonts w:ascii="宋体" w:hAnsi="宋体" w:cs="宋体"/>
                <w:color w:val="auto"/>
                <w:kern w:val="0"/>
                <w:sz w:val="24"/>
                <w:szCs w:val="24"/>
              </w:rPr>
            </w:pPr>
            <w:bookmarkStart w:id="14" w:name="EBbb43714198e3424880ac7b30e46e04ef"/>
            <w:bookmarkEnd w:id="14"/>
            <w:r>
              <w:rPr>
                <w:rFonts w:hint="eastAsia" w:ascii="宋体" w:hAnsi="宋体" w:cs="宋体"/>
                <w:color w:val="auto"/>
                <w:sz w:val="24"/>
                <w:szCs w:val="24"/>
                <w:lang w:val="zh-CN"/>
              </w:rPr>
              <w:t>自投标截止之日起</w:t>
            </w:r>
            <w:r>
              <w:rPr>
                <w:rFonts w:hint="eastAsia" w:ascii="宋体" w:hAnsi="宋体" w:cs="宋体"/>
                <w:color w:val="auto"/>
                <w:sz w:val="24"/>
                <w:szCs w:val="24"/>
                <w:u w:val="single"/>
              </w:rPr>
              <w:t>90</w:t>
            </w:r>
            <w:r>
              <w:rPr>
                <w:rFonts w:hint="eastAsia" w:ascii="宋体" w:hAnsi="宋体" w:cs="宋体"/>
                <w:color w:val="auto"/>
                <w:sz w:val="24"/>
                <w:szCs w:val="24"/>
                <w:lang w:val="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adjustRightInd w:val="0"/>
              <w:snapToGrid w:val="0"/>
              <w:spacing w:line="240" w:lineRule="auto"/>
              <w:jc w:val="center"/>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5</w:t>
            </w:r>
          </w:p>
        </w:tc>
        <w:tc>
          <w:tcPr>
            <w:tcW w:w="2403" w:type="dxa"/>
            <w:gridSpan w:val="2"/>
            <w:vAlign w:val="center"/>
          </w:tcPr>
          <w:p>
            <w:pPr>
              <w:adjustRightInd w:val="0"/>
              <w:snapToGrid w:val="0"/>
              <w:spacing w:line="240" w:lineRule="auto"/>
              <w:jc w:val="center"/>
              <w:rPr>
                <w:rFonts w:ascii="宋体" w:hAnsi="宋体" w:cs="宋体"/>
                <w:color w:val="auto"/>
                <w:kern w:val="0"/>
                <w:sz w:val="24"/>
                <w:szCs w:val="24"/>
              </w:rPr>
            </w:pPr>
            <w:r>
              <w:rPr>
                <w:rFonts w:hint="eastAsia" w:ascii="宋体" w:hAnsi="宋体" w:cs="宋体"/>
                <w:color w:val="auto"/>
                <w:kern w:val="0"/>
                <w:sz w:val="24"/>
                <w:szCs w:val="24"/>
              </w:rPr>
              <w:t>投标截止时间</w:t>
            </w:r>
          </w:p>
          <w:p>
            <w:pPr>
              <w:adjustRightInd w:val="0"/>
              <w:snapToGrid w:val="0"/>
              <w:spacing w:line="240" w:lineRule="auto"/>
              <w:jc w:val="center"/>
              <w:rPr>
                <w:rFonts w:ascii="宋体" w:hAnsi="宋体" w:cs="宋体"/>
                <w:color w:val="auto"/>
                <w:sz w:val="24"/>
                <w:szCs w:val="24"/>
              </w:rPr>
            </w:pPr>
            <w:r>
              <w:rPr>
                <w:rFonts w:hint="eastAsia" w:ascii="宋体" w:hAnsi="宋体" w:cs="宋体"/>
                <w:color w:val="auto"/>
                <w:kern w:val="0"/>
                <w:sz w:val="24"/>
                <w:szCs w:val="24"/>
              </w:rPr>
              <w:t>（开标时间）</w:t>
            </w:r>
          </w:p>
        </w:tc>
        <w:tc>
          <w:tcPr>
            <w:tcW w:w="6234" w:type="dxa"/>
            <w:vAlign w:val="center"/>
          </w:tcPr>
          <w:p>
            <w:pPr>
              <w:adjustRightInd w:val="0"/>
              <w:snapToGrid w:val="0"/>
              <w:spacing w:line="240" w:lineRule="auto"/>
              <w:rPr>
                <w:rFonts w:ascii="宋体" w:hAnsi="宋体" w:cs="宋体"/>
                <w:b/>
                <w:bCs/>
                <w:color w:val="auto"/>
                <w:sz w:val="24"/>
                <w:szCs w:val="24"/>
              </w:rPr>
            </w:pPr>
            <w:bookmarkStart w:id="15" w:name="EBcc65ac7201d245c29c488553475d3e35"/>
            <w:bookmarkEnd w:id="15"/>
            <w:r>
              <w:rPr>
                <w:rFonts w:hint="eastAsia" w:ascii="宋体" w:hAnsi="宋体" w:cs="宋体"/>
                <w:color w:val="auto"/>
                <w:sz w:val="24"/>
                <w:szCs w:val="24"/>
              </w:rPr>
              <w:t>截止时间：202</w:t>
            </w:r>
            <w:r>
              <w:rPr>
                <w:rFonts w:hint="eastAsia" w:ascii="宋体" w:hAnsi="宋体" w:cs="宋体"/>
                <w:color w:val="auto"/>
                <w:sz w:val="24"/>
                <w:szCs w:val="24"/>
                <w:lang w:val="en-US" w:eastAsia="zh-CN"/>
              </w:rPr>
              <w:t>2</w:t>
            </w:r>
            <w:r>
              <w:rPr>
                <w:rFonts w:hint="eastAsia" w:ascii="宋体" w:hAnsi="宋体" w:cs="宋体"/>
                <w:color w:val="auto"/>
                <w:sz w:val="24"/>
                <w:szCs w:val="24"/>
              </w:rPr>
              <w:t>年</w:t>
            </w:r>
            <w:r>
              <w:rPr>
                <w:rFonts w:hint="eastAsia" w:ascii="宋体" w:hAnsi="宋体" w:cs="宋体"/>
                <w:color w:val="auto"/>
                <w:sz w:val="24"/>
                <w:szCs w:val="24"/>
                <w:lang w:val="en-US" w:eastAsia="zh-CN"/>
              </w:rPr>
              <w:t>06</w:t>
            </w:r>
            <w:r>
              <w:rPr>
                <w:rFonts w:hint="eastAsia" w:ascii="宋体" w:hAnsi="宋体" w:cs="宋体"/>
                <w:color w:val="auto"/>
                <w:sz w:val="24"/>
                <w:szCs w:val="24"/>
              </w:rPr>
              <w:t>月</w:t>
            </w:r>
            <w:r>
              <w:rPr>
                <w:rFonts w:hint="eastAsia" w:ascii="宋体" w:hAnsi="宋体" w:cs="宋体"/>
                <w:color w:val="auto"/>
                <w:sz w:val="24"/>
                <w:szCs w:val="24"/>
                <w:lang w:val="en-US" w:eastAsia="zh-CN"/>
              </w:rPr>
              <w:t>02</w:t>
            </w:r>
            <w:r>
              <w:rPr>
                <w:rFonts w:hint="eastAsia" w:ascii="宋体" w:hAnsi="宋体" w:cs="宋体"/>
                <w:color w:val="auto"/>
                <w:sz w:val="24"/>
                <w:szCs w:val="24"/>
              </w:rPr>
              <w:t>日1</w:t>
            </w:r>
            <w:r>
              <w:rPr>
                <w:rFonts w:hint="eastAsia" w:ascii="宋体" w:hAnsi="宋体" w:cs="宋体"/>
                <w:color w:val="auto"/>
                <w:sz w:val="24"/>
                <w:szCs w:val="24"/>
                <w:lang w:val="en-US" w:eastAsia="zh-CN"/>
              </w:rPr>
              <w:t>6</w:t>
            </w:r>
            <w:r>
              <w:rPr>
                <w:rFonts w:hint="eastAsia" w:ascii="宋体" w:hAnsi="宋体" w:cs="宋体"/>
                <w:color w:val="auto"/>
                <w:sz w:val="24"/>
                <w:szCs w:val="24"/>
              </w:rPr>
              <w:t>:00时（北京时间）。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adjustRightInd w:val="0"/>
              <w:snapToGrid w:val="0"/>
              <w:spacing w:line="240" w:lineRule="auto"/>
              <w:jc w:val="center"/>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6</w:t>
            </w:r>
          </w:p>
        </w:tc>
        <w:tc>
          <w:tcPr>
            <w:tcW w:w="2403" w:type="dxa"/>
            <w:gridSpan w:val="2"/>
            <w:vAlign w:val="center"/>
          </w:tcPr>
          <w:p>
            <w:pPr>
              <w:adjustRightInd w:val="0"/>
              <w:snapToGrid w:val="0"/>
              <w:spacing w:line="240" w:lineRule="auto"/>
              <w:jc w:val="center"/>
              <w:rPr>
                <w:rFonts w:ascii="宋体" w:hAnsi="宋体" w:cs="宋体"/>
                <w:color w:val="auto"/>
                <w:kern w:val="0"/>
                <w:sz w:val="24"/>
                <w:szCs w:val="24"/>
              </w:rPr>
            </w:pPr>
            <w:r>
              <w:rPr>
                <w:rFonts w:hint="eastAsia" w:ascii="宋体" w:hAnsi="宋体" w:cs="宋体"/>
                <w:color w:val="auto"/>
                <w:kern w:val="0"/>
                <w:sz w:val="24"/>
                <w:szCs w:val="24"/>
              </w:rPr>
              <w:t>供应商在投标截止</w:t>
            </w:r>
          </w:p>
          <w:p>
            <w:pPr>
              <w:adjustRightInd w:val="0"/>
              <w:snapToGrid w:val="0"/>
              <w:spacing w:line="240" w:lineRule="auto"/>
              <w:jc w:val="center"/>
              <w:rPr>
                <w:rFonts w:ascii="宋体" w:hAnsi="宋体" w:cs="宋体"/>
                <w:color w:val="auto"/>
                <w:sz w:val="24"/>
                <w:szCs w:val="24"/>
              </w:rPr>
            </w:pPr>
            <w:r>
              <w:rPr>
                <w:rFonts w:hint="eastAsia" w:ascii="宋体" w:hAnsi="宋体" w:cs="宋体"/>
                <w:color w:val="auto"/>
                <w:kern w:val="0"/>
                <w:sz w:val="24"/>
                <w:szCs w:val="24"/>
              </w:rPr>
              <w:t>时间前提交的文件</w:t>
            </w:r>
          </w:p>
        </w:tc>
        <w:tc>
          <w:tcPr>
            <w:tcW w:w="6234" w:type="dxa"/>
            <w:vAlign w:val="center"/>
          </w:tcPr>
          <w:p>
            <w:pPr>
              <w:adjustRightInd w:val="0"/>
              <w:snapToGrid w:val="0"/>
              <w:spacing w:line="240" w:lineRule="auto"/>
              <w:rPr>
                <w:rFonts w:ascii="宋体" w:hAnsi="宋体" w:cs="宋体"/>
                <w:color w:val="auto"/>
                <w:sz w:val="24"/>
                <w:szCs w:val="24"/>
              </w:rPr>
            </w:pPr>
            <w:r>
              <w:rPr>
                <w:rFonts w:hint="eastAsia" w:ascii="宋体" w:hAnsi="宋体" w:cs="宋体"/>
                <w:color w:val="auto"/>
                <w:sz w:val="24"/>
                <w:szCs w:val="24"/>
              </w:rPr>
              <w:t>投标文件（具体要求见本表第18项）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adjustRightInd w:val="0"/>
              <w:snapToGrid w:val="0"/>
              <w:spacing w:line="240" w:lineRule="auto"/>
              <w:jc w:val="center"/>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7</w:t>
            </w:r>
          </w:p>
        </w:tc>
        <w:tc>
          <w:tcPr>
            <w:tcW w:w="2403" w:type="dxa"/>
            <w:gridSpan w:val="2"/>
            <w:vAlign w:val="center"/>
          </w:tcPr>
          <w:p>
            <w:pPr>
              <w:adjustRightInd w:val="0"/>
              <w:snapToGrid w:val="0"/>
              <w:spacing w:line="240" w:lineRule="auto"/>
              <w:jc w:val="center"/>
              <w:rPr>
                <w:rFonts w:ascii="宋体" w:hAnsi="宋体" w:cs="宋体"/>
                <w:color w:val="auto"/>
                <w:kern w:val="0"/>
                <w:sz w:val="24"/>
                <w:szCs w:val="24"/>
              </w:rPr>
            </w:pPr>
            <w:r>
              <w:rPr>
                <w:rFonts w:hint="eastAsia" w:ascii="宋体" w:hAnsi="宋体" w:cs="宋体"/>
                <w:color w:val="auto"/>
                <w:kern w:val="0"/>
                <w:sz w:val="24"/>
                <w:szCs w:val="24"/>
              </w:rPr>
              <w:t>投标文件份数</w:t>
            </w:r>
          </w:p>
        </w:tc>
        <w:tc>
          <w:tcPr>
            <w:tcW w:w="6234" w:type="dxa"/>
            <w:vAlign w:val="center"/>
          </w:tcPr>
          <w:p>
            <w:pPr>
              <w:adjustRightInd w:val="0"/>
              <w:snapToGrid w:val="0"/>
              <w:spacing w:line="240" w:lineRule="auto"/>
              <w:rPr>
                <w:rFonts w:ascii="宋体" w:hAnsi="宋体" w:cs="宋体"/>
                <w:color w:val="auto"/>
                <w:sz w:val="24"/>
                <w:szCs w:val="24"/>
              </w:rPr>
            </w:pPr>
            <w:r>
              <w:rPr>
                <w:rFonts w:hint="eastAsia" w:ascii="宋体" w:hAnsi="宋体" w:cs="宋体"/>
                <w:color w:val="auto"/>
                <w:sz w:val="24"/>
                <w:szCs w:val="24"/>
              </w:rPr>
              <w:t>投标文件包括：</w:t>
            </w:r>
          </w:p>
          <w:p>
            <w:pPr>
              <w:adjustRightInd w:val="0"/>
              <w:snapToGrid w:val="0"/>
              <w:spacing w:line="240" w:lineRule="auto"/>
              <w:rPr>
                <w:rFonts w:ascii="宋体" w:hAnsi="宋体" w:cs="宋体"/>
                <w:color w:val="auto"/>
                <w:sz w:val="24"/>
                <w:szCs w:val="24"/>
              </w:rPr>
            </w:pPr>
            <w:r>
              <w:rPr>
                <w:rFonts w:hint="eastAsia" w:ascii="宋体" w:hAnsi="宋体" w:cs="宋体"/>
                <w:color w:val="auto"/>
                <w:sz w:val="24"/>
                <w:szCs w:val="24"/>
              </w:rPr>
              <w:t>1、投标文件：</w:t>
            </w:r>
            <w:r>
              <w:rPr>
                <w:rFonts w:hint="eastAsia" w:ascii="宋体" w:hAnsi="宋体" w:cs="宋体"/>
                <w:color w:val="auto"/>
                <w:sz w:val="24"/>
                <w:szCs w:val="24"/>
                <w:u w:val="single"/>
              </w:rPr>
              <w:t xml:space="preserve"> 5 </w:t>
            </w:r>
            <w:r>
              <w:rPr>
                <w:rFonts w:hint="eastAsia" w:ascii="宋体" w:hAnsi="宋体" w:cs="宋体"/>
                <w:color w:val="auto"/>
                <w:sz w:val="24"/>
                <w:szCs w:val="24"/>
              </w:rPr>
              <w:t>份，其中正本</w:t>
            </w:r>
            <w:r>
              <w:rPr>
                <w:rFonts w:hint="eastAsia" w:ascii="宋体" w:hAnsi="宋体" w:cs="宋体"/>
                <w:color w:val="auto"/>
                <w:sz w:val="24"/>
                <w:szCs w:val="24"/>
                <w:u w:val="single"/>
              </w:rPr>
              <w:t xml:space="preserve"> 1 </w:t>
            </w:r>
            <w:r>
              <w:rPr>
                <w:rFonts w:hint="eastAsia" w:ascii="宋体" w:hAnsi="宋体" w:cs="宋体"/>
                <w:color w:val="auto"/>
                <w:sz w:val="24"/>
                <w:szCs w:val="24"/>
              </w:rPr>
              <w:t>份，副本</w:t>
            </w:r>
            <w:r>
              <w:rPr>
                <w:rFonts w:hint="eastAsia" w:ascii="宋体" w:hAnsi="宋体" w:cs="宋体"/>
                <w:color w:val="auto"/>
                <w:sz w:val="24"/>
                <w:szCs w:val="24"/>
                <w:u w:val="single"/>
              </w:rPr>
              <w:t xml:space="preserve"> 4 </w:t>
            </w:r>
            <w:r>
              <w:rPr>
                <w:rFonts w:hint="eastAsia" w:ascii="宋体" w:hAnsi="宋体" w:cs="宋体"/>
                <w:color w:val="auto"/>
                <w:sz w:val="24"/>
                <w:szCs w:val="24"/>
              </w:rPr>
              <w:t>份；</w:t>
            </w:r>
          </w:p>
          <w:p>
            <w:pPr>
              <w:adjustRightInd w:val="0"/>
              <w:snapToGrid w:val="0"/>
              <w:spacing w:line="240" w:lineRule="auto"/>
              <w:rPr>
                <w:rFonts w:ascii="宋体" w:hAnsi="宋体" w:cs="宋体"/>
                <w:color w:val="auto"/>
                <w:sz w:val="24"/>
                <w:szCs w:val="24"/>
              </w:rPr>
            </w:pPr>
            <w:r>
              <w:rPr>
                <w:rFonts w:hint="eastAsia" w:ascii="宋体" w:hAnsi="宋体" w:cs="宋体"/>
                <w:color w:val="auto"/>
                <w:sz w:val="24"/>
                <w:szCs w:val="24"/>
              </w:rPr>
              <w:t>2、电子版U盘：</w:t>
            </w:r>
            <w:r>
              <w:rPr>
                <w:rFonts w:hint="eastAsia" w:ascii="宋体" w:hAnsi="宋体" w:cs="宋体"/>
                <w:color w:val="auto"/>
                <w:sz w:val="24"/>
                <w:szCs w:val="24"/>
                <w:u w:val="single"/>
              </w:rPr>
              <w:t xml:space="preserve"> 1 </w:t>
            </w:r>
            <w:r>
              <w:rPr>
                <w:rFonts w:hint="eastAsia" w:ascii="宋体" w:hAnsi="宋体" w:cs="宋体"/>
                <w:color w:val="auto"/>
                <w:sz w:val="24"/>
                <w:szCs w:val="24"/>
              </w:rPr>
              <w:t>份（供应商需将盖过章的投标文件扫描并按DPF格式保存）；</w:t>
            </w:r>
          </w:p>
          <w:p>
            <w:pPr>
              <w:adjustRightInd w:val="0"/>
              <w:snapToGrid w:val="0"/>
              <w:spacing w:line="240" w:lineRule="auto"/>
              <w:rPr>
                <w:rFonts w:ascii="宋体" w:hAnsi="宋体" w:cs="宋体"/>
                <w:color w:val="auto"/>
                <w:sz w:val="24"/>
                <w:szCs w:val="24"/>
              </w:rPr>
            </w:pPr>
            <w:r>
              <w:rPr>
                <w:rFonts w:hint="eastAsia" w:ascii="宋体" w:hAnsi="宋体" w:cs="宋体"/>
                <w:color w:val="auto"/>
                <w:sz w:val="24"/>
                <w:szCs w:val="24"/>
              </w:rPr>
              <w:t>3、开标一览表：</w:t>
            </w:r>
            <w:r>
              <w:rPr>
                <w:rFonts w:hint="eastAsia" w:ascii="宋体" w:hAnsi="宋体" w:cs="宋体"/>
                <w:color w:val="auto"/>
                <w:sz w:val="24"/>
                <w:szCs w:val="24"/>
                <w:u w:val="single"/>
              </w:rPr>
              <w:t xml:space="preserve"> 1 </w:t>
            </w:r>
            <w:r>
              <w:rPr>
                <w:rFonts w:hint="eastAsia" w:ascii="宋体" w:hAnsi="宋体" w:cs="宋体"/>
                <w:color w:val="auto"/>
                <w:sz w:val="24"/>
                <w:szCs w:val="24"/>
              </w:rPr>
              <w:t>份。</w:t>
            </w:r>
          </w:p>
          <w:p>
            <w:pPr>
              <w:adjustRightInd w:val="0"/>
              <w:snapToGrid w:val="0"/>
              <w:spacing w:line="240" w:lineRule="auto"/>
              <w:rPr>
                <w:rFonts w:ascii="宋体" w:hAnsi="宋体" w:cs="宋体"/>
                <w:color w:val="auto"/>
                <w:sz w:val="24"/>
                <w:szCs w:val="24"/>
              </w:rPr>
            </w:pPr>
            <w:r>
              <w:rPr>
                <w:rFonts w:hint="eastAsia" w:ascii="宋体" w:hAnsi="宋体" w:cs="宋体"/>
                <w:color w:val="auto"/>
                <w:sz w:val="24"/>
                <w:szCs w:val="24"/>
              </w:rPr>
              <w:t>以上内容做好标示，密封提交；投标文件正、副本分别密封；电子投标文件U盘及开标一览表分别单独密封。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adjustRightInd w:val="0"/>
              <w:snapToGrid w:val="0"/>
              <w:spacing w:line="240" w:lineRule="auto"/>
              <w:jc w:val="center"/>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8</w:t>
            </w:r>
          </w:p>
        </w:tc>
        <w:tc>
          <w:tcPr>
            <w:tcW w:w="2403" w:type="dxa"/>
            <w:gridSpan w:val="2"/>
            <w:vAlign w:val="center"/>
          </w:tcPr>
          <w:p>
            <w:pPr>
              <w:adjustRightInd w:val="0"/>
              <w:snapToGrid w:val="0"/>
              <w:spacing w:line="240" w:lineRule="auto"/>
              <w:jc w:val="center"/>
              <w:rPr>
                <w:rFonts w:ascii="宋体" w:hAnsi="宋体" w:cs="宋体"/>
                <w:color w:val="auto"/>
                <w:kern w:val="0"/>
                <w:sz w:val="24"/>
                <w:szCs w:val="24"/>
              </w:rPr>
            </w:pPr>
            <w:r>
              <w:rPr>
                <w:rFonts w:hint="eastAsia" w:ascii="宋体" w:hAnsi="宋体" w:cs="宋体"/>
                <w:color w:val="auto"/>
                <w:kern w:val="0"/>
                <w:sz w:val="24"/>
                <w:szCs w:val="24"/>
              </w:rPr>
              <w:t>开标时间及地点</w:t>
            </w:r>
          </w:p>
        </w:tc>
        <w:tc>
          <w:tcPr>
            <w:tcW w:w="6234" w:type="dxa"/>
            <w:vAlign w:val="center"/>
          </w:tcPr>
          <w:p>
            <w:pPr>
              <w:adjustRightInd w:val="0"/>
              <w:snapToGrid w:val="0"/>
              <w:spacing w:line="240" w:lineRule="auto"/>
              <w:rPr>
                <w:rFonts w:ascii="宋体" w:hAnsi="宋体" w:cs="宋体"/>
                <w:color w:val="auto"/>
                <w:sz w:val="24"/>
                <w:szCs w:val="24"/>
              </w:rPr>
            </w:pPr>
            <w:r>
              <w:rPr>
                <w:rFonts w:hint="eastAsia" w:ascii="宋体" w:hAnsi="宋体" w:cs="宋体"/>
                <w:color w:val="auto"/>
                <w:sz w:val="24"/>
                <w:szCs w:val="24"/>
              </w:rPr>
              <w:t>开标时间：202</w:t>
            </w:r>
            <w:r>
              <w:rPr>
                <w:rFonts w:hint="eastAsia" w:ascii="宋体" w:hAnsi="宋体" w:cs="宋体"/>
                <w:color w:val="auto"/>
                <w:sz w:val="24"/>
                <w:szCs w:val="24"/>
                <w:lang w:val="en-US" w:eastAsia="zh-CN"/>
              </w:rPr>
              <w:t>2</w:t>
            </w:r>
            <w:r>
              <w:rPr>
                <w:rFonts w:hint="eastAsia" w:ascii="宋体" w:hAnsi="宋体" w:cs="宋体"/>
                <w:color w:val="auto"/>
                <w:sz w:val="24"/>
                <w:szCs w:val="24"/>
              </w:rPr>
              <w:t>年</w:t>
            </w:r>
            <w:r>
              <w:rPr>
                <w:rFonts w:hint="eastAsia" w:ascii="宋体" w:hAnsi="宋体" w:cs="宋体"/>
                <w:color w:val="auto"/>
                <w:sz w:val="24"/>
                <w:szCs w:val="24"/>
                <w:lang w:val="en-US" w:eastAsia="zh-CN"/>
              </w:rPr>
              <w:t>06</w:t>
            </w:r>
            <w:r>
              <w:rPr>
                <w:rFonts w:hint="eastAsia" w:ascii="宋体" w:hAnsi="宋体" w:cs="宋体"/>
                <w:color w:val="auto"/>
                <w:sz w:val="24"/>
                <w:szCs w:val="24"/>
              </w:rPr>
              <w:t>月</w:t>
            </w:r>
            <w:r>
              <w:rPr>
                <w:rFonts w:hint="eastAsia" w:ascii="宋体" w:hAnsi="宋体" w:cs="宋体"/>
                <w:color w:val="auto"/>
                <w:sz w:val="24"/>
                <w:szCs w:val="24"/>
                <w:lang w:val="en-US" w:eastAsia="zh-CN"/>
              </w:rPr>
              <w:t>02</w:t>
            </w:r>
            <w:r>
              <w:rPr>
                <w:rFonts w:hint="eastAsia" w:ascii="宋体" w:hAnsi="宋体" w:cs="宋体"/>
                <w:color w:val="auto"/>
                <w:sz w:val="24"/>
                <w:szCs w:val="24"/>
              </w:rPr>
              <w:t>日1</w:t>
            </w:r>
            <w:r>
              <w:rPr>
                <w:rFonts w:hint="eastAsia" w:ascii="宋体" w:hAnsi="宋体" w:cs="宋体"/>
                <w:color w:val="auto"/>
                <w:sz w:val="24"/>
                <w:szCs w:val="24"/>
                <w:lang w:val="en-US" w:eastAsia="zh-CN"/>
              </w:rPr>
              <w:t>6</w:t>
            </w:r>
            <w:r>
              <w:rPr>
                <w:rFonts w:hint="eastAsia" w:ascii="宋体" w:hAnsi="宋体" w:cs="宋体"/>
                <w:color w:val="auto"/>
                <w:sz w:val="24"/>
                <w:szCs w:val="24"/>
              </w:rPr>
              <w:t>:00时（北京时间）</w:t>
            </w:r>
          </w:p>
          <w:p>
            <w:pPr>
              <w:adjustRightInd w:val="0"/>
              <w:snapToGrid w:val="0"/>
              <w:spacing w:line="240" w:lineRule="auto"/>
              <w:rPr>
                <w:rFonts w:ascii="宋体" w:hAnsi="宋体" w:cs="宋体"/>
                <w:color w:val="auto"/>
                <w:kern w:val="0"/>
                <w:sz w:val="24"/>
                <w:szCs w:val="24"/>
              </w:rPr>
            </w:pPr>
            <w:r>
              <w:rPr>
                <w:rFonts w:hint="eastAsia" w:ascii="宋体" w:hAnsi="宋体" w:cs="宋体"/>
                <w:color w:val="auto"/>
                <w:sz w:val="24"/>
                <w:szCs w:val="24"/>
              </w:rPr>
              <w:t>开标地点：</w:t>
            </w:r>
            <w:r>
              <w:rPr>
                <w:rFonts w:hint="eastAsia" w:ascii="宋体" w:hAnsi="宋体" w:cs="宋体"/>
                <w:color w:val="auto"/>
                <w:kern w:val="0"/>
                <w:sz w:val="24"/>
                <w:szCs w:val="24"/>
              </w:rPr>
              <w:t>乌鲁木齐市天山区红山路16号时代广场D座23楼1号会议室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adjustRightInd w:val="0"/>
              <w:snapToGrid w:val="0"/>
              <w:spacing w:line="240" w:lineRule="auto"/>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19</w:t>
            </w:r>
          </w:p>
        </w:tc>
        <w:tc>
          <w:tcPr>
            <w:tcW w:w="2403" w:type="dxa"/>
            <w:gridSpan w:val="2"/>
            <w:vAlign w:val="center"/>
          </w:tcPr>
          <w:p>
            <w:pPr>
              <w:adjustRightInd w:val="0"/>
              <w:snapToGrid w:val="0"/>
              <w:spacing w:line="240" w:lineRule="auto"/>
              <w:jc w:val="center"/>
              <w:rPr>
                <w:rFonts w:ascii="宋体" w:hAnsi="宋体" w:cs="宋体"/>
                <w:color w:val="auto"/>
                <w:kern w:val="0"/>
                <w:sz w:val="24"/>
                <w:szCs w:val="24"/>
              </w:rPr>
            </w:pPr>
            <w:r>
              <w:rPr>
                <w:rFonts w:hint="eastAsia" w:ascii="宋体" w:hAnsi="宋体" w:cs="宋体"/>
                <w:color w:val="auto"/>
                <w:kern w:val="0"/>
                <w:sz w:val="24"/>
                <w:szCs w:val="24"/>
              </w:rPr>
              <w:t>评标委员会的组成</w:t>
            </w:r>
          </w:p>
        </w:tc>
        <w:tc>
          <w:tcPr>
            <w:tcW w:w="6234" w:type="dxa"/>
            <w:vAlign w:val="center"/>
          </w:tcPr>
          <w:p>
            <w:pPr>
              <w:adjustRightInd w:val="0"/>
              <w:snapToGrid w:val="0"/>
              <w:spacing w:line="240" w:lineRule="auto"/>
              <w:rPr>
                <w:rFonts w:ascii="宋体" w:hAnsi="宋体" w:cs="宋体"/>
                <w:color w:val="auto"/>
                <w:sz w:val="24"/>
                <w:szCs w:val="24"/>
              </w:rPr>
            </w:pPr>
            <w:r>
              <w:rPr>
                <w:rFonts w:hint="eastAsia" w:ascii="宋体" w:hAnsi="宋体" w:cs="宋体"/>
                <w:color w:val="auto"/>
                <w:sz w:val="24"/>
                <w:szCs w:val="24"/>
              </w:rPr>
              <w:t>评标委员会构成</w:t>
            </w:r>
            <w:r>
              <w:rPr>
                <w:rFonts w:hint="eastAsia" w:ascii="宋体" w:hAnsi="宋体" w:cs="宋体"/>
                <w:b/>
                <w:color w:val="auto"/>
                <w:sz w:val="24"/>
                <w:szCs w:val="24"/>
              </w:rPr>
              <w:t>：</w:t>
            </w:r>
            <w:r>
              <w:rPr>
                <w:rFonts w:hint="eastAsia" w:ascii="宋体" w:hAnsi="宋体" w:cs="宋体"/>
                <w:b/>
                <w:color w:val="auto"/>
                <w:sz w:val="24"/>
                <w:szCs w:val="24"/>
                <w:u w:val="single"/>
              </w:rPr>
              <w:t xml:space="preserve"> </w:t>
            </w:r>
            <w:r>
              <w:rPr>
                <w:rFonts w:hint="eastAsia" w:ascii="宋体" w:hAnsi="宋体" w:cs="宋体"/>
                <w:bCs/>
                <w:color w:val="auto"/>
                <w:sz w:val="24"/>
                <w:szCs w:val="24"/>
                <w:u w:val="single"/>
              </w:rPr>
              <w:t>5</w:t>
            </w:r>
            <w:r>
              <w:rPr>
                <w:rFonts w:hint="eastAsia" w:ascii="宋体" w:hAnsi="宋体" w:cs="宋体"/>
                <w:b/>
                <w:color w:val="auto"/>
                <w:sz w:val="24"/>
                <w:szCs w:val="24"/>
                <w:u w:val="single"/>
              </w:rPr>
              <w:t xml:space="preserve"> </w:t>
            </w:r>
            <w:r>
              <w:rPr>
                <w:rFonts w:hint="eastAsia" w:ascii="宋体" w:hAnsi="宋体" w:cs="宋体"/>
                <w:color w:val="auto"/>
                <w:sz w:val="24"/>
                <w:szCs w:val="24"/>
              </w:rPr>
              <w:t>人，其中采购人代表人</w:t>
            </w:r>
            <w:r>
              <w:rPr>
                <w:rFonts w:hint="eastAsia" w:ascii="宋体" w:hAnsi="宋体" w:cs="宋体"/>
                <w:color w:val="auto"/>
                <w:sz w:val="24"/>
                <w:szCs w:val="24"/>
                <w:u w:val="single"/>
              </w:rPr>
              <w:t xml:space="preserve"> 1 </w:t>
            </w:r>
            <w:r>
              <w:rPr>
                <w:rFonts w:hint="eastAsia" w:ascii="宋体" w:hAnsi="宋体" w:cs="宋体"/>
                <w:color w:val="auto"/>
                <w:sz w:val="24"/>
                <w:szCs w:val="24"/>
              </w:rPr>
              <w:t>人</w:t>
            </w:r>
          </w:p>
          <w:p>
            <w:pPr>
              <w:adjustRightInd w:val="0"/>
              <w:snapToGrid w:val="0"/>
              <w:spacing w:line="240" w:lineRule="auto"/>
              <w:rPr>
                <w:rFonts w:ascii="宋体" w:hAnsi="宋体" w:cs="宋体"/>
                <w:color w:val="auto"/>
                <w:sz w:val="24"/>
                <w:szCs w:val="24"/>
              </w:rPr>
            </w:pPr>
            <w:r>
              <w:rPr>
                <w:rFonts w:hint="eastAsia" w:ascii="宋体" w:hAnsi="宋体" w:cs="宋体"/>
                <w:color w:val="auto"/>
                <w:sz w:val="24"/>
                <w:szCs w:val="24"/>
              </w:rPr>
              <w:t>评委确定方式：随机抽取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Merge w:val="restart"/>
            <w:vAlign w:val="center"/>
          </w:tcPr>
          <w:p>
            <w:pPr>
              <w:adjustRightInd w:val="0"/>
              <w:snapToGrid w:val="0"/>
              <w:spacing w:line="240" w:lineRule="auto"/>
              <w:jc w:val="center"/>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2</w:t>
            </w:r>
            <w:r>
              <w:rPr>
                <w:rFonts w:hint="eastAsia" w:ascii="宋体" w:hAnsi="宋体" w:cs="宋体"/>
                <w:color w:val="auto"/>
                <w:kern w:val="0"/>
                <w:sz w:val="24"/>
                <w:szCs w:val="24"/>
                <w:lang w:val="en-US" w:eastAsia="zh-CN"/>
              </w:rPr>
              <w:t>0</w:t>
            </w:r>
          </w:p>
        </w:tc>
        <w:tc>
          <w:tcPr>
            <w:tcW w:w="2403" w:type="dxa"/>
            <w:gridSpan w:val="2"/>
            <w:vMerge w:val="restart"/>
            <w:vAlign w:val="center"/>
          </w:tcPr>
          <w:p>
            <w:pPr>
              <w:adjustRightInd w:val="0"/>
              <w:snapToGrid w:val="0"/>
              <w:spacing w:line="240" w:lineRule="auto"/>
              <w:jc w:val="center"/>
              <w:rPr>
                <w:rFonts w:ascii="宋体" w:hAnsi="宋体" w:cs="宋体"/>
                <w:color w:val="auto"/>
                <w:kern w:val="0"/>
                <w:sz w:val="24"/>
                <w:szCs w:val="24"/>
              </w:rPr>
            </w:pPr>
            <w:r>
              <w:rPr>
                <w:rFonts w:hint="eastAsia" w:ascii="宋体" w:hAnsi="宋体" w:cs="宋体"/>
                <w:color w:val="auto"/>
                <w:kern w:val="0"/>
                <w:sz w:val="24"/>
                <w:szCs w:val="24"/>
              </w:rPr>
              <w:t>投标保证金</w:t>
            </w:r>
          </w:p>
        </w:tc>
        <w:tc>
          <w:tcPr>
            <w:tcW w:w="6234" w:type="dxa"/>
            <w:vAlign w:val="center"/>
          </w:tcPr>
          <w:p>
            <w:pPr>
              <w:adjustRightInd w:val="0"/>
              <w:snapToGrid w:val="0"/>
              <w:spacing w:line="240" w:lineRule="auto"/>
              <w:rPr>
                <w:rFonts w:ascii="宋体" w:hAnsi="宋体" w:cs="宋体"/>
                <w:bCs/>
                <w:color w:val="auto"/>
                <w:kern w:val="0"/>
                <w:sz w:val="24"/>
                <w:szCs w:val="24"/>
              </w:rPr>
            </w:pPr>
            <w:r>
              <w:rPr>
                <w:rFonts w:hint="eastAsia" w:ascii="宋体" w:hAnsi="宋体" w:cs="宋体"/>
                <w:color w:val="auto"/>
                <w:sz w:val="24"/>
                <w:szCs w:val="24"/>
              </w:rPr>
              <w:t>缴纳方式：电汇、网银转账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Merge w:val="continue"/>
            <w:vAlign w:val="center"/>
          </w:tcPr>
          <w:p>
            <w:pPr>
              <w:adjustRightInd w:val="0"/>
              <w:snapToGrid w:val="0"/>
              <w:spacing w:line="240" w:lineRule="auto"/>
              <w:jc w:val="center"/>
              <w:rPr>
                <w:rFonts w:ascii="宋体" w:hAnsi="宋体" w:cs="宋体"/>
                <w:color w:val="auto"/>
                <w:kern w:val="0"/>
                <w:sz w:val="24"/>
                <w:szCs w:val="24"/>
              </w:rPr>
            </w:pPr>
          </w:p>
        </w:tc>
        <w:tc>
          <w:tcPr>
            <w:tcW w:w="2403" w:type="dxa"/>
            <w:gridSpan w:val="2"/>
            <w:vMerge w:val="continue"/>
            <w:vAlign w:val="center"/>
          </w:tcPr>
          <w:p>
            <w:pPr>
              <w:adjustRightInd w:val="0"/>
              <w:snapToGrid w:val="0"/>
              <w:spacing w:line="240" w:lineRule="auto"/>
              <w:jc w:val="center"/>
              <w:rPr>
                <w:rFonts w:ascii="宋体" w:hAnsi="宋体" w:cs="宋体"/>
                <w:color w:val="auto"/>
                <w:kern w:val="0"/>
                <w:sz w:val="24"/>
                <w:szCs w:val="24"/>
              </w:rPr>
            </w:pPr>
          </w:p>
        </w:tc>
        <w:tc>
          <w:tcPr>
            <w:tcW w:w="6234" w:type="dxa"/>
            <w:vAlign w:val="center"/>
          </w:tcPr>
          <w:p>
            <w:pPr>
              <w:adjustRightInd w:val="0"/>
              <w:snapToGrid w:val="0"/>
              <w:spacing w:line="240" w:lineRule="auto"/>
              <w:rPr>
                <w:rFonts w:ascii="宋体" w:hAnsi="宋体" w:cs="宋体"/>
                <w:color w:val="auto"/>
                <w:kern w:val="0"/>
                <w:sz w:val="24"/>
                <w:szCs w:val="24"/>
              </w:rPr>
            </w:pPr>
            <w:r>
              <w:rPr>
                <w:rFonts w:hint="eastAsia" w:ascii="宋体" w:hAnsi="宋体" w:cs="宋体"/>
                <w:color w:val="auto"/>
                <w:kern w:val="0"/>
                <w:sz w:val="24"/>
                <w:szCs w:val="24"/>
              </w:rPr>
              <w:t>保证金金额：</w:t>
            </w:r>
            <w:r>
              <w:rPr>
                <w:rFonts w:hint="eastAsia" w:ascii="宋体" w:hAnsi="宋体" w:cs="宋体"/>
                <w:b/>
                <w:bCs/>
                <w:color w:val="auto"/>
                <w:kern w:val="0"/>
                <w:sz w:val="24"/>
                <w:szCs w:val="24"/>
                <w:lang w:val="en-US" w:eastAsia="zh-CN"/>
              </w:rPr>
              <w:t>贰仟元整</w:t>
            </w:r>
            <w:r>
              <w:rPr>
                <w:rFonts w:hint="eastAsia" w:ascii="宋体" w:hAnsi="宋体" w:cs="宋体"/>
                <w:b/>
                <w:bCs/>
                <w:color w:val="auto"/>
                <w:kern w:val="0"/>
                <w:sz w:val="24"/>
                <w:szCs w:val="24"/>
              </w:rPr>
              <w:t>（¥</w:t>
            </w:r>
            <w:r>
              <w:rPr>
                <w:rFonts w:hint="eastAsia" w:ascii="宋体" w:hAnsi="宋体" w:cs="宋体"/>
                <w:b/>
                <w:bCs/>
                <w:color w:val="auto"/>
                <w:kern w:val="0"/>
                <w:sz w:val="24"/>
                <w:szCs w:val="24"/>
                <w:lang w:val="en-US" w:eastAsia="zh-CN"/>
              </w:rPr>
              <w:t>2000</w:t>
            </w:r>
            <w:r>
              <w:rPr>
                <w:rFonts w:hint="eastAsia" w:ascii="宋体" w:hAnsi="宋体" w:cs="宋体"/>
                <w:b/>
                <w:bCs/>
                <w:color w:val="auto"/>
                <w:kern w:val="0"/>
                <w:sz w:val="24"/>
                <w:szCs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Merge w:val="continue"/>
            <w:vAlign w:val="center"/>
          </w:tcPr>
          <w:p>
            <w:pPr>
              <w:adjustRightInd w:val="0"/>
              <w:snapToGrid w:val="0"/>
              <w:spacing w:line="240" w:lineRule="auto"/>
              <w:jc w:val="center"/>
              <w:rPr>
                <w:rFonts w:ascii="宋体" w:hAnsi="宋体" w:cs="宋体"/>
                <w:color w:val="auto"/>
                <w:kern w:val="0"/>
                <w:sz w:val="24"/>
                <w:szCs w:val="24"/>
              </w:rPr>
            </w:pPr>
          </w:p>
        </w:tc>
        <w:tc>
          <w:tcPr>
            <w:tcW w:w="2403" w:type="dxa"/>
            <w:gridSpan w:val="2"/>
            <w:vMerge w:val="continue"/>
            <w:vAlign w:val="center"/>
          </w:tcPr>
          <w:p>
            <w:pPr>
              <w:adjustRightInd w:val="0"/>
              <w:snapToGrid w:val="0"/>
              <w:spacing w:line="240" w:lineRule="auto"/>
              <w:jc w:val="center"/>
              <w:rPr>
                <w:rFonts w:ascii="宋体" w:hAnsi="宋体" w:cs="宋体"/>
                <w:color w:val="auto"/>
                <w:kern w:val="0"/>
                <w:sz w:val="24"/>
                <w:szCs w:val="24"/>
              </w:rPr>
            </w:pPr>
          </w:p>
        </w:tc>
        <w:tc>
          <w:tcPr>
            <w:tcW w:w="6234" w:type="dxa"/>
            <w:vAlign w:val="center"/>
          </w:tcPr>
          <w:p>
            <w:pPr>
              <w:pStyle w:val="18"/>
              <w:adjustRightInd w:val="0"/>
              <w:snapToGrid w:val="0"/>
              <w:spacing w:after="0" w:line="240" w:lineRule="auto"/>
              <w:rPr>
                <w:rFonts w:ascii="宋体" w:hAnsi="宋体" w:cs="宋体"/>
                <w:color w:val="auto"/>
                <w:kern w:val="2"/>
              </w:rPr>
            </w:pPr>
            <w:r>
              <w:rPr>
                <w:rFonts w:hint="eastAsia" w:ascii="宋体" w:hAnsi="宋体" w:cs="宋体"/>
                <w:color w:val="auto"/>
                <w:kern w:val="2"/>
              </w:rPr>
              <w:t>开户名称：新疆兴立众工程咨询有限责任公司</w:t>
            </w:r>
          </w:p>
          <w:p>
            <w:pPr>
              <w:pStyle w:val="18"/>
              <w:adjustRightInd w:val="0"/>
              <w:snapToGrid w:val="0"/>
              <w:spacing w:after="0" w:line="240" w:lineRule="auto"/>
              <w:rPr>
                <w:rFonts w:ascii="宋体" w:hAnsi="宋体" w:cs="宋体"/>
                <w:color w:val="auto"/>
                <w:kern w:val="2"/>
              </w:rPr>
            </w:pPr>
            <w:r>
              <w:rPr>
                <w:rFonts w:hint="eastAsia" w:ascii="宋体" w:hAnsi="宋体" w:cs="宋体"/>
                <w:color w:val="auto"/>
                <w:kern w:val="2"/>
              </w:rPr>
              <w:t>开户银行：中国银行股份有限公司乌鲁木齐市光明路支行</w:t>
            </w:r>
          </w:p>
          <w:p>
            <w:pPr>
              <w:pStyle w:val="18"/>
              <w:adjustRightInd w:val="0"/>
              <w:snapToGrid w:val="0"/>
              <w:spacing w:after="0" w:line="240" w:lineRule="auto"/>
              <w:rPr>
                <w:rFonts w:ascii="宋体" w:hAnsi="宋体" w:cs="宋体"/>
                <w:color w:val="auto"/>
                <w:kern w:val="2"/>
              </w:rPr>
            </w:pPr>
            <w:r>
              <w:rPr>
                <w:rFonts w:hint="eastAsia" w:ascii="宋体" w:hAnsi="宋体" w:cs="宋体"/>
                <w:color w:val="auto"/>
                <w:kern w:val="2"/>
              </w:rPr>
              <w:t>银行账号：107060701529</w:t>
            </w:r>
          </w:p>
          <w:p>
            <w:pPr>
              <w:pStyle w:val="18"/>
              <w:adjustRightInd w:val="0"/>
              <w:snapToGrid w:val="0"/>
              <w:spacing w:after="0" w:line="240" w:lineRule="auto"/>
              <w:rPr>
                <w:rFonts w:ascii="宋体" w:hAnsi="宋体" w:cs="宋体"/>
                <w:color w:val="auto"/>
                <w:kern w:val="2"/>
              </w:rPr>
            </w:pPr>
            <w:r>
              <w:rPr>
                <w:rFonts w:hint="eastAsia" w:ascii="宋体" w:hAnsi="宋体" w:cs="宋体"/>
                <w:color w:val="auto"/>
                <w:kern w:val="2"/>
              </w:rPr>
              <w:t>银行行号：104881006055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Merge w:val="continue"/>
            <w:vAlign w:val="center"/>
          </w:tcPr>
          <w:p>
            <w:pPr>
              <w:adjustRightInd w:val="0"/>
              <w:snapToGrid w:val="0"/>
              <w:spacing w:line="240" w:lineRule="auto"/>
              <w:jc w:val="center"/>
              <w:rPr>
                <w:rFonts w:ascii="宋体" w:hAnsi="宋体" w:cs="宋体"/>
                <w:color w:val="auto"/>
                <w:kern w:val="0"/>
                <w:sz w:val="24"/>
                <w:szCs w:val="24"/>
              </w:rPr>
            </w:pPr>
          </w:p>
        </w:tc>
        <w:tc>
          <w:tcPr>
            <w:tcW w:w="2403" w:type="dxa"/>
            <w:gridSpan w:val="2"/>
            <w:vMerge w:val="continue"/>
            <w:vAlign w:val="center"/>
          </w:tcPr>
          <w:p>
            <w:pPr>
              <w:adjustRightInd w:val="0"/>
              <w:snapToGrid w:val="0"/>
              <w:spacing w:line="240" w:lineRule="auto"/>
              <w:jc w:val="center"/>
              <w:rPr>
                <w:rFonts w:ascii="宋体" w:hAnsi="宋体" w:cs="宋体"/>
                <w:color w:val="auto"/>
                <w:kern w:val="0"/>
                <w:sz w:val="24"/>
                <w:szCs w:val="24"/>
              </w:rPr>
            </w:pPr>
          </w:p>
        </w:tc>
        <w:tc>
          <w:tcPr>
            <w:tcW w:w="6234" w:type="dxa"/>
            <w:tcBorders>
              <w:bottom w:val="single" w:color="auto" w:sz="4" w:space="0"/>
            </w:tcBorders>
            <w:vAlign w:val="center"/>
          </w:tcPr>
          <w:p>
            <w:pPr>
              <w:adjustRightInd w:val="0"/>
              <w:snapToGrid w:val="0"/>
              <w:spacing w:line="240" w:lineRule="auto"/>
              <w:rPr>
                <w:rFonts w:ascii="宋体" w:hAnsi="宋体" w:cs="宋体"/>
                <w:color w:val="auto"/>
                <w:sz w:val="24"/>
                <w:szCs w:val="24"/>
              </w:rPr>
            </w:pPr>
            <w:r>
              <w:rPr>
                <w:rFonts w:hint="eastAsia" w:ascii="宋体" w:hAnsi="宋体" w:cs="宋体"/>
                <w:color w:val="auto"/>
                <w:sz w:val="24"/>
                <w:szCs w:val="24"/>
              </w:rPr>
              <w:t>到账截止时间：202</w:t>
            </w:r>
            <w:r>
              <w:rPr>
                <w:rFonts w:hint="eastAsia" w:ascii="宋体" w:hAnsi="宋体" w:cs="宋体"/>
                <w:color w:val="auto"/>
                <w:sz w:val="24"/>
                <w:szCs w:val="24"/>
                <w:lang w:val="en-US" w:eastAsia="zh-CN"/>
              </w:rPr>
              <w:t>2</w:t>
            </w:r>
            <w:r>
              <w:rPr>
                <w:rFonts w:hint="eastAsia" w:ascii="宋体" w:hAnsi="宋体" w:cs="宋体"/>
                <w:color w:val="auto"/>
                <w:sz w:val="24"/>
                <w:szCs w:val="24"/>
              </w:rPr>
              <w:t>年</w:t>
            </w:r>
            <w:r>
              <w:rPr>
                <w:rFonts w:hint="eastAsia" w:ascii="宋体" w:hAnsi="宋体" w:cs="宋体"/>
                <w:color w:val="auto"/>
                <w:sz w:val="24"/>
                <w:szCs w:val="24"/>
                <w:lang w:val="en-US" w:eastAsia="zh-CN"/>
              </w:rPr>
              <w:t>06</w:t>
            </w:r>
            <w:r>
              <w:rPr>
                <w:rFonts w:hint="eastAsia" w:ascii="宋体" w:hAnsi="宋体" w:cs="宋体"/>
                <w:color w:val="auto"/>
                <w:sz w:val="24"/>
                <w:szCs w:val="24"/>
              </w:rPr>
              <w:t>月</w:t>
            </w:r>
            <w:r>
              <w:rPr>
                <w:rFonts w:hint="eastAsia" w:ascii="宋体" w:hAnsi="宋体" w:cs="宋体"/>
                <w:color w:val="auto"/>
                <w:sz w:val="24"/>
                <w:szCs w:val="24"/>
                <w:lang w:val="en-US" w:eastAsia="zh-CN"/>
              </w:rPr>
              <w:t>02</w:t>
            </w:r>
            <w:r>
              <w:rPr>
                <w:rFonts w:hint="eastAsia" w:ascii="宋体" w:hAnsi="宋体" w:cs="宋体"/>
                <w:color w:val="auto"/>
                <w:sz w:val="24"/>
                <w:szCs w:val="24"/>
              </w:rPr>
              <w:t>日1</w:t>
            </w:r>
            <w:r>
              <w:rPr>
                <w:rFonts w:hint="eastAsia" w:ascii="宋体" w:hAnsi="宋体" w:cs="宋体"/>
                <w:color w:val="auto"/>
                <w:sz w:val="24"/>
                <w:szCs w:val="24"/>
                <w:lang w:val="en-US" w:eastAsia="zh-CN"/>
              </w:rPr>
              <w:t>6</w:t>
            </w:r>
            <w:r>
              <w:rPr>
                <w:rFonts w:hint="eastAsia" w:ascii="宋体" w:hAnsi="宋体" w:cs="宋体"/>
                <w:color w:val="auto"/>
                <w:sz w:val="24"/>
                <w:szCs w:val="24"/>
              </w:rPr>
              <w:t>:00（北京时间）</w:t>
            </w:r>
          </w:p>
          <w:p>
            <w:pPr>
              <w:pStyle w:val="138"/>
              <w:adjustRightInd w:val="0"/>
              <w:snapToGrid w:val="0"/>
              <w:spacing w:line="240" w:lineRule="auto"/>
              <w:ind w:firstLine="0" w:firstLineChars="0"/>
              <w:rPr>
                <w:rFonts w:ascii="宋体" w:hAnsi="宋体" w:cs="宋体"/>
                <w:color w:val="auto"/>
                <w:sz w:val="24"/>
                <w:szCs w:val="24"/>
              </w:rPr>
            </w:pPr>
            <w:r>
              <w:rPr>
                <w:rFonts w:hint="eastAsia" w:ascii="宋体" w:hAnsi="宋体" w:cs="宋体"/>
                <w:color w:val="auto"/>
                <w:sz w:val="24"/>
                <w:szCs w:val="24"/>
              </w:rPr>
              <w:t>注：（1）用转账或银行电汇提交保证金的，应当从其基本账户转入上述银行账户；未按招标要求缴纳投标保证金的，视为非实质性响应。（请各供应商在缴纳保证金时注明项目名称（若字数超标，可自行简写项目名称），如未注明，造成保证金无法查明的，责任由供应商承担）</w:t>
            </w:r>
          </w:p>
          <w:p>
            <w:pPr>
              <w:adjustRightInd w:val="0"/>
              <w:snapToGrid w:val="0"/>
              <w:spacing w:line="240" w:lineRule="auto"/>
              <w:rPr>
                <w:rFonts w:ascii="宋体" w:hAnsi="宋体" w:cs="宋体"/>
                <w:color w:val="auto"/>
                <w:sz w:val="24"/>
                <w:szCs w:val="24"/>
              </w:rPr>
            </w:pPr>
            <w:r>
              <w:rPr>
                <w:rFonts w:hint="eastAsia" w:ascii="宋体" w:hAnsi="宋体" w:cs="宋体"/>
                <w:color w:val="auto"/>
                <w:sz w:val="24"/>
                <w:szCs w:val="24"/>
              </w:rPr>
              <w:t>（2）供应商以转账或银行电汇形式提交保证金的应充分考虑资金在途时间，保证金应于投标保证金递交截止时间前到账。</w:t>
            </w:r>
          </w:p>
          <w:p>
            <w:pPr>
              <w:pStyle w:val="13"/>
              <w:adjustRightInd w:val="0"/>
              <w:snapToGrid w:val="0"/>
              <w:spacing w:line="240" w:lineRule="auto"/>
              <w:ind w:firstLine="0" w:firstLineChars="0"/>
              <w:rPr>
                <w:rFonts w:ascii="宋体" w:hAnsi="宋体" w:cs="宋体"/>
                <w:color w:val="auto"/>
                <w:sz w:val="24"/>
                <w:szCs w:val="28"/>
              </w:rPr>
            </w:pPr>
            <w:r>
              <w:rPr>
                <w:rFonts w:hint="eastAsia" w:ascii="宋体" w:hAnsi="宋体" w:cs="宋体"/>
                <w:color w:val="auto"/>
                <w:sz w:val="24"/>
                <w:szCs w:val="28"/>
              </w:rPr>
              <w:t>（3）财务电话：0991-2601599，有关保证金交纳及退还相关事相请与财务部联系。</w:t>
            </w:r>
          </w:p>
          <w:p>
            <w:pPr>
              <w:pStyle w:val="13"/>
              <w:adjustRightInd w:val="0"/>
              <w:snapToGrid w:val="0"/>
              <w:spacing w:line="240" w:lineRule="auto"/>
              <w:ind w:firstLine="0" w:firstLineChars="0"/>
              <w:rPr>
                <w:rFonts w:ascii="宋体" w:hAnsi="宋体" w:cs="宋体"/>
                <w:color w:val="auto"/>
              </w:rPr>
            </w:pPr>
            <w:r>
              <w:rPr>
                <w:rFonts w:hint="eastAsia" w:ascii="宋体" w:hAnsi="宋体" w:cs="宋体"/>
                <w:color w:val="auto"/>
                <w:sz w:val="24"/>
                <w:szCs w:val="28"/>
              </w:rPr>
              <w:t>（4）退投标保证金请联系业务员：马涛 电话：13899984798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adjustRightInd w:val="0"/>
              <w:snapToGrid w:val="0"/>
              <w:spacing w:line="240" w:lineRule="auto"/>
              <w:jc w:val="center"/>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2</w:t>
            </w:r>
            <w:r>
              <w:rPr>
                <w:rFonts w:hint="eastAsia" w:ascii="宋体" w:hAnsi="宋体" w:cs="宋体"/>
                <w:color w:val="auto"/>
                <w:kern w:val="0"/>
                <w:sz w:val="24"/>
                <w:szCs w:val="24"/>
                <w:lang w:val="en-US" w:eastAsia="zh-CN"/>
              </w:rPr>
              <w:t>1</w:t>
            </w:r>
          </w:p>
        </w:tc>
        <w:tc>
          <w:tcPr>
            <w:tcW w:w="2403" w:type="dxa"/>
            <w:gridSpan w:val="2"/>
            <w:vAlign w:val="center"/>
          </w:tcPr>
          <w:p>
            <w:pPr>
              <w:adjustRightInd w:val="0"/>
              <w:snapToGrid w:val="0"/>
              <w:spacing w:line="240" w:lineRule="auto"/>
              <w:jc w:val="center"/>
              <w:rPr>
                <w:rFonts w:ascii="宋体" w:hAnsi="宋体" w:cs="宋体"/>
                <w:color w:val="auto"/>
                <w:kern w:val="0"/>
                <w:sz w:val="24"/>
                <w:szCs w:val="24"/>
              </w:rPr>
            </w:pPr>
            <w:r>
              <w:rPr>
                <w:rFonts w:hint="eastAsia" w:ascii="宋体" w:hAnsi="宋体" w:cs="宋体"/>
                <w:color w:val="auto"/>
                <w:kern w:val="0"/>
                <w:sz w:val="24"/>
                <w:szCs w:val="24"/>
              </w:rPr>
              <w:t>评审方法</w:t>
            </w:r>
          </w:p>
        </w:tc>
        <w:tc>
          <w:tcPr>
            <w:tcW w:w="6234" w:type="dxa"/>
            <w:vAlign w:val="center"/>
          </w:tcPr>
          <w:p>
            <w:pPr>
              <w:adjustRightInd w:val="0"/>
              <w:snapToGrid w:val="0"/>
              <w:spacing w:line="240" w:lineRule="auto"/>
              <w:rPr>
                <w:rFonts w:ascii="宋体" w:hAnsi="宋体" w:cs="宋体"/>
                <w:color w:val="auto"/>
                <w:kern w:val="0"/>
                <w:sz w:val="24"/>
                <w:szCs w:val="24"/>
              </w:rPr>
            </w:pPr>
            <w:bookmarkStart w:id="16" w:name="EB9ad3541a282b4a7283f6b2d3dd53e7a3"/>
            <w:bookmarkEnd w:id="16"/>
            <w:r>
              <w:rPr>
                <w:rFonts w:hint="eastAsia" w:ascii="宋体" w:hAnsi="宋体" w:cs="宋体"/>
                <w:color w:val="auto"/>
                <w:kern w:val="0"/>
                <w:sz w:val="24"/>
                <w:szCs w:val="24"/>
              </w:rPr>
              <w:t>资格后审、综合评分法。</w:t>
            </w:r>
          </w:p>
          <w:p>
            <w:pPr>
              <w:adjustRightInd w:val="0"/>
              <w:snapToGrid w:val="0"/>
              <w:spacing w:line="240" w:lineRule="auto"/>
              <w:rPr>
                <w:rFonts w:ascii="宋体" w:hAnsi="宋体" w:cs="宋体"/>
                <w:color w:val="auto"/>
                <w:kern w:val="0"/>
                <w:sz w:val="24"/>
                <w:szCs w:val="24"/>
              </w:rPr>
            </w:pPr>
            <w:r>
              <w:rPr>
                <w:rFonts w:hint="eastAsia" w:ascii="宋体" w:hAnsi="宋体" w:cs="宋体"/>
                <w:color w:val="auto"/>
                <w:kern w:val="0"/>
                <w:sz w:val="24"/>
                <w:szCs w:val="24"/>
              </w:rPr>
              <w:t>注：综合评分法是指在最大限度地满足招标文件实质性要求前提下，按照招标文件中规定的评分细则评审后，以评标最终得分最高的供应商作为中标人的评标方法。每一供应商的最终得分为所有评委评分的算术平均值</w:t>
            </w:r>
            <w:r>
              <w:rPr>
                <w:rFonts w:hint="eastAsia" w:ascii="宋体" w:hAnsi="宋体" w:cs="宋体"/>
                <w:b/>
                <w:color w:val="auto"/>
                <w:kern w:val="0"/>
                <w:sz w:val="24"/>
                <w:szCs w:val="24"/>
              </w:rPr>
              <w:t>。</w:t>
            </w:r>
            <w:r>
              <w:rPr>
                <w:rFonts w:hint="eastAsia" w:ascii="宋体" w:hAnsi="宋体" w:cs="宋体"/>
                <w:color w:val="auto"/>
                <w:kern w:val="0"/>
                <w:sz w:val="24"/>
                <w:szCs w:val="24"/>
              </w:rPr>
              <w:t>得分相同的，报价较低的一方为中标人。得分且投标报价相同的，技术指标较优的一方为中标人。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adjustRightInd w:val="0"/>
              <w:snapToGrid w:val="0"/>
              <w:spacing w:line="240" w:lineRule="auto"/>
              <w:jc w:val="center"/>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2</w:t>
            </w:r>
            <w:r>
              <w:rPr>
                <w:rFonts w:hint="eastAsia" w:ascii="宋体" w:hAnsi="宋体" w:cs="宋体"/>
                <w:color w:val="auto"/>
                <w:kern w:val="0"/>
                <w:sz w:val="24"/>
                <w:szCs w:val="24"/>
                <w:lang w:val="en-US" w:eastAsia="zh-CN"/>
              </w:rPr>
              <w:t>2</w:t>
            </w:r>
          </w:p>
        </w:tc>
        <w:tc>
          <w:tcPr>
            <w:tcW w:w="2403" w:type="dxa"/>
            <w:gridSpan w:val="2"/>
            <w:vAlign w:val="center"/>
          </w:tcPr>
          <w:p>
            <w:pPr>
              <w:adjustRightInd w:val="0"/>
              <w:snapToGrid w:val="0"/>
              <w:spacing w:line="240" w:lineRule="auto"/>
              <w:jc w:val="center"/>
              <w:rPr>
                <w:rFonts w:ascii="宋体" w:hAnsi="宋体" w:cs="宋体"/>
                <w:color w:val="auto"/>
                <w:kern w:val="0"/>
                <w:sz w:val="24"/>
                <w:szCs w:val="24"/>
              </w:rPr>
            </w:pPr>
            <w:r>
              <w:rPr>
                <w:rFonts w:hint="eastAsia" w:ascii="宋体" w:hAnsi="宋体" w:cs="宋体"/>
                <w:color w:val="auto"/>
                <w:kern w:val="0"/>
                <w:sz w:val="24"/>
                <w:szCs w:val="24"/>
              </w:rPr>
              <w:t>资格审查材料</w:t>
            </w:r>
          </w:p>
        </w:tc>
        <w:tc>
          <w:tcPr>
            <w:tcW w:w="6234" w:type="dxa"/>
            <w:vAlign w:val="center"/>
          </w:tcPr>
          <w:p>
            <w:pPr>
              <w:adjustRightInd w:val="0"/>
              <w:snapToGrid w:val="0"/>
              <w:spacing w:line="240" w:lineRule="auto"/>
              <w:rPr>
                <w:rFonts w:hint="eastAsia" w:ascii="宋体" w:hAnsi="宋体" w:cs="宋体"/>
                <w:b/>
                <w:bCs/>
                <w:color w:val="auto"/>
                <w:kern w:val="0"/>
                <w:sz w:val="24"/>
                <w:szCs w:val="24"/>
              </w:rPr>
            </w:pPr>
            <w:r>
              <w:rPr>
                <w:rFonts w:hint="eastAsia" w:ascii="宋体" w:hAnsi="宋体" w:cs="宋体"/>
                <w:b/>
                <w:bCs/>
                <w:color w:val="auto"/>
                <w:kern w:val="0"/>
                <w:sz w:val="24"/>
                <w:szCs w:val="24"/>
              </w:rPr>
              <w:t>各供应商开标会现场需携带以下内容原件进行资格审查：</w:t>
            </w:r>
          </w:p>
          <w:p>
            <w:pPr>
              <w:adjustRightInd w:val="0"/>
              <w:snapToGrid w:val="0"/>
              <w:spacing w:line="240" w:lineRule="auto"/>
              <w:rPr>
                <w:rFonts w:hint="eastAsia" w:ascii="宋体" w:hAnsi="宋体" w:cs="宋体"/>
                <w:color w:val="auto"/>
                <w:kern w:val="0"/>
                <w:sz w:val="24"/>
                <w:szCs w:val="24"/>
              </w:rPr>
            </w:pPr>
            <w:r>
              <w:rPr>
                <w:rFonts w:hint="eastAsia" w:ascii="宋体" w:hAnsi="宋体" w:cs="宋体"/>
                <w:color w:val="auto"/>
                <w:kern w:val="0"/>
                <w:sz w:val="24"/>
                <w:szCs w:val="24"/>
              </w:rPr>
              <w:t>（1）营业执照；</w:t>
            </w:r>
          </w:p>
          <w:p>
            <w:pPr>
              <w:adjustRightInd w:val="0"/>
              <w:snapToGrid w:val="0"/>
              <w:spacing w:line="240" w:lineRule="auto"/>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w:t>
            </w:r>
            <w:r>
              <w:rPr>
                <w:rFonts w:hint="eastAsia" w:ascii="宋体" w:hAnsi="宋体" w:cs="宋体"/>
                <w:color w:val="auto"/>
                <w:sz w:val="24"/>
                <w:szCs w:val="24"/>
                <w:lang w:val="en-US" w:eastAsia="zh-CN"/>
              </w:rPr>
              <w:t>通信专业工程监理</w:t>
            </w:r>
            <w:r>
              <w:rPr>
                <w:rStyle w:val="37"/>
                <w:rFonts w:hint="eastAsia" w:asciiTheme="minorEastAsia" w:hAnsiTheme="minorEastAsia" w:eastAsiaTheme="minorEastAsia" w:cstheme="minorEastAsia"/>
                <w:b w:val="0"/>
                <w:bCs w:val="0"/>
                <w:color w:val="auto"/>
                <w:sz w:val="24"/>
                <w:szCs w:val="24"/>
                <w:highlight w:val="none"/>
                <w:lang w:val="en-US" w:eastAsia="zh-CN"/>
              </w:rPr>
              <w:t>乙级及以上</w:t>
            </w:r>
            <w:r>
              <w:rPr>
                <w:rFonts w:hint="eastAsia" w:ascii="宋体" w:hAnsi="宋体" w:cs="宋体"/>
                <w:color w:val="auto"/>
                <w:sz w:val="24"/>
                <w:szCs w:val="24"/>
                <w:lang w:val="en-US" w:eastAsia="zh-CN"/>
              </w:rPr>
              <w:t>资质或工程监理综合资质证书</w:t>
            </w:r>
            <w:r>
              <w:rPr>
                <w:rFonts w:hint="eastAsia" w:ascii="宋体" w:hAnsi="宋体" w:cs="宋体"/>
                <w:color w:val="auto"/>
                <w:kern w:val="0"/>
                <w:sz w:val="24"/>
                <w:szCs w:val="24"/>
                <w:lang w:val="en-US" w:eastAsia="zh-CN"/>
              </w:rPr>
              <w:t>；</w:t>
            </w:r>
          </w:p>
          <w:p>
            <w:pPr>
              <w:adjustRightInd w:val="0"/>
              <w:snapToGrid w:val="0"/>
              <w:spacing w:line="240" w:lineRule="auto"/>
              <w:rPr>
                <w:rFonts w:hint="eastAsia" w:ascii="宋体" w:hAnsi="宋体" w:cs="宋体"/>
                <w:color w:val="auto"/>
                <w:kern w:val="0"/>
                <w:sz w:val="24"/>
                <w:szCs w:val="24"/>
              </w:rPr>
            </w:pP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）供应商代表随身携带一份法定代表人授权委托书、有效身份证明原件（如供应商代表为企业法定代表人，则需要提供有效身份证明及法定代表人身份证明书原件），以证明其身份；</w:t>
            </w:r>
          </w:p>
          <w:p>
            <w:pPr>
              <w:adjustRightInd w:val="0"/>
              <w:snapToGrid w:val="0"/>
              <w:spacing w:line="240" w:lineRule="auto"/>
              <w:rPr>
                <w:rFonts w:hint="eastAsia" w:ascii="宋体" w:hAnsi="宋体" w:cs="宋体"/>
                <w:color w:val="auto"/>
                <w:kern w:val="0"/>
                <w:sz w:val="24"/>
                <w:szCs w:val="24"/>
              </w:rPr>
            </w:pPr>
            <w:r>
              <w:rPr>
                <w:rFonts w:hint="eastAsia" w:ascii="宋体" w:hAnsi="宋体" w:cs="宋体"/>
                <w:color w:val="auto"/>
                <w:kern w:val="0"/>
                <w:sz w:val="24"/>
                <w:szCs w:val="24"/>
              </w:rPr>
              <w:t>（3）投标保证金收据（以采购代理公司出具为准）。</w:t>
            </w:r>
          </w:p>
          <w:p>
            <w:pPr>
              <w:adjustRightInd w:val="0"/>
              <w:snapToGrid w:val="0"/>
              <w:spacing w:line="240" w:lineRule="auto"/>
              <w:rPr>
                <w:rFonts w:hint="eastAsia" w:ascii="宋体" w:hAnsi="宋体" w:cs="宋体"/>
                <w:color w:val="auto"/>
                <w:kern w:val="0"/>
                <w:sz w:val="24"/>
                <w:szCs w:val="24"/>
              </w:rPr>
            </w:pPr>
            <w:r>
              <w:rPr>
                <w:rFonts w:hint="eastAsia" w:ascii="宋体" w:hAnsi="宋体" w:cs="宋体"/>
                <w:b/>
                <w:bCs/>
                <w:color w:val="auto"/>
                <w:kern w:val="0"/>
                <w:sz w:val="24"/>
                <w:szCs w:val="24"/>
              </w:rPr>
              <w:t>任何对招标文件的误解所造成的损失，均由供应商自行承担。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adjustRightInd w:val="0"/>
              <w:snapToGrid w:val="0"/>
              <w:spacing w:line="240" w:lineRule="auto"/>
              <w:jc w:val="center"/>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2</w:t>
            </w:r>
            <w:r>
              <w:rPr>
                <w:rFonts w:hint="eastAsia" w:ascii="宋体" w:hAnsi="宋体" w:cs="宋体"/>
                <w:color w:val="auto"/>
                <w:kern w:val="0"/>
                <w:sz w:val="24"/>
                <w:szCs w:val="24"/>
                <w:lang w:val="en-US" w:eastAsia="zh-CN"/>
              </w:rPr>
              <w:t>3</w:t>
            </w:r>
          </w:p>
        </w:tc>
        <w:tc>
          <w:tcPr>
            <w:tcW w:w="2403" w:type="dxa"/>
            <w:gridSpan w:val="2"/>
            <w:vAlign w:val="center"/>
          </w:tcPr>
          <w:p>
            <w:pPr>
              <w:adjustRightInd w:val="0"/>
              <w:snapToGrid w:val="0"/>
              <w:spacing w:line="240" w:lineRule="auto"/>
              <w:jc w:val="center"/>
              <w:rPr>
                <w:rFonts w:ascii="宋体" w:hAnsi="宋体" w:cs="宋体"/>
                <w:color w:val="auto"/>
                <w:kern w:val="0"/>
                <w:sz w:val="24"/>
                <w:szCs w:val="24"/>
              </w:rPr>
            </w:pPr>
            <w:r>
              <w:rPr>
                <w:rFonts w:hint="eastAsia" w:ascii="宋体" w:hAnsi="宋体" w:cs="宋体"/>
                <w:color w:val="auto"/>
                <w:kern w:val="0"/>
                <w:sz w:val="24"/>
                <w:szCs w:val="24"/>
              </w:rPr>
              <w:t>踏勘现场</w:t>
            </w:r>
          </w:p>
        </w:tc>
        <w:tc>
          <w:tcPr>
            <w:tcW w:w="6234" w:type="dxa"/>
            <w:vAlign w:val="center"/>
          </w:tcPr>
          <w:p>
            <w:pPr>
              <w:adjustRightInd w:val="0"/>
              <w:snapToGrid w:val="0"/>
              <w:spacing w:line="240" w:lineRule="auto"/>
              <w:rPr>
                <w:rFonts w:ascii="宋体" w:hAnsi="宋体" w:cs="宋体"/>
                <w:color w:val="auto"/>
                <w:kern w:val="0"/>
                <w:sz w:val="24"/>
                <w:szCs w:val="24"/>
              </w:rPr>
            </w:pPr>
            <w:bookmarkStart w:id="17" w:name="EB0074e2ed01924d5f940b01ce03dab020"/>
            <w:bookmarkEnd w:id="17"/>
            <w:bookmarkStart w:id="18" w:name="EBfac76cf65e4c418cba0e15c753f1359b"/>
            <w:bookmarkEnd w:id="18"/>
            <w:r>
              <w:rPr>
                <w:rFonts w:hint="eastAsia" w:ascii="宋体" w:hAnsi="宋体" w:cs="宋体"/>
                <w:color w:val="auto"/>
                <w:kern w:val="0"/>
                <w:sz w:val="24"/>
                <w:szCs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adjustRightInd w:val="0"/>
              <w:snapToGrid w:val="0"/>
              <w:spacing w:line="240" w:lineRule="auto"/>
              <w:jc w:val="center"/>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2</w:t>
            </w:r>
            <w:r>
              <w:rPr>
                <w:rFonts w:hint="eastAsia" w:ascii="宋体" w:hAnsi="宋体" w:cs="宋体"/>
                <w:color w:val="auto"/>
                <w:kern w:val="0"/>
                <w:sz w:val="24"/>
                <w:szCs w:val="24"/>
                <w:lang w:val="en-US" w:eastAsia="zh-CN"/>
              </w:rPr>
              <w:t>4</w:t>
            </w:r>
          </w:p>
        </w:tc>
        <w:tc>
          <w:tcPr>
            <w:tcW w:w="2403" w:type="dxa"/>
            <w:gridSpan w:val="2"/>
            <w:vAlign w:val="center"/>
          </w:tcPr>
          <w:p>
            <w:pPr>
              <w:adjustRightInd w:val="0"/>
              <w:snapToGrid w:val="0"/>
              <w:spacing w:line="240" w:lineRule="auto"/>
              <w:jc w:val="center"/>
              <w:rPr>
                <w:rFonts w:ascii="宋体" w:hAnsi="宋体" w:cs="宋体"/>
                <w:color w:val="auto"/>
                <w:kern w:val="0"/>
                <w:sz w:val="24"/>
                <w:szCs w:val="24"/>
              </w:rPr>
            </w:pPr>
            <w:r>
              <w:rPr>
                <w:rFonts w:hint="eastAsia" w:ascii="宋体" w:hAnsi="宋体" w:cs="宋体"/>
                <w:color w:val="auto"/>
                <w:sz w:val="24"/>
              </w:rPr>
              <w:t>是否接受进口产品</w:t>
            </w:r>
          </w:p>
        </w:tc>
        <w:tc>
          <w:tcPr>
            <w:tcW w:w="6234" w:type="dxa"/>
            <w:vAlign w:val="center"/>
          </w:tcPr>
          <w:p>
            <w:pPr>
              <w:adjustRightInd w:val="0"/>
              <w:snapToGrid w:val="0"/>
              <w:spacing w:line="240" w:lineRule="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adjustRightInd w:val="0"/>
              <w:snapToGrid w:val="0"/>
              <w:spacing w:line="240" w:lineRule="auto"/>
              <w:jc w:val="center"/>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2</w:t>
            </w:r>
            <w:r>
              <w:rPr>
                <w:rFonts w:hint="eastAsia" w:ascii="宋体" w:hAnsi="宋体" w:cs="宋体"/>
                <w:color w:val="auto"/>
                <w:kern w:val="0"/>
                <w:sz w:val="24"/>
                <w:szCs w:val="24"/>
                <w:lang w:val="en-US" w:eastAsia="zh-CN"/>
              </w:rPr>
              <w:t>5</w:t>
            </w:r>
          </w:p>
        </w:tc>
        <w:tc>
          <w:tcPr>
            <w:tcW w:w="2403" w:type="dxa"/>
            <w:gridSpan w:val="2"/>
            <w:vAlign w:val="center"/>
          </w:tcPr>
          <w:p>
            <w:pPr>
              <w:adjustRightInd w:val="0"/>
              <w:snapToGrid w:val="0"/>
              <w:spacing w:line="240" w:lineRule="auto"/>
              <w:jc w:val="center"/>
              <w:rPr>
                <w:rFonts w:ascii="宋体" w:hAnsi="宋体" w:cs="宋体"/>
                <w:color w:val="auto"/>
                <w:kern w:val="0"/>
                <w:sz w:val="24"/>
                <w:szCs w:val="24"/>
              </w:rPr>
            </w:pPr>
            <w:r>
              <w:rPr>
                <w:rFonts w:hint="eastAsia" w:ascii="宋体" w:hAnsi="宋体" w:cs="宋体"/>
                <w:color w:val="auto"/>
                <w:sz w:val="24"/>
                <w:szCs w:val="24"/>
              </w:rPr>
              <w:t>技术部分是否采用“暗标”评审</w:t>
            </w:r>
          </w:p>
        </w:tc>
        <w:tc>
          <w:tcPr>
            <w:tcW w:w="6234" w:type="dxa"/>
            <w:vAlign w:val="center"/>
          </w:tcPr>
          <w:p>
            <w:pPr>
              <w:adjustRightInd w:val="0"/>
              <w:snapToGrid w:val="0"/>
              <w:spacing w:line="240" w:lineRule="auto"/>
              <w:rPr>
                <w:rFonts w:ascii="宋体" w:hAnsi="宋体" w:cs="宋体"/>
                <w:color w:val="auto"/>
                <w:sz w:val="24"/>
                <w:szCs w:val="24"/>
              </w:rPr>
            </w:pPr>
            <w:r>
              <w:rPr>
                <w:rFonts w:hint="eastAsia" w:ascii="宋体" w:hAnsi="宋体" w:cs="宋体"/>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adjustRightInd w:val="0"/>
              <w:snapToGrid w:val="0"/>
              <w:spacing w:line="240" w:lineRule="auto"/>
              <w:jc w:val="center"/>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2</w:t>
            </w:r>
            <w:r>
              <w:rPr>
                <w:rFonts w:hint="eastAsia" w:ascii="宋体" w:hAnsi="宋体" w:cs="宋体"/>
                <w:color w:val="auto"/>
                <w:kern w:val="0"/>
                <w:sz w:val="24"/>
                <w:szCs w:val="24"/>
                <w:lang w:val="en-US" w:eastAsia="zh-CN"/>
              </w:rPr>
              <w:t>6</w:t>
            </w:r>
          </w:p>
        </w:tc>
        <w:tc>
          <w:tcPr>
            <w:tcW w:w="2403" w:type="dxa"/>
            <w:gridSpan w:val="2"/>
            <w:vAlign w:val="center"/>
          </w:tcPr>
          <w:p>
            <w:pPr>
              <w:autoSpaceDE w:val="0"/>
              <w:autoSpaceDN w:val="0"/>
              <w:adjustRightInd w:val="0"/>
              <w:snapToGrid w:val="0"/>
              <w:spacing w:line="240" w:lineRule="auto"/>
              <w:jc w:val="center"/>
              <w:rPr>
                <w:rFonts w:ascii="宋体" w:hAnsi="宋体" w:cs="宋体"/>
                <w:color w:val="auto"/>
                <w:kern w:val="0"/>
                <w:sz w:val="24"/>
                <w:szCs w:val="24"/>
              </w:rPr>
            </w:pPr>
            <w:r>
              <w:rPr>
                <w:rFonts w:hint="eastAsia" w:ascii="宋体" w:hAnsi="宋体" w:cs="宋体"/>
                <w:color w:val="auto"/>
                <w:kern w:val="0"/>
                <w:sz w:val="24"/>
                <w:szCs w:val="24"/>
              </w:rPr>
              <w:t>争议的解决</w:t>
            </w:r>
          </w:p>
        </w:tc>
        <w:tc>
          <w:tcPr>
            <w:tcW w:w="6234" w:type="dxa"/>
            <w:vAlign w:val="center"/>
          </w:tcPr>
          <w:p>
            <w:pPr>
              <w:autoSpaceDE w:val="0"/>
              <w:autoSpaceDN w:val="0"/>
              <w:adjustRightInd w:val="0"/>
              <w:snapToGrid w:val="0"/>
              <w:spacing w:line="240" w:lineRule="auto"/>
              <w:rPr>
                <w:rFonts w:ascii="宋体" w:hAnsi="宋体" w:cs="宋体"/>
                <w:b/>
                <w:color w:val="auto"/>
                <w:sz w:val="24"/>
                <w:szCs w:val="24"/>
              </w:rPr>
            </w:pPr>
            <w:bookmarkStart w:id="19" w:name="EB2f5f405fa5e847b7b1e93aa13e02f53c"/>
            <w:bookmarkEnd w:id="19"/>
            <w:bookmarkStart w:id="20" w:name="EB032dd5bb9a2a45ea8238724fe0749933"/>
            <w:bookmarkEnd w:id="20"/>
            <w:r>
              <w:rPr>
                <w:rFonts w:hint="eastAsia" w:ascii="宋体" w:hAnsi="宋体" w:cs="宋体"/>
                <w:color w:val="auto"/>
                <w:sz w:val="24"/>
                <w:szCs w:val="24"/>
              </w:rPr>
              <w:t>中标后甲乙双方协商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adjustRightInd w:val="0"/>
              <w:snapToGrid w:val="0"/>
              <w:spacing w:line="240" w:lineRule="auto"/>
              <w:jc w:val="center"/>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2</w:t>
            </w:r>
            <w:r>
              <w:rPr>
                <w:rFonts w:hint="eastAsia" w:ascii="宋体" w:hAnsi="宋体" w:cs="宋体"/>
                <w:color w:val="auto"/>
                <w:kern w:val="0"/>
                <w:sz w:val="24"/>
                <w:szCs w:val="24"/>
                <w:lang w:val="en-US" w:eastAsia="zh-CN"/>
              </w:rPr>
              <w:t>7</w:t>
            </w:r>
          </w:p>
        </w:tc>
        <w:tc>
          <w:tcPr>
            <w:tcW w:w="2403" w:type="dxa"/>
            <w:gridSpan w:val="2"/>
            <w:vAlign w:val="center"/>
          </w:tcPr>
          <w:p>
            <w:pPr>
              <w:adjustRightInd w:val="0"/>
              <w:snapToGrid w:val="0"/>
              <w:spacing w:line="240" w:lineRule="auto"/>
              <w:jc w:val="center"/>
              <w:rPr>
                <w:rFonts w:ascii="宋体" w:hAnsi="宋体" w:cs="宋体"/>
                <w:b/>
                <w:bCs/>
                <w:color w:val="auto"/>
                <w:kern w:val="0"/>
                <w:sz w:val="24"/>
                <w:szCs w:val="24"/>
              </w:rPr>
            </w:pPr>
            <w:r>
              <w:rPr>
                <w:rFonts w:hint="eastAsia" w:ascii="宋体" w:hAnsi="宋体" w:cs="宋体"/>
                <w:color w:val="auto"/>
                <w:kern w:val="0"/>
                <w:sz w:val="24"/>
                <w:szCs w:val="24"/>
              </w:rPr>
              <w:t>招标代理服务费</w:t>
            </w:r>
          </w:p>
        </w:tc>
        <w:tc>
          <w:tcPr>
            <w:tcW w:w="6234" w:type="dxa"/>
            <w:vAlign w:val="center"/>
          </w:tcPr>
          <w:p>
            <w:pPr>
              <w:adjustRightInd w:val="0"/>
              <w:snapToGrid w:val="0"/>
              <w:spacing w:line="240" w:lineRule="auto"/>
              <w:rPr>
                <w:rFonts w:ascii="宋体" w:hAnsi="宋体" w:cs="宋体"/>
                <w:b/>
                <w:bCs/>
                <w:color w:val="auto"/>
                <w:sz w:val="24"/>
                <w:szCs w:val="24"/>
              </w:rPr>
            </w:pPr>
            <w:r>
              <w:rPr>
                <w:rFonts w:hint="eastAsia" w:ascii="宋体" w:hAnsi="宋体" w:cs="宋体"/>
                <w:color w:val="auto"/>
                <w:sz w:val="24"/>
              </w:rPr>
              <w:t>根据国家相关法律法规规定，由中标人支付。</w:t>
            </w:r>
          </w:p>
        </w:tc>
      </w:tr>
    </w:tbl>
    <w:p>
      <w:pPr>
        <w:spacing w:line="360" w:lineRule="auto"/>
        <w:ind w:left="602" w:right="-307" w:rightChars="-146" w:hanging="602" w:hangingChars="250"/>
        <w:rPr>
          <w:rFonts w:ascii="宋体" w:hAnsi="宋体" w:cs="宋体"/>
          <w:b/>
          <w:bCs/>
          <w:color w:val="auto"/>
          <w:kern w:val="0"/>
          <w:sz w:val="24"/>
        </w:rPr>
      </w:pPr>
      <w:r>
        <w:rPr>
          <w:rFonts w:hint="eastAsia" w:ascii="宋体" w:hAnsi="宋体" w:cs="宋体"/>
          <w:b/>
          <w:bCs/>
          <w:color w:val="auto"/>
          <w:kern w:val="0"/>
          <w:sz w:val="24"/>
        </w:rPr>
        <w:t>注：1.本表中加★项目若有缺失或无效，将导致投标无效且不允许在开标后补正；</w:t>
      </w:r>
    </w:p>
    <w:p>
      <w:pPr>
        <w:spacing w:line="360" w:lineRule="auto"/>
        <w:ind w:left="601" w:leftChars="229" w:right="-307" w:rightChars="-146" w:hanging="120" w:hangingChars="50"/>
        <w:rPr>
          <w:rFonts w:ascii="宋体" w:hAnsi="宋体" w:cs="宋体"/>
          <w:b/>
          <w:bCs/>
          <w:color w:val="auto"/>
          <w:kern w:val="0"/>
          <w:sz w:val="24"/>
        </w:rPr>
      </w:pPr>
      <w:r>
        <w:rPr>
          <w:rFonts w:hint="eastAsia" w:ascii="宋体" w:hAnsi="宋体" w:cs="宋体"/>
          <w:b/>
          <w:bCs/>
          <w:color w:val="auto"/>
          <w:kern w:val="0"/>
          <w:sz w:val="24"/>
        </w:rPr>
        <w:t>2.本表内容与招标文件其它内容不一致的，应当以本表内容为准。</w:t>
      </w:r>
      <w:bookmarkStart w:id="21" w:name="_Toc18264"/>
    </w:p>
    <w:p>
      <w:pPr>
        <w:spacing w:line="360" w:lineRule="exact"/>
        <w:jc w:val="center"/>
        <w:outlineLvl w:val="1"/>
        <w:rPr>
          <w:rFonts w:ascii="宋体" w:hAnsi="宋体" w:cs="宋体"/>
          <w:b/>
          <w:bCs/>
          <w:color w:val="auto"/>
          <w:sz w:val="28"/>
          <w:szCs w:val="28"/>
        </w:rPr>
      </w:pPr>
      <w:r>
        <w:rPr>
          <w:rFonts w:hint="eastAsia" w:ascii="宋体" w:hAnsi="宋体" w:cs="宋体"/>
          <w:b/>
          <w:bCs/>
          <w:color w:val="auto"/>
          <w:kern w:val="0"/>
          <w:sz w:val="24"/>
        </w:rPr>
        <w:br w:type="page"/>
      </w:r>
      <w:r>
        <w:rPr>
          <w:rFonts w:hint="eastAsia" w:ascii="宋体" w:hAnsi="宋体" w:cs="宋体"/>
          <w:b/>
          <w:bCs/>
          <w:color w:val="auto"/>
          <w:sz w:val="28"/>
          <w:szCs w:val="28"/>
        </w:rPr>
        <w:t>（二）供应商须知正文部分</w:t>
      </w:r>
      <w:bookmarkEnd w:id="21"/>
    </w:p>
    <w:p>
      <w:pPr>
        <w:pStyle w:val="5"/>
        <w:numPr>
          <w:ilvl w:val="0"/>
          <w:numId w:val="0"/>
        </w:numPr>
        <w:spacing w:before="0" w:after="0" w:line="360" w:lineRule="auto"/>
        <w:rPr>
          <w:rFonts w:ascii="宋体" w:hAnsi="宋体" w:cs="宋体"/>
          <w:color w:val="auto"/>
          <w:sz w:val="24"/>
          <w:szCs w:val="24"/>
        </w:rPr>
      </w:pPr>
      <w:bookmarkStart w:id="22" w:name="_Toc22636"/>
      <w:r>
        <w:rPr>
          <w:rFonts w:hint="eastAsia" w:ascii="宋体" w:hAnsi="宋体" w:cs="宋体"/>
          <w:color w:val="auto"/>
          <w:sz w:val="24"/>
          <w:szCs w:val="24"/>
        </w:rPr>
        <w:t>一、总则</w:t>
      </w:r>
      <w:bookmarkEnd w:id="22"/>
    </w:p>
    <w:p>
      <w:pPr>
        <w:spacing w:line="360" w:lineRule="auto"/>
        <w:rPr>
          <w:rFonts w:ascii="宋体" w:hAnsi="宋体" w:cs="宋体"/>
          <w:b/>
          <w:color w:val="auto"/>
          <w:sz w:val="24"/>
        </w:rPr>
      </w:pPr>
      <w:r>
        <w:rPr>
          <w:rFonts w:hint="eastAsia" w:ascii="宋体" w:hAnsi="宋体" w:cs="宋体"/>
          <w:b/>
          <w:color w:val="auto"/>
          <w:sz w:val="24"/>
        </w:rPr>
        <w:t>1.说明</w:t>
      </w:r>
    </w:p>
    <w:p>
      <w:pPr>
        <w:spacing w:line="360" w:lineRule="auto"/>
        <w:ind w:firstLine="480" w:firstLineChars="200"/>
        <w:rPr>
          <w:rFonts w:ascii="宋体" w:hAnsi="宋体" w:cs="宋体"/>
          <w:color w:val="auto"/>
          <w:sz w:val="24"/>
        </w:rPr>
      </w:pPr>
      <w:r>
        <w:rPr>
          <w:rFonts w:hint="eastAsia" w:ascii="宋体" w:hAnsi="宋体" w:cs="宋体"/>
          <w:color w:val="auto"/>
          <w:sz w:val="24"/>
        </w:rPr>
        <w:t>1.1本招标文件适用于本次招标采购项目的招标投标。</w:t>
      </w:r>
    </w:p>
    <w:p>
      <w:pPr>
        <w:spacing w:line="360" w:lineRule="auto"/>
        <w:rPr>
          <w:rFonts w:ascii="宋体" w:hAnsi="宋体" w:cs="宋体"/>
          <w:b/>
          <w:color w:val="auto"/>
          <w:sz w:val="24"/>
        </w:rPr>
      </w:pPr>
      <w:r>
        <w:rPr>
          <w:rFonts w:hint="eastAsia" w:ascii="宋体" w:hAnsi="宋体" w:cs="宋体"/>
          <w:b/>
          <w:color w:val="auto"/>
          <w:sz w:val="24"/>
        </w:rPr>
        <w:t>2.定义</w:t>
      </w:r>
    </w:p>
    <w:p>
      <w:pPr>
        <w:spacing w:line="360" w:lineRule="auto"/>
        <w:ind w:firstLine="480" w:firstLineChars="200"/>
        <w:rPr>
          <w:rFonts w:ascii="宋体" w:hAnsi="宋体" w:cs="宋体"/>
          <w:color w:val="auto"/>
          <w:sz w:val="24"/>
        </w:rPr>
      </w:pPr>
      <w:r>
        <w:rPr>
          <w:rFonts w:hint="eastAsia" w:ascii="宋体" w:hAnsi="宋体" w:cs="宋体"/>
          <w:color w:val="auto"/>
          <w:sz w:val="24"/>
        </w:rPr>
        <w:t>2.1“采购人”名称见本招标文件第二部分“供应商须知前附表”中第2项。</w:t>
      </w:r>
    </w:p>
    <w:p>
      <w:pPr>
        <w:spacing w:line="360" w:lineRule="auto"/>
        <w:ind w:firstLine="480" w:firstLineChars="200"/>
        <w:rPr>
          <w:rFonts w:ascii="宋体" w:hAnsi="宋体" w:cs="宋体"/>
          <w:color w:val="auto"/>
          <w:sz w:val="24"/>
        </w:rPr>
      </w:pPr>
      <w:r>
        <w:rPr>
          <w:rFonts w:hint="eastAsia" w:ascii="宋体" w:hAnsi="宋体" w:cs="宋体"/>
          <w:color w:val="auto"/>
          <w:sz w:val="24"/>
        </w:rPr>
        <w:t>2.2“采购代理机构”名称见本招标文件第二部分“供应商须知前附表”中第3项。</w:t>
      </w:r>
    </w:p>
    <w:p>
      <w:pPr>
        <w:spacing w:line="360" w:lineRule="auto"/>
        <w:ind w:firstLine="480" w:firstLineChars="200"/>
        <w:rPr>
          <w:rFonts w:ascii="宋体" w:hAnsi="宋体" w:cs="宋体"/>
          <w:color w:val="auto"/>
          <w:sz w:val="24"/>
        </w:rPr>
      </w:pPr>
      <w:r>
        <w:rPr>
          <w:rFonts w:hint="eastAsia" w:ascii="宋体" w:hAnsi="宋体" w:cs="宋体"/>
          <w:color w:val="auto"/>
          <w:sz w:val="24"/>
        </w:rPr>
        <w:t>2.3“招标货物”指招标文件第三部分所述所有货物；“服务”指招标文件第三部分所述供应商应该履行的承诺和义务。</w:t>
      </w:r>
    </w:p>
    <w:p>
      <w:pPr>
        <w:spacing w:line="360" w:lineRule="auto"/>
        <w:ind w:firstLine="480" w:firstLineChars="200"/>
        <w:rPr>
          <w:rFonts w:ascii="宋体" w:hAnsi="宋体" w:cs="宋体"/>
          <w:color w:val="auto"/>
          <w:sz w:val="24"/>
        </w:rPr>
      </w:pPr>
      <w:r>
        <w:rPr>
          <w:rFonts w:hint="eastAsia" w:ascii="宋体" w:hAnsi="宋体" w:cs="宋体"/>
          <w:color w:val="auto"/>
          <w:sz w:val="24"/>
        </w:rPr>
        <w:t>2.4“潜在供应商”指符合招标文件各项规定的供应商。</w:t>
      </w:r>
    </w:p>
    <w:p>
      <w:pPr>
        <w:spacing w:line="360" w:lineRule="auto"/>
        <w:ind w:firstLine="480" w:firstLineChars="200"/>
        <w:rPr>
          <w:rFonts w:ascii="宋体" w:hAnsi="宋体" w:cs="宋体"/>
          <w:color w:val="auto"/>
          <w:sz w:val="24"/>
        </w:rPr>
      </w:pPr>
      <w:r>
        <w:rPr>
          <w:rFonts w:hint="eastAsia" w:ascii="宋体" w:hAnsi="宋体" w:cs="宋体"/>
          <w:color w:val="auto"/>
          <w:sz w:val="24"/>
        </w:rPr>
        <w:t>2.5“供应商”指符合招标文件规定并参加投标的供应商。</w:t>
      </w:r>
    </w:p>
    <w:p>
      <w:pPr>
        <w:spacing w:line="360" w:lineRule="auto"/>
        <w:ind w:firstLine="480" w:firstLineChars="200"/>
        <w:rPr>
          <w:rFonts w:ascii="宋体" w:hAnsi="宋体" w:cs="宋体"/>
          <w:color w:val="auto"/>
          <w:sz w:val="24"/>
        </w:rPr>
      </w:pPr>
      <w:r>
        <w:rPr>
          <w:rFonts w:hint="eastAsia" w:ascii="宋体" w:hAnsi="宋体" w:cs="宋体"/>
          <w:color w:val="auto"/>
          <w:sz w:val="24"/>
        </w:rPr>
        <w:t>2.6“供应商公章”在投标文件中指与供应商标准公章一致的供应商签章。</w:t>
      </w:r>
    </w:p>
    <w:p>
      <w:pPr>
        <w:spacing w:line="360" w:lineRule="auto"/>
        <w:rPr>
          <w:rFonts w:ascii="宋体" w:hAnsi="宋体" w:cs="宋体"/>
          <w:b/>
          <w:color w:val="auto"/>
          <w:sz w:val="24"/>
        </w:rPr>
      </w:pPr>
      <w:r>
        <w:rPr>
          <w:rFonts w:hint="eastAsia" w:ascii="宋体" w:hAnsi="宋体" w:cs="宋体"/>
          <w:b/>
          <w:color w:val="auto"/>
          <w:sz w:val="24"/>
        </w:rPr>
        <w:t>3.合格供应商的条件</w:t>
      </w:r>
    </w:p>
    <w:p>
      <w:pPr>
        <w:spacing w:line="360" w:lineRule="auto"/>
        <w:ind w:firstLine="480" w:firstLineChars="200"/>
        <w:rPr>
          <w:rFonts w:ascii="宋体" w:hAnsi="宋体" w:cs="宋体"/>
          <w:color w:val="auto"/>
          <w:sz w:val="24"/>
        </w:rPr>
      </w:pPr>
      <w:r>
        <w:rPr>
          <w:rFonts w:hint="eastAsia" w:ascii="宋体" w:hAnsi="宋体" w:cs="宋体"/>
          <w:color w:val="auto"/>
          <w:sz w:val="24"/>
        </w:rPr>
        <w:t>3.1具有本项目实施能力，符合、承认并承诺履行本文件各项规定的国内法人、其他组织或自然人均可参加投标。</w:t>
      </w:r>
    </w:p>
    <w:p>
      <w:pPr>
        <w:spacing w:line="360" w:lineRule="auto"/>
        <w:ind w:firstLine="480" w:firstLineChars="200"/>
        <w:rPr>
          <w:rFonts w:ascii="宋体" w:hAnsi="宋体" w:cs="宋体"/>
          <w:color w:val="auto"/>
          <w:sz w:val="24"/>
        </w:rPr>
      </w:pPr>
      <w:r>
        <w:rPr>
          <w:rFonts w:hint="eastAsia" w:ascii="宋体" w:hAnsi="宋体" w:cs="宋体"/>
          <w:color w:val="auto"/>
          <w:sz w:val="24"/>
        </w:rPr>
        <w:t>3.2遵守有关的国家法律、法规和条例，具备《中华人民共和国政府采购法》和本文件中规定的条件：</w:t>
      </w:r>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1)具有独立承担民事责任的能力； </w:t>
      </w:r>
    </w:p>
    <w:p>
      <w:pPr>
        <w:spacing w:line="360" w:lineRule="auto"/>
        <w:ind w:firstLine="480" w:firstLineChars="200"/>
        <w:rPr>
          <w:rFonts w:ascii="宋体" w:hAnsi="宋体" w:cs="宋体"/>
          <w:color w:val="auto"/>
          <w:sz w:val="24"/>
        </w:rPr>
      </w:pPr>
      <w:r>
        <w:rPr>
          <w:rFonts w:hint="eastAsia" w:ascii="宋体" w:hAnsi="宋体" w:cs="宋体"/>
          <w:color w:val="auto"/>
          <w:sz w:val="24"/>
        </w:rPr>
        <w:t>2)具有良好的商业信誉和健全的财务会计制度；</w:t>
      </w:r>
    </w:p>
    <w:p>
      <w:pPr>
        <w:spacing w:line="360" w:lineRule="auto"/>
        <w:ind w:firstLine="480" w:firstLineChars="200"/>
        <w:rPr>
          <w:rFonts w:ascii="宋体" w:hAnsi="宋体" w:cs="宋体"/>
          <w:color w:val="auto"/>
          <w:sz w:val="24"/>
        </w:rPr>
      </w:pPr>
      <w:r>
        <w:rPr>
          <w:rFonts w:hint="eastAsia" w:ascii="宋体" w:hAnsi="宋体" w:cs="宋体"/>
          <w:color w:val="auto"/>
          <w:sz w:val="24"/>
        </w:rPr>
        <w:t>3)具有履行合同所必需的设备和专业技术能力；</w:t>
      </w:r>
    </w:p>
    <w:p>
      <w:pPr>
        <w:spacing w:line="360" w:lineRule="auto"/>
        <w:ind w:firstLine="480" w:firstLineChars="200"/>
        <w:rPr>
          <w:rFonts w:ascii="宋体" w:hAnsi="宋体" w:cs="宋体"/>
          <w:color w:val="auto"/>
          <w:sz w:val="24"/>
        </w:rPr>
      </w:pPr>
      <w:r>
        <w:rPr>
          <w:rFonts w:hint="eastAsia" w:ascii="宋体" w:hAnsi="宋体" w:cs="宋体"/>
          <w:color w:val="auto"/>
          <w:sz w:val="24"/>
        </w:rPr>
        <w:t>4)具有依法缴纳税收和社会保障资金的良好记录；</w:t>
      </w:r>
    </w:p>
    <w:p>
      <w:pPr>
        <w:spacing w:line="360" w:lineRule="auto"/>
        <w:ind w:firstLine="480" w:firstLineChars="200"/>
        <w:rPr>
          <w:rFonts w:ascii="宋体" w:hAnsi="宋体" w:cs="宋体"/>
          <w:color w:val="auto"/>
          <w:sz w:val="24"/>
        </w:rPr>
      </w:pPr>
      <w:r>
        <w:rPr>
          <w:rFonts w:hint="eastAsia" w:ascii="宋体" w:hAnsi="宋体" w:cs="宋体"/>
          <w:color w:val="auto"/>
          <w:sz w:val="24"/>
        </w:rPr>
        <w:t>5)参加政府采购活动前三年内，在经营活动中没有重大违法记录；</w:t>
      </w:r>
    </w:p>
    <w:p>
      <w:pPr>
        <w:spacing w:line="360" w:lineRule="auto"/>
        <w:ind w:firstLine="480" w:firstLineChars="200"/>
        <w:rPr>
          <w:rFonts w:ascii="宋体" w:hAnsi="宋体" w:cs="宋体"/>
          <w:color w:val="auto"/>
          <w:sz w:val="24"/>
        </w:rPr>
      </w:pPr>
      <w:r>
        <w:rPr>
          <w:rFonts w:hint="eastAsia" w:ascii="宋体" w:hAnsi="宋体" w:cs="宋体"/>
          <w:color w:val="auto"/>
          <w:sz w:val="24"/>
        </w:rPr>
        <w:t>6)法律、行政法规规定的其他条件；</w:t>
      </w:r>
    </w:p>
    <w:p>
      <w:pPr>
        <w:spacing w:line="360" w:lineRule="auto"/>
        <w:ind w:firstLine="480" w:firstLineChars="200"/>
        <w:rPr>
          <w:rFonts w:ascii="宋体" w:hAnsi="宋体" w:cs="宋体"/>
          <w:color w:val="auto"/>
          <w:sz w:val="24"/>
        </w:rPr>
      </w:pPr>
      <w:r>
        <w:rPr>
          <w:rFonts w:hint="eastAsia" w:ascii="宋体" w:hAnsi="宋体" w:cs="宋体"/>
          <w:color w:val="auto"/>
          <w:sz w:val="24"/>
        </w:rPr>
        <w:t>7)具有本招标文件第二部分“供应商须知前附表”中第7项规定的资格条件。</w:t>
      </w:r>
    </w:p>
    <w:p>
      <w:pPr>
        <w:spacing w:line="360" w:lineRule="auto"/>
        <w:ind w:firstLine="480" w:firstLineChars="200"/>
        <w:rPr>
          <w:rFonts w:ascii="宋体" w:hAnsi="宋体" w:cs="宋体"/>
          <w:color w:val="auto"/>
          <w:sz w:val="24"/>
        </w:rPr>
      </w:pPr>
      <w:r>
        <w:rPr>
          <w:rFonts w:hint="eastAsia" w:ascii="宋体" w:hAnsi="宋体" w:cs="宋体"/>
          <w:color w:val="auto"/>
          <w:sz w:val="24"/>
        </w:rPr>
        <w:t>3.3供应商之间如果存在下列情形之一的，不得同时参加同一包（标段）或者不分包（标段）的同一项目投标：</w:t>
      </w:r>
    </w:p>
    <w:p>
      <w:pPr>
        <w:spacing w:line="360" w:lineRule="auto"/>
        <w:ind w:firstLine="480" w:firstLineChars="200"/>
        <w:rPr>
          <w:rFonts w:ascii="宋体" w:hAnsi="宋体" w:cs="宋体"/>
          <w:color w:val="auto"/>
          <w:sz w:val="24"/>
        </w:rPr>
      </w:pPr>
      <w:r>
        <w:rPr>
          <w:rFonts w:hint="eastAsia" w:ascii="宋体" w:hAnsi="宋体" w:cs="宋体"/>
          <w:color w:val="auto"/>
          <w:sz w:val="24"/>
        </w:rPr>
        <w:t>3.3.1法定代表人为同一个人的两个及两个以上法人；</w:t>
      </w:r>
    </w:p>
    <w:p>
      <w:pPr>
        <w:spacing w:line="360" w:lineRule="auto"/>
        <w:ind w:firstLine="480" w:firstLineChars="200"/>
        <w:rPr>
          <w:rFonts w:ascii="宋体" w:hAnsi="宋体" w:cs="宋体"/>
          <w:color w:val="auto"/>
          <w:sz w:val="24"/>
        </w:rPr>
      </w:pPr>
      <w:r>
        <w:rPr>
          <w:rFonts w:hint="eastAsia" w:ascii="宋体" w:hAnsi="宋体" w:cs="宋体"/>
          <w:color w:val="auto"/>
          <w:sz w:val="24"/>
        </w:rPr>
        <w:t>3.3.2母公司、全资子公司及其控股公司；</w:t>
      </w:r>
    </w:p>
    <w:p>
      <w:pPr>
        <w:spacing w:line="360" w:lineRule="auto"/>
        <w:ind w:firstLine="480" w:firstLineChars="200"/>
        <w:rPr>
          <w:rFonts w:ascii="宋体" w:hAnsi="宋体" w:cs="宋体"/>
          <w:color w:val="auto"/>
          <w:sz w:val="24"/>
        </w:rPr>
      </w:pPr>
      <w:r>
        <w:rPr>
          <w:rFonts w:hint="eastAsia" w:ascii="宋体" w:hAnsi="宋体" w:cs="宋体"/>
          <w:color w:val="auto"/>
          <w:sz w:val="24"/>
        </w:rPr>
        <w:t>3.3.3参加投标的其他组织之间存在特殊的利害关系的；</w:t>
      </w:r>
    </w:p>
    <w:p>
      <w:pPr>
        <w:spacing w:line="360" w:lineRule="auto"/>
        <w:ind w:firstLine="480" w:firstLineChars="200"/>
        <w:rPr>
          <w:rFonts w:ascii="宋体" w:hAnsi="宋体" w:cs="宋体"/>
          <w:color w:val="auto"/>
          <w:sz w:val="24"/>
        </w:rPr>
      </w:pPr>
      <w:r>
        <w:rPr>
          <w:rFonts w:hint="eastAsia" w:ascii="宋体" w:hAnsi="宋体" w:cs="宋体"/>
          <w:color w:val="auto"/>
          <w:sz w:val="24"/>
        </w:rPr>
        <w:t>3.3.4法律和行政法规规定的其他情形。</w:t>
      </w:r>
    </w:p>
    <w:p>
      <w:pPr>
        <w:spacing w:line="360" w:lineRule="auto"/>
        <w:ind w:firstLine="480" w:firstLineChars="200"/>
        <w:rPr>
          <w:rFonts w:ascii="宋体" w:hAnsi="宋体" w:cs="宋体"/>
          <w:color w:val="auto"/>
          <w:sz w:val="24"/>
        </w:rPr>
      </w:pPr>
      <w:r>
        <w:rPr>
          <w:rFonts w:hint="eastAsia" w:ascii="宋体" w:hAnsi="宋体" w:cs="宋体"/>
          <w:color w:val="auto"/>
          <w:sz w:val="24"/>
        </w:rPr>
        <w:t>3.4供应商代表须持有《法定代表人授权委托书》。</w:t>
      </w:r>
    </w:p>
    <w:p>
      <w:pPr>
        <w:spacing w:line="360" w:lineRule="auto"/>
        <w:ind w:firstLine="480" w:firstLineChars="200"/>
        <w:rPr>
          <w:rFonts w:ascii="宋体" w:hAnsi="宋体" w:cs="宋体"/>
          <w:color w:val="auto"/>
          <w:sz w:val="24"/>
        </w:rPr>
      </w:pPr>
      <w:r>
        <w:rPr>
          <w:rFonts w:hint="eastAsia" w:ascii="宋体" w:hAnsi="宋体" w:cs="宋体"/>
          <w:color w:val="auto"/>
          <w:sz w:val="24"/>
        </w:rPr>
        <w:t>3.5供应商须按时足额交纳投标保证金。</w:t>
      </w:r>
    </w:p>
    <w:p>
      <w:pPr>
        <w:spacing w:line="360" w:lineRule="auto"/>
        <w:ind w:firstLine="480" w:firstLineChars="200"/>
        <w:rPr>
          <w:rFonts w:ascii="宋体" w:hAnsi="宋体" w:cs="宋体"/>
          <w:color w:val="auto"/>
          <w:sz w:val="24"/>
        </w:rPr>
      </w:pPr>
      <w:r>
        <w:rPr>
          <w:rFonts w:hint="eastAsia" w:ascii="宋体" w:hAnsi="宋体" w:cs="宋体"/>
          <w:color w:val="auto"/>
          <w:sz w:val="24"/>
        </w:rPr>
        <w:t>3.6本次招标是否允许由两个以上供应商组成一个联合体以一个供应商身份共同投标，按照招标文件第二部分“供应商须知前附表”中第7项的规定。如果允许，除均应符合上述规定外，还应符合下列要求：</w:t>
      </w:r>
    </w:p>
    <w:p>
      <w:pPr>
        <w:spacing w:line="360" w:lineRule="auto"/>
        <w:ind w:firstLine="480" w:firstLineChars="200"/>
        <w:rPr>
          <w:rFonts w:ascii="宋体" w:hAnsi="宋体" w:cs="宋体"/>
          <w:color w:val="auto"/>
          <w:sz w:val="24"/>
        </w:rPr>
      </w:pPr>
      <w:r>
        <w:rPr>
          <w:rFonts w:hint="eastAsia" w:ascii="宋体" w:hAnsi="宋体" w:cs="宋体"/>
          <w:color w:val="auto"/>
          <w:sz w:val="24"/>
        </w:rPr>
        <w:t>1）联合投标体应提供“联合投标协议书”，该协议书对联合投标各方均具有法律约束力。联合投标体必须确定其中一方为投标的全权代表参加投标活动，并承担投标及履约活动中的全部责任与义务，且联合体各方无论是否实际参加、发生的情形怎样，一旦该联合体实际开始投标，联合体各方均应当就本次采购所引起或相关的任何或所有事项、义务、责任、损失等承担连带责任。申请参与本项目联合投标成员各自均应具备政府有权机构核发的有效营业执照；均应是自主经营、独立核算、处于持续正常经营状态的经济实体。</w:t>
      </w:r>
    </w:p>
    <w:p>
      <w:pPr>
        <w:spacing w:line="360" w:lineRule="auto"/>
        <w:ind w:firstLine="480" w:firstLineChars="200"/>
        <w:rPr>
          <w:rFonts w:ascii="宋体" w:hAnsi="宋体" w:cs="宋体"/>
          <w:color w:val="auto"/>
          <w:sz w:val="24"/>
        </w:rPr>
      </w:pPr>
      <w:r>
        <w:rPr>
          <w:rFonts w:hint="eastAsia" w:ascii="宋体" w:hAnsi="宋体" w:cs="宋体"/>
          <w:color w:val="auto"/>
          <w:sz w:val="24"/>
        </w:rPr>
        <w:t>2）联合体各方中至少应当有一方对应满足本项目规定的相应资质条件，并且联合体供应商整体应当符合本项目的资质要求，否则，其提交的联合投标将被拒绝。</w:t>
      </w:r>
    </w:p>
    <w:p>
      <w:pPr>
        <w:spacing w:line="360" w:lineRule="auto"/>
        <w:ind w:firstLine="480" w:firstLineChars="200"/>
        <w:rPr>
          <w:rFonts w:ascii="宋体" w:hAnsi="宋体" w:cs="宋体"/>
          <w:color w:val="auto"/>
          <w:sz w:val="24"/>
        </w:rPr>
      </w:pPr>
      <w:r>
        <w:rPr>
          <w:rFonts w:hint="eastAsia" w:ascii="宋体" w:hAnsi="宋体" w:cs="宋体"/>
          <w:color w:val="auto"/>
          <w:sz w:val="24"/>
        </w:rPr>
        <w:t>3）由不同专业的供应商组成的联合体, 首先以投标的全权代表方的应答材料作为认定资质以及商务评审的依据；涉及行业专属的资质,按照所属行业所对应的供应商的应答材料确定。</w:t>
      </w:r>
    </w:p>
    <w:p>
      <w:pPr>
        <w:spacing w:line="360" w:lineRule="auto"/>
        <w:ind w:firstLine="480" w:firstLineChars="200"/>
        <w:rPr>
          <w:rFonts w:ascii="宋体" w:hAnsi="宋体" w:cs="宋体"/>
          <w:color w:val="auto"/>
          <w:sz w:val="24"/>
        </w:rPr>
      </w:pPr>
      <w:r>
        <w:rPr>
          <w:rFonts w:hint="eastAsia" w:ascii="宋体" w:hAnsi="宋体" w:cs="宋体"/>
          <w:color w:val="auto"/>
          <w:sz w:val="24"/>
        </w:rPr>
        <w:t>4）联合体中标后，合同应由各成员的合法授权代表签字并加盖各成员公章，以便对联合体成员作为整体和他们各自作为独立体均具有法律约束力，但若该等签字或公章不齐全或缺乏，该联合体的牵头人的签署或类似的意思表示人具有代表该联合体的签署或意思表示的法律效力，并且据此各成员为履行合同应向采购代理机构与采购人承担连带责任。</w:t>
      </w:r>
    </w:p>
    <w:p>
      <w:pPr>
        <w:spacing w:line="360" w:lineRule="auto"/>
        <w:ind w:firstLine="480" w:firstLineChars="200"/>
        <w:rPr>
          <w:rFonts w:ascii="宋体" w:hAnsi="宋体" w:cs="宋体"/>
          <w:color w:val="auto"/>
          <w:sz w:val="24"/>
        </w:rPr>
      </w:pPr>
      <w:r>
        <w:rPr>
          <w:rFonts w:hint="eastAsia" w:ascii="宋体" w:hAnsi="宋体" w:cs="宋体"/>
          <w:color w:val="auto"/>
          <w:sz w:val="24"/>
        </w:rPr>
        <w:t>5）联合体或其成员不得将其在合同项下的权利或义务全部或部分转让给第三人，有关分包事项或服务委托等须事先取得采购代理机构书面同意并且须遵守相关法律、法规、本次招标的全部相关规定。</w:t>
      </w:r>
    </w:p>
    <w:p>
      <w:pPr>
        <w:spacing w:line="360" w:lineRule="auto"/>
        <w:ind w:firstLine="480" w:firstLineChars="200"/>
        <w:rPr>
          <w:rFonts w:ascii="宋体" w:hAnsi="宋体" w:cs="宋体"/>
          <w:color w:val="auto"/>
          <w:sz w:val="24"/>
        </w:rPr>
      </w:pPr>
      <w:r>
        <w:rPr>
          <w:rFonts w:hint="eastAsia" w:ascii="宋体" w:hAnsi="宋体" w:cs="宋体"/>
          <w:color w:val="auto"/>
          <w:sz w:val="24"/>
        </w:rPr>
        <w:t>6）联合体各方均不得同时再以自己独立的名义单独投标，也不得再同时参加其他的联合体投标。若该等情形被发现，其单独的投标和与此有关的联合体的投标均将被一并拒绝。</w:t>
      </w:r>
    </w:p>
    <w:p>
      <w:pPr>
        <w:pStyle w:val="20"/>
        <w:tabs>
          <w:tab w:val="left" w:pos="1146"/>
        </w:tabs>
        <w:spacing w:line="360" w:lineRule="auto"/>
        <w:ind w:left="0" w:leftChars="0" w:firstLine="480" w:firstLineChars="200"/>
        <w:rPr>
          <w:rFonts w:ascii="宋体" w:hAnsi="宋体" w:cs="宋体"/>
          <w:color w:val="auto"/>
          <w:sz w:val="24"/>
        </w:rPr>
      </w:pPr>
      <w:r>
        <w:rPr>
          <w:rFonts w:hint="eastAsia" w:ascii="宋体" w:hAnsi="宋体" w:cs="宋体"/>
          <w:color w:val="auto"/>
          <w:sz w:val="24"/>
        </w:rPr>
        <w:t>3.7供应商不得与采购人、采购代理机构等有利害关系。</w:t>
      </w:r>
    </w:p>
    <w:p>
      <w:pPr>
        <w:spacing w:line="360" w:lineRule="auto"/>
        <w:rPr>
          <w:rFonts w:ascii="宋体" w:hAnsi="宋体" w:cs="宋体"/>
          <w:b/>
          <w:color w:val="auto"/>
          <w:sz w:val="24"/>
        </w:rPr>
      </w:pPr>
      <w:r>
        <w:rPr>
          <w:rFonts w:hint="eastAsia" w:ascii="宋体" w:hAnsi="宋体" w:cs="宋体"/>
          <w:b/>
          <w:color w:val="auto"/>
          <w:sz w:val="24"/>
        </w:rPr>
        <w:t>4.投标费用</w:t>
      </w:r>
    </w:p>
    <w:p>
      <w:pPr>
        <w:spacing w:line="360" w:lineRule="auto"/>
        <w:ind w:firstLine="480" w:firstLineChars="200"/>
        <w:rPr>
          <w:rFonts w:ascii="宋体" w:hAnsi="宋体" w:cs="宋体"/>
          <w:color w:val="auto"/>
          <w:sz w:val="24"/>
        </w:rPr>
      </w:pPr>
      <w:r>
        <w:rPr>
          <w:rFonts w:hint="eastAsia" w:ascii="宋体" w:hAnsi="宋体" w:cs="宋体"/>
          <w:color w:val="auto"/>
          <w:sz w:val="24"/>
        </w:rPr>
        <w:t>4.1供应商应承担所有与准备和参加投标有关的费用。</w:t>
      </w:r>
    </w:p>
    <w:p>
      <w:pPr>
        <w:spacing w:line="360" w:lineRule="auto"/>
        <w:rPr>
          <w:rFonts w:ascii="宋体" w:hAnsi="宋体" w:cs="宋体"/>
          <w:b/>
          <w:color w:val="auto"/>
          <w:sz w:val="24"/>
        </w:rPr>
      </w:pPr>
      <w:r>
        <w:rPr>
          <w:rFonts w:hint="eastAsia" w:ascii="宋体" w:hAnsi="宋体" w:cs="宋体"/>
          <w:b/>
          <w:color w:val="auto"/>
          <w:sz w:val="24"/>
        </w:rPr>
        <w:t>5.纪律</w:t>
      </w:r>
    </w:p>
    <w:p>
      <w:pPr>
        <w:spacing w:line="360" w:lineRule="auto"/>
        <w:ind w:firstLine="480" w:firstLineChars="200"/>
        <w:rPr>
          <w:rFonts w:ascii="宋体" w:hAnsi="宋体" w:cs="宋体"/>
          <w:color w:val="auto"/>
          <w:sz w:val="24"/>
        </w:rPr>
      </w:pPr>
      <w:r>
        <w:rPr>
          <w:rFonts w:hint="eastAsia" w:ascii="宋体" w:hAnsi="宋体" w:cs="宋体"/>
          <w:color w:val="auto"/>
          <w:sz w:val="24"/>
        </w:rPr>
        <w:t>5.1供应商的投标行为应遵守中国的有关法律、法规和规章。</w:t>
      </w:r>
    </w:p>
    <w:p>
      <w:pPr>
        <w:spacing w:line="360" w:lineRule="auto"/>
        <w:ind w:firstLine="480" w:firstLineChars="200"/>
        <w:rPr>
          <w:rFonts w:ascii="宋体" w:hAnsi="宋体" w:cs="宋体"/>
          <w:color w:val="auto"/>
          <w:sz w:val="24"/>
        </w:rPr>
      </w:pPr>
      <w:r>
        <w:rPr>
          <w:rFonts w:hint="eastAsia" w:ascii="宋体" w:hAnsi="宋体" w:cs="宋体"/>
          <w:color w:val="auto"/>
          <w:sz w:val="24"/>
        </w:rPr>
        <w:t>5.2供应商不得相互串通投标报价，不得妨碍其他供应商的公平竞争，不得损害采购人或其他供应商的合法权益，供应商不得以向采购人、评标委员会成员行贿或者采取其他不正当手段谋取中标。</w:t>
      </w:r>
    </w:p>
    <w:p>
      <w:pPr>
        <w:spacing w:line="360" w:lineRule="auto"/>
        <w:ind w:firstLine="480" w:firstLineChars="200"/>
        <w:rPr>
          <w:rFonts w:ascii="宋体" w:hAnsi="宋体" w:cs="宋体"/>
          <w:color w:val="auto"/>
          <w:sz w:val="24"/>
        </w:rPr>
      </w:pPr>
      <w:r>
        <w:rPr>
          <w:rFonts w:hint="eastAsia" w:ascii="宋体" w:hAnsi="宋体" w:cs="宋体"/>
          <w:color w:val="auto"/>
          <w:sz w:val="24"/>
        </w:rPr>
        <w:t>5.2.1有下列情形之一的，属于供应商相互串通投标：</w:t>
      </w:r>
    </w:p>
    <w:p>
      <w:pPr>
        <w:spacing w:line="360" w:lineRule="auto"/>
        <w:ind w:firstLine="480" w:firstLineChars="200"/>
        <w:rPr>
          <w:rFonts w:ascii="宋体" w:hAnsi="宋体" w:cs="宋体"/>
          <w:color w:val="auto"/>
          <w:sz w:val="24"/>
        </w:rPr>
      </w:pPr>
      <w:r>
        <w:rPr>
          <w:rFonts w:hint="eastAsia" w:ascii="宋体" w:hAnsi="宋体" w:cs="宋体"/>
          <w:color w:val="auto"/>
          <w:sz w:val="24"/>
        </w:rPr>
        <w:t>5.2.1.1供应商之间协商投标报价等投标文件的实质性内容；</w:t>
      </w:r>
    </w:p>
    <w:p>
      <w:pPr>
        <w:spacing w:line="360" w:lineRule="auto"/>
        <w:ind w:firstLine="480" w:firstLineChars="200"/>
        <w:rPr>
          <w:rFonts w:ascii="宋体" w:hAnsi="宋体" w:cs="宋体"/>
          <w:color w:val="auto"/>
          <w:sz w:val="24"/>
        </w:rPr>
      </w:pPr>
      <w:r>
        <w:rPr>
          <w:rFonts w:hint="eastAsia" w:ascii="宋体" w:hAnsi="宋体" w:cs="宋体"/>
          <w:color w:val="auto"/>
          <w:sz w:val="24"/>
        </w:rPr>
        <w:t>5.2.1.2供应商之间约定中标人；</w:t>
      </w:r>
    </w:p>
    <w:p>
      <w:pPr>
        <w:spacing w:line="360" w:lineRule="auto"/>
        <w:ind w:firstLine="480" w:firstLineChars="200"/>
        <w:rPr>
          <w:rFonts w:ascii="宋体" w:hAnsi="宋体" w:cs="宋体"/>
          <w:color w:val="auto"/>
          <w:sz w:val="24"/>
        </w:rPr>
      </w:pPr>
      <w:r>
        <w:rPr>
          <w:rFonts w:hint="eastAsia" w:ascii="宋体" w:hAnsi="宋体" w:cs="宋体"/>
          <w:color w:val="auto"/>
          <w:sz w:val="24"/>
        </w:rPr>
        <w:t>5.2.1.3供应商之间约定部分供应商放弃投标或者中标；</w:t>
      </w:r>
    </w:p>
    <w:p>
      <w:pPr>
        <w:spacing w:line="360" w:lineRule="auto"/>
        <w:ind w:firstLine="480" w:firstLineChars="200"/>
        <w:rPr>
          <w:rFonts w:ascii="宋体" w:hAnsi="宋体" w:cs="宋体"/>
          <w:color w:val="auto"/>
          <w:sz w:val="24"/>
        </w:rPr>
      </w:pPr>
      <w:r>
        <w:rPr>
          <w:rFonts w:hint="eastAsia" w:ascii="宋体" w:hAnsi="宋体" w:cs="宋体"/>
          <w:color w:val="auto"/>
          <w:sz w:val="24"/>
        </w:rPr>
        <w:t>5.2.1.4属于同一集团、协会、商会等组织成员的供应商按照该组织要求协同投标；</w:t>
      </w:r>
    </w:p>
    <w:p>
      <w:pPr>
        <w:spacing w:line="360" w:lineRule="auto"/>
        <w:ind w:firstLine="480" w:firstLineChars="200"/>
        <w:rPr>
          <w:rFonts w:ascii="宋体" w:hAnsi="宋体" w:cs="宋体"/>
          <w:color w:val="auto"/>
          <w:sz w:val="24"/>
        </w:rPr>
      </w:pPr>
      <w:r>
        <w:rPr>
          <w:rFonts w:hint="eastAsia" w:ascii="宋体" w:hAnsi="宋体" w:cs="宋体"/>
          <w:color w:val="auto"/>
          <w:sz w:val="24"/>
        </w:rPr>
        <w:t>5.2.1.5供应商之间为谋取中标或者排斥特定供应商而采取的其他联合行动。</w:t>
      </w:r>
    </w:p>
    <w:p>
      <w:pPr>
        <w:spacing w:line="360" w:lineRule="auto"/>
        <w:ind w:firstLine="480" w:firstLineChars="200"/>
        <w:rPr>
          <w:rFonts w:ascii="宋体" w:hAnsi="宋体" w:cs="宋体"/>
          <w:color w:val="auto"/>
          <w:sz w:val="24"/>
        </w:rPr>
      </w:pPr>
      <w:r>
        <w:rPr>
          <w:rFonts w:hint="eastAsia" w:ascii="宋体" w:hAnsi="宋体" w:cs="宋体"/>
          <w:color w:val="auto"/>
          <w:sz w:val="24"/>
        </w:rPr>
        <w:t>5.2.2有下列情形之一的，视为供应商相互串通投标：</w:t>
      </w:r>
    </w:p>
    <w:p>
      <w:pPr>
        <w:spacing w:line="360" w:lineRule="auto"/>
        <w:ind w:firstLine="480" w:firstLineChars="200"/>
        <w:rPr>
          <w:rFonts w:ascii="宋体" w:hAnsi="宋体" w:cs="宋体"/>
          <w:color w:val="auto"/>
          <w:sz w:val="24"/>
        </w:rPr>
      </w:pPr>
      <w:r>
        <w:rPr>
          <w:rFonts w:hint="eastAsia" w:ascii="宋体" w:hAnsi="宋体" w:cs="宋体"/>
          <w:color w:val="auto"/>
          <w:sz w:val="24"/>
        </w:rPr>
        <w:t>5.2.2.1不同供应商的投标文件由同一单位或者个人编制；</w:t>
      </w:r>
    </w:p>
    <w:p>
      <w:pPr>
        <w:spacing w:line="360" w:lineRule="auto"/>
        <w:ind w:firstLine="480" w:firstLineChars="200"/>
        <w:rPr>
          <w:rFonts w:ascii="宋体" w:hAnsi="宋体" w:cs="宋体"/>
          <w:color w:val="auto"/>
          <w:sz w:val="24"/>
        </w:rPr>
      </w:pPr>
      <w:r>
        <w:rPr>
          <w:rFonts w:hint="eastAsia" w:ascii="宋体" w:hAnsi="宋体" w:cs="宋体"/>
          <w:color w:val="auto"/>
          <w:sz w:val="24"/>
        </w:rPr>
        <w:t>5.2.2.2不同供应商的投标文件中载明的项目管理成员为同一人；</w:t>
      </w:r>
    </w:p>
    <w:p>
      <w:pPr>
        <w:spacing w:line="360" w:lineRule="auto"/>
        <w:ind w:firstLine="480" w:firstLineChars="200"/>
        <w:rPr>
          <w:rFonts w:ascii="宋体" w:hAnsi="宋体" w:cs="宋体"/>
          <w:color w:val="auto"/>
          <w:sz w:val="24"/>
        </w:rPr>
      </w:pPr>
      <w:r>
        <w:rPr>
          <w:rFonts w:hint="eastAsia" w:ascii="宋体" w:hAnsi="宋体" w:cs="宋体"/>
          <w:color w:val="auto"/>
          <w:sz w:val="24"/>
        </w:rPr>
        <w:t>5.2.2.3不同供应商的投标文件异常一致或者投标报价呈规律性差异；</w:t>
      </w:r>
    </w:p>
    <w:p>
      <w:pPr>
        <w:spacing w:line="360" w:lineRule="auto"/>
        <w:ind w:firstLine="480" w:firstLineChars="200"/>
        <w:rPr>
          <w:rFonts w:ascii="宋体" w:hAnsi="宋体" w:cs="宋体"/>
          <w:color w:val="auto"/>
          <w:sz w:val="24"/>
        </w:rPr>
      </w:pPr>
      <w:r>
        <w:rPr>
          <w:rFonts w:hint="eastAsia" w:ascii="宋体" w:hAnsi="宋体" w:cs="宋体"/>
          <w:color w:val="auto"/>
          <w:sz w:val="24"/>
        </w:rPr>
        <w:t>5.2.2.4不同供应商的投标文件相互混装；</w:t>
      </w:r>
    </w:p>
    <w:p>
      <w:pPr>
        <w:spacing w:line="360" w:lineRule="auto"/>
        <w:ind w:firstLine="480" w:firstLineChars="200"/>
        <w:rPr>
          <w:rFonts w:ascii="宋体" w:hAnsi="宋体" w:cs="宋体"/>
          <w:color w:val="auto"/>
          <w:sz w:val="24"/>
        </w:rPr>
      </w:pPr>
      <w:r>
        <w:rPr>
          <w:rFonts w:hint="eastAsia" w:ascii="宋体" w:hAnsi="宋体" w:cs="宋体"/>
          <w:color w:val="auto"/>
          <w:sz w:val="24"/>
        </w:rPr>
        <w:t>5.2.2.5不同供应商的投标保证金从同一单位或者个人的账户转出。</w:t>
      </w:r>
    </w:p>
    <w:p>
      <w:pPr>
        <w:spacing w:line="360" w:lineRule="auto"/>
        <w:rPr>
          <w:rFonts w:ascii="宋体" w:hAnsi="宋体" w:cs="宋体"/>
          <w:b/>
          <w:color w:val="auto"/>
          <w:sz w:val="24"/>
        </w:rPr>
      </w:pPr>
      <w:r>
        <w:rPr>
          <w:rFonts w:hint="eastAsia" w:ascii="宋体" w:hAnsi="宋体" w:cs="宋体"/>
          <w:b/>
          <w:color w:val="auto"/>
          <w:sz w:val="24"/>
        </w:rPr>
        <w:t>6.通知</w:t>
      </w:r>
    </w:p>
    <w:p>
      <w:pPr>
        <w:spacing w:line="360" w:lineRule="auto"/>
        <w:ind w:firstLine="480" w:firstLineChars="200"/>
        <w:rPr>
          <w:rFonts w:ascii="宋体" w:hAnsi="宋体" w:cs="宋体"/>
          <w:color w:val="auto"/>
          <w:sz w:val="24"/>
        </w:rPr>
      </w:pPr>
      <w:r>
        <w:rPr>
          <w:rFonts w:hint="eastAsia" w:ascii="宋体" w:hAnsi="宋体" w:cs="宋体"/>
          <w:color w:val="auto"/>
          <w:sz w:val="24"/>
        </w:rPr>
        <w:t>6.1对与本项目有关的通知，采购代理机构将以书面（包括书面材料、信函、传真等，下同）或在本次招标公告刊登的媒体上发布公告并在中国政府采购网发送变更通知及/或答疑文件的形式，向潜在供应商发出，传真和电话号码以潜在供应商的登记为准。收到通知的供应商须立即予以回复确认，但供应商未回复或采购代理机构未收到回复时，并不应当被理解为采购代理机构知道或应当知道供应商是否收到通知。因登记有误、传真线路故障或其它任何意外情形，导致所发出的通知延迟送达或无法到达供应商，采购代理机构不因此承担任何责任，有关的招标活动可以继续有效地进行。</w:t>
      </w:r>
    </w:p>
    <w:p>
      <w:pPr>
        <w:pStyle w:val="5"/>
        <w:numPr>
          <w:ilvl w:val="0"/>
          <w:numId w:val="0"/>
        </w:numPr>
        <w:spacing w:before="0" w:after="0" w:line="360" w:lineRule="auto"/>
        <w:rPr>
          <w:rFonts w:ascii="宋体" w:hAnsi="宋体" w:cs="宋体"/>
          <w:color w:val="auto"/>
          <w:sz w:val="24"/>
          <w:szCs w:val="24"/>
        </w:rPr>
      </w:pPr>
      <w:bookmarkStart w:id="23" w:name="_Toc32421"/>
      <w:r>
        <w:rPr>
          <w:rFonts w:hint="eastAsia" w:ascii="宋体" w:hAnsi="宋体" w:cs="宋体"/>
          <w:color w:val="auto"/>
          <w:sz w:val="24"/>
          <w:szCs w:val="24"/>
        </w:rPr>
        <w:t>二、招标文件</w:t>
      </w:r>
      <w:bookmarkEnd w:id="23"/>
    </w:p>
    <w:p>
      <w:pPr>
        <w:spacing w:line="360" w:lineRule="auto"/>
        <w:rPr>
          <w:rFonts w:ascii="宋体" w:hAnsi="宋体" w:cs="宋体"/>
          <w:b/>
          <w:color w:val="auto"/>
          <w:sz w:val="24"/>
        </w:rPr>
      </w:pPr>
      <w:r>
        <w:rPr>
          <w:rFonts w:hint="eastAsia" w:ascii="宋体" w:hAnsi="宋体" w:cs="宋体"/>
          <w:b/>
          <w:color w:val="auto"/>
          <w:sz w:val="24"/>
        </w:rPr>
        <w:t>7.招标文件组成</w:t>
      </w:r>
    </w:p>
    <w:p>
      <w:pPr>
        <w:spacing w:line="360" w:lineRule="auto"/>
        <w:ind w:firstLine="480" w:firstLineChars="200"/>
        <w:rPr>
          <w:rFonts w:ascii="宋体" w:hAnsi="宋体" w:cs="宋体"/>
          <w:color w:val="auto"/>
          <w:sz w:val="24"/>
        </w:rPr>
      </w:pPr>
      <w:r>
        <w:rPr>
          <w:rFonts w:hint="eastAsia" w:ascii="宋体" w:hAnsi="宋体" w:cs="宋体"/>
          <w:color w:val="auto"/>
          <w:sz w:val="24"/>
        </w:rPr>
        <w:t>7.1招标文件由招标文件目录所列内容组成。</w:t>
      </w:r>
    </w:p>
    <w:p>
      <w:pPr>
        <w:spacing w:line="360" w:lineRule="auto"/>
        <w:rPr>
          <w:rFonts w:ascii="宋体" w:hAnsi="宋体" w:cs="宋体"/>
          <w:b/>
          <w:color w:val="auto"/>
          <w:sz w:val="24"/>
        </w:rPr>
      </w:pPr>
      <w:r>
        <w:rPr>
          <w:rFonts w:hint="eastAsia" w:ascii="宋体" w:hAnsi="宋体" w:cs="宋体"/>
          <w:b/>
          <w:color w:val="auto"/>
          <w:sz w:val="24"/>
        </w:rPr>
        <w:t>8.踏勘现场</w:t>
      </w:r>
    </w:p>
    <w:p>
      <w:pPr>
        <w:spacing w:line="360" w:lineRule="auto"/>
        <w:ind w:firstLine="480" w:firstLineChars="200"/>
        <w:rPr>
          <w:rFonts w:ascii="宋体" w:hAnsi="宋体" w:cs="宋体"/>
          <w:color w:val="auto"/>
          <w:sz w:val="24"/>
        </w:rPr>
      </w:pPr>
      <w:r>
        <w:rPr>
          <w:rFonts w:hint="eastAsia" w:ascii="宋体" w:hAnsi="宋体" w:cs="宋体"/>
          <w:color w:val="auto"/>
          <w:sz w:val="24"/>
        </w:rPr>
        <w:t>8.1本项目是否统一组织供应商踏勘现场见招标文件第二部分“供应商须知前附表”中第25项的规定。无论是否统一组织，供应商应对现场和周围环境进行勘察，以获取编制投标文件所需的资料。</w:t>
      </w:r>
    </w:p>
    <w:p>
      <w:pPr>
        <w:spacing w:line="360" w:lineRule="auto"/>
        <w:ind w:firstLine="480" w:firstLineChars="200"/>
        <w:rPr>
          <w:rFonts w:ascii="宋体" w:hAnsi="宋体" w:cs="宋体"/>
          <w:color w:val="auto"/>
          <w:sz w:val="24"/>
        </w:rPr>
      </w:pPr>
      <w:r>
        <w:rPr>
          <w:rFonts w:hint="eastAsia" w:ascii="宋体" w:hAnsi="宋体" w:cs="宋体"/>
          <w:color w:val="auto"/>
          <w:sz w:val="24"/>
        </w:rPr>
        <w:t>8.2踏勘现场所发生的费用由供应商自行承担。采购人向供应商提供的有关现场的资料和数据，是采购人现有的能使供应商利用的资料。采购人对供应商由此而做出的推论、理解和结论概不负责。供应商未到现场实地踏勘的，中标后签订合同时和履约过程中，不得以不完全了解现场情况为由，提出任何形式的增加合同价款或索赔的要求。</w:t>
      </w:r>
    </w:p>
    <w:p>
      <w:pPr>
        <w:spacing w:line="360" w:lineRule="auto"/>
        <w:ind w:firstLine="480" w:firstLineChars="200"/>
        <w:rPr>
          <w:rFonts w:ascii="宋体" w:hAnsi="宋体" w:cs="宋体"/>
          <w:color w:val="auto"/>
          <w:sz w:val="24"/>
        </w:rPr>
      </w:pPr>
      <w:r>
        <w:rPr>
          <w:rFonts w:hint="eastAsia" w:ascii="宋体" w:hAnsi="宋体" w:cs="宋体"/>
          <w:color w:val="auto"/>
          <w:sz w:val="24"/>
        </w:rPr>
        <w:t>8.3除非有特殊要求，招标文件不单独提供供货使用地的自然环境、气候条件、公用设施等情况，供应商被视为熟悉上述与履行合同有关的一切情况。</w:t>
      </w:r>
    </w:p>
    <w:p>
      <w:pPr>
        <w:spacing w:line="360" w:lineRule="auto"/>
        <w:ind w:firstLine="480" w:firstLineChars="200"/>
        <w:rPr>
          <w:rFonts w:ascii="宋体" w:hAnsi="宋体" w:cs="宋体"/>
          <w:color w:val="auto"/>
          <w:sz w:val="24"/>
        </w:rPr>
      </w:pPr>
      <w:r>
        <w:rPr>
          <w:rFonts w:hint="eastAsia" w:ascii="宋体" w:hAnsi="宋体" w:cs="宋体"/>
          <w:color w:val="auto"/>
          <w:sz w:val="24"/>
        </w:rPr>
        <w:t>8.4除采购人原因外，供应商自行负责在踏勘现场中所发生的人员伤亡和财产损失。</w:t>
      </w:r>
    </w:p>
    <w:p>
      <w:pPr>
        <w:spacing w:line="360" w:lineRule="auto"/>
        <w:rPr>
          <w:rFonts w:ascii="宋体" w:hAnsi="宋体" w:cs="宋体"/>
          <w:bCs/>
          <w:color w:val="auto"/>
          <w:sz w:val="24"/>
        </w:rPr>
      </w:pPr>
      <w:r>
        <w:rPr>
          <w:rFonts w:hint="eastAsia" w:ascii="宋体" w:hAnsi="宋体" w:cs="宋体"/>
          <w:b/>
          <w:color w:val="auto"/>
          <w:sz w:val="24"/>
        </w:rPr>
        <w:t>9.知识产权</w:t>
      </w:r>
    </w:p>
    <w:p>
      <w:pPr>
        <w:spacing w:line="360" w:lineRule="auto"/>
        <w:ind w:firstLine="480" w:firstLineChars="200"/>
        <w:rPr>
          <w:rFonts w:ascii="宋体" w:hAnsi="宋体" w:cs="宋体"/>
          <w:color w:val="auto"/>
          <w:sz w:val="24"/>
        </w:rPr>
      </w:pPr>
      <w:r>
        <w:rPr>
          <w:rFonts w:hint="eastAsia" w:ascii="宋体" w:hAnsi="宋体" w:cs="宋体"/>
          <w:color w:val="auto"/>
          <w:sz w:val="24"/>
        </w:rPr>
        <w:t>9.1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投标报价中必须包括合法获取该知识产权的一切相关费用。如因此导致采购人损失的，供应商须承担全部赔偿责任。</w:t>
      </w:r>
    </w:p>
    <w:p>
      <w:pPr>
        <w:spacing w:line="360" w:lineRule="auto"/>
        <w:ind w:firstLine="480" w:firstLineChars="200"/>
        <w:rPr>
          <w:rFonts w:ascii="宋体" w:hAnsi="宋体" w:cs="宋体"/>
          <w:color w:val="auto"/>
          <w:sz w:val="24"/>
        </w:rPr>
      </w:pPr>
      <w:r>
        <w:rPr>
          <w:rFonts w:hint="eastAsia" w:ascii="宋体" w:hAnsi="宋体" w:cs="宋体"/>
          <w:color w:val="auto"/>
          <w:sz w:val="24"/>
        </w:rPr>
        <w:t>9.2供应商如欲在项目实施过程中采用自有知识成果，须在投标文件中声明，并提供相关知识产权证明文件。使用该知识成果后，供应商须提供开发接口和开发手册等技术文档。</w:t>
      </w:r>
    </w:p>
    <w:p>
      <w:pPr>
        <w:spacing w:line="360" w:lineRule="auto"/>
        <w:rPr>
          <w:rFonts w:ascii="宋体" w:hAnsi="宋体" w:cs="宋体"/>
          <w:b/>
          <w:color w:val="auto"/>
          <w:sz w:val="24"/>
        </w:rPr>
      </w:pPr>
      <w:r>
        <w:rPr>
          <w:rFonts w:hint="eastAsia" w:ascii="宋体" w:hAnsi="宋体" w:cs="宋体"/>
          <w:b/>
          <w:color w:val="auto"/>
          <w:sz w:val="24"/>
        </w:rPr>
        <w:t>10.答疑及招标文件的澄清和修改</w:t>
      </w:r>
    </w:p>
    <w:p>
      <w:pPr>
        <w:spacing w:line="360" w:lineRule="auto"/>
        <w:ind w:firstLine="480" w:firstLineChars="200"/>
        <w:rPr>
          <w:rFonts w:ascii="宋体" w:hAnsi="宋体" w:cs="宋体"/>
          <w:color w:val="auto"/>
          <w:sz w:val="24"/>
        </w:rPr>
      </w:pPr>
      <w:r>
        <w:rPr>
          <w:rFonts w:hint="eastAsia" w:ascii="宋体" w:hAnsi="宋体" w:cs="宋体"/>
          <w:color w:val="auto"/>
          <w:sz w:val="24"/>
        </w:rPr>
        <w:t>10.1供应商如果对招标文件有疑问或要求进行澄清的，应按照招标文件第二部分“供应商须知前附表”第14项规定向采购代理机构以书面方式提出。采购代理机构将组织相关专家召开答疑会，如召开，答疑会安排另行通知。</w:t>
      </w:r>
    </w:p>
    <w:p>
      <w:pPr>
        <w:spacing w:line="360" w:lineRule="auto"/>
        <w:ind w:firstLine="480" w:firstLineChars="200"/>
        <w:rPr>
          <w:rFonts w:ascii="宋体" w:hAnsi="宋体" w:cs="宋体"/>
          <w:color w:val="auto"/>
          <w:sz w:val="24"/>
        </w:rPr>
      </w:pPr>
      <w:r>
        <w:rPr>
          <w:rFonts w:hint="eastAsia" w:ascii="宋体" w:hAnsi="宋体" w:cs="宋体"/>
          <w:color w:val="auto"/>
          <w:sz w:val="24"/>
        </w:rPr>
        <w:t>供应商在规定的时间内未对招标文件提出疑问或要求澄清的，采购代理机构将视其为同意，对在“答疑接受时间”后就招标文件内容提出的疑问及澄清要求将不予受理。</w:t>
      </w:r>
    </w:p>
    <w:p>
      <w:pPr>
        <w:spacing w:line="360" w:lineRule="auto"/>
        <w:ind w:firstLine="480" w:firstLineChars="200"/>
        <w:rPr>
          <w:rFonts w:ascii="宋体" w:hAnsi="宋体" w:cs="宋体"/>
          <w:color w:val="auto"/>
          <w:sz w:val="24"/>
        </w:rPr>
      </w:pPr>
      <w:r>
        <w:rPr>
          <w:rFonts w:hint="eastAsia" w:ascii="宋体" w:hAnsi="宋体" w:cs="宋体"/>
          <w:color w:val="auto"/>
          <w:sz w:val="24"/>
        </w:rPr>
        <w:t>10.2无论出于何种原因，采购代理机构主动或出于解答供应商疑问对已发出的招标文件进行必要澄清或修改的，应当在招标文件要求提交投标文件截止时间15日前，以当面交接、邮寄、传真或电子邮件、网站披露等其中至少一种方式，向潜在供应商发出澄清、修改的补充文件。需要为此调整投标文件提交截止时间的，应当重新确定，并就变更后的投标截止时间重新发出通知。</w:t>
      </w:r>
    </w:p>
    <w:p>
      <w:pPr>
        <w:spacing w:line="360" w:lineRule="auto"/>
        <w:ind w:firstLine="480" w:firstLineChars="200"/>
        <w:rPr>
          <w:rFonts w:ascii="宋体" w:hAnsi="宋体" w:cs="宋体"/>
          <w:color w:val="auto"/>
          <w:sz w:val="24"/>
        </w:rPr>
      </w:pPr>
      <w:r>
        <w:rPr>
          <w:rFonts w:hint="eastAsia" w:ascii="宋体" w:hAnsi="宋体" w:cs="宋体"/>
          <w:color w:val="auto"/>
          <w:sz w:val="24"/>
        </w:rPr>
        <w:t>特殊情况下，采购代理机构发布澄清、修改文件后，征得供应商同意，可不改变投标截止时间和开标时间。</w:t>
      </w:r>
    </w:p>
    <w:p>
      <w:pPr>
        <w:spacing w:line="360" w:lineRule="auto"/>
        <w:ind w:firstLine="480" w:firstLineChars="200"/>
        <w:rPr>
          <w:rFonts w:ascii="宋体" w:hAnsi="宋体" w:cs="宋体"/>
          <w:color w:val="auto"/>
          <w:sz w:val="24"/>
        </w:rPr>
      </w:pPr>
      <w:r>
        <w:rPr>
          <w:rFonts w:hint="eastAsia" w:ascii="宋体" w:hAnsi="宋体" w:cs="宋体"/>
          <w:color w:val="auto"/>
          <w:sz w:val="24"/>
        </w:rPr>
        <w:t>10.3采购代理机构一旦对招标文件作出了澄清、修改，即刻发生效力，采购代理机构有关的补充文件，将作为招标文件的组成部分，对所有现实的或潜在的供应商均具有约束力，而无论是否已经实际收到上述文件。同时，采购代理机构和供应商的权利及义务将受到新的截止期的约束。</w:t>
      </w:r>
    </w:p>
    <w:p>
      <w:pPr>
        <w:spacing w:line="360" w:lineRule="auto"/>
        <w:ind w:firstLine="480" w:firstLineChars="200"/>
        <w:rPr>
          <w:rFonts w:ascii="宋体" w:hAnsi="宋体" w:cs="宋体"/>
          <w:b/>
          <w:color w:val="auto"/>
          <w:sz w:val="24"/>
        </w:rPr>
      </w:pPr>
      <w:r>
        <w:rPr>
          <w:rFonts w:hint="eastAsia" w:ascii="宋体" w:hAnsi="宋体" w:cs="宋体"/>
          <w:color w:val="auto"/>
          <w:sz w:val="24"/>
        </w:rPr>
        <w:t>10.4采购代理机构对招标文件作出的澄清、修改在中国政府采购网上进行披露，请供应商及时关注并获取相关资料。因登记有误、线路故障或其它任何意外情形，导致供应商未及时获取的，采购代理机构不因此承担任何责任，且有关的招标活动继续有效地进行。当招标文件的澄清、修改及进行其他答复等就同一内容的表述不一致时，以最后发布的内容为准。</w:t>
      </w:r>
    </w:p>
    <w:p>
      <w:pPr>
        <w:spacing w:line="360" w:lineRule="auto"/>
        <w:ind w:firstLine="480" w:firstLineChars="200"/>
        <w:rPr>
          <w:rFonts w:ascii="宋体" w:hAnsi="宋体" w:cs="宋体"/>
          <w:bCs/>
          <w:color w:val="auto"/>
          <w:sz w:val="24"/>
        </w:rPr>
      </w:pPr>
      <w:r>
        <w:rPr>
          <w:rFonts w:hint="eastAsia" w:ascii="宋体" w:hAnsi="宋体" w:cs="宋体"/>
          <w:bCs/>
          <w:color w:val="auto"/>
          <w:sz w:val="24"/>
        </w:rPr>
        <w:t>上述澄清、修改在网上发布的同时，</w:t>
      </w:r>
      <w:r>
        <w:rPr>
          <w:rFonts w:hint="eastAsia" w:ascii="宋体" w:hAnsi="宋体" w:cs="宋体"/>
          <w:color w:val="auto"/>
          <w:sz w:val="24"/>
        </w:rPr>
        <w:t>采购代理机构</w:t>
      </w:r>
      <w:r>
        <w:rPr>
          <w:rFonts w:hint="eastAsia" w:ascii="宋体" w:hAnsi="宋体" w:cs="宋体"/>
          <w:bCs/>
          <w:color w:val="auto"/>
          <w:sz w:val="24"/>
        </w:rPr>
        <w:t>将通过电话通知方式提醒供应商进行查询。此电话仅系友情提示，并不具有任何约束性和必要性，采购代理机构不承担供应商未收到电话而引起的一切后果和法律责任。</w:t>
      </w:r>
    </w:p>
    <w:p>
      <w:pPr>
        <w:spacing w:line="360" w:lineRule="auto"/>
        <w:ind w:firstLine="480" w:firstLineChars="200"/>
        <w:rPr>
          <w:rFonts w:ascii="宋体" w:hAnsi="宋体" w:cs="宋体"/>
          <w:bCs/>
          <w:color w:val="auto"/>
          <w:sz w:val="24"/>
        </w:rPr>
      </w:pPr>
      <w:r>
        <w:rPr>
          <w:rFonts w:hint="eastAsia" w:ascii="宋体" w:hAnsi="宋体" w:cs="宋体"/>
          <w:bCs/>
          <w:color w:val="auto"/>
          <w:sz w:val="24"/>
        </w:rPr>
        <w:t>10.5澄清、修改文件发出后，供应商必须使用最新的答疑、澄清文件投标文件。</w:t>
      </w:r>
    </w:p>
    <w:p>
      <w:pPr>
        <w:pStyle w:val="5"/>
        <w:numPr>
          <w:ilvl w:val="0"/>
          <w:numId w:val="0"/>
        </w:numPr>
        <w:spacing w:before="0" w:after="0" w:line="360" w:lineRule="auto"/>
        <w:rPr>
          <w:rFonts w:ascii="宋体" w:hAnsi="宋体" w:cs="宋体"/>
          <w:color w:val="auto"/>
          <w:sz w:val="24"/>
          <w:szCs w:val="24"/>
        </w:rPr>
      </w:pPr>
      <w:bookmarkStart w:id="24" w:name="_Toc6348"/>
      <w:r>
        <w:rPr>
          <w:rFonts w:hint="eastAsia" w:ascii="宋体" w:hAnsi="宋体" w:cs="宋体"/>
          <w:color w:val="auto"/>
          <w:sz w:val="24"/>
          <w:szCs w:val="24"/>
        </w:rPr>
        <w:t>三、投标文件</w:t>
      </w:r>
      <w:bookmarkEnd w:id="24"/>
    </w:p>
    <w:p>
      <w:pPr>
        <w:spacing w:line="360" w:lineRule="auto"/>
        <w:rPr>
          <w:rFonts w:ascii="宋体" w:hAnsi="宋体" w:cs="宋体"/>
          <w:b/>
          <w:color w:val="auto"/>
          <w:sz w:val="24"/>
        </w:rPr>
      </w:pPr>
      <w:r>
        <w:rPr>
          <w:rFonts w:hint="eastAsia" w:ascii="宋体" w:hAnsi="宋体" w:cs="宋体"/>
          <w:b/>
          <w:color w:val="auto"/>
          <w:sz w:val="24"/>
        </w:rPr>
        <w:t>11.投标文件的语言及计量单位</w:t>
      </w:r>
    </w:p>
    <w:p>
      <w:pPr>
        <w:spacing w:line="360" w:lineRule="auto"/>
        <w:ind w:firstLine="480" w:firstLineChars="200"/>
        <w:rPr>
          <w:rFonts w:ascii="宋体" w:hAnsi="宋体" w:cs="宋体"/>
          <w:color w:val="auto"/>
          <w:sz w:val="24"/>
        </w:rPr>
      </w:pPr>
      <w:r>
        <w:rPr>
          <w:rFonts w:hint="eastAsia" w:ascii="宋体" w:hAnsi="宋体" w:cs="宋体"/>
          <w:color w:val="auto"/>
          <w:sz w:val="24"/>
        </w:rPr>
        <w:t>11.1供应商提交的投标文件（包括技术文件和资料、图纸中的说明）以及供应商与采购代理机构就有关投标的所有来往函电均应使用中文简体字。</w:t>
      </w:r>
    </w:p>
    <w:p>
      <w:pPr>
        <w:spacing w:line="360" w:lineRule="auto"/>
        <w:ind w:firstLine="480" w:firstLineChars="200"/>
        <w:rPr>
          <w:rFonts w:ascii="宋体" w:hAnsi="宋体" w:cs="宋体"/>
          <w:color w:val="auto"/>
          <w:sz w:val="24"/>
        </w:rPr>
      </w:pPr>
      <w:r>
        <w:rPr>
          <w:rFonts w:hint="eastAsia" w:ascii="宋体" w:hAnsi="宋体" w:cs="宋体"/>
          <w:color w:val="auto"/>
          <w:sz w:val="24"/>
        </w:rPr>
        <w:t>11.2原版为外文的证书类文件，以及由外国人作出的本人签名、外国公司的名称或外国印章等可以是外文，但应当提供中文翻译文件并加盖供应商公章。必要时评标委员会可以要求供应商提供附有公证书的中文翻译文件或者与原版文件签章相一致的中文翻译文件。原版为外文的证书类、证明类文件，与供应商名称或其他实际情况不符的，供应商应当提供相关证明文件。</w:t>
      </w:r>
    </w:p>
    <w:p>
      <w:pPr>
        <w:spacing w:line="360" w:lineRule="auto"/>
        <w:ind w:firstLine="480" w:firstLineChars="200"/>
        <w:rPr>
          <w:rFonts w:ascii="宋体" w:hAnsi="宋体" w:cs="宋体"/>
          <w:color w:val="auto"/>
          <w:sz w:val="24"/>
        </w:rPr>
      </w:pPr>
      <w:r>
        <w:rPr>
          <w:rFonts w:hint="eastAsia" w:ascii="宋体" w:hAnsi="宋体" w:cs="宋体"/>
          <w:color w:val="auto"/>
          <w:sz w:val="24"/>
        </w:rPr>
        <w:t>11.3除非招标文件另有规定，投标文件所使用的计量单位，应使用国家法定计量单位。</w:t>
      </w:r>
    </w:p>
    <w:p>
      <w:pPr>
        <w:spacing w:line="360" w:lineRule="auto"/>
        <w:ind w:firstLine="480" w:firstLineChars="200"/>
        <w:rPr>
          <w:rFonts w:ascii="宋体" w:hAnsi="宋体" w:cs="宋体"/>
          <w:color w:val="auto"/>
          <w:sz w:val="24"/>
        </w:rPr>
      </w:pPr>
      <w:r>
        <w:rPr>
          <w:rFonts w:hint="eastAsia" w:ascii="宋体" w:hAnsi="宋体" w:cs="宋体"/>
          <w:color w:val="auto"/>
          <w:sz w:val="24"/>
        </w:rPr>
        <w:t>11.4对违反上述规定情形的，评标委员会有权要求供应商限期提供相应文件或决定对其投标予以拒绝。</w:t>
      </w:r>
    </w:p>
    <w:p>
      <w:pPr>
        <w:spacing w:line="360" w:lineRule="auto"/>
        <w:ind w:firstLine="480" w:firstLineChars="200"/>
        <w:rPr>
          <w:rFonts w:ascii="宋体" w:hAnsi="宋体" w:cs="宋体"/>
          <w:color w:val="auto"/>
          <w:sz w:val="24"/>
        </w:rPr>
      </w:pPr>
      <w:r>
        <w:rPr>
          <w:rFonts w:hint="eastAsia" w:ascii="宋体" w:hAnsi="宋体" w:cs="宋体"/>
          <w:color w:val="auto"/>
          <w:sz w:val="24"/>
        </w:rPr>
        <w:t>11.5电报、电话、传真形式的投标概不接受。供应商的投标文件一律不予退还。</w:t>
      </w:r>
    </w:p>
    <w:p>
      <w:pPr>
        <w:spacing w:line="360" w:lineRule="auto"/>
        <w:rPr>
          <w:rFonts w:ascii="宋体" w:hAnsi="宋体" w:cs="宋体"/>
          <w:b/>
          <w:color w:val="auto"/>
          <w:sz w:val="24"/>
        </w:rPr>
      </w:pPr>
      <w:r>
        <w:rPr>
          <w:rFonts w:hint="eastAsia" w:ascii="宋体" w:hAnsi="宋体" w:cs="宋体"/>
          <w:b/>
          <w:color w:val="auto"/>
          <w:sz w:val="24"/>
        </w:rPr>
        <w:t>12.投标文件组成及编制</w:t>
      </w:r>
    </w:p>
    <w:p>
      <w:pPr>
        <w:spacing w:line="360" w:lineRule="auto"/>
        <w:ind w:firstLine="480" w:firstLineChars="200"/>
        <w:rPr>
          <w:rFonts w:ascii="宋体" w:hAnsi="宋体" w:cs="宋体"/>
          <w:color w:val="auto"/>
          <w:sz w:val="24"/>
        </w:rPr>
      </w:pPr>
      <w:r>
        <w:rPr>
          <w:rFonts w:hint="eastAsia" w:ascii="宋体" w:hAnsi="宋体" w:cs="宋体"/>
          <w:color w:val="auto"/>
          <w:sz w:val="24"/>
        </w:rPr>
        <w:t>12.1投标文件分为商务、经济文件和技术文件。</w:t>
      </w:r>
    </w:p>
    <w:p>
      <w:pPr>
        <w:spacing w:line="360" w:lineRule="auto"/>
        <w:ind w:firstLine="480" w:firstLineChars="200"/>
        <w:rPr>
          <w:rFonts w:ascii="宋体" w:hAnsi="宋体" w:cs="宋体"/>
          <w:color w:val="auto"/>
          <w:sz w:val="24"/>
        </w:rPr>
      </w:pPr>
      <w:r>
        <w:rPr>
          <w:rFonts w:hint="eastAsia" w:ascii="宋体" w:hAnsi="宋体" w:cs="宋体"/>
          <w:color w:val="auto"/>
          <w:sz w:val="24"/>
        </w:rPr>
        <w:t>商务、经济文件指供应商提交的证明其有资格参加投标和中标后有能力履行合同的文件。技术文件指供应商提交的能够证明其提供的服务符合招标文件规定的文件。本次招标，供应商须按招标文件第二部分“供应商须知前附表”中第12项规定提交商务、经济文件和技术文件，其中加★项目若有缺失或无效，将导致投标被拒绝且不允许在开标后补正。</w:t>
      </w:r>
    </w:p>
    <w:p>
      <w:pPr>
        <w:pStyle w:val="13"/>
        <w:spacing w:line="360" w:lineRule="auto"/>
        <w:ind w:firstLine="480"/>
        <w:rPr>
          <w:rFonts w:ascii="宋体" w:hAnsi="宋体" w:cs="宋体"/>
          <w:color w:val="auto"/>
          <w:sz w:val="24"/>
        </w:rPr>
      </w:pPr>
      <w:r>
        <w:rPr>
          <w:rFonts w:hint="eastAsia" w:ascii="宋体" w:hAnsi="宋体" w:cs="宋体"/>
          <w:color w:val="auto"/>
          <w:sz w:val="24"/>
        </w:rPr>
        <w:t>12.2招标文件中提供格式的，投标文件须按照格式编制；表格样式不够或多余的，供应商根据实际情况可按照格式要求自行增加或减少。招标文件中未提供格式的，供应商可根据实际情况自行提供。</w:t>
      </w:r>
    </w:p>
    <w:p>
      <w:pPr>
        <w:spacing w:line="360" w:lineRule="auto"/>
        <w:ind w:firstLine="480" w:firstLineChars="200"/>
        <w:rPr>
          <w:rFonts w:ascii="宋体" w:hAnsi="宋体" w:cs="宋体"/>
          <w:color w:val="auto"/>
          <w:sz w:val="24"/>
        </w:rPr>
      </w:pPr>
      <w:r>
        <w:rPr>
          <w:rFonts w:hint="eastAsia" w:ascii="宋体" w:hAnsi="宋体" w:cs="宋体"/>
          <w:color w:val="auto"/>
          <w:sz w:val="24"/>
        </w:rPr>
        <w:t>12.3供应商递交的投标文件及相关要求按照招标文件第二部分“供应商须知前附表”中第17、18项的规定。</w:t>
      </w:r>
    </w:p>
    <w:p>
      <w:pPr>
        <w:spacing w:line="360" w:lineRule="auto"/>
        <w:rPr>
          <w:rFonts w:ascii="宋体" w:hAnsi="宋体" w:cs="宋体"/>
          <w:b/>
          <w:color w:val="auto"/>
          <w:sz w:val="24"/>
        </w:rPr>
      </w:pPr>
      <w:r>
        <w:rPr>
          <w:rFonts w:hint="eastAsia" w:ascii="宋体" w:hAnsi="宋体" w:cs="宋体"/>
          <w:b/>
          <w:color w:val="auto"/>
          <w:sz w:val="24"/>
        </w:rPr>
        <w:t>13.投标报价</w:t>
      </w:r>
    </w:p>
    <w:p>
      <w:pPr>
        <w:spacing w:line="360" w:lineRule="auto"/>
        <w:ind w:firstLine="480" w:firstLineChars="200"/>
        <w:rPr>
          <w:rFonts w:ascii="宋体" w:hAnsi="宋体" w:cs="宋体"/>
          <w:color w:val="auto"/>
          <w:sz w:val="24"/>
        </w:rPr>
      </w:pPr>
      <w:r>
        <w:rPr>
          <w:rFonts w:hint="eastAsia" w:ascii="宋体" w:hAnsi="宋体" w:cs="宋体"/>
          <w:color w:val="auto"/>
          <w:sz w:val="24"/>
        </w:rPr>
        <w:t>13.1所有投标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供应商自行承担。</w:t>
      </w:r>
    </w:p>
    <w:p>
      <w:pPr>
        <w:spacing w:line="360" w:lineRule="auto"/>
        <w:ind w:firstLine="480" w:firstLineChars="200"/>
        <w:rPr>
          <w:rFonts w:ascii="宋体" w:hAnsi="宋体" w:cs="宋体"/>
          <w:color w:val="auto"/>
          <w:sz w:val="24"/>
        </w:rPr>
      </w:pPr>
      <w:r>
        <w:rPr>
          <w:rFonts w:hint="eastAsia" w:ascii="宋体" w:hAnsi="宋体" w:cs="宋体"/>
          <w:color w:val="auto"/>
          <w:sz w:val="24"/>
        </w:rPr>
        <w:t>13.2供应商投报多包的，须对每包分别制作投标文件并报价</w:t>
      </w:r>
      <w:r>
        <w:rPr>
          <w:rFonts w:hint="eastAsia" w:ascii="宋体" w:hAnsi="宋体" w:cs="宋体"/>
          <w:b/>
          <w:color w:val="auto"/>
          <w:sz w:val="24"/>
        </w:rPr>
        <w:t>。</w:t>
      </w:r>
    </w:p>
    <w:p>
      <w:pPr>
        <w:spacing w:line="360" w:lineRule="auto"/>
        <w:ind w:firstLine="480" w:firstLineChars="200"/>
        <w:rPr>
          <w:rFonts w:ascii="宋体" w:hAnsi="宋体" w:cs="宋体"/>
          <w:b/>
          <w:color w:val="auto"/>
          <w:sz w:val="24"/>
        </w:rPr>
      </w:pPr>
      <w:r>
        <w:rPr>
          <w:rFonts w:hint="eastAsia" w:ascii="宋体" w:hAnsi="宋体" w:cs="宋体"/>
          <w:color w:val="auto"/>
          <w:sz w:val="24"/>
        </w:rPr>
        <w:t>13.3除非招标文件另有规定，不接受可选择或可调整的投标方案和报价，任何有选择的或可调整的投标方案和报价将被视为非响应性投标而被拒绝。</w:t>
      </w:r>
    </w:p>
    <w:p>
      <w:pPr>
        <w:spacing w:line="360" w:lineRule="auto"/>
        <w:ind w:firstLine="480" w:firstLineChars="200"/>
        <w:rPr>
          <w:rFonts w:ascii="宋体" w:hAnsi="宋体" w:cs="宋体"/>
          <w:color w:val="auto"/>
          <w:sz w:val="24"/>
        </w:rPr>
      </w:pPr>
      <w:r>
        <w:rPr>
          <w:rFonts w:hint="eastAsia" w:ascii="宋体" w:hAnsi="宋体" w:cs="宋体"/>
          <w:color w:val="auto"/>
          <w:sz w:val="24"/>
        </w:rPr>
        <w:t>13.4本项目是否接受进口产品按照招标文件第二部分“供应商须知前附表中”中第26项的规定。</w:t>
      </w:r>
    </w:p>
    <w:p>
      <w:pPr>
        <w:spacing w:line="360" w:lineRule="auto"/>
        <w:ind w:firstLine="480" w:firstLineChars="200"/>
        <w:rPr>
          <w:rFonts w:ascii="宋体" w:hAnsi="宋体" w:cs="宋体"/>
          <w:color w:val="auto"/>
          <w:sz w:val="24"/>
        </w:rPr>
      </w:pPr>
      <w:r>
        <w:rPr>
          <w:rFonts w:hint="eastAsia" w:ascii="宋体" w:hAnsi="宋体" w:cs="宋体"/>
          <w:color w:val="auto"/>
          <w:sz w:val="24"/>
        </w:rPr>
        <w:t>13.5本项目是否允许供应商将项目的非主体、非关键性工作交由他人完成按照招标文件第二部分“供应商须知前附表”中第13项的规定。如允许，供应商根据采购项目的实际情况，拟在中标后将中标项目的非主体、非关键性工作交由他人完成，须在技术文件中载明。</w:t>
      </w:r>
    </w:p>
    <w:p>
      <w:pPr>
        <w:spacing w:line="360" w:lineRule="auto"/>
        <w:ind w:firstLine="480" w:firstLineChars="200"/>
        <w:rPr>
          <w:rFonts w:ascii="宋体" w:hAnsi="宋体" w:cs="宋体"/>
          <w:color w:val="auto"/>
          <w:sz w:val="24"/>
        </w:rPr>
      </w:pPr>
      <w:r>
        <w:rPr>
          <w:rFonts w:hint="eastAsia" w:ascii="宋体" w:hAnsi="宋体" w:cs="宋体"/>
          <w:color w:val="auto"/>
          <w:sz w:val="24"/>
        </w:rPr>
        <w:t>13.6供应商须严格按照报价明细表规定的内容填写货物单价以及其他事项。</w:t>
      </w:r>
    </w:p>
    <w:p>
      <w:pPr>
        <w:spacing w:line="360" w:lineRule="auto"/>
        <w:ind w:firstLine="480" w:firstLineChars="200"/>
        <w:rPr>
          <w:rFonts w:ascii="宋体" w:hAnsi="宋体" w:cs="宋体"/>
          <w:color w:val="auto"/>
          <w:sz w:val="24"/>
        </w:rPr>
      </w:pPr>
      <w:r>
        <w:rPr>
          <w:rFonts w:hint="eastAsia" w:ascii="宋体" w:hAnsi="宋体" w:cs="宋体"/>
          <w:color w:val="auto"/>
          <w:sz w:val="24"/>
        </w:rPr>
        <w:t>13.7供应商对投标报价若有说明应在投标文件中显著处注明。</w:t>
      </w:r>
    </w:p>
    <w:p>
      <w:pPr>
        <w:spacing w:line="360" w:lineRule="auto"/>
        <w:ind w:firstLine="480" w:firstLineChars="200"/>
        <w:rPr>
          <w:rFonts w:ascii="宋体" w:hAnsi="宋体" w:cs="宋体"/>
          <w:color w:val="auto"/>
          <w:sz w:val="24"/>
        </w:rPr>
      </w:pPr>
      <w:r>
        <w:rPr>
          <w:rFonts w:hint="eastAsia" w:ascii="宋体" w:hAnsi="宋体" w:cs="宋体"/>
          <w:color w:val="auto"/>
          <w:sz w:val="24"/>
        </w:rPr>
        <w:t>除政策性文件规定以外，供应商所报价格在合同实施期间不因市场变化因素而变动。</w:t>
      </w:r>
    </w:p>
    <w:p>
      <w:pPr>
        <w:spacing w:line="360" w:lineRule="auto"/>
        <w:ind w:firstLine="480" w:firstLineChars="200"/>
        <w:rPr>
          <w:rFonts w:ascii="宋体" w:hAnsi="宋体" w:cs="宋体"/>
          <w:color w:val="auto"/>
          <w:sz w:val="24"/>
        </w:rPr>
      </w:pPr>
      <w:r>
        <w:rPr>
          <w:rFonts w:hint="eastAsia" w:ascii="宋体" w:hAnsi="宋体" w:cs="宋体"/>
          <w:color w:val="auto"/>
          <w:sz w:val="24"/>
        </w:rPr>
        <w:t>13.8对于有配件、耗材、选件、备件和特殊工具的货物，还应填报投标货物配件、耗材、选件表和备件及特殊工具清单，注明品牌、型号、产地、功能、单价、批量折扣等内容，该表格格式由供应商自行设计。供应商按照上述要求分类报价，其目的是便于评标，但在任何情况下并不限制采购人以其他条款签订合同的权利。</w:t>
      </w:r>
    </w:p>
    <w:p>
      <w:pPr>
        <w:spacing w:line="360" w:lineRule="auto"/>
        <w:ind w:firstLine="480" w:firstLineChars="200"/>
        <w:rPr>
          <w:rFonts w:ascii="宋体" w:hAnsi="宋体" w:cs="宋体"/>
          <w:color w:val="auto"/>
          <w:sz w:val="24"/>
        </w:rPr>
      </w:pPr>
      <w:r>
        <w:rPr>
          <w:rFonts w:hint="eastAsia" w:ascii="宋体" w:hAnsi="宋体" w:cs="宋体"/>
          <w:color w:val="auto"/>
          <w:sz w:val="24"/>
        </w:rPr>
        <w:t>13.9最低报价不能作为中标的保证。</w:t>
      </w:r>
    </w:p>
    <w:p>
      <w:pPr>
        <w:spacing w:line="360" w:lineRule="auto"/>
        <w:rPr>
          <w:rFonts w:ascii="宋体" w:hAnsi="宋体" w:cs="宋体"/>
          <w:b/>
          <w:color w:val="auto"/>
          <w:sz w:val="24"/>
        </w:rPr>
      </w:pPr>
      <w:r>
        <w:rPr>
          <w:rFonts w:hint="eastAsia" w:ascii="宋体" w:hAnsi="宋体" w:cs="宋体"/>
          <w:b/>
          <w:color w:val="auto"/>
          <w:sz w:val="24"/>
        </w:rPr>
        <w:t>14.投标有效期</w:t>
      </w:r>
    </w:p>
    <w:p>
      <w:pPr>
        <w:spacing w:line="360" w:lineRule="auto"/>
        <w:ind w:firstLine="480" w:firstLineChars="200"/>
        <w:rPr>
          <w:rFonts w:ascii="宋体" w:hAnsi="宋体" w:cs="宋体"/>
          <w:color w:val="auto"/>
          <w:sz w:val="24"/>
        </w:rPr>
      </w:pPr>
      <w:r>
        <w:rPr>
          <w:rFonts w:hint="eastAsia" w:ascii="宋体" w:hAnsi="宋体" w:cs="宋体"/>
          <w:color w:val="auto"/>
          <w:sz w:val="24"/>
        </w:rPr>
        <w:t>14.1本项目的投标有效期按照招标文件第二部分“供应商须知前附表中”中第15项的规定。投标有效期自开标之日起计算，短于规定期限的投标将按无效投标处理。</w:t>
      </w:r>
    </w:p>
    <w:p>
      <w:pPr>
        <w:spacing w:line="360" w:lineRule="auto"/>
        <w:ind w:firstLine="480" w:firstLineChars="200"/>
        <w:rPr>
          <w:rFonts w:ascii="宋体" w:hAnsi="宋体" w:cs="宋体"/>
          <w:color w:val="auto"/>
          <w:sz w:val="24"/>
        </w:rPr>
      </w:pPr>
      <w:r>
        <w:rPr>
          <w:rFonts w:hint="eastAsia" w:ascii="宋体" w:hAnsi="宋体" w:cs="宋体"/>
          <w:color w:val="auto"/>
          <w:sz w:val="24"/>
        </w:rPr>
        <w:t>14.2在特殊情况下，采购代理机构可与供应商协商延长投标有效期。这种要求和答复都应以书面形式进行。此时，规定的投标保证金的有效期也相应延长。供应商可以拒绝接受延期要求而不会被没收保证金。同意延长有效期的供应商除按照采购代理机构要求修改投标有效期外，不能修改投标文件的其他内容。</w:t>
      </w:r>
    </w:p>
    <w:p>
      <w:pPr>
        <w:spacing w:line="360" w:lineRule="auto"/>
        <w:rPr>
          <w:rFonts w:ascii="宋体" w:hAnsi="宋体" w:cs="宋体"/>
          <w:b/>
          <w:color w:val="auto"/>
          <w:sz w:val="24"/>
        </w:rPr>
      </w:pPr>
      <w:r>
        <w:rPr>
          <w:rFonts w:hint="eastAsia" w:ascii="宋体" w:hAnsi="宋体" w:cs="宋体"/>
          <w:b/>
          <w:color w:val="auto"/>
          <w:sz w:val="24"/>
        </w:rPr>
        <w:t>15.投标内容填写说明</w:t>
      </w:r>
    </w:p>
    <w:p>
      <w:pPr>
        <w:spacing w:line="360" w:lineRule="auto"/>
        <w:ind w:firstLine="480" w:firstLineChars="200"/>
        <w:rPr>
          <w:rFonts w:ascii="宋体" w:hAnsi="宋体" w:cs="宋体"/>
          <w:color w:val="auto"/>
          <w:sz w:val="24"/>
        </w:rPr>
      </w:pPr>
      <w:r>
        <w:rPr>
          <w:rFonts w:hint="eastAsia" w:ascii="宋体" w:hAnsi="宋体" w:cs="宋体"/>
          <w:color w:val="auto"/>
          <w:sz w:val="24"/>
        </w:rPr>
        <w:t>15.1供应商应详细阅读招标文件的全部内容。投标文件须对招标文件中的内容作出实质性和完整的响应，如果投标文件填报的内容不详，或没有提供招标文件中所要求的全部资料及数据，将可能导致投标被拒绝。</w:t>
      </w:r>
    </w:p>
    <w:p>
      <w:pPr>
        <w:spacing w:line="360" w:lineRule="auto"/>
        <w:ind w:firstLine="480" w:firstLineChars="200"/>
        <w:rPr>
          <w:rFonts w:ascii="宋体" w:hAnsi="宋体" w:cs="宋体"/>
          <w:b/>
          <w:color w:val="auto"/>
          <w:sz w:val="24"/>
        </w:rPr>
      </w:pPr>
      <w:r>
        <w:rPr>
          <w:rFonts w:hint="eastAsia" w:ascii="宋体" w:hAnsi="宋体" w:cs="宋体"/>
          <w:color w:val="auto"/>
          <w:sz w:val="24"/>
        </w:rPr>
        <w:t>15.2投标文件须严格按照招标文件第六部分规定的格式提交，并按规定的统一格式逐项填写，不准有空项；无相应内容可填的项，应填写“无”、“未测试”、“没有相应指标”等明确的回答文字。由于编排混乱导致投标文件被误读或查找不到，其责任由供应商承担。投标文件未按规定提交，将被视为不完整响应的投标文件，其投标有可能被拒绝</w:t>
      </w:r>
      <w:r>
        <w:rPr>
          <w:rFonts w:hint="eastAsia" w:ascii="宋体" w:hAnsi="宋体" w:cs="宋体"/>
          <w:b/>
          <w:color w:val="auto"/>
          <w:sz w:val="24"/>
        </w:rPr>
        <w:t>。</w:t>
      </w:r>
    </w:p>
    <w:p>
      <w:pPr>
        <w:spacing w:line="360" w:lineRule="auto"/>
        <w:ind w:firstLine="480" w:firstLineChars="200"/>
        <w:rPr>
          <w:rFonts w:ascii="宋体" w:hAnsi="宋体" w:cs="宋体"/>
          <w:color w:val="auto"/>
          <w:sz w:val="24"/>
        </w:rPr>
      </w:pPr>
      <w:r>
        <w:rPr>
          <w:rFonts w:hint="eastAsia" w:ascii="宋体" w:hAnsi="宋体" w:cs="宋体"/>
          <w:color w:val="auto"/>
          <w:sz w:val="24"/>
        </w:rPr>
        <w:t>15.3开标一览表为在开标仪式上唱标的内容，要求按格式统一填写，不得自行增减内容。</w:t>
      </w:r>
    </w:p>
    <w:p>
      <w:pPr>
        <w:spacing w:line="360" w:lineRule="auto"/>
        <w:ind w:firstLine="480" w:firstLineChars="200"/>
        <w:rPr>
          <w:rFonts w:ascii="宋体" w:hAnsi="宋体" w:cs="宋体"/>
          <w:color w:val="auto"/>
          <w:sz w:val="24"/>
        </w:rPr>
      </w:pPr>
      <w:r>
        <w:rPr>
          <w:rFonts w:hint="eastAsia" w:ascii="宋体" w:hAnsi="宋体" w:cs="宋体"/>
          <w:color w:val="auto"/>
          <w:sz w:val="24"/>
        </w:rPr>
        <w:t>15.4供应商须注意：为合理节约政府采购评审成本，提倡诚实信用的投标行为，特别要求供应商应本着诚信精神，在本次投标文件的偏离表中，均以审慎的态度明确、清楚地披露各项偏离。若供应商对某一事项是否存在或是否属于偏离不能确定，亦必须在偏离表中清楚地表明该偏离事项，并可以注明不能确定的字样。任何情况下，对于供应商没有在偏离表中明确、清楚地披露的事项，包括可能属于被供应商在偏离表中遗漏披露的事项，一旦在评审中被发现存在偏离或被认定为属于偏离，则评标委员会有权视具体情形评审时予以处理，乃至对该投标予以拒绝。</w:t>
      </w:r>
    </w:p>
    <w:p>
      <w:pPr>
        <w:spacing w:line="360" w:lineRule="auto"/>
        <w:ind w:firstLine="480" w:firstLineChars="200"/>
        <w:rPr>
          <w:rFonts w:ascii="宋体" w:hAnsi="宋体" w:cs="宋体"/>
          <w:color w:val="auto"/>
          <w:sz w:val="24"/>
        </w:rPr>
      </w:pPr>
      <w:r>
        <w:rPr>
          <w:rFonts w:hint="eastAsia" w:ascii="宋体" w:hAnsi="宋体" w:cs="宋体"/>
          <w:color w:val="auto"/>
          <w:sz w:val="24"/>
        </w:rPr>
        <w:t>15.5供应商必须保证投标文件所提供的全部资料真实可靠，并接受采购代理机构或评标委员会对其中任何资料进一步审查的要求。</w:t>
      </w:r>
    </w:p>
    <w:p>
      <w:pPr>
        <w:spacing w:line="360" w:lineRule="auto"/>
        <w:ind w:firstLine="480" w:firstLineChars="200"/>
        <w:rPr>
          <w:rFonts w:ascii="宋体" w:hAnsi="宋体" w:cs="宋体"/>
          <w:b/>
          <w:color w:val="auto"/>
          <w:sz w:val="24"/>
        </w:rPr>
      </w:pPr>
      <w:r>
        <w:rPr>
          <w:rFonts w:hint="eastAsia" w:ascii="宋体" w:hAnsi="宋体" w:cs="宋体"/>
          <w:color w:val="auto"/>
          <w:sz w:val="24"/>
        </w:rPr>
        <w:t>15.6供应商在投标文件及相关文件的签订、履行、通知等事项的文件中的单位盖章、印章、公章等处均指与当事人全称相一致的签章或标准公章，不得使用其他形式（如带有“专用章”等字样的印章）。不符合本条规定的按无效投标处理。</w:t>
      </w:r>
    </w:p>
    <w:p>
      <w:pPr>
        <w:spacing w:line="360" w:lineRule="auto"/>
        <w:ind w:firstLine="480" w:firstLineChars="200"/>
        <w:rPr>
          <w:rFonts w:ascii="宋体" w:hAnsi="宋体" w:cs="宋体"/>
          <w:b/>
          <w:color w:val="auto"/>
          <w:kern w:val="0"/>
          <w:sz w:val="24"/>
        </w:rPr>
      </w:pPr>
      <w:r>
        <w:rPr>
          <w:rFonts w:hint="eastAsia" w:ascii="宋体" w:hAnsi="宋体" w:cs="宋体"/>
          <w:color w:val="auto"/>
          <w:sz w:val="24"/>
        </w:rPr>
        <w:t>15.7本项目</w:t>
      </w:r>
      <w:r>
        <w:rPr>
          <w:rFonts w:hint="eastAsia" w:ascii="宋体" w:hAnsi="宋体" w:cs="宋体"/>
          <w:color w:val="auto"/>
          <w:kern w:val="0"/>
          <w:sz w:val="24"/>
        </w:rPr>
        <w:t>技术部分是否采用“暗标”评审方式</w:t>
      </w:r>
      <w:r>
        <w:rPr>
          <w:rFonts w:hint="eastAsia" w:ascii="宋体" w:hAnsi="宋体" w:cs="宋体"/>
          <w:color w:val="auto"/>
          <w:sz w:val="24"/>
        </w:rPr>
        <w:t>按照招标文件第二部分“供应商须知前附表中”中第27项的规定。如果采用暗标评审方式的，供应商在制作投标文件时应当以能够隐去供应商的身份为原则并需严格遵守以下各项规定：</w:t>
      </w:r>
    </w:p>
    <w:p>
      <w:pPr>
        <w:spacing w:line="360" w:lineRule="auto"/>
        <w:ind w:firstLine="480" w:firstLineChars="200"/>
        <w:rPr>
          <w:rFonts w:ascii="宋体" w:hAnsi="宋体" w:cs="宋体"/>
          <w:color w:val="auto"/>
          <w:sz w:val="24"/>
        </w:rPr>
      </w:pPr>
      <w:r>
        <w:rPr>
          <w:rFonts w:hint="eastAsia" w:ascii="宋体" w:hAnsi="宋体" w:cs="宋体"/>
          <w:color w:val="auto"/>
          <w:sz w:val="24"/>
        </w:rPr>
        <w:t>15.7.1技术部分中纳入“暗标”部分的内容：样品。</w:t>
      </w:r>
    </w:p>
    <w:p>
      <w:pPr>
        <w:spacing w:line="360" w:lineRule="auto"/>
        <w:ind w:firstLine="480" w:firstLineChars="200"/>
        <w:rPr>
          <w:rFonts w:ascii="宋体" w:hAnsi="宋体" w:cs="宋体"/>
          <w:color w:val="auto"/>
          <w:sz w:val="24"/>
        </w:rPr>
      </w:pPr>
      <w:r>
        <w:rPr>
          <w:rFonts w:hint="eastAsia" w:ascii="宋体" w:hAnsi="宋体" w:cs="宋体"/>
          <w:color w:val="auto"/>
          <w:sz w:val="24"/>
        </w:rPr>
        <w:t>15.7.2暗标的编制要求</w:t>
      </w:r>
    </w:p>
    <w:p>
      <w:pPr>
        <w:spacing w:line="360" w:lineRule="auto"/>
        <w:ind w:firstLine="480" w:firstLineChars="200"/>
        <w:rPr>
          <w:rFonts w:ascii="宋体" w:hAnsi="宋体" w:cs="宋体"/>
          <w:color w:val="auto"/>
          <w:sz w:val="24"/>
        </w:rPr>
      </w:pPr>
      <w:r>
        <w:rPr>
          <w:rFonts w:hint="eastAsia" w:ascii="宋体" w:hAnsi="宋体" w:cs="宋体"/>
          <w:color w:val="auto"/>
          <w:sz w:val="24"/>
        </w:rPr>
        <w:t>15.7.2.1投标文件技术部分全部内容中不能出现任何本供应商的名称和其它可识别供应商身份的字符、企业徽标或符号、人员名称以及其他特殊标记等（如有此类文件应放于商务文件“用于评审的证明材料”中），否则将导致投标被拒绝。</w:t>
      </w:r>
    </w:p>
    <w:p>
      <w:pPr>
        <w:spacing w:line="360" w:lineRule="auto"/>
        <w:ind w:firstLine="480" w:firstLineChars="200"/>
        <w:rPr>
          <w:rFonts w:ascii="宋体" w:hAnsi="宋体" w:cs="宋体"/>
          <w:color w:val="auto"/>
          <w:sz w:val="24"/>
        </w:rPr>
      </w:pPr>
      <w:r>
        <w:rPr>
          <w:rFonts w:hint="eastAsia" w:ascii="宋体" w:hAnsi="宋体" w:cs="宋体"/>
          <w:color w:val="auto"/>
          <w:sz w:val="24"/>
        </w:rPr>
        <w:t>15.7.2.2页面设置及字体要求：采用标准A4纸张，上下页边距为2.54cm，左右页边距为3.17cm，装订线位置为左；不得设置页码；正文使用四号宋体字，单倍行距，段前段后0行间距；标题为二号黑体字，图、表中的字体统一用宋体小四，1.5倍行距，段前段后0行间距。</w:t>
      </w:r>
    </w:p>
    <w:p>
      <w:pPr>
        <w:spacing w:line="360" w:lineRule="auto"/>
        <w:ind w:left="1" w:firstLine="480" w:firstLineChars="200"/>
        <w:rPr>
          <w:rFonts w:ascii="宋体" w:hAnsi="宋体" w:cs="宋体"/>
          <w:color w:val="auto"/>
          <w:sz w:val="24"/>
        </w:rPr>
      </w:pPr>
      <w:r>
        <w:rPr>
          <w:rFonts w:hint="eastAsia" w:ascii="宋体" w:hAnsi="宋体" w:cs="宋体"/>
          <w:color w:val="auto"/>
          <w:sz w:val="24"/>
        </w:rPr>
        <w:t>15.7.2.3任何情况下，技术部分（“暗标”部分）中不得出现任何供应商的审阅或者批注痕迹，否则将导致投标被拒绝。</w:t>
      </w:r>
    </w:p>
    <w:p>
      <w:pPr>
        <w:pStyle w:val="5"/>
        <w:numPr>
          <w:ilvl w:val="0"/>
          <w:numId w:val="0"/>
        </w:numPr>
        <w:spacing w:before="0" w:after="0" w:line="360" w:lineRule="auto"/>
        <w:rPr>
          <w:rFonts w:ascii="宋体" w:hAnsi="宋体" w:cs="宋体"/>
          <w:color w:val="auto"/>
          <w:sz w:val="24"/>
          <w:szCs w:val="24"/>
        </w:rPr>
      </w:pPr>
      <w:bookmarkStart w:id="25" w:name="_Toc6223"/>
      <w:r>
        <w:rPr>
          <w:rFonts w:hint="eastAsia" w:ascii="宋体" w:hAnsi="宋体" w:cs="宋体"/>
          <w:color w:val="auto"/>
          <w:sz w:val="24"/>
          <w:szCs w:val="24"/>
        </w:rPr>
        <w:t>四、投标保证金</w:t>
      </w:r>
      <w:bookmarkEnd w:id="25"/>
    </w:p>
    <w:p>
      <w:pPr>
        <w:spacing w:line="360" w:lineRule="auto"/>
        <w:rPr>
          <w:rFonts w:ascii="宋体" w:hAnsi="宋体" w:cs="宋体"/>
          <w:b/>
          <w:color w:val="auto"/>
          <w:sz w:val="24"/>
        </w:rPr>
      </w:pPr>
      <w:r>
        <w:rPr>
          <w:rFonts w:hint="eastAsia" w:ascii="宋体" w:hAnsi="宋体" w:cs="宋体"/>
          <w:b/>
          <w:color w:val="auto"/>
          <w:sz w:val="24"/>
        </w:rPr>
        <w:t xml:space="preserve">16.投标保证金 </w:t>
      </w:r>
    </w:p>
    <w:p>
      <w:pPr>
        <w:spacing w:line="360" w:lineRule="auto"/>
        <w:ind w:firstLine="480" w:firstLineChars="200"/>
        <w:rPr>
          <w:rFonts w:ascii="宋体" w:hAnsi="宋体" w:cs="宋体"/>
          <w:color w:val="auto"/>
          <w:sz w:val="24"/>
        </w:rPr>
      </w:pPr>
      <w:r>
        <w:rPr>
          <w:rFonts w:hint="eastAsia" w:ascii="宋体" w:hAnsi="宋体" w:cs="宋体"/>
          <w:color w:val="auto"/>
          <w:sz w:val="24"/>
        </w:rPr>
        <w:t>16.1供应商应按照招标文件第二部分“供应商须知前附表”中第21项的规定交纳。投标保证金须于到账截止时间前到帐。</w:t>
      </w:r>
    </w:p>
    <w:p>
      <w:pPr>
        <w:spacing w:line="360" w:lineRule="auto"/>
        <w:ind w:firstLine="480" w:firstLineChars="200"/>
        <w:rPr>
          <w:rFonts w:ascii="宋体" w:hAnsi="宋体" w:cs="宋体"/>
          <w:color w:val="auto"/>
          <w:sz w:val="24"/>
        </w:rPr>
      </w:pPr>
      <w:r>
        <w:rPr>
          <w:rFonts w:hint="eastAsia" w:ascii="宋体" w:hAnsi="宋体" w:cs="宋体"/>
          <w:color w:val="auto"/>
          <w:sz w:val="24"/>
        </w:rPr>
        <w:t>16.2不接收以现金或汇票等其他形式递交的投标保证金。未按要求提交投标保证金的，将被视为无效投标。</w:t>
      </w:r>
    </w:p>
    <w:p>
      <w:pPr>
        <w:spacing w:line="360" w:lineRule="auto"/>
        <w:ind w:firstLine="480" w:firstLineChars="200"/>
        <w:rPr>
          <w:rFonts w:ascii="宋体" w:hAnsi="宋体" w:cs="宋体"/>
          <w:color w:val="auto"/>
          <w:sz w:val="24"/>
        </w:rPr>
      </w:pPr>
      <w:r>
        <w:rPr>
          <w:rFonts w:hint="eastAsia" w:ascii="宋体" w:hAnsi="宋体" w:cs="宋体"/>
          <w:color w:val="auto"/>
          <w:sz w:val="24"/>
        </w:rPr>
        <w:t>16.3未中标的供应商的投标保证金在中标通知书发出之日起5个工作日内退还；中标人的投标保证金将在交纳履约保证金并于合同生效后5个工作日内退还。</w:t>
      </w:r>
    </w:p>
    <w:p>
      <w:pPr>
        <w:spacing w:line="360" w:lineRule="auto"/>
        <w:ind w:firstLine="480" w:firstLineChars="200"/>
        <w:rPr>
          <w:rFonts w:ascii="宋体" w:hAnsi="宋体" w:cs="宋体"/>
          <w:color w:val="auto"/>
        </w:rPr>
      </w:pPr>
      <w:r>
        <w:rPr>
          <w:rFonts w:hint="eastAsia" w:ascii="宋体" w:hAnsi="宋体" w:cs="宋体"/>
          <w:color w:val="auto"/>
          <w:sz w:val="24"/>
        </w:rPr>
        <w:t>16.4投标保证金退还一律采用网上银行转帐方式退还至供应商的汇款帐户，资金原路返回。</w:t>
      </w:r>
    </w:p>
    <w:p>
      <w:pPr>
        <w:pStyle w:val="5"/>
        <w:numPr>
          <w:ilvl w:val="0"/>
          <w:numId w:val="0"/>
        </w:numPr>
        <w:spacing w:before="0" w:after="0" w:line="360" w:lineRule="auto"/>
        <w:rPr>
          <w:rFonts w:ascii="宋体" w:hAnsi="宋体" w:cs="宋体"/>
          <w:color w:val="auto"/>
          <w:sz w:val="24"/>
          <w:szCs w:val="24"/>
        </w:rPr>
      </w:pPr>
      <w:bookmarkStart w:id="26" w:name="_Toc4749"/>
      <w:r>
        <w:rPr>
          <w:rFonts w:hint="eastAsia" w:ascii="宋体" w:hAnsi="宋体" w:cs="宋体"/>
          <w:color w:val="auto"/>
          <w:sz w:val="24"/>
          <w:szCs w:val="24"/>
        </w:rPr>
        <w:t>五、投标文件的递交</w:t>
      </w:r>
      <w:bookmarkEnd w:id="26"/>
    </w:p>
    <w:p>
      <w:pPr>
        <w:spacing w:line="360" w:lineRule="auto"/>
        <w:rPr>
          <w:rFonts w:ascii="宋体" w:hAnsi="宋体" w:cs="宋体"/>
          <w:b/>
          <w:color w:val="auto"/>
          <w:sz w:val="24"/>
        </w:rPr>
      </w:pPr>
      <w:r>
        <w:rPr>
          <w:rFonts w:hint="eastAsia" w:ascii="宋体" w:hAnsi="宋体" w:cs="宋体"/>
          <w:b/>
          <w:color w:val="auto"/>
          <w:sz w:val="24"/>
        </w:rPr>
        <w:t>17.投标文件的密封和标记</w:t>
      </w:r>
    </w:p>
    <w:p>
      <w:pPr>
        <w:spacing w:line="360" w:lineRule="auto"/>
        <w:ind w:firstLine="480" w:firstLineChars="200"/>
        <w:rPr>
          <w:rFonts w:ascii="宋体" w:hAnsi="宋体" w:cs="宋体"/>
          <w:color w:val="auto"/>
          <w:sz w:val="24"/>
        </w:rPr>
      </w:pPr>
      <w:r>
        <w:rPr>
          <w:rFonts w:hint="eastAsia" w:ascii="宋体" w:hAnsi="宋体" w:cs="宋体"/>
          <w:color w:val="auto"/>
          <w:sz w:val="24"/>
        </w:rPr>
        <w:t>17.1供应商严格按招标文件要求制作投标文件，在投标截止时间前完成投标文件。供应商在投标截止时间前，可以对其所递交的投标文件进行修改并重新递交，但以投标截止时间前最后一次提交的投标文件为有效投标文件。</w:t>
      </w:r>
    </w:p>
    <w:p>
      <w:pPr>
        <w:spacing w:line="360" w:lineRule="auto"/>
        <w:ind w:firstLine="480" w:firstLineChars="200"/>
        <w:rPr>
          <w:rFonts w:ascii="宋体" w:hAnsi="宋体" w:cs="宋体"/>
          <w:color w:val="auto"/>
          <w:sz w:val="24"/>
        </w:rPr>
      </w:pPr>
      <w:r>
        <w:rPr>
          <w:rFonts w:hint="eastAsia" w:ascii="宋体" w:hAnsi="宋体" w:cs="宋体"/>
          <w:color w:val="auto"/>
          <w:sz w:val="24"/>
        </w:rPr>
        <w:t>投标截止时间以中国政府采购网招标公告发布时间为准，逾期将被拒绝。</w:t>
      </w:r>
    </w:p>
    <w:p>
      <w:pPr>
        <w:spacing w:line="360" w:lineRule="auto"/>
        <w:ind w:firstLine="480" w:firstLineChars="200"/>
        <w:rPr>
          <w:rFonts w:ascii="宋体" w:hAnsi="宋体" w:cs="宋体"/>
          <w:color w:val="auto"/>
          <w:sz w:val="24"/>
        </w:rPr>
      </w:pPr>
      <w:r>
        <w:rPr>
          <w:rFonts w:hint="eastAsia" w:ascii="宋体" w:hAnsi="宋体" w:cs="宋体"/>
          <w:color w:val="auto"/>
          <w:sz w:val="24"/>
        </w:rPr>
        <w:t>17.2供应商应将投标文件正本和副本分别装入信封内加以密封，分别在信封上标“正本”或“副本”字样，并在密封处压口加盖公章及法人章。</w:t>
      </w:r>
    </w:p>
    <w:p>
      <w:pPr>
        <w:spacing w:line="360" w:lineRule="auto"/>
        <w:ind w:firstLine="480" w:firstLineChars="200"/>
        <w:rPr>
          <w:rFonts w:ascii="宋体" w:hAnsi="宋体" w:cs="宋体"/>
          <w:color w:val="auto"/>
          <w:sz w:val="24"/>
        </w:rPr>
      </w:pPr>
      <w:r>
        <w:rPr>
          <w:rFonts w:hint="eastAsia" w:ascii="宋体" w:hAnsi="宋体" w:cs="宋体"/>
          <w:color w:val="auto"/>
          <w:sz w:val="24"/>
        </w:rPr>
        <w:t>17.3供应商还应将填好的开标一览表、投标文件（电子版）分别装入一单独的信封内加以密封，在密封处压口加盖公章及法人章，并在信封上注明“开标一览表”、“投标文件（电子版）”字样，作为投标文件的一部分。</w:t>
      </w:r>
    </w:p>
    <w:p>
      <w:pPr>
        <w:spacing w:line="360" w:lineRule="auto"/>
        <w:ind w:firstLine="480" w:firstLineChars="200"/>
        <w:rPr>
          <w:rFonts w:ascii="宋体" w:hAnsi="宋体" w:cs="宋体"/>
          <w:color w:val="auto"/>
          <w:sz w:val="24"/>
        </w:rPr>
      </w:pPr>
      <w:r>
        <w:rPr>
          <w:rFonts w:hint="eastAsia" w:ascii="宋体" w:hAnsi="宋体" w:cs="宋体"/>
          <w:color w:val="auto"/>
          <w:sz w:val="24"/>
        </w:rPr>
        <w:t>17.4所有投标文件信封上均应贴上封条，封条上应写明：</w:t>
      </w:r>
    </w:p>
    <w:p>
      <w:pPr>
        <w:spacing w:line="360" w:lineRule="auto"/>
        <w:ind w:firstLine="480" w:firstLineChars="200"/>
        <w:rPr>
          <w:rFonts w:ascii="宋体" w:hAnsi="宋体" w:cs="宋体"/>
          <w:color w:val="auto"/>
          <w:sz w:val="24"/>
        </w:rPr>
      </w:pPr>
      <w:r>
        <w:rPr>
          <w:rFonts w:hint="eastAsia" w:ascii="宋体" w:hAnsi="宋体" w:cs="宋体"/>
          <w:color w:val="auto"/>
          <w:sz w:val="24"/>
        </w:rPr>
        <w:t>（1）项目名称：</w:t>
      </w:r>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（2）项目编号： </w:t>
      </w:r>
    </w:p>
    <w:p>
      <w:pPr>
        <w:spacing w:line="360" w:lineRule="auto"/>
        <w:ind w:firstLine="480" w:firstLineChars="200"/>
        <w:rPr>
          <w:rFonts w:ascii="宋体" w:hAnsi="宋体" w:cs="宋体"/>
          <w:color w:val="auto"/>
          <w:sz w:val="24"/>
        </w:rPr>
      </w:pPr>
      <w:r>
        <w:rPr>
          <w:rFonts w:hint="eastAsia" w:ascii="宋体" w:hAnsi="宋体" w:cs="宋体"/>
          <w:color w:val="auto"/>
          <w:sz w:val="24"/>
        </w:rPr>
        <w:t>（3）供应商名称（加盖公章）：</w:t>
      </w:r>
    </w:p>
    <w:p>
      <w:pPr>
        <w:spacing w:line="360" w:lineRule="auto"/>
        <w:ind w:firstLine="480" w:firstLineChars="200"/>
        <w:rPr>
          <w:rFonts w:ascii="宋体" w:hAnsi="宋体" w:cs="宋体"/>
          <w:color w:val="auto"/>
          <w:sz w:val="24"/>
        </w:rPr>
      </w:pPr>
      <w:r>
        <w:rPr>
          <w:rFonts w:hint="eastAsia" w:ascii="宋体" w:hAnsi="宋体" w:cs="宋体"/>
          <w:color w:val="auto"/>
          <w:sz w:val="24"/>
        </w:rPr>
        <w:t>（4）供应商地址：</w:t>
      </w:r>
    </w:p>
    <w:p>
      <w:pPr>
        <w:spacing w:line="360" w:lineRule="auto"/>
        <w:ind w:firstLine="480" w:firstLineChars="200"/>
        <w:rPr>
          <w:rFonts w:ascii="宋体" w:hAnsi="宋体" w:cs="宋体"/>
          <w:color w:val="auto"/>
          <w:sz w:val="24"/>
        </w:rPr>
      </w:pPr>
      <w:r>
        <w:rPr>
          <w:rFonts w:hint="eastAsia" w:ascii="宋体" w:hAnsi="宋体" w:cs="宋体"/>
          <w:color w:val="auto"/>
          <w:sz w:val="24"/>
        </w:rPr>
        <w:t>（5）联系人：</w:t>
      </w:r>
    </w:p>
    <w:p>
      <w:pPr>
        <w:spacing w:line="360" w:lineRule="auto"/>
        <w:ind w:firstLine="480" w:firstLineChars="200"/>
        <w:rPr>
          <w:rFonts w:ascii="宋体" w:hAnsi="宋体" w:cs="宋体"/>
          <w:color w:val="auto"/>
          <w:sz w:val="24"/>
        </w:rPr>
      </w:pPr>
      <w:r>
        <w:rPr>
          <w:rFonts w:hint="eastAsia" w:ascii="宋体" w:hAnsi="宋体" w:cs="宋体"/>
          <w:color w:val="auto"/>
          <w:sz w:val="24"/>
        </w:rPr>
        <w:t>（6）联系方式：</w:t>
      </w:r>
    </w:p>
    <w:p>
      <w:pPr>
        <w:spacing w:line="360" w:lineRule="auto"/>
        <w:ind w:firstLine="480" w:firstLineChars="200"/>
        <w:rPr>
          <w:rFonts w:ascii="宋体" w:hAnsi="宋体" w:cs="宋体"/>
          <w:color w:val="auto"/>
          <w:sz w:val="24"/>
        </w:rPr>
      </w:pPr>
      <w:r>
        <w:rPr>
          <w:rFonts w:hint="eastAsia" w:ascii="宋体" w:hAnsi="宋体" w:cs="宋体"/>
          <w:color w:val="auto"/>
          <w:sz w:val="24"/>
        </w:rPr>
        <w:t>（9）注明“   年  月  日   开标前不准启封”，“正本”，“副本”字样。</w:t>
      </w:r>
    </w:p>
    <w:p>
      <w:pPr>
        <w:spacing w:line="360" w:lineRule="auto"/>
        <w:ind w:firstLine="480" w:firstLineChars="200"/>
        <w:rPr>
          <w:rFonts w:ascii="宋体" w:hAnsi="宋体" w:cs="宋体"/>
          <w:color w:val="auto"/>
          <w:sz w:val="24"/>
        </w:rPr>
      </w:pPr>
      <w:r>
        <w:rPr>
          <w:rFonts w:hint="eastAsia" w:ascii="宋体" w:hAnsi="宋体" w:cs="宋体"/>
          <w:color w:val="auto"/>
          <w:sz w:val="24"/>
        </w:rPr>
        <w:t>17.5供应商认为有必要提交的其他资料请于投标截止时间前一并提交。</w:t>
      </w:r>
    </w:p>
    <w:p>
      <w:pPr>
        <w:spacing w:line="360" w:lineRule="auto"/>
        <w:ind w:firstLine="480" w:firstLineChars="200"/>
        <w:rPr>
          <w:rFonts w:ascii="宋体" w:hAnsi="宋体" w:cs="宋体"/>
          <w:color w:val="auto"/>
          <w:sz w:val="24"/>
        </w:rPr>
      </w:pPr>
      <w:r>
        <w:rPr>
          <w:rFonts w:hint="eastAsia" w:ascii="宋体" w:hAnsi="宋体" w:cs="宋体"/>
          <w:color w:val="auto"/>
          <w:sz w:val="24"/>
        </w:rPr>
        <w:t>17.6如果供应商未按上述要求密封及加写标记，采购代理机构对投标文件的误投和提前启封概不负责。对由此造成提前开封的投标文件，采购代理机构有权予以拒绝，并退回供应商。</w:t>
      </w:r>
    </w:p>
    <w:p>
      <w:pPr>
        <w:spacing w:line="360" w:lineRule="auto"/>
        <w:rPr>
          <w:rFonts w:ascii="宋体" w:hAnsi="宋体" w:cs="宋体"/>
          <w:b/>
          <w:color w:val="auto"/>
          <w:sz w:val="24"/>
        </w:rPr>
      </w:pPr>
      <w:r>
        <w:rPr>
          <w:rFonts w:hint="eastAsia" w:ascii="宋体" w:hAnsi="宋体" w:cs="宋体"/>
          <w:b/>
          <w:color w:val="auto"/>
          <w:sz w:val="24"/>
        </w:rPr>
        <w:t>18.投标文件的递交</w:t>
      </w:r>
    </w:p>
    <w:p>
      <w:pPr>
        <w:spacing w:line="360" w:lineRule="auto"/>
        <w:ind w:firstLine="480" w:firstLineChars="200"/>
        <w:rPr>
          <w:rFonts w:ascii="宋体" w:hAnsi="宋体" w:cs="宋体"/>
          <w:color w:val="auto"/>
          <w:sz w:val="24"/>
        </w:rPr>
      </w:pPr>
      <w:r>
        <w:rPr>
          <w:rFonts w:hint="eastAsia" w:ascii="宋体" w:hAnsi="宋体" w:cs="宋体"/>
          <w:color w:val="auto"/>
          <w:sz w:val="24"/>
        </w:rPr>
        <w:t>18.1供应商应当在招标文件要求提交投标文件的截止时间前投标，并将投标文件密封送达指定开标地点。</w:t>
      </w:r>
    </w:p>
    <w:p>
      <w:pPr>
        <w:spacing w:line="360" w:lineRule="auto"/>
        <w:ind w:firstLine="480" w:firstLineChars="200"/>
        <w:rPr>
          <w:rFonts w:ascii="宋体" w:hAnsi="宋体" w:cs="宋体"/>
          <w:color w:val="auto"/>
          <w:sz w:val="24"/>
        </w:rPr>
      </w:pPr>
      <w:r>
        <w:rPr>
          <w:rFonts w:hint="eastAsia" w:ascii="宋体" w:hAnsi="宋体" w:cs="宋体"/>
          <w:color w:val="auto"/>
          <w:sz w:val="24"/>
        </w:rPr>
        <w:t>18.2在招标文件要求提交投标文件的截止时间之后送达的投标文件，为无效投标文件，采购代理机构将拒绝接收。</w:t>
      </w:r>
    </w:p>
    <w:p>
      <w:pPr>
        <w:spacing w:line="360" w:lineRule="auto"/>
        <w:rPr>
          <w:rFonts w:ascii="宋体" w:hAnsi="宋体" w:cs="宋体"/>
          <w:b/>
          <w:color w:val="auto"/>
          <w:sz w:val="24"/>
        </w:rPr>
      </w:pPr>
      <w:r>
        <w:rPr>
          <w:rFonts w:hint="eastAsia" w:ascii="宋体" w:hAnsi="宋体" w:cs="宋体"/>
          <w:b/>
          <w:color w:val="auto"/>
          <w:sz w:val="24"/>
        </w:rPr>
        <w:t>19.投标文件的修改和撤回</w:t>
      </w:r>
    </w:p>
    <w:p>
      <w:pPr>
        <w:spacing w:line="360" w:lineRule="auto"/>
        <w:ind w:firstLine="480" w:firstLineChars="200"/>
        <w:rPr>
          <w:rFonts w:ascii="宋体" w:hAnsi="宋体" w:cs="宋体"/>
          <w:color w:val="auto"/>
        </w:rPr>
      </w:pPr>
      <w:r>
        <w:rPr>
          <w:rFonts w:hint="eastAsia" w:ascii="宋体" w:hAnsi="宋体" w:cs="宋体"/>
          <w:color w:val="auto"/>
          <w:sz w:val="24"/>
        </w:rPr>
        <w:t>19.1供应商在递交投标文件后，可以修改或撤回其投标，但这种修改和撤回，必须在规定的投标截止时间前。在投标截止时间后，供应商不得要求修改或撤回其投标文件。</w:t>
      </w:r>
    </w:p>
    <w:p>
      <w:pPr>
        <w:pStyle w:val="5"/>
        <w:numPr>
          <w:ilvl w:val="0"/>
          <w:numId w:val="0"/>
        </w:numPr>
        <w:spacing w:before="0" w:after="0" w:line="360" w:lineRule="auto"/>
        <w:rPr>
          <w:rFonts w:ascii="宋体" w:hAnsi="宋体" w:cs="宋体"/>
          <w:color w:val="auto"/>
          <w:sz w:val="24"/>
          <w:szCs w:val="24"/>
        </w:rPr>
      </w:pPr>
      <w:bookmarkStart w:id="27" w:name="_Toc20852"/>
      <w:r>
        <w:rPr>
          <w:rFonts w:hint="eastAsia" w:ascii="宋体" w:hAnsi="宋体" w:cs="宋体"/>
          <w:color w:val="auto"/>
          <w:sz w:val="24"/>
          <w:szCs w:val="24"/>
        </w:rPr>
        <w:t>六、开标</w:t>
      </w:r>
      <w:bookmarkEnd w:id="27"/>
    </w:p>
    <w:p>
      <w:pPr>
        <w:spacing w:line="360" w:lineRule="auto"/>
        <w:rPr>
          <w:rFonts w:ascii="宋体" w:hAnsi="宋体" w:cs="宋体"/>
          <w:b/>
          <w:color w:val="auto"/>
          <w:sz w:val="24"/>
        </w:rPr>
      </w:pPr>
      <w:r>
        <w:rPr>
          <w:rFonts w:hint="eastAsia" w:ascii="宋体" w:hAnsi="宋体" w:cs="宋体"/>
          <w:b/>
          <w:color w:val="auto"/>
          <w:sz w:val="24"/>
        </w:rPr>
        <w:t>20.开标</w:t>
      </w:r>
    </w:p>
    <w:p>
      <w:pPr>
        <w:spacing w:line="360" w:lineRule="auto"/>
        <w:ind w:firstLine="480" w:firstLineChars="200"/>
        <w:rPr>
          <w:rFonts w:ascii="宋体" w:hAnsi="宋体" w:cs="宋体"/>
          <w:color w:val="auto"/>
          <w:sz w:val="24"/>
        </w:rPr>
      </w:pPr>
      <w:r>
        <w:rPr>
          <w:rFonts w:hint="eastAsia" w:ascii="宋体" w:hAnsi="宋体" w:cs="宋体"/>
          <w:color w:val="auto"/>
          <w:sz w:val="24"/>
        </w:rPr>
        <w:t>20.1采购代理机构按照招标文件规定的时间、地点主持开标。供应商法定代表人或授权代理人应携带身份证明、投标文件（用密封袋密封）及应当提交的其他资料参加开标并签到。</w:t>
      </w:r>
    </w:p>
    <w:p>
      <w:pPr>
        <w:spacing w:line="360" w:lineRule="auto"/>
        <w:ind w:firstLine="480" w:firstLineChars="200"/>
        <w:rPr>
          <w:rFonts w:ascii="宋体" w:hAnsi="宋体" w:cs="宋体"/>
          <w:color w:val="auto"/>
          <w:sz w:val="24"/>
        </w:rPr>
      </w:pPr>
      <w:r>
        <w:rPr>
          <w:rFonts w:hint="eastAsia" w:ascii="宋体" w:hAnsi="宋体" w:cs="宋体"/>
          <w:color w:val="auto"/>
          <w:sz w:val="24"/>
        </w:rPr>
        <w:t>20.2开标前，采购代理机构将会同监督人员或公证人员进行验标，检查供应商报名及保证金交纳情况，确认无误后开标。开标时，采购代理机构工作人员在监督人员或公证人员监督下拆封所有投标文件。</w:t>
      </w:r>
    </w:p>
    <w:p>
      <w:pPr>
        <w:spacing w:line="360" w:lineRule="auto"/>
        <w:ind w:firstLine="480" w:firstLineChars="200"/>
        <w:rPr>
          <w:rFonts w:ascii="宋体" w:hAnsi="宋体" w:cs="宋体"/>
          <w:color w:val="auto"/>
          <w:sz w:val="24"/>
        </w:rPr>
      </w:pPr>
      <w:r>
        <w:rPr>
          <w:rFonts w:hint="eastAsia" w:ascii="宋体" w:hAnsi="宋体" w:cs="宋体"/>
          <w:color w:val="auto"/>
          <w:sz w:val="24"/>
        </w:rPr>
        <w:t>20.3开标时，采购代理机构将供应商名称、投标价格，以及采购代理机构认为合适的其它详细内容。供应商若有报价和优惠未被唱出，应在开标时及时声明或提请注意，否则采购代理机构对此不承担任何责任。</w:t>
      </w:r>
    </w:p>
    <w:p>
      <w:pPr>
        <w:spacing w:line="360" w:lineRule="auto"/>
        <w:ind w:firstLine="480" w:firstLineChars="200"/>
        <w:rPr>
          <w:rFonts w:ascii="宋体" w:hAnsi="宋体" w:cs="宋体"/>
          <w:color w:val="auto"/>
          <w:sz w:val="24"/>
        </w:rPr>
      </w:pPr>
      <w:r>
        <w:rPr>
          <w:rFonts w:hint="eastAsia" w:ascii="宋体" w:hAnsi="宋体" w:cs="宋体"/>
          <w:color w:val="auto"/>
          <w:sz w:val="24"/>
        </w:rPr>
        <w:t>20.4在评审结束前，未得到采购代理机构允许，供应商法定代表人或授权代理人不得离开开标现场。</w:t>
      </w:r>
    </w:p>
    <w:p>
      <w:pPr>
        <w:pStyle w:val="5"/>
        <w:numPr>
          <w:ilvl w:val="0"/>
          <w:numId w:val="0"/>
        </w:numPr>
        <w:spacing w:before="0" w:after="0" w:line="360" w:lineRule="auto"/>
        <w:rPr>
          <w:rFonts w:ascii="宋体" w:hAnsi="宋体" w:cs="宋体"/>
          <w:color w:val="auto"/>
          <w:sz w:val="24"/>
          <w:szCs w:val="24"/>
        </w:rPr>
      </w:pPr>
      <w:bookmarkStart w:id="28" w:name="_Toc1036"/>
      <w:r>
        <w:rPr>
          <w:rFonts w:hint="eastAsia" w:ascii="宋体" w:hAnsi="宋体" w:cs="宋体"/>
          <w:color w:val="auto"/>
          <w:sz w:val="24"/>
          <w:szCs w:val="24"/>
        </w:rPr>
        <w:t>七、评标步骤和要求</w:t>
      </w:r>
      <w:bookmarkEnd w:id="28"/>
    </w:p>
    <w:p>
      <w:pPr>
        <w:spacing w:line="360" w:lineRule="auto"/>
        <w:rPr>
          <w:rFonts w:ascii="宋体" w:hAnsi="宋体" w:cs="宋体"/>
          <w:b/>
          <w:color w:val="auto"/>
          <w:sz w:val="24"/>
        </w:rPr>
      </w:pPr>
      <w:r>
        <w:rPr>
          <w:rFonts w:hint="eastAsia" w:ascii="宋体" w:hAnsi="宋体" w:cs="宋体"/>
          <w:b/>
          <w:color w:val="auto"/>
          <w:sz w:val="24"/>
        </w:rPr>
        <w:t>21.组建评标委员会</w:t>
      </w:r>
    </w:p>
    <w:p>
      <w:pPr>
        <w:spacing w:line="360" w:lineRule="auto"/>
        <w:ind w:firstLine="480" w:firstLineChars="200"/>
        <w:rPr>
          <w:rFonts w:ascii="宋体" w:hAnsi="宋体" w:cs="宋体"/>
          <w:color w:val="auto"/>
          <w:sz w:val="24"/>
        </w:rPr>
      </w:pPr>
      <w:r>
        <w:rPr>
          <w:rFonts w:hint="eastAsia" w:ascii="宋体" w:hAnsi="宋体" w:cs="宋体"/>
          <w:color w:val="auto"/>
          <w:sz w:val="24"/>
        </w:rPr>
        <w:t>21.1采购人根据《中华人民共和国政府采购法》、《中华人民共和国政府采购法实施条例》等有关法律法规和本招标文件的规定，结合本采购项目的特点组建评标委员会，对具备实质性响应的投标文件进行评估和比较。评标委员会由采购人代表和评审专家共5人以上单数组成，其中评审专家人数不得少于评标小组成员总数的2/3。采购人不得以评审专家身份参加本部门或本单位采购项目的评审。采购代理机构人员不得参加本机构代理的采购项目的评审。</w:t>
      </w:r>
    </w:p>
    <w:p>
      <w:pPr>
        <w:spacing w:line="360" w:lineRule="auto"/>
        <w:ind w:firstLine="480" w:firstLineChars="200"/>
        <w:rPr>
          <w:rFonts w:ascii="宋体" w:hAnsi="宋体" w:cs="宋体"/>
          <w:color w:val="auto"/>
          <w:sz w:val="24"/>
        </w:rPr>
      </w:pPr>
      <w:r>
        <w:rPr>
          <w:rFonts w:hint="eastAsia" w:ascii="宋体" w:hAnsi="宋体" w:cs="宋体"/>
          <w:color w:val="auto"/>
          <w:sz w:val="24"/>
        </w:rPr>
        <w:t>采购人应当从同级或上一级财政部门设立的政府采购评审专家库中，通过随机方式抽取评标专家。</w:t>
      </w:r>
    </w:p>
    <w:p>
      <w:pPr>
        <w:spacing w:line="360" w:lineRule="auto"/>
        <w:ind w:firstLine="480" w:firstLineChars="200"/>
        <w:rPr>
          <w:rFonts w:ascii="宋体" w:hAnsi="宋体" w:cs="宋体"/>
          <w:color w:val="auto"/>
          <w:sz w:val="24"/>
        </w:rPr>
      </w:pPr>
      <w:r>
        <w:rPr>
          <w:rFonts w:hint="eastAsia" w:ascii="宋体" w:hAnsi="宋体" w:cs="宋体"/>
          <w:color w:val="auto"/>
          <w:sz w:val="24"/>
        </w:rPr>
        <w:t>采购人对技术复杂、专业性极强的采购项目，通过随机方式难以确定合适评标专家的，可以采取选择性方式确定评标专家。</w:t>
      </w:r>
    </w:p>
    <w:p>
      <w:pPr>
        <w:spacing w:line="360" w:lineRule="auto"/>
        <w:ind w:firstLine="480" w:firstLineChars="200"/>
        <w:rPr>
          <w:rFonts w:ascii="宋体" w:hAnsi="宋体" w:cs="宋体"/>
          <w:color w:val="auto"/>
          <w:sz w:val="24"/>
        </w:rPr>
      </w:pPr>
      <w:r>
        <w:rPr>
          <w:rFonts w:hint="eastAsia" w:ascii="宋体" w:hAnsi="宋体" w:cs="宋体"/>
          <w:color w:val="auto"/>
          <w:sz w:val="24"/>
        </w:rPr>
        <w:t>采购预算金额在1000万元以上，评标委员会成员人数应当为7人以上单数。</w:t>
      </w:r>
    </w:p>
    <w:p>
      <w:pPr>
        <w:spacing w:line="360" w:lineRule="auto"/>
        <w:ind w:firstLine="480" w:firstLineChars="200"/>
        <w:rPr>
          <w:rFonts w:ascii="宋体" w:hAnsi="宋体" w:cs="宋体"/>
          <w:color w:val="auto"/>
          <w:sz w:val="24"/>
        </w:rPr>
      </w:pPr>
      <w:r>
        <w:rPr>
          <w:rFonts w:hint="eastAsia" w:ascii="宋体" w:hAnsi="宋体" w:cs="宋体"/>
          <w:color w:val="auto"/>
          <w:sz w:val="24"/>
        </w:rPr>
        <w:t>21.2参与过本项目的论证专家不得作为评标专家参加评标，采购人不得以专家身份参与评标。采购人委派的纪检监察人员进入评标现场不得超过2人，其他无关人员不得进入评标现场。</w:t>
      </w:r>
    </w:p>
    <w:p>
      <w:pPr>
        <w:spacing w:line="360" w:lineRule="auto"/>
        <w:rPr>
          <w:rFonts w:ascii="宋体" w:hAnsi="宋体" w:cs="宋体"/>
          <w:b/>
          <w:color w:val="auto"/>
          <w:sz w:val="24"/>
        </w:rPr>
      </w:pPr>
      <w:r>
        <w:rPr>
          <w:rFonts w:hint="eastAsia" w:ascii="宋体" w:hAnsi="宋体" w:cs="宋体"/>
          <w:b/>
          <w:color w:val="auto"/>
          <w:sz w:val="24"/>
        </w:rPr>
        <w:t>22、资格审查</w:t>
      </w:r>
    </w:p>
    <w:p>
      <w:pPr>
        <w:spacing w:line="360" w:lineRule="auto"/>
        <w:ind w:firstLine="480" w:firstLineChars="200"/>
        <w:rPr>
          <w:rFonts w:ascii="宋体" w:hAnsi="宋体" w:cs="宋体"/>
          <w:color w:val="auto"/>
          <w:sz w:val="24"/>
        </w:rPr>
      </w:pPr>
      <w:r>
        <w:rPr>
          <w:rFonts w:hint="eastAsia" w:ascii="宋体" w:hAnsi="宋体" w:cs="宋体"/>
          <w:color w:val="auto"/>
          <w:sz w:val="24"/>
        </w:rPr>
        <w:t>22.1公开招标采购项目采购人或者采购代理机构应当依法对供应商的资格进行审查。合格供应商不足3家的，不得评标。</w:t>
      </w:r>
    </w:p>
    <w:p>
      <w:pPr>
        <w:spacing w:line="360" w:lineRule="auto"/>
        <w:rPr>
          <w:rFonts w:ascii="宋体" w:hAnsi="宋体" w:cs="宋体"/>
          <w:b/>
          <w:color w:val="auto"/>
          <w:sz w:val="24"/>
        </w:rPr>
      </w:pPr>
      <w:r>
        <w:rPr>
          <w:rFonts w:hint="eastAsia" w:ascii="宋体" w:hAnsi="宋体" w:cs="宋体"/>
          <w:b/>
          <w:color w:val="auto"/>
          <w:sz w:val="24"/>
        </w:rPr>
        <w:t>23.初步评审</w:t>
      </w:r>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23.1评标委员会审查投标文件是否符合招标文件的基本要求：内容是否完整、资格证明文件是否合格、文件签署是否齐全、有无计算错误等。 </w:t>
      </w:r>
    </w:p>
    <w:p>
      <w:pPr>
        <w:spacing w:line="360" w:lineRule="auto"/>
        <w:ind w:firstLine="480" w:firstLineChars="200"/>
        <w:rPr>
          <w:rFonts w:ascii="宋体" w:hAnsi="宋体" w:cs="宋体"/>
          <w:color w:val="auto"/>
          <w:sz w:val="24"/>
        </w:rPr>
      </w:pPr>
      <w:r>
        <w:rPr>
          <w:rFonts w:hint="eastAsia" w:ascii="宋体" w:hAnsi="宋体" w:cs="宋体"/>
          <w:color w:val="auto"/>
          <w:sz w:val="24"/>
        </w:rPr>
        <w:t>23.2评标委员会审查投标文件是否实质上响应招标文件的要求。</w:t>
      </w:r>
    </w:p>
    <w:p>
      <w:pPr>
        <w:spacing w:line="360" w:lineRule="auto"/>
        <w:ind w:firstLine="480" w:firstLineChars="200"/>
        <w:rPr>
          <w:rFonts w:ascii="宋体" w:hAnsi="宋体" w:cs="宋体"/>
          <w:color w:val="auto"/>
          <w:sz w:val="24"/>
        </w:rPr>
      </w:pPr>
      <w:r>
        <w:rPr>
          <w:rFonts w:hint="eastAsia" w:ascii="宋体" w:hAnsi="宋体" w:cs="宋体"/>
          <w:color w:val="auto"/>
          <w:sz w:val="24"/>
        </w:rPr>
        <w:t>1）实质上响应的投标是指与招标文件上的条款、条件和规格相符，没有重大偏离或保留，否则将视为无效投标。</w:t>
      </w:r>
    </w:p>
    <w:p>
      <w:pPr>
        <w:spacing w:line="360" w:lineRule="auto"/>
        <w:ind w:firstLine="480" w:firstLineChars="200"/>
        <w:rPr>
          <w:rFonts w:ascii="宋体" w:hAnsi="宋体" w:cs="宋体"/>
          <w:color w:val="auto"/>
          <w:sz w:val="24"/>
        </w:rPr>
      </w:pPr>
      <w:r>
        <w:rPr>
          <w:rFonts w:hint="eastAsia" w:ascii="宋体" w:hAnsi="宋体" w:cs="宋体"/>
          <w:color w:val="auto"/>
          <w:sz w:val="24"/>
        </w:rPr>
        <w:t>2）重大偏离或保留系指投标内容的服务要求和服务期等明显不能满足招标文件的要求，或者实质上与招标文件不一致，纠正这些偏离或保留将对其他实质上响应要求的供应商的竞争地位产生不公正的影响。包括但不限于：</w:t>
      </w:r>
    </w:p>
    <w:p>
      <w:pPr>
        <w:spacing w:line="360" w:lineRule="auto"/>
        <w:ind w:firstLine="470" w:firstLineChars="196"/>
        <w:rPr>
          <w:rFonts w:ascii="宋体" w:hAnsi="宋体" w:cs="宋体"/>
          <w:color w:val="auto"/>
          <w:sz w:val="24"/>
        </w:rPr>
      </w:pPr>
      <w:r>
        <w:rPr>
          <w:rFonts w:hint="eastAsia" w:ascii="宋体" w:hAnsi="宋体" w:cs="宋体"/>
          <w:color w:val="auto"/>
          <w:sz w:val="24"/>
        </w:rPr>
        <w:t>A、招标文件第二部分“供应商须知前附表”第12条“投标文件组成”部分中，带“★”号部分的证明文件不全或无效的；</w:t>
      </w:r>
    </w:p>
    <w:p>
      <w:pPr>
        <w:spacing w:line="360" w:lineRule="auto"/>
        <w:ind w:firstLine="470" w:firstLineChars="196"/>
        <w:rPr>
          <w:rFonts w:ascii="宋体" w:hAnsi="宋体" w:cs="宋体"/>
          <w:color w:val="auto"/>
          <w:sz w:val="24"/>
        </w:rPr>
      </w:pPr>
      <w:r>
        <w:rPr>
          <w:rFonts w:hint="eastAsia" w:ascii="宋体" w:hAnsi="宋体" w:cs="宋体"/>
          <w:color w:val="auto"/>
          <w:sz w:val="24"/>
        </w:rPr>
        <w:t>B、投标文件未按招标文件的规定签章的；</w:t>
      </w:r>
    </w:p>
    <w:p>
      <w:pPr>
        <w:spacing w:line="360" w:lineRule="auto"/>
        <w:ind w:firstLine="470" w:firstLineChars="196"/>
        <w:rPr>
          <w:rFonts w:ascii="宋体" w:hAnsi="宋体" w:cs="宋体"/>
          <w:color w:val="auto"/>
          <w:sz w:val="24"/>
        </w:rPr>
      </w:pPr>
      <w:r>
        <w:rPr>
          <w:rFonts w:hint="eastAsia" w:ascii="宋体" w:hAnsi="宋体" w:cs="宋体"/>
          <w:color w:val="auto"/>
          <w:sz w:val="24"/>
        </w:rPr>
        <w:t>C、未按投标文件份数要求提交投标文件的；</w:t>
      </w:r>
    </w:p>
    <w:p>
      <w:pPr>
        <w:spacing w:line="360" w:lineRule="auto"/>
        <w:ind w:firstLine="470" w:firstLineChars="196"/>
        <w:rPr>
          <w:rFonts w:ascii="宋体" w:hAnsi="宋体" w:cs="宋体"/>
          <w:color w:val="auto"/>
          <w:sz w:val="24"/>
        </w:rPr>
      </w:pPr>
      <w:r>
        <w:rPr>
          <w:rFonts w:hint="eastAsia" w:ascii="宋体" w:hAnsi="宋体" w:cs="宋体"/>
          <w:color w:val="auto"/>
          <w:sz w:val="24"/>
        </w:rPr>
        <w:t>D、招标文件带“★”号部分任意一款不满足要求的；</w:t>
      </w:r>
    </w:p>
    <w:p>
      <w:pPr>
        <w:spacing w:line="360" w:lineRule="auto"/>
        <w:ind w:firstLine="470" w:firstLineChars="196"/>
        <w:rPr>
          <w:rFonts w:ascii="宋体" w:hAnsi="宋体" w:cs="宋体"/>
          <w:color w:val="auto"/>
          <w:sz w:val="24"/>
        </w:rPr>
      </w:pPr>
      <w:r>
        <w:rPr>
          <w:rFonts w:hint="eastAsia" w:ascii="宋体" w:hAnsi="宋体" w:cs="宋体"/>
          <w:color w:val="auto"/>
          <w:sz w:val="24"/>
        </w:rPr>
        <w:t>E、报价超过项目预算或经评标委员会认定低于成本的；</w:t>
      </w:r>
    </w:p>
    <w:p>
      <w:pPr>
        <w:spacing w:line="360" w:lineRule="auto"/>
        <w:ind w:firstLine="470" w:firstLineChars="196"/>
        <w:rPr>
          <w:rFonts w:ascii="宋体" w:hAnsi="宋体" w:cs="宋体"/>
          <w:color w:val="auto"/>
          <w:sz w:val="24"/>
        </w:rPr>
      </w:pPr>
      <w:r>
        <w:rPr>
          <w:rFonts w:hint="eastAsia" w:ascii="宋体" w:hAnsi="宋体" w:cs="宋体"/>
          <w:color w:val="auto"/>
          <w:sz w:val="24"/>
        </w:rPr>
        <w:t>F、投标有效期不足的；</w:t>
      </w:r>
    </w:p>
    <w:p>
      <w:pPr>
        <w:spacing w:line="360" w:lineRule="auto"/>
        <w:ind w:firstLine="470" w:firstLineChars="196"/>
        <w:rPr>
          <w:rFonts w:ascii="宋体" w:hAnsi="宋体" w:cs="宋体"/>
          <w:color w:val="auto"/>
          <w:sz w:val="24"/>
        </w:rPr>
      </w:pPr>
      <w:r>
        <w:rPr>
          <w:rFonts w:hint="eastAsia" w:ascii="宋体" w:hAnsi="宋体" w:cs="宋体"/>
          <w:color w:val="auto"/>
          <w:sz w:val="24"/>
        </w:rPr>
        <w:t>G、联合体投标文件未附联合体投标协议书的；</w:t>
      </w:r>
    </w:p>
    <w:p>
      <w:pPr>
        <w:spacing w:line="360" w:lineRule="auto"/>
        <w:ind w:firstLine="470" w:firstLineChars="196"/>
        <w:rPr>
          <w:rFonts w:ascii="宋体" w:hAnsi="宋体" w:cs="宋体"/>
          <w:color w:val="auto"/>
          <w:sz w:val="24"/>
        </w:rPr>
      </w:pPr>
      <w:r>
        <w:rPr>
          <w:rFonts w:hint="eastAsia" w:ascii="宋体" w:hAnsi="宋体" w:cs="宋体"/>
          <w:color w:val="auto"/>
          <w:sz w:val="24"/>
        </w:rPr>
        <w:t>H、不符合招标文件中有关分包规定的；</w:t>
      </w:r>
    </w:p>
    <w:p>
      <w:pPr>
        <w:spacing w:line="360" w:lineRule="auto"/>
        <w:ind w:firstLine="470" w:firstLineChars="196"/>
        <w:rPr>
          <w:rFonts w:ascii="宋体" w:hAnsi="宋体" w:cs="宋体"/>
          <w:color w:val="auto"/>
          <w:sz w:val="24"/>
        </w:rPr>
      </w:pPr>
      <w:r>
        <w:rPr>
          <w:rFonts w:hint="eastAsia" w:ascii="宋体" w:hAnsi="宋体" w:cs="宋体"/>
          <w:color w:val="auto"/>
          <w:sz w:val="24"/>
        </w:rPr>
        <w:t>I、有串通投标或弄虚作假或有其他违法行为的；</w:t>
      </w:r>
    </w:p>
    <w:p>
      <w:pPr>
        <w:spacing w:line="360" w:lineRule="auto"/>
        <w:ind w:firstLine="470" w:firstLineChars="196"/>
        <w:rPr>
          <w:rFonts w:ascii="宋体" w:hAnsi="宋体" w:cs="宋体"/>
          <w:color w:val="auto"/>
          <w:sz w:val="24"/>
        </w:rPr>
      </w:pPr>
      <w:r>
        <w:rPr>
          <w:rFonts w:hint="eastAsia" w:ascii="宋体" w:hAnsi="宋体" w:cs="宋体"/>
          <w:color w:val="auto"/>
          <w:sz w:val="24"/>
        </w:rPr>
        <w:t>J、供应商名称或组织结构与报名时不一致且无有效变更证明的；</w:t>
      </w:r>
    </w:p>
    <w:p>
      <w:pPr>
        <w:spacing w:line="360" w:lineRule="auto"/>
        <w:ind w:firstLine="470" w:firstLineChars="196"/>
        <w:rPr>
          <w:rFonts w:ascii="宋体" w:hAnsi="宋体" w:cs="宋体"/>
          <w:color w:val="auto"/>
          <w:sz w:val="24"/>
        </w:rPr>
      </w:pPr>
      <w:r>
        <w:rPr>
          <w:rFonts w:hint="eastAsia" w:ascii="宋体" w:hAnsi="宋体" w:cs="宋体"/>
          <w:color w:val="auto"/>
          <w:sz w:val="24"/>
        </w:rPr>
        <w:t>K、不符合招标文件中规定的其他实质性要求。</w:t>
      </w:r>
    </w:p>
    <w:p>
      <w:pPr>
        <w:spacing w:line="360" w:lineRule="auto"/>
        <w:ind w:firstLine="480" w:firstLineChars="200"/>
        <w:rPr>
          <w:rFonts w:ascii="宋体" w:hAnsi="宋体" w:cs="宋体"/>
          <w:color w:val="auto"/>
          <w:sz w:val="24"/>
        </w:rPr>
      </w:pPr>
      <w:r>
        <w:rPr>
          <w:rFonts w:hint="eastAsia" w:ascii="宋体" w:hAnsi="宋体" w:cs="宋体"/>
          <w:color w:val="auto"/>
          <w:sz w:val="24"/>
        </w:rPr>
        <w:t>23.3投标文件的细微偏差是指在实质上响应招标文件要求，但在个别地方存在漏项或者提供了不完整的技术信息和数据等情况，并且补正这些遗漏或者不完整，不会对其他供应商造成不公正的结果。细微偏差不影响投标文件的有效性。</w:t>
      </w:r>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23.4初步评审中，对明显的文字和计算错误按下述原则处理，若出现相互矛盾之处，应以排列在先的原则为准优先处理：        </w:t>
      </w:r>
    </w:p>
    <w:p>
      <w:pPr>
        <w:spacing w:line="360" w:lineRule="auto"/>
        <w:ind w:firstLine="470" w:firstLineChars="196"/>
        <w:rPr>
          <w:rFonts w:ascii="宋体" w:hAnsi="宋体" w:cs="宋体"/>
          <w:color w:val="auto"/>
          <w:sz w:val="24"/>
        </w:rPr>
      </w:pPr>
      <w:r>
        <w:rPr>
          <w:rFonts w:hint="eastAsia" w:ascii="宋体" w:hAnsi="宋体" w:cs="宋体"/>
          <w:color w:val="auto"/>
          <w:sz w:val="24"/>
        </w:rPr>
        <w:t>1）投标文件中的开标一览表与明细表内容不一致的，以开标一览表为准。</w:t>
      </w:r>
    </w:p>
    <w:p>
      <w:pPr>
        <w:spacing w:line="360" w:lineRule="auto"/>
        <w:ind w:firstLine="480" w:firstLineChars="200"/>
        <w:rPr>
          <w:rFonts w:ascii="宋体" w:hAnsi="宋体" w:cs="宋体"/>
          <w:color w:val="auto"/>
          <w:sz w:val="24"/>
        </w:rPr>
      </w:pPr>
      <w:r>
        <w:rPr>
          <w:rFonts w:hint="eastAsia" w:ascii="宋体" w:hAnsi="宋体" w:cs="宋体"/>
          <w:color w:val="auto"/>
          <w:sz w:val="24"/>
        </w:rPr>
        <w:t>2）如果以文字表示的数据与数字表示的有差别，以文字为准修正数字。如果大写金额和小写金额不一致的，以大写金额为准；</w:t>
      </w:r>
    </w:p>
    <w:p>
      <w:pPr>
        <w:spacing w:line="360" w:lineRule="auto"/>
        <w:ind w:firstLine="480" w:firstLineChars="200"/>
        <w:rPr>
          <w:rFonts w:ascii="宋体" w:hAnsi="宋体" w:cs="宋体"/>
          <w:color w:val="auto"/>
          <w:sz w:val="24"/>
        </w:rPr>
      </w:pPr>
      <w:r>
        <w:rPr>
          <w:rFonts w:hint="eastAsia" w:ascii="宋体" w:hAnsi="宋体" w:cs="宋体"/>
          <w:color w:val="auto"/>
          <w:sz w:val="24"/>
        </w:rPr>
        <w:t>3）如果单价乘以数量不等于总价，以单价为准修正总价，但单价金额小数点有明显错位的，应以总价为准，并修改单价。如果明细价格相加不等于汇总价格，以明细价格为准。</w:t>
      </w:r>
    </w:p>
    <w:p>
      <w:pPr>
        <w:spacing w:line="360" w:lineRule="auto"/>
        <w:ind w:firstLine="480" w:firstLineChars="200"/>
        <w:rPr>
          <w:rFonts w:ascii="宋体" w:hAnsi="宋体" w:cs="宋体"/>
          <w:color w:val="auto"/>
          <w:sz w:val="24"/>
        </w:rPr>
      </w:pPr>
      <w:r>
        <w:rPr>
          <w:rFonts w:hint="eastAsia" w:ascii="宋体" w:hAnsi="宋体" w:cs="宋体"/>
          <w:color w:val="auto"/>
          <w:sz w:val="24"/>
        </w:rPr>
        <w:t>4）调整后的数据对供应商具有约束力，供应商不同意以上修正，其投标将被拒绝。</w:t>
      </w:r>
    </w:p>
    <w:p>
      <w:pPr>
        <w:spacing w:line="360" w:lineRule="auto"/>
        <w:ind w:firstLine="480" w:firstLineChars="200"/>
        <w:rPr>
          <w:rFonts w:ascii="宋体" w:hAnsi="宋体" w:cs="宋体"/>
          <w:color w:val="auto"/>
          <w:sz w:val="24"/>
        </w:rPr>
      </w:pPr>
      <w:r>
        <w:rPr>
          <w:rFonts w:hint="eastAsia" w:ascii="宋体" w:hAnsi="宋体" w:cs="宋体"/>
          <w:color w:val="auto"/>
          <w:sz w:val="24"/>
        </w:rPr>
        <w:t>23.5评标委员会对投标文件的判定，只依据投标文件内容本身，不依据其他外来证明。</w:t>
      </w:r>
    </w:p>
    <w:p>
      <w:pPr>
        <w:spacing w:line="360" w:lineRule="auto"/>
        <w:rPr>
          <w:rFonts w:ascii="宋体" w:hAnsi="宋体" w:cs="宋体"/>
          <w:b/>
          <w:color w:val="auto"/>
          <w:sz w:val="24"/>
        </w:rPr>
      </w:pPr>
      <w:r>
        <w:rPr>
          <w:rFonts w:hint="eastAsia" w:ascii="宋体" w:hAnsi="宋体" w:cs="宋体"/>
          <w:b/>
          <w:color w:val="auto"/>
          <w:sz w:val="24"/>
        </w:rPr>
        <w:t>24.投标的澄清</w:t>
      </w:r>
    </w:p>
    <w:p>
      <w:pPr>
        <w:spacing w:line="360" w:lineRule="auto"/>
        <w:ind w:firstLine="480" w:firstLineChars="200"/>
        <w:rPr>
          <w:rFonts w:ascii="宋体" w:hAnsi="宋体" w:cs="宋体"/>
          <w:color w:val="auto"/>
          <w:sz w:val="24"/>
        </w:rPr>
      </w:pPr>
      <w:r>
        <w:rPr>
          <w:rFonts w:hint="eastAsia" w:ascii="宋体" w:hAnsi="宋体" w:cs="宋体"/>
          <w:color w:val="auto"/>
          <w:sz w:val="24"/>
        </w:rPr>
        <w:t>24.1评标委员会有权要求供应商对投标文件中含义不明确、对同类问题表述不一致或者有明显文字和计算错误等内容作必要的澄清、说明或者补正。该要求应当采用书面形式，并由评标委员会成员签字。评标委员会不接受供应商主动提出的澄清、说明或者补正。</w:t>
      </w:r>
    </w:p>
    <w:p>
      <w:pPr>
        <w:spacing w:line="360" w:lineRule="auto"/>
        <w:ind w:firstLine="480" w:firstLineChars="200"/>
        <w:rPr>
          <w:rFonts w:ascii="宋体" w:hAnsi="宋体" w:cs="宋体"/>
          <w:color w:val="auto"/>
          <w:sz w:val="24"/>
        </w:rPr>
      </w:pPr>
      <w:r>
        <w:rPr>
          <w:rFonts w:hint="eastAsia" w:ascii="宋体" w:hAnsi="宋体" w:cs="宋体"/>
          <w:color w:val="auto"/>
          <w:sz w:val="24"/>
        </w:rPr>
        <w:t>24.2供应商必须按照评标委员会通知的内容和时间做出书面答复，该答复经法定代表人或授权代理人的签字认可，将作为投标文件内容的一部分。澄清、说明或者补正不得超出投标文件的范围或者改变投标文件的实质性内容。供应商拒不按照要求对投标文件进行澄清、说明或者补正的，评标委员会可拒绝该投标。</w:t>
      </w:r>
    </w:p>
    <w:p>
      <w:pPr>
        <w:spacing w:line="360" w:lineRule="auto"/>
        <w:ind w:firstLine="480" w:firstLineChars="200"/>
        <w:rPr>
          <w:rFonts w:ascii="宋体" w:hAnsi="宋体" w:cs="宋体"/>
          <w:color w:val="auto"/>
          <w:sz w:val="24"/>
        </w:rPr>
      </w:pPr>
      <w:r>
        <w:rPr>
          <w:rFonts w:hint="eastAsia" w:ascii="宋体" w:hAnsi="宋体" w:cs="宋体"/>
          <w:color w:val="auto"/>
          <w:sz w:val="24"/>
        </w:rPr>
        <w:t>24.3如评标委员会一致认为某个供应商的报价明显不合理，有降低质量、不能诚信履行的可能时，评标委员会有权决定是否通知供应商限期进行书面解释或提供相关证明材料。若已要求，而该供应商在规定期限内未做出解释、作出的解释不合理或不能提供证明材料的，经评标委员会取得一致意见后，可拒绝该投标。</w:t>
      </w:r>
    </w:p>
    <w:p>
      <w:pPr>
        <w:spacing w:line="360" w:lineRule="auto"/>
        <w:ind w:firstLine="480" w:firstLineChars="200"/>
        <w:rPr>
          <w:rFonts w:ascii="宋体" w:hAnsi="宋体" w:cs="宋体"/>
          <w:color w:val="auto"/>
          <w:sz w:val="24"/>
        </w:rPr>
      </w:pPr>
      <w:r>
        <w:rPr>
          <w:rFonts w:hint="eastAsia" w:ascii="宋体" w:hAnsi="宋体" w:cs="宋体"/>
          <w:color w:val="auto"/>
          <w:sz w:val="24"/>
        </w:rPr>
        <w:t>24.4公开招标采购项目采购人或者采购代理机构应当依法对供应商的资格进行审查。合格供应商不足3家的，不得评标。</w:t>
      </w:r>
    </w:p>
    <w:p>
      <w:pPr>
        <w:spacing w:line="360" w:lineRule="auto"/>
        <w:rPr>
          <w:rFonts w:ascii="宋体" w:hAnsi="宋体" w:cs="宋体"/>
          <w:b/>
          <w:color w:val="auto"/>
          <w:sz w:val="24"/>
        </w:rPr>
      </w:pPr>
      <w:r>
        <w:rPr>
          <w:rFonts w:hint="eastAsia" w:ascii="宋体" w:hAnsi="宋体" w:cs="宋体"/>
          <w:b/>
          <w:color w:val="auto"/>
          <w:sz w:val="24"/>
        </w:rPr>
        <w:t>25.详细评审</w:t>
      </w:r>
    </w:p>
    <w:p>
      <w:pPr>
        <w:spacing w:line="360" w:lineRule="auto"/>
        <w:ind w:firstLine="480" w:firstLineChars="200"/>
        <w:rPr>
          <w:rFonts w:ascii="宋体" w:hAnsi="宋体" w:cs="宋体"/>
          <w:color w:val="auto"/>
          <w:sz w:val="24"/>
        </w:rPr>
      </w:pPr>
      <w:r>
        <w:rPr>
          <w:rFonts w:hint="eastAsia" w:ascii="宋体" w:hAnsi="宋体" w:cs="宋体"/>
          <w:color w:val="auto"/>
          <w:sz w:val="24"/>
        </w:rPr>
        <w:t>25.1评标委员会只对实质上响应招标文件的投标进行评价和比较；评审应严格按照招标文件第二部分“供应商须知前附表”中第23项规定以及招标文件的要求进行。具体要求等详见招标文件第五部分“评审方法”。</w:t>
      </w:r>
    </w:p>
    <w:p>
      <w:pPr>
        <w:spacing w:line="360" w:lineRule="auto"/>
        <w:ind w:firstLine="480" w:firstLineChars="200"/>
        <w:rPr>
          <w:rFonts w:ascii="宋体" w:hAnsi="宋体" w:cs="宋体"/>
          <w:color w:val="auto"/>
          <w:sz w:val="24"/>
        </w:rPr>
      </w:pPr>
      <w:r>
        <w:rPr>
          <w:rFonts w:hint="eastAsia" w:ascii="宋体" w:hAnsi="宋体" w:cs="宋体"/>
          <w:color w:val="auto"/>
          <w:sz w:val="24"/>
        </w:rPr>
        <w:t>25.2评标委员会依法独立评审，严格遵守评审工作纪律。对需要共同认定的事项存在争议的，按照少数服从多数的原则作出评审结论。持不同意见的评标委员会成员应当在评标报告上签署不同意见并说明理由，不签署不同意见的视为同意。</w:t>
      </w:r>
    </w:p>
    <w:p>
      <w:pPr>
        <w:spacing w:line="360" w:lineRule="auto"/>
        <w:rPr>
          <w:rFonts w:ascii="宋体" w:hAnsi="宋体" w:cs="宋体"/>
          <w:b/>
          <w:color w:val="auto"/>
          <w:sz w:val="24"/>
        </w:rPr>
      </w:pPr>
      <w:r>
        <w:rPr>
          <w:rFonts w:hint="eastAsia" w:ascii="宋体" w:hAnsi="宋体" w:cs="宋体"/>
          <w:b/>
          <w:color w:val="auto"/>
          <w:sz w:val="24"/>
        </w:rPr>
        <w:t>26.确定中标人</w:t>
      </w:r>
    </w:p>
    <w:p>
      <w:pPr>
        <w:spacing w:line="360" w:lineRule="auto"/>
        <w:ind w:firstLine="480" w:firstLineChars="200"/>
        <w:rPr>
          <w:rFonts w:ascii="宋体" w:hAnsi="宋体" w:cs="宋体"/>
          <w:color w:val="auto"/>
          <w:sz w:val="24"/>
        </w:rPr>
      </w:pPr>
      <w:r>
        <w:rPr>
          <w:rFonts w:hint="eastAsia" w:ascii="宋体" w:hAnsi="宋体" w:cs="宋体"/>
          <w:color w:val="auto"/>
          <w:sz w:val="24"/>
        </w:rPr>
        <w:t>26.1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pPr>
        <w:spacing w:line="360" w:lineRule="auto"/>
        <w:ind w:firstLine="480" w:firstLineChars="200"/>
        <w:rPr>
          <w:rFonts w:ascii="宋体" w:hAnsi="宋体" w:cs="宋体"/>
          <w:color w:val="auto"/>
          <w:sz w:val="24"/>
        </w:rPr>
      </w:pPr>
      <w:r>
        <w:rPr>
          <w:rFonts w:hint="eastAsia" w:ascii="宋体" w:hAnsi="宋体" w:cs="宋体"/>
          <w:color w:val="auto"/>
          <w:sz w:val="24"/>
        </w:rPr>
        <w:t>26.2 评标委员会根据评审结果及招标文件的规定确定中标人。</w:t>
      </w:r>
    </w:p>
    <w:p>
      <w:pPr>
        <w:spacing w:line="360" w:lineRule="auto"/>
        <w:rPr>
          <w:rFonts w:ascii="宋体" w:hAnsi="宋体" w:cs="宋体"/>
          <w:b/>
          <w:color w:val="auto"/>
          <w:sz w:val="24"/>
        </w:rPr>
      </w:pPr>
      <w:r>
        <w:rPr>
          <w:rFonts w:hint="eastAsia" w:ascii="宋体" w:hAnsi="宋体" w:cs="宋体"/>
          <w:b/>
          <w:color w:val="auto"/>
          <w:sz w:val="24"/>
        </w:rPr>
        <w:t>27.评标过程要求</w:t>
      </w:r>
    </w:p>
    <w:p>
      <w:pPr>
        <w:spacing w:line="360" w:lineRule="auto"/>
        <w:ind w:firstLine="480" w:firstLineChars="200"/>
        <w:rPr>
          <w:rFonts w:ascii="宋体" w:hAnsi="宋体" w:cs="宋体"/>
          <w:color w:val="auto"/>
          <w:sz w:val="24"/>
        </w:rPr>
      </w:pPr>
      <w:r>
        <w:rPr>
          <w:rFonts w:hint="eastAsia" w:ascii="宋体" w:hAnsi="宋体" w:cs="宋体"/>
          <w:color w:val="auto"/>
          <w:sz w:val="24"/>
        </w:rPr>
        <w:t>27.1开标之后，直到签订合同止，凡是属于审查、澄清、评价和比较投标的有关资料以及定标意向等，均不向供应商或者其他与评标无关的人员透露。</w:t>
      </w:r>
    </w:p>
    <w:p>
      <w:pPr>
        <w:spacing w:line="360" w:lineRule="auto"/>
        <w:ind w:firstLine="480" w:firstLineChars="200"/>
        <w:rPr>
          <w:rFonts w:ascii="宋体" w:hAnsi="宋体" w:cs="宋体"/>
          <w:color w:val="auto"/>
          <w:sz w:val="24"/>
        </w:rPr>
      </w:pPr>
      <w:r>
        <w:rPr>
          <w:rFonts w:hint="eastAsia" w:ascii="宋体" w:hAnsi="宋体" w:cs="宋体"/>
          <w:color w:val="auto"/>
          <w:sz w:val="24"/>
        </w:rPr>
        <w:t>27.2在确定中标人之前，供应商试图在投标文件审查、澄清、比较和评标时对评标委员会、采购人和采购代理机构施加任何影响都可能导致其投标无效。</w:t>
      </w:r>
    </w:p>
    <w:p>
      <w:pPr>
        <w:spacing w:line="360" w:lineRule="auto"/>
        <w:rPr>
          <w:rFonts w:ascii="宋体" w:hAnsi="宋体" w:cs="宋体"/>
          <w:b/>
          <w:color w:val="auto"/>
          <w:sz w:val="24"/>
        </w:rPr>
      </w:pPr>
      <w:r>
        <w:rPr>
          <w:rFonts w:hint="eastAsia" w:ascii="宋体" w:hAnsi="宋体" w:cs="宋体"/>
          <w:b/>
          <w:color w:val="auto"/>
          <w:sz w:val="24"/>
        </w:rPr>
        <w:t>28.供应商瑕疵滞后发现的处理规则</w:t>
      </w:r>
    </w:p>
    <w:p>
      <w:pPr>
        <w:spacing w:line="360" w:lineRule="auto"/>
        <w:ind w:firstLine="480" w:firstLineChars="200"/>
        <w:rPr>
          <w:rFonts w:ascii="宋体" w:hAnsi="宋体" w:cs="宋体"/>
          <w:color w:val="auto"/>
          <w:sz w:val="24"/>
        </w:rPr>
      </w:pPr>
      <w:r>
        <w:rPr>
          <w:rFonts w:hint="eastAsia" w:ascii="宋体" w:hAnsi="宋体" w:cs="宋体"/>
          <w:color w:val="auto"/>
          <w:sz w:val="24"/>
        </w:rPr>
        <w:t>28.1无论基于何种原因，各项本应作拒绝处理的情形即便未被及时发现而使该供应商进入初审、综合评审或其他后续程序，包括已经签订合同的情形，一旦供应商被拒绝或该供应商的此前评议结果被取消，其现有的位置将被其他供应商依序替代，相关的一切损失均由该供应商承担。</w:t>
      </w:r>
    </w:p>
    <w:p>
      <w:pPr>
        <w:spacing w:line="360" w:lineRule="auto"/>
        <w:rPr>
          <w:rFonts w:ascii="宋体" w:hAnsi="宋体" w:cs="宋体"/>
          <w:b/>
          <w:color w:val="auto"/>
          <w:sz w:val="24"/>
        </w:rPr>
      </w:pPr>
      <w:r>
        <w:rPr>
          <w:rFonts w:hint="eastAsia" w:ascii="宋体" w:hAnsi="宋体" w:cs="宋体"/>
          <w:b/>
          <w:color w:val="auto"/>
          <w:sz w:val="24"/>
        </w:rPr>
        <w:t>29.采购项目废标</w:t>
      </w:r>
    </w:p>
    <w:p>
      <w:pPr>
        <w:spacing w:line="360" w:lineRule="auto"/>
        <w:ind w:firstLine="480" w:firstLineChars="200"/>
        <w:rPr>
          <w:rFonts w:ascii="宋体" w:hAnsi="宋体" w:cs="宋体"/>
          <w:color w:val="auto"/>
          <w:sz w:val="24"/>
        </w:rPr>
      </w:pPr>
      <w:r>
        <w:rPr>
          <w:rFonts w:hint="eastAsia" w:ascii="宋体" w:hAnsi="宋体" w:cs="宋体"/>
          <w:color w:val="auto"/>
          <w:sz w:val="24"/>
        </w:rPr>
        <w:t>29.1在评标过程中，评标委员会发现有下列情形之一的，应对采购项目予以废标：</w:t>
      </w:r>
    </w:p>
    <w:p>
      <w:pPr>
        <w:spacing w:line="360" w:lineRule="auto"/>
        <w:ind w:firstLine="480" w:firstLineChars="200"/>
        <w:rPr>
          <w:rFonts w:ascii="宋体" w:hAnsi="宋体" w:cs="宋体"/>
          <w:color w:val="auto"/>
          <w:sz w:val="24"/>
        </w:rPr>
      </w:pPr>
      <w:r>
        <w:rPr>
          <w:rFonts w:hint="eastAsia" w:ascii="宋体" w:hAnsi="宋体" w:cs="宋体"/>
          <w:color w:val="auto"/>
          <w:sz w:val="24"/>
        </w:rPr>
        <w:t>1）符合专业条件的供应商或者对招标文件作实质响应的供应商数量不足，导致进入详细评审、打分阶段的供应商不足3家的；</w:t>
      </w:r>
    </w:p>
    <w:p>
      <w:pPr>
        <w:spacing w:line="360" w:lineRule="auto"/>
        <w:ind w:left="479" w:leftChars="228"/>
        <w:rPr>
          <w:rFonts w:ascii="宋体" w:hAnsi="宋体" w:cs="宋体"/>
          <w:color w:val="auto"/>
          <w:sz w:val="24"/>
        </w:rPr>
      </w:pPr>
      <w:r>
        <w:rPr>
          <w:rFonts w:hint="eastAsia" w:ascii="宋体" w:hAnsi="宋体" w:cs="宋体"/>
          <w:color w:val="auto"/>
          <w:sz w:val="24"/>
        </w:rPr>
        <w:t>2）供应商的报价不符合招标文件要求的；</w:t>
      </w:r>
      <w:r>
        <w:rPr>
          <w:rFonts w:hint="eastAsia" w:ascii="宋体" w:hAnsi="宋体" w:cs="宋体"/>
          <w:color w:val="auto"/>
          <w:sz w:val="24"/>
        </w:rPr>
        <w:br w:type="textWrapping"/>
      </w:r>
      <w:r>
        <w:rPr>
          <w:rFonts w:hint="eastAsia" w:ascii="宋体" w:hAnsi="宋体" w:cs="宋体"/>
          <w:color w:val="auto"/>
          <w:sz w:val="24"/>
        </w:rPr>
        <w:t>3）出现影响采购公正的违法、违规行为的；</w:t>
      </w:r>
      <w:r>
        <w:rPr>
          <w:rFonts w:hint="eastAsia" w:ascii="宋体" w:hAnsi="宋体" w:cs="宋体"/>
          <w:color w:val="auto"/>
          <w:sz w:val="24"/>
        </w:rPr>
        <w:br w:type="textWrapping"/>
      </w:r>
      <w:r>
        <w:rPr>
          <w:rFonts w:hint="eastAsia" w:ascii="宋体" w:hAnsi="宋体" w:cs="宋体"/>
          <w:color w:val="auto"/>
          <w:sz w:val="24"/>
        </w:rPr>
        <w:t>4）因重大变故，采购任务取消的。</w:t>
      </w:r>
    </w:p>
    <w:p>
      <w:pPr>
        <w:spacing w:line="360" w:lineRule="auto"/>
        <w:ind w:firstLine="480" w:firstLineChars="200"/>
        <w:rPr>
          <w:rFonts w:ascii="宋体" w:hAnsi="宋体" w:cs="宋体"/>
          <w:color w:val="auto"/>
          <w:sz w:val="24"/>
        </w:rPr>
      </w:pPr>
      <w:r>
        <w:rPr>
          <w:rFonts w:hint="eastAsia" w:ascii="宋体" w:hAnsi="宋体" w:cs="宋体"/>
          <w:color w:val="auto"/>
          <w:sz w:val="24"/>
        </w:rPr>
        <w:t>除前款第四项规定的情形外，项目废标后，如未变更采购方式，采购代理机构将依法重新组织招标。</w:t>
      </w:r>
    </w:p>
    <w:p>
      <w:pPr>
        <w:spacing w:line="360" w:lineRule="auto"/>
        <w:ind w:firstLine="480" w:firstLineChars="200"/>
        <w:rPr>
          <w:rFonts w:ascii="宋体" w:hAnsi="宋体" w:cs="宋体"/>
          <w:color w:val="auto"/>
          <w:sz w:val="24"/>
        </w:rPr>
      </w:pPr>
      <w:r>
        <w:rPr>
          <w:rFonts w:hint="eastAsia" w:ascii="宋体" w:hAnsi="宋体" w:cs="宋体"/>
          <w:color w:val="auto"/>
          <w:sz w:val="24"/>
        </w:rPr>
        <w:t>29.2有前款第一项规定的情形导致废标时，供应商只有2家的，可以改为竞争性谈判方式，在书面征得供应商同意并报经财政部门核准后，由采购人、采购代理机构按照竞争性谈判方式的程序组织采购。</w:t>
      </w:r>
    </w:p>
    <w:p>
      <w:pPr>
        <w:spacing w:line="360" w:lineRule="auto"/>
        <w:ind w:firstLine="420" w:firstLineChars="175"/>
        <w:rPr>
          <w:rFonts w:ascii="宋体" w:hAnsi="宋体" w:cs="宋体"/>
          <w:color w:val="auto"/>
          <w:sz w:val="24"/>
        </w:rPr>
      </w:pPr>
      <w:r>
        <w:rPr>
          <w:rFonts w:hint="eastAsia" w:ascii="宋体" w:hAnsi="宋体" w:cs="宋体"/>
          <w:color w:val="auto"/>
          <w:sz w:val="24"/>
        </w:rPr>
        <w:t>29.2.1转为谈判后，若供应商未能在评标委员会指定时间内（原则上不超过60分钟）提交符合要求的补充资料或未作出实质性响应的，投标无效。经过审查符合谈判要求的有效供应商少于两家的，作废标处理。</w:t>
      </w:r>
    </w:p>
    <w:p>
      <w:pPr>
        <w:spacing w:line="360" w:lineRule="auto"/>
        <w:ind w:firstLine="420" w:firstLineChars="175"/>
        <w:rPr>
          <w:rFonts w:ascii="宋体" w:hAnsi="宋体" w:cs="宋体"/>
          <w:color w:val="auto"/>
          <w:sz w:val="24"/>
        </w:rPr>
      </w:pPr>
      <w:r>
        <w:rPr>
          <w:rFonts w:hint="eastAsia" w:ascii="宋体" w:hAnsi="宋体" w:cs="宋体"/>
          <w:color w:val="auto"/>
          <w:sz w:val="24"/>
        </w:rPr>
        <w:t>29.2.2评标委员会根据招标文件内容与实质性响应招标文件要求的供应商分别进行谈判，并给予所有参加谈判的供应商平等的谈判机会。在谈判过程中，评标委员会可以根据招标文件和谈判情况实质性变动</w:t>
      </w:r>
      <w:r>
        <w:rPr>
          <w:rFonts w:hint="eastAsia" w:ascii="宋体" w:hAnsi="宋体" w:cs="宋体"/>
          <w:color w:val="auto"/>
          <w:sz w:val="24"/>
          <w:lang w:eastAsia="zh-CN"/>
        </w:rPr>
        <w:t>服务需求</w:t>
      </w:r>
      <w:r>
        <w:rPr>
          <w:rFonts w:hint="eastAsia" w:ascii="宋体" w:hAnsi="宋体" w:cs="宋体"/>
          <w:color w:val="auto"/>
          <w:sz w:val="24"/>
        </w:rPr>
        <w:t>中的技术、服务要求以及合同草案条款，但不得变动招标文件中的其他内容。实质性变动的内容，须经采购人代表确认。对招标文件作出的实质性变动是招标文件的有效组成部分，评标委员会应当及时以书面形式同时通知所有参加谈判的供应商。</w:t>
      </w:r>
    </w:p>
    <w:p>
      <w:pPr>
        <w:spacing w:line="360" w:lineRule="auto"/>
        <w:ind w:firstLine="420" w:firstLineChars="175"/>
        <w:rPr>
          <w:rFonts w:ascii="宋体" w:hAnsi="宋体" w:cs="宋体"/>
          <w:color w:val="auto"/>
          <w:sz w:val="24"/>
        </w:rPr>
      </w:pPr>
      <w:r>
        <w:rPr>
          <w:rFonts w:hint="eastAsia" w:ascii="宋体" w:hAnsi="宋体" w:cs="宋体"/>
          <w:color w:val="auto"/>
          <w:sz w:val="24"/>
        </w:rPr>
        <w:t>供应商应当按照招标文件的变动情况和评标委员会的要求重新提交</w:t>
      </w:r>
      <w:r>
        <w:rPr>
          <w:rFonts w:hint="eastAsia" w:ascii="宋体" w:hAnsi="宋体" w:cs="宋体"/>
          <w:color w:val="auto"/>
          <w:sz w:val="24"/>
          <w:lang w:val="en-US" w:eastAsia="zh-CN"/>
        </w:rPr>
        <w:t>投标</w:t>
      </w:r>
      <w:r>
        <w:rPr>
          <w:rFonts w:hint="eastAsia" w:ascii="宋体" w:hAnsi="宋体" w:cs="宋体"/>
          <w:color w:val="auto"/>
          <w:sz w:val="24"/>
        </w:rPr>
        <w:t>文件，并由其法定代表人或授权代表签字或者加盖公章。</w:t>
      </w:r>
    </w:p>
    <w:p>
      <w:pPr>
        <w:spacing w:line="360" w:lineRule="auto"/>
        <w:ind w:firstLine="480"/>
        <w:rPr>
          <w:rFonts w:ascii="宋体" w:hAnsi="宋体" w:cs="宋体"/>
          <w:color w:val="auto"/>
          <w:sz w:val="24"/>
        </w:rPr>
      </w:pPr>
      <w:r>
        <w:rPr>
          <w:rFonts w:hint="eastAsia" w:ascii="宋体" w:hAnsi="宋体" w:cs="宋体"/>
          <w:color w:val="auto"/>
          <w:sz w:val="24"/>
        </w:rPr>
        <w:t>29.2.3投标文件的报价视为谈判时的首次报价。谈判结束后，评标委员会应当要求所有继续参加谈判的供应商在规定时间内提交不超过两轮的报价。供应商的各轮报价是供应商报价文件的有效组成部分。除最终报价外，谈判时将公开各供应商每轮报价。</w:t>
      </w:r>
    </w:p>
    <w:p>
      <w:pPr>
        <w:spacing w:line="360" w:lineRule="auto"/>
        <w:ind w:firstLine="523" w:firstLineChars="218"/>
        <w:rPr>
          <w:rFonts w:ascii="宋体" w:hAnsi="宋体" w:cs="宋体"/>
          <w:color w:val="auto"/>
          <w:sz w:val="24"/>
        </w:rPr>
      </w:pPr>
      <w:r>
        <w:rPr>
          <w:rFonts w:hint="eastAsia" w:ascii="宋体" w:hAnsi="宋体" w:cs="宋体"/>
          <w:color w:val="auto"/>
          <w:sz w:val="24"/>
        </w:rPr>
        <w:t>29.2.4在谈判内容不作实质性变更及重大调整的前提下，供应商次轮报价不得高于上一轮报价，否则将视为重大偏离并导致报价被拒绝。</w:t>
      </w:r>
    </w:p>
    <w:p>
      <w:pPr>
        <w:pStyle w:val="5"/>
        <w:numPr>
          <w:ilvl w:val="0"/>
          <w:numId w:val="0"/>
        </w:numPr>
        <w:spacing w:before="0" w:after="0" w:line="360" w:lineRule="auto"/>
        <w:rPr>
          <w:rFonts w:ascii="宋体" w:hAnsi="宋体" w:cs="宋体"/>
          <w:color w:val="auto"/>
          <w:sz w:val="24"/>
          <w:szCs w:val="24"/>
        </w:rPr>
      </w:pPr>
      <w:bookmarkStart w:id="29" w:name="_Toc30153"/>
      <w:r>
        <w:rPr>
          <w:rFonts w:hint="eastAsia" w:ascii="宋体" w:hAnsi="宋体" w:cs="宋体"/>
          <w:color w:val="auto"/>
          <w:sz w:val="24"/>
          <w:szCs w:val="24"/>
        </w:rPr>
        <w:t>八、履约保证金</w:t>
      </w:r>
      <w:bookmarkEnd w:id="29"/>
    </w:p>
    <w:p>
      <w:pPr>
        <w:spacing w:line="360" w:lineRule="auto"/>
        <w:rPr>
          <w:rFonts w:ascii="宋体" w:hAnsi="宋体" w:cs="宋体"/>
          <w:b/>
          <w:color w:val="auto"/>
          <w:sz w:val="24"/>
        </w:rPr>
      </w:pPr>
      <w:r>
        <w:rPr>
          <w:rFonts w:hint="eastAsia" w:ascii="宋体" w:hAnsi="宋体" w:cs="宋体"/>
          <w:color w:val="auto"/>
          <w:sz w:val="24"/>
          <w:szCs w:val="24"/>
        </w:rPr>
        <w:t>(见供应商须知前附表)</w:t>
      </w:r>
    </w:p>
    <w:p>
      <w:pPr>
        <w:spacing w:line="360" w:lineRule="auto"/>
        <w:rPr>
          <w:rFonts w:ascii="宋体" w:hAnsi="宋体" w:cs="宋体"/>
          <w:b/>
          <w:color w:val="auto"/>
          <w:sz w:val="24"/>
        </w:rPr>
      </w:pPr>
      <w:r>
        <w:rPr>
          <w:rFonts w:hint="eastAsia" w:ascii="宋体" w:hAnsi="宋体" w:cs="宋体"/>
          <w:b/>
          <w:color w:val="auto"/>
          <w:sz w:val="24"/>
        </w:rPr>
        <w:t>31.代理服务费</w:t>
      </w:r>
    </w:p>
    <w:p>
      <w:pPr>
        <w:spacing w:line="360" w:lineRule="auto"/>
        <w:ind w:firstLine="470" w:firstLineChars="196"/>
        <w:rPr>
          <w:rFonts w:ascii="宋体" w:hAnsi="宋体" w:cs="宋体"/>
          <w:color w:val="auto"/>
          <w:sz w:val="24"/>
        </w:rPr>
      </w:pPr>
      <w:r>
        <w:rPr>
          <w:rFonts w:hint="eastAsia" w:ascii="宋体" w:hAnsi="宋体" w:cs="宋体"/>
          <w:color w:val="auto"/>
          <w:sz w:val="24"/>
        </w:rPr>
        <w:t>31.1代理服务费、公证费按照招标文件第二部分“供应商须知前附表”中第29项的规定由中标人交纳，请供应商在测算投标报价时充分考虑这一因素。</w:t>
      </w:r>
    </w:p>
    <w:p>
      <w:pPr>
        <w:pStyle w:val="5"/>
        <w:numPr>
          <w:ilvl w:val="0"/>
          <w:numId w:val="0"/>
        </w:numPr>
        <w:spacing w:before="0" w:after="0" w:line="360" w:lineRule="auto"/>
        <w:rPr>
          <w:rFonts w:ascii="宋体" w:hAnsi="宋体" w:cs="宋体"/>
          <w:color w:val="auto"/>
          <w:sz w:val="24"/>
          <w:szCs w:val="24"/>
        </w:rPr>
      </w:pPr>
      <w:bookmarkStart w:id="30" w:name="_Toc15802"/>
      <w:r>
        <w:rPr>
          <w:rFonts w:hint="eastAsia" w:ascii="宋体" w:hAnsi="宋体" w:cs="宋体"/>
          <w:color w:val="auto"/>
          <w:sz w:val="24"/>
          <w:szCs w:val="24"/>
        </w:rPr>
        <w:t>九、签订、审核合同</w:t>
      </w:r>
      <w:bookmarkEnd w:id="30"/>
    </w:p>
    <w:p>
      <w:pPr>
        <w:spacing w:line="360" w:lineRule="auto"/>
        <w:rPr>
          <w:rFonts w:ascii="宋体" w:hAnsi="宋体" w:cs="宋体"/>
          <w:b/>
          <w:color w:val="auto"/>
          <w:sz w:val="24"/>
        </w:rPr>
      </w:pPr>
      <w:r>
        <w:rPr>
          <w:rFonts w:hint="eastAsia" w:ascii="宋体" w:hAnsi="宋体" w:cs="宋体"/>
          <w:b/>
          <w:color w:val="auto"/>
          <w:sz w:val="24"/>
        </w:rPr>
        <w:t>32.中标通知</w:t>
      </w:r>
    </w:p>
    <w:p>
      <w:pPr>
        <w:spacing w:line="360" w:lineRule="auto"/>
        <w:ind w:firstLine="480" w:firstLineChars="200"/>
        <w:rPr>
          <w:rFonts w:ascii="宋体" w:hAnsi="宋体" w:cs="宋体"/>
          <w:color w:val="auto"/>
          <w:sz w:val="24"/>
        </w:rPr>
      </w:pPr>
      <w:r>
        <w:rPr>
          <w:rFonts w:hint="eastAsia" w:ascii="宋体" w:hAnsi="宋体" w:cs="宋体"/>
          <w:color w:val="auto"/>
          <w:sz w:val="24"/>
        </w:rPr>
        <w:t>32.1中标人确定后,采购代理机构将在相关政府采购信息发布媒体上发布中标公告，并以书面形式向中标人发出中标通知书，但该中标结果的有效性不依赖于未中标的供应商是否已经收到该通知。中标人应按照招标文件的规定交纳履约保证金、代理服务费并经采购代理机构确认后，委派专人持介绍信或授权书和身份证件前往采购代理机构领取中标通知书。中标通知书对采购人和中标人具有同等法律效力。中标通知书发出以后，采购人改变中标结果或者中标人放弃中标，应当承担相应的法律责任。</w:t>
      </w:r>
    </w:p>
    <w:p>
      <w:pPr>
        <w:spacing w:line="360" w:lineRule="auto"/>
        <w:ind w:firstLine="480" w:firstLineChars="200"/>
        <w:rPr>
          <w:rFonts w:ascii="宋体" w:hAnsi="宋体" w:cs="宋体"/>
          <w:color w:val="auto"/>
          <w:sz w:val="24"/>
        </w:rPr>
      </w:pPr>
      <w:r>
        <w:rPr>
          <w:rFonts w:hint="eastAsia" w:ascii="宋体" w:hAnsi="宋体" w:cs="宋体"/>
          <w:color w:val="auto"/>
          <w:sz w:val="24"/>
        </w:rPr>
        <w:t>32.2采购代理机构对未中标的供应商不作未中标原因的解释，但中标结果的有效性不以未中标的供应商是否收到相应的通知为前提。</w:t>
      </w:r>
    </w:p>
    <w:p>
      <w:pPr>
        <w:spacing w:line="360" w:lineRule="auto"/>
        <w:ind w:firstLine="480" w:firstLineChars="200"/>
        <w:rPr>
          <w:rFonts w:ascii="宋体" w:hAnsi="宋体" w:cs="宋体"/>
          <w:color w:val="auto"/>
          <w:sz w:val="24"/>
        </w:rPr>
      </w:pPr>
      <w:r>
        <w:rPr>
          <w:rFonts w:hint="eastAsia" w:ascii="宋体" w:hAnsi="宋体" w:cs="宋体"/>
          <w:color w:val="auto"/>
          <w:sz w:val="24"/>
        </w:rPr>
        <w:t>32.3中标通知书是合同的组成部分。</w:t>
      </w:r>
    </w:p>
    <w:p>
      <w:pPr>
        <w:spacing w:line="360" w:lineRule="auto"/>
        <w:rPr>
          <w:rFonts w:ascii="宋体" w:hAnsi="宋体" w:cs="宋体"/>
          <w:b/>
          <w:color w:val="auto"/>
          <w:sz w:val="24"/>
        </w:rPr>
      </w:pPr>
      <w:r>
        <w:rPr>
          <w:rFonts w:hint="eastAsia" w:ascii="宋体" w:hAnsi="宋体" w:cs="宋体"/>
          <w:b/>
          <w:color w:val="auto"/>
          <w:sz w:val="24"/>
        </w:rPr>
        <w:t>33.签订合同</w:t>
      </w:r>
    </w:p>
    <w:p>
      <w:pPr>
        <w:spacing w:line="360" w:lineRule="auto"/>
        <w:ind w:firstLine="480" w:firstLineChars="200"/>
        <w:rPr>
          <w:rFonts w:ascii="宋体" w:hAnsi="宋体" w:cs="宋体"/>
          <w:color w:val="auto"/>
          <w:sz w:val="24"/>
        </w:rPr>
      </w:pPr>
      <w:r>
        <w:rPr>
          <w:rFonts w:hint="eastAsia" w:ascii="宋体" w:hAnsi="宋体" w:cs="宋体"/>
          <w:color w:val="auto"/>
          <w:sz w:val="24"/>
        </w:rPr>
        <w:t>33.1中标人须在中标通知书发出之日起30日内与采购人签订采购合同。</w:t>
      </w:r>
    </w:p>
    <w:p>
      <w:pPr>
        <w:spacing w:line="360" w:lineRule="auto"/>
        <w:ind w:firstLine="480" w:firstLineChars="200"/>
        <w:rPr>
          <w:rFonts w:ascii="宋体" w:hAnsi="宋体" w:cs="宋体"/>
          <w:color w:val="auto"/>
          <w:sz w:val="24"/>
        </w:rPr>
      </w:pPr>
      <w:r>
        <w:rPr>
          <w:rFonts w:hint="eastAsia" w:ascii="宋体" w:hAnsi="宋体" w:cs="宋体"/>
          <w:color w:val="auto"/>
          <w:sz w:val="24"/>
        </w:rPr>
        <w:t>33.2中标人须按照招标文件、投标文件及评标过程中的有关澄清、说明或者补正文件的内容与采购人签订合同。中标人不得再与采购人签订背离合同实质性内容的其他协议或声明。</w:t>
      </w:r>
    </w:p>
    <w:p>
      <w:pPr>
        <w:spacing w:line="360" w:lineRule="auto"/>
        <w:ind w:firstLine="480" w:firstLineChars="200"/>
        <w:rPr>
          <w:rFonts w:ascii="宋体" w:hAnsi="宋体" w:cs="宋体"/>
          <w:color w:val="auto"/>
          <w:sz w:val="24"/>
        </w:rPr>
      </w:pPr>
      <w:r>
        <w:rPr>
          <w:rFonts w:hint="eastAsia" w:ascii="宋体" w:hAnsi="宋体" w:cs="宋体"/>
          <w:color w:val="auto"/>
          <w:sz w:val="24"/>
        </w:rPr>
        <w:t>33.3采购人如需追加与合同标的相同的货物或服务，在不改变合同其他条款的前提下，提交追加合同的申请报经同级财政部门审核后，可与中标人签订补充合同，但所有补充合同的采购金额不得超过原合同金额的百分之十。</w:t>
      </w:r>
    </w:p>
    <w:p>
      <w:pPr>
        <w:spacing w:line="360" w:lineRule="auto"/>
        <w:ind w:firstLine="480" w:firstLineChars="200"/>
        <w:rPr>
          <w:rFonts w:ascii="宋体" w:hAnsi="宋体" w:cs="宋体"/>
          <w:color w:val="auto"/>
          <w:sz w:val="24"/>
        </w:rPr>
      </w:pPr>
      <w:r>
        <w:rPr>
          <w:rFonts w:hint="eastAsia" w:ascii="宋体" w:hAnsi="宋体" w:cs="宋体"/>
          <w:color w:val="auto"/>
          <w:sz w:val="24"/>
        </w:rPr>
        <w:t>33.4中标人一旦中标及签订合同后，不得转包，亦不得将合同全部及任何权利、义务向第三方转让。</w:t>
      </w:r>
    </w:p>
    <w:p>
      <w:pPr>
        <w:spacing w:line="360" w:lineRule="auto"/>
        <w:ind w:firstLine="480" w:firstLineChars="200"/>
        <w:rPr>
          <w:rFonts w:ascii="宋体" w:hAnsi="宋体" w:cs="宋体"/>
          <w:color w:val="auto"/>
          <w:sz w:val="24"/>
        </w:rPr>
      </w:pPr>
      <w:r>
        <w:rPr>
          <w:rFonts w:hint="eastAsia" w:ascii="宋体" w:hAnsi="宋体" w:cs="宋体"/>
          <w:color w:val="auto"/>
          <w:sz w:val="24"/>
        </w:rPr>
        <w:t>33.5中标人不履行合同的，采购人可在报经同级人民政府财政部门核准后，与排位在中标人之后的第一位中标候选供应商签订合同，以此类推；或在报经同级人民政府财政部门核准后重新组织采购。</w:t>
      </w:r>
    </w:p>
    <w:p>
      <w:pPr>
        <w:spacing w:line="360" w:lineRule="auto"/>
        <w:ind w:firstLine="480" w:firstLineChars="200"/>
        <w:rPr>
          <w:rFonts w:ascii="宋体" w:hAnsi="宋体" w:cs="宋体"/>
          <w:color w:val="auto"/>
          <w:sz w:val="24"/>
        </w:rPr>
      </w:pPr>
      <w:r>
        <w:rPr>
          <w:rFonts w:hint="eastAsia" w:ascii="宋体" w:hAnsi="宋体" w:cs="宋体"/>
          <w:color w:val="auto"/>
          <w:sz w:val="24"/>
        </w:rPr>
        <w:t>33.6违反32.1条、32.2条的规定，给对方造成损失的，应承担赔偿责任。</w:t>
      </w:r>
    </w:p>
    <w:p>
      <w:pPr>
        <w:spacing w:line="360" w:lineRule="auto"/>
        <w:rPr>
          <w:rFonts w:ascii="宋体" w:hAnsi="宋体" w:cs="宋体"/>
          <w:b/>
          <w:color w:val="auto"/>
          <w:sz w:val="24"/>
        </w:rPr>
      </w:pPr>
      <w:r>
        <w:rPr>
          <w:rFonts w:hint="eastAsia" w:ascii="宋体" w:hAnsi="宋体" w:cs="宋体"/>
          <w:b/>
          <w:color w:val="auto"/>
          <w:sz w:val="24"/>
        </w:rPr>
        <w:t>34.审核合同</w:t>
      </w:r>
    </w:p>
    <w:p>
      <w:pPr>
        <w:spacing w:line="360" w:lineRule="auto"/>
        <w:ind w:firstLine="480" w:firstLineChars="200"/>
        <w:rPr>
          <w:rFonts w:ascii="宋体" w:hAnsi="宋体" w:cs="宋体"/>
          <w:color w:val="auto"/>
          <w:sz w:val="24"/>
        </w:rPr>
      </w:pPr>
      <w:r>
        <w:rPr>
          <w:rFonts w:hint="eastAsia" w:ascii="宋体" w:hAnsi="宋体" w:cs="宋体"/>
          <w:color w:val="auto"/>
          <w:sz w:val="24"/>
        </w:rPr>
        <w:t>34.1中标人持政府采购合同于签订合同之日起3个工作日内到相关部门备案留存。</w:t>
      </w:r>
    </w:p>
    <w:p>
      <w:pPr>
        <w:pStyle w:val="5"/>
        <w:numPr>
          <w:ilvl w:val="0"/>
          <w:numId w:val="0"/>
        </w:numPr>
        <w:spacing w:before="0" w:after="0" w:line="360" w:lineRule="auto"/>
        <w:rPr>
          <w:rFonts w:ascii="宋体" w:hAnsi="宋体" w:cs="宋体"/>
          <w:color w:val="auto"/>
          <w:sz w:val="24"/>
          <w:szCs w:val="24"/>
        </w:rPr>
      </w:pPr>
      <w:bookmarkStart w:id="31" w:name="_Toc8542"/>
      <w:r>
        <w:rPr>
          <w:rFonts w:hint="eastAsia" w:ascii="宋体" w:hAnsi="宋体" w:cs="宋体"/>
          <w:color w:val="auto"/>
          <w:sz w:val="24"/>
          <w:szCs w:val="24"/>
        </w:rPr>
        <w:t>十、处罚、询问和质疑</w:t>
      </w:r>
      <w:bookmarkEnd w:id="31"/>
      <w:r>
        <w:rPr>
          <w:rFonts w:hint="eastAsia" w:ascii="宋体" w:hAnsi="宋体" w:cs="宋体"/>
          <w:color w:val="auto"/>
          <w:sz w:val="24"/>
          <w:szCs w:val="24"/>
        </w:rPr>
        <w:t xml:space="preserve"> </w:t>
      </w:r>
    </w:p>
    <w:p>
      <w:pPr>
        <w:spacing w:line="360" w:lineRule="auto"/>
        <w:rPr>
          <w:rFonts w:ascii="宋体" w:hAnsi="宋体" w:cs="宋体"/>
          <w:b/>
          <w:color w:val="auto"/>
          <w:sz w:val="24"/>
        </w:rPr>
      </w:pPr>
      <w:r>
        <w:rPr>
          <w:rFonts w:hint="eastAsia" w:ascii="宋体" w:hAnsi="宋体" w:cs="宋体"/>
          <w:b/>
          <w:color w:val="auto"/>
          <w:sz w:val="24"/>
        </w:rPr>
        <w:t>35.处罚</w:t>
      </w:r>
    </w:p>
    <w:p>
      <w:pPr>
        <w:spacing w:line="360" w:lineRule="auto"/>
        <w:ind w:firstLine="480" w:firstLineChars="200"/>
        <w:rPr>
          <w:rFonts w:ascii="宋体" w:hAnsi="宋体" w:cs="宋体"/>
          <w:color w:val="auto"/>
          <w:sz w:val="24"/>
        </w:rPr>
      </w:pPr>
      <w:r>
        <w:rPr>
          <w:rFonts w:hint="eastAsia" w:ascii="宋体" w:hAnsi="宋体" w:cs="宋体"/>
          <w:color w:val="auto"/>
          <w:sz w:val="24"/>
        </w:rPr>
        <w:t>35.1发生下列情况之一，供应商的保证金不予退还；情节严重的将其列入不良记录名单。</w:t>
      </w:r>
    </w:p>
    <w:p>
      <w:pPr>
        <w:spacing w:line="360" w:lineRule="auto"/>
        <w:ind w:firstLine="480" w:firstLineChars="200"/>
        <w:rPr>
          <w:rFonts w:ascii="宋体" w:hAnsi="宋体" w:cs="宋体"/>
          <w:color w:val="auto"/>
          <w:sz w:val="24"/>
        </w:rPr>
      </w:pPr>
      <w:r>
        <w:rPr>
          <w:rFonts w:hint="eastAsia" w:ascii="宋体" w:hAnsi="宋体" w:cs="宋体"/>
          <w:color w:val="auto"/>
          <w:sz w:val="24"/>
        </w:rPr>
        <w:t>1）开标后在投标有效期内，供应商撤回其投标；</w:t>
      </w:r>
    </w:p>
    <w:p>
      <w:pPr>
        <w:spacing w:line="360" w:lineRule="auto"/>
        <w:ind w:firstLine="480" w:firstLineChars="200"/>
        <w:rPr>
          <w:rFonts w:ascii="宋体" w:hAnsi="宋体" w:cs="宋体"/>
          <w:color w:val="auto"/>
          <w:sz w:val="24"/>
        </w:rPr>
      </w:pPr>
      <w:r>
        <w:rPr>
          <w:rFonts w:hint="eastAsia" w:ascii="宋体" w:hAnsi="宋体" w:cs="宋体"/>
          <w:color w:val="auto"/>
          <w:sz w:val="24"/>
        </w:rPr>
        <w:t>2）中标后无正当理由不与采购人签订合同的；</w:t>
      </w:r>
    </w:p>
    <w:p>
      <w:pPr>
        <w:spacing w:line="360" w:lineRule="auto"/>
        <w:ind w:firstLine="480" w:firstLineChars="200"/>
        <w:rPr>
          <w:rFonts w:ascii="宋体" w:hAnsi="宋体" w:cs="宋体"/>
          <w:color w:val="auto"/>
          <w:sz w:val="24"/>
        </w:rPr>
      </w:pPr>
      <w:r>
        <w:rPr>
          <w:rFonts w:hint="eastAsia" w:ascii="宋体" w:hAnsi="宋体" w:cs="宋体"/>
          <w:color w:val="auto"/>
          <w:sz w:val="24"/>
        </w:rPr>
        <w:t>3）中标人与采购人订立背离合同实质性内容的其他协议；</w:t>
      </w:r>
    </w:p>
    <w:p>
      <w:pPr>
        <w:spacing w:line="360" w:lineRule="auto"/>
        <w:ind w:firstLine="480" w:firstLineChars="200"/>
        <w:rPr>
          <w:rFonts w:ascii="宋体" w:hAnsi="宋体" w:cs="宋体"/>
          <w:color w:val="auto"/>
          <w:sz w:val="24"/>
        </w:rPr>
      </w:pPr>
      <w:r>
        <w:rPr>
          <w:rFonts w:hint="eastAsia" w:ascii="宋体" w:hAnsi="宋体" w:cs="宋体"/>
          <w:color w:val="auto"/>
          <w:sz w:val="24"/>
        </w:rPr>
        <w:t>4）将中标项目转让给他人，或者在投标文件中未说明，且未经采购代理机构同意，将中标项目分包给他人的；</w:t>
      </w:r>
    </w:p>
    <w:p>
      <w:pPr>
        <w:spacing w:line="360" w:lineRule="auto"/>
        <w:ind w:firstLine="480" w:firstLineChars="200"/>
        <w:rPr>
          <w:rFonts w:ascii="宋体" w:hAnsi="宋体" w:cs="宋体"/>
          <w:color w:val="auto"/>
          <w:sz w:val="24"/>
        </w:rPr>
      </w:pPr>
      <w:r>
        <w:rPr>
          <w:rFonts w:hint="eastAsia" w:ascii="宋体" w:hAnsi="宋体" w:cs="宋体"/>
          <w:color w:val="auto"/>
          <w:sz w:val="24"/>
        </w:rPr>
        <w:t>5）存在串通投标行为的；</w:t>
      </w:r>
    </w:p>
    <w:p>
      <w:pPr>
        <w:spacing w:line="360" w:lineRule="auto"/>
        <w:ind w:firstLine="480" w:firstLineChars="200"/>
        <w:rPr>
          <w:rFonts w:ascii="宋体" w:hAnsi="宋体" w:cs="宋体"/>
          <w:color w:val="auto"/>
          <w:sz w:val="24"/>
        </w:rPr>
      </w:pPr>
      <w:r>
        <w:rPr>
          <w:rFonts w:hint="eastAsia" w:ascii="宋体" w:hAnsi="宋体" w:cs="宋体"/>
          <w:color w:val="auto"/>
          <w:sz w:val="24"/>
        </w:rPr>
        <w:t>6）存在弄虚作假或提供虚假材料谋取中标的；</w:t>
      </w:r>
    </w:p>
    <w:p>
      <w:pPr>
        <w:spacing w:line="360" w:lineRule="auto"/>
        <w:ind w:firstLine="480" w:firstLineChars="200"/>
        <w:rPr>
          <w:rFonts w:ascii="宋体" w:hAnsi="宋体" w:cs="宋体"/>
          <w:color w:val="auto"/>
          <w:sz w:val="24"/>
        </w:rPr>
      </w:pPr>
      <w:r>
        <w:rPr>
          <w:rFonts w:hint="eastAsia" w:ascii="宋体" w:hAnsi="宋体" w:cs="宋体"/>
          <w:color w:val="auto"/>
          <w:sz w:val="24"/>
        </w:rPr>
        <w:t>7）供应商其他未按招标文件规定和合同约定履行义务的行为。</w:t>
      </w:r>
    </w:p>
    <w:p>
      <w:pPr>
        <w:spacing w:line="360" w:lineRule="auto"/>
        <w:rPr>
          <w:rFonts w:ascii="宋体" w:hAnsi="宋体" w:cs="宋体"/>
          <w:b/>
          <w:color w:val="auto"/>
          <w:sz w:val="24"/>
        </w:rPr>
      </w:pPr>
      <w:r>
        <w:rPr>
          <w:rFonts w:hint="eastAsia" w:ascii="宋体" w:hAnsi="宋体" w:cs="宋体"/>
          <w:b/>
          <w:color w:val="auto"/>
          <w:sz w:val="24"/>
        </w:rPr>
        <w:t>36．询问</w:t>
      </w:r>
    </w:p>
    <w:p>
      <w:pPr>
        <w:spacing w:line="360" w:lineRule="auto"/>
        <w:ind w:firstLine="480" w:firstLineChars="200"/>
        <w:rPr>
          <w:rFonts w:ascii="宋体" w:hAnsi="宋体" w:cs="宋体"/>
          <w:color w:val="auto"/>
          <w:sz w:val="24"/>
        </w:rPr>
      </w:pPr>
      <w:r>
        <w:rPr>
          <w:rFonts w:hint="eastAsia" w:ascii="宋体" w:hAnsi="宋体" w:cs="宋体"/>
          <w:color w:val="auto"/>
          <w:sz w:val="24"/>
        </w:rPr>
        <w:t>36.1供应商对采购事项有疑问的，可以向采购人或采购代理机构提出询问。</w:t>
      </w:r>
    </w:p>
    <w:p>
      <w:pPr>
        <w:spacing w:line="360" w:lineRule="auto"/>
        <w:rPr>
          <w:rFonts w:ascii="宋体" w:hAnsi="宋体" w:cs="宋体"/>
          <w:b/>
          <w:color w:val="auto"/>
          <w:sz w:val="24"/>
        </w:rPr>
      </w:pPr>
      <w:r>
        <w:rPr>
          <w:rFonts w:hint="eastAsia" w:ascii="宋体" w:hAnsi="宋体" w:cs="宋体"/>
          <w:b/>
          <w:color w:val="auto"/>
          <w:sz w:val="24"/>
        </w:rPr>
        <w:t>37.供应商有权就招标事宜提出质疑</w:t>
      </w:r>
    </w:p>
    <w:p>
      <w:pPr>
        <w:spacing w:line="360" w:lineRule="auto"/>
        <w:ind w:firstLine="480" w:firstLineChars="200"/>
        <w:rPr>
          <w:rFonts w:ascii="宋体" w:hAnsi="宋体" w:cs="宋体"/>
          <w:color w:val="auto"/>
          <w:sz w:val="24"/>
        </w:rPr>
      </w:pPr>
      <w:r>
        <w:rPr>
          <w:rFonts w:hint="eastAsia" w:ascii="宋体" w:hAnsi="宋体" w:cs="宋体"/>
          <w:color w:val="auto"/>
          <w:sz w:val="24"/>
        </w:rPr>
        <w:t>37.1供应商认为招标文件、采购过程和中标结果使自已的权益受到损害的，可以在知道或者应知其权益受到损害之日起7个工作日内，以书面形式提出质疑。</w:t>
      </w:r>
    </w:p>
    <w:p>
      <w:pPr>
        <w:spacing w:line="360" w:lineRule="auto"/>
        <w:ind w:firstLine="480" w:firstLineChars="200"/>
        <w:rPr>
          <w:rFonts w:ascii="宋体" w:hAnsi="宋体" w:cs="宋体"/>
          <w:color w:val="auto"/>
          <w:sz w:val="24"/>
        </w:rPr>
      </w:pPr>
      <w:r>
        <w:rPr>
          <w:rFonts w:hint="eastAsia" w:ascii="宋体" w:hAnsi="宋体" w:cs="宋体"/>
          <w:color w:val="auto"/>
          <w:sz w:val="24"/>
        </w:rPr>
        <w:t>37.2质疑应当按照《中华人民共和国政府采购法》、《中华人民共和国政府采购法实施条例》、《政府采购供应商投诉处理办法》等法律法规的相关规定，以书面形式向采购代理机构提出。</w:t>
      </w:r>
    </w:p>
    <w:p>
      <w:pPr>
        <w:spacing w:line="360" w:lineRule="auto"/>
        <w:ind w:firstLine="480" w:firstLineChars="200"/>
        <w:rPr>
          <w:rFonts w:ascii="宋体" w:hAnsi="宋体" w:cs="宋体"/>
          <w:color w:val="auto"/>
          <w:sz w:val="24"/>
        </w:rPr>
      </w:pPr>
      <w:r>
        <w:rPr>
          <w:rFonts w:hint="eastAsia" w:ascii="宋体" w:hAnsi="宋体" w:cs="宋体"/>
          <w:color w:val="auto"/>
          <w:sz w:val="24"/>
        </w:rPr>
        <w:t>37.3质疑书应当附上相关证明材料，否则质疑将视为无有效证据支持，将被予以驳回，并不得以上述理由要求延长质疑有效期。未递交投标文件的供应商，其未参加后续采购活动，不得对递交投标文件截止后的采购过程、采购结果提出质疑。</w:t>
      </w:r>
    </w:p>
    <w:p>
      <w:pPr>
        <w:spacing w:line="360" w:lineRule="auto"/>
        <w:ind w:firstLine="480" w:firstLineChars="200"/>
        <w:rPr>
          <w:rFonts w:ascii="宋体" w:hAnsi="宋体" w:cs="宋体"/>
          <w:color w:val="auto"/>
          <w:sz w:val="24"/>
        </w:rPr>
      </w:pPr>
      <w:r>
        <w:rPr>
          <w:rFonts w:hint="eastAsia" w:ascii="宋体" w:hAnsi="宋体" w:cs="宋体"/>
          <w:color w:val="auto"/>
          <w:sz w:val="24"/>
        </w:rPr>
        <w:t>37.4质疑人可以采取直接送达或者邮寄方式提交质疑书。采购代理机构收到质疑书后，对质疑书进行审查，对符合质疑条件的将办理签收手续，自签收质疑书之日起即为受理。</w:t>
      </w:r>
    </w:p>
    <w:p>
      <w:pPr>
        <w:spacing w:line="360" w:lineRule="auto"/>
        <w:ind w:firstLine="480" w:firstLineChars="200"/>
        <w:rPr>
          <w:rFonts w:ascii="宋体" w:hAnsi="宋体" w:cs="宋体"/>
          <w:color w:val="auto"/>
          <w:sz w:val="24"/>
        </w:rPr>
      </w:pPr>
      <w:r>
        <w:rPr>
          <w:rFonts w:hint="eastAsia" w:ascii="宋体" w:hAnsi="宋体" w:cs="宋体"/>
          <w:color w:val="auto"/>
          <w:sz w:val="24"/>
        </w:rPr>
        <w:t>37.5采购代理机构将在受理书面质疑后7个工作日内审查质疑事项，作出答复或相关处理决定，并以书面形式通知质疑人和其他相关供应商，但答复的内容不涉及商业秘密。</w:t>
      </w:r>
    </w:p>
    <w:p>
      <w:pPr>
        <w:spacing w:line="360" w:lineRule="auto"/>
        <w:ind w:firstLine="480" w:firstLineChars="200"/>
        <w:rPr>
          <w:rFonts w:ascii="宋体" w:hAnsi="宋体" w:cs="宋体"/>
          <w:color w:val="auto"/>
          <w:sz w:val="24"/>
        </w:rPr>
      </w:pPr>
      <w:r>
        <w:rPr>
          <w:rFonts w:hint="eastAsia" w:ascii="宋体" w:hAnsi="宋体" w:cs="宋体"/>
          <w:color w:val="auto"/>
          <w:sz w:val="24"/>
        </w:rPr>
        <w:t>37.6供应商进行虚假和恶意质疑的，采购代理机构将提请有关部门将其列入不良记录名单，在一至三年内禁止参加政府采购活动，并将处理决定在相关政府采购媒体上公布。</w:t>
      </w:r>
    </w:p>
    <w:p>
      <w:pPr>
        <w:spacing w:line="360" w:lineRule="auto"/>
        <w:ind w:firstLine="480" w:firstLineChars="200"/>
        <w:rPr>
          <w:rFonts w:ascii="宋体" w:hAnsi="宋体" w:cs="宋体"/>
          <w:color w:val="auto"/>
          <w:sz w:val="24"/>
        </w:rPr>
      </w:pPr>
      <w:r>
        <w:rPr>
          <w:rFonts w:hint="eastAsia" w:ascii="宋体" w:hAnsi="宋体" w:cs="宋体"/>
          <w:color w:val="auto"/>
          <w:sz w:val="24"/>
        </w:rPr>
        <w:t>37.7质疑人对答复不满意以及采购代理机构未在规定的时间内作出答复的，可以在答复期满后15个工作日内向财政部门投拆。</w:t>
      </w:r>
    </w:p>
    <w:p>
      <w:pPr>
        <w:pStyle w:val="5"/>
        <w:numPr>
          <w:ilvl w:val="0"/>
          <w:numId w:val="0"/>
        </w:numPr>
        <w:spacing w:before="0" w:after="0" w:line="360" w:lineRule="auto"/>
        <w:rPr>
          <w:rFonts w:ascii="宋体" w:hAnsi="宋体" w:cs="宋体"/>
          <w:color w:val="auto"/>
          <w:sz w:val="24"/>
          <w:szCs w:val="24"/>
        </w:rPr>
      </w:pPr>
      <w:bookmarkStart w:id="32" w:name="_Toc19259"/>
      <w:r>
        <w:rPr>
          <w:rFonts w:hint="eastAsia" w:ascii="宋体" w:hAnsi="宋体" w:cs="宋体"/>
          <w:color w:val="auto"/>
          <w:sz w:val="24"/>
          <w:szCs w:val="24"/>
        </w:rPr>
        <w:t>十一、保密和披露</w:t>
      </w:r>
      <w:bookmarkEnd w:id="32"/>
    </w:p>
    <w:p>
      <w:pPr>
        <w:spacing w:line="360" w:lineRule="auto"/>
        <w:rPr>
          <w:rFonts w:ascii="宋体" w:hAnsi="宋体" w:cs="宋体"/>
          <w:b/>
          <w:color w:val="auto"/>
          <w:sz w:val="24"/>
        </w:rPr>
      </w:pPr>
      <w:r>
        <w:rPr>
          <w:rFonts w:hint="eastAsia" w:ascii="宋体" w:hAnsi="宋体" w:cs="宋体"/>
          <w:b/>
          <w:color w:val="auto"/>
          <w:sz w:val="24"/>
        </w:rPr>
        <w:t>38.保密和披露</w:t>
      </w:r>
    </w:p>
    <w:p>
      <w:pPr>
        <w:spacing w:line="360" w:lineRule="auto"/>
        <w:ind w:firstLine="480" w:firstLineChars="200"/>
        <w:rPr>
          <w:rFonts w:ascii="宋体" w:hAnsi="宋体" w:cs="宋体"/>
          <w:color w:val="auto"/>
          <w:sz w:val="24"/>
        </w:rPr>
      </w:pPr>
      <w:r>
        <w:rPr>
          <w:rFonts w:hint="eastAsia" w:ascii="宋体" w:hAnsi="宋体" w:cs="宋体"/>
          <w:color w:val="auto"/>
          <w:sz w:val="24"/>
        </w:rPr>
        <w:t>38.1供应商自领取招标文件之日起，须承担本招标项目保密义务，不得将因本次招标获得的信息向第三人外传。由采购人向供应商提供的图纸、详细资料、样品、模型、模件和所有其它资料，被视为保密资料，仅被用于它所规定的用途。除非得到采购人的同意，不能向任何第三方透露。开标结束后，应采购人要求，供应商应归还所有从采购人处获得的保密资料。</w:t>
      </w:r>
    </w:p>
    <w:p>
      <w:pPr>
        <w:spacing w:line="360" w:lineRule="auto"/>
        <w:ind w:firstLine="480" w:firstLineChars="200"/>
        <w:rPr>
          <w:rFonts w:ascii="宋体" w:hAnsi="宋体" w:cs="宋体"/>
          <w:color w:val="auto"/>
          <w:sz w:val="24"/>
        </w:rPr>
      </w:pPr>
      <w:r>
        <w:rPr>
          <w:rFonts w:hint="eastAsia" w:ascii="宋体" w:hAnsi="宋体" w:cs="宋体"/>
          <w:color w:val="auto"/>
          <w:sz w:val="24"/>
        </w:rPr>
        <w:t>38.2采购代理机构有权将供应商提供的所有资料向有关政府部门或评审标书的有关人员披露。</w:t>
      </w:r>
    </w:p>
    <w:p>
      <w:pPr>
        <w:spacing w:line="360" w:lineRule="auto"/>
        <w:ind w:firstLine="480" w:firstLineChars="200"/>
        <w:rPr>
          <w:rFonts w:ascii="宋体" w:hAnsi="宋体" w:cs="宋体"/>
          <w:color w:val="auto"/>
          <w:sz w:val="24"/>
        </w:rPr>
      </w:pPr>
      <w:r>
        <w:rPr>
          <w:rFonts w:hint="eastAsia" w:ascii="宋体" w:hAnsi="宋体" w:cs="宋体"/>
          <w:color w:val="auto"/>
          <w:sz w:val="24"/>
        </w:rPr>
        <w:t>38.3在采购代理机构认为适当时、国家机关调查、审查、审计时以及其他符合法律规定的情形下，采购代理机构无须事先征求供应商同意而可以披露关于采购过程、合同文本、签署情况的资料、供应商的名称及地址、投标文件的有关信息以及补充条款等，但应当在合理的必要范围内。对任何已经公布过的内容或与之内容相同的资料，以及供应商已经泄露或公开的，无须再承担保密责任。</w:t>
      </w:r>
    </w:p>
    <w:p>
      <w:pPr>
        <w:spacing w:line="360" w:lineRule="auto"/>
        <w:rPr>
          <w:rFonts w:ascii="宋体" w:hAnsi="宋体" w:cs="宋体"/>
          <w:color w:val="auto"/>
        </w:rPr>
      </w:pPr>
    </w:p>
    <w:p>
      <w:pPr>
        <w:pStyle w:val="19"/>
        <w:numPr>
          <w:ilvl w:val="0"/>
          <w:numId w:val="3"/>
        </w:numPr>
        <w:tabs>
          <w:tab w:val="left" w:pos="0"/>
        </w:tabs>
        <w:spacing w:line="360" w:lineRule="auto"/>
        <w:ind w:left="0" w:leftChars="0" w:firstLine="0" w:firstLineChars="0"/>
        <w:jc w:val="center"/>
        <w:outlineLvl w:val="0"/>
        <w:rPr>
          <w:rStyle w:val="42"/>
          <w:rFonts w:hint="eastAsia" w:ascii="宋体" w:hAnsi="宋体" w:cs="宋体"/>
          <w:color w:val="auto"/>
        </w:rPr>
      </w:pPr>
      <w:r>
        <w:rPr>
          <w:rFonts w:hint="eastAsia" w:ascii="宋体" w:hAnsi="宋体" w:cs="宋体"/>
          <w:color w:val="auto"/>
        </w:rPr>
        <w:br w:type="page"/>
      </w:r>
      <w:bookmarkStart w:id="33" w:name="_Toc31163"/>
      <w:r>
        <w:rPr>
          <w:rStyle w:val="42"/>
          <w:rFonts w:hint="eastAsia" w:ascii="宋体" w:hAnsi="宋体" w:cs="宋体"/>
          <w:color w:val="auto"/>
        </w:rPr>
        <w:t xml:space="preserve"> </w:t>
      </w:r>
      <w:bookmarkEnd w:id="33"/>
      <w:bookmarkStart w:id="34" w:name="EBe6f29cfd18e6459587ecf2aa36a0140e"/>
      <w:r>
        <w:rPr>
          <w:rStyle w:val="42"/>
          <w:rFonts w:hint="eastAsia" w:ascii="宋体" w:hAnsi="宋体" w:cs="宋体"/>
          <w:color w:val="auto"/>
          <w:lang w:eastAsia="zh-CN"/>
        </w:rPr>
        <w:t>服务需求</w:t>
      </w:r>
    </w:p>
    <w:bookmarkEnd w:id="34"/>
    <w:p>
      <w:pPr>
        <w:pStyle w:val="4"/>
        <w:pageBreakBefore w:val="0"/>
        <w:widowControl w:val="0"/>
        <w:numPr>
          <w:ilvl w:val="1"/>
          <w:numId w:val="0"/>
        </w:numPr>
        <w:kinsoku/>
        <w:wordWrap/>
        <w:overflowPunct/>
        <w:topLinePunct w:val="0"/>
        <w:autoSpaceDE/>
        <w:autoSpaceDN/>
        <w:bidi w:val="0"/>
        <w:spacing w:before="0" w:after="0" w:line="400" w:lineRule="exact"/>
        <w:rPr>
          <w:rFonts w:hint="eastAsia" w:ascii="宋体" w:hAnsi="宋体" w:eastAsia="宋体" w:cs="宋体"/>
          <w:b/>
          <w:bCs/>
          <w:sz w:val="24"/>
          <w:szCs w:val="24"/>
          <w:lang w:val="en-US" w:eastAsia="zh-CN"/>
        </w:rPr>
      </w:pPr>
      <w:bookmarkStart w:id="35" w:name="EB89dfcf1f611f469c94ff5b2c1c521519"/>
      <w:r>
        <w:rPr>
          <w:rFonts w:hint="eastAsia" w:ascii="宋体" w:hAnsi="宋体" w:eastAsia="宋体" w:cs="宋体"/>
          <w:b/>
          <w:bCs/>
          <w:sz w:val="24"/>
          <w:szCs w:val="24"/>
          <w:lang w:val="en-US" w:eastAsia="zh-CN"/>
        </w:rPr>
        <w:t>监理范围：</w:t>
      </w:r>
    </w:p>
    <w:p>
      <w:pPr>
        <w:pStyle w:val="4"/>
        <w:pageBreakBefore w:val="0"/>
        <w:widowControl w:val="0"/>
        <w:numPr>
          <w:ilvl w:val="1"/>
          <w:numId w:val="0"/>
        </w:numPr>
        <w:kinsoku/>
        <w:wordWrap/>
        <w:overflowPunct/>
        <w:topLinePunct w:val="0"/>
        <w:autoSpaceDE/>
        <w:autoSpaceDN/>
        <w:bidi w:val="0"/>
        <w:spacing w:before="0" w:after="0" w:line="400" w:lineRule="exact"/>
        <w:ind w:left="0" w:leftChars="0" w:firstLine="420" w:firstLineChars="17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按照项目内容提供全过程信息化工程监理，即对项目进行质量、成本、进度、系统安全、相关知识产权的全面控制和监督，负责相关的合同管理和信息管理，负责整个项目全过程的监督协调，以期达到工程质量优良、造价合理、工期适当的总目标。主要包括对软硬件设备采购、</w:t>
      </w:r>
      <w:r>
        <w:rPr>
          <w:rFonts w:hint="eastAsia" w:ascii="宋体" w:hAnsi="宋体" w:eastAsia="宋体" w:cs="宋体"/>
          <w:b w:val="0"/>
          <w:bCs w:val="0"/>
          <w:sz w:val="24"/>
          <w:szCs w:val="24"/>
        </w:rPr>
        <w:t>大屏显示系统</w:t>
      </w:r>
      <w:r>
        <w:rPr>
          <w:rFonts w:hint="eastAsia" w:ascii="宋体" w:hAnsi="宋体" w:eastAsia="宋体" w:cs="宋体"/>
          <w:b w:val="0"/>
          <w:bCs w:val="0"/>
          <w:sz w:val="24"/>
          <w:szCs w:val="24"/>
          <w:lang w:val="en-US" w:eastAsia="zh-CN"/>
        </w:rPr>
        <w:t>等在内的监理工作。</w:t>
      </w:r>
    </w:p>
    <w:p>
      <w:pPr>
        <w:rPr>
          <w:rFonts w:hint="eastAsia"/>
          <w:lang w:val="en-US" w:eastAsia="zh-CN"/>
        </w:rPr>
      </w:pPr>
    </w:p>
    <w:p>
      <w:pPr>
        <w:pStyle w:val="4"/>
        <w:pageBreakBefore w:val="0"/>
        <w:widowControl w:val="0"/>
        <w:numPr>
          <w:ilvl w:val="1"/>
          <w:numId w:val="0"/>
        </w:numPr>
        <w:kinsoku/>
        <w:wordWrap/>
        <w:overflowPunct/>
        <w:topLinePunct w:val="0"/>
        <w:autoSpaceDE/>
        <w:autoSpaceDN/>
        <w:bidi w:val="0"/>
        <w:spacing w:before="0" w:after="0" w:line="400" w:lineRule="exac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监理内容：</w:t>
      </w:r>
    </w:p>
    <w:p>
      <w:pPr>
        <w:pStyle w:val="4"/>
        <w:pageBreakBefore w:val="0"/>
        <w:widowControl w:val="0"/>
        <w:numPr>
          <w:ilvl w:val="1"/>
          <w:numId w:val="0"/>
        </w:numPr>
        <w:kinsoku/>
        <w:wordWrap/>
        <w:overflowPunct/>
        <w:topLinePunct w:val="0"/>
        <w:autoSpaceDE/>
        <w:autoSpaceDN/>
        <w:bidi w:val="0"/>
        <w:spacing w:before="0" w:after="0" w:line="400" w:lineRule="exact"/>
        <w:ind w:left="0" w:leftChars="0" w:firstLine="420" w:firstLineChars="175"/>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大屏显示系统</w:t>
      </w:r>
    </w:p>
    <w:p>
      <w:pPr>
        <w:pStyle w:val="4"/>
        <w:pageBreakBefore w:val="0"/>
        <w:widowControl w:val="0"/>
        <w:numPr>
          <w:ilvl w:val="1"/>
          <w:numId w:val="0"/>
        </w:numPr>
        <w:kinsoku/>
        <w:wordWrap/>
        <w:overflowPunct/>
        <w:topLinePunct w:val="0"/>
        <w:autoSpaceDE/>
        <w:autoSpaceDN/>
        <w:bidi w:val="0"/>
        <w:spacing w:before="0" w:after="0" w:line="400" w:lineRule="exact"/>
        <w:ind w:left="0" w:leftChars="0" w:firstLine="420" w:firstLineChars="17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数字高清视频矩阵、集中控制系统</w:t>
      </w:r>
    </w:p>
    <w:p>
      <w:pPr>
        <w:pStyle w:val="4"/>
        <w:pageBreakBefore w:val="0"/>
        <w:widowControl w:val="0"/>
        <w:numPr>
          <w:ilvl w:val="1"/>
          <w:numId w:val="0"/>
        </w:numPr>
        <w:kinsoku/>
        <w:wordWrap/>
        <w:overflowPunct/>
        <w:topLinePunct w:val="0"/>
        <w:autoSpaceDE/>
        <w:autoSpaceDN/>
        <w:bidi w:val="0"/>
        <w:spacing w:before="0" w:after="0" w:line="400" w:lineRule="exact"/>
        <w:ind w:left="0" w:leftChars="0" w:firstLine="420" w:firstLineChars="175"/>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数字转录系统</w:t>
      </w:r>
    </w:p>
    <w:p>
      <w:pPr>
        <w:pStyle w:val="4"/>
        <w:pageBreakBefore w:val="0"/>
        <w:widowControl w:val="0"/>
        <w:numPr>
          <w:ilvl w:val="1"/>
          <w:numId w:val="0"/>
        </w:numPr>
        <w:kinsoku/>
        <w:wordWrap/>
        <w:overflowPunct/>
        <w:topLinePunct w:val="0"/>
        <w:autoSpaceDE/>
        <w:autoSpaceDN/>
        <w:bidi w:val="0"/>
        <w:spacing w:before="0" w:after="0" w:line="400" w:lineRule="exact"/>
        <w:ind w:left="0" w:leftChars="0" w:firstLine="420" w:firstLineChars="175"/>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数字音频、扩声系统</w:t>
      </w:r>
    </w:p>
    <w:p>
      <w:pPr>
        <w:ind w:firstLine="240" w:firstLineChars="100"/>
        <w:rPr>
          <w:rFonts w:hint="eastAsia" w:ascii="宋体" w:hAnsi="宋体" w:cs="宋体"/>
          <w:b w:val="0"/>
          <w:bCs w:val="0"/>
          <w:sz w:val="24"/>
          <w:szCs w:val="24"/>
          <w:lang w:val="en-US" w:eastAsia="zh-CN"/>
        </w:rPr>
      </w:pPr>
    </w:p>
    <w:p>
      <w:pPr>
        <w:ind w:left="0" w:leftChars="0" w:firstLine="0" w:firstLineChars="0"/>
        <w:rPr>
          <w:rFonts w:hint="eastAsia"/>
        </w:rPr>
      </w:pPr>
      <w:r>
        <w:rPr>
          <w:rFonts w:hint="eastAsia" w:ascii="宋体" w:hAnsi="宋体" w:cs="宋体"/>
          <w:b w:val="0"/>
          <w:bCs w:val="0"/>
          <w:sz w:val="24"/>
          <w:szCs w:val="24"/>
          <w:lang w:val="en-US" w:eastAsia="zh-CN"/>
        </w:rPr>
        <w:t>施工全过程直至项目验收合格</w:t>
      </w:r>
      <w:r>
        <w:rPr>
          <w:rFonts w:hint="eastAsia"/>
          <w:lang w:val="en-US" w:eastAsia="zh-CN"/>
        </w:rPr>
        <w:t>。</w:t>
      </w:r>
    </w:p>
    <w:p>
      <w:pPr>
        <w:pageBreakBefore w:val="0"/>
        <w:widowControl w:val="0"/>
        <w:numPr>
          <w:ilvl w:val="0"/>
          <w:numId w:val="0"/>
        </w:numPr>
        <w:kinsoku/>
        <w:wordWrap/>
        <w:overflowPunct/>
        <w:topLinePunct w:val="0"/>
        <w:autoSpaceDE/>
        <w:autoSpaceDN/>
        <w:bidi w:val="0"/>
        <w:spacing w:line="400" w:lineRule="exact"/>
        <w:ind w:leftChars="200"/>
        <w:jc w:val="center"/>
        <w:rPr>
          <w:rFonts w:ascii="宋体" w:hAnsi="宋体" w:cs="宋体"/>
          <w:b/>
          <w:color w:val="auto"/>
          <w:sz w:val="36"/>
        </w:rPr>
      </w:pPr>
      <w:r>
        <w:rPr>
          <w:rFonts w:hint="eastAsia" w:ascii="宋体" w:hAnsi="宋体" w:cs="宋体"/>
          <w:color w:val="auto"/>
        </w:rPr>
        <w:br w:type="page"/>
      </w:r>
      <w:bookmarkEnd w:id="35"/>
      <w:bookmarkStart w:id="36" w:name="_Toc10914"/>
      <w:r>
        <w:rPr>
          <w:rStyle w:val="42"/>
          <w:rFonts w:hint="eastAsia" w:ascii="宋体" w:hAnsi="宋体" w:cs="宋体"/>
          <w:color w:val="auto"/>
        </w:rPr>
        <w:t>第四部分  评审方法（综合评分法）</w:t>
      </w:r>
      <w:bookmarkEnd w:id="36"/>
    </w:p>
    <w:p>
      <w:pPr>
        <w:spacing w:line="360" w:lineRule="auto"/>
        <w:ind w:left="-9" w:right="-86" w:rightChars="-41" w:firstLine="429"/>
        <w:rPr>
          <w:rFonts w:ascii="宋体" w:hAnsi="宋体" w:cs="宋体"/>
          <w:color w:val="auto"/>
          <w:kern w:val="0"/>
          <w:sz w:val="24"/>
        </w:rPr>
      </w:pPr>
      <w:r>
        <w:rPr>
          <w:rFonts w:hint="eastAsia" w:ascii="宋体" w:hAnsi="宋体" w:cs="宋体"/>
          <w:color w:val="auto"/>
          <w:sz w:val="24"/>
        </w:rPr>
        <w:t>本项目评审方法见招标文件第二部分“供应商须知前附表”中第23项的规定。</w:t>
      </w:r>
      <w:r>
        <w:rPr>
          <w:rFonts w:hint="eastAsia" w:ascii="宋体" w:hAnsi="宋体" w:cs="宋体"/>
          <w:color w:val="auto"/>
          <w:kern w:val="0"/>
          <w:sz w:val="24"/>
        </w:rPr>
        <w:t>如果采用综合评分法，评分细则如下：</w:t>
      </w:r>
    </w:p>
    <w:tbl>
      <w:tblPr>
        <w:tblStyle w:val="34"/>
        <w:tblpPr w:leftFromText="180" w:rightFromText="180" w:vertAnchor="text" w:horzAnchor="margin" w:tblpXSpec="center" w:tblpY="152"/>
        <w:tblW w:w="855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84"/>
        <w:gridCol w:w="1208"/>
        <w:gridCol w:w="1629"/>
        <w:gridCol w:w="4250"/>
        <w:gridCol w:w="510"/>
        <w:gridCol w:w="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1" w:hRule="atLeast"/>
        </w:trPr>
        <w:tc>
          <w:tcPr>
            <w:tcW w:w="1592" w:type="dxa"/>
            <w:gridSpan w:val="2"/>
            <w:vMerge w:val="restart"/>
            <w:vAlign w:val="center"/>
          </w:tcPr>
          <w:p>
            <w:pPr>
              <w:spacing w:line="240" w:lineRule="auto"/>
              <w:jc w:val="center"/>
              <w:rPr>
                <w:rFonts w:ascii="宋体" w:hAnsi="宋体" w:cs="宋体"/>
                <w:b/>
                <w:color w:val="auto"/>
                <w:sz w:val="21"/>
                <w:szCs w:val="21"/>
              </w:rPr>
            </w:pPr>
            <w:r>
              <w:rPr>
                <w:rFonts w:hint="eastAsia" w:ascii="宋体" w:hAnsi="宋体" w:cs="宋体"/>
                <w:b/>
                <w:color w:val="auto"/>
                <w:sz w:val="21"/>
                <w:szCs w:val="21"/>
              </w:rPr>
              <w:t>评分因素</w:t>
            </w:r>
          </w:p>
        </w:tc>
        <w:tc>
          <w:tcPr>
            <w:tcW w:w="1629" w:type="dxa"/>
            <w:vMerge w:val="restart"/>
            <w:vAlign w:val="center"/>
          </w:tcPr>
          <w:p>
            <w:pPr>
              <w:spacing w:line="240" w:lineRule="auto"/>
              <w:jc w:val="center"/>
              <w:rPr>
                <w:rFonts w:ascii="宋体" w:hAnsi="宋体" w:cs="宋体"/>
                <w:b/>
                <w:color w:val="auto"/>
                <w:sz w:val="21"/>
                <w:szCs w:val="21"/>
              </w:rPr>
            </w:pPr>
            <w:r>
              <w:rPr>
                <w:rFonts w:hint="eastAsia" w:ascii="宋体" w:hAnsi="宋体" w:cs="宋体"/>
                <w:b/>
                <w:color w:val="auto"/>
                <w:sz w:val="21"/>
                <w:szCs w:val="21"/>
              </w:rPr>
              <w:t>评分点</w:t>
            </w:r>
          </w:p>
        </w:tc>
        <w:tc>
          <w:tcPr>
            <w:tcW w:w="4250" w:type="dxa"/>
            <w:vMerge w:val="restart"/>
            <w:vAlign w:val="center"/>
          </w:tcPr>
          <w:p>
            <w:pPr>
              <w:spacing w:line="240" w:lineRule="auto"/>
              <w:jc w:val="center"/>
              <w:rPr>
                <w:rFonts w:ascii="宋体" w:hAnsi="宋体" w:cs="宋体"/>
                <w:b/>
                <w:color w:val="auto"/>
                <w:sz w:val="21"/>
                <w:szCs w:val="21"/>
              </w:rPr>
            </w:pPr>
            <w:r>
              <w:rPr>
                <w:rFonts w:hint="eastAsia" w:ascii="宋体" w:hAnsi="宋体" w:cs="宋体"/>
                <w:b/>
                <w:color w:val="auto"/>
                <w:sz w:val="21"/>
                <w:szCs w:val="21"/>
              </w:rPr>
              <w:t>评分标准</w:t>
            </w:r>
          </w:p>
        </w:tc>
        <w:tc>
          <w:tcPr>
            <w:tcW w:w="1080" w:type="dxa"/>
            <w:gridSpan w:val="2"/>
            <w:vAlign w:val="center"/>
          </w:tcPr>
          <w:p>
            <w:pPr>
              <w:spacing w:line="240" w:lineRule="auto"/>
              <w:jc w:val="center"/>
              <w:rPr>
                <w:rFonts w:ascii="宋体" w:hAnsi="宋体" w:cs="宋体"/>
                <w:b/>
                <w:color w:val="auto"/>
                <w:sz w:val="21"/>
                <w:szCs w:val="21"/>
              </w:rPr>
            </w:pPr>
            <w:r>
              <w:rPr>
                <w:rFonts w:hint="eastAsia" w:ascii="宋体" w:hAnsi="宋体" w:cs="宋体"/>
                <w:b/>
                <w:color w:val="auto"/>
                <w:sz w:val="21"/>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8" w:hRule="atLeast"/>
        </w:trPr>
        <w:tc>
          <w:tcPr>
            <w:tcW w:w="1592" w:type="dxa"/>
            <w:gridSpan w:val="2"/>
            <w:vMerge w:val="continue"/>
          </w:tcPr>
          <w:p>
            <w:pPr>
              <w:spacing w:line="240" w:lineRule="auto"/>
              <w:jc w:val="center"/>
              <w:rPr>
                <w:rFonts w:ascii="宋体" w:hAnsi="宋体" w:cs="宋体"/>
                <w:b/>
                <w:color w:val="auto"/>
                <w:sz w:val="21"/>
                <w:szCs w:val="21"/>
              </w:rPr>
            </w:pPr>
          </w:p>
        </w:tc>
        <w:tc>
          <w:tcPr>
            <w:tcW w:w="1629" w:type="dxa"/>
            <w:vMerge w:val="continue"/>
            <w:vAlign w:val="center"/>
          </w:tcPr>
          <w:p>
            <w:pPr>
              <w:spacing w:line="240" w:lineRule="auto"/>
              <w:jc w:val="center"/>
              <w:rPr>
                <w:rFonts w:ascii="宋体" w:hAnsi="宋体" w:cs="宋体"/>
                <w:b/>
                <w:color w:val="auto"/>
                <w:sz w:val="21"/>
                <w:szCs w:val="21"/>
              </w:rPr>
            </w:pPr>
          </w:p>
        </w:tc>
        <w:tc>
          <w:tcPr>
            <w:tcW w:w="4250" w:type="dxa"/>
            <w:vMerge w:val="continue"/>
            <w:vAlign w:val="center"/>
          </w:tcPr>
          <w:p>
            <w:pPr>
              <w:spacing w:line="240" w:lineRule="auto"/>
              <w:jc w:val="center"/>
              <w:rPr>
                <w:rFonts w:ascii="宋体" w:hAnsi="宋体" w:cs="宋体"/>
                <w:b/>
                <w:color w:val="auto"/>
                <w:sz w:val="21"/>
                <w:szCs w:val="21"/>
              </w:rPr>
            </w:pPr>
          </w:p>
        </w:tc>
        <w:tc>
          <w:tcPr>
            <w:tcW w:w="510" w:type="dxa"/>
          </w:tcPr>
          <w:p>
            <w:pPr>
              <w:spacing w:line="240" w:lineRule="auto"/>
              <w:jc w:val="center"/>
              <w:rPr>
                <w:rFonts w:ascii="宋体" w:hAnsi="宋体" w:cs="宋体"/>
                <w:b/>
                <w:color w:val="auto"/>
                <w:sz w:val="21"/>
                <w:szCs w:val="21"/>
              </w:rPr>
            </w:pPr>
            <w:r>
              <w:rPr>
                <w:rFonts w:hint="eastAsia" w:ascii="宋体" w:hAnsi="宋体" w:cs="宋体"/>
                <w:b/>
                <w:color w:val="auto"/>
                <w:sz w:val="21"/>
                <w:szCs w:val="21"/>
              </w:rPr>
              <w:t>是</w:t>
            </w:r>
          </w:p>
        </w:tc>
        <w:tc>
          <w:tcPr>
            <w:tcW w:w="570" w:type="dxa"/>
          </w:tcPr>
          <w:p>
            <w:pPr>
              <w:spacing w:line="240" w:lineRule="auto"/>
              <w:jc w:val="center"/>
              <w:rPr>
                <w:rFonts w:ascii="宋体" w:hAnsi="宋体" w:cs="宋体"/>
                <w:b/>
                <w:color w:val="auto"/>
                <w:sz w:val="21"/>
                <w:szCs w:val="21"/>
              </w:rPr>
            </w:pPr>
            <w:r>
              <w:rPr>
                <w:rFonts w:hint="eastAsia" w:ascii="宋体" w:hAnsi="宋体" w:cs="宋体"/>
                <w:b/>
                <w:color w:val="auto"/>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384" w:type="dxa"/>
            <w:vMerge w:val="restart"/>
            <w:vAlign w:val="center"/>
          </w:tcPr>
          <w:p>
            <w:pPr>
              <w:spacing w:line="240" w:lineRule="auto"/>
              <w:jc w:val="center"/>
              <w:rPr>
                <w:rFonts w:ascii="宋体" w:hAnsi="宋体" w:cs="宋体"/>
                <w:color w:val="auto"/>
                <w:sz w:val="21"/>
                <w:szCs w:val="21"/>
              </w:rPr>
            </w:pPr>
            <w:r>
              <w:rPr>
                <w:rFonts w:hint="eastAsia" w:ascii="宋体" w:hAnsi="宋体" w:cs="宋体"/>
                <w:color w:val="auto"/>
                <w:sz w:val="21"/>
                <w:szCs w:val="21"/>
              </w:rPr>
              <w:t>初步评审</w:t>
            </w:r>
          </w:p>
        </w:tc>
        <w:tc>
          <w:tcPr>
            <w:tcW w:w="1208" w:type="dxa"/>
            <w:vMerge w:val="restart"/>
            <w:vAlign w:val="center"/>
          </w:tcPr>
          <w:p>
            <w:pPr>
              <w:spacing w:line="240" w:lineRule="auto"/>
              <w:ind w:firstLine="105" w:firstLineChars="50"/>
              <w:rPr>
                <w:rFonts w:ascii="宋体" w:hAnsi="宋体" w:cs="宋体"/>
                <w:b/>
                <w:color w:val="auto"/>
                <w:sz w:val="21"/>
                <w:szCs w:val="21"/>
              </w:rPr>
            </w:pPr>
            <w:r>
              <w:rPr>
                <w:rFonts w:hint="eastAsia" w:ascii="宋体" w:hAnsi="宋体" w:cs="宋体"/>
                <w:color w:val="auto"/>
                <w:sz w:val="21"/>
                <w:szCs w:val="21"/>
              </w:rPr>
              <w:t>资格检查</w:t>
            </w:r>
          </w:p>
        </w:tc>
        <w:tc>
          <w:tcPr>
            <w:tcW w:w="1629" w:type="dxa"/>
            <w:vAlign w:val="center"/>
          </w:tcPr>
          <w:p>
            <w:pPr>
              <w:spacing w:line="240" w:lineRule="auto"/>
              <w:jc w:val="center"/>
              <w:rPr>
                <w:rFonts w:ascii="宋体" w:hAnsi="宋体" w:cs="宋体"/>
                <w:b/>
                <w:color w:val="auto"/>
                <w:sz w:val="21"/>
                <w:szCs w:val="21"/>
              </w:rPr>
            </w:pPr>
            <w:r>
              <w:rPr>
                <w:rFonts w:hint="eastAsia" w:ascii="宋体" w:hAnsi="宋体" w:cs="宋体"/>
                <w:color w:val="auto"/>
                <w:sz w:val="21"/>
                <w:szCs w:val="21"/>
              </w:rPr>
              <w:t>营业执照</w:t>
            </w:r>
          </w:p>
        </w:tc>
        <w:tc>
          <w:tcPr>
            <w:tcW w:w="4250" w:type="dxa"/>
            <w:vAlign w:val="center"/>
          </w:tcPr>
          <w:p>
            <w:pPr>
              <w:spacing w:line="240" w:lineRule="auto"/>
              <w:rPr>
                <w:rFonts w:hint="eastAsia" w:ascii="宋体" w:hAnsi="宋体" w:cs="宋体"/>
                <w:bCs/>
                <w:color w:val="auto"/>
                <w:sz w:val="22"/>
                <w:szCs w:val="22"/>
                <w:lang w:val="zh-CN"/>
              </w:rPr>
            </w:pPr>
            <w:r>
              <w:rPr>
                <w:rFonts w:hint="eastAsia" w:ascii="宋体" w:hAnsi="宋体" w:cs="宋体"/>
                <w:bCs/>
                <w:color w:val="auto"/>
                <w:sz w:val="22"/>
                <w:szCs w:val="22"/>
                <w:lang w:val="zh-CN"/>
              </w:rPr>
              <w:t>供应商是否具备有效的营业执照</w:t>
            </w:r>
          </w:p>
        </w:tc>
        <w:tc>
          <w:tcPr>
            <w:tcW w:w="510" w:type="dxa"/>
          </w:tcPr>
          <w:p>
            <w:pPr>
              <w:spacing w:line="240" w:lineRule="auto"/>
              <w:jc w:val="center"/>
              <w:rPr>
                <w:rFonts w:ascii="宋体" w:hAnsi="宋体" w:cs="宋体"/>
                <w:color w:val="auto"/>
                <w:sz w:val="21"/>
                <w:szCs w:val="21"/>
              </w:rPr>
            </w:pPr>
          </w:p>
        </w:tc>
        <w:tc>
          <w:tcPr>
            <w:tcW w:w="570" w:type="dxa"/>
            <w:vAlign w:val="center"/>
          </w:tcPr>
          <w:p>
            <w:pPr>
              <w:spacing w:line="240" w:lineRule="auto"/>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384" w:type="dxa"/>
            <w:vMerge w:val="continue"/>
            <w:vAlign w:val="center"/>
          </w:tcPr>
          <w:p>
            <w:pPr>
              <w:spacing w:line="240" w:lineRule="auto"/>
              <w:jc w:val="center"/>
              <w:rPr>
                <w:rFonts w:hint="eastAsia" w:ascii="宋体" w:hAnsi="宋体" w:cs="宋体"/>
                <w:color w:val="auto"/>
                <w:sz w:val="21"/>
                <w:szCs w:val="21"/>
              </w:rPr>
            </w:pPr>
          </w:p>
        </w:tc>
        <w:tc>
          <w:tcPr>
            <w:tcW w:w="1208" w:type="dxa"/>
            <w:vMerge w:val="continue"/>
            <w:vAlign w:val="center"/>
          </w:tcPr>
          <w:p>
            <w:pPr>
              <w:spacing w:line="240" w:lineRule="auto"/>
              <w:ind w:firstLine="105" w:firstLineChars="50"/>
              <w:rPr>
                <w:rFonts w:hint="eastAsia" w:ascii="宋体" w:hAnsi="宋体" w:cs="宋体"/>
                <w:color w:val="auto"/>
                <w:sz w:val="21"/>
                <w:szCs w:val="21"/>
              </w:rPr>
            </w:pPr>
          </w:p>
        </w:tc>
        <w:tc>
          <w:tcPr>
            <w:tcW w:w="1629" w:type="dxa"/>
            <w:vAlign w:val="center"/>
          </w:tcPr>
          <w:p>
            <w:pPr>
              <w:spacing w:line="240" w:lineRule="auto"/>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资质证书</w:t>
            </w:r>
          </w:p>
        </w:tc>
        <w:tc>
          <w:tcPr>
            <w:tcW w:w="4250" w:type="dxa"/>
            <w:vAlign w:val="center"/>
          </w:tcPr>
          <w:p>
            <w:pPr>
              <w:spacing w:line="240" w:lineRule="auto"/>
              <w:rPr>
                <w:rFonts w:hint="eastAsia" w:ascii="宋体" w:hAnsi="宋体" w:cs="宋体"/>
                <w:bCs/>
                <w:color w:val="auto"/>
                <w:sz w:val="22"/>
                <w:szCs w:val="22"/>
                <w:lang w:val="zh-CN"/>
              </w:rPr>
            </w:pPr>
            <w:r>
              <w:rPr>
                <w:rFonts w:hint="eastAsia" w:ascii="宋体" w:hAnsi="宋体" w:cs="宋体"/>
                <w:bCs/>
                <w:color w:val="auto"/>
                <w:sz w:val="22"/>
                <w:szCs w:val="22"/>
                <w:lang w:val="zh-CN"/>
              </w:rPr>
              <w:t>通信专业工程监理</w:t>
            </w:r>
            <w:r>
              <w:rPr>
                <w:rFonts w:hint="eastAsia" w:ascii="宋体" w:hAnsi="宋体" w:cs="宋体"/>
                <w:bCs/>
                <w:color w:val="auto"/>
                <w:sz w:val="22"/>
                <w:szCs w:val="22"/>
                <w:lang w:val="zh-CN" w:eastAsia="zh-CN"/>
              </w:rPr>
              <w:t>乙级及以上</w:t>
            </w:r>
            <w:r>
              <w:rPr>
                <w:rFonts w:hint="eastAsia" w:ascii="宋体" w:hAnsi="宋体" w:cs="宋体"/>
                <w:bCs/>
                <w:color w:val="auto"/>
                <w:sz w:val="22"/>
                <w:szCs w:val="22"/>
                <w:lang w:val="zh-CN"/>
              </w:rPr>
              <w:t>资质或工程监理综合资质</w:t>
            </w:r>
          </w:p>
        </w:tc>
        <w:tc>
          <w:tcPr>
            <w:tcW w:w="510" w:type="dxa"/>
          </w:tcPr>
          <w:p>
            <w:pPr>
              <w:spacing w:line="240" w:lineRule="auto"/>
              <w:jc w:val="center"/>
              <w:rPr>
                <w:rFonts w:ascii="宋体" w:hAnsi="宋体" w:cs="宋体"/>
                <w:color w:val="auto"/>
                <w:sz w:val="21"/>
                <w:szCs w:val="21"/>
              </w:rPr>
            </w:pPr>
          </w:p>
        </w:tc>
        <w:tc>
          <w:tcPr>
            <w:tcW w:w="570" w:type="dxa"/>
            <w:vAlign w:val="center"/>
          </w:tcPr>
          <w:p>
            <w:pPr>
              <w:spacing w:line="240" w:lineRule="auto"/>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384" w:type="dxa"/>
            <w:vMerge w:val="continue"/>
          </w:tcPr>
          <w:p>
            <w:pPr>
              <w:spacing w:line="240" w:lineRule="auto"/>
              <w:jc w:val="center"/>
              <w:rPr>
                <w:rFonts w:ascii="宋体" w:hAnsi="宋体" w:cs="宋体"/>
                <w:color w:val="auto"/>
                <w:sz w:val="21"/>
                <w:szCs w:val="21"/>
              </w:rPr>
            </w:pPr>
          </w:p>
        </w:tc>
        <w:tc>
          <w:tcPr>
            <w:tcW w:w="1208" w:type="dxa"/>
            <w:vMerge w:val="continue"/>
            <w:vAlign w:val="center"/>
          </w:tcPr>
          <w:p>
            <w:pPr>
              <w:spacing w:line="240" w:lineRule="auto"/>
              <w:jc w:val="center"/>
              <w:rPr>
                <w:rFonts w:ascii="宋体" w:hAnsi="宋体" w:cs="宋体"/>
                <w:color w:val="auto"/>
                <w:sz w:val="21"/>
                <w:szCs w:val="21"/>
              </w:rPr>
            </w:pPr>
          </w:p>
        </w:tc>
        <w:tc>
          <w:tcPr>
            <w:tcW w:w="1629" w:type="dxa"/>
            <w:vAlign w:val="center"/>
          </w:tcPr>
          <w:p>
            <w:pPr>
              <w:pStyle w:val="168"/>
              <w:spacing w:line="240" w:lineRule="auto"/>
              <w:jc w:val="center"/>
              <w:rPr>
                <w:rFonts w:ascii="宋体" w:hAnsi="宋体" w:eastAsia="宋体" w:cs="宋体"/>
                <w:color w:val="auto"/>
                <w:sz w:val="21"/>
                <w:szCs w:val="21"/>
              </w:rPr>
            </w:pPr>
            <w:r>
              <w:rPr>
                <w:rFonts w:hint="eastAsia" w:ascii="宋体" w:hAnsi="宋体" w:eastAsia="宋体" w:cs="宋体"/>
                <w:color w:val="auto"/>
                <w:kern w:val="2"/>
                <w:sz w:val="21"/>
                <w:szCs w:val="21"/>
              </w:rPr>
              <w:t>法定代表人或授权委托书</w:t>
            </w:r>
          </w:p>
        </w:tc>
        <w:tc>
          <w:tcPr>
            <w:tcW w:w="4250" w:type="dxa"/>
            <w:vAlign w:val="center"/>
          </w:tcPr>
          <w:p>
            <w:pPr>
              <w:spacing w:line="240" w:lineRule="auto"/>
              <w:rPr>
                <w:rFonts w:hint="eastAsia" w:ascii="宋体" w:hAnsi="宋体" w:cs="宋体"/>
                <w:bCs/>
                <w:color w:val="auto"/>
                <w:sz w:val="22"/>
                <w:szCs w:val="22"/>
                <w:lang w:val="zh-CN"/>
              </w:rPr>
            </w:pPr>
            <w:r>
              <w:rPr>
                <w:rFonts w:hint="eastAsia" w:ascii="宋体" w:hAnsi="宋体" w:cs="宋体"/>
                <w:bCs/>
                <w:color w:val="auto"/>
                <w:sz w:val="22"/>
                <w:szCs w:val="22"/>
                <w:lang w:val="zh-CN"/>
              </w:rPr>
              <w:t>是否提供法定代表人身份证明书和法定代表人身份证或者法定代表人授权委托书及被授权人身份证明</w:t>
            </w:r>
          </w:p>
        </w:tc>
        <w:tc>
          <w:tcPr>
            <w:tcW w:w="510" w:type="dxa"/>
          </w:tcPr>
          <w:p>
            <w:pPr>
              <w:spacing w:line="240" w:lineRule="auto"/>
              <w:jc w:val="center"/>
              <w:rPr>
                <w:rFonts w:ascii="宋体" w:hAnsi="宋体" w:cs="宋体"/>
                <w:color w:val="auto"/>
                <w:sz w:val="21"/>
                <w:szCs w:val="21"/>
              </w:rPr>
            </w:pPr>
          </w:p>
        </w:tc>
        <w:tc>
          <w:tcPr>
            <w:tcW w:w="570" w:type="dxa"/>
            <w:vAlign w:val="center"/>
          </w:tcPr>
          <w:p>
            <w:pPr>
              <w:spacing w:line="240" w:lineRule="auto"/>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384" w:type="dxa"/>
            <w:vMerge w:val="continue"/>
          </w:tcPr>
          <w:p>
            <w:pPr>
              <w:spacing w:line="240" w:lineRule="auto"/>
              <w:rPr>
                <w:rFonts w:ascii="宋体" w:hAnsi="宋体" w:cs="宋体"/>
                <w:color w:val="auto"/>
                <w:sz w:val="21"/>
                <w:szCs w:val="21"/>
              </w:rPr>
            </w:pPr>
          </w:p>
        </w:tc>
        <w:tc>
          <w:tcPr>
            <w:tcW w:w="1208" w:type="dxa"/>
            <w:vMerge w:val="continue"/>
            <w:vAlign w:val="center"/>
          </w:tcPr>
          <w:p>
            <w:pPr>
              <w:spacing w:line="240" w:lineRule="auto"/>
              <w:rPr>
                <w:rFonts w:ascii="宋体" w:hAnsi="宋体" w:cs="宋体"/>
                <w:color w:val="auto"/>
                <w:sz w:val="21"/>
                <w:szCs w:val="21"/>
              </w:rPr>
            </w:pPr>
          </w:p>
        </w:tc>
        <w:tc>
          <w:tcPr>
            <w:tcW w:w="1629" w:type="dxa"/>
            <w:vAlign w:val="center"/>
          </w:tcPr>
          <w:p>
            <w:pPr>
              <w:spacing w:line="240" w:lineRule="auto"/>
              <w:jc w:val="center"/>
              <w:rPr>
                <w:rFonts w:ascii="宋体" w:hAnsi="宋体" w:cs="宋体"/>
                <w:color w:val="auto"/>
                <w:sz w:val="21"/>
                <w:szCs w:val="21"/>
              </w:rPr>
            </w:pPr>
            <w:r>
              <w:rPr>
                <w:rFonts w:hint="eastAsia" w:ascii="宋体" w:hAnsi="宋体" w:cs="宋体"/>
                <w:color w:val="auto"/>
                <w:sz w:val="21"/>
                <w:szCs w:val="21"/>
              </w:rPr>
              <w:t>投标保证金交纳情况</w:t>
            </w:r>
          </w:p>
        </w:tc>
        <w:tc>
          <w:tcPr>
            <w:tcW w:w="4250" w:type="dxa"/>
            <w:vAlign w:val="center"/>
          </w:tcPr>
          <w:p>
            <w:pPr>
              <w:spacing w:line="240" w:lineRule="auto"/>
              <w:rPr>
                <w:rFonts w:hint="eastAsia" w:ascii="宋体" w:hAnsi="宋体" w:cs="宋体"/>
                <w:bCs/>
                <w:color w:val="auto"/>
                <w:sz w:val="22"/>
                <w:szCs w:val="22"/>
                <w:lang w:val="zh-CN"/>
              </w:rPr>
            </w:pPr>
            <w:r>
              <w:rPr>
                <w:rFonts w:hint="eastAsia" w:ascii="宋体" w:hAnsi="宋体" w:cs="宋体"/>
                <w:bCs/>
                <w:color w:val="auto"/>
                <w:sz w:val="22"/>
                <w:szCs w:val="22"/>
                <w:lang w:val="zh-CN"/>
              </w:rPr>
              <w:t>供应商是否交纳投标保证金</w:t>
            </w:r>
          </w:p>
        </w:tc>
        <w:tc>
          <w:tcPr>
            <w:tcW w:w="510" w:type="dxa"/>
          </w:tcPr>
          <w:p>
            <w:pPr>
              <w:spacing w:line="240" w:lineRule="auto"/>
              <w:jc w:val="center"/>
              <w:rPr>
                <w:rFonts w:ascii="宋体" w:hAnsi="宋体" w:cs="宋体"/>
                <w:color w:val="auto"/>
                <w:sz w:val="21"/>
                <w:szCs w:val="21"/>
              </w:rPr>
            </w:pPr>
          </w:p>
        </w:tc>
        <w:tc>
          <w:tcPr>
            <w:tcW w:w="570" w:type="dxa"/>
            <w:vAlign w:val="center"/>
          </w:tcPr>
          <w:p>
            <w:pPr>
              <w:spacing w:line="240" w:lineRule="auto"/>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384" w:type="dxa"/>
            <w:vMerge w:val="continue"/>
          </w:tcPr>
          <w:p>
            <w:pPr>
              <w:spacing w:line="240" w:lineRule="auto"/>
              <w:jc w:val="center"/>
              <w:rPr>
                <w:rFonts w:ascii="宋体" w:hAnsi="宋体" w:cs="宋体"/>
                <w:color w:val="auto"/>
                <w:sz w:val="21"/>
                <w:szCs w:val="21"/>
              </w:rPr>
            </w:pPr>
          </w:p>
        </w:tc>
        <w:tc>
          <w:tcPr>
            <w:tcW w:w="1208" w:type="dxa"/>
            <w:vMerge w:val="restart"/>
            <w:vAlign w:val="center"/>
          </w:tcPr>
          <w:p>
            <w:pPr>
              <w:spacing w:line="240" w:lineRule="auto"/>
              <w:jc w:val="center"/>
              <w:rPr>
                <w:rFonts w:ascii="宋体" w:hAnsi="宋体" w:cs="宋体"/>
                <w:color w:val="auto"/>
                <w:sz w:val="21"/>
                <w:szCs w:val="21"/>
              </w:rPr>
            </w:pPr>
            <w:r>
              <w:rPr>
                <w:rFonts w:hint="eastAsia" w:ascii="宋体" w:hAnsi="宋体" w:cs="宋体"/>
                <w:color w:val="auto"/>
                <w:sz w:val="21"/>
                <w:szCs w:val="21"/>
              </w:rPr>
              <w:t>符合性</w:t>
            </w:r>
          </w:p>
          <w:p>
            <w:pPr>
              <w:spacing w:line="240" w:lineRule="auto"/>
              <w:jc w:val="center"/>
              <w:rPr>
                <w:rFonts w:ascii="宋体" w:hAnsi="宋体" w:cs="宋体"/>
                <w:color w:val="auto"/>
                <w:sz w:val="21"/>
                <w:szCs w:val="21"/>
              </w:rPr>
            </w:pPr>
            <w:r>
              <w:rPr>
                <w:rFonts w:hint="eastAsia" w:ascii="宋体" w:hAnsi="宋体" w:cs="宋体"/>
                <w:color w:val="auto"/>
                <w:sz w:val="21"/>
                <w:szCs w:val="21"/>
              </w:rPr>
              <w:t>检查</w:t>
            </w:r>
          </w:p>
        </w:tc>
        <w:tc>
          <w:tcPr>
            <w:tcW w:w="1629" w:type="dxa"/>
            <w:vAlign w:val="center"/>
          </w:tcPr>
          <w:p>
            <w:pPr>
              <w:pStyle w:val="168"/>
              <w:spacing w:line="240" w:lineRule="auto"/>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供应商名称</w:t>
            </w:r>
          </w:p>
        </w:tc>
        <w:tc>
          <w:tcPr>
            <w:tcW w:w="4250" w:type="dxa"/>
            <w:vAlign w:val="center"/>
          </w:tcPr>
          <w:p>
            <w:pPr>
              <w:spacing w:line="240" w:lineRule="auto"/>
              <w:rPr>
                <w:rFonts w:hint="eastAsia" w:ascii="宋体" w:hAnsi="宋体" w:cs="宋体"/>
                <w:bCs/>
                <w:color w:val="auto"/>
                <w:sz w:val="22"/>
                <w:szCs w:val="22"/>
                <w:lang w:val="zh-CN"/>
              </w:rPr>
            </w:pPr>
            <w:r>
              <w:rPr>
                <w:rFonts w:hint="eastAsia" w:ascii="宋体" w:hAnsi="宋体" w:cs="宋体"/>
                <w:bCs/>
                <w:color w:val="auto"/>
                <w:sz w:val="22"/>
                <w:szCs w:val="22"/>
                <w:lang w:val="zh-CN"/>
              </w:rPr>
              <w:t>供应商名称是否与营业执照、资质证书中的一致</w:t>
            </w:r>
          </w:p>
        </w:tc>
        <w:tc>
          <w:tcPr>
            <w:tcW w:w="510" w:type="dxa"/>
          </w:tcPr>
          <w:p>
            <w:pPr>
              <w:spacing w:line="240" w:lineRule="auto"/>
              <w:jc w:val="center"/>
              <w:rPr>
                <w:rFonts w:ascii="宋体" w:hAnsi="宋体" w:cs="宋体"/>
                <w:color w:val="auto"/>
                <w:sz w:val="21"/>
                <w:szCs w:val="21"/>
              </w:rPr>
            </w:pPr>
          </w:p>
        </w:tc>
        <w:tc>
          <w:tcPr>
            <w:tcW w:w="570" w:type="dxa"/>
            <w:vAlign w:val="center"/>
          </w:tcPr>
          <w:p>
            <w:pPr>
              <w:spacing w:line="240" w:lineRule="auto"/>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384" w:type="dxa"/>
            <w:vMerge w:val="continue"/>
          </w:tcPr>
          <w:p>
            <w:pPr>
              <w:spacing w:line="240" w:lineRule="auto"/>
              <w:rPr>
                <w:rFonts w:ascii="宋体" w:hAnsi="宋体" w:cs="宋体"/>
                <w:color w:val="auto"/>
                <w:sz w:val="21"/>
                <w:szCs w:val="21"/>
              </w:rPr>
            </w:pPr>
          </w:p>
        </w:tc>
        <w:tc>
          <w:tcPr>
            <w:tcW w:w="1208" w:type="dxa"/>
            <w:vMerge w:val="continue"/>
            <w:vAlign w:val="center"/>
          </w:tcPr>
          <w:p>
            <w:pPr>
              <w:spacing w:line="240" w:lineRule="auto"/>
              <w:rPr>
                <w:rFonts w:ascii="宋体" w:hAnsi="宋体" w:cs="宋体"/>
                <w:color w:val="auto"/>
                <w:sz w:val="21"/>
                <w:szCs w:val="21"/>
              </w:rPr>
            </w:pPr>
          </w:p>
        </w:tc>
        <w:tc>
          <w:tcPr>
            <w:tcW w:w="1629" w:type="dxa"/>
            <w:vAlign w:val="center"/>
          </w:tcPr>
          <w:p>
            <w:pPr>
              <w:pStyle w:val="168"/>
              <w:spacing w:line="240" w:lineRule="auto"/>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资格证明文件</w:t>
            </w:r>
          </w:p>
        </w:tc>
        <w:tc>
          <w:tcPr>
            <w:tcW w:w="4250" w:type="dxa"/>
            <w:vAlign w:val="center"/>
          </w:tcPr>
          <w:p>
            <w:pPr>
              <w:spacing w:line="240" w:lineRule="auto"/>
              <w:rPr>
                <w:rFonts w:hint="eastAsia" w:ascii="宋体" w:hAnsi="宋体" w:cs="宋体"/>
                <w:bCs/>
                <w:color w:val="auto"/>
                <w:sz w:val="22"/>
                <w:szCs w:val="22"/>
                <w:lang w:val="zh-CN"/>
              </w:rPr>
            </w:pPr>
            <w:r>
              <w:rPr>
                <w:rFonts w:hint="eastAsia" w:ascii="宋体" w:hAnsi="宋体" w:cs="宋体"/>
                <w:bCs/>
                <w:color w:val="auto"/>
                <w:sz w:val="22"/>
                <w:szCs w:val="22"/>
                <w:lang w:val="zh-CN"/>
              </w:rPr>
              <w:t>供应商资格证明文件是否满足招标文件要求</w:t>
            </w:r>
          </w:p>
        </w:tc>
        <w:tc>
          <w:tcPr>
            <w:tcW w:w="510" w:type="dxa"/>
          </w:tcPr>
          <w:p>
            <w:pPr>
              <w:spacing w:line="240" w:lineRule="auto"/>
              <w:jc w:val="center"/>
              <w:rPr>
                <w:rFonts w:ascii="宋体" w:hAnsi="宋体" w:cs="宋体"/>
                <w:color w:val="auto"/>
                <w:sz w:val="21"/>
                <w:szCs w:val="21"/>
              </w:rPr>
            </w:pPr>
          </w:p>
        </w:tc>
        <w:tc>
          <w:tcPr>
            <w:tcW w:w="570" w:type="dxa"/>
            <w:vAlign w:val="center"/>
          </w:tcPr>
          <w:p>
            <w:pPr>
              <w:spacing w:line="240" w:lineRule="auto"/>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384" w:type="dxa"/>
            <w:vMerge w:val="continue"/>
          </w:tcPr>
          <w:p>
            <w:pPr>
              <w:spacing w:line="240" w:lineRule="auto"/>
              <w:rPr>
                <w:rFonts w:ascii="宋体" w:hAnsi="宋体" w:cs="宋体"/>
                <w:color w:val="auto"/>
                <w:sz w:val="21"/>
                <w:szCs w:val="21"/>
              </w:rPr>
            </w:pPr>
          </w:p>
        </w:tc>
        <w:tc>
          <w:tcPr>
            <w:tcW w:w="1208" w:type="dxa"/>
            <w:vMerge w:val="continue"/>
            <w:vAlign w:val="center"/>
          </w:tcPr>
          <w:p>
            <w:pPr>
              <w:spacing w:line="240" w:lineRule="auto"/>
              <w:rPr>
                <w:rFonts w:ascii="宋体" w:hAnsi="宋体" w:cs="宋体"/>
                <w:color w:val="auto"/>
                <w:sz w:val="21"/>
                <w:szCs w:val="21"/>
              </w:rPr>
            </w:pPr>
          </w:p>
        </w:tc>
        <w:tc>
          <w:tcPr>
            <w:tcW w:w="1629" w:type="dxa"/>
            <w:vAlign w:val="center"/>
          </w:tcPr>
          <w:p>
            <w:pPr>
              <w:pStyle w:val="168"/>
              <w:spacing w:line="240" w:lineRule="auto"/>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投标文件密封、签署、盖章</w:t>
            </w:r>
          </w:p>
        </w:tc>
        <w:tc>
          <w:tcPr>
            <w:tcW w:w="4250" w:type="dxa"/>
            <w:vAlign w:val="center"/>
          </w:tcPr>
          <w:p>
            <w:pPr>
              <w:spacing w:line="240" w:lineRule="auto"/>
              <w:rPr>
                <w:rFonts w:hint="eastAsia" w:ascii="宋体" w:hAnsi="宋体" w:cs="宋体"/>
                <w:bCs/>
                <w:color w:val="auto"/>
                <w:sz w:val="22"/>
                <w:szCs w:val="22"/>
                <w:lang w:val="zh-CN"/>
              </w:rPr>
            </w:pPr>
            <w:r>
              <w:rPr>
                <w:rFonts w:hint="eastAsia" w:ascii="宋体" w:hAnsi="宋体" w:cs="宋体"/>
                <w:bCs/>
                <w:color w:val="auto"/>
                <w:sz w:val="22"/>
                <w:szCs w:val="22"/>
                <w:lang w:val="zh-CN"/>
              </w:rPr>
              <w:t>投标文件是否按照招标文件规定要求密封、签署、盖章</w:t>
            </w:r>
          </w:p>
        </w:tc>
        <w:tc>
          <w:tcPr>
            <w:tcW w:w="510" w:type="dxa"/>
          </w:tcPr>
          <w:p>
            <w:pPr>
              <w:spacing w:line="240" w:lineRule="auto"/>
              <w:jc w:val="center"/>
              <w:rPr>
                <w:rFonts w:ascii="宋体" w:hAnsi="宋体" w:cs="宋体"/>
                <w:color w:val="auto"/>
                <w:sz w:val="21"/>
                <w:szCs w:val="21"/>
              </w:rPr>
            </w:pPr>
          </w:p>
        </w:tc>
        <w:tc>
          <w:tcPr>
            <w:tcW w:w="570" w:type="dxa"/>
            <w:vAlign w:val="center"/>
          </w:tcPr>
          <w:p>
            <w:pPr>
              <w:spacing w:line="240" w:lineRule="auto"/>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384" w:type="dxa"/>
            <w:vMerge w:val="continue"/>
          </w:tcPr>
          <w:p>
            <w:pPr>
              <w:pStyle w:val="13"/>
              <w:spacing w:line="240" w:lineRule="auto"/>
              <w:ind w:firstLine="0" w:firstLineChars="0"/>
              <w:rPr>
                <w:rFonts w:ascii="宋体" w:hAnsi="宋体" w:cs="宋体"/>
                <w:color w:val="auto"/>
                <w:sz w:val="21"/>
                <w:szCs w:val="21"/>
              </w:rPr>
            </w:pPr>
          </w:p>
        </w:tc>
        <w:tc>
          <w:tcPr>
            <w:tcW w:w="1208" w:type="dxa"/>
            <w:vMerge w:val="continue"/>
            <w:vAlign w:val="center"/>
          </w:tcPr>
          <w:p>
            <w:pPr>
              <w:spacing w:line="240" w:lineRule="auto"/>
              <w:rPr>
                <w:rFonts w:ascii="宋体" w:hAnsi="宋体" w:cs="宋体"/>
                <w:color w:val="auto"/>
                <w:sz w:val="21"/>
                <w:szCs w:val="21"/>
              </w:rPr>
            </w:pPr>
          </w:p>
        </w:tc>
        <w:tc>
          <w:tcPr>
            <w:tcW w:w="1629" w:type="dxa"/>
            <w:vAlign w:val="center"/>
          </w:tcPr>
          <w:p>
            <w:pPr>
              <w:pStyle w:val="168"/>
              <w:spacing w:line="240" w:lineRule="auto"/>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投标报价</w:t>
            </w:r>
          </w:p>
        </w:tc>
        <w:tc>
          <w:tcPr>
            <w:tcW w:w="4250" w:type="dxa"/>
            <w:vAlign w:val="center"/>
          </w:tcPr>
          <w:p>
            <w:pPr>
              <w:spacing w:line="240" w:lineRule="auto"/>
              <w:rPr>
                <w:rFonts w:hint="eastAsia" w:ascii="宋体" w:hAnsi="宋体" w:cs="宋体"/>
                <w:bCs/>
                <w:color w:val="auto"/>
                <w:sz w:val="22"/>
                <w:szCs w:val="22"/>
                <w:lang w:val="zh-CN"/>
              </w:rPr>
            </w:pPr>
            <w:r>
              <w:rPr>
                <w:rFonts w:hint="eastAsia" w:ascii="宋体" w:hAnsi="宋体" w:cs="宋体"/>
                <w:bCs/>
                <w:color w:val="auto"/>
                <w:sz w:val="22"/>
                <w:szCs w:val="22"/>
                <w:lang w:val="zh-CN"/>
              </w:rPr>
              <w:t>投标报价是否按照招标文件格式填写</w:t>
            </w:r>
          </w:p>
        </w:tc>
        <w:tc>
          <w:tcPr>
            <w:tcW w:w="510" w:type="dxa"/>
          </w:tcPr>
          <w:p>
            <w:pPr>
              <w:spacing w:line="240" w:lineRule="auto"/>
              <w:jc w:val="center"/>
              <w:rPr>
                <w:rFonts w:ascii="宋体" w:hAnsi="宋体" w:cs="宋体"/>
                <w:color w:val="auto"/>
                <w:sz w:val="21"/>
                <w:szCs w:val="21"/>
              </w:rPr>
            </w:pPr>
          </w:p>
        </w:tc>
        <w:tc>
          <w:tcPr>
            <w:tcW w:w="570" w:type="dxa"/>
            <w:vAlign w:val="center"/>
          </w:tcPr>
          <w:p>
            <w:pPr>
              <w:spacing w:line="240" w:lineRule="auto"/>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384" w:type="dxa"/>
            <w:vMerge w:val="continue"/>
          </w:tcPr>
          <w:p>
            <w:pPr>
              <w:pStyle w:val="13"/>
              <w:spacing w:line="240" w:lineRule="auto"/>
              <w:ind w:firstLine="0" w:firstLineChars="0"/>
              <w:rPr>
                <w:rFonts w:ascii="宋体" w:hAnsi="宋体" w:cs="宋体"/>
                <w:color w:val="auto"/>
                <w:sz w:val="21"/>
                <w:szCs w:val="21"/>
              </w:rPr>
            </w:pPr>
          </w:p>
        </w:tc>
        <w:tc>
          <w:tcPr>
            <w:tcW w:w="1208" w:type="dxa"/>
            <w:vMerge w:val="continue"/>
            <w:vAlign w:val="center"/>
          </w:tcPr>
          <w:p>
            <w:pPr>
              <w:spacing w:line="240" w:lineRule="auto"/>
              <w:rPr>
                <w:rFonts w:ascii="宋体" w:hAnsi="宋体" w:cs="宋体"/>
                <w:color w:val="auto"/>
                <w:sz w:val="21"/>
                <w:szCs w:val="21"/>
              </w:rPr>
            </w:pPr>
          </w:p>
        </w:tc>
        <w:tc>
          <w:tcPr>
            <w:tcW w:w="1629" w:type="dxa"/>
            <w:vAlign w:val="center"/>
          </w:tcPr>
          <w:p>
            <w:pPr>
              <w:pStyle w:val="168"/>
              <w:spacing w:line="240" w:lineRule="auto"/>
              <w:jc w:val="center"/>
              <w:rPr>
                <w:rFonts w:ascii="宋体" w:hAnsi="宋体" w:eastAsia="宋体" w:cs="宋体"/>
                <w:color w:val="auto"/>
                <w:sz w:val="21"/>
                <w:szCs w:val="21"/>
              </w:rPr>
            </w:pPr>
            <w:r>
              <w:rPr>
                <w:rFonts w:hint="eastAsia" w:ascii="宋体" w:hAnsi="宋体" w:eastAsia="宋体" w:cs="宋体"/>
                <w:color w:val="auto"/>
                <w:sz w:val="21"/>
                <w:szCs w:val="21"/>
              </w:rPr>
              <w:t>报价合理性</w:t>
            </w:r>
          </w:p>
          <w:p>
            <w:pPr>
              <w:pStyle w:val="168"/>
              <w:spacing w:line="240" w:lineRule="auto"/>
              <w:jc w:val="center"/>
              <w:rPr>
                <w:rFonts w:ascii="宋体" w:hAnsi="宋体" w:eastAsia="宋体" w:cs="宋体"/>
                <w:color w:val="auto"/>
                <w:kern w:val="2"/>
                <w:sz w:val="21"/>
                <w:szCs w:val="21"/>
              </w:rPr>
            </w:pPr>
            <w:r>
              <w:rPr>
                <w:rFonts w:hint="eastAsia" w:ascii="宋体" w:hAnsi="宋体" w:eastAsia="宋体" w:cs="宋体"/>
                <w:color w:val="auto"/>
                <w:sz w:val="21"/>
                <w:szCs w:val="21"/>
              </w:rPr>
              <w:t>审查</w:t>
            </w:r>
          </w:p>
        </w:tc>
        <w:tc>
          <w:tcPr>
            <w:tcW w:w="4250" w:type="dxa"/>
            <w:vAlign w:val="center"/>
          </w:tcPr>
          <w:p>
            <w:pPr>
              <w:spacing w:line="240" w:lineRule="auto"/>
              <w:rPr>
                <w:rFonts w:hint="eastAsia" w:ascii="宋体" w:hAnsi="宋体" w:cs="宋体"/>
                <w:bCs/>
                <w:color w:val="auto"/>
                <w:sz w:val="22"/>
                <w:szCs w:val="22"/>
                <w:lang w:val="zh-CN"/>
              </w:rPr>
            </w:pPr>
            <w:r>
              <w:rPr>
                <w:rFonts w:hint="eastAsia" w:ascii="宋体" w:hAnsi="宋体" w:cs="宋体"/>
                <w:bCs/>
                <w:color w:val="auto"/>
                <w:sz w:val="22"/>
                <w:szCs w:val="22"/>
                <w:lang w:val="zh-CN"/>
              </w:rPr>
              <w:t>供应商投标报价合理性审查。评标委员会认为供应商的报价明显低于其他供应商的报价，有可能影响产品质量或不能诚信履约的，可要求供应商在评标现场合理的时间内提供书面说明，必要时提供相关证明材料；供应商不能证明其报价合理性的，此项审查结果不合格</w:t>
            </w:r>
          </w:p>
        </w:tc>
        <w:tc>
          <w:tcPr>
            <w:tcW w:w="510" w:type="dxa"/>
          </w:tcPr>
          <w:p>
            <w:pPr>
              <w:spacing w:line="240" w:lineRule="auto"/>
              <w:jc w:val="center"/>
              <w:rPr>
                <w:rFonts w:ascii="宋体" w:hAnsi="宋体" w:cs="宋体"/>
                <w:color w:val="auto"/>
                <w:sz w:val="21"/>
                <w:szCs w:val="21"/>
              </w:rPr>
            </w:pPr>
          </w:p>
        </w:tc>
        <w:tc>
          <w:tcPr>
            <w:tcW w:w="570" w:type="dxa"/>
            <w:vAlign w:val="center"/>
          </w:tcPr>
          <w:p>
            <w:pPr>
              <w:spacing w:line="240" w:lineRule="auto"/>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384" w:type="dxa"/>
            <w:vMerge w:val="continue"/>
          </w:tcPr>
          <w:p>
            <w:pPr>
              <w:pStyle w:val="13"/>
              <w:spacing w:line="240" w:lineRule="auto"/>
              <w:ind w:firstLine="0" w:firstLineChars="0"/>
              <w:rPr>
                <w:rFonts w:ascii="宋体" w:hAnsi="宋体" w:cs="宋体"/>
                <w:color w:val="auto"/>
                <w:sz w:val="21"/>
                <w:szCs w:val="21"/>
              </w:rPr>
            </w:pPr>
          </w:p>
        </w:tc>
        <w:tc>
          <w:tcPr>
            <w:tcW w:w="1208" w:type="dxa"/>
            <w:vMerge w:val="continue"/>
            <w:vAlign w:val="center"/>
          </w:tcPr>
          <w:p>
            <w:pPr>
              <w:spacing w:line="240" w:lineRule="auto"/>
              <w:rPr>
                <w:rFonts w:ascii="宋体" w:hAnsi="宋体" w:cs="宋体"/>
                <w:color w:val="auto"/>
                <w:sz w:val="21"/>
                <w:szCs w:val="21"/>
              </w:rPr>
            </w:pPr>
          </w:p>
        </w:tc>
        <w:tc>
          <w:tcPr>
            <w:tcW w:w="1629" w:type="dxa"/>
            <w:vAlign w:val="center"/>
          </w:tcPr>
          <w:p>
            <w:pPr>
              <w:pStyle w:val="168"/>
              <w:spacing w:line="240" w:lineRule="auto"/>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投标文件</w:t>
            </w:r>
          </w:p>
          <w:p>
            <w:pPr>
              <w:pStyle w:val="168"/>
              <w:spacing w:line="240" w:lineRule="auto"/>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完整性</w:t>
            </w:r>
          </w:p>
        </w:tc>
        <w:tc>
          <w:tcPr>
            <w:tcW w:w="4250" w:type="dxa"/>
            <w:vAlign w:val="center"/>
          </w:tcPr>
          <w:p>
            <w:pPr>
              <w:spacing w:line="240" w:lineRule="auto"/>
              <w:rPr>
                <w:rFonts w:hint="eastAsia" w:ascii="宋体" w:hAnsi="宋体" w:cs="宋体"/>
                <w:bCs/>
                <w:color w:val="auto"/>
                <w:sz w:val="22"/>
                <w:szCs w:val="22"/>
                <w:lang w:val="zh-CN"/>
              </w:rPr>
            </w:pPr>
            <w:r>
              <w:rPr>
                <w:rFonts w:hint="eastAsia" w:ascii="宋体" w:hAnsi="宋体" w:cs="宋体"/>
                <w:bCs/>
                <w:color w:val="auto"/>
                <w:sz w:val="22"/>
                <w:szCs w:val="22"/>
                <w:lang w:val="zh-CN"/>
              </w:rPr>
              <w:t>供应商</w:t>
            </w:r>
            <w:r>
              <w:rPr>
                <w:rFonts w:hint="eastAsia" w:ascii="宋体" w:hAnsi="宋体" w:cs="宋体"/>
                <w:bCs/>
                <w:color w:val="auto"/>
                <w:sz w:val="22"/>
                <w:szCs w:val="22"/>
                <w:lang w:val="en-US" w:eastAsia="zh-CN"/>
              </w:rPr>
              <w:t>投标</w:t>
            </w:r>
            <w:r>
              <w:rPr>
                <w:rFonts w:hint="eastAsia" w:ascii="宋体" w:hAnsi="宋体" w:cs="宋体"/>
                <w:bCs/>
                <w:color w:val="auto"/>
                <w:sz w:val="22"/>
                <w:szCs w:val="22"/>
                <w:lang w:val="zh-CN"/>
              </w:rPr>
              <w:t>文件的完整性是否符合招标文件要求</w:t>
            </w:r>
          </w:p>
        </w:tc>
        <w:tc>
          <w:tcPr>
            <w:tcW w:w="510" w:type="dxa"/>
          </w:tcPr>
          <w:p>
            <w:pPr>
              <w:spacing w:line="240" w:lineRule="auto"/>
              <w:jc w:val="center"/>
              <w:rPr>
                <w:rFonts w:ascii="宋体" w:hAnsi="宋体" w:cs="宋体"/>
                <w:color w:val="auto"/>
                <w:sz w:val="21"/>
                <w:szCs w:val="21"/>
              </w:rPr>
            </w:pPr>
          </w:p>
        </w:tc>
        <w:tc>
          <w:tcPr>
            <w:tcW w:w="570" w:type="dxa"/>
            <w:vAlign w:val="center"/>
          </w:tcPr>
          <w:p>
            <w:pPr>
              <w:spacing w:line="240" w:lineRule="auto"/>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384" w:type="dxa"/>
            <w:vMerge w:val="continue"/>
          </w:tcPr>
          <w:p>
            <w:pPr>
              <w:pStyle w:val="13"/>
              <w:spacing w:line="240" w:lineRule="auto"/>
              <w:ind w:firstLine="0" w:firstLineChars="0"/>
              <w:rPr>
                <w:rFonts w:ascii="宋体" w:hAnsi="宋体" w:cs="宋体"/>
                <w:color w:val="auto"/>
                <w:sz w:val="21"/>
                <w:szCs w:val="21"/>
              </w:rPr>
            </w:pPr>
          </w:p>
        </w:tc>
        <w:tc>
          <w:tcPr>
            <w:tcW w:w="1208" w:type="dxa"/>
            <w:vMerge w:val="continue"/>
            <w:vAlign w:val="center"/>
          </w:tcPr>
          <w:p>
            <w:pPr>
              <w:spacing w:line="240" w:lineRule="auto"/>
              <w:rPr>
                <w:rFonts w:ascii="宋体" w:hAnsi="宋体" w:cs="宋体"/>
                <w:color w:val="auto"/>
                <w:sz w:val="21"/>
                <w:szCs w:val="21"/>
              </w:rPr>
            </w:pPr>
          </w:p>
        </w:tc>
        <w:tc>
          <w:tcPr>
            <w:tcW w:w="1629" w:type="dxa"/>
            <w:vAlign w:val="center"/>
          </w:tcPr>
          <w:p>
            <w:pPr>
              <w:pStyle w:val="168"/>
              <w:spacing w:line="240" w:lineRule="auto"/>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投标有效期</w:t>
            </w:r>
          </w:p>
        </w:tc>
        <w:tc>
          <w:tcPr>
            <w:tcW w:w="4250" w:type="dxa"/>
            <w:vAlign w:val="center"/>
          </w:tcPr>
          <w:p>
            <w:pPr>
              <w:spacing w:line="240" w:lineRule="auto"/>
              <w:rPr>
                <w:rFonts w:hint="eastAsia" w:ascii="宋体" w:hAnsi="宋体" w:cs="宋体"/>
                <w:bCs/>
                <w:color w:val="auto"/>
                <w:sz w:val="22"/>
                <w:szCs w:val="22"/>
                <w:lang w:val="zh-CN"/>
              </w:rPr>
            </w:pPr>
            <w:r>
              <w:rPr>
                <w:rFonts w:hint="eastAsia" w:ascii="宋体" w:hAnsi="宋体" w:cs="宋体"/>
                <w:bCs/>
                <w:color w:val="auto"/>
                <w:sz w:val="22"/>
                <w:szCs w:val="22"/>
                <w:lang w:val="zh-CN"/>
              </w:rPr>
              <w:t>投标有效期是否满足招标文件要求；</w:t>
            </w:r>
          </w:p>
        </w:tc>
        <w:tc>
          <w:tcPr>
            <w:tcW w:w="510" w:type="dxa"/>
          </w:tcPr>
          <w:p>
            <w:pPr>
              <w:spacing w:line="240" w:lineRule="auto"/>
              <w:jc w:val="center"/>
              <w:rPr>
                <w:rFonts w:ascii="宋体" w:hAnsi="宋体" w:cs="宋体"/>
                <w:color w:val="auto"/>
                <w:sz w:val="21"/>
                <w:szCs w:val="21"/>
              </w:rPr>
            </w:pPr>
          </w:p>
        </w:tc>
        <w:tc>
          <w:tcPr>
            <w:tcW w:w="570" w:type="dxa"/>
            <w:vAlign w:val="center"/>
          </w:tcPr>
          <w:p>
            <w:pPr>
              <w:spacing w:line="240" w:lineRule="auto"/>
              <w:jc w:val="center"/>
              <w:rPr>
                <w:rFonts w:ascii="宋体" w:hAnsi="宋体" w:cs="宋体"/>
                <w:color w:val="auto"/>
                <w:sz w:val="21"/>
                <w:szCs w:val="21"/>
              </w:rPr>
            </w:pPr>
          </w:p>
        </w:tc>
      </w:tr>
    </w:tbl>
    <w:p>
      <w:pPr>
        <w:rPr>
          <w:color w:val="auto"/>
        </w:rPr>
      </w:pPr>
      <w:bookmarkStart w:id="37" w:name="EBa48645eff2ee4582a36f886367fb689c"/>
      <w:bookmarkEnd w:id="37"/>
      <w:bookmarkStart w:id="38" w:name="_Toc24746"/>
    </w:p>
    <w:p>
      <w:pPr>
        <w:jc w:val="center"/>
        <w:rPr>
          <w:rFonts w:ascii="宋体" w:hAnsi="宋体" w:cs="宋体"/>
          <w:b/>
          <w:bCs/>
          <w:color w:val="auto"/>
          <w:sz w:val="32"/>
          <w:szCs w:val="48"/>
        </w:rPr>
      </w:pPr>
      <w:r>
        <w:rPr>
          <w:rFonts w:hint="eastAsia"/>
          <w:color w:val="auto"/>
        </w:rPr>
        <w:br w:type="page"/>
      </w:r>
      <w:r>
        <w:rPr>
          <w:rFonts w:hint="eastAsia" w:ascii="宋体" w:hAnsi="宋体" w:cs="宋体"/>
          <w:b/>
          <w:bCs/>
          <w:color w:val="auto"/>
          <w:sz w:val="32"/>
          <w:szCs w:val="48"/>
        </w:rPr>
        <w:t>评标办法及评标标准</w:t>
      </w:r>
      <w:bookmarkEnd w:id="38"/>
    </w:p>
    <w:p>
      <w:pPr>
        <w:numPr>
          <w:ilvl w:val="0"/>
          <w:numId w:val="4"/>
        </w:numPr>
        <w:spacing w:line="360" w:lineRule="auto"/>
        <w:ind w:firstLine="482"/>
        <w:rPr>
          <w:rFonts w:ascii="宋体" w:hAnsi="宋体" w:cs="宋体"/>
          <w:b/>
          <w:bCs/>
          <w:color w:val="auto"/>
          <w:sz w:val="24"/>
          <w:szCs w:val="24"/>
        </w:rPr>
      </w:pPr>
      <w:r>
        <w:rPr>
          <w:rFonts w:hint="eastAsia" w:ascii="宋体" w:hAnsi="宋体" w:cs="宋体"/>
          <w:b/>
          <w:bCs/>
          <w:color w:val="auto"/>
          <w:sz w:val="24"/>
          <w:szCs w:val="24"/>
        </w:rPr>
        <w:t>评标办法：</w:t>
      </w:r>
      <w:r>
        <w:rPr>
          <w:rFonts w:hint="eastAsia" w:ascii="宋体" w:hAnsi="宋体" w:cs="宋体"/>
          <w:color w:val="auto"/>
          <w:sz w:val="24"/>
          <w:szCs w:val="24"/>
        </w:rPr>
        <w:t>采用</w:t>
      </w:r>
      <w:r>
        <w:rPr>
          <w:rFonts w:hint="eastAsia" w:ascii="宋体" w:hAnsi="宋体" w:cs="宋体"/>
          <w:color w:val="auto"/>
          <w:sz w:val="24"/>
          <w:szCs w:val="24"/>
          <w:u w:val="single"/>
        </w:rPr>
        <w:t xml:space="preserve"> 综合评分法 </w:t>
      </w:r>
      <w:r>
        <w:rPr>
          <w:rFonts w:hint="eastAsia" w:ascii="宋体" w:hAnsi="宋体" w:cs="宋体"/>
          <w:color w:val="auto"/>
          <w:sz w:val="24"/>
          <w:szCs w:val="24"/>
        </w:rPr>
        <w:t>。</w:t>
      </w:r>
      <w:bookmarkStart w:id="39" w:name="_Toc188469662"/>
    </w:p>
    <w:p>
      <w:pPr>
        <w:numPr>
          <w:ilvl w:val="0"/>
          <w:numId w:val="4"/>
        </w:numPr>
        <w:spacing w:line="360" w:lineRule="auto"/>
        <w:ind w:firstLine="482"/>
        <w:rPr>
          <w:rFonts w:ascii="宋体" w:hAnsi="宋体" w:cs="宋体"/>
          <w:b/>
          <w:bCs/>
          <w:color w:val="auto"/>
          <w:sz w:val="24"/>
          <w:szCs w:val="24"/>
        </w:rPr>
      </w:pPr>
      <w:r>
        <w:rPr>
          <w:rFonts w:hint="eastAsia" w:ascii="宋体" w:hAnsi="宋体" w:cs="宋体"/>
          <w:b/>
          <w:bCs/>
          <w:color w:val="auto"/>
          <w:sz w:val="24"/>
          <w:szCs w:val="24"/>
        </w:rPr>
        <w:t>评标流程：</w:t>
      </w:r>
      <w:r>
        <w:rPr>
          <w:rFonts w:hint="eastAsia" w:ascii="宋体" w:hAnsi="宋体" w:cs="宋体"/>
          <w:color w:val="auto"/>
          <w:sz w:val="24"/>
          <w:szCs w:val="24"/>
        </w:rPr>
        <w:t>委员会根据本评标办法对已接收的投标文件进行评审，向采购人提供评标排序结果，撰写评标报告，由采购人最终确定中标人。</w:t>
      </w:r>
      <w:bookmarkEnd w:id="39"/>
      <w:bookmarkStart w:id="40" w:name="_Toc188469663"/>
    </w:p>
    <w:p>
      <w:pPr>
        <w:numPr>
          <w:ilvl w:val="0"/>
          <w:numId w:val="4"/>
        </w:numPr>
        <w:spacing w:line="360" w:lineRule="auto"/>
        <w:ind w:firstLine="482"/>
        <w:rPr>
          <w:rFonts w:ascii="宋体" w:hAnsi="宋体" w:cs="宋体"/>
          <w:b/>
          <w:bCs/>
          <w:color w:val="auto"/>
          <w:sz w:val="24"/>
          <w:szCs w:val="24"/>
        </w:rPr>
      </w:pPr>
      <w:r>
        <w:rPr>
          <w:rFonts w:hint="eastAsia" w:ascii="宋体" w:hAnsi="宋体" w:cs="宋体"/>
          <w:b/>
          <w:bCs/>
          <w:color w:val="auto"/>
          <w:sz w:val="24"/>
          <w:szCs w:val="24"/>
        </w:rPr>
        <w:t>评标程序</w:t>
      </w:r>
      <w:bookmarkEnd w:id="40"/>
      <w:r>
        <w:rPr>
          <w:rFonts w:hint="eastAsia" w:ascii="宋体" w:hAnsi="宋体" w:cs="宋体"/>
          <w:b/>
          <w:bCs/>
          <w:color w:val="auto"/>
          <w:sz w:val="24"/>
          <w:szCs w:val="24"/>
        </w:rPr>
        <w:t>：</w:t>
      </w:r>
      <w:r>
        <w:rPr>
          <w:rFonts w:hint="eastAsia" w:ascii="宋体" w:hAnsi="宋体" w:cs="宋体"/>
          <w:color w:val="auto"/>
          <w:sz w:val="24"/>
          <w:szCs w:val="24"/>
        </w:rPr>
        <w:t>评标程序分为资格审查、初步评审、详细评审、综合评分并提出评审意见。</w:t>
      </w:r>
    </w:p>
    <w:p>
      <w:pPr>
        <w:spacing w:line="360" w:lineRule="auto"/>
        <w:ind w:firstLine="482"/>
        <w:rPr>
          <w:rFonts w:ascii="宋体" w:hAnsi="宋体" w:cs="宋体"/>
          <w:color w:val="auto"/>
          <w:sz w:val="24"/>
          <w:szCs w:val="24"/>
        </w:rPr>
      </w:pPr>
      <w:r>
        <w:rPr>
          <w:rFonts w:hint="eastAsia" w:ascii="宋体" w:hAnsi="宋体" w:cs="宋体"/>
          <w:color w:val="auto"/>
          <w:sz w:val="24"/>
          <w:szCs w:val="24"/>
        </w:rPr>
        <w:t>1．资格审查</w:t>
      </w:r>
    </w:p>
    <w:p>
      <w:pPr>
        <w:spacing w:line="360" w:lineRule="auto"/>
        <w:ind w:firstLine="482"/>
        <w:rPr>
          <w:rFonts w:ascii="宋体" w:hAnsi="宋体" w:cs="宋体"/>
          <w:color w:val="auto"/>
          <w:sz w:val="24"/>
          <w:szCs w:val="24"/>
        </w:rPr>
      </w:pPr>
      <w:r>
        <w:rPr>
          <w:rFonts w:hint="eastAsia" w:ascii="宋体" w:hAnsi="宋体" w:cs="宋体"/>
          <w:color w:val="auto"/>
          <w:sz w:val="24"/>
          <w:szCs w:val="24"/>
        </w:rPr>
        <w:t>1.1评标委员会对招标文件中要求的资质文件系统地进行评审，确定合格供应商。</w:t>
      </w:r>
    </w:p>
    <w:p>
      <w:pPr>
        <w:spacing w:line="360" w:lineRule="auto"/>
        <w:ind w:firstLine="482"/>
        <w:rPr>
          <w:rFonts w:ascii="宋体" w:hAnsi="宋体" w:cs="宋体"/>
          <w:color w:val="auto"/>
          <w:sz w:val="24"/>
          <w:szCs w:val="24"/>
        </w:rPr>
      </w:pPr>
      <w:r>
        <w:rPr>
          <w:rFonts w:hint="eastAsia" w:ascii="宋体" w:hAnsi="宋体" w:cs="宋体"/>
          <w:color w:val="auto"/>
          <w:sz w:val="24"/>
          <w:szCs w:val="24"/>
        </w:rPr>
        <w:t>1.2只有通过资格审查合格的供应商才能进入下一阶段的评审。</w:t>
      </w:r>
    </w:p>
    <w:p>
      <w:pPr>
        <w:spacing w:line="360" w:lineRule="auto"/>
        <w:ind w:firstLine="482"/>
        <w:rPr>
          <w:rFonts w:ascii="宋体" w:hAnsi="宋体" w:cs="宋体"/>
          <w:color w:val="auto"/>
          <w:sz w:val="24"/>
          <w:szCs w:val="24"/>
        </w:rPr>
      </w:pPr>
      <w:r>
        <w:rPr>
          <w:rFonts w:hint="eastAsia" w:ascii="宋体" w:hAnsi="宋体" w:cs="宋体"/>
          <w:color w:val="auto"/>
          <w:sz w:val="24"/>
          <w:szCs w:val="24"/>
        </w:rPr>
        <w:t>2．初步评审</w:t>
      </w:r>
    </w:p>
    <w:p>
      <w:pPr>
        <w:spacing w:line="360" w:lineRule="auto"/>
        <w:ind w:firstLine="482"/>
        <w:rPr>
          <w:rFonts w:ascii="宋体" w:hAnsi="宋体" w:cs="宋体"/>
          <w:color w:val="auto"/>
          <w:sz w:val="24"/>
          <w:szCs w:val="24"/>
        </w:rPr>
      </w:pPr>
      <w:r>
        <w:rPr>
          <w:rFonts w:hint="eastAsia" w:ascii="宋体" w:hAnsi="宋体" w:cs="宋体"/>
          <w:color w:val="auto"/>
          <w:sz w:val="24"/>
          <w:szCs w:val="24"/>
        </w:rPr>
        <w:t>2.1评标委员会将首先审查投标文件是否完整，有无计算上的错误，文件签署是否合格，投标文件的总体编排是否有序。</w:t>
      </w:r>
    </w:p>
    <w:p>
      <w:pPr>
        <w:spacing w:line="360" w:lineRule="auto"/>
        <w:ind w:firstLine="482"/>
        <w:rPr>
          <w:rFonts w:ascii="宋体" w:hAnsi="宋体" w:cs="宋体"/>
          <w:color w:val="auto"/>
          <w:sz w:val="24"/>
          <w:szCs w:val="24"/>
        </w:rPr>
      </w:pPr>
      <w:r>
        <w:rPr>
          <w:rFonts w:hint="eastAsia" w:ascii="宋体" w:hAnsi="宋体" w:cs="宋体"/>
          <w:color w:val="auto"/>
          <w:sz w:val="24"/>
          <w:szCs w:val="24"/>
        </w:rPr>
        <w:t>2.2其次审查投标文件是否实质上响应了招标文件的要求。实质上响应的投标是指与招标文件提出的实质性要求和条件相符，包括招标项目的技术要求、对供应商的资格要求、投标报价要求以及合同的主要条款。</w:t>
      </w:r>
    </w:p>
    <w:p>
      <w:pPr>
        <w:spacing w:line="360" w:lineRule="auto"/>
        <w:ind w:firstLine="482"/>
        <w:rPr>
          <w:rFonts w:ascii="宋体" w:hAnsi="宋体" w:cs="宋体"/>
          <w:color w:val="auto"/>
          <w:sz w:val="24"/>
          <w:szCs w:val="24"/>
        </w:rPr>
      </w:pPr>
      <w:r>
        <w:rPr>
          <w:rFonts w:hint="eastAsia" w:ascii="宋体" w:hAnsi="宋体" w:cs="宋体"/>
          <w:color w:val="auto"/>
          <w:sz w:val="24"/>
          <w:szCs w:val="24"/>
        </w:rPr>
        <w:t>2.3 对投标文件的初步评审应遵循以下原则：</w:t>
      </w:r>
    </w:p>
    <w:p>
      <w:pPr>
        <w:spacing w:line="360" w:lineRule="auto"/>
        <w:ind w:firstLine="482"/>
        <w:rPr>
          <w:rFonts w:ascii="宋体" w:hAnsi="宋体" w:cs="宋体"/>
          <w:color w:val="auto"/>
          <w:sz w:val="24"/>
          <w:szCs w:val="24"/>
        </w:rPr>
      </w:pPr>
      <w:r>
        <w:rPr>
          <w:rFonts w:hint="eastAsia" w:ascii="宋体" w:hAnsi="宋体" w:cs="宋体"/>
          <w:color w:val="auto"/>
          <w:sz w:val="24"/>
          <w:szCs w:val="24"/>
        </w:rPr>
        <w:t>2.3.1文字表示的数值与数字表示的数值不一致，以文字表示的值为准。</w:t>
      </w:r>
    </w:p>
    <w:p>
      <w:pPr>
        <w:spacing w:line="360" w:lineRule="auto"/>
        <w:ind w:firstLine="482"/>
        <w:rPr>
          <w:rFonts w:ascii="宋体" w:hAnsi="宋体" w:cs="宋体"/>
          <w:color w:val="auto"/>
          <w:sz w:val="24"/>
          <w:szCs w:val="24"/>
        </w:rPr>
      </w:pPr>
      <w:r>
        <w:rPr>
          <w:rFonts w:hint="eastAsia" w:ascii="宋体" w:hAnsi="宋体" w:cs="宋体"/>
          <w:color w:val="auto"/>
          <w:sz w:val="24"/>
          <w:szCs w:val="24"/>
        </w:rPr>
        <w:t>2.3.2如果投标文件实质上没有响应招标文件的要求，评标委员会可以予以拒绝。供应商不得通过修正或撤消不合要求的偏离或保留从而使其投标成为实质上响应的投标，对于投标文件中不构成实质性偏差的小的不正规、不一致或不规则，评标委员会可以接受，但这种接受不能损害或影响任何供应商的相对排序。</w:t>
      </w:r>
    </w:p>
    <w:p>
      <w:pPr>
        <w:spacing w:line="360" w:lineRule="auto"/>
        <w:ind w:firstLine="482"/>
        <w:rPr>
          <w:rFonts w:ascii="宋体" w:hAnsi="宋体" w:cs="宋体"/>
          <w:color w:val="auto"/>
          <w:sz w:val="24"/>
          <w:szCs w:val="24"/>
        </w:rPr>
      </w:pPr>
      <w:r>
        <w:rPr>
          <w:rFonts w:hint="eastAsia" w:ascii="宋体" w:hAnsi="宋体" w:cs="宋体"/>
          <w:color w:val="auto"/>
          <w:sz w:val="24"/>
          <w:szCs w:val="24"/>
        </w:rPr>
        <w:t>3．详细评审</w:t>
      </w:r>
    </w:p>
    <w:p>
      <w:pPr>
        <w:spacing w:line="360" w:lineRule="auto"/>
        <w:ind w:firstLine="482"/>
        <w:rPr>
          <w:rFonts w:ascii="宋体" w:hAnsi="宋体" w:cs="宋体"/>
          <w:color w:val="auto"/>
          <w:sz w:val="24"/>
          <w:szCs w:val="24"/>
        </w:rPr>
      </w:pPr>
      <w:r>
        <w:rPr>
          <w:rFonts w:hint="eastAsia" w:ascii="宋体" w:hAnsi="宋体" w:cs="宋体"/>
          <w:color w:val="auto"/>
          <w:sz w:val="24"/>
          <w:szCs w:val="24"/>
        </w:rPr>
        <w:t>3.1评标委员会只对初审合格的投标文件进行详细评审。</w:t>
      </w:r>
    </w:p>
    <w:p>
      <w:pPr>
        <w:spacing w:line="360" w:lineRule="auto"/>
        <w:ind w:firstLine="482"/>
        <w:rPr>
          <w:rFonts w:ascii="宋体" w:hAnsi="宋体" w:cs="宋体"/>
          <w:color w:val="auto"/>
          <w:sz w:val="24"/>
          <w:szCs w:val="24"/>
        </w:rPr>
      </w:pPr>
      <w:r>
        <w:rPr>
          <w:rFonts w:hint="eastAsia" w:ascii="宋体" w:hAnsi="宋体" w:cs="宋体"/>
          <w:color w:val="auto"/>
          <w:sz w:val="24"/>
          <w:szCs w:val="24"/>
        </w:rPr>
        <w:t>3.2评标委员会对投标文件进行技术、商务详细评审。</w:t>
      </w:r>
    </w:p>
    <w:p>
      <w:pPr>
        <w:spacing w:line="360" w:lineRule="auto"/>
        <w:ind w:firstLine="482"/>
        <w:rPr>
          <w:rFonts w:ascii="宋体" w:hAnsi="宋体" w:cs="宋体"/>
          <w:color w:val="auto"/>
          <w:sz w:val="24"/>
          <w:szCs w:val="24"/>
        </w:rPr>
      </w:pPr>
      <w:r>
        <w:rPr>
          <w:rFonts w:hint="eastAsia" w:ascii="宋体" w:hAnsi="宋体" w:cs="宋体"/>
          <w:color w:val="auto"/>
          <w:sz w:val="24"/>
          <w:szCs w:val="24"/>
        </w:rPr>
        <w:t>3.3评标委员会质询，供应商答疑，澄清有关问题。</w:t>
      </w:r>
    </w:p>
    <w:p>
      <w:pPr>
        <w:spacing w:line="360" w:lineRule="auto"/>
        <w:ind w:firstLine="482"/>
        <w:rPr>
          <w:rFonts w:ascii="宋体" w:hAnsi="宋体" w:cs="宋体"/>
          <w:color w:val="auto"/>
          <w:sz w:val="24"/>
          <w:szCs w:val="24"/>
        </w:rPr>
      </w:pPr>
      <w:r>
        <w:rPr>
          <w:rFonts w:hint="eastAsia" w:ascii="宋体" w:hAnsi="宋体" w:cs="宋体"/>
          <w:color w:val="auto"/>
          <w:sz w:val="24"/>
          <w:szCs w:val="24"/>
        </w:rPr>
        <w:t>3.4评标委员会可以要求供应商对其投标文件进行澄清，有关澄清的要求和答复应以书面形式提交。</w:t>
      </w:r>
    </w:p>
    <w:p>
      <w:pPr>
        <w:numPr>
          <w:ilvl w:val="0"/>
          <w:numId w:val="5"/>
        </w:numPr>
        <w:spacing w:line="360" w:lineRule="auto"/>
        <w:ind w:firstLine="482"/>
        <w:rPr>
          <w:color w:val="auto"/>
        </w:rPr>
      </w:pPr>
      <w:r>
        <w:rPr>
          <w:rFonts w:hint="eastAsia" w:ascii="宋体" w:hAnsi="宋体" w:cs="宋体"/>
          <w:color w:val="auto"/>
          <w:sz w:val="24"/>
          <w:szCs w:val="24"/>
        </w:rPr>
        <w:t>评标委员会按照评分标准进行综合评分并提出评审意见。</w:t>
      </w:r>
    </w:p>
    <w:p>
      <w:pPr>
        <w:numPr>
          <w:ilvl w:val="0"/>
          <w:numId w:val="4"/>
        </w:numPr>
        <w:spacing w:line="360" w:lineRule="auto"/>
        <w:ind w:firstLine="482"/>
        <w:rPr>
          <w:rFonts w:ascii="宋体" w:hAnsi="宋体" w:cs="宋体"/>
          <w:b/>
          <w:bCs/>
          <w:color w:val="auto"/>
          <w:sz w:val="24"/>
          <w:szCs w:val="24"/>
        </w:rPr>
      </w:pPr>
      <w:bookmarkStart w:id="41" w:name="_Toc188469664"/>
      <w:r>
        <w:rPr>
          <w:rFonts w:hint="eastAsia" w:ascii="宋体" w:hAnsi="宋体" w:cs="宋体"/>
          <w:b/>
          <w:bCs/>
          <w:color w:val="auto"/>
          <w:sz w:val="24"/>
          <w:szCs w:val="24"/>
        </w:rPr>
        <w:t>评标标准</w:t>
      </w:r>
      <w:bookmarkEnd w:id="41"/>
    </w:p>
    <w:tbl>
      <w:tblPr>
        <w:tblStyle w:val="34"/>
        <w:tblW w:w="9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176"/>
        <w:gridCol w:w="1400"/>
        <w:gridCol w:w="5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77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b/>
                <w:bCs/>
                <w:color w:val="auto"/>
                <w:kern w:val="0"/>
                <w:sz w:val="24"/>
                <w:szCs w:val="24"/>
              </w:rPr>
            </w:pPr>
            <w:r>
              <w:rPr>
                <w:rFonts w:hint="eastAsia" w:ascii="宋体" w:hAnsi="宋体" w:cs="宋体"/>
                <w:b/>
                <w:bCs/>
                <w:color w:val="auto"/>
                <w:kern w:val="0"/>
                <w:sz w:val="24"/>
                <w:szCs w:val="24"/>
              </w:rPr>
              <w:t>序号</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b/>
                <w:bCs/>
                <w:color w:val="auto"/>
                <w:kern w:val="0"/>
                <w:sz w:val="24"/>
                <w:szCs w:val="24"/>
              </w:rPr>
            </w:pPr>
            <w:r>
              <w:rPr>
                <w:rFonts w:hint="eastAsia" w:ascii="宋体" w:hAnsi="宋体" w:cs="宋体"/>
                <w:b/>
                <w:bCs/>
                <w:color w:val="auto"/>
                <w:kern w:val="0"/>
                <w:sz w:val="24"/>
                <w:szCs w:val="24"/>
              </w:rPr>
              <w:t>项目</w:t>
            </w:r>
          </w:p>
        </w:tc>
        <w:tc>
          <w:tcPr>
            <w:tcW w:w="140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b/>
                <w:bCs/>
                <w:color w:val="auto"/>
                <w:kern w:val="0"/>
                <w:sz w:val="24"/>
                <w:szCs w:val="24"/>
              </w:rPr>
            </w:pPr>
            <w:r>
              <w:rPr>
                <w:rFonts w:hint="eastAsia" w:ascii="宋体" w:hAnsi="宋体" w:cs="宋体"/>
                <w:b/>
                <w:bCs/>
                <w:color w:val="auto"/>
                <w:kern w:val="0"/>
                <w:sz w:val="24"/>
                <w:szCs w:val="24"/>
              </w:rPr>
              <w:t>评审因素</w:t>
            </w:r>
          </w:p>
        </w:tc>
        <w:tc>
          <w:tcPr>
            <w:tcW w:w="592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b/>
                <w:bCs/>
                <w:color w:val="auto"/>
                <w:kern w:val="0"/>
                <w:sz w:val="24"/>
                <w:szCs w:val="24"/>
              </w:rPr>
            </w:pPr>
            <w:r>
              <w:rPr>
                <w:rFonts w:hint="eastAsia" w:ascii="宋体" w:hAnsi="宋体" w:cs="宋体"/>
                <w:b/>
                <w:bCs/>
                <w:color w:val="auto"/>
                <w:kern w:val="0"/>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color w:val="auto"/>
                <w:kern w:val="0"/>
                <w:sz w:val="24"/>
                <w:szCs w:val="24"/>
              </w:rPr>
            </w:pPr>
            <w:r>
              <w:rPr>
                <w:rFonts w:hint="eastAsia" w:ascii="宋体" w:hAnsi="宋体" w:cs="宋体"/>
                <w:color w:val="auto"/>
                <w:kern w:val="0"/>
                <w:sz w:val="24"/>
                <w:szCs w:val="24"/>
              </w:rPr>
              <w:t>1</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bCs/>
                <w:color w:val="auto"/>
                <w:sz w:val="24"/>
                <w:szCs w:val="24"/>
              </w:rPr>
            </w:pPr>
            <w:r>
              <w:rPr>
                <w:rFonts w:hint="eastAsia" w:ascii="宋体" w:hAnsi="宋体" w:cs="宋体"/>
                <w:bCs/>
                <w:color w:val="auto"/>
                <w:sz w:val="24"/>
                <w:szCs w:val="24"/>
              </w:rPr>
              <w:t>报价</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bCs/>
                <w:color w:val="auto"/>
                <w:sz w:val="24"/>
                <w:szCs w:val="24"/>
              </w:rPr>
            </w:pPr>
            <w:r>
              <w:rPr>
                <w:rFonts w:hint="eastAsia" w:ascii="宋体" w:hAnsi="宋体" w:cs="宋体"/>
                <w:bCs/>
                <w:color w:val="auto"/>
                <w:sz w:val="24"/>
                <w:szCs w:val="24"/>
              </w:rPr>
              <w:t>部分</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bCs/>
                <w:color w:val="auto"/>
                <w:sz w:val="24"/>
                <w:szCs w:val="24"/>
              </w:rPr>
            </w:pPr>
            <w:r>
              <w:rPr>
                <w:rFonts w:hint="eastAsia" w:ascii="宋体" w:hAnsi="宋体" w:cs="宋体"/>
                <w:bCs/>
                <w:color w:val="auto"/>
                <w:sz w:val="24"/>
                <w:szCs w:val="24"/>
              </w:rPr>
              <w:t>（</w:t>
            </w:r>
            <w:r>
              <w:rPr>
                <w:rFonts w:hint="eastAsia" w:ascii="宋体" w:hAnsi="宋体" w:cs="宋体"/>
                <w:bCs/>
                <w:color w:val="auto"/>
                <w:sz w:val="24"/>
                <w:szCs w:val="24"/>
                <w:lang w:val="en-US" w:eastAsia="zh-CN"/>
              </w:rPr>
              <w:t>10</w:t>
            </w:r>
            <w:r>
              <w:rPr>
                <w:rFonts w:hint="eastAsia" w:ascii="宋体" w:hAnsi="宋体" w:cs="宋体"/>
                <w:bCs/>
                <w:color w:val="auto"/>
                <w:sz w:val="24"/>
                <w:szCs w:val="24"/>
              </w:rPr>
              <w:t>分）</w:t>
            </w:r>
          </w:p>
        </w:tc>
        <w:tc>
          <w:tcPr>
            <w:tcW w:w="140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color w:val="auto"/>
                <w:sz w:val="24"/>
                <w:szCs w:val="24"/>
              </w:rPr>
            </w:pPr>
            <w:r>
              <w:rPr>
                <w:rFonts w:hint="eastAsia" w:ascii="宋体" w:hAnsi="宋体" w:cs="宋体"/>
                <w:bCs/>
                <w:color w:val="auto"/>
                <w:sz w:val="24"/>
                <w:szCs w:val="24"/>
              </w:rPr>
              <w:t>投标报价</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bCs/>
                <w:color w:val="auto"/>
                <w:sz w:val="24"/>
                <w:szCs w:val="24"/>
              </w:rPr>
            </w:pPr>
            <w:r>
              <w:rPr>
                <w:rFonts w:hint="eastAsia" w:ascii="宋体" w:hAnsi="宋体" w:cs="宋体"/>
                <w:bCs/>
                <w:color w:val="auto"/>
                <w:sz w:val="24"/>
                <w:szCs w:val="24"/>
              </w:rPr>
              <w:t>（</w:t>
            </w:r>
            <w:r>
              <w:rPr>
                <w:rFonts w:hint="eastAsia" w:ascii="宋体" w:hAnsi="宋体" w:cs="宋体"/>
                <w:bCs/>
                <w:color w:val="auto"/>
                <w:sz w:val="24"/>
                <w:szCs w:val="24"/>
                <w:lang w:val="en-US" w:eastAsia="zh-CN"/>
              </w:rPr>
              <w:t>10</w:t>
            </w:r>
            <w:r>
              <w:rPr>
                <w:rFonts w:hint="eastAsia" w:ascii="宋体" w:hAnsi="宋体" w:cs="宋体"/>
                <w:bCs/>
                <w:color w:val="auto"/>
                <w:sz w:val="24"/>
                <w:szCs w:val="24"/>
              </w:rPr>
              <w:t>分）</w:t>
            </w:r>
          </w:p>
        </w:tc>
        <w:tc>
          <w:tcPr>
            <w:tcW w:w="5926"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bCs/>
                <w:color w:val="auto"/>
                <w:sz w:val="24"/>
                <w:szCs w:val="24"/>
                <w:lang w:val="zh-CN"/>
              </w:rPr>
            </w:pPr>
            <w:r>
              <w:rPr>
                <w:rFonts w:hint="eastAsia" w:ascii="宋体" w:hAnsi="宋体" w:cs="宋体"/>
                <w:bCs/>
                <w:color w:val="auto"/>
                <w:sz w:val="24"/>
                <w:szCs w:val="24"/>
                <w:lang w:val="zh-CN"/>
              </w:rPr>
              <w:t>满足招标文件要求且投标报价最低的供应商的价格为评标基准价，其价格分为满分</w:t>
            </w:r>
            <w:r>
              <w:rPr>
                <w:rFonts w:hint="eastAsia" w:ascii="宋体" w:hAnsi="宋体" w:cs="宋体"/>
                <w:bCs/>
                <w:color w:val="auto"/>
                <w:sz w:val="24"/>
                <w:szCs w:val="24"/>
                <w:lang w:val="en-US" w:eastAsia="zh-CN"/>
              </w:rPr>
              <w:t>10</w:t>
            </w:r>
            <w:r>
              <w:rPr>
                <w:rFonts w:hint="eastAsia" w:ascii="宋体" w:hAnsi="宋体" w:cs="宋体"/>
                <w:bCs/>
                <w:color w:val="auto"/>
                <w:sz w:val="24"/>
                <w:szCs w:val="24"/>
                <w:lang w:val="zh-CN"/>
              </w:rPr>
              <w:t>分。其他供应商的价格分统一按照下列公式计算：</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bCs/>
                <w:color w:val="auto"/>
                <w:sz w:val="24"/>
                <w:szCs w:val="24"/>
                <w:lang w:val="zh-CN"/>
              </w:rPr>
            </w:pPr>
            <w:r>
              <w:rPr>
                <w:rFonts w:hint="eastAsia" w:ascii="宋体" w:hAnsi="宋体" w:cs="宋体"/>
                <w:bCs/>
                <w:color w:val="auto"/>
                <w:sz w:val="24"/>
                <w:szCs w:val="24"/>
                <w:lang w:val="zh-CN"/>
              </w:rPr>
              <w:t>投标报价得分=（评标基准价/投标报价）×价格权重×100</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bCs/>
                <w:color w:val="auto"/>
                <w:sz w:val="24"/>
                <w:szCs w:val="24"/>
              </w:rPr>
            </w:pPr>
            <w:r>
              <w:rPr>
                <w:rFonts w:hint="eastAsia" w:ascii="宋体" w:hAnsi="宋体" w:cs="宋体"/>
                <w:bCs/>
                <w:color w:val="auto"/>
                <w:sz w:val="24"/>
                <w:szCs w:val="24"/>
                <w:lang w:val="zh-CN"/>
              </w:rPr>
              <w:t>计算结果保留2位小数。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5"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color w:val="auto"/>
                <w:kern w:val="0"/>
                <w:sz w:val="24"/>
                <w:szCs w:val="24"/>
              </w:rPr>
            </w:pPr>
            <w:r>
              <w:rPr>
                <w:rFonts w:hint="eastAsia" w:ascii="宋体" w:hAnsi="宋体" w:cs="宋体"/>
                <w:color w:val="auto"/>
                <w:kern w:val="0"/>
                <w:sz w:val="24"/>
                <w:szCs w:val="24"/>
              </w:rPr>
              <w:t>2</w:t>
            </w:r>
          </w:p>
        </w:tc>
        <w:tc>
          <w:tcPr>
            <w:tcW w:w="1176"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bCs/>
                <w:color w:val="auto"/>
                <w:sz w:val="24"/>
                <w:szCs w:val="24"/>
              </w:rPr>
            </w:pPr>
            <w:r>
              <w:rPr>
                <w:rFonts w:hint="eastAsia" w:ascii="宋体" w:hAnsi="宋体" w:cs="宋体"/>
                <w:bCs/>
                <w:color w:val="auto"/>
                <w:sz w:val="24"/>
                <w:szCs w:val="24"/>
              </w:rPr>
              <w:t>商务</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bCs/>
                <w:color w:val="auto"/>
                <w:sz w:val="24"/>
                <w:szCs w:val="24"/>
              </w:rPr>
            </w:pPr>
            <w:r>
              <w:rPr>
                <w:rFonts w:hint="eastAsia" w:ascii="宋体" w:hAnsi="宋体" w:cs="宋体"/>
                <w:bCs/>
                <w:color w:val="auto"/>
                <w:sz w:val="24"/>
                <w:szCs w:val="24"/>
              </w:rPr>
              <w:t>部分</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bCs/>
                <w:color w:val="auto"/>
                <w:sz w:val="24"/>
                <w:szCs w:val="24"/>
              </w:rPr>
            </w:pPr>
            <w:r>
              <w:rPr>
                <w:rFonts w:hint="eastAsia" w:ascii="宋体" w:hAnsi="宋体" w:cs="宋体"/>
                <w:bCs/>
                <w:color w:val="auto"/>
                <w:sz w:val="24"/>
                <w:szCs w:val="24"/>
              </w:rPr>
              <w:t>（</w:t>
            </w:r>
            <w:r>
              <w:rPr>
                <w:rFonts w:hint="eastAsia" w:ascii="宋体" w:hAnsi="宋体" w:cs="宋体"/>
                <w:bCs/>
                <w:color w:val="auto"/>
                <w:sz w:val="24"/>
                <w:szCs w:val="24"/>
                <w:lang w:val="en-US" w:eastAsia="zh-CN"/>
              </w:rPr>
              <w:t>40</w:t>
            </w:r>
            <w:r>
              <w:rPr>
                <w:rFonts w:hint="eastAsia" w:ascii="宋体" w:hAnsi="宋体" w:cs="宋体"/>
                <w:bCs/>
                <w:color w:val="auto"/>
                <w:sz w:val="24"/>
                <w:szCs w:val="24"/>
              </w:rPr>
              <w:t>分）</w:t>
            </w:r>
          </w:p>
        </w:tc>
        <w:tc>
          <w:tcPr>
            <w:tcW w:w="140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bCs/>
                <w:color w:val="auto"/>
                <w:sz w:val="24"/>
                <w:szCs w:val="24"/>
              </w:rPr>
            </w:pPr>
            <w:r>
              <w:rPr>
                <w:rFonts w:hint="eastAsia" w:ascii="宋体" w:hAnsi="宋体" w:eastAsia="宋体" w:cs="宋体"/>
                <w:color w:val="auto"/>
                <w:sz w:val="24"/>
                <w:szCs w:val="24"/>
                <w:lang w:val="en-US" w:eastAsia="zh-CN"/>
              </w:rPr>
              <w:t>企业业绩</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bCs/>
                <w:color w:val="auto"/>
                <w:sz w:val="24"/>
                <w:szCs w:val="24"/>
              </w:rPr>
            </w:pPr>
            <w:r>
              <w:rPr>
                <w:rFonts w:hint="eastAsia" w:ascii="宋体" w:hAnsi="宋体" w:cs="宋体"/>
                <w:bCs/>
                <w:color w:val="auto"/>
                <w:sz w:val="24"/>
                <w:szCs w:val="24"/>
              </w:rPr>
              <w:t>（</w:t>
            </w:r>
            <w:r>
              <w:rPr>
                <w:rFonts w:hint="eastAsia" w:ascii="宋体" w:hAnsi="宋体" w:cs="宋体"/>
                <w:bCs/>
                <w:color w:val="auto"/>
                <w:sz w:val="24"/>
                <w:szCs w:val="24"/>
                <w:lang w:val="en-US" w:eastAsia="zh-CN"/>
              </w:rPr>
              <w:t>8</w:t>
            </w:r>
            <w:r>
              <w:rPr>
                <w:rFonts w:hint="eastAsia" w:ascii="宋体" w:hAnsi="宋体" w:cs="宋体"/>
                <w:bCs/>
                <w:color w:val="auto"/>
                <w:sz w:val="24"/>
                <w:szCs w:val="24"/>
              </w:rPr>
              <w:t>分）</w:t>
            </w:r>
          </w:p>
        </w:tc>
        <w:tc>
          <w:tcPr>
            <w:tcW w:w="5926"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bCs/>
                <w:color w:val="auto"/>
                <w:sz w:val="24"/>
                <w:szCs w:val="24"/>
                <w:lang w:val="zh-CN"/>
              </w:rPr>
            </w:pPr>
            <w:r>
              <w:rPr>
                <w:rFonts w:hint="eastAsia" w:ascii="宋体" w:hAnsi="宋体" w:cs="宋体"/>
                <w:bCs/>
                <w:color w:val="auto"/>
                <w:sz w:val="24"/>
                <w:szCs w:val="24"/>
                <w:lang w:val="zh-CN"/>
              </w:rPr>
              <w:t>近三年（2019年1月1日至今）承担过相同或类似信息化监理项目，每提供1个得2 分，最高得8分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bCs/>
                <w:color w:val="auto"/>
                <w:sz w:val="24"/>
                <w:szCs w:val="24"/>
                <w:lang w:val="zh-CN"/>
              </w:rPr>
            </w:pPr>
            <w:r>
              <w:rPr>
                <w:rFonts w:hint="eastAsia" w:ascii="宋体" w:hAnsi="宋体" w:cs="宋体"/>
                <w:bCs/>
                <w:color w:val="auto"/>
                <w:sz w:val="24"/>
                <w:szCs w:val="24"/>
                <w:lang w:val="zh-CN"/>
              </w:rPr>
              <w:t>（注：要求能够提供类似或相近信息化监理项目合同复印件加盖公章为准，否则不予认可。）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5"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kern w:val="0"/>
                <w:sz w:val="24"/>
                <w:szCs w:val="24"/>
              </w:rPr>
            </w:pPr>
          </w:p>
        </w:tc>
        <w:tc>
          <w:tcPr>
            <w:tcW w:w="1176"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bCs/>
                <w:color w:val="auto"/>
                <w:sz w:val="24"/>
                <w:szCs w:val="24"/>
              </w:rPr>
            </w:pPr>
          </w:p>
        </w:tc>
        <w:tc>
          <w:tcPr>
            <w:tcW w:w="140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企业资质</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bCs/>
                <w:color w:val="auto"/>
                <w:sz w:val="24"/>
                <w:szCs w:val="24"/>
              </w:rPr>
            </w:pPr>
            <w:r>
              <w:rPr>
                <w:rFonts w:hint="eastAsia" w:ascii="宋体" w:hAnsi="宋体" w:cs="宋体"/>
                <w:bCs/>
                <w:color w:val="auto"/>
                <w:sz w:val="24"/>
                <w:szCs w:val="24"/>
              </w:rPr>
              <w:t>（</w:t>
            </w:r>
            <w:r>
              <w:rPr>
                <w:rFonts w:hint="eastAsia" w:ascii="宋体" w:hAnsi="宋体" w:cs="宋体"/>
                <w:bCs/>
                <w:color w:val="auto"/>
                <w:sz w:val="24"/>
                <w:szCs w:val="24"/>
                <w:lang w:val="en-US" w:eastAsia="zh-CN"/>
              </w:rPr>
              <w:t>8</w:t>
            </w:r>
            <w:r>
              <w:rPr>
                <w:rFonts w:hint="eastAsia" w:ascii="宋体" w:hAnsi="宋体" w:cs="宋体"/>
                <w:bCs/>
                <w:color w:val="auto"/>
                <w:sz w:val="24"/>
                <w:szCs w:val="24"/>
              </w:rPr>
              <w:t>分）</w:t>
            </w:r>
          </w:p>
        </w:tc>
        <w:tc>
          <w:tcPr>
            <w:tcW w:w="5926"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bCs/>
                <w:color w:val="auto"/>
                <w:sz w:val="24"/>
                <w:szCs w:val="24"/>
                <w:lang w:val="zh-CN"/>
              </w:rPr>
            </w:pPr>
            <w:r>
              <w:rPr>
                <w:rFonts w:hint="eastAsia" w:ascii="宋体" w:hAnsi="宋体" w:cs="宋体"/>
                <w:bCs/>
                <w:color w:val="auto"/>
                <w:sz w:val="24"/>
                <w:szCs w:val="24"/>
                <w:lang w:val="zh-CN"/>
              </w:rPr>
              <w:t>1、具有信息安全风险评估服务资质的得2分；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bCs/>
                <w:color w:val="auto"/>
                <w:sz w:val="24"/>
                <w:szCs w:val="24"/>
                <w:lang w:val="zh-CN"/>
              </w:rPr>
            </w:pPr>
            <w:r>
              <w:rPr>
                <w:rFonts w:hint="eastAsia" w:ascii="宋体" w:hAnsi="宋体" w:cs="宋体"/>
                <w:bCs/>
                <w:color w:val="auto"/>
                <w:sz w:val="24"/>
                <w:szCs w:val="24"/>
                <w:lang w:val="zh-CN"/>
              </w:rPr>
              <w:t>2、具有机电安装工程监理甲级得3分，乙级的得2分；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bCs/>
                <w:color w:val="auto"/>
                <w:sz w:val="24"/>
                <w:szCs w:val="24"/>
                <w:lang w:val="zh-CN"/>
              </w:rPr>
            </w:pPr>
            <w:r>
              <w:rPr>
                <w:rFonts w:hint="eastAsia" w:ascii="宋体" w:hAnsi="宋体" w:cs="宋体"/>
                <w:bCs/>
                <w:color w:val="auto"/>
                <w:sz w:val="24"/>
                <w:szCs w:val="24"/>
                <w:lang w:val="zh-CN"/>
              </w:rPr>
              <w:t>3、涉密信息系统集成（工程监理）资质甲级的得3分，乙级的得2分；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5"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kern w:val="0"/>
                <w:sz w:val="24"/>
                <w:szCs w:val="24"/>
              </w:rPr>
            </w:pPr>
          </w:p>
        </w:tc>
        <w:tc>
          <w:tcPr>
            <w:tcW w:w="1176"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bCs/>
                <w:color w:val="auto"/>
                <w:sz w:val="24"/>
                <w:szCs w:val="24"/>
              </w:rPr>
            </w:pPr>
          </w:p>
        </w:tc>
        <w:tc>
          <w:tcPr>
            <w:tcW w:w="140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企业认证</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bCs/>
                <w:color w:val="auto"/>
                <w:sz w:val="24"/>
                <w:szCs w:val="24"/>
              </w:rPr>
            </w:pPr>
            <w:r>
              <w:rPr>
                <w:rFonts w:hint="eastAsia" w:ascii="宋体" w:hAnsi="宋体" w:cs="宋体"/>
                <w:bCs/>
                <w:color w:val="auto"/>
                <w:sz w:val="24"/>
                <w:szCs w:val="24"/>
              </w:rPr>
              <w:t>（</w:t>
            </w:r>
            <w:r>
              <w:rPr>
                <w:rFonts w:hint="eastAsia" w:ascii="宋体" w:hAnsi="宋体" w:cs="宋体"/>
                <w:bCs/>
                <w:color w:val="auto"/>
                <w:sz w:val="24"/>
                <w:szCs w:val="24"/>
                <w:lang w:val="en-US" w:eastAsia="zh-CN"/>
              </w:rPr>
              <w:t>8</w:t>
            </w:r>
            <w:r>
              <w:rPr>
                <w:rFonts w:hint="eastAsia" w:ascii="宋体" w:hAnsi="宋体" w:cs="宋体"/>
                <w:bCs/>
                <w:color w:val="auto"/>
                <w:sz w:val="24"/>
                <w:szCs w:val="24"/>
              </w:rPr>
              <w:t>分）</w:t>
            </w:r>
          </w:p>
        </w:tc>
        <w:tc>
          <w:tcPr>
            <w:tcW w:w="5926"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bCs/>
                <w:color w:val="auto"/>
                <w:sz w:val="24"/>
                <w:szCs w:val="24"/>
                <w:lang w:val="zh-CN"/>
              </w:rPr>
            </w:pPr>
            <w:r>
              <w:rPr>
                <w:rFonts w:hint="eastAsia" w:ascii="宋体" w:hAnsi="宋体" w:cs="宋体"/>
                <w:bCs/>
                <w:color w:val="auto"/>
                <w:sz w:val="24"/>
                <w:szCs w:val="24"/>
                <w:lang w:val="zh-CN"/>
              </w:rPr>
              <w:t>1、具有质量管理体系认证的得2分；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bCs/>
                <w:color w:val="auto"/>
                <w:sz w:val="24"/>
                <w:szCs w:val="24"/>
                <w:lang w:val="zh-CN"/>
              </w:rPr>
            </w:pPr>
            <w:r>
              <w:rPr>
                <w:rFonts w:hint="eastAsia" w:ascii="宋体" w:hAnsi="宋体" w:cs="宋体"/>
                <w:bCs/>
                <w:color w:val="auto"/>
                <w:sz w:val="24"/>
                <w:szCs w:val="24"/>
                <w:lang w:val="zh-CN"/>
              </w:rPr>
              <w:t>2、具有环境管理体系认证的得2分；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bCs/>
                <w:color w:val="auto"/>
                <w:sz w:val="24"/>
                <w:szCs w:val="24"/>
                <w:lang w:val="zh-CN"/>
              </w:rPr>
            </w:pPr>
            <w:r>
              <w:rPr>
                <w:rFonts w:hint="eastAsia" w:ascii="宋体" w:hAnsi="宋体" w:cs="宋体"/>
                <w:bCs/>
                <w:color w:val="auto"/>
                <w:sz w:val="24"/>
                <w:szCs w:val="24"/>
                <w:lang w:val="zh-CN"/>
              </w:rPr>
              <w:t>3、具有职业健康管理体系认证的得2分；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bCs/>
                <w:color w:val="auto"/>
                <w:sz w:val="24"/>
                <w:szCs w:val="24"/>
                <w:lang w:val="zh-CN"/>
              </w:rPr>
            </w:pPr>
            <w:r>
              <w:rPr>
                <w:rFonts w:hint="eastAsia" w:ascii="宋体" w:hAnsi="宋体" w:cs="宋体"/>
                <w:bCs/>
                <w:color w:val="auto"/>
                <w:sz w:val="24"/>
                <w:szCs w:val="24"/>
                <w:lang w:val="zh-CN"/>
              </w:rPr>
              <w:t>4、具有信息安全管理体系认证的得2分；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5"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kern w:val="0"/>
                <w:sz w:val="24"/>
                <w:szCs w:val="24"/>
              </w:rPr>
            </w:pPr>
          </w:p>
        </w:tc>
        <w:tc>
          <w:tcPr>
            <w:tcW w:w="1176"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bCs/>
                <w:color w:val="auto"/>
                <w:sz w:val="24"/>
                <w:szCs w:val="24"/>
              </w:rPr>
            </w:pPr>
          </w:p>
        </w:tc>
        <w:tc>
          <w:tcPr>
            <w:tcW w:w="140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总监理工程师</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en-US" w:eastAsia="zh-CN"/>
              </w:rPr>
              <w:t>7</w:t>
            </w:r>
            <w:r>
              <w:rPr>
                <w:rFonts w:hint="eastAsia" w:ascii="宋体" w:hAnsi="宋体" w:cs="宋体"/>
                <w:color w:val="auto"/>
                <w:sz w:val="24"/>
                <w:szCs w:val="24"/>
                <w:lang w:val="en-US" w:eastAsia="zh-CN"/>
              </w:rPr>
              <w:t>分</w:t>
            </w:r>
            <w:r>
              <w:rPr>
                <w:rFonts w:hint="eastAsia" w:ascii="宋体" w:hAnsi="宋体" w:eastAsia="宋体" w:cs="宋体"/>
                <w:color w:val="auto"/>
                <w:sz w:val="24"/>
                <w:szCs w:val="24"/>
                <w:lang w:val="zh-CN" w:eastAsia="zh-CN"/>
              </w:rPr>
              <w:t>）</w:t>
            </w:r>
          </w:p>
        </w:tc>
        <w:tc>
          <w:tcPr>
            <w:tcW w:w="5926"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bCs/>
                <w:color w:val="auto"/>
                <w:sz w:val="24"/>
                <w:szCs w:val="24"/>
                <w:lang w:val="zh-CN"/>
              </w:rPr>
            </w:pPr>
            <w:r>
              <w:rPr>
                <w:rFonts w:hint="eastAsia" w:ascii="宋体" w:hAnsi="宋体" w:cs="宋体"/>
                <w:bCs/>
                <w:color w:val="auto"/>
                <w:sz w:val="24"/>
                <w:szCs w:val="24"/>
                <w:lang w:val="zh-CN"/>
              </w:rPr>
              <w:t>总监理工程师能力：</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bCs/>
                <w:color w:val="auto"/>
                <w:sz w:val="24"/>
                <w:szCs w:val="24"/>
                <w:lang w:val="zh-CN"/>
              </w:rPr>
            </w:pPr>
            <w:r>
              <w:rPr>
                <w:rFonts w:hint="eastAsia" w:ascii="宋体" w:hAnsi="宋体" w:cs="宋体"/>
                <w:bCs/>
                <w:color w:val="auto"/>
                <w:sz w:val="24"/>
                <w:szCs w:val="24"/>
                <w:lang w:val="zh-CN"/>
              </w:rPr>
              <w:t>（1）具备信息系统监理师证书的得2分；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bCs/>
                <w:color w:val="auto"/>
                <w:sz w:val="24"/>
                <w:szCs w:val="24"/>
                <w:lang w:val="zh-CN"/>
              </w:rPr>
            </w:pPr>
            <w:r>
              <w:rPr>
                <w:rFonts w:hint="eastAsia" w:ascii="宋体" w:hAnsi="宋体" w:cs="宋体"/>
                <w:bCs/>
                <w:color w:val="auto"/>
                <w:sz w:val="24"/>
                <w:szCs w:val="24"/>
                <w:lang w:val="zh-CN"/>
              </w:rPr>
              <w:t>（2）具备网络工程师证书的得2分；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bCs/>
                <w:color w:val="auto"/>
                <w:sz w:val="24"/>
                <w:szCs w:val="24"/>
                <w:lang w:val="zh-CN"/>
              </w:rPr>
            </w:pPr>
            <w:r>
              <w:rPr>
                <w:rFonts w:hint="eastAsia" w:ascii="宋体" w:hAnsi="宋体" w:cs="宋体"/>
                <w:bCs/>
                <w:color w:val="auto"/>
                <w:sz w:val="24"/>
                <w:szCs w:val="24"/>
                <w:lang w:val="zh-CN"/>
              </w:rPr>
              <w:t>（3）具备咨询工程师证书的得2分；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bCs/>
                <w:color w:val="auto"/>
                <w:sz w:val="24"/>
                <w:szCs w:val="24"/>
                <w:lang w:val="zh-CN"/>
              </w:rPr>
            </w:pPr>
            <w:r>
              <w:rPr>
                <w:rFonts w:hint="eastAsia" w:ascii="宋体" w:hAnsi="宋体" w:cs="宋体"/>
                <w:bCs/>
                <w:color w:val="auto"/>
                <w:sz w:val="24"/>
                <w:szCs w:val="24"/>
                <w:lang w:val="zh-CN"/>
              </w:rPr>
              <w:t>（4）具备系统集成项目管理师证书的得1分；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5"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kern w:val="0"/>
                <w:sz w:val="24"/>
                <w:szCs w:val="24"/>
              </w:rPr>
            </w:pPr>
          </w:p>
        </w:tc>
        <w:tc>
          <w:tcPr>
            <w:tcW w:w="1176"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bCs/>
                <w:color w:val="auto"/>
                <w:sz w:val="24"/>
                <w:szCs w:val="24"/>
              </w:rPr>
            </w:pPr>
          </w:p>
        </w:tc>
        <w:tc>
          <w:tcPr>
            <w:tcW w:w="140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监理组织机构人员</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bCs/>
                <w:color w:val="auto"/>
                <w:sz w:val="24"/>
                <w:szCs w:val="24"/>
              </w:rPr>
            </w:pPr>
            <w:r>
              <w:rPr>
                <w:rFonts w:hint="eastAsia" w:ascii="宋体" w:hAnsi="宋体" w:eastAsia="宋体" w:cs="宋体"/>
                <w:color w:val="auto"/>
                <w:sz w:val="24"/>
                <w:szCs w:val="24"/>
                <w:lang w:val="zh-CN" w:eastAsia="zh-CN"/>
              </w:rPr>
              <w:t>（</w:t>
            </w:r>
            <w:r>
              <w:rPr>
                <w:rFonts w:hint="eastAsia" w:ascii="宋体" w:hAnsi="宋体" w:cs="宋体"/>
                <w:color w:val="auto"/>
                <w:sz w:val="24"/>
                <w:szCs w:val="24"/>
                <w:lang w:val="en-US" w:eastAsia="zh-CN"/>
              </w:rPr>
              <w:t>4分</w:t>
            </w:r>
            <w:r>
              <w:rPr>
                <w:rFonts w:hint="eastAsia" w:ascii="宋体" w:hAnsi="宋体" w:eastAsia="宋体" w:cs="宋体"/>
                <w:color w:val="auto"/>
                <w:sz w:val="24"/>
                <w:szCs w:val="24"/>
                <w:lang w:val="zh-CN" w:eastAsia="zh-CN"/>
              </w:rPr>
              <w:t>）</w:t>
            </w:r>
          </w:p>
        </w:tc>
        <w:tc>
          <w:tcPr>
            <w:tcW w:w="5926"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bCs/>
                <w:color w:val="auto"/>
                <w:sz w:val="24"/>
                <w:szCs w:val="24"/>
                <w:lang w:val="zh-CN"/>
              </w:rPr>
            </w:pPr>
            <w:r>
              <w:rPr>
                <w:rFonts w:hint="eastAsia" w:ascii="宋体" w:hAnsi="宋体" w:cs="宋体"/>
                <w:bCs/>
                <w:color w:val="auto"/>
                <w:sz w:val="24"/>
                <w:szCs w:val="24"/>
                <w:lang w:val="zh-CN"/>
              </w:rPr>
              <w:t>1、能够提供1名信息系统监理师的得1分；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bCs/>
                <w:color w:val="auto"/>
                <w:sz w:val="24"/>
                <w:szCs w:val="24"/>
                <w:lang w:val="zh-CN"/>
              </w:rPr>
            </w:pPr>
            <w:r>
              <w:rPr>
                <w:rFonts w:hint="eastAsia" w:ascii="宋体" w:hAnsi="宋体" w:cs="宋体"/>
                <w:bCs/>
                <w:color w:val="auto"/>
                <w:sz w:val="24"/>
                <w:szCs w:val="24"/>
                <w:lang w:val="zh-CN"/>
              </w:rPr>
              <w:t>2、能够提供1名通信工程监理工程师的得1分；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bCs/>
                <w:color w:val="auto"/>
                <w:sz w:val="24"/>
                <w:szCs w:val="24"/>
                <w:lang w:val="zh-CN"/>
              </w:rPr>
            </w:pPr>
            <w:r>
              <w:rPr>
                <w:rFonts w:hint="eastAsia" w:ascii="宋体" w:hAnsi="宋体" w:cs="宋体"/>
                <w:bCs/>
                <w:color w:val="auto"/>
                <w:sz w:val="24"/>
                <w:szCs w:val="24"/>
                <w:lang w:val="zh-CN"/>
              </w:rPr>
              <w:t>3、能够提供1名信息与通信工程相关专业高级工程师的得1分；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bCs/>
                <w:color w:val="auto"/>
                <w:sz w:val="24"/>
                <w:szCs w:val="24"/>
                <w:lang w:val="zh-CN"/>
              </w:rPr>
            </w:pPr>
            <w:r>
              <w:rPr>
                <w:rFonts w:hint="eastAsia" w:ascii="宋体" w:hAnsi="宋体" w:cs="宋体"/>
                <w:bCs/>
                <w:color w:val="auto"/>
                <w:sz w:val="24"/>
                <w:szCs w:val="24"/>
                <w:lang w:val="zh-CN"/>
              </w:rPr>
              <w:t>4、能够提供1名造价工程师（安装工程）的得1分；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bCs/>
                <w:color w:val="auto"/>
                <w:sz w:val="24"/>
                <w:szCs w:val="24"/>
                <w:lang w:val="zh-CN"/>
              </w:rPr>
            </w:pPr>
            <w:r>
              <w:rPr>
                <w:rFonts w:hint="eastAsia" w:ascii="宋体" w:hAnsi="宋体" w:cs="宋体"/>
                <w:bCs/>
                <w:color w:val="auto"/>
                <w:sz w:val="24"/>
                <w:szCs w:val="24"/>
                <w:lang w:val="zh-CN"/>
              </w:rPr>
              <w:t>（注：提供人员在投标单位近3个月社保的证明材料及相应证书复印件，否则不予认可。同一人具备多个证书，不重复计算。）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775"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kern w:val="0"/>
                <w:sz w:val="24"/>
                <w:szCs w:val="24"/>
              </w:rPr>
            </w:pPr>
          </w:p>
        </w:tc>
        <w:tc>
          <w:tcPr>
            <w:tcW w:w="1176"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bCs/>
                <w:color w:val="auto"/>
                <w:sz w:val="24"/>
                <w:szCs w:val="24"/>
              </w:rPr>
            </w:pPr>
          </w:p>
        </w:tc>
        <w:tc>
          <w:tcPr>
            <w:tcW w:w="140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bCs/>
                <w:color w:val="auto"/>
                <w:sz w:val="24"/>
                <w:szCs w:val="24"/>
              </w:rPr>
            </w:pPr>
            <w:r>
              <w:rPr>
                <w:rFonts w:hint="eastAsia" w:ascii="宋体" w:hAnsi="宋体" w:eastAsia="宋体" w:cs="宋体"/>
                <w:color w:val="auto"/>
                <w:sz w:val="24"/>
                <w:szCs w:val="24"/>
                <w:lang w:val="zh-CN"/>
              </w:rPr>
              <w:t>检测设备</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cs="宋体"/>
                <w:bCs/>
                <w:color w:val="auto"/>
                <w:sz w:val="24"/>
                <w:szCs w:val="24"/>
              </w:rPr>
              <w:t>（</w:t>
            </w:r>
            <w:r>
              <w:rPr>
                <w:rFonts w:hint="eastAsia" w:ascii="宋体" w:hAnsi="宋体" w:cs="宋体"/>
                <w:bCs/>
                <w:color w:val="auto"/>
                <w:sz w:val="24"/>
                <w:szCs w:val="24"/>
                <w:lang w:val="en-US" w:eastAsia="zh-CN"/>
              </w:rPr>
              <w:t>5</w:t>
            </w:r>
            <w:r>
              <w:rPr>
                <w:rFonts w:hint="eastAsia" w:ascii="宋体" w:hAnsi="宋体" w:cs="宋体"/>
                <w:bCs/>
                <w:color w:val="auto"/>
                <w:sz w:val="24"/>
                <w:szCs w:val="24"/>
              </w:rPr>
              <w:t>分）</w:t>
            </w:r>
          </w:p>
        </w:tc>
        <w:tc>
          <w:tcPr>
            <w:tcW w:w="5926"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lang w:val="zh-CN" w:eastAsia="zh-CN" w:bidi="ar-SA"/>
              </w:rPr>
            </w:pPr>
            <w:r>
              <w:rPr>
                <w:rFonts w:hint="eastAsia" w:ascii="宋体" w:hAnsi="宋体" w:cs="宋体"/>
                <w:bCs/>
                <w:color w:val="auto"/>
                <w:sz w:val="24"/>
                <w:szCs w:val="24"/>
                <w:lang w:val="zh-CN"/>
              </w:rPr>
              <w:t>信息化项目检测设备，能够提供详细设备品牌、购买发票及最近一次校准记录的得5分，否则不得分；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5"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color w:val="auto"/>
                <w:kern w:val="0"/>
                <w:sz w:val="24"/>
                <w:szCs w:val="24"/>
              </w:rPr>
            </w:pPr>
            <w:r>
              <w:rPr>
                <w:rFonts w:hint="eastAsia" w:ascii="宋体" w:hAnsi="宋体" w:cs="宋体"/>
                <w:color w:val="auto"/>
                <w:kern w:val="0"/>
                <w:sz w:val="24"/>
                <w:szCs w:val="24"/>
              </w:rPr>
              <w:t>3</w:t>
            </w:r>
          </w:p>
        </w:tc>
        <w:tc>
          <w:tcPr>
            <w:tcW w:w="1176"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bCs/>
                <w:color w:val="auto"/>
                <w:sz w:val="24"/>
                <w:szCs w:val="24"/>
              </w:rPr>
            </w:pPr>
            <w:r>
              <w:rPr>
                <w:rFonts w:hint="eastAsia" w:ascii="宋体" w:hAnsi="宋体" w:cs="宋体"/>
                <w:bCs/>
                <w:color w:val="auto"/>
                <w:sz w:val="24"/>
                <w:szCs w:val="24"/>
              </w:rPr>
              <w:t>技术</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bCs/>
                <w:color w:val="auto"/>
                <w:sz w:val="24"/>
                <w:szCs w:val="24"/>
              </w:rPr>
            </w:pPr>
            <w:r>
              <w:rPr>
                <w:rFonts w:hint="eastAsia" w:ascii="宋体" w:hAnsi="宋体" w:cs="宋体"/>
                <w:bCs/>
                <w:color w:val="auto"/>
                <w:sz w:val="24"/>
                <w:szCs w:val="24"/>
              </w:rPr>
              <w:t>部分</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bCs/>
                <w:color w:val="auto"/>
                <w:sz w:val="24"/>
                <w:szCs w:val="24"/>
              </w:rPr>
            </w:pPr>
            <w:r>
              <w:rPr>
                <w:rFonts w:hint="eastAsia" w:ascii="宋体" w:hAnsi="宋体" w:cs="宋体"/>
                <w:bCs/>
                <w:color w:val="auto"/>
                <w:sz w:val="24"/>
                <w:szCs w:val="24"/>
              </w:rPr>
              <w:t>（</w:t>
            </w:r>
            <w:r>
              <w:rPr>
                <w:rFonts w:hint="eastAsia" w:ascii="宋体" w:hAnsi="宋体" w:cs="宋体"/>
                <w:bCs/>
                <w:color w:val="auto"/>
                <w:sz w:val="24"/>
                <w:szCs w:val="24"/>
                <w:lang w:val="en-US" w:eastAsia="zh-CN"/>
              </w:rPr>
              <w:t>50</w:t>
            </w:r>
            <w:r>
              <w:rPr>
                <w:rFonts w:hint="eastAsia" w:ascii="宋体" w:hAnsi="宋体" w:cs="宋体"/>
                <w:bCs/>
                <w:color w:val="auto"/>
                <w:sz w:val="24"/>
                <w:szCs w:val="24"/>
              </w:rPr>
              <w:t>分）</w:t>
            </w:r>
          </w:p>
        </w:tc>
        <w:tc>
          <w:tcPr>
            <w:tcW w:w="140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质量控制方案</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zh-CN"/>
              </w:rPr>
            </w:pPr>
            <w:r>
              <w:rPr>
                <w:rFonts w:hint="eastAsia" w:ascii="宋体" w:hAnsi="宋体" w:cs="宋体"/>
                <w:bCs/>
                <w:color w:val="auto"/>
                <w:sz w:val="24"/>
                <w:szCs w:val="24"/>
              </w:rPr>
              <w:t>（</w:t>
            </w:r>
            <w:r>
              <w:rPr>
                <w:rFonts w:hint="eastAsia" w:ascii="宋体" w:hAnsi="宋体" w:cs="宋体"/>
                <w:bCs/>
                <w:color w:val="auto"/>
                <w:sz w:val="24"/>
                <w:szCs w:val="24"/>
                <w:lang w:val="en-US" w:eastAsia="zh-CN"/>
              </w:rPr>
              <w:t>8</w:t>
            </w:r>
            <w:r>
              <w:rPr>
                <w:rFonts w:hint="eastAsia" w:ascii="宋体" w:hAnsi="宋体" w:cs="宋体"/>
                <w:bCs/>
                <w:color w:val="auto"/>
                <w:sz w:val="24"/>
                <w:szCs w:val="24"/>
              </w:rPr>
              <w:t>分）</w:t>
            </w:r>
          </w:p>
        </w:tc>
        <w:tc>
          <w:tcPr>
            <w:tcW w:w="5926"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bCs/>
                <w:color w:val="auto"/>
                <w:sz w:val="24"/>
                <w:szCs w:val="24"/>
                <w:lang w:val="zh-CN"/>
              </w:rPr>
            </w:pPr>
            <w:r>
              <w:rPr>
                <w:rFonts w:hint="eastAsia" w:ascii="宋体" w:hAnsi="宋体" w:cs="宋体"/>
                <w:bCs/>
                <w:color w:val="auto"/>
                <w:sz w:val="24"/>
                <w:szCs w:val="24"/>
                <w:lang w:val="en-US" w:eastAsia="zh-CN"/>
              </w:rPr>
              <w:t>对项目质量目标理解深刻，质量控制点掌握准确，质量控制流程清晰、措施得当，质量检测方法科学，优得8分、良得5分、差得2分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5"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color w:val="auto"/>
                <w:kern w:val="0"/>
                <w:sz w:val="24"/>
                <w:szCs w:val="24"/>
              </w:rPr>
            </w:pPr>
          </w:p>
        </w:tc>
        <w:tc>
          <w:tcPr>
            <w:tcW w:w="1176"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color w:val="auto"/>
                <w:kern w:val="0"/>
                <w:sz w:val="24"/>
                <w:szCs w:val="24"/>
              </w:rPr>
            </w:pPr>
          </w:p>
        </w:tc>
        <w:tc>
          <w:tcPr>
            <w:tcW w:w="140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进度控制方案</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zh-CN"/>
              </w:rPr>
            </w:pPr>
            <w:r>
              <w:rPr>
                <w:rFonts w:hint="eastAsia" w:ascii="宋体" w:hAnsi="宋体" w:cs="宋体"/>
                <w:bCs/>
                <w:color w:val="auto"/>
                <w:sz w:val="24"/>
                <w:szCs w:val="24"/>
              </w:rPr>
              <w:t>（</w:t>
            </w:r>
            <w:r>
              <w:rPr>
                <w:rFonts w:hint="eastAsia" w:ascii="宋体" w:hAnsi="宋体" w:cs="宋体"/>
                <w:bCs/>
                <w:color w:val="auto"/>
                <w:sz w:val="24"/>
                <w:szCs w:val="24"/>
                <w:lang w:val="en-US" w:eastAsia="zh-CN"/>
              </w:rPr>
              <w:t>6</w:t>
            </w:r>
            <w:r>
              <w:rPr>
                <w:rFonts w:hint="eastAsia" w:ascii="宋体" w:hAnsi="宋体" w:cs="宋体"/>
                <w:bCs/>
                <w:color w:val="auto"/>
                <w:sz w:val="24"/>
                <w:szCs w:val="24"/>
              </w:rPr>
              <w:t>分）</w:t>
            </w:r>
          </w:p>
        </w:tc>
        <w:tc>
          <w:tcPr>
            <w:tcW w:w="5926"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bCs/>
                <w:color w:val="auto"/>
                <w:sz w:val="24"/>
                <w:szCs w:val="24"/>
                <w:lang w:val="zh-CN"/>
              </w:rPr>
            </w:pPr>
            <w:r>
              <w:rPr>
                <w:rFonts w:hint="eastAsia" w:ascii="宋体" w:hAnsi="宋体" w:cs="宋体"/>
                <w:bCs/>
                <w:color w:val="auto"/>
                <w:sz w:val="24"/>
                <w:szCs w:val="24"/>
                <w:lang w:val="en-US" w:eastAsia="zh-CN"/>
              </w:rPr>
              <w:t>对进度的跟踪及时到位，能够提供准确的进度分析报告和进度控制建议，优得6分、良得4分、差得2分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5"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color w:val="auto"/>
                <w:kern w:val="0"/>
                <w:sz w:val="24"/>
                <w:szCs w:val="24"/>
              </w:rPr>
            </w:pPr>
          </w:p>
        </w:tc>
        <w:tc>
          <w:tcPr>
            <w:tcW w:w="1176"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color w:val="auto"/>
                <w:kern w:val="0"/>
                <w:sz w:val="24"/>
                <w:szCs w:val="24"/>
              </w:rPr>
            </w:pPr>
          </w:p>
        </w:tc>
        <w:tc>
          <w:tcPr>
            <w:tcW w:w="140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投资控制方案</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zh-CN"/>
              </w:rPr>
            </w:pPr>
            <w:r>
              <w:rPr>
                <w:rFonts w:hint="eastAsia" w:ascii="宋体" w:hAnsi="宋体" w:cs="宋体"/>
                <w:bCs/>
                <w:color w:val="auto"/>
                <w:sz w:val="24"/>
                <w:szCs w:val="24"/>
              </w:rPr>
              <w:t>（</w:t>
            </w:r>
            <w:r>
              <w:rPr>
                <w:rFonts w:hint="eastAsia" w:ascii="宋体" w:hAnsi="宋体" w:cs="宋体"/>
                <w:bCs/>
                <w:color w:val="auto"/>
                <w:sz w:val="24"/>
                <w:szCs w:val="24"/>
                <w:lang w:val="en-US" w:eastAsia="zh-CN"/>
              </w:rPr>
              <w:t>6</w:t>
            </w:r>
            <w:r>
              <w:rPr>
                <w:rFonts w:hint="eastAsia" w:ascii="宋体" w:hAnsi="宋体" w:cs="宋体"/>
                <w:bCs/>
                <w:color w:val="auto"/>
                <w:sz w:val="24"/>
                <w:szCs w:val="24"/>
              </w:rPr>
              <w:t>分）</w:t>
            </w:r>
          </w:p>
        </w:tc>
        <w:tc>
          <w:tcPr>
            <w:tcW w:w="5926"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bCs/>
                <w:color w:val="auto"/>
                <w:sz w:val="24"/>
                <w:szCs w:val="24"/>
                <w:lang w:val="zh-CN"/>
              </w:rPr>
            </w:pPr>
            <w:r>
              <w:rPr>
                <w:rFonts w:hint="eastAsia" w:ascii="宋体" w:hAnsi="宋体" w:cs="宋体"/>
                <w:bCs/>
                <w:color w:val="auto"/>
                <w:sz w:val="24"/>
                <w:szCs w:val="24"/>
                <w:lang w:val="en-US" w:eastAsia="zh-CN"/>
              </w:rPr>
              <w:t>对费用支出及实际完成工作量进行及时跟踪，能够准确提供投资控制报告和建议，优得6分、良得4分、差得2分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5"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color w:val="auto"/>
                <w:kern w:val="0"/>
                <w:sz w:val="24"/>
                <w:szCs w:val="24"/>
              </w:rPr>
            </w:pPr>
          </w:p>
        </w:tc>
        <w:tc>
          <w:tcPr>
            <w:tcW w:w="1176"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color w:val="auto"/>
                <w:kern w:val="0"/>
                <w:sz w:val="24"/>
                <w:szCs w:val="24"/>
              </w:rPr>
            </w:pPr>
          </w:p>
        </w:tc>
        <w:tc>
          <w:tcPr>
            <w:tcW w:w="140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变更控制方案</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zh-CN"/>
              </w:rPr>
            </w:pPr>
            <w:r>
              <w:rPr>
                <w:rFonts w:hint="eastAsia" w:ascii="宋体" w:hAnsi="宋体" w:cs="宋体"/>
                <w:bCs/>
                <w:color w:val="auto"/>
                <w:sz w:val="24"/>
                <w:szCs w:val="24"/>
              </w:rPr>
              <w:t>（</w:t>
            </w:r>
            <w:r>
              <w:rPr>
                <w:rFonts w:hint="eastAsia" w:ascii="宋体" w:hAnsi="宋体" w:cs="宋体"/>
                <w:bCs/>
                <w:color w:val="auto"/>
                <w:sz w:val="24"/>
                <w:szCs w:val="24"/>
                <w:lang w:val="en-US" w:eastAsia="zh-CN"/>
              </w:rPr>
              <w:t>4</w:t>
            </w:r>
            <w:r>
              <w:rPr>
                <w:rFonts w:hint="eastAsia" w:ascii="宋体" w:hAnsi="宋体" w:cs="宋体"/>
                <w:bCs/>
                <w:color w:val="auto"/>
                <w:sz w:val="24"/>
                <w:szCs w:val="24"/>
              </w:rPr>
              <w:t>分）</w:t>
            </w:r>
          </w:p>
        </w:tc>
        <w:tc>
          <w:tcPr>
            <w:tcW w:w="5926"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bCs/>
                <w:color w:val="auto"/>
                <w:sz w:val="24"/>
                <w:szCs w:val="24"/>
                <w:lang w:val="zh-CN"/>
              </w:rPr>
            </w:pPr>
            <w:r>
              <w:rPr>
                <w:rFonts w:hint="eastAsia" w:ascii="宋体" w:hAnsi="宋体" w:cs="宋体"/>
                <w:bCs/>
                <w:color w:val="auto"/>
                <w:sz w:val="24"/>
                <w:szCs w:val="24"/>
                <w:lang w:val="en-US" w:eastAsia="zh-CN"/>
              </w:rPr>
              <w:t>建立变更控制系统，对项目中出现的需求、进度、成本、合同变更等进行合理控制，优得4分、良得3分、差得2分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5"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color w:val="auto"/>
                <w:kern w:val="0"/>
                <w:sz w:val="24"/>
                <w:szCs w:val="24"/>
              </w:rPr>
            </w:pPr>
          </w:p>
        </w:tc>
        <w:tc>
          <w:tcPr>
            <w:tcW w:w="1176"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color w:val="auto"/>
                <w:kern w:val="0"/>
                <w:sz w:val="24"/>
                <w:szCs w:val="24"/>
              </w:rPr>
            </w:pPr>
          </w:p>
        </w:tc>
        <w:tc>
          <w:tcPr>
            <w:tcW w:w="140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合同管理方案</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zh-CN"/>
              </w:rPr>
            </w:pPr>
            <w:r>
              <w:rPr>
                <w:rFonts w:hint="eastAsia" w:ascii="宋体" w:hAnsi="宋体" w:cs="宋体"/>
                <w:bCs/>
                <w:color w:val="auto"/>
                <w:sz w:val="24"/>
                <w:szCs w:val="24"/>
              </w:rPr>
              <w:t>（</w:t>
            </w:r>
            <w:r>
              <w:rPr>
                <w:rFonts w:hint="eastAsia" w:ascii="宋体" w:hAnsi="宋体" w:cs="宋体"/>
                <w:bCs/>
                <w:color w:val="auto"/>
                <w:sz w:val="24"/>
                <w:szCs w:val="24"/>
                <w:lang w:val="en-US" w:eastAsia="zh-CN"/>
              </w:rPr>
              <w:t>6</w:t>
            </w:r>
            <w:r>
              <w:rPr>
                <w:rFonts w:hint="eastAsia" w:ascii="宋体" w:hAnsi="宋体" w:cs="宋体"/>
                <w:bCs/>
                <w:color w:val="auto"/>
                <w:sz w:val="24"/>
                <w:szCs w:val="24"/>
              </w:rPr>
              <w:t>分）</w:t>
            </w:r>
          </w:p>
        </w:tc>
        <w:tc>
          <w:tcPr>
            <w:tcW w:w="5926"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bCs/>
                <w:color w:val="auto"/>
                <w:sz w:val="24"/>
                <w:szCs w:val="24"/>
                <w:lang w:val="zh-CN"/>
              </w:rPr>
            </w:pPr>
            <w:r>
              <w:rPr>
                <w:rFonts w:hint="eastAsia" w:ascii="宋体" w:hAnsi="宋体" w:cs="宋体"/>
                <w:bCs/>
                <w:color w:val="auto"/>
                <w:sz w:val="24"/>
                <w:szCs w:val="24"/>
                <w:lang w:val="en-US" w:eastAsia="zh-CN"/>
              </w:rPr>
              <w:t>提出完善的合同管理制度及流程，有完整的合同执行跟踪计划，建立完善的合同管理措施，优得6分、良得4分、差得2分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5"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color w:val="auto"/>
                <w:kern w:val="0"/>
                <w:sz w:val="24"/>
                <w:szCs w:val="24"/>
              </w:rPr>
            </w:pPr>
          </w:p>
        </w:tc>
        <w:tc>
          <w:tcPr>
            <w:tcW w:w="1176"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color w:val="auto"/>
                <w:kern w:val="0"/>
                <w:sz w:val="24"/>
                <w:szCs w:val="24"/>
              </w:rPr>
            </w:pPr>
          </w:p>
        </w:tc>
        <w:tc>
          <w:tcPr>
            <w:tcW w:w="140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文档管理方案</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zh-CN"/>
              </w:rPr>
            </w:pPr>
            <w:r>
              <w:rPr>
                <w:rFonts w:hint="eastAsia" w:ascii="宋体" w:hAnsi="宋体" w:cs="宋体"/>
                <w:bCs/>
                <w:color w:val="auto"/>
                <w:sz w:val="24"/>
                <w:szCs w:val="24"/>
              </w:rPr>
              <w:t>（</w:t>
            </w:r>
            <w:r>
              <w:rPr>
                <w:rFonts w:hint="eastAsia" w:ascii="宋体" w:hAnsi="宋体" w:cs="宋体"/>
                <w:bCs/>
                <w:color w:val="auto"/>
                <w:sz w:val="24"/>
                <w:szCs w:val="24"/>
                <w:lang w:val="en-US" w:eastAsia="zh-CN"/>
              </w:rPr>
              <w:t>5</w:t>
            </w:r>
            <w:r>
              <w:rPr>
                <w:rFonts w:hint="eastAsia" w:ascii="宋体" w:hAnsi="宋体" w:cs="宋体"/>
                <w:bCs/>
                <w:color w:val="auto"/>
                <w:sz w:val="24"/>
                <w:szCs w:val="24"/>
              </w:rPr>
              <w:t>分）</w:t>
            </w:r>
          </w:p>
        </w:tc>
        <w:tc>
          <w:tcPr>
            <w:tcW w:w="5926"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bCs/>
                <w:color w:val="auto"/>
                <w:sz w:val="24"/>
                <w:szCs w:val="24"/>
                <w:lang w:val="zh-CN"/>
              </w:rPr>
            </w:pPr>
            <w:r>
              <w:rPr>
                <w:rFonts w:hint="eastAsia" w:ascii="宋体" w:hAnsi="宋体" w:cs="宋体"/>
                <w:bCs/>
                <w:color w:val="auto"/>
                <w:sz w:val="24"/>
                <w:szCs w:val="24"/>
                <w:lang w:val="en-US" w:eastAsia="zh-CN"/>
              </w:rPr>
              <w:t>提出完善的文档管理制度及流程，建立完善的信息管理数据库，优得5分、良得3分、差得1分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5"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color w:val="auto"/>
                <w:kern w:val="0"/>
                <w:sz w:val="24"/>
                <w:szCs w:val="24"/>
              </w:rPr>
            </w:pPr>
          </w:p>
        </w:tc>
        <w:tc>
          <w:tcPr>
            <w:tcW w:w="1176"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color w:val="auto"/>
                <w:kern w:val="0"/>
                <w:sz w:val="24"/>
                <w:szCs w:val="24"/>
              </w:rPr>
            </w:pPr>
          </w:p>
        </w:tc>
        <w:tc>
          <w:tcPr>
            <w:tcW w:w="140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安全管理方案</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zh-CN"/>
              </w:rPr>
            </w:pPr>
            <w:r>
              <w:rPr>
                <w:rFonts w:hint="eastAsia" w:ascii="宋体" w:hAnsi="宋体" w:cs="宋体"/>
                <w:bCs/>
                <w:color w:val="auto"/>
                <w:sz w:val="24"/>
                <w:szCs w:val="24"/>
              </w:rPr>
              <w:t>（</w:t>
            </w:r>
            <w:r>
              <w:rPr>
                <w:rFonts w:hint="eastAsia" w:ascii="宋体" w:hAnsi="宋体" w:cs="宋体"/>
                <w:bCs/>
                <w:color w:val="auto"/>
                <w:sz w:val="24"/>
                <w:szCs w:val="24"/>
                <w:lang w:val="en-US" w:eastAsia="zh-CN"/>
              </w:rPr>
              <w:t>5</w:t>
            </w:r>
            <w:r>
              <w:rPr>
                <w:rFonts w:hint="eastAsia" w:ascii="宋体" w:hAnsi="宋体" w:cs="宋体"/>
                <w:bCs/>
                <w:color w:val="auto"/>
                <w:sz w:val="24"/>
                <w:szCs w:val="24"/>
              </w:rPr>
              <w:t>分）</w:t>
            </w:r>
          </w:p>
        </w:tc>
        <w:tc>
          <w:tcPr>
            <w:tcW w:w="5926"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bCs/>
                <w:color w:val="auto"/>
                <w:sz w:val="24"/>
                <w:szCs w:val="24"/>
                <w:lang w:val="zh-CN"/>
              </w:rPr>
            </w:pPr>
            <w:r>
              <w:rPr>
                <w:rFonts w:hint="eastAsia" w:ascii="宋体" w:hAnsi="宋体" w:cs="宋体"/>
                <w:bCs/>
                <w:color w:val="auto"/>
                <w:sz w:val="24"/>
                <w:szCs w:val="24"/>
                <w:lang w:val="en-US" w:eastAsia="zh-CN"/>
              </w:rPr>
              <w:t>对项目网络和信息安全目标理解准确，信息安全的审核、控制措施得当，优得5分、良得3分、差得1分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5"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color w:val="auto"/>
                <w:kern w:val="0"/>
                <w:sz w:val="24"/>
                <w:szCs w:val="24"/>
              </w:rPr>
            </w:pPr>
          </w:p>
        </w:tc>
        <w:tc>
          <w:tcPr>
            <w:tcW w:w="1176"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color w:val="auto"/>
                <w:kern w:val="0"/>
                <w:sz w:val="24"/>
                <w:szCs w:val="24"/>
              </w:rPr>
            </w:pPr>
          </w:p>
        </w:tc>
        <w:tc>
          <w:tcPr>
            <w:tcW w:w="140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监理重点部位体现</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val="zh-CN"/>
              </w:rPr>
            </w:pPr>
            <w:r>
              <w:rPr>
                <w:rFonts w:hint="eastAsia" w:ascii="宋体" w:hAnsi="宋体" w:cs="宋体"/>
                <w:bCs/>
                <w:color w:val="auto"/>
                <w:sz w:val="24"/>
                <w:szCs w:val="24"/>
              </w:rPr>
              <w:t>（</w:t>
            </w:r>
            <w:r>
              <w:rPr>
                <w:rFonts w:hint="eastAsia" w:ascii="宋体" w:hAnsi="宋体" w:cs="宋体"/>
                <w:bCs/>
                <w:color w:val="auto"/>
                <w:sz w:val="24"/>
                <w:szCs w:val="24"/>
                <w:lang w:val="en-US" w:eastAsia="zh-CN"/>
              </w:rPr>
              <w:t>10</w:t>
            </w:r>
            <w:r>
              <w:rPr>
                <w:rFonts w:hint="eastAsia" w:ascii="宋体" w:hAnsi="宋体" w:cs="宋体"/>
                <w:bCs/>
                <w:color w:val="auto"/>
                <w:sz w:val="24"/>
                <w:szCs w:val="24"/>
              </w:rPr>
              <w:t>分）</w:t>
            </w:r>
          </w:p>
        </w:tc>
        <w:tc>
          <w:tcPr>
            <w:tcW w:w="5926"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bCs/>
                <w:color w:val="auto"/>
                <w:sz w:val="24"/>
                <w:szCs w:val="24"/>
                <w:lang w:val="zh-CN"/>
              </w:rPr>
            </w:pPr>
            <w:bookmarkStart w:id="68" w:name="_GoBack"/>
            <w:r>
              <w:rPr>
                <w:rFonts w:hint="eastAsia" w:ascii="宋体" w:hAnsi="宋体" w:cs="宋体"/>
                <w:bCs/>
                <w:color w:val="auto"/>
                <w:sz w:val="24"/>
                <w:szCs w:val="24"/>
                <w:lang w:val="en-US" w:eastAsia="zh-CN"/>
              </w:rPr>
              <w:t>对信息化建设理解深刻，准确把握监理需求，有针对性的提出监理重点部位。重点突出合理，具有对难点的解决方案，优得10分、良得6分、差得2分</w:t>
            </w:r>
            <w:bookmarkEnd w:id="68"/>
          </w:p>
        </w:tc>
      </w:tr>
    </w:tbl>
    <w:p>
      <w:pPr>
        <w:spacing w:line="340" w:lineRule="exact"/>
        <w:ind w:firstLine="480" w:firstLineChars="200"/>
        <w:rPr>
          <w:rFonts w:ascii="宋体" w:hAnsi="宋体" w:cs="宋体"/>
          <w:color w:val="auto"/>
          <w:sz w:val="24"/>
        </w:rPr>
      </w:pPr>
    </w:p>
    <w:p>
      <w:pPr>
        <w:rPr>
          <w:rFonts w:hint="eastAsia" w:ascii="宋体" w:hAnsi="宋体" w:cs="宋体"/>
          <w:color w:val="auto"/>
          <w:sz w:val="24"/>
        </w:rPr>
      </w:pPr>
      <w:r>
        <w:rPr>
          <w:rFonts w:hint="eastAsia" w:ascii="宋体" w:hAnsi="宋体" w:cs="宋体"/>
          <w:color w:val="auto"/>
          <w:sz w:val="24"/>
        </w:rPr>
        <w:br w:type="page"/>
      </w:r>
    </w:p>
    <w:p>
      <w:pPr>
        <w:spacing w:line="360" w:lineRule="auto"/>
        <w:ind w:firstLine="480" w:firstLineChars="200"/>
        <w:rPr>
          <w:rFonts w:ascii="宋体" w:hAnsi="宋体" w:cs="宋体"/>
          <w:color w:val="auto"/>
          <w:sz w:val="24"/>
        </w:rPr>
      </w:pPr>
      <w:r>
        <w:rPr>
          <w:rFonts w:hint="eastAsia" w:ascii="宋体" w:hAnsi="宋体" w:cs="宋体"/>
          <w:color w:val="auto"/>
          <w:sz w:val="24"/>
        </w:rPr>
        <w:t>1、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pPr>
        <w:spacing w:line="360" w:lineRule="auto"/>
        <w:ind w:firstLine="480" w:firstLineChars="200"/>
        <w:rPr>
          <w:rFonts w:ascii="宋体" w:hAnsi="宋体" w:cs="宋体"/>
          <w:color w:val="auto"/>
          <w:sz w:val="24"/>
        </w:rPr>
      </w:pPr>
      <w:r>
        <w:rPr>
          <w:rFonts w:hint="eastAsia" w:ascii="宋体" w:hAnsi="宋体" w:cs="宋体"/>
          <w:color w:val="auto"/>
          <w:sz w:val="24"/>
        </w:rPr>
        <w:t>2、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 文件规定的评标委员会成员产生方式另行确定替代者进行评标。</w:t>
      </w:r>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3、在任何评标环节中，需评标委员会就某项评审结论做出表决的，由评标委员会全体成员按照少数服从多数的原则，以记名投票方式表决。</w:t>
      </w:r>
    </w:p>
    <w:p>
      <w:pPr>
        <w:spacing w:line="360" w:lineRule="auto"/>
        <w:jc w:val="left"/>
        <w:rPr>
          <w:rFonts w:ascii="宋体" w:hAnsi="宋体" w:cs="宋体"/>
          <w:b/>
          <w:bCs/>
          <w:color w:val="auto"/>
          <w:sz w:val="24"/>
        </w:rPr>
      </w:pPr>
      <w:r>
        <w:rPr>
          <w:rFonts w:hint="eastAsia" w:ascii="宋体" w:hAnsi="宋体" w:cs="宋体"/>
          <w:b/>
          <w:bCs/>
          <w:color w:val="auto"/>
          <w:sz w:val="24"/>
        </w:rPr>
        <w:t>另：政府采购政策功能落实</w:t>
      </w:r>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小微型企业价格扣除</w:t>
      </w:r>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本项目对小型和微型企业产品给予6%的扣除价格，用扣除后的价格参与评审。</w:t>
      </w:r>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供应商需按照招标文件的要求提供相应的《企业声明函》。</w:t>
      </w:r>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企业标准请参照《关于印发中小企业划型标准规定的通知》（工信部联企业[2011]300 号）文件规定自行填写。</w:t>
      </w:r>
    </w:p>
    <w:p>
      <w:pPr>
        <w:spacing w:line="360" w:lineRule="auto"/>
        <w:ind w:firstLine="480" w:firstLineChars="200"/>
        <w:jc w:val="center"/>
        <w:rPr>
          <w:rStyle w:val="42"/>
          <w:rFonts w:ascii="宋体" w:hAnsi="宋体" w:cs="宋体"/>
          <w:color w:val="auto"/>
        </w:rPr>
      </w:pPr>
      <w:r>
        <w:rPr>
          <w:rFonts w:hint="eastAsia" w:ascii="宋体" w:hAnsi="宋体" w:cs="宋体"/>
          <w:color w:val="auto"/>
          <w:sz w:val="24"/>
        </w:rPr>
        <w:br w:type="page"/>
      </w:r>
      <w:bookmarkStart w:id="42" w:name="_Toc10894"/>
      <w:r>
        <w:rPr>
          <w:rStyle w:val="42"/>
          <w:rFonts w:hint="eastAsia" w:ascii="宋体" w:hAnsi="宋体" w:cs="宋体"/>
          <w:color w:val="auto"/>
        </w:rPr>
        <w:t xml:space="preserve">第五部分  </w:t>
      </w:r>
      <w:bookmarkEnd w:id="42"/>
      <w:r>
        <w:rPr>
          <w:rStyle w:val="42"/>
          <w:rFonts w:hint="eastAsia" w:ascii="宋体" w:hAnsi="宋体" w:cs="宋体"/>
          <w:color w:val="auto"/>
        </w:rPr>
        <w:t>拟签订的合同文本</w:t>
      </w:r>
    </w:p>
    <w:p>
      <w:pPr>
        <w:pStyle w:val="18"/>
        <w:spacing w:before="196" w:line="360" w:lineRule="auto"/>
        <w:ind w:right="-86" w:rightChars="-41" w:firstLine="420" w:firstLineChars="175"/>
        <w:rPr>
          <w:rFonts w:ascii="宋体" w:hAnsi="宋体" w:cs="宋体"/>
          <w:color w:val="auto"/>
        </w:rPr>
      </w:pPr>
      <w:bookmarkStart w:id="43" w:name="EB835308aa585640bcbdb7859c5d572516"/>
      <w:r>
        <w:rPr>
          <w:rFonts w:hint="eastAsia" w:ascii="宋体" w:hAnsi="宋体" w:cs="宋体"/>
          <w:color w:val="auto"/>
        </w:rPr>
        <w:t>以下为中标后签定本项目合同的通用条款，中标人不得提出实质性的修改，关于专用条款将由采购人与中标人结合本项目具体情况协商后签订。</w:t>
      </w:r>
    </w:p>
    <w:p>
      <w:pPr>
        <w:jc w:val="center"/>
        <w:rPr>
          <w:b/>
          <w:bCs/>
          <w:color w:val="auto"/>
          <w:sz w:val="32"/>
          <w:szCs w:val="36"/>
        </w:rPr>
      </w:pPr>
      <w:bookmarkStart w:id="44" w:name="政府采购合同（合同编号）"/>
      <w:bookmarkEnd w:id="44"/>
      <w:r>
        <w:rPr>
          <w:rFonts w:hint="eastAsia"/>
          <w:b/>
          <w:bCs/>
          <w:color w:val="auto"/>
          <w:sz w:val="32"/>
          <w:szCs w:val="36"/>
        </w:rPr>
        <w:t>政府采购合同（合同编号）</w:t>
      </w:r>
    </w:p>
    <w:p>
      <w:pPr>
        <w:pStyle w:val="18"/>
        <w:autoSpaceDE w:val="0"/>
        <w:autoSpaceDN w:val="0"/>
        <w:adjustRightInd w:val="0"/>
        <w:snapToGrid w:val="0"/>
        <w:spacing w:before="11" w:after="0" w:line="360" w:lineRule="auto"/>
        <w:ind w:firstLine="422" w:firstLineChars="175"/>
        <w:rPr>
          <w:rFonts w:ascii="宋体" w:hAnsi="宋体" w:cs="宋体"/>
          <w:b/>
          <w:color w:val="auto"/>
        </w:rPr>
      </w:pPr>
    </w:p>
    <w:p>
      <w:pPr>
        <w:pStyle w:val="18"/>
        <w:spacing w:after="0" w:line="360" w:lineRule="auto"/>
        <w:ind w:firstLine="420" w:firstLineChars="175"/>
        <w:rPr>
          <w:color w:val="auto"/>
        </w:rPr>
      </w:pPr>
      <w:r>
        <w:rPr>
          <w:rFonts w:hint="eastAsia"/>
          <w:color w:val="auto"/>
        </w:rPr>
        <w:t>项目名称：</w:t>
      </w:r>
      <w:r>
        <w:rPr>
          <w:rFonts w:hint="eastAsia"/>
          <w:color w:val="auto"/>
          <w:u w:val="single"/>
        </w:rPr>
        <w:t xml:space="preserve">                              </w:t>
      </w:r>
      <w:r>
        <w:rPr>
          <w:rFonts w:hint="eastAsia"/>
          <w:color w:val="auto"/>
        </w:rPr>
        <w:t xml:space="preserve">  项目编号：</w:t>
      </w:r>
      <w:r>
        <w:rPr>
          <w:rFonts w:hint="eastAsia"/>
          <w:color w:val="auto"/>
          <w:u w:val="single"/>
        </w:rPr>
        <w:t xml:space="preserve">           </w:t>
      </w:r>
    </w:p>
    <w:p>
      <w:pPr>
        <w:pStyle w:val="18"/>
        <w:spacing w:after="0" w:line="360" w:lineRule="auto"/>
        <w:ind w:firstLine="420" w:firstLineChars="175"/>
        <w:rPr>
          <w:color w:val="auto"/>
        </w:rPr>
      </w:pPr>
      <w:r>
        <w:rPr>
          <w:rFonts w:hint="eastAsia"/>
          <w:color w:val="auto"/>
        </w:rPr>
        <w:t>甲方：（买方）</w:t>
      </w:r>
      <w:r>
        <w:rPr>
          <w:rFonts w:hint="eastAsia"/>
          <w:color w:val="auto"/>
          <w:u w:val="single"/>
        </w:rPr>
        <w:t xml:space="preserve">                  </w:t>
      </w:r>
    </w:p>
    <w:p>
      <w:pPr>
        <w:pStyle w:val="18"/>
        <w:spacing w:after="0" w:line="360" w:lineRule="auto"/>
        <w:ind w:firstLine="420" w:firstLineChars="175"/>
        <w:rPr>
          <w:color w:val="auto"/>
        </w:rPr>
      </w:pPr>
      <w:r>
        <w:rPr>
          <w:rFonts w:hint="eastAsia"/>
          <w:color w:val="auto"/>
        </w:rPr>
        <w:t>乙方：（卖方）</w:t>
      </w:r>
      <w:r>
        <w:rPr>
          <w:rFonts w:hint="eastAsia"/>
          <w:color w:val="auto"/>
          <w:u w:val="single"/>
        </w:rPr>
        <w:t xml:space="preserve">                  </w:t>
      </w:r>
    </w:p>
    <w:p>
      <w:pPr>
        <w:pStyle w:val="18"/>
        <w:spacing w:after="0" w:line="360" w:lineRule="auto"/>
        <w:ind w:firstLine="420" w:firstLineChars="175"/>
        <w:rPr>
          <w:color w:val="auto"/>
        </w:rPr>
      </w:pPr>
      <w:r>
        <w:rPr>
          <w:rFonts w:hint="eastAsia"/>
          <w:color w:val="auto"/>
        </w:rPr>
        <w:t>甲、乙双方根据政府采购</w:t>
      </w:r>
      <w:r>
        <w:rPr>
          <w:rFonts w:hint="eastAsia"/>
          <w:color w:val="auto"/>
          <w:u w:val="single"/>
        </w:rPr>
        <w:t xml:space="preserve">               </w:t>
      </w:r>
      <w:r>
        <w:rPr>
          <w:rFonts w:hint="eastAsia"/>
          <w:color w:val="auto"/>
        </w:rPr>
        <w:t>项目公开招标的结果，签署本合同。</w:t>
      </w:r>
    </w:p>
    <w:p>
      <w:pPr>
        <w:pStyle w:val="18"/>
        <w:spacing w:after="0" w:line="360" w:lineRule="auto"/>
        <w:ind w:firstLine="422" w:firstLineChars="175"/>
        <w:rPr>
          <w:b/>
          <w:bCs/>
          <w:color w:val="auto"/>
        </w:rPr>
      </w:pPr>
      <w:r>
        <w:rPr>
          <w:rFonts w:hint="eastAsia"/>
          <w:b/>
          <w:bCs/>
          <w:color w:val="auto"/>
        </w:rPr>
        <w:t>一、产品内容</w:t>
      </w:r>
    </w:p>
    <w:p>
      <w:pPr>
        <w:pStyle w:val="18"/>
        <w:spacing w:after="0" w:line="360" w:lineRule="auto"/>
        <w:ind w:firstLine="420" w:firstLineChars="175"/>
        <w:rPr>
          <w:color w:val="auto"/>
        </w:rPr>
      </w:pPr>
      <w:r>
        <w:rPr>
          <w:rFonts w:hint="eastAsia"/>
          <w:color w:val="auto"/>
        </w:rPr>
        <w:t>1.1 产品名称：</w:t>
      </w:r>
    </w:p>
    <w:p>
      <w:pPr>
        <w:pStyle w:val="18"/>
        <w:spacing w:after="0" w:line="360" w:lineRule="auto"/>
        <w:ind w:firstLine="420" w:firstLineChars="175"/>
        <w:rPr>
          <w:color w:val="auto"/>
        </w:rPr>
      </w:pPr>
      <w:r>
        <w:rPr>
          <w:rFonts w:hint="eastAsia"/>
          <w:color w:val="auto"/>
        </w:rPr>
        <w:t>1.2 型号规格：</w:t>
      </w:r>
    </w:p>
    <w:p>
      <w:pPr>
        <w:pStyle w:val="18"/>
        <w:spacing w:after="0" w:line="360" w:lineRule="auto"/>
        <w:ind w:firstLine="420" w:firstLineChars="175"/>
        <w:rPr>
          <w:color w:val="auto"/>
        </w:rPr>
      </w:pPr>
      <w:r>
        <w:rPr>
          <w:rFonts w:hint="eastAsia"/>
          <w:color w:val="auto"/>
        </w:rPr>
        <w:t>1.3 数量（单位）：</w:t>
      </w:r>
    </w:p>
    <w:p>
      <w:pPr>
        <w:pStyle w:val="18"/>
        <w:spacing w:after="0" w:line="360" w:lineRule="auto"/>
        <w:ind w:firstLine="422" w:firstLineChars="175"/>
        <w:rPr>
          <w:b/>
          <w:bCs/>
          <w:color w:val="auto"/>
        </w:rPr>
      </w:pPr>
      <w:r>
        <w:rPr>
          <w:rFonts w:hint="eastAsia"/>
          <w:b/>
          <w:bCs/>
          <w:color w:val="auto"/>
        </w:rPr>
        <w:t>二、合同金额</w:t>
      </w:r>
    </w:p>
    <w:p>
      <w:pPr>
        <w:pStyle w:val="18"/>
        <w:spacing w:after="0" w:line="360" w:lineRule="auto"/>
        <w:ind w:firstLine="420" w:firstLineChars="175"/>
        <w:rPr>
          <w:color w:val="auto"/>
        </w:rPr>
      </w:pPr>
      <w:r>
        <w:rPr>
          <w:rFonts w:hint="eastAsia"/>
          <w:color w:val="auto"/>
        </w:rPr>
        <w:t>2.1 本合同金额为（大写）：</w:t>
      </w:r>
      <w:r>
        <w:rPr>
          <w:rFonts w:hint="eastAsia"/>
          <w:color w:val="auto"/>
          <w:u w:val="single"/>
        </w:rPr>
        <w:t xml:space="preserve">         </w:t>
      </w:r>
      <w:r>
        <w:rPr>
          <w:rFonts w:hint="eastAsia"/>
          <w:color w:val="auto"/>
        </w:rPr>
        <w:t>元（</w:t>
      </w:r>
      <w:r>
        <w:rPr>
          <w:rFonts w:hint="eastAsia"/>
          <w:color w:val="auto"/>
          <w:u w:val="single"/>
        </w:rPr>
        <w:t xml:space="preserve">     </w:t>
      </w:r>
      <w:r>
        <w:rPr>
          <w:rFonts w:hint="eastAsia"/>
          <w:color w:val="auto"/>
        </w:rPr>
        <w:t>元）人民币或其他币种。</w:t>
      </w:r>
    </w:p>
    <w:p>
      <w:pPr>
        <w:pStyle w:val="18"/>
        <w:spacing w:after="0" w:line="360" w:lineRule="auto"/>
        <w:ind w:firstLine="422" w:firstLineChars="175"/>
        <w:rPr>
          <w:b/>
          <w:bCs/>
          <w:color w:val="auto"/>
        </w:rPr>
      </w:pPr>
      <w:r>
        <w:rPr>
          <w:rFonts w:hint="eastAsia"/>
          <w:b/>
          <w:bCs/>
          <w:color w:val="auto"/>
        </w:rPr>
        <w:t>三、技术资料</w:t>
      </w:r>
    </w:p>
    <w:p>
      <w:pPr>
        <w:pStyle w:val="18"/>
        <w:spacing w:after="0" w:line="360" w:lineRule="auto"/>
        <w:ind w:firstLine="420" w:firstLineChars="175"/>
        <w:rPr>
          <w:color w:val="auto"/>
        </w:rPr>
      </w:pPr>
      <w:r>
        <w:rPr>
          <w:rFonts w:hint="eastAsia"/>
          <w:color w:val="auto"/>
        </w:rPr>
        <w:t>3.1 乙方应按招标文件规定的时间向甲方提供使用产品的有关技术资料。</w:t>
      </w:r>
    </w:p>
    <w:p>
      <w:pPr>
        <w:pStyle w:val="18"/>
        <w:spacing w:after="0" w:line="360" w:lineRule="auto"/>
        <w:ind w:firstLine="420" w:firstLineChars="175"/>
        <w:rPr>
          <w:color w:val="auto"/>
        </w:rPr>
      </w:pPr>
      <w:r>
        <w:rPr>
          <w:rFonts w:hint="eastAsia"/>
          <w:color w:val="auto"/>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8"/>
        <w:spacing w:after="0" w:line="360" w:lineRule="auto"/>
        <w:ind w:firstLine="422" w:firstLineChars="175"/>
        <w:rPr>
          <w:b/>
          <w:bCs/>
          <w:color w:val="auto"/>
        </w:rPr>
      </w:pPr>
      <w:r>
        <w:rPr>
          <w:rFonts w:hint="eastAsia"/>
          <w:b/>
          <w:bCs/>
          <w:color w:val="auto"/>
        </w:rPr>
        <w:t>四、知识产权</w:t>
      </w:r>
    </w:p>
    <w:p>
      <w:pPr>
        <w:pStyle w:val="18"/>
        <w:spacing w:after="0" w:line="360" w:lineRule="auto"/>
        <w:ind w:firstLine="420" w:firstLineChars="175"/>
        <w:rPr>
          <w:color w:val="auto"/>
        </w:rPr>
      </w:pPr>
      <w:r>
        <w:rPr>
          <w:rFonts w:hint="eastAsia"/>
          <w:color w:val="auto"/>
        </w:rPr>
        <w:t>4.1 乙方应保证甲方在使用、接受本合同产品和服务或其任何一部分时不受第三方提出侵犯其专利权、版权、商标权和工业设计权等知识产权的起诉。一旦出现侵权，由乙方负全部责任。</w:t>
      </w:r>
    </w:p>
    <w:p>
      <w:pPr>
        <w:pStyle w:val="18"/>
        <w:spacing w:after="0" w:line="360" w:lineRule="auto"/>
        <w:ind w:firstLine="422" w:firstLineChars="175"/>
        <w:rPr>
          <w:b/>
          <w:bCs/>
          <w:color w:val="auto"/>
        </w:rPr>
      </w:pPr>
      <w:r>
        <w:rPr>
          <w:rFonts w:hint="eastAsia"/>
          <w:b/>
          <w:bCs/>
          <w:color w:val="auto"/>
        </w:rPr>
        <w:t>五、产权担保</w:t>
      </w:r>
    </w:p>
    <w:p>
      <w:pPr>
        <w:pStyle w:val="18"/>
        <w:spacing w:after="0" w:line="360" w:lineRule="auto"/>
        <w:ind w:firstLine="420" w:firstLineChars="175"/>
        <w:rPr>
          <w:color w:val="auto"/>
        </w:rPr>
      </w:pPr>
      <w:r>
        <w:rPr>
          <w:rFonts w:hint="eastAsia"/>
          <w:color w:val="auto"/>
        </w:rPr>
        <w:t>5.1 乙方保证所交付的产品的所有权完全属于乙方且无任何抵押、查封等产权瑕疵。</w:t>
      </w:r>
    </w:p>
    <w:p>
      <w:pPr>
        <w:pStyle w:val="18"/>
        <w:spacing w:after="0" w:line="360" w:lineRule="auto"/>
        <w:ind w:firstLine="422" w:firstLineChars="175"/>
        <w:rPr>
          <w:b/>
          <w:bCs/>
          <w:color w:val="auto"/>
        </w:rPr>
      </w:pPr>
      <w:r>
        <w:rPr>
          <w:rFonts w:hint="eastAsia"/>
          <w:b/>
          <w:bCs/>
          <w:color w:val="auto"/>
        </w:rPr>
        <w:t>六、履约保证金</w:t>
      </w:r>
    </w:p>
    <w:p>
      <w:pPr>
        <w:pStyle w:val="18"/>
        <w:spacing w:after="0" w:line="360" w:lineRule="auto"/>
        <w:ind w:firstLine="420" w:firstLineChars="175"/>
        <w:rPr>
          <w:color w:val="auto"/>
        </w:rPr>
      </w:pPr>
      <w:r>
        <w:rPr>
          <w:rFonts w:hint="eastAsia"/>
          <w:color w:val="auto"/>
        </w:rPr>
        <w:t>6.1 乙方交纳人民币</w:t>
      </w:r>
      <w:r>
        <w:rPr>
          <w:rFonts w:hint="eastAsia"/>
          <w:color w:val="auto"/>
          <w:u w:val="single"/>
        </w:rPr>
        <w:t xml:space="preserve">          </w:t>
      </w:r>
      <w:r>
        <w:rPr>
          <w:rFonts w:hint="eastAsia"/>
          <w:color w:val="auto"/>
        </w:rPr>
        <w:t>元作为本合同的履约保证金。</w:t>
      </w:r>
    </w:p>
    <w:p>
      <w:pPr>
        <w:pStyle w:val="18"/>
        <w:spacing w:after="0" w:line="360" w:lineRule="auto"/>
        <w:ind w:firstLine="422" w:firstLineChars="175"/>
        <w:rPr>
          <w:b/>
          <w:bCs/>
          <w:color w:val="auto"/>
        </w:rPr>
      </w:pPr>
      <w:r>
        <w:rPr>
          <w:rFonts w:hint="eastAsia"/>
          <w:b/>
          <w:bCs/>
          <w:color w:val="auto"/>
        </w:rPr>
        <w:t>七、转包或分包</w:t>
      </w:r>
    </w:p>
    <w:p>
      <w:pPr>
        <w:pStyle w:val="18"/>
        <w:spacing w:after="0" w:line="360" w:lineRule="auto"/>
        <w:ind w:firstLine="420" w:firstLineChars="175"/>
        <w:rPr>
          <w:color w:val="auto"/>
        </w:rPr>
      </w:pPr>
      <w:r>
        <w:rPr>
          <w:rFonts w:hint="eastAsia"/>
          <w:color w:val="auto"/>
        </w:rPr>
        <w:t>7.1 本合同范围的产品，应由乙方直接供应，不得转让他人供应；</w:t>
      </w:r>
    </w:p>
    <w:p>
      <w:pPr>
        <w:pStyle w:val="18"/>
        <w:spacing w:after="0" w:line="360" w:lineRule="auto"/>
        <w:ind w:firstLine="420" w:firstLineChars="175"/>
        <w:rPr>
          <w:color w:val="auto"/>
        </w:rPr>
      </w:pPr>
      <w:r>
        <w:rPr>
          <w:rFonts w:hint="eastAsia"/>
          <w:color w:val="auto"/>
        </w:rPr>
        <w:t>7.2 除非得到甲方的书面同意，乙方不得部分分包给他人供应。</w:t>
      </w:r>
    </w:p>
    <w:p>
      <w:pPr>
        <w:pStyle w:val="18"/>
        <w:spacing w:after="0" w:line="360" w:lineRule="auto"/>
        <w:ind w:firstLine="420" w:firstLineChars="175"/>
        <w:rPr>
          <w:color w:val="auto"/>
        </w:rPr>
      </w:pPr>
      <w:r>
        <w:rPr>
          <w:rFonts w:hint="eastAsia"/>
          <w:color w:val="auto"/>
        </w:rPr>
        <w:t>7.3 如有转让和未经甲方同意的分包行为，甲方有权给予终止合同。</w:t>
      </w:r>
    </w:p>
    <w:p>
      <w:pPr>
        <w:pStyle w:val="18"/>
        <w:spacing w:after="0" w:line="360" w:lineRule="auto"/>
        <w:ind w:firstLine="422" w:firstLineChars="175"/>
        <w:rPr>
          <w:b/>
          <w:bCs/>
          <w:color w:val="auto"/>
        </w:rPr>
      </w:pPr>
      <w:r>
        <w:rPr>
          <w:rFonts w:hint="eastAsia"/>
          <w:b/>
          <w:bCs/>
          <w:color w:val="auto"/>
        </w:rPr>
        <w:t>八、维保期</w:t>
      </w:r>
    </w:p>
    <w:p>
      <w:pPr>
        <w:pStyle w:val="18"/>
        <w:spacing w:after="0" w:line="360" w:lineRule="auto"/>
        <w:ind w:firstLine="420" w:firstLineChars="175"/>
        <w:rPr>
          <w:color w:val="auto"/>
        </w:rPr>
      </w:pPr>
      <w:r>
        <w:rPr>
          <w:rFonts w:hint="eastAsia"/>
          <w:color w:val="auto"/>
        </w:rPr>
        <w:t>8.1 产品维保期</w:t>
      </w:r>
      <w:r>
        <w:rPr>
          <w:rFonts w:hint="eastAsia"/>
          <w:color w:val="auto"/>
          <w:u w:val="single"/>
        </w:rPr>
        <w:t xml:space="preserve">       </w:t>
      </w:r>
      <w:r>
        <w:rPr>
          <w:rFonts w:hint="eastAsia"/>
          <w:color w:val="auto"/>
        </w:rPr>
        <w:t>年。（自通过甲方验收合格之日起计）</w:t>
      </w:r>
    </w:p>
    <w:p>
      <w:pPr>
        <w:pStyle w:val="18"/>
        <w:spacing w:after="0" w:line="360" w:lineRule="auto"/>
        <w:ind w:firstLine="422" w:firstLineChars="175"/>
        <w:rPr>
          <w:b/>
          <w:bCs/>
          <w:color w:val="auto"/>
        </w:rPr>
      </w:pPr>
      <w:r>
        <w:rPr>
          <w:rFonts w:hint="eastAsia"/>
          <w:b/>
          <w:bCs/>
          <w:color w:val="auto"/>
        </w:rPr>
        <w:t>九、交货期、交货方式及交货地点</w:t>
      </w:r>
    </w:p>
    <w:p>
      <w:pPr>
        <w:pStyle w:val="18"/>
        <w:spacing w:after="0" w:line="360" w:lineRule="auto"/>
        <w:ind w:firstLine="420" w:firstLineChars="175"/>
        <w:rPr>
          <w:color w:val="auto"/>
        </w:rPr>
      </w:pPr>
      <w:r>
        <w:rPr>
          <w:rFonts w:hint="eastAsia"/>
          <w:color w:val="auto"/>
        </w:rPr>
        <w:t>9.1 交货期：</w:t>
      </w:r>
      <w:r>
        <w:rPr>
          <w:rFonts w:hint="eastAsia"/>
          <w:color w:val="auto"/>
          <w:u w:val="single"/>
        </w:rPr>
        <w:t xml:space="preserve">            </w:t>
      </w:r>
    </w:p>
    <w:p>
      <w:pPr>
        <w:pStyle w:val="18"/>
        <w:spacing w:after="0" w:line="360" w:lineRule="auto"/>
        <w:ind w:firstLine="420" w:firstLineChars="175"/>
        <w:rPr>
          <w:color w:val="auto"/>
        </w:rPr>
      </w:pPr>
      <w:r>
        <w:rPr>
          <w:rFonts w:hint="eastAsia"/>
          <w:color w:val="auto"/>
        </w:rPr>
        <w:t>9.2 交货方式：</w:t>
      </w:r>
      <w:r>
        <w:rPr>
          <w:rFonts w:hint="eastAsia"/>
          <w:color w:val="auto"/>
          <w:u w:val="single"/>
        </w:rPr>
        <w:t xml:space="preserve">          </w:t>
      </w:r>
    </w:p>
    <w:p>
      <w:pPr>
        <w:pStyle w:val="18"/>
        <w:spacing w:after="0" w:line="360" w:lineRule="auto"/>
        <w:ind w:firstLine="420" w:firstLineChars="175"/>
        <w:rPr>
          <w:color w:val="auto"/>
        </w:rPr>
      </w:pPr>
      <w:r>
        <w:rPr>
          <w:rFonts w:hint="eastAsia"/>
          <w:color w:val="auto"/>
        </w:rPr>
        <w:t>9.3 交货地点：</w:t>
      </w:r>
      <w:r>
        <w:rPr>
          <w:rFonts w:hint="eastAsia"/>
          <w:color w:val="auto"/>
          <w:u w:val="single"/>
        </w:rPr>
        <w:t xml:space="preserve">          </w:t>
      </w:r>
    </w:p>
    <w:p>
      <w:pPr>
        <w:pStyle w:val="18"/>
        <w:spacing w:after="0" w:line="360" w:lineRule="auto"/>
        <w:ind w:firstLine="422" w:firstLineChars="175"/>
        <w:rPr>
          <w:b/>
          <w:bCs/>
          <w:color w:val="auto"/>
        </w:rPr>
      </w:pPr>
      <w:r>
        <w:rPr>
          <w:rFonts w:hint="eastAsia"/>
          <w:b/>
          <w:bCs/>
          <w:color w:val="auto"/>
        </w:rPr>
        <w:t>十、货款支付</w:t>
      </w:r>
    </w:p>
    <w:p>
      <w:pPr>
        <w:pStyle w:val="18"/>
        <w:spacing w:after="0" w:line="360" w:lineRule="auto"/>
        <w:ind w:firstLine="420" w:firstLineChars="175"/>
        <w:rPr>
          <w:color w:val="auto"/>
        </w:rPr>
      </w:pPr>
      <w:r>
        <w:rPr>
          <w:rFonts w:hint="eastAsia"/>
          <w:color w:val="auto"/>
        </w:rPr>
        <w:t>10.1 付款方式：</w:t>
      </w:r>
      <w:r>
        <w:rPr>
          <w:rFonts w:hint="eastAsia"/>
          <w:color w:val="auto"/>
          <w:u w:val="single"/>
        </w:rPr>
        <w:t xml:space="preserve">                      </w:t>
      </w:r>
      <w:r>
        <w:rPr>
          <w:rFonts w:hint="eastAsia"/>
          <w:color w:val="auto"/>
        </w:rPr>
        <w:t>；</w:t>
      </w:r>
    </w:p>
    <w:p>
      <w:pPr>
        <w:pStyle w:val="18"/>
        <w:spacing w:after="0" w:line="360" w:lineRule="auto"/>
        <w:ind w:firstLine="422" w:firstLineChars="175"/>
        <w:rPr>
          <w:b/>
          <w:bCs/>
          <w:color w:val="auto"/>
        </w:rPr>
      </w:pPr>
      <w:r>
        <w:rPr>
          <w:rFonts w:hint="eastAsia"/>
          <w:b/>
          <w:bCs/>
          <w:color w:val="auto"/>
        </w:rPr>
        <w:t>十一.税</w:t>
      </w:r>
    </w:p>
    <w:p>
      <w:pPr>
        <w:pStyle w:val="18"/>
        <w:spacing w:after="0" w:line="360" w:lineRule="auto"/>
        <w:ind w:firstLine="420" w:firstLineChars="175"/>
        <w:rPr>
          <w:color w:val="auto"/>
        </w:rPr>
      </w:pPr>
      <w:r>
        <w:rPr>
          <w:rFonts w:hint="eastAsia"/>
          <w:color w:val="auto"/>
        </w:rPr>
        <w:t>11.1 本合同执行中相关的一切税费均由乙方负担。</w:t>
      </w:r>
    </w:p>
    <w:p>
      <w:pPr>
        <w:pStyle w:val="18"/>
        <w:spacing w:after="0" w:line="360" w:lineRule="auto"/>
        <w:ind w:firstLine="422" w:firstLineChars="175"/>
        <w:rPr>
          <w:b/>
          <w:bCs/>
          <w:color w:val="auto"/>
        </w:rPr>
      </w:pPr>
      <w:r>
        <w:rPr>
          <w:rFonts w:hint="eastAsia"/>
          <w:b/>
          <w:bCs/>
          <w:color w:val="auto"/>
        </w:rPr>
        <w:t>十二、质量保证及售后服务</w:t>
      </w:r>
    </w:p>
    <w:p>
      <w:pPr>
        <w:pStyle w:val="18"/>
        <w:spacing w:after="0" w:line="360" w:lineRule="auto"/>
        <w:ind w:firstLine="420" w:firstLineChars="175"/>
        <w:rPr>
          <w:color w:val="auto"/>
        </w:rPr>
      </w:pPr>
      <w:r>
        <w:rPr>
          <w:rFonts w:hint="eastAsia"/>
          <w:color w:val="auto"/>
        </w:rPr>
        <w:t>乙方应按招标文件规定的产品性能、技术要求、质量标准向甲方提供未经使用的全新产品。</w:t>
      </w:r>
    </w:p>
    <w:p>
      <w:pPr>
        <w:pStyle w:val="18"/>
        <w:spacing w:after="0" w:line="360" w:lineRule="auto"/>
        <w:ind w:firstLine="420" w:firstLineChars="175"/>
        <w:rPr>
          <w:color w:val="auto"/>
        </w:rPr>
      </w:pPr>
      <w:r>
        <w:rPr>
          <w:rFonts w:hint="eastAsia"/>
          <w:color w:val="auto"/>
        </w:rPr>
        <w:t>乙方提供的产品在质量期内因产品本身的质量问题发生故障，乙方应负责免费更换。对达不到技术要求者，根据实际情况，经双方协商，可按以下办法处理：</w:t>
      </w:r>
    </w:p>
    <w:p>
      <w:pPr>
        <w:pStyle w:val="18"/>
        <w:spacing w:after="0" w:line="360" w:lineRule="auto"/>
        <w:ind w:firstLine="420" w:firstLineChars="175"/>
        <w:rPr>
          <w:color w:val="auto"/>
        </w:rPr>
      </w:pPr>
      <w:r>
        <w:rPr>
          <w:rFonts w:hint="eastAsia"/>
          <w:color w:val="auto"/>
        </w:rPr>
        <w:t>（1）更换：由乙方承担所发生的全部费用。</w:t>
      </w:r>
    </w:p>
    <w:p>
      <w:pPr>
        <w:pStyle w:val="18"/>
        <w:spacing w:after="0" w:line="360" w:lineRule="auto"/>
        <w:ind w:firstLine="420" w:firstLineChars="175"/>
        <w:rPr>
          <w:color w:val="auto"/>
        </w:rPr>
      </w:pPr>
      <w:r>
        <w:rPr>
          <w:rFonts w:hint="eastAsia"/>
          <w:color w:val="auto"/>
        </w:rPr>
        <w:t>（2）贬值处理：由甲乙双方合议定价。</w:t>
      </w:r>
    </w:p>
    <w:p>
      <w:pPr>
        <w:pStyle w:val="18"/>
        <w:spacing w:after="0" w:line="360" w:lineRule="auto"/>
        <w:ind w:firstLine="420" w:firstLineChars="175"/>
        <w:rPr>
          <w:color w:val="auto"/>
        </w:rPr>
      </w:pPr>
      <w:r>
        <w:rPr>
          <w:rFonts w:hint="eastAsia"/>
          <w:color w:val="auto"/>
        </w:rPr>
        <w:t>（3）退货处理：乙方应退还甲方支付的合同款，同时应承担该产品的直接费用（运输、保险、检验、货款利息及银行手续费等）。</w:t>
      </w:r>
    </w:p>
    <w:p>
      <w:pPr>
        <w:pStyle w:val="18"/>
        <w:spacing w:after="0" w:line="360" w:lineRule="auto"/>
        <w:ind w:firstLine="420" w:firstLineChars="175"/>
        <w:rPr>
          <w:color w:val="auto"/>
        </w:rPr>
      </w:pPr>
      <w:r>
        <w:rPr>
          <w:rFonts w:hint="eastAsia"/>
          <w:color w:val="auto"/>
        </w:rPr>
        <w:t>如在使用过程中发生质量问题，乙方在接到甲方通知后在</w:t>
      </w:r>
      <w:r>
        <w:rPr>
          <w:rFonts w:hint="eastAsia"/>
          <w:color w:val="auto"/>
          <w:u w:val="single"/>
        </w:rPr>
        <w:t xml:space="preserve">      </w:t>
      </w:r>
      <w:r>
        <w:rPr>
          <w:rFonts w:hint="eastAsia"/>
          <w:color w:val="auto"/>
        </w:rPr>
        <w:t>时间内到达甲方现场。</w:t>
      </w:r>
    </w:p>
    <w:p>
      <w:pPr>
        <w:pStyle w:val="18"/>
        <w:spacing w:after="0" w:line="360" w:lineRule="auto"/>
        <w:ind w:firstLine="420" w:firstLineChars="175"/>
        <w:rPr>
          <w:color w:val="auto"/>
        </w:rPr>
      </w:pPr>
      <w:r>
        <w:rPr>
          <w:rFonts w:hint="eastAsia"/>
          <w:color w:val="auto"/>
        </w:rPr>
        <w:t>在维保期内，乙方应对产品出现的质量及安全问题负责处理解决并承担一切费用。</w:t>
      </w:r>
    </w:p>
    <w:p>
      <w:pPr>
        <w:pStyle w:val="18"/>
        <w:spacing w:after="0" w:line="360" w:lineRule="auto"/>
        <w:ind w:firstLine="420" w:firstLineChars="175"/>
        <w:rPr>
          <w:color w:val="auto"/>
        </w:rPr>
      </w:pPr>
      <w:r>
        <w:rPr>
          <w:rFonts w:hint="eastAsia"/>
          <w:color w:val="auto"/>
        </w:rPr>
        <w:t>上述的产品的免费保修期为</w:t>
      </w:r>
      <w:r>
        <w:rPr>
          <w:rFonts w:hint="eastAsia"/>
          <w:color w:val="auto"/>
          <w:u w:val="single"/>
        </w:rPr>
        <w:t xml:space="preserve">     </w:t>
      </w:r>
      <w:r>
        <w:rPr>
          <w:rFonts w:hint="eastAsia"/>
          <w:color w:val="auto"/>
        </w:rPr>
        <w:t>年，因人为因素出现的故障不在免费保修范围内。超过保修期后，终生维修，维修时只收部件成本费。</w:t>
      </w:r>
    </w:p>
    <w:p>
      <w:pPr>
        <w:pStyle w:val="18"/>
        <w:spacing w:after="0" w:line="360" w:lineRule="auto"/>
        <w:ind w:firstLine="422" w:firstLineChars="175"/>
        <w:rPr>
          <w:b/>
          <w:bCs/>
          <w:color w:val="auto"/>
        </w:rPr>
      </w:pPr>
      <w:r>
        <w:rPr>
          <w:rFonts w:hint="eastAsia"/>
          <w:b/>
          <w:bCs/>
          <w:color w:val="auto"/>
        </w:rPr>
        <w:t>十三、调试和验收</w:t>
      </w:r>
    </w:p>
    <w:p>
      <w:pPr>
        <w:pStyle w:val="18"/>
        <w:spacing w:after="0" w:line="360" w:lineRule="auto"/>
        <w:ind w:firstLine="420" w:firstLineChars="175"/>
        <w:rPr>
          <w:color w:val="auto"/>
        </w:rPr>
      </w:pPr>
      <w:r>
        <w:rPr>
          <w:rFonts w:hint="eastAsia"/>
          <w:color w:val="auto"/>
        </w:rPr>
        <w:t>初验条件：所投软硬件产品全部安装部署到位，产品外观、数量、功能、性能、技术参数以及集成服务等符合招标文件要求。</w:t>
      </w:r>
    </w:p>
    <w:p>
      <w:pPr>
        <w:pStyle w:val="18"/>
        <w:spacing w:after="0" w:line="360" w:lineRule="auto"/>
        <w:ind w:firstLine="420" w:firstLineChars="175"/>
        <w:rPr>
          <w:color w:val="auto"/>
        </w:rPr>
      </w:pPr>
      <w:r>
        <w:rPr>
          <w:rFonts w:hint="eastAsia"/>
          <w:color w:val="auto"/>
        </w:rPr>
        <w:t>终验条件：通过甲方初验后，所投软硬件产品运行正常，满足甲方本次项目需求， 提交全部报告材料（含中标方在本单位财务独立核算的财务资料）。</w:t>
      </w:r>
    </w:p>
    <w:p>
      <w:pPr>
        <w:pStyle w:val="18"/>
        <w:spacing w:after="0" w:line="360" w:lineRule="auto"/>
        <w:ind w:firstLine="420" w:firstLineChars="175"/>
        <w:rPr>
          <w:color w:val="auto"/>
        </w:rPr>
      </w:pPr>
      <w:r>
        <w:rPr>
          <w:rFonts w:hint="eastAsia"/>
          <w:color w:val="auto"/>
        </w:rPr>
        <w:t>对技术复杂的产品，甲方可请国家认可的专业检测机构参与初步验收及最终验收，并由其出具质量检测报告，验收费用由乙方承担。</w:t>
      </w:r>
    </w:p>
    <w:p>
      <w:pPr>
        <w:pStyle w:val="18"/>
        <w:spacing w:after="0" w:line="360" w:lineRule="auto"/>
        <w:ind w:firstLine="422" w:firstLineChars="175"/>
        <w:rPr>
          <w:b/>
          <w:bCs/>
          <w:color w:val="auto"/>
        </w:rPr>
      </w:pPr>
      <w:r>
        <w:rPr>
          <w:rFonts w:hint="eastAsia"/>
          <w:b/>
          <w:bCs/>
          <w:color w:val="auto"/>
        </w:rPr>
        <w:t>十四、产品包装、发运及运输</w:t>
      </w:r>
    </w:p>
    <w:p>
      <w:pPr>
        <w:pStyle w:val="18"/>
        <w:spacing w:after="0" w:line="360" w:lineRule="auto"/>
        <w:ind w:firstLine="420" w:firstLineChars="175"/>
        <w:rPr>
          <w:color w:val="auto"/>
        </w:rPr>
      </w:pPr>
      <w:r>
        <w:rPr>
          <w:rFonts w:hint="eastAsia"/>
          <w:color w:val="auto"/>
        </w:rPr>
        <w:t>乙方应在产品发运前对其进行满足运输距离、防潮、防震、防锈和防破损装卸等要求包装，以保证产品安全运达甲方指定地点。</w:t>
      </w:r>
    </w:p>
    <w:p>
      <w:pPr>
        <w:pStyle w:val="18"/>
        <w:spacing w:after="0" w:line="360" w:lineRule="auto"/>
        <w:ind w:firstLine="420" w:firstLineChars="175"/>
        <w:rPr>
          <w:color w:val="auto"/>
        </w:rPr>
      </w:pPr>
      <w:r>
        <w:rPr>
          <w:rFonts w:hint="eastAsia"/>
          <w:color w:val="auto"/>
        </w:rPr>
        <w:t>使用说明书、质量检验证明书、随配附件和工具以及清单一并附于产品内。</w:t>
      </w:r>
    </w:p>
    <w:p>
      <w:pPr>
        <w:pStyle w:val="18"/>
        <w:spacing w:after="0" w:line="360" w:lineRule="auto"/>
        <w:ind w:firstLine="420" w:firstLineChars="175"/>
        <w:rPr>
          <w:color w:val="auto"/>
        </w:rPr>
      </w:pPr>
      <w:r>
        <w:rPr>
          <w:rFonts w:hint="eastAsia"/>
          <w:color w:val="auto"/>
        </w:rPr>
        <w:t>乙方在产品发运手续办理完毕后</w:t>
      </w:r>
      <w:r>
        <w:rPr>
          <w:rFonts w:hint="eastAsia"/>
          <w:color w:val="auto"/>
          <w:u w:val="single"/>
        </w:rPr>
        <w:t xml:space="preserve"> 24 </w:t>
      </w:r>
      <w:r>
        <w:rPr>
          <w:rFonts w:hint="eastAsia"/>
          <w:color w:val="auto"/>
        </w:rPr>
        <w:t>小时内或货到甲方</w:t>
      </w:r>
      <w:r>
        <w:rPr>
          <w:rFonts w:hint="eastAsia"/>
          <w:color w:val="auto"/>
          <w:u w:val="single"/>
        </w:rPr>
        <w:t xml:space="preserve"> 48 </w:t>
      </w:r>
      <w:r>
        <w:rPr>
          <w:rFonts w:hint="eastAsia"/>
          <w:color w:val="auto"/>
        </w:rPr>
        <w:t>小时前通知甲方，以准备接货。</w:t>
      </w:r>
    </w:p>
    <w:p>
      <w:pPr>
        <w:pStyle w:val="18"/>
        <w:spacing w:after="0" w:line="360" w:lineRule="auto"/>
        <w:ind w:firstLine="420" w:firstLineChars="175"/>
        <w:rPr>
          <w:color w:val="auto"/>
        </w:rPr>
      </w:pPr>
      <w:r>
        <w:rPr>
          <w:rFonts w:hint="eastAsia"/>
          <w:color w:val="auto"/>
        </w:rPr>
        <w:t>产品在交付甲方前发生的风险均由乙方负责。</w:t>
      </w:r>
    </w:p>
    <w:p>
      <w:pPr>
        <w:pStyle w:val="18"/>
        <w:spacing w:after="0" w:line="360" w:lineRule="auto"/>
        <w:ind w:firstLine="420" w:firstLineChars="175"/>
        <w:rPr>
          <w:color w:val="auto"/>
        </w:rPr>
      </w:pPr>
      <w:r>
        <w:rPr>
          <w:rFonts w:hint="eastAsia"/>
          <w:color w:val="auto"/>
        </w:rPr>
        <w:t>产品在规定的交付期限内由乙方送达甲方指定的地点视为交付，乙方同时需通知甲方产品已送达。</w:t>
      </w:r>
    </w:p>
    <w:p>
      <w:pPr>
        <w:pStyle w:val="18"/>
        <w:spacing w:after="0" w:line="360" w:lineRule="auto"/>
        <w:ind w:firstLine="422" w:firstLineChars="175"/>
        <w:rPr>
          <w:b/>
          <w:bCs/>
          <w:color w:val="auto"/>
        </w:rPr>
      </w:pPr>
      <w:r>
        <w:rPr>
          <w:rFonts w:hint="eastAsia"/>
          <w:b/>
          <w:bCs/>
          <w:color w:val="auto"/>
        </w:rPr>
        <w:t>十五、违约责任</w:t>
      </w:r>
    </w:p>
    <w:p>
      <w:pPr>
        <w:pStyle w:val="18"/>
        <w:spacing w:after="0" w:line="360" w:lineRule="auto"/>
        <w:ind w:firstLine="420" w:firstLineChars="175"/>
        <w:rPr>
          <w:color w:val="auto"/>
        </w:rPr>
      </w:pPr>
      <w:r>
        <w:rPr>
          <w:rFonts w:hint="eastAsia"/>
          <w:color w:val="auto"/>
        </w:rPr>
        <w:t>甲方无正当理由拒收产品的，甲方向乙方偿付拒收货款总值的百分之五违约金。</w:t>
      </w:r>
    </w:p>
    <w:p>
      <w:pPr>
        <w:pStyle w:val="18"/>
        <w:spacing w:after="0" w:line="360" w:lineRule="auto"/>
        <w:ind w:firstLine="420" w:firstLineChars="175"/>
        <w:rPr>
          <w:color w:val="auto"/>
        </w:rPr>
      </w:pPr>
      <w:r>
        <w:rPr>
          <w:rFonts w:hint="eastAsia"/>
          <w:color w:val="auto"/>
        </w:rPr>
        <w:t>甲方无故逾期验收和办理货款支付手续的,甲方应按逾期付款总额每日万分之五向乙方支付违约金。</w:t>
      </w:r>
    </w:p>
    <w:p>
      <w:pPr>
        <w:pStyle w:val="18"/>
        <w:spacing w:after="0" w:line="360" w:lineRule="auto"/>
        <w:ind w:firstLine="420" w:firstLineChars="175"/>
        <w:rPr>
          <w:color w:val="auto"/>
        </w:rPr>
      </w:pPr>
      <w:r>
        <w:rPr>
          <w:rFonts w:hint="eastAsia"/>
          <w:color w:val="auto"/>
        </w:rPr>
        <w:t>乙方逾期交付产品的，乙方应按逾期交货总额每日千分之六向甲方支付违约金， 由甲方从待付货款中扣除。逾期超过约定日期</w:t>
      </w:r>
      <w:r>
        <w:rPr>
          <w:rFonts w:hint="eastAsia"/>
          <w:color w:val="auto"/>
          <w:u w:val="single"/>
        </w:rPr>
        <w:t xml:space="preserve"> 10 </w:t>
      </w:r>
      <w:r>
        <w:rPr>
          <w:rFonts w:hint="eastAsia"/>
          <w:color w:val="auto"/>
        </w:rPr>
        <w:t>个工作日不能交货的，甲方可解除本合同。乙方因逾期交货或因其他违约行为导致甲方解除合同的，乙方应向甲方支付合同总值</w:t>
      </w:r>
      <w:r>
        <w:rPr>
          <w:rFonts w:hint="eastAsia"/>
          <w:color w:val="auto"/>
          <w:u w:val="single"/>
        </w:rPr>
        <w:t xml:space="preserve"> 5% </w:t>
      </w:r>
      <w:r>
        <w:rPr>
          <w:rFonts w:hint="eastAsia"/>
          <w:color w:val="auto"/>
        </w:rPr>
        <w:t>的违约金，如造成甲方损失超过违约金的，超出部分由乙方继续承担赔偿责任。</w:t>
      </w:r>
    </w:p>
    <w:p>
      <w:pPr>
        <w:pStyle w:val="18"/>
        <w:spacing w:after="0" w:line="360" w:lineRule="auto"/>
        <w:ind w:firstLine="420" w:firstLineChars="175"/>
        <w:rPr>
          <w:color w:val="auto"/>
        </w:rPr>
      </w:pPr>
      <w:r>
        <w:rPr>
          <w:rFonts w:hint="eastAsia"/>
          <w:color w:val="auto"/>
        </w:rPr>
        <w:t>乙方所交的产品品种、型号、规格、技术参数、质量不符合合同规定及招标文件规定标准的，甲方有权拒收该产品，乙方愿意更换产品但逾期交货的，按乙方逾期交货处理。乙方拒绝更换产品的，甲方可单方面解除合同。</w:t>
      </w:r>
    </w:p>
    <w:p>
      <w:pPr>
        <w:pStyle w:val="18"/>
        <w:spacing w:after="0" w:line="360" w:lineRule="auto"/>
        <w:ind w:firstLine="422" w:firstLineChars="175"/>
        <w:rPr>
          <w:b/>
          <w:bCs/>
          <w:color w:val="auto"/>
        </w:rPr>
      </w:pPr>
      <w:r>
        <w:rPr>
          <w:rFonts w:hint="eastAsia"/>
          <w:b/>
          <w:bCs/>
          <w:color w:val="auto"/>
        </w:rPr>
        <w:t>十六、不可抗力事件处理</w:t>
      </w:r>
    </w:p>
    <w:p>
      <w:pPr>
        <w:pStyle w:val="18"/>
        <w:spacing w:after="0" w:line="360" w:lineRule="auto"/>
        <w:ind w:firstLine="420" w:firstLineChars="175"/>
        <w:rPr>
          <w:color w:val="auto"/>
        </w:rPr>
      </w:pPr>
      <w:r>
        <w:rPr>
          <w:rFonts w:hint="eastAsia"/>
          <w:color w:val="auto"/>
        </w:rPr>
        <w:t>在合同有效期内，任何一方因不可抗力事件导致不能履行合同，则合同履行期可延长，其延长期与不可抗力影响期相同。</w:t>
      </w:r>
    </w:p>
    <w:p>
      <w:pPr>
        <w:pStyle w:val="18"/>
        <w:spacing w:after="0" w:line="360" w:lineRule="auto"/>
        <w:ind w:firstLine="420" w:firstLineChars="175"/>
        <w:rPr>
          <w:color w:val="auto"/>
        </w:rPr>
      </w:pPr>
      <w:r>
        <w:rPr>
          <w:rFonts w:hint="eastAsia"/>
          <w:color w:val="auto"/>
        </w:rPr>
        <w:t>不可抗力事件发生后，应立即通知对方，并寄送有关权威机构出具的证明。</w:t>
      </w:r>
    </w:p>
    <w:p>
      <w:pPr>
        <w:pStyle w:val="18"/>
        <w:spacing w:after="0" w:line="360" w:lineRule="auto"/>
        <w:ind w:firstLine="420" w:firstLineChars="175"/>
        <w:rPr>
          <w:color w:val="auto"/>
        </w:rPr>
      </w:pPr>
      <w:r>
        <w:rPr>
          <w:rFonts w:hint="eastAsia"/>
          <w:color w:val="auto"/>
        </w:rPr>
        <w:t>不可抗力事件延续</w:t>
      </w:r>
      <w:r>
        <w:rPr>
          <w:rFonts w:hint="eastAsia"/>
          <w:color w:val="auto"/>
          <w:u w:val="single"/>
        </w:rPr>
        <w:t xml:space="preserve"> 120 </w:t>
      </w:r>
      <w:r>
        <w:rPr>
          <w:rFonts w:hint="eastAsia"/>
          <w:color w:val="auto"/>
        </w:rPr>
        <w:t>天以上，双方应通过友好协商，确定是否继续履行合同。</w:t>
      </w:r>
    </w:p>
    <w:p>
      <w:pPr>
        <w:pStyle w:val="18"/>
        <w:spacing w:after="0" w:line="360" w:lineRule="auto"/>
        <w:ind w:firstLine="422" w:firstLineChars="175"/>
        <w:rPr>
          <w:b/>
          <w:bCs/>
          <w:color w:val="auto"/>
        </w:rPr>
      </w:pPr>
      <w:r>
        <w:rPr>
          <w:rFonts w:hint="eastAsia"/>
          <w:b/>
          <w:bCs/>
          <w:color w:val="auto"/>
        </w:rPr>
        <w:t>十七、诉讼</w:t>
      </w:r>
    </w:p>
    <w:p>
      <w:pPr>
        <w:pStyle w:val="18"/>
        <w:spacing w:after="0" w:line="360" w:lineRule="auto"/>
        <w:ind w:firstLine="420" w:firstLineChars="175"/>
        <w:rPr>
          <w:color w:val="auto"/>
        </w:rPr>
      </w:pPr>
      <w:r>
        <w:rPr>
          <w:rFonts w:hint="eastAsia"/>
          <w:color w:val="auto"/>
        </w:rPr>
        <w:t>17.1 双方在执行合同中所发生的一切争议，应通过协商解决。如协商不成，可向合同签订地法院起诉，合同签订地在此约定为</w:t>
      </w:r>
      <w:r>
        <w:rPr>
          <w:rFonts w:hint="eastAsia"/>
          <w:color w:val="auto"/>
          <w:u w:val="single"/>
        </w:rPr>
        <w:t xml:space="preserve">             </w:t>
      </w:r>
      <w:r>
        <w:rPr>
          <w:rFonts w:hint="eastAsia"/>
          <w:color w:val="auto"/>
        </w:rPr>
        <w:t>。</w:t>
      </w:r>
    </w:p>
    <w:p>
      <w:pPr>
        <w:pStyle w:val="18"/>
        <w:spacing w:after="0" w:line="360" w:lineRule="auto"/>
        <w:ind w:firstLine="422" w:firstLineChars="175"/>
        <w:rPr>
          <w:b/>
          <w:bCs/>
          <w:color w:val="auto"/>
        </w:rPr>
      </w:pPr>
      <w:r>
        <w:rPr>
          <w:rFonts w:hint="eastAsia"/>
          <w:b/>
          <w:bCs/>
          <w:color w:val="auto"/>
        </w:rPr>
        <w:t>十八、组成本合同的文件包括：</w:t>
      </w:r>
    </w:p>
    <w:p>
      <w:pPr>
        <w:pStyle w:val="18"/>
        <w:spacing w:after="0" w:line="360" w:lineRule="auto"/>
        <w:ind w:firstLine="420" w:firstLineChars="175"/>
        <w:rPr>
          <w:color w:val="auto"/>
        </w:rPr>
      </w:pPr>
      <w:r>
        <w:rPr>
          <w:rFonts w:hint="eastAsia"/>
          <w:color w:val="auto"/>
        </w:rPr>
        <w:t>合同通用条款和专用条款；</w:t>
      </w:r>
    </w:p>
    <w:p>
      <w:pPr>
        <w:pStyle w:val="18"/>
        <w:spacing w:after="0" w:line="360" w:lineRule="auto"/>
        <w:ind w:firstLine="420" w:firstLineChars="175"/>
        <w:rPr>
          <w:color w:val="auto"/>
        </w:rPr>
      </w:pPr>
      <w:r>
        <w:rPr>
          <w:rFonts w:hint="eastAsia"/>
          <w:color w:val="auto"/>
        </w:rPr>
        <w:t>招标文件和乙方的投标文件；</w:t>
      </w:r>
    </w:p>
    <w:p>
      <w:pPr>
        <w:pStyle w:val="18"/>
        <w:spacing w:after="0" w:line="360" w:lineRule="auto"/>
        <w:ind w:firstLine="420" w:firstLineChars="175"/>
        <w:rPr>
          <w:color w:val="auto"/>
        </w:rPr>
      </w:pPr>
      <w:r>
        <w:rPr>
          <w:rFonts w:hint="eastAsia"/>
          <w:color w:val="auto"/>
        </w:rPr>
        <w:t>中标通知书；</w:t>
      </w:r>
    </w:p>
    <w:p>
      <w:pPr>
        <w:pStyle w:val="18"/>
        <w:spacing w:after="0" w:line="360" w:lineRule="auto"/>
        <w:ind w:firstLine="420" w:firstLineChars="175"/>
        <w:rPr>
          <w:color w:val="auto"/>
        </w:rPr>
      </w:pPr>
      <w:r>
        <w:rPr>
          <w:rFonts w:hint="eastAsia"/>
          <w:color w:val="auto"/>
        </w:rPr>
        <w:t>甲乙双方商定的其他必要文件。</w:t>
      </w:r>
    </w:p>
    <w:p>
      <w:pPr>
        <w:pStyle w:val="18"/>
        <w:spacing w:after="0" w:line="360" w:lineRule="auto"/>
        <w:ind w:firstLine="420" w:firstLineChars="175"/>
        <w:rPr>
          <w:color w:val="auto"/>
        </w:rPr>
      </w:pPr>
      <w:r>
        <w:rPr>
          <w:rFonts w:hint="eastAsia"/>
          <w:color w:val="auto"/>
        </w:rPr>
        <w:t>上述合同文件内容互为补充，如有不明确，由甲方负责解释。</w:t>
      </w:r>
    </w:p>
    <w:p>
      <w:pPr>
        <w:pStyle w:val="18"/>
        <w:spacing w:after="0" w:line="360" w:lineRule="auto"/>
        <w:ind w:firstLine="422" w:firstLineChars="175"/>
        <w:rPr>
          <w:b/>
          <w:bCs/>
          <w:color w:val="auto"/>
        </w:rPr>
      </w:pPr>
      <w:r>
        <w:rPr>
          <w:rFonts w:hint="eastAsia"/>
          <w:b/>
          <w:bCs/>
          <w:color w:val="auto"/>
        </w:rPr>
        <w:t>十九、合同生效及其它</w:t>
      </w:r>
    </w:p>
    <w:p>
      <w:pPr>
        <w:pStyle w:val="18"/>
        <w:spacing w:after="0" w:line="360" w:lineRule="auto"/>
        <w:ind w:firstLine="420" w:firstLineChars="175"/>
        <w:rPr>
          <w:color w:val="auto"/>
        </w:rPr>
      </w:pPr>
      <w:r>
        <w:rPr>
          <w:rFonts w:hint="eastAsia"/>
          <w:color w:val="auto"/>
        </w:rPr>
        <w:t>合同经双方法定代表人或授权委托代表人签字并加盖单位公章，并经昌吉州政资局政府采购交易服务科见证盖章后生效。</w:t>
      </w:r>
    </w:p>
    <w:p>
      <w:pPr>
        <w:pStyle w:val="18"/>
        <w:spacing w:after="0" w:line="360" w:lineRule="auto"/>
        <w:ind w:firstLine="420" w:firstLineChars="175"/>
        <w:rPr>
          <w:color w:val="auto"/>
        </w:rPr>
      </w:pPr>
      <w:r>
        <w:rPr>
          <w:rFonts w:hint="eastAsia"/>
          <w:color w:val="auto"/>
        </w:rPr>
        <w:t>本合同未尽事宜，遵照《合同法》有关条文执行。</w:t>
      </w:r>
    </w:p>
    <w:p>
      <w:pPr>
        <w:pStyle w:val="18"/>
        <w:spacing w:after="0" w:line="360" w:lineRule="auto"/>
        <w:ind w:firstLine="420" w:firstLineChars="175"/>
        <w:rPr>
          <w:color w:val="auto"/>
        </w:rPr>
      </w:pPr>
      <w:r>
        <w:rPr>
          <w:rFonts w:hint="eastAsia"/>
          <w:color w:val="auto"/>
        </w:rPr>
        <w:t>本合同正本一式三份，具有同等法律效力，甲方、乙方及财政监管部门各执一份。</w:t>
      </w:r>
    </w:p>
    <w:p>
      <w:pPr>
        <w:pStyle w:val="18"/>
        <w:spacing w:after="0" w:line="360" w:lineRule="auto"/>
        <w:ind w:firstLine="420" w:firstLineChars="175"/>
        <w:rPr>
          <w:color w:val="auto"/>
        </w:rPr>
      </w:pPr>
      <w:r>
        <w:rPr>
          <w:rFonts w:hint="eastAsia"/>
          <w:color w:val="auto"/>
        </w:rPr>
        <w:t>甲方：                            乙方：</w:t>
      </w:r>
    </w:p>
    <w:p>
      <w:pPr>
        <w:pStyle w:val="18"/>
        <w:spacing w:after="0" w:line="360" w:lineRule="auto"/>
        <w:ind w:firstLine="420" w:firstLineChars="175"/>
        <w:rPr>
          <w:color w:val="auto"/>
        </w:rPr>
      </w:pPr>
      <w:r>
        <w:rPr>
          <w:rFonts w:hint="eastAsia"/>
          <w:color w:val="auto"/>
        </w:rPr>
        <w:t>地址：                            地址：</w:t>
      </w:r>
    </w:p>
    <w:p>
      <w:pPr>
        <w:pStyle w:val="18"/>
        <w:spacing w:after="0" w:line="360" w:lineRule="auto"/>
        <w:ind w:firstLine="420" w:firstLineChars="175"/>
        <w:rPr>
          <w:color w:val="auto"/>
        </w:rPr>
      </w:pPr>
      <w:r>
        <w:rPr>
          <w:rFonts w:hint="eastAsia"/>
          <w:color w:val="auto"/>
        </w:rPr>
        <w:t>法定代表人或授权代表：            法定代表人或授权代表：</w:t>
      </w:r>
    </w:p>
    <w:p>
      <w:pPr>
        <w:pStyle w:val="18"/>
        <w:spacing w:after="0" w:line="360" w:lineRule="auto"/>
        <w:ind w:firstLine="420" w:firstLineChars="175"/>
        <w:rPr>
          <w:color w:val="auto"/>
        </w:rPr>
      </w:pPr>
      <w:r>
        <w:rPr>
          <w:rFonts w:hint="eastAsia"/>
          <w:color w:val="auto"/>
        </w:rPr>
        <w:t>联系电话：                        联系电话：</w:t>
      </w:r>
    </w:p>
    <w:p>
      <w:pPr>
        <w:pStyle w:val="18"/>
        <w:spacing w:after="0" w:line="360" w:lineRule="auto"/>
        <w:ind w:firstLine="420" w:firstLineChars="175"/>
        <w:rPr>
          <w:color w:val="auto"/>
        </w:rPr>
      </w:pPr>
      <w:r>
        <w:rPr>
          <w:rFonts w:hint="eastAsia"/>
          <w:color w:val="auto"/>
        </w:rPr>
        <w:t>签订日期：    年  月   日</w:t>
      </w:r>
    </w:p>
    <w:p>
      <w:pPr>
        <w:pStyle w:val="18"/>
        <w:jc w:val="center"/>
        <w:rPr>
          <w:rFonts w:ascii="宋体" w:hAnsi="宋体" w:cs="宋体"/>
          <w:b/>
          <w:color w:val="auto"/>
        </w:rPr>
      </w:pPr>
      <w:r>
        <w:rPr>
          <w:rFonts w:hint="eastAsia"/>
          <w:color w:val="auto"/>
        </w:rPr>
        <w:br w:type="page"/>
      </w:r>
      <w:bookmarkEnd w:id="43"/>
      <w:bookmarkStart w:id="45" w:name="_Toc3634"/>
      <w:r>
        <w:rPr>
          <w:rStyle w:val="42"/>
          <w:rFonts w:hint="eastAsia" w:ascii="宋体" w:hAnsi="宋体" w:cs="宋体"/>
          <w:color w:val="auto"/>
        </w:rPr>
        <w:t>第六部分  投标文件格式</w:t>
      </w:r>
      <w:bookmarkEnd w:id="45"/>
      <w:bookmarkStart w:id="46" w:name="EBa6563f599c41462c9a1a5775fbb6dec3"/>
    </w:p>
    <w:p>
      <w:pPr>
        <w:pStyle w:val="131"/>
        <w:spacing w:line="360" w:lineRule="auto"/>
        <w:jc w:val="center"/>
        <w:outlineLvl w:val="2"/>
        <w:rPr>
          <w:rFonts w:ascii="宋体" w:hAnsi="宋体" w:eastAsia="宋体" w:cs="宋体"/>
          <w:color w:val="auto"/>
          <w:sz w:val="30"/>
          <w:szCs w:val="30"/>
        </w:rPr>
      </w:pPr>
      <w:bookmarkStart w:id="47" w:name="_Toc11740"/>
      <w:r>
        <w:rPr>
          <w:rFonts w:hint="eastAsia" w:ascii="宋体" w:hAnsi="宋体" w:eastAsia="宋体" w:cs="宋体"/>
          <w:color w:val="auto"/>
          <w:sz w:val="30"/>
          <w:szCs w:val="30"/>
        </w:rPr>
        <w:t>投标文件封面</w:t>
      </w:r>
      <w:bookmarkEnd w:id="47"/>
    </w:p>
    <w:p>
      <w:pPr>
        <w:pStyle w:val="80"/>
        <w:tabs>
          <w:tab w:val="left" w:pos="7518"/>
        </w:tabs>
        <w:spacing w:line="360" w:lineRule="auto"/>
        <w:jc w:val="right"/>
        <w:rPr>
          <w:rFonts w:ascii="宋体" w:hAnsi="宋体" w:cs="宋体"/>
          <w:b/>
          <w:color w:val="auto"/>
          <w:sz w:val="36"/>
          <w:szCs w:val="36"/>
        </w:rPr>
      </w:pPr>
      <w:r>
        <w:rPr>
          <w:rFonts w:hint="eastAsia" w:ascii="宋体" w:hAnsi="宋体" w:cs="宋体"/>
          <w:b/>
          <w:color w:val="auto"/>
          <w:sz w:val="36"/>
          <w:szCs w:val="36"/>
          <w:bdr w:val="single" w:color="000000" w:sz="4" w:space="0"/>
        </w:rPr>
        <w:t>正/副本</w:t>
      </w:r>
    </w:p>
    <w:p>
      <w:pPr>
        <w:pStyle w:val="80"/>
        <w:spacing w:line="360" w:lineRule="auto"/>
        <w:jc w:val="center"/>
        <w:rPr>
          <w:rFonts w:ascii="宋体" w:hAnsi="宋体" w:cs="宋体"/>
          <w:color w:val="auto"/>
          <w:sz w:val="24"/>
        </w:rPr>
      </w:pPr>
    </w:p>
    <w:p>
      <w:pPr>
        <w:pStyle w:val="80"/>
        <w:spacing w:line="360" w:lineRule="auto"/>
        <w:rPr>
          <w:rFonts w:ascii="宋体" w:hAnsi="宋体" w:cs="宋体"/>
          <w:color w:val="auto"/>
          <w:sz w:val="28"/>
          <w:szCs w:val="28"/>
        </w:rPr>
      </w:pPr>
      <w:r>
        <w:rPr>
          <w:rFonts w:hint="eastAsia" w:ascii="宋体" w:hAnsi="宋体" w:cs="宋体"/>
          <w:color w:val="auto"/>
          <w:sz w:val="28"/>
          <w:szCs w:val="28"/>
        </w:rPr>
        <w:t xml:space="preserve">                </w:t>
      </w:r>
      <w:r>
        <w:rPr>
          <w:rFonts w:hint="eastAsia" w:ascii="宋体" w:hAnsi="宋体" w:cs="宋体"/>
          <w:color w:val="auto"/>
          <w:sz w:val="28"/>
          <w:szCs w:val="28"/>
          <w:u w:val="single"/>
        </w:rPr>
        <w:t xml:space="preserve">                        </w:t>
      </w:r>
      <w:r>
        <w:rPr>
          <w:rFonts w:hint="eastAsia" w:ascii="宋体" w:hAnsi="宋体" w:cs="宋体"/>
          <w:color w:val="auto"/>
          <w:sz w:val="28"/>
          <w:szCs w:val="28"/>
        </w:rPr>
        <w:t>（项目名称）</w:t>
      </w:r>
    </w:p>
    <w:p>
      <w:pPr>
        <w:pStyle w:val="80"/>
        <w:spacing w:line="360" w:lineRule="auto"/>
        <w:jc w:val="center"/>
        <w:rPr>
          <w:rFonts w:ascii="宋体" w:hAnsi="宋体" w:cs="宋体"/>
          <w:color w:val="auto"/>
          <w:sz w:val="28"/>
          <w:szCs w:val="28"/>
        </w:rPr>
      </w:pPr>
    </w:p>
    <w:p>
      <w:pPr>
        <w:pStyle w:val="80"/>
        <w:spacing w:line="360" w:lineRule="auto"/>
        <w:ind w:firstLine="1680" w:firstLineChars="600"/>
        <w:rPr>
          <w:rFonts w:ascii="宋体" w:hAnsi="宋体" w:cs="宋体"/>
          <w:color w:val="auto"/>
          <w:sz w:val="28"/>
          <w:szCs w:val="28"/>
        </w:rPr>
      </w:pPr>
      <w:r>
        <w:rPr>
          <w:rFonts w:hint="eastAsia" w:ascii="宋体" w:hAnsi="宋体" w:cs="宋体"/>
          <w:color w:val="auto"/>
          <w:sz w:val="28"/>
          <w:szCs w:val="28"/>
        </w:rPr>
        <w:t xml:space="preserve">     </w:t>
      </w:r>
      <w:r>
        <w:rPr>
          <w:rFonts w:hint="eastAsia" w:ascii="宋体" w:hAnsi="宋体" w:cs="宋体"/>
          <w:color w:val="auto"/>
          <w:sz w:val="28"/>
          <w:szCs w:val="28"/>
          <w:u w:val="single"/>
        </w:rPr>
        <w:t xml:space="preserve">                    </w:t>
      </w:r>
      <w:r>
        <w:rPr>
          <w:rFonts w:hint="eastAsia" w:ascii="宋体" w:hAnsi="宋体" w:cs="宋体"/>
          <w:color w:val="auto"/>
          <w:sz w:val="28"/>
          <w:szCs w:val="28"/>
        </w:rPr>
        <w:t>（项目编号）</w:t>
      </w:r>
    </w:p>
    <w:p>
      <w:pPr>
        <w:pStyle w:val="80"/>
        <w:spacing w:line="360" w:lineRule="auto"/>
        <w:jc w:val="center"/>
        <w:rPr>
          <w:rFonts w:ascii="宋体" w:hAnsi="宋体" w:cs="宋体"/>
          <w:color w:val="auto"/>
          <w:sz w:val="24"/>
        </w:rPr>
      </w:pPr>
    </w:p>
    <w:p>
      <w:pPr>
        <w:pStyle w:val="80"/>
        <w:spacing w:line="360" w:lineRule="auto"/>
        <w:jc w:val="center"/>
        <w:rPr>
          <w:rFonts w:ascii="宋体" w:hAnsi="宋体" w:cs="宋体"/>
          <w:color w:val="auto"/>
          <w:sz w:val="24"/>
        </w:rPr>
      </w:pPr>
    </w:p>
    <w:p>
      <w:pPr>
        <w:pStyle w:val="80"/>
        <w:spacing w:line="360" w:lineRule="auto"/>
        <w:jc w:val="center"/>
        <w:rPr>
          <w:rFonts w:ascii="宋体" w:hAnsi="宋体" w:cs="宋体"/>
          <w:b/>
          <w:color w:val="auto"/>
          <w:sz w:val="72"/>
          <w:szCs w:val="72"/>
        </w:rPr>
      </w:pPr>
      <w:r>
        <w:rPr>
          <w:rFonts w:hint="eastAsia" w:ascii="宋体" w:hAnsi="宋体" w:cs="宋体"/>
          <w:b/>
          <w:color w:val="auto"/>
          <w:sz w:val="72"/>
          <w:szCs w:val="72"/>
        </w:rPr>
        <w:t>投标文件</w:t>
      </w:r>
    </w:p>
    <w:p>
      <w:pPr>
        <w:pStyle w:val="80"/>
        <w:spacing w:line="360" w:lineRule="auto"/>
        <w:jc w:val="center"/>
        <w:rPr>
          <w:rFonts w:ascii="宋体" w:hAnsi="宋体" w:cs="宋体"/>
          <w:color w:val="auto"/>
          <w:sz w:val="24"/>
        </w:rPr>
      </w:pPr>
    </w:p>
    <w:p>
      <w:pPr>
        <w:pStyle w:val="80"/>
        <w:spacing w:line="360" w:lineRule="auto"/>
        <w:jc w:val="center"/>
        <w:rPr>
          <w:rFonts w:ascii="宋体" w:hAnsi="宋体" w:cs="宋体"/>
          <w:color w:val="auto"/>
          <w:sz w:val="24"/>
        </w:rPr>
      </w:pPr>
    </w:p>
    <w:p>
      <w:pPr>
        <w:pStyle w:val="80"/>
        <w:spacing w:line="360" w:lineRule="auto"/>
        <w:jc w:val="center"/>
        <w:rPr>
          <w:rFonts w:ascii="宋体" w:hAnsi="宋体" w:cs="宋体"/>
          <w:b/>
          <w:color w:val="auto"/>
          <w:sz w:val="24"/>
        </w:rPr>
      </w:pPr>
    </w:p>
    <w:p>
      <w:pPr>
        <w:pStyle w:val="80"/>
        <w:spacing w:line="360" w:lineRule="auto"/>
        <w:jc w:val="center"/>
        <w:rPr>
          <w:rFonts w:ascii="宋体" w:hAnsi="宋体" w:cs="宋体"/>
          <w:b/>
          <w:color w:val="auto"/>
          <w:sz w:val="24"/>
        </w:rPr>
      </w:pPr>
    </w:p>
    <w:p>
      <w:pPr>
        <w:pStyle w:val="80"/>
        <w:spacing w:line="360" w:lineRule="auto"/>
        <w:ind w:firstLine="1680" w:firstLineChars="600"/>
        <w:rPr>
          <w:rFonts w:ascii="宋体" w:hAnsi="宋体" w:cs="宋体"/>
          <w:color w:val="auto"/>
          <w:sz w:val="28"/>
          <w:szCs w:val="28"/>
          <w:u w:val="single"/>
        </w:rPr>
      </w:pPr>
      <w:r>
        <w:rPr>
          <w:rFonts w:hint="eastAsia" w:ascii="宋体" w:hAnsi="宋体" w:cs="宋体"/>
          <w:color w:val="auto"/>
          <w:sz w:val="28"/>
          <w:szCs w:val="28"/>
        </w:rPr>
        <w:t>供应商名称：</w:t>
      </w:r>
      <w:r>
        <w:rPr>
          <w:rFonts w:hint="eastAsia" w:ascii="宋体" w:hAnsi="宋体" w:cs="宋体"/>
          <w:color w:val="auto"/>
          <w:sz w:val="28"/>
          <w:szCs w:val="28"/>
          <w:u w:val="single"/>
        </w:rPr>
        <w:t xml:space="preserve">                     </w:t>
      </w:r>
      <w:r>
        <w:rPr>
          <w:rFonts w:hint="eastAsia" w:ascii="宋体" w:hAnsi="宋体" w:cs="宋体"/>
          <w:color w:val="auto"/>
          <w:sz w:val="28"/>
          <w:szCs w:val="28"/>
        </w:rPr>
        <w:t>（盖章）</w:t>
      </w:r>
    </w:p>
    <w:p>
      <w:pPr>
        <w:pStyle w:val="80"/>
        <w:spacing w:line="360" w:lineRule="auto"/>
        <w:ind w:firstLine="1680" w:firstLineChars="600"/>
        <w:rPr>
          <w:rFonts w:ascii="宋体" w:hAnsi="宋体" w:cs="宋体"/>
          <w:color w:val="auto"/>
          <w:sz w:val="28"/>
          <w:szCs w:val="28"/>
        </w:rPr>
      </w:pPr>
      <w:r>
        <w:rPr>
          <w:rFonts w:hint="eastAsia" w:ascii="宋体" w:hAnsi="宋体" w:cs="宋体"/>
          <w:color w:val="auto"/>
          <w:sz w:val="28"/>
          <w:szCs w:val="28"/>
        </w:rPr>
        <w:t>法定代表人：</w:t>
      </w:r>
      <w:r>
        <w:rPr>
          <w:rFonts w:hint="eastAsia" w:ascii="宋体" w:hAnsi="宋体" w:cs="宋体"/>
          <w:color w:val="auto"/>
          <w:sz w:val="28"/>
          <w:szCs w:val="28"/>
          <w:u w:val="single"/>
        </w:rPr>
        <w:t xml:space="preserve">                 </w:t>
      </w:r>
      <w:r>
        <w:rPr>
          <w:rFonts w:hint="eastAsia" w:ascii="宋体" w:hAnsi="宋体" w:cs="宋体"/>
          <w:color w:val="auto"/>
          <w:sz w:val="28"/>
          <w:szCs w:val="28"/>
        </w:rPr>
        <w:t>（签字或盖章）</w:t>
      </w:r>
    </w:p>
    <w:p>
      <w:pPr>
        <w:pStyle w:val="80"/>
        <w:spacing w:line="360" w:lineRule="auto"/>
        <w:ind w:firstLine="1680" w:firstLineChars="600"/>
        <w:rPr>
          <w:rFonts w:ascii="宋体" w:hAnsi="宋体" w:cs="宋体"/>
          <w:color w:val="auto"/>
          <w:sz w:val="28"/>
          <w:szCs w:val="28"/>
        </w:rPr>
      </w:pPr>
      <w:r>
        <w:rPr>
          <w:rFonts w:hint="eastAsia" w:ascii="宋体" w:hAnsi="宋体" w:cs="宋体"/>
          <w:color w:val="auto"/>
          <w:sz w:val="28"/>
          <w:szCs w:val="28"/>
        </w:rPr>
        <w:t>委托代理人：</w:t>
      </w:r>
      <w:r>
        <w:rPr>
          <w:rFonts w:hint="eastAsia" w:ascii="宋体" w:hAnsi="宋体" w:cs="宋体"/>
          <w:b/>
          <w:color w:val="auto"/>
          <w:sz w:val="24"/>
          <w:u w:val="single"/>
        </w:rPr>
        <w:t xml:space="preserve">                    </w:t>
      </w:r>
      <w:r>
        <w:rPr>
          <w:rFonts w:hint="eastAsia" w:ascii="宋体" w:hAnsi="宋体" w:cs="宋体"/>
          <w:color w:val="auto"/>
          <w:sz w:val="28"/>
          <w:szCs w:val="28"/>
        </w:rPr>
        <w:t>（签字）</w:t>
      </w:r>
    </w:p>
    <w:p>
      <w:pPr>
        <w:pStyle w:val="80"/>
        <w:spacing w:line="360" w:lineRule="auto"/>
        <w:ind w:firstLine="1680" w:firstLineChars="600"/>
        <w:rPr>
          <w:rFonts w:ascii="宋体" w:hAnsi="宋体" w:cs="宋体"/>
          <w:color w:val="auto"/>
          <w:sz w:val="28"/>
          <w:szCs w:val="28"/>
        </w:rPr>
      </w:pPr>
      <w:r>
        <w:rPr>
          <w:rFonts w:hint="eastAsia" w:ascii="宋体" w:hAnsi="宋体" w:cs="宋体"/>
          <w:color w:val="auto"/>
          <w:sz w:val="28"/>
          <w:szCs w:val="28"/>
        </w:rPr>
        <w:t>联系人：</w:t>
      </w:r>
      <w:r>
        <w:rPr>
          <w:rFonts w:hint="eastAsia" w:ascii="宋体" w:hAnsi="宋体" w:cs="宋体"/>
          <w:color w:val="auto"/>
          <w:sz w:val="28"/>
          <w:szCs w:val="28"/>
          <w:u w:val="single"/>
        </w:rPr>
        <w:t xml:space="preserve">                     </w:t>
      </w:r>
    </w:p>
    <w:p>
      <w:pPr>
        <w:pStyle w:val="80"/>
        <w:spacing w:line="360" w:lineRule="auto"/>
        <w:ind w:firstLine="1680" w:firstLineChars="600"/>
        <w:rPr>
          <w:rFonts w:ascii="宋体" w:hAnsi="宋体" w:cs="宋体"/>
          <w:color w:val="auto"/>
          <w:sz w:val="28"/>
          <w:szCs w:val="28"/>
        </w:rPr>
      </w:pPr>
      <w:r>
        <w:rPr>
          <w:rFonts w:hint="eastAsia" w:ascii="宋体" w:hAnsi="宋体" w:cs="宋体"/>
          <w:color w:val="auto"/>
          <w:sz w:val="28"/>
          <w:szCs w:val="28"/>
        </w:rPr>
        <w:t>联系电话：</w:t>
      </w:r>
      <w:r>
        <w:rPr>
          <w:rFonts w:hint="eastAsia" w:ascii="宋体" w:hAnsi="宋体" w:cs="宋体"/>
          <w:color w:val="auto"/>
          <w:sz w:val="28"/>
          <w:szCs w:val="28"/>
          <w:u w:val="single"/>
        </w:rPr>
        <w:t xml:space="preserve">                   </w:t>
      </w:r>
    </w:p>
    <w:p>
      <w:pPr>
        <w:pStyle w:val="80"/>
        <w:spacing w:line="360" w:lineRule="auto"/>
        <w:ind w:firstLine="1680" w:firstLineChars="600"/>
        <w:rPr>
          <w:rFonts w:ascii="宋体" w:hAnsi="宋体" w:cs="宋体"/>
          <w:color w:val="auto"/>
          <w:sz w:val="28"/>
          <w:szCs w:val="28"/>
        </w:rPr>
      </w:pPr>
      <w:r>
        <w:rPr>
          <w:rFonts w:hint="eastAsia" w:ascii="宋体" w:hAnsi="宋体" w:cs="宋体"/>
          <w:color w:val="auto"/>
          <w:sz w:val="28"/>
          <w:szCs w:val="28"/>
        </w:rPr>
        <w:t>供应商地址：</w:t>
      </w:r>
      <w:r>
        <w:rPr>
          <w:rFonts w:hint="eastAsia" w:ascii="宋体" w:hAnsi="宋体" w:cs="宋体"/>
          <w:color w:val="auto"/>
          <w:sz w:val="28"/>
          <w:szCs w:val="28"/>
          <w:u w:val="single"/>
        </w:rPr>
        <w:t xml:space="preserve">                 </w:t>
      </w:r>
    </w:p>
    <w:p>
      <w:pPr>
        <w:pStyle w:val="80"/>
        <w:spacing w:line="360" w:lineRule="auto"/>
        <w:ind w:firstLine="1680" w:firstLineChars="600"/>
        <w:rPr>
          <w:rFonts w:ascii="宋体" w:hAnsi="宋体" w:cs="宋体"/>
          <w:color w:val="auto"/>
          <w:sz w:val="28"/>
          <w:szCs w:val="28"/>
          <w:u w:val="single"/>
        </w:rPr>
      </w:pPr>
      <w:r>
        <w:rPr>
          <w:rFonts w:hint="eastAsia" w:ascii="宋体" w:hAnsi="宋体" w:cs="宋体"/>
          <w:color w:val="auto"/>
          <w:sz w:val="28"/>
          <w:szCs w:val="28"/>
        </w:rPr>
        <w:t>日期：</w:t>
      </w:r>
      <w:r>
        <w:rPr>
          <w:rFonts w:hint="eastAsia" w:ascii="宋体" w:hAnsi="宋体" w:cs="宋体"/>
          <w:color w:val="auto"/>
          <w:sz w:val="28"/>
          <w:szCs w:val="28"/>
          <w:u w:val="single"/>
        </w:rPr>
        <w:t xml:space="preserve">                       </w:t>
      </w:r>
    </w:p>
    <w:p>
      <w:pPr>
        <w:pStyle w:val="80"/>
        <w:spacing w:line="360" w:lineRule="auto"/>
        <w:ind w:firstLine="1440" w:firstLineChars="600"/>
        <w:rPr>
          <w:rFonts w:ascii="宋体" w:hAnsi="宋体" w:cs="宋体"/>
          <w:color w:val="auto"/>
          <w:sz w:val="24"/>
        </w:rPr>
      </w:pPr>
    </w:p>
    <w:p>
      <w:pPr>
        <w:pStyle w:val="80"/>
        <w:spacing w:line="360" w:lineRule="auto"/>
        <w:jc w:val="center"/>
        <w:rPr>
          <w:rFonts w:ascii="宋体" w:hAnsi="宋体" w:cs="宋体"/>
          <w:color w:val="auto"/>
          <w:sz w:val="28"/>
          <w:szCs w:val="28"/>
          <w:u w:val="single"/>
        </w:rPr>
      </w:pPr>
      <w:r>
        <w:rPr>
          <w:rFonts w:hint="eastAsia" w:ascii="宋体" w:hAnsi="宋体" w:cs="宋体"/>
          <w:color w:val="auto"/>
          <w:sz w:val="24"/>
        </w:rPr>
        <w:t>年  月  日   开标前不准启封</w:t>
      </w:r>
    </w:p>
    <w:p>
      <w:pPr>
        <w:pStyle w:val="142"/>
        <w:jc w:val="center"/>
        <w:outlineLvl w:val="1"/>
        <w:rPr>
          <w:rFonts w:ascii="宋体" w:hAnsi="宋体" w:eastAsia="宋体" w:cs="宋体"/>
          <w:color w:val="auto"/>
        </w:rPr>
      </w:pPr>
      <w:r>
        <w:rPr>
          <w:rFonts w:hint="eastAsia" w:ascii="宋体" w:hAnsi="宋体" w:eastAsia="宋体" w:cs="宋体"/>
          <w:color w:val="auto"/>
        </w:rPr>
        <w:br w:type="page"/>
      </w:r>
      <w:bookmarkStart w:id="48" w:name="_Toc20108"/>
      <w:r>
        <w:rPr>
          <w:rFonts w:hint="eastAsia" w:ascii="宋体" w:hAnsi="宋体" w:eastAsia="宋体" w:cs="宋体"/>
          <w:color w:val="auto"/>
          <w:sz w:val="30"/>
          <w:szCs w:val="30"/>
        </w:rPr>
        <w:t>商务、经济文件</w:t>
      </w:r>
      <w:bookmarkEnd w:id="48"/>
    </w:p>
    <w:p>
      <w:pPr>
        <w:pStyle w:val="122"/>
        <w:jc w:val="center"/>
        <w:outlineLvl w:val="2"/>
        <w:rPr>
          <w:rFonts w:ascii="宋体" w:hAnsi="宋体" w:eastAsia="宋体" w:cs="宋体"/>
          <w:color w:val="auto"/>
          <w:sz w:val="24"/>
        </w:rPr>
      </w:pPr>
      <w:bookmarkStart w:id="49" w:name="_Toc3557"/>
      <w:r>
        <w:rPr>
          <w:rFonts w:hint="eastAsia" w:ascii="宋体" w:hAnsi="宋体" w:eastAsia="宋体" w:cs="宋体"/>
          <w:color w:val="auto"/>
          <w:sz w:val="24"/>
        </w:rPr>
        <w:t>★投标函</w:t>
      </w:r>
      <w:bookmarkEnd w:id="49"/>
    </w:p>
    <w:p>
      <w:pPr>
        <w:pStyle w:val="99"/>
        <w:widowControl/>
        <w:spacing w:line="420" w:lineRule="exact"/>
        <w:ind w:left="0" w:leftChars="0"/>
        <w:rPr>
          <w:rFonts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（采购人）：</w:t>
      </w:r>
    </w:p>
    <w:p>
      <w:pPr>
        <w:pStyle w:val="99"/>
        <w:widowControl/>
        <w:spacing w:line="420" w:lineRule="exact"/>
        <w:ind w:left="0" w:leftChars="0"/>
        <w:rPr>
          <w:rFonts w:ascii="宋体" w:hAnsi="宋体" w:cs="宋体"/>
          <w:color w:val="auto"/>
        </w:rPr>
      </w:pPr>
      <w:r>
        <w:rPr>
          <w:rFonts w:hint="eastAsia" w:ascii="宋体" w:hAnsi="宋体" w:cs="宋体"/>
          <w:color w:val="auto"/>
          <w:sz w:val="24"/>
          <w:u w:val="single"/>
        </w:rPr>
        <w:t xml:space="preserve">                    </w:t>
      </w:r>
      <w:r>
        <w:rPr>
          <w:rFonts w:hint="eastAsia" w:ascii="宋体" w:hAnsi="宋体" w:cs="宋体"/>
          <w:color w:val="auto"/>
          <w:sz w:val="24"/>
        </w:rPr>
        <w:t>（采购代理机构）：</w:t>
      </w:r>
    </w:p>
    <w:p>
      <w:pPr>
        <w:pStyle w:val="99"/>
        <w:widowControl/>
        <w:spacing w:line="420" w:lineRule="exact"/>
        <w:ind w:left="0" w:leftChars="0"/>
        <w:jc w:val="left"/>
        <w:rPr>
          <w:rFonts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(供应商名称)授权</w:t>
      </w:r>
      <w:r>
        <w:rPr>
          <w:rFonts w:hint="eastAsia" w:ascii="宋体" w:hAnsi="宋体" w:cs="宋体"/>
          <w:color w:val="auto"/>
          <w:sz w:val="24"/>
          <w:u w:val="single"/>
        </w:rPr>
        <w:t xml:space="preserve">       </w:t>
      </w:r>
      <w:r>
        <w:rPr>
          <w:rFonts w:hint="eastAsia" w:ascii="宋体" w:hAnsi="宋体" w:cs="宋体"/>
          <w:color w:val="auto"/>
          <w:sz w:val="24"/>
        </w:rPr>
        <w:t>(供应商委托代理人姓名)</w:t>
      </w:r>
      <w:r>
        <w:rPr>
          <w:rFonts w:hint="eastAsia" w:ascii="宋体" w:hAnsi="宋体" w:cs="宋体"/>
          <w:color w:val="auto"/>
          <w:sz w:val="24"/>
          <w:u w:val="single"/>
        </w:rPr>
        <w:t xml:space="preserve">     </w:t>
      </w:r>
      <w:r>
        <w:rPr>
          <w:rFonts w:hint="eastAsia" w:ascii="宋体" w:hAnsi="宋体" w:cs="宋体"/>
          <w:color w:val="auto"/>
          <w:sz w:val="24"/>
        </w:rPr>
        <w:t>(职务)为我方代表，参加贵方组织的</w:t>
      </w:r>
      <w:r>
        <w:rPr>
          <w:rFonts w:hint="eastAsia" w:ascii="宋体" w:hAnsi="宋体" w:cs="宋体"/>
          <w:color w:val="auto"/>
          <w:sz w:val="24"/>
          <w:u w:val="single"/>
        </w:rPr>
        <w:t xml:space="preserve">         </w:t>
      </w:r>
      <w:r>
        <w:rPr>
          <w:rFonts w:hint="eastAsia" w:ascii="宋体" w:hAnsi="宋体" w:cs="宋体"/>
          <w:color w:val="auto"/>
          <w:sz w:val="24"/>
        </w:rPr>
        <w:t xml:space="preserve"> (项目名称、项目编号)招标的有关活动，并对此项目进行投标。为此：</w:t>
      </w:r>
    </w:p>
    <w:p>
      <w:pPr>
        <w:pStyle w:val="99"/>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1、我方同意在本项目招标文件中规定的投标有效期内遵守本投标文件中的承诺且在此期限期满之前均具有约束力。</w:t>
      </w:r>
    </w:p>
    <w:p>
      <w:pPr>
        <w:pStyle w:val="99"/>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2、我方承诺已经具备规定的供应商应当具备的条件：</w:t>
      </w:r>
    </w:p>
    <w:p>
      <w:pPr>
        <w:pStyle w:val="99"/>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1）具有独立承担民事责任的能力；</w:t>
      </w:r>
    </w:p>
    <w:p>
      <w:pPr>
        <w:pStyle w:val="99"/>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2）具有良好的商业信誉和健全的财务会计制度；</w:t>
      </w:r>
    </w:p>
    <w:p>
      <w:pPr>
        <w:pStyle w:val="99"/>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3）具有履行合同所必需的设备和专业技术能力；</w:t>
      </w:r>
    </w:p>
    <w:p>
      <w:pPr>
        <w:pStyle w:val="99"/>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4）有依法缴纳税收和社会保障资金的良好记录；</w:t>
      </w:r>
    </w:p>
    <w:p>
      <w:pPr>
        <w:pStyle w:val="99"/>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5）参加此项采购活动前三年内，在经营活动中没有重大违法记录；</w:t>
      </w:r>
    </w:p>
    <w:p>
      <w:pPr>
        <w:pStyle w:val="73"/>
        <w:spacing w:line="420" w:lineRule="exact"/>
        <w:ind w:firstLine="480" w:firstLineChars="200"/>
        <w:rPr>
          <w:rFonts w:ascii="宋体" w:hAnsi="宋体" w:cs="宋体"/>
          <w:color w:val="auto"/>
          <w:sz w:val="24"/>
        </w:rPr>
      </w:pPr>
      <w:r>
        <w:rPr>
          <w:rFonts w:hint="eastAsia" w:ascii="宋体" w:hAnsi="宋体" w:cs="宋体"/>
          <w:color w:val="auto"/>
          <w:sz w:val="24"/>
        </w:rPr>
        <w:t>6）法律、行政法规规定的其他条件。</w:t>
      </w:r>
    </w:p>
    <w:p>
      <w:pPr>
        <w:pStyle w:val="99"/>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3、提供供应商须知规定的全部投标文件，包括在投标文件</w:t>
      </w:r>
      <w:r>
        <w:rPr>
          <w:rFonts w:hint="eastAsia" w:ascii="宋体" w:hAnsi="宋体" w:cs="宋体"/>
          <w:color w:val="auto"/>
          <w:sz w:val="24"/>
          <w:u w:val="single"/>
        </w:rPr>
        <w:t>伍</w:t>
      </w:r>
      <w:r>
        <w:rPr>
          <w:rFonts w:hint="eastAsia" w:ascii="宋体" w:hAnsi="宋体" w:cs="宋体"/>
          <w:color w:val="auto"/>
          <w:sz w:val="24"/>
        </w:rPr>
        <w:t>份及电子版（Ｕ盘）一份。</w:t>
      </w:r>
    </w:p>
    <w:p>
      <w:pPr>
        <w:pStyle w:val="99"/>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4、我方承诺：照招标文件中的要求，提供招标货物及技术服务等内容的投标总价 （大写）</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sz w:val="24"/>
        </w:rPr>
        <w:t>（小写）。</w:t>
      </w:r>
    </w:p>
    <w:p>
      <w:pPr>
        <w:pStyle w:val="73"/>
        <w:spacing w:line="420" w:lineRule="exact"/>
        <w:ind w:firstLine="480" w:firstLineChars="200"/>
        <w:rPr>
          <w:rFonts w:ascii="宋体" w:hAnsi="宋体" w:cs="宋体"/>
          <w:color w:val="auto"/>
        </w:rPr>
      </w:pPr>
      <w:r>
        <w:rPr>
          <w:rFonts w:hint="eastAsia" w:ascii="宋体" w:hAnsi="宋体" w:cs="宋体"/>
          <w:color w:val="auto"/>
          <w:sz w:val="24"/>
        </w:rPr>
        <w:t>5、同意按招标文件的规定，本投标文件的有效期为</w:t>
      </w:r>
      <w:r>
        <w:rPr>
          <w:rFonts w:hint="eastAsia" w:ascii="宋体" w:hAnsi="宋体" w:cs="宋体"/>
          <w:color w:val="auto"/>
          <w:sz w:val="24"/>
          <w:u w:val="single"/>
        </w:rPr>
        <w:t xml:space="preserve"> 90 </w:t>
      </w:r>
      <w:r>
        <w:rPr>
          <w:rFonts w:hint="eastAsia" w:ascii="宋体" w:hAnsi="宋体" w:cs="宋体"/>
          <w:color w:val="auto"/>
          <w:sz w:val="24"/>
        </w:rPr>
        <w:t>日历日。</w:t>
      </w:r>
    </w:p>
    <w:p>
      <w:pPr>
        <w:pStyle w:val="99"/>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6、保证忠实地执行双方所签订的合同，并承担合同规定的责任和义务。</w:t>
      </w:r>
    </w:p>
    <w:p>
      <w:pPr>
        <w:pStyle w:val="99"/>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7、我方承诺：与在本项目中设计编制技术规格的机构及其附属机构无任何直接隶属关系和利益关联。</w:t>
      </w:r>
    </w:p>
    <w:p>
      <w:pPr>
        <w:pStyle w:val="99"/>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8、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pPr>
        <w:pStyle w:val="73"/>
        <w:spacing w:line="420" w:lineRule="exact"/>
        <w:ind w:firstLine="480" w:firstLineChars="200"/>
        <w:rPr>
          <w:rFonts w:ascii="宋体" w:hAnsi="宋体" w:cs="宋体"/>
          <w:color w:val="auto"/>
          <w:kern w:val="0"/>
          <w:sz w:val="24"/>
        </w:rPr>
      </w:pPr>
      <w:r>
        <w:rPr>
          <w:rFonts w:hint="eastAsia" w:ascii="宋体" w:hAnsi="宋体" w:cs="宋体"/>
          <w:color w:val="auto"/>
          <w:kern w:val="0"/>
          <w:sz w:val="24"/>
        </w:rPr>
        <w:t>9、我方承诺：采购人若需追加采购本项目招标文件所列服务的，在不改变合同其他实质性条款的前提下，按相同或更优惠的折扣率保证提供服务。</w:t>
      </w:r>
    </w:p>
    <w:p>
      <w:pPr>
        <w:pStyle w:val="99"/>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10、我方承诺：接受招标文件中的全部条款且无任何异议，保证遵守招标文件的规定。</w:t>
      </w:r>
    </w:p>
    <w:p>
      <w:pPr>
        <w:pStyle w:val="73"/>
        <w:spacing w:line="420" w:lineRule="exact"/>
        <w:ind w:firstLine="480" w:firstLineChars="200"/>
        <w:rPr>
          <w:rFonts w:ascii="宋体" w:hAnsi="宋体" w:cs="宋体"/>
          <w:color w:val="auto"/>
          <w:kern w:val="0"/>
          <w:sz w:val="24"/>
        </w:rPr>
      </w:pPr>
      <w:r>
        <w:rPr>
          <w:rFonts w:hint="eastAsia" w:ascii="宋体" w:hAnsi="宋体" w:cs="宋体"/>
          <w:color w:val="auto"/>
          <w:kern w:val="0"/>
          <w:sz w:val="24"/>
        </w:rPr>
        <w:t>11、完全理解投标报价若未响应招标文件要求时，投标将被拒绝。</w:t>
      </w:r>
    </w:p>
    <w:p>
      <w:pPr>
        <w:pStyle w:val="99"/>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12、如果在开标后规定的投标有效期内撤回投标，我方的投标保证金可被贵方没收。</w:t>
      </w:r>
    </w:p>
    <w:p>
      <w:pPr>
        <w:pStyle w:val="99"/>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13、我方完全理解贵方不一定接受最低价的投标或收到的任何投标。</w:t>
      </w:r>
    </w:p>
    <w:p>
      <w:pPr>
        <w:pStyle w:val="99"/>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14、我方已详细审核全部投标文件，包括投标文件修改书（如有的话）、参考资料及有关附件，确认无误。</w:t>
      </w:r>
    </w:p>
    <w:p>
      <w:pPr>
        <w:pStyle w:val="99"/>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15、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99"/>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1）提供虚假材料谋取中标、成交的；</w:t>
      </w:r>
    </w:p>
    <w:p>
      <w:pPr>
        <w:pStyle w:val="99"/>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2）采取不正当手段诋毁、排挤其他供应商的；</w:t>
      </w:r>
    </w:p>
    <w:p>
      <w:pPr>
        <w:pStyle w:val="99"/>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3）与采购人、其他供应商或者采购代理机构工作人员恶意串通的；</w:t>
      </w:r>
    </w:p>
    <w:p>
      <w:pPr>
        <w:pStyle w:val="99"/>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4）向采购人、采购代理机构工作人员行贿或者提供其他不正当利益的；</w:t>
      </w:r>
    </w:p>
    <w:p>
      <w:pPr>
        <w:pStyle w:val="99"/>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5）在采购过程中与采购人进行协商谈判的；</w:t>
      </w:r>
    </w:p>
    <w:p>
      <w:pPr>
        <w:pStyle w:val="99"/>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6）拒绝有关部门监督检查或提供虚假情况的。</w:t>
      </w:r>
    </w:p>
    <w:p>
      <w:pPr>
        <w:pStyle w:val="73"/>
        <w:spacing w:line="420" w:lineRule="exact"/>
        <w:rPr>
          <w:rFonts w:ascii="宋体" w:hAnsi="宋体" w:cs="宋体"/>
          <w:color w:val="auto"/>
          <w:sz w:val="24"/>
        </w:rPr>
      </w:pPr>
      <w:r>
        <w:rPr>
          <w:rFonts w:hint="eastAsia" w:ascii="宋体" w:hAnsi="宋体" w:cs="宋体"/>
          <w:color w:val="auto"/>
          <w:sz w:val="24"/>
        </w:rPr>
        <w:t xml:space="preserve">    16、与本投标有关的一切往来通讯请寄：</w:t>
      </w:r>
    </w:p>
    <w:p>
      <w:pPr>
        <w:pStyle w:val="99"/>
        <w:widowControl/>
        <w:spacing w:line="420" w:lineRule="exact"/>
        <w:ind w:left="0" w:leftChars="0"/>
        <w:rPr>
          <w:rFonts w:ascii="宋体" w:hAnsi="宋体" w:cs="宋体"/>
          <w:color w:val="auto"/>
          <w:sz w:val="24"/>
        </w:rPr>
      </w:pPr>
      <w:r>
        <w:rPr>
          <w:rFonts w:hint="eastAsia" w:ascii="宋体" w:hAnsi="宋体" w:cs="宋体"/>
          <w:color w:val="auto"/>
          <w:sz w:val="24"/>
        </w:rPr>
        <w:t>地址：____________________________________________________</w:t>
      </w:r>
    </w:p>
    <w:p>
      <w:pPr>
        <w:pStyle w:val="99"/>
        <w:widowControl/>
        <w:spacing w:line="420" w:lineRule="exact"/>
        <w:ind w:left="0" w:leftChars="0"/>
        <w:rPr>
          <w:rFonts w:ascii="宋体" w:hAnsi="宋体" w:cs="宋体"/>
          <w:color w:val="auto"/>
          <w:sz w:val="24"/>
        </w:rPr>
      </w:pPr>
      <w:r>
        <w:rPr>
          <w:rFonts w:hint="eastAsia" w:ascii="宋体" w:hAnsi="宋体" w:cs="宋体"/>
          <w:color w:val="auto"/>
          <w:sz w:val="24"/>
        </w:rPr>
        <w:t>邮编：____________</w:t>
      </w:r>
    </w:p>
    <w:p>
      <w:pPr>
        <w:pStyle w:val="99"/>
        <w:widowControl/>
        <w:spacing w:line="420" w:lineRule="exact"/>
        <w:ind w:left="0" w:leftChars="0"/>
        <w:rPr>
          <w:rFonts w:ascii="宋体" w:hAnsi="宋体" w:cs="宋体"/>
          <w:color w:val="auto"/>
          <w:sz w:val="24"/>
        </w:rPr>
      </w:pPr>
      <w:r>
        <w:rPr>
          <w:rFonts w:hint="eastAsia" w:ascii="宋体" w:hAnsi="宋体" w:cs="宋体"/>
          <w:color w:val="auto"/>
          <w:sz w:val="24"/>
        </w:rPr>
        <w:t>电话：____________</w:t>
      </w:r>
    </w:p>
    <w:p>
      <w:pPr>
        <w:pStyle w:val="99"/>
        <w:widowControl/>
        <w:spacing w:line="420" w:lineRule="exact"/>
        <w:ind w:left="0" w:leftChars="0"/>
        <w:rPr>
          <w:rFonts w:ascii="宋体" w:hAnsi="宋体" w:cs="宋体"/>
          <w:color w:val="auto"/>
          <w:sz w:val="24"/>
        </w:rPr>
      </w:pPr>
      <w:r>
        <w:rPr>
          <w:rFonts w:hint="eastAsia" w:ascii="宋体" w:hAnsi="宋体" w:cs="宋体"/>
          <w:color w:val="auto"/>
          <w:sz w:val="24"/>
        </w:rPr>
        <w:t>传真：____________</w:t>
      </w:r>
    </w:p>
    <w:p>
      <w:pPr>
        <w:pStyle w:val="73"/>
        <w:spacing w:line="420" w:lineRule="exact"/>
        <w:rPr>
          <w:rFonts w:ascii="宋体" w:hAnsi="宋体" w:cs="宋体"/>
          <w:color w:val="auto"/>
        </w:rPr>
      </w:pPr>
      <w:r>
        <w:rPr>
          <w:rFonts w:hint="eastAsia" w:ascii="宋体" w:hAnsi="宋体" w:cs="宋体"/>
          <w:color w:val="auto"/>
          <w:sz w:val="24"/>
        </w:rPr>
        <w:t>电子邮箱：</w:t>
      </w:r>
      <w:r>
        <w:rPr>
          <w:rFonts w:hint="eastAsia" w:ascii="宋体" w:hAnsi="宋体" w:cs="宋体"/>
          <w:color w:val="auto"/>
          <w:sz w:val="24"/>
          <w:u w:val="single"/>
        </w:rPr>
        <w:t xml:space="preserve">        </w:t>
      </w:r>
    </w:p>
    <w:p>
      <w:pPr>
        <w:pStyle w:val="99"/>
        <w:widowControl/>
        <w:spacing w:line="420" w:lineRule="exact"/>
        <w:ind w:left="0" w:leftChars="0"/>
        <w:rPr>
          <w:rFonts w:ascii="宋体" w:hAnsi="宋体" w:cs="宋体"/>
          <w:color w:val="auto"/>
          <w:sz w:val="24"/>
        </w:rPr>
      </w:pPr>
      <w:r>
        <w:rPr>
          <w:rFonts w:hint="eastAsia" w:ascii="宋体" w:hAnsi="宋体" w:cs="宋体"/>
          <w:color w:val="auto"/>
          <w:sz w:val="24"/>
        </w:rPr>
        <w:t>供应商法定代表人或授权代理人联系电话：</w:t>
      </w:r>
      <w:r>
        <w:rPr>
          <w:rFonts w:hint="eastAsia" w:ascii="宋体" w:hAnsi="宋体" w:cs="宋体"/>
          <w:color w:val="auto"/>
          <w:sz w:val="24"/>
          <w:u w:val="single"/>
        </w:rPr>
        <w:t xml:space="preserve">          </w:t>
      </w:r>
    </w:p>
    <w:p>
      <w:pPr>
        <w:pStyle w:val="99"/>
        <w:widowControl/>
        <w:spacing w:line="420" w:lineRule="exact"/>
        <w:ind w:left="101" w:leftChars="48" w:firstLine="361" w:firstLineChars="150"/>
        <w:rPr>
          <w:rFonts w:ascii="宋体" w:hAnsi="宋体" w:cs="宋体"/>
          <w:b/>
          <w:color w:val="auto"/>
          <w:sz w:val="24"/>
        </w:rPr>
      </w:pPr>
    </w:p>
    <w:p>
      <w:pPr>
        <w:pStyle w:val="99"/>
        <w:widowControl/>
        <w:spacing w:line="420" w:lineRule="exact"/>
        <w:ind w:left="101" w:leftChars="48" w:firstLine="361" w:firstLineChars="150"/>
        <w:rPr>
          <w:rFonts w:ascii="宋体" w:hAnsi="宋体" w:cs="宋体"/>
          <w:b/>
          <w:color w:val="auto"/>
          <w:sz w:val="24"/>
        </w:rPr>
      </w:pPr>
    </w:p>
    <w:p>
      <w:pPr>
        <w:pStyle w:val="99"/>
        <w:widowControl/>
        <w:spacing w:line="420" w:lineRule="exact"/>
        <w:ind w:left="0" w:leftChars="0" w:firstLine="482" w:firstLineChars="200"/>
        <w:rPr>
          <w:rFonts w:ascii="宋体" w:hAnsi="宋体" w:cs="宋体"/>
          <w:b/>
          <w:color w:val="auto"/>
          <w:sz w:val="24"/>
        </w:rPr>
      </w:pPr>
      <w:r>
        <w:rPr>
          <w:rFonts w:hint="eastAsia" w:ascii="宋体" w:hAnsi="宋体" w:cs="宋体"/>
          <w:b/>
          <w:color w:val="auto"/>
          <w:sz w:val="24"/>
        </w:rPr>
        <w:t>供应商名称（盖章）：</w:t>
      </w:r>
      <w:r>
        <w:rPr>
          <w:rFonts w:hint="eastAsia" w:ascii="宋体" w:hAnsi="宋体" w:cs="宋体"/>
          <w:b/>
          <w:color w:val="auto"/>
          <w:sz w:val="24"/>
          <w:u w:val="single"/>
        </w:rPr>
        <w:t xml:space="preserve">                       </w:t>
      </w:r>
      <w:r>
        <w:rPr>
          <w:rFonts w:hint="eastAsia" w:ascii="宋体" w:hAnsi="宋体" w:cs="宋体"/>
          <w:b/>
          <w:color w:val="auto"/>
          <w:sz w:val="24"/>
        </w:rPr>
        <w:t xml:space="preserve"> </w:t>
      </w:r>
    </w:p>
    <w:p>
      <w:pPr>
        <w:pStyle w:val="99"/>
        <w:widowControl/>
        <w:spacing w:line="420" w:lineRule="exact"/>
        <w:ind w:left="0" w:leftChars="0" w:firstLine="482" w:firstLineChars="200"/>
        <w:rPr>
          <w:rFonts w:ascii="宋体" w:hAnsi="宋体" w:cs="宋体"/>
          <w:b/>
          <w:color w:val="auto"/>
          <w:sz w:val="24"/>
        </w:rPr>
      </w:pPr>
      <w:r>
        <w:rPr>
          <w:rFonts w:hint="eastAsia" w:ascii="宋体" w:hAnsi="宋体" w:cs="宋体"/>
          <w:b/>
          <w:color w:val="auto"/>
          <w:sz w:val="24"/>
        </w:rPr>
        <w:t>法定代表人（签字或盖章）：</w:t>
      </w:r>
      <w:r>
        <w:rPr>
          <w:rFonts w:hint="eastAsia" w:ascii="宋体" w:hAnsi="宋体" w:cs="宋体"/>
          <w:b/>
          <w:color w:val="auto"/>
          <w:sz w:val="24"/>
          <w:u w:val="single"/>
        </w:rPr>
        <w:t xml:space="preserve">                 </w:t>
      </w:r>
    </w:p>
    <w:p>
      <w:pPr>
        <w:pStyle w:val="99"/>
        <w:widowControl/>
        <w:spacing w:line="420" w:lineRule="exact"/>
        <w:ind w:left="0" w:leftChars="0" w:firstLine="482" w:firstLineChars="200"/>
        <w:rPr>
          <w:rFonts w:ascii="宋体" w:hAnsi="宋体" w:cs="宋体"/>
          <w:b/>
          <w:color w:val="auto"/>
          <w:sz w:val="24"/>
        </w:rPr>
      </w:pPr>
      <w:r>
        <w:rPr>
          <w:rFonts w:hint="eastAsia" w:ascii="宋体" w:hAnsi="宋体" w:cs="宋体"/>
          <w:b/>
          <w:color w:val="auto"/>
          <w:sz w:val="24"/>
        </w:rPr>
        <w:t>委托代理人（签字）：</w:t>
      </w:r>
      <w:r>
        <w:rPr>
          <w:rFonts w:hint="eastAsia" w:ascii="宋体" w:hAnsi="宋体" w:cs="宋体"/>
          <w:b/>
          <w:color w:val="auto"/>
          <w:sz w:val="24"/>
          <w:u w:val="single"/>
        </w:rPr>
        <w:t xml:space="preserve">                       </w:t>
      </w:r>
    </w:p>
    <w:p>
      <w:pPr>
        <w:pStyle w:val="99"/>
        <w:widowControl/>
        <w:spacing w:line="420" w:lineRule="exact"/>
        <w:ind w:left="0" w:leftChars="0" w:firstLine="482" w:firstLineChars="200"/>
        <w:rPr>
          <w:rFonts w:ascii="宋体" w:hAnsi="宋体" w:cs="宋体"/>
          <w:b/>
          <w:color w:val="auto"/>
          <w:sz w:val="24"/>
        </w:rPr>
      </w:pPr>
      <w:r>
        <w:rPr>
          <w:rFonts w:hint="eastAsia" w:ascii="宋体" w:hAnsi="宋体" w:cs="宋体"/>
          <w:b/>
          <w:color w:val="auto"/>
          <w:sz w:val="24"/>
        </w:rPr>
        <w:t>日期：     年   月   日</w:t>
      </w:r>
    </w:p>
    <w:p>
      <w:pPr>
        <w:pStyle w:val="99"/>
        <w:widowControl/>
        <w:spacing w:line="420" w:lineRule="exact"/>
        <w:ind w:left="0" w:leftChars="0" w:firstLine="482" w:firstLineChars="200"/>
        <w:rPr>
          <w:rFonts w:hint="eastAsia" w:ascii="宋体" w:hAnsi="宋体" w:cs="宋体"/>
          <w:b/>
          <w:color w:val="auto"/>
          <w:sz w:val="24"/>
        </w:rPr>
      </w:pPr>
    </w:p>
    <w:p>
      <w:pPr>
        <w:pStyle w:val="99"/>
        <w:widowControl/>
        <w:spacing w:line="420" w:lineRule="exact"/>
        <w:ind w:left="0" w:leftChars="0" w:firstLine="482" w:firstLineChars="200"/>
        <w:rPr>
          <w:rFonts w:ascii="宋体" w:hAnsi="宋体" w:cs="宋体"/>
          <w:b/>
          <w:color w:val="auto"/>
          <w:sz w:val="24"/>
        </w:rPr>
      </w:pPr>
      <w:r>
        <w:rPr>
          <w:rFonts w:hint="eastAsia" w:ascii="宋体" w:hAnsi="宋体" w:cs="宋体"/>
          <w:b/>
          <w:color w:val="auto"/>
          <w:sz w:val="24"/>
        </w:rPr>
        <w:t>说明：除可填报项目外，对本投标函的任何修改将被视为非实质性响应投标，从而导致该投标被拒绝。</w:t>
      </w:r>
    </w:p>
    <w:p>
      <w:pPr>
        <w:pStyle w:val="173"/>
        <w:spacing w:line="420" w:lineRule="exact"/>
        <w:jc w:val="center"/>
        <w:outlineLvl w:val="2"/>
        <w:rPr>
          <w:rFonts w:ascii="宋体" w:hAnsi="宋体" w:eastAsia="宋体" w:cs="宋体"/>
          <w:color w:val="auto"/>
          <w:sz w:val="24"/>
        </w:rPr>
      </w:pPr>
      <w:r>
        <w:rPr>
          <w:rFonts w:hint="eastAsia" w:ascii="宋体" w:hAnsi="宋体" w:eastAsia="宋体" w:cs="宋体"/>
          <w:color w:val="auto"/>
          <w:sz w:val="24"/>
        </w:rPr>
        <w:br w:type="page"/>
      </w:r>
      <w:bookmarkStart w:id="50" w:name="_Toc19025"/>
      <w:r>
        <w:rPr>
          <w:rFonts w:hint="eastAsia" w:ascii="宋体" w:hAnsi="宋体" w:eastAsia="宋体" w:cs="宋体"/>
          <w:color w:val="auto"/>
          <w:sz w:val="24"/>
        </w:rPr>
        <w:t>★法定代表人资格证明书及授权委托书</w:t>
      </w:r>
      <w:bookmarkEnd w:id="50"/>
    </w:p>
    <w:p>
      <w:pPr>
        <w:pStyle w:val="119"/>
        <w:outlineLvl w:val="9"/>
        <w:rPr>
          <w:rFonts w:cs="宋体"/>
          <w:b w:val="0"/>
          <w:color w:val="auto"/>
          <w:sz w:val="24"/>
          <w:szCs w:val="24"/>
        </w:rPr>
      </w:pPr>
      <w:bookmarkStart w:id="51" w:name="_Toc480368653"/>
      <w:bookmarkStart w:id="52" w:name="_Toc480371721"/>
      <w:bookmarkStart w:id="53" w:name="_Toc480368595"/>
      <w:bookmarkStart w:id="54" w:name="_Toc480368424"/>
    </w:p>
    <w:p>
      <w:pPr>
        <w:pStyle w:val="119"/>
        <w:outlineLvl w:val="9"/>
        <w:rPr>
          <w:rFonts w:cs="宋体"/>
          <w:bCs/>
          <w:color w:val="auto"/>
          <w:sz w:val="24"/>
          <w:szCs w:val="24"/>
        </w:rPr>
      </w:pPr>
      <w:bookmarkStart w:id="55" w:name="_Toc18836"/>
      <w:r>
        <w:rPr>
          <w:rFonts w:hint="eastAsia" w:cs="宋体"/>
          <w:bCs/>
          <w:color w:val="auto"/>
          <w:sz w:val="24"/>
          <w:szCs w:val="24"/>
        </w:rPr>
        <w:t>法定代表人资格证明</w:t>
      </w:r>
      <w:bookmarkEnd w:id="51"/>
      <w:bookmarkEnd w:id="52"/>
      <w:bookmarkEnd w:id="53"/>
      <w:bookmarkEnd w:id="54"/>
      <w:r>
        <w:rPr>
          <w:rFonts w:hint="eastAsia" w:cs="宋体"/>
          <w:bCs/>
          <w:color w:val="auto"/>
          <w:sz w:val="24"/>
          <w:szCs w:val="24"/>
        </w:rPr>
        <w:t>书</w:t>
      </w:r>
      <w:bookmarkEnd w:id="55"/>
    </w:p>
    <w:p>
      <w:pPr>
        <w:pStyle w:val="120"/>
        <w:adjustRightInd w:val="0"/>
        <w:snapToGrid w:val="0"/>
        <w:spacing w:line="360" w:lineRule="auto"/>
        <w:rPr>
          <w:rFonts w:ascii="宋体" w:hAnsi="宋体" w:cs="宋体"/>
          <w:color w:val="auto"/>
          <w:sz w:val="24"/>
          <w:szCs w:val="24"/>
        </w:rPr>
      </w:pPr>
      <w:r>
        <w:rPr>
          <w:rFonts w:hint="eastAsia" w:ascii="宋体" w:hAnsi="宋体" w:cs="宋体"/>
          <w:color w:val="auto"/>
          <w:sz w:val="24"/>
          <w:szCs w:val="24"/>
          <w:u w:val="single"/>
        </w:rPr>
        <w:t>（代理机构名称）</w:t>
      </w:r>
      <w:r>
        <w:rPr>
          <w:rFonts w:hint="eastAsia" w:ascii="宋体" w:hAnsi="宋体" w:cs="宋体"/>
          <w:color w:val="auto"/>
          <w:sz w:val="24"/>
          <w:szCs w:val="24"/>
        </w:rPr>
        <w:t>：</w:t>
      </w:r>
    </w:p>
    <w:p>
      <w:pPr>
        <w:pStyle w:val="12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兹有</w:t>
      </w:r>
      <w:r>
        <w:rPr>
          <w:rFonts w:hint="eastAsia" w:ascii="宋体" w:hAnsi="宋体" w:cs="宋体"/>
          <w:color w:val="auto"/>
          <w:sz w:val="24"/>
          <w:szCs w:val="24"/>
          <w:u w:val="single"/>
        </w:rPr>
        <w:t xml:space="preserve">          </w:t>
      </w:r>
      <w:r>
        <w:rPr>
          <w:rFonts w:hint="eastAsia" w:ascii="宋体" w:hAnsi="宋体" w:cs="宋体"/>
          <w:color w:val="auto"/>
          <w:sz w:val="24"/>
          <w:szCs w:val="24"/>
        </w:rPr>
        <w:t>同志为</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公司法定代表人，代表我公司办理一切社会公务事宜，具有法律效力。 </w:t>
      </w:r>
    </w:p>
    <w:p>
      <w:pPr>
        <w:pStyle w:val="12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 xml:space="preserve">附法定代表人基本情况： </w:t>
      </w:r>
    </w:p>
    <w:p>
      <w:pPr>
        <w:pStyle w:val="120"/>
        <w:adjustRightInd w:val="0"/>
        <w:snapToGrid w:val="0"/>
        <w:spacing w:line="360" w:lineRule="auto"/>
        <w:ind w:firstLine="480" w:firstLineChars="200"/>
        <w:rPr>
          <w:rFonts w:ascii="宋体" w:hAnsi="宋体" w:cs="宋体"/>
          <w:color w:val="auto"/>
          <w:sz w:val="24"/>
          <w:szCs w:val="24"/>
          <w:u w:val="single"/>
        </w:rPr>
      </w:pPr>
      <w:r>
        <w:rPr>
          <w:rFonts w:hint="eastAsia" w:ascii="宋体" w:hAnsi="宋体" w:cs="宋体"/>
          <w:color w:val="auto"/>
          <w:sz w:val="24"/>
          <w:szCs w:val="24"/>
        </w:rPr>
        <w:t>姓名：</w:t>
      </w:r>
      <w:r>
        <w:rPr>
          <w:rFonts w:hint="eastAsia" w:ascii="宋体" w:hAnsi="宋体" w:cs="宋体"/>
          <w:color w:val="auto"/>
          <w:sz w:val="24"/>
          <w:szCs w:val="24"/>
          <w:u w:val="single"/>
        </w:rPr>
        <w:t xml:space="preserve">          </w:t>
      </w:r>
      <w:r>
        <w:rPr>
          <w:rFonts w:hint="eastAsia" w:ascii="宋体" w:hAnsi="宋体" w:cs="宋体"/>
          <w:color w:val="auto"/>
          <w:sz w:val="24"/>
          <w:szCs w:val="24"/>
        </w:rPr>
        <w:t>性别：</w:t>
      </w:r>
      <w:r>
        <w:rPr>
          <w:rFonts w:hint="eastAsia" w:ascii="宋体" w:hAnsi="宋体" w:cs="宋体"/>
          <w:color w:val="auto"/>
          <w:sz w:val="24"/>
          <w:szCs w:val="24"/>
          <w:u w:val="single"/>
        </w:rPr>
        <w:t xml:space="preserve">     </w:t>
      </w:r>
      <w:r>
        <w:rPr>
          <w:rFonts w:hint="eastAsia" w:ascii="宋体" w:hAnsi="宋体" w:cs="宋体"/>
          <w:color w:val="auto"/>
          <w:sz w:val="24"/>
          <w:szCs w:val="24"/>
        </w:rPr>
        <w:t>年龄：</w:t>
      </w:r>
      <w:r>
        <w:rPr>
          <w:rFonts w:hint="eastAsia" w:ascii="宋体" w:hAnsi="宋体" w:cs="宋体"/>
          <w:color w:val="auto"/>
          <w:sz w:val="24"/>
          <w:szCs w:val="24"/>
          <w:u w:val="single"/>
        </w:rPr>
        <w:t xml:space="preserve">     </w:t>
      </w:r>
      <w:r>
        <w:rPr>
          <w:rFonts w:hint="eastAsia" w:ascii="宋体" w:hAnsi="宋体" w:cs="宋体"/>
          <w:color w:val="auto"/>
          <w:sz w:val="24"/>
          <w:szCs w:val="24"/>
        </w:rPr>
        <w:t>职务：</w:t>
      </w:r>
      <w:r>
        <w:rPr>
          <w:rFonts w:hint="eastAsia" w:ascii="宋体" w:hAnsi="宋体" w:cs="宋体"/>
          <w:color w:val="auto"/>
          <w:sz w:val="24"/>
          <w:szCs w:val="24"/>
          <w:u w:val="single"/>
        </w:rPr>
        <w:t xml:space="preserve">         </w:t>
      </w:r>
    </w:p>
    <w:p>
      <w:pPr>
        <w:pStyle w:val="12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身份证号码：</w:t>
      </w:r>
      <w:r>
        <w:rPr>
          <w:rFonts w:hint="eastAsia" w:ascii="宋体" w:hAnsi="宋体" w:cs="宋体"/>
          <w:color w:val="auto"/>
          <w:sz w:val="24"/>
          <w:szCs w:val="24"/>
          <w:u w:val="single"/>
        </w:rPr>
        <w:t xml:space="preserve">                     </w:t>
      </w:r>
    </w:p>
    <w:p>
      <w:pPr>
        <w:pStyle w:val="12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通讯地址：</w:t>
      </w:r>
      <w:r>
        <w:rPr>
          <w:rFonts w:hint="eastAsia" w:ascii="宋体" w:hAnsi="宋体" w:cs="宋体"/>
          <w:color w:val="auto"/>
          <w:sz w:val="24"/>
          <w:szCs w:val="24"/>
          <w:u w:val="single"/>
        </w:rPr>
        <w:t xml:space="preserve">                       </w:t>
      </w:r>
    </w:p>
    <w:p>
      <w:pPr>
        <w:pStyle w:val="12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电话号码：</w:t>
      </w:r>
      <w:r>
        <w:rPr>
          <w:rFonts w:hint="eastAsia" w:ascii="宋体" w:hAnsi="宋体" w:cs="宋体"/>
          <w:color w:val="auto"/>
          <w:sz w:val="24"/>
          <w:szCs w:val="24"/>
          <w:u w:val="single"/>
        </w:rPr>
        <w:t xml:space="preserve">                   </w:t>
      </w:r>
      <w:r>
        <w:rPr>
          <w:rFonts w:hint="eastAsia" w:ascii="宋体" w:hAnsi="宋体" w:cs="宋体"/>
          <w:color w:val="auto"/>
          <w:sz w:val="24"/>
          <w:szCs w:val="24"/>
        </w:rPr>
        <w:t>邮政编码：</w:t>
      </w:r>
      <w:r>
        <w:rPr>
          <w:rFonts w:hint="eastAsia" w:ascii="宋体" w:hAnsi="宋体" w:cs="宋体"/>
          <w:color w:val="auto"/>
          <w:sz w:val="24"/>
          <w:szCs w:val="24"/>
          <w:u w:val="single"/>
        </w:rPr>
        <w:t xml:space="preserve">               </w:t>
      </w:r>
    </w:p>
    <w:p>
      <w:pPr>
        <w:pStyle w:val="120"/>
        <w:adjustRightInd w:val="0"/>
        <w:snapToGrid w:val="0"/>
        <w:spacing w:line="500" w:lineRule="exact"/>
        <w:rPr>
          <w:rFonts w:ascii="宋体" w:hAnsi="宋体" w:cs="宋体"/>
          <w:color w:val="auto"/>
          <w:sz w:val="24"/>
          <w:szCs w:val="24"/>
        </w:rPr>
      </w:pPr>
      <w:r>
        <w:rPr>
          <w:rFonts w:hint="eastAsia" w:ascii="宋体" w:hAnsi="宋体" w:cs="宋体"/>
          <w:color w:val="auto"/>
          <w:sz w:val="24"/>
          <w:szCs w:val="24"/>
        </w:rPr>
        <w:t xml:space="preserve"> </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5" w:hRule="atLeast"/>
          <w:jc w:val="center"/>
        </w:trPr>
        <w:tc>
          <w:tcPr>
            <w:tcW w:w="7886" w:type="dxa"/>
            <w:tcBorders>
              <w:top w:val="single" w:color="auto" w:sz="4" w:space="0"/>
              <w:left w:val="single" w:color="auto" w:sz="4" w:space="0"/>
              <w:bottom w:val="single" w:color="auto" w:sz="4" w:space="0"/>
              <w:right w:val="single" w:color="auto" w:sz="4" w:space="0"/>
            </w:tcBorders>
            <w:vAlign w:val="center"/>
          </w:tcPr>
          <w:p>
            <w:pPr>
              <w:pStyle w:val="120"/>
              <w:adjustRightInd w:val="0"/>
              <w:snapToGrid w:val="0"/>
              <w:spacing w:line="360" w:lineRule="auto"/>
              <w:jc w:val="center"/>
              <w:rPr>
                <w:rFonts w:ascii="宋体" w:hAnsi="宋体" w:cs="宋体"/>
                <w:color w:val="auto"/>
                <w:sz w:val="24"/>
                <w:szCs w:val="24"/>
              </w:rPr>
            </w:pPr>
            <w:r>
              <w:rPr>
                <w:rFonts w:hint="eastAsia" w:ascii="宋体" w:hAnsi="宋体" w:cs="宋体"/>
                <w:color w:val="auto"/>
                <w:sz w:val="24"/>
                <w:szCs w:val="24"/>
              </w:rPr>
              <w:t>法定代表人《居民身份证》复印件正反面</w:t>
            </w:r>
          </w:p>
        </w:tc>
      </w:tr>
    </w:tbl>
    <w:p>
      <w:pPr>
        <w:pStyle w:val="120"/>
        <w:adjustRightInd w:val="0"/>
        <w:snapToGrid w:val="0"/>
        <w:spacing w:line="500" w:lineRule="exact"/>
        <w:rPr>
          <w:rFonts w:ascii="宋体" w:hAnsi="宋体" w:cs="宋体"/>
          <w:color w:val="auto"/>
          <w:sz w:val="24"/>
          <w:szCs w:val="24"/>
        </w:rPr>
      </w:pPr>
    </w:p>
    <w:p>
      <w:pPr>
        <w:pStyle w:val="120"/>
        <w:tabs>
          <w:tab w:val="left" w:pos="750"/>
        </w:tabs>
        <w:adjustRightInd w:val="0"/>
        <w:snapToGrid w:val="0"/>
        <w:spacing w:line="500" w:lineRule="exact"/>
        <w:ind w:firstLine="720" w:firstLineChars="300"/>
        <w:rPr>
          <w:rFonts w:ascii="宋体" w:hAnsi="宋体" w:cs="宋体"/>
          <w:color w:val="auto"/>
          <w:sz w:val="24"/>
          <w:szCs w:val="24"/>
        </w:rPr>
      </w:pPr>
      <w:r>
        <w:rPr>
          <w:rFonts w:hint="eastAsia" w:ascii="宋体" w:hAnsi="宋体" w:cs="宋体"/>
          <w:color w:val="auto"/>
          <w:sz w:val="24"/>
          <w:szCs w:val="24"/>
        </w:rPr>
        <w:t>供应商名称：</w:t>
      </w:r>
      <w:r>
        <w:rPr>
          <w:rFonts w:hint="eastAsia" w:ascii="宋体" w:hAnsi="宋体" w:cs="宋体"/>
          <w:color w:val="auto"/>
          <w:sz w:val="24"/>
          <w:szCs w:val="24"/>
          <w:u w:val="single"/>
        </w:rPr>
        <w:t xml:space="preserve">                       </w:t>
      </w:r>
      <w:r>
        <w:rPr>
          <w:rFonts w:hint="eastAsia" w:ascii="宋体" w:hAnsi="宋体" w:cs="宋体"/>
          <w:color w:val="auto"/>
          <w:sz w:val="24"/>
          <w:szCs w:val="24"/>
        </w:rPr>
        <w:t>（盖章）</w:t>
      </w:r>
    </w:p>
    <w:p>
      <w:pPr>
        <w:pStyle w:val="120"/>
        <w:tabs>
          <w:tab w:val="left" w:pos="750"/>
        </w:tabs>
        <w:adjustRightInd w:val="0"/>
        <w:snapToGrid w:val="0"/>
        <w:spacing w:line="500" w:lineRule="exact"/>
        <w:ind w:firstLine="720" w:firstLineChars="300"/>
        <w:rPr>
          <w:rFonts w:ascii="宋体" w:hAnsi="宋体" w:cs="宋体"/>
          <w:color w:val="auto"/>
          <w:sz w:val="24"/>
          <w:szCs w:val="24"/>
        </w:rPr>
      </w:pPr>
      <w:r>
        <w:rPr>
          <w:rFonts w:hint="eastAsia" w:ascii="宋体" w:hAnsi="宋体" w:cs="宋体"/>
          <w:color w:val="auto"/>
          <w:sz w:val="24"/>
          <w:szCs w:val="24"/>
        </w:rPr>
        <w:t>法定代表人 ：</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（签字或盖章）</w:t>
      </w:r>
    </w:p>
    <w:p>
      <w:pPr>
        <w:pStyle w:val="120"/>
        <w:tabs>
          <w:tab w:val="left" w:pos="750"/>
        </w:tabs>
        <w:adjustRightInd w:val="0"/>
        <w:snapToGrid w:val="0"/>
        <w:spacing w:line="500" w:lineRule="exact"/>
        <w:rPr>
          <w:rFonts w:ascii="宋体" w:hAnsi="宋体" w:cs="宋体"/>
          <w:color w:val="auto"/>
          <w:sz w:val="24"/>
          <w:szCs w:val="24"/>
        </w:rPr>
      </w:pPr>
    </w:p>
    <w:p>
      <w:pPr>
        <w:pStyle w:val="120"/>
        <w:tabs>
          <w:tab w:val="left" w:pos="750"/>
        </w:tabs>
        <w:adjustRightInd w:val="0"/>
        <w:snapToGrid w:val="0"/>
        <w:spacing w:line="500" w:lineRule="exact"/>
        <w:ind w:firstLine="720" w:firstLineChars="300"/>
        <w:rPr>
          <w:rFonts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年</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月</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日</w:t>
      </w:r>
    </w:p>
    <w:p>
      <w:pPr>
        <w:pStyle w:val="119"/>
        <w:outlineLvl w:val="9"/>
        <w:rPr>
          <w:rFonts w:cs="宋体"/>
          <w:color w:val="auto"/>
        </w:rPr>
      </w:pPr>
      <w:r>
        <w:rPr>
          <w:rFonts w:hint="eastAsia" w:cs="宋体"/>
          <w:color w:val="auto"/>
        </w:rPr>
        <w:t xml:space="preserve"> </w:t>
      </w:r>
      <w:bookmarkStart w:id="56" w:name="_Toc468535483"/>
    </w:p>
    <w:p>
      <w:pPr>
        <w:pStyle w:val="119"/>
        <w:outlineLvl w:val="9"/>
        <w:rPr>
          <w:rFonts w:cs="宋体"/>
          <w:bCs/>
          <w:color w:val="auto"/>
        </w:rPr>
      </w:pPr>
      <w:bookmarkStart w:id="57" w:name="_Toc480368654"/>
      <w:bookmarkStart w:id="58" w:name="_Toc480368425"/>
      <w:bookmarkStart w:id="59" w:name="_Toc480371722"/>
      <w:bookmarkStart w:id="60" w:name="_Toc480368596"/>
      <w:r>
        <w:rPr>
          <w:rFonts w:hint="eastAsia" w:cs="宋体"/>
          <w:b w:val="0"/>
          <w:color w:val="auto"/>
        </w:rPr>
        <w:br w:type="page"/>
      </w:r>
      <w:bookmarkStart w:id="61" w:name="_Toc613"/>
      <w:r>
        <w:rPr>
          <w:rFonts w:hint="eastAsia" w:cs="宋体"/>
          <w:bCs/>
          <w:color w:val="auto"/>
          <w:sz w:val="24"/>
          <w:szCs w:val="24"/>
        </w:rPr>
        <w:t>法定代表人授权委托书</w:t>
      </w:r>
      <w:bookmarkEnd w:id="56"/>
      <w:bookmarkEnd w:id="57"/>
      <w:bookmarkEnd w:id="58"/>
      <w:bookmarkEnd w:id="59"/>
      <w:bookmarkEnd w:id="60"/>
      <w:bookmarkEnd w:id="61"/>
    </w:p>
    <w:p>
      <w:pPr>
        <w:pStyle w:val="120"/>
        <w:spacing w:line="360" w:lineRule="auto"/>
        <w:rPr>
          <w:rFonts w:ascii="宋体" w:hAnsi="宋体" w:cs="宋体"/>
          <w:color w:val="auto"/>
          <w:sz w:val="24"/>
          <w:szCs w:val="24"/>
        </w:rPr>
      </w:pPr>
      <w:r>
        <w:rPr>
          <w:rFonts w:hint="eastAsia" w:ascii="宋体" w:hAnsi="宋体" w:cs="宋体"/>
          <w:color w:val="auto"/>
          <w:sz w:val="24"/>
          <w:szCs w:val="24"/>
          <w:u w:val="single"/>
        </w:rPr>
        <w:t>（代理机构名称）</w:t>
      </w:r>
      <w:r>
        <w:rPr>
          <w:rFonts w:hint="eastAsia" w:ascii="宋体" w:hAnsi="宋体" w:cs="宋体"/>
          <w:color w:val="auto"/>
          <w:sz w:val="24"/>
          <w:szCs w:val="24"/>
        </w:rPr>
        <w:t>：</w:t>
      </w:r>
    </w:p>
    <w:p>
      <w:pPr>
        <w:pStyle w:val="12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兹授权</w:t>
      </w:r>
      <w:r>
        <w:rPr>
          <w:rFonts w:hint="eastAsia" w:ascii="宋体" w:hAnsi="宋体" w:cs="宋体"/>
          <w:color w:val="auto"/>
          <w:sz w:val="24"/>
          <w:szCs w:val="24"/>
          <w:u w:val="single"/>
        </w:rPr>
        <w:t xml:space="preserve">           </w:t>
      </w:r>
      <w:r>
        <w:rPr>
          <w:rFonts w:hint="eastAsia" w:ascii="宋体" w:hAnsi="宋体" w:cs="宋体"/>
          <w:color w:val="auto"/>
          <w:sz w:val="24"/>
          <w:szCs w:val="24"/>
        </w:rPr>
        <w:t>同志为我公司参加贵单位组织的编号为</w:t>
      </w:r>
      <w:r>
        <w:rPr>
          <w:rFonts w:hint="eastAsia" w:ascii="宋体" w:hAnsi="宋体" w:cs="宋体"/>
          <w:color w:val="auto"/>
          <w:sz w:val="24"/>
          <w:szCs w:val="24"/>
          <w:u w:val="single"/>
        </w:rPr>
        <w:t>（项目编号）</w:t>
      </w:r>
      <w:r>
        <w:rPr>
          <w:rFonts w:hint="eastAsia" w:ascii="宋体" w:hAnsi="宋体" w:cs="宋体"/>
          <w:color w:val="auto"/>
          <w:sz w:val="24"/>
          <w:szCs w:val="24"/>
        </w:rPr>
        <w:t>的</w:t>
      </w:r>
      <w:r>
        <w:rPr>
          <w:rFonts w:hint="eastAsia" w:ascii="宋体" w:hAnsi="宋体" w:cs="宋体"/>
          <w:color w:val="auto"/>
          <w:sz w:val="24"/>
          <w:szCs w:val="24"/>
          <w:u w:val="single"/>
        </w:rPr>
        <w:t>（项目名称）</w:t>
      </w:r>
      <w:r>
        <w:rPr>
          <w:rFonts w:hint="eastAsia" w:ascii="宋体" w:hAnsi="宋体" w:cs="宋体"/>
          <w:color w:val="auto"/>
          <w:sz w:val="24"/>
          <w:szCs w:val="24"/>
        </w:rPr>
        <w:t>采购活动的委托代理人，全权代表我公司处理在该项目采购活动中的一切事宜。</w:t>
      </w:r>
    </w:p>
    <w:p>
      <w:pPr>
        <w:pStyle w:val="12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代理期限：</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pPr>
        <w:pStyle w:val="120"/>
        <w:spacing w:line="500" w:lineRule="exact"/>
        <w:rPr>
          <w:rFonts w:ascii="宋体" w:hAnsi="宋体" w:cs="宋体"/>
          <w:color w:val="auto"/>
          <w:sz w:val="24"/>
          <w:szCs w:val="24"/>
        </w:rPr>
      </w:pPr>
    </w:p>
    <w:p>
      <w:pPr>
        <w:pStyle w:val="120"/>
        <w:spacing w:line="500" w:lineRule="exact"/>
        <w:rPr>
          <w:rFonts w:ascii="宋体" w:hAnsi="宋体" w:cs="宋体"/>
          <w:color w:val="auto"/>
          <w:sz w:val="24"/>
          <w:szCs w:val="24"/>
        </w:rPr>
      </w:pPr>
      <w:r>
        <w:rPr>
          <w:rFonts w:hint="eastAsia" w:ascii="宋体" w:hAnsi="宋体" w:cs="宋体"/>
          <w:color w:val="auto"/>
          <w:sz w:val="24"/>
          <w:szCs w:val="24"/>
        </w:rPr>
        <w:t>代理人工作单位：</w:t>
      </w:r>
      <w:r>
        <w:rPr>
          <w:rFonts w:hint="eastAsia" w:ascii="宋体" w:hAnsi="宋体" w:cs="宋体"/>
          <w:color w:val="auto"/>
          <w:sz w:val="24"/>
          <w:szCs w:val="24"/>
          <w:u w:val="single"/>
        </w:rPr>
        <w:t xml:space="preserve">                          </w:t>
      </w:r>
    </w:p>
    <w:p>
      <w:pPr>
        <w:pStyle w:val="120"/>
        <w:spacing w:line="500" w:lineRule="exact"/>
        <w:rPr>
          <w:rFonts w:ascii="宋体" w:hAnsi="宋体" w:cs="宋体"/>
          <w:color w:val="auto"/>
          <w:sz w:val="24"/>
          <w:szCs w:val="24"/>
        </w:rPr>
      </w:pPr>
      <w:r>
        <w:rPr>
          <w:rFonts w:hint="eastAsia" w:ascii="宋体" w:hAnsi="宋体" w:cs="宋体"/>
          <w:color w:val="auto"/>
          <w:sz w:val="24"/>
          <w:szCs w:val="24"/>
        </w:rPr>
        <w:t>职务：</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性别：</w:t>
      </w:r>
      <w:r>
        <w:rPr>
          <w:rFonts w:hint="eastAsia" w:ascii="宋体" w:hAnsi="宋体" w:cs="宋体"/>
          <w:color w:val="auto"/>
          <w:sz w:val="24"/>
          <w:szCs w:val="24"/>
          <w:u w:val="single"/>
        </w:rPr>
        <w:t xml:space="preserve">      </w:t>
      </w:r>
    </w:p>
    <w:p>
      <w:pPr>
        <w:pStyle w:val="120"/>
        <w:adjustRightInd w:val="0"/>
        <w:snapToGrid w:val="0"/>
        <w:spacing w:line="500" w:lineRule="exact"/>
        <w:rPr>
          <w:rFonts w:ascii="宋体" w:hAnsi="宋体" w:cs="宋体"/>
          <w:color w:val="auto"/>
          <w:sz w:val="24"/>
          <w:szCs w:val="24"/>
          <w:u w:val="single"/>
        </w:rPr>
      </w:pPr>
      <w:r>
        <w:rPr>
          <w:rFonts w:hint="eastAsia" w:ascii="宋体" w:hAnsi="宋体" w:cs="宋体"/>
          <w:color w:val="auto"/>
          <w:sz w:val="24"/>
          <w:szCs w:val="24"/>
        </w:rPr>
        <w:t>身份证号码：</w:t>
      </w:r>
      <w:r>
        <w:rPr>
          <w:rFonts w:hint="eastAsia" w:ascii="宋体" w:hAnsi="宋体" w:cs="宋体"/>
          <w:color w:val="auto"/>
          <w:sz w:val="24"/>
          <w:szCs w:val="24"/>
          <w:u w:val="single"/>
        </w:rPr>
        <w:t xml:space="preserve">                              </w:t>
      </w:r>
    </w:p>
    <w:p>
      <w:pPr>
        <w:pStyle w:val="120"/>
        <w:adjustRightInd w:val="0"/>
        <w:snapToGrid w:val="0"/>
        <w:spacing w:line="500" w:lineRule="exact"/>
        <w:ind w:left="-88" w:leftChars="-42" w:firstLine="600" w:firstLineChars="250"/>
        <w:rPr>
          <w:rFonts w:ascii="宋体" w:hAnsi="宋体" w:cs="宋体"/>
          <w:color w:val="auto"/>
          <w:sz w:val="24"/>
          <w:szCs w:val="24"/>
          <w:u w:val="single"/>
        </w:rPr>
      </w:pP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jc w:val="center"/>
        </w:trPr>
        <w:tc>
          <w:tcPr>
            <w:tcW w:w="7680" w:type="dxa"/>
            <w:tcBorders>
              <w:top w:val="single" w:color="auto" w:sz="4" w:space="0"/>
              <w:left w:val="single" w:color="auto" w:sz="4" w:space="0"/>
              <w:bottom w:val="single" w:color="auto" w:sz="4" w:space="0"/>
              <w:right w:val="single" w:color="auto" w:sz="4" w:space="0"/>
            </w:tcBorders>
            <w:vAlign w:val="center"/>
          </w:tcPr>
          <w:p>
            <w:pPr>
              <w:pStyle w:val="120"/>
              <w:spacing w:line="500" w:lineRule="exact"/>
              <w:jc w:val="center"/>
              <w:rPr>
                <w:rFonts w:ascii="宋体" w:hAnsi="宋体" w:cs="宋体"/>
                <w:color w:val="auto"/>
                <w:sz w:val="24"/>
                <w:szCs w:val="24"/>
              </w:rPr>
            </w:pPr>
            <w:r>
              <w:rPr>
                <w:rFonts w:hint="eastAsia" w:ascii="宋体" w:hAnsi="宋体" w:cs="宋体"/>
                <w:color w:val="auto"/>
                <w:sz w:val="24"/>
                <w:szCs w:val="24"/>
              </w:rPr>
              <w:t>法定代表人《居民身份证》复印件正反面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6" w:hRule="atLeast"/>
          <w:jc w:val="center"/>
        </w:trPr>
        <w:tc>
          <w:tcPr>
            <w:tcW w:w="7680" w:type="dxa"/>
            <w:tcBorders>
              <w:top w:val="single" w:color="auto" w:sz="4" w:space="0"/>
              <w:left w:val="single" w:color="auto" w:sz="4" w:space="0"/>
              <w:bottom w:val="single" w:color="auto" w:sz="4" w:space="0"/>
              <w:right w:val="single" w:color="auto" w:sz="4" w:space="0"/>
            </w:tcBorders>
            <w:vAlign w:val="center"/>
          </w:tcPr>
          <w:p>
            <w:pPr>
              <w:pStyle w:val="120"/>
              <w:spacing w:line="500" w:lineRule="exact"/>
              <w:jc w:val="center"/>
              <w:rPr>
                <w:rFonts w:ascii="宋体" w:hAnsi="宋体" w:cs="宋体"/>
                <w:color w:val="auto"/>
                <w:sz w:val="24"/>
                <w:szCs w:val="24"/>
              </w:rPr>
            </w:pPr>
            <w:r>
              <w:rPr>
                <w:rFonts w:hint="eastAsia" w:ascii="宋体" w:hAnsi="宋体" w:cs="宋体"/>
                <w:color w:val="auto"/>
                <w:sz w:val="24"/>
                <w:szCs w:val="24"/>
              </w:rPr>
              <w:t>被授权人《居民身份证》复印件正反面</w:t>
            </w:r>
          </w:p>
        </w:tc>
      </w:tr>
    </w:tbl>
    <w:p>
      <w:pPr>
        <w:pStyle w:val="69"/>
        <w:tabs>
          <w:tab w:val="left" w:pos="8786"/>
        </w:tabs>
        <w:spacing w:after="0" w:line="360" w:lineRule="auto"/>
        <w:rPr>
          <w:rFonts w:ascii="宋体" w:hAnsi="宋体" w:cs="宋体"/>
          <w:b/>
          <w:color w:val="auto"/>
          <w:sz w:val="24"/>
        </w:rPr>
      </w:pPr>
    </w:p>
    <w:p>
      <w:pPr>
        <w:pStyle w:val="69"/>
        <w:tabs>
          <w:tab w:val="left" w:pos="8786"/>
        </w:tabs>
        <w:spacing w:after="0" w:line="360" w:lineRule="auto"/>
        <w:rPr>
          <w:rFonts w:ascii="宋体" w:hAnsi="宋体" w:cs="宋体"/>
          <w:b/>
          <w:color w:val="auto"/>
          <w:sz w:val="24"/>
        </w:rPr>
      </w:pPr>
    </w:p>
    <w:p>
      <w:pPr>
        <w:pStyle w:val="120"/>
        <w:tabs>
          <w:tab w:val="left" w:pos="750"/>
        </w:tabs>
        <w:adjustRightInd w:val="0"/>
        <w:snapToGrid w:val="0"/>
        <w:spacing w:line="500" w:lineRule="exact"/>
        <w:rPr>
          <w:rFonts w:ascii="宋体" w:hAnsi="宋体" w:cs="宋体"/>
          <w:color w:val="auto"/>
          <w:sz w:val="24"/>
          <w:szCs w:val="24"/>
        </w:rPr>
      </w:pPr>
      <w:r>
        <w:rPr>
          <w:rFonts w:hint="eastAsia" w:ascii="宋体" w:hAnsi="宋体" w:cs="宋体"/>
          <w:color w:val="auto"/>
          <w:sz w:val="24"/>
          <w:szCs w:val="24"/>
        </w:rPr>
        <w:t>供应商名称：</w:t>
      </w:r>
      <w:r>
        <w:rPr>
          <w:rFonts w:hint="eastAsia" w:ascii="宋体" w:hAnsi="宋体" w:cs="宋体"/>
          <w:color w:val="auto"/>
          <w:sz w:val="24"/>
          <w:szCs w:val="24"/>
          <w:u w:val="single"/>
        </w:rPr>
        <w:t xml:space="preserve">                       </w:t>
      </w:r>
      <w:r>
        <w:rPr>
          <w:rFonts w:hint="eastAsia" w:ascii="宋体" w:hAnsi="宋体" w:cs="宋体"/>
          <w:color w:val="auto"/>
          <w:sz w:val="24"/>
          <w:szCs w:val="24"/>
        </w:rPr>
        <w:t>（盖章）</w:t>
      </w:r>
    </w:p>
    <w:p>
      <w:pPr>
        <w:pStyle w:val="120"/>
        <w:tabs>
          <w:tab w:val="left" w:pos="750"/>
        </w:tabs>
        <w:adjustRightInd w:val="0"/>
        <w:snapToGrid w:val="0"/>
        <w:spacing w:line="500" w:lineRule="exact"/>
        <w:rPr>
          <w:rFonts w:ascii="宋体" w:hAnsi="宋体" w:cs="宋体"/>
          <w:color w:val="auto"/>
          <w:sz w:val="24"/>
          <w:szCs w:val="24"/>
        </w:rPr>
      </w:pPr>
      <w:r>
        <w:rPr>
          <w:rFonts w:hint="eastAsia" w:ascii="宋体" w:hAnsi="宋体" w:cs="宋体"/>
          <w:color w:val="auto"/>
          <w:sz w:val="24"/>
          <w:szCs w:val="24"/>
        </w:rPr>
        <w:t>法定代表人 ：</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（签字或盖章）</w:t>
      </w:r>
    </w:p>
    <w:p>
      <w:pPr>
        <w:pStyle w:val="120"/>
        <w:tabs>
          <w:tab w:val="left" w:pos="750"/>
        </w:tabs>
        <w:adjustRightInd w:val="0"/>
        <w:snapToGrid w:val="0"/>
        <w:spacing w:line="500" w:lineRule="exact"/>
        <w:rPr>
          <w:rFonts w:ascii="宋体" w:hAnsi="宋体" w:cs="宋体"/>
          <w:color w:val="auto"/>
          <w:sz w:val="24"/>
          <w:szCs w:val="24"/>
        </w:rPr>
      </w:pPr>
      <w:r>
        <w:rPr>
          <w:rFonts w:hint="eastAsia" w:ascii="宋体" w:hAnsi="宋体" w:cs="宋体"/>
          <w:color w:val="auto"/>
          <w:sz w:val="24"/>
          <w:szCs w:val="24"/>
        </w:rPr>
        <w:t>委托代理人：</w:t>
      </w:r>
      <w:r>
        <w:rPr>
          <w:rFonts w:hint="eastAsia" w:ascii="宋体" w:hAnsi="宋体" w:cs="宋体"/>
          <w:color w:val="auto"/>
          <w:sz w:val="24"/>
          <w:szCs w:val="24"/>
          <w:u w:val="single"/>
        </w:rPr>
        <w:t xml:space="preserve">           </w:t>
      </w:r>
      <w:r>
        <w:rPr>
          <w:rFonts w:hint="eastAsia" w:ascii="宋体" w:hAnsi="宋体" w:cs="宋体"/>
          <w:color w:val="auto"/>
          <w:sz w:val="24"/>
          <w:szCs w:val="24"/>
        </w:rPr>
        <w:t>（签字）</w:t>
      </w:r>
    </w:p>
    <w:p>
      <w:pPr>
        <w:pStyle w:val="120"/>
        <w:spacing w:line="500" w:lineRule="exact"/>
        <w:rPr>
          <w:rFonts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pPr>
        <w:pStyle w:val="173"/>
        <w:jc w:val="center"/>
        <w:outlineLvl w:val="2"/>
        <w:rPr>
          <w:rFonts w:ascii="宋体" w:hAnsi="宋体" w:eastAsia="宋体" w:cs="宋体"/>
          <w:color w:val="auto"/>
          <w:sz w:val="24"/>
        </w:rPr>
      </w:pPr>
      <w:r>
        <w:rPr>
          <w:rFonts w:hint="eastAsia" w:ascii="宋体" w:hAnsi="宋体" w:eastAsia="宋体" w:cs="宋体"/>
          <w:color w:val="auto"/>
          <w:sz w:val="24"/>
        </w:rPr>
        <w:br w:type="page"/>
      </w:r>
      <w:bookmarkStart w:id="62" w:name="_Toc30613"/>
      <w:r>
        <w:rPr>
          <w:rFonts w:hint="eastAsia" w:ascii="宋体" w:hAnsi="宋体" w:eastAsia="宋体" w:cs="宋体"/>
          <w:color w:val="auto"/>
          <w:sz w:val="24"/>
        </w:rPr>
        <w:t>★开标一览表</w:t>
      </w:r>
      <w:bookmarkEnd w:id="62"/>
    </w:p>
    <w:p>
      <w:pPr>
        <w:pStyle w:val="173"/>
        <w:jc w:val="center"/>
        <w:outlineLvl w:val="2"/>
        <w:rPr>
          <w:rFonts w:ascii="宋体" w:hAnsi="宋体" w:eastAsia="宋体" w:cs="宋体"/>
          <w:color w:val="auto"/>
          <w:sz w:val="24"/>
        </w:rPr>
      </w:pPr>
    </w:p>
    <w:tbl>
      <w:tblPr>
        <w:tblStyle w:val="34"/>
        <w:tblpPr w:leftFromText="180" w:rightFromText="180" w:vertAnchor="text" w:horzAnchor="page" w:tblpX="1657" w:tblpY="49"/>
        <w:tblOverlap w:val="never"/>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7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1532" w:type="dxa"/>
            <w:tcBorders>
              <w:bottom w:val="single" w:color="auto" w:sz="4" w:space="0"/>
            </w:tcBorders>
            <w:vAlign w:val="center"/>
          </w:tcPr>
          <w:p>
            <w:pPr>
              <w:pStyle w:val="104"/>
              <w:tabs>
                <w:tab w:val="left" w:pos="1337"/>
              </w:tabs>
              <w:spacing w:line="360" w:lineRule="auto"/>
              <w:rPr>
                <w:rFonts w:ascii="宋体" w:hAnsi="宋体" w:cs="宋体"/>
                <w:color w:val="auto"/>
                <w:sz w:val="24"/>
              </w:rPr>
            </w:pPr>
            <w:r>
              <w:rPr>
                <w:rFonts w:hint="eastAsia" w:ascii="宋体" w:hAnsi="宋体" w:cs="宋体"/>
                <w:bCs/>
                <w:color w:val="auto"/>
                <w:sz w:val="24"/>
              </w:rPr>
              <w:t>项目名称</w:t>
            </w:r>
          </w:p>
        </w:tc>
        <w:tc>
          <w:tcPr>
            <w:tcW w:w="7387" w:type="dxa"/>
            <w:tcBorders>
              <w:bottom w:val="single" w:color="auto" w:sz="4" w:space="0"/>
            </w:tcBorders>
            <w:vAlign w:val="center"/>
          </w:tcPr>
          <w:p>
            <w:pPr>
              <w:pStyle w:val="104"/>
              <w:tabs>
                <w:tab w:val="left" w:pos="1337"/>
              </w:tabs>
              <w:spacing w:line="360" w:lineRule="auto"/>
              <w:rPr>
                <w:rFonts w:ascii="宋体" w:hAnsi="宋体" w:cs="宋体"/>
                <w:bCs/>
                <w:color w:val="auto"/>
                <w:sz w:val="24"/>
              </w:rPr>
            </w:pPr>
            <w:r>
              <w:rPr>
                <w:rFonts w:hint="eastAsia" w:ascii="宋体" w:hAnsi="宋体" w:cs="宋体"/>
                <w:color w:val="auto"/>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1532" w:type="dxa"/>
            <w:tcBorders>
              <w:bottom w:val="single" w:color="auto" w:sz="4" w:space="0"/>
            </w:tcBorders>
            <w:vAlign w:val="center"/>
          </w:tcPr>
          <w:p>
            <w:pPr>
              <w:pStyle w:val="104"/>
              <w:tabs>
                <w:tab w:val="left" w:pos="1337"/>
              </w:tabs>
              <w:spacing w:line="360" w:lineRule="auto"/>
              <w:rPr>
                <w:rFonts w:ascii="宋体" w:hAnsi="宋体" w:cs="宋体"/>
                <w:bCs/>
                <w:color w:val="auto"/>
                <w:sz w:val="24"/>
              </w:rPr>
            </w:pPr>
            <w:r>
              <w:rPr>
                <w:rFonts w:hint="eastAsia" w:ascii="宋体" w:hAnsi="宋体" w:cs="宋体"/>
                <w:bCs/>
                <w:color w:val="auto"/>
                <w:sz w:val="24"/>
              </w:rPr>
              <w:t>项目编号</w:t>
            </w:r>
          </w:p>
        </w:tc>
        <w:tc>
          <w:tcPr>
            <w:tcW w:w="7387" w:type="dxa"/>
            <w:tcBorders>
              <w:bottom w:val="single" w:color="auto" w:sz="4" w:space="0"/>
            </w:tcBorders>
            <w:vAlign w:val="center"/>
          </w:tcPr>
          <w:p>
            <w:pPr>
              <w:pStyle w:val="104"/>
              <w:tabs>
                <w:tab w:val="left" w:pos="1337"/>
              </w:tabs>
              <w:spacing w:line="360" w:lineRule="auto"/>
              <w:rPr>
                <w:rFonts w:ascii="宋体" w:hAnsi="宋体" w:cs="宋体"/>
                <w:color w:val="auto"/>
                <w:sz w:val="24"/>
                <w:u w:val="single"/>
              </w:rPr>
            </w:pPr>
            <w:r>
              <w:rPr>
                <w:rFonts w:hint="eastAsia" w:ascii="宋体" w:hAnsi="宋体" w:cs="宋体"/>
                <w:color w:val="auto"/>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2" w:hRule="atLeast"/>
        </w:trPr>
        <w:tc>
          <w:tcPr>
            <w:tcW w:w="1532" w:type="dxa"/>
            <w:vAlign w:val="center"/>
          </w:tcPr>
          <w:p>
            <w:pPr>
              <w:pStyle w:val="104"/>
              <w:tabs>
                <w:tab w:val="left" w:pos="1337"/>
              </w:tabs>
              <w:spacing w:line="360" w:lineRule="auto"/>
              <w:jc w:val="center"/>
              <w:rPr>
                <w:rFonts w:ascii="宋体" w:hAnsi="宋体" w:cs="宋体"/>
                <w:color w:val="auto"/>
                <w:sz w:val="24"/>
              </w:rPr>
            </w:pPr>
            <w:r>
              <w:rPr>
                <w:rFonts w:hint="eastAsia" w:ascii="宋体" w:hAnsi="宋体" w:cs="宋体"/>
                <w:bCs/>
                <w:color w:val="auto"/>
                <w:sz w:val="24"/>
              </w:rPr>
              <w:t>投标总价</w:t>
            </w:r>
          </w:p>
        </w:tc>
        <w:tc>
          <w:tcPr>
            <w:tcW w:w="7387" w:type="dxa"/>
            <w:vAlign w:val="center"/>
          </w:tcPr>
          <w:p>
            <w:pPr>
              <w:pStyle w:val="104"/>
              <w:tabs>
                <w:tab w:val="left" w:pos="1337"/>
              </w:tabs>
              <w:spacing w:line="360" w:lineRule="auto"/>
              <w:rPr>
                <w:rFonts w:ascii="宋体" w:hAnsi="宋体" w:cs="宋体"/>
                <w:bCs/>
                <w:color w:val="auto"/>
                <w:sz w:val="24"/>
              </w:rPr>
            </w:pPr>
          </w:p>
          <w:p>
            <w:pPr>
              <w:pStyle w:val="104"/>
              <w:tabs>
                <w:tab w:val="left" w:pos="1337"/>
              </w:tabs>
              <w:spacing w:line="360" w:lineRule="auto"/>
              <w:rPr>
                <w:rFonts w:ascii="宋体" w:hAnsi="宋体" w:cs="宋体"/>
                <w:bCs/>
                <w:color w:val="auto"/>
                <w:sz w:val="24"/>
              </w:rPr>
            </w:pPr>
            <w:r>
              <w:rPr>
                <w:rFonts w:hint="eastAsia" w:ascii="宋体" w:hAnsi="宋体" w:cs="宋体"/>
                <w:bCs/>
                <w:color w:val="auto"/>
                <w:sz w:val="24"/>
              </w:rPr>
              <w:t>小写：</w:t>
            </w:r>
            <w:r>
              <w:rPr>
                <w:rFonts w:hint="eastAsia" w:ascii="宋体" w:hAnsi="宋体" w:cs="宋体"/>
                <w:bCs/>
                <w:color w:val="auto"/>
                <w:sz w:val="24"/>
                <w:u w:val="single"/>
              </w:rPr>
              <w:t xml:space="preserve">                          </w:t>
            </w:r>
          </w:p>
          <w:p>
            <w:pPr>
              <w:pStyle w:val="104"/>
              <w:tabs>
                <w:tab w:val="left" w:pos="1337"/>
              </w:tabs>
              <w:spacing w:line="360" w:lineRule="auto"/>
              <w:rPr>
                <w:rFonts w:ascii="宋体" w:hAnsi="宋体" w:cs="宋体"/>
                <w:bCs/>
                <w:color w:val="auto"/>
                <w:sz w:val="24"/>
              </w:rPr>
            </w:pPr>
          </w:p>
          <w:p>
            <w:pPr>
              <w:pStyle w:val="104"/>
              <w:tabs>
                <w:tab w:val="left" w:pos="1337"/>
              </w:tabs>
              <w:spacing w:line="360" w:lineRule="auto"/>
              <w:rPr>
                <w:rFonts w:ascii="宋体" w:hAnsi="宋体" w:cs="宋体"/>
                <w:bCs/>
                <w:color w:val="auto"/>
                <w:sz w:val="24"/>
              </w:rPr>
            </w:pPr>
            <w:r>
              <w:rPr>
                <w:rFonts w:hint="eastAsia" w:ascii="宋体" w:hAnsi="宋体" w:cs="宋体"/>
                <w:bCs/>
                <w:color w:val="auto"/>
                <w:sz w:val="24"/>
              </w:rPr>
              <w:t>大写：</w:t>
            </w:r>
            <w:r>
              <w:rPr>
                <w:rFonts w:hint="eastAsia" w:ascii="宋体" w:hAnsi="宋体" w:cs="宋体"/>
                <w:bCs/>
                <w:color w:val="auto"/>
                <w:sz w:val="24"/>
                <w:u w:val="single"/>
              </w:rPr>
              <w:t xml:space="preserve">                          </w:t>
            </w:r>
          </w:p>
          <w:p>
            <w:pPr>
              <w:pStyle w:val="104"/>
              <w:tabs>
                <w:tab w:val="left" w:pos="1337"/>
              </w:tabs>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trPr>
        <w:tc>
          <w:tcPr>
            <w:tcW w:w="1532" w:type="dxa"/>
            <w:vAlign w:val="center"/>
          </w:tcPr>
          <w:p>
            <w:pPr>
              <w:pStyle w:val="104"/>
              <w:tabs>
                <w:tab w:val="left" w:pos="1337"/>
              </w:tabs>
              <w:spacing w:line="360" w:lineRule="auto"/>
              <w:jc w:val="center"/>
              <w:rPr>
                <w:rFonts w:hint="eastAsia" w:ascii="宋体" w:hAnsi="宋体" w:eastAsia="宋体" w:cs="宋体"/>
                <w:color w:val="auto"/>
                <w:sz w:val="24"/>
                <w:lang w:eastAsia="zh-CN"/>
              </w:rPr>
            </w:pPr>
            <w:r>
              <w:rPr>
                <w:rFonts w:hint="eastAsia" w:ascii="宋体" w:hAnsi="宋体" w:cs="宋体"/>
                <w:bCs/>
                <w:color w:val="auto"/>
                <w:sz w:val="24"/>
                <w:lang w:val="en-US" w:eastAsia="zh-CN"/>
              </w:rPr>
              <w:t>监理期限</w:t>
            </w:r>
          </w:p>
        </w:tc>
        <w:tc>
          <w:tcPr>
            <w:tcW w:w="7387" w:type="dxa"/>
            <w:vAlign w:val="center"/>
          </w:tcPr>
          <w:p>
            <w:pPr>
              <w:pStyle w:val="104"/>
              <w:tabs>
                <w:tab w:val="left" w:pos="1337"/>
              </w:tabs>
              <w:spacing w:line="360" w:lineRule="auto"/>
              <w:rPr>
                <w:rFonts w:ascii="宋体" w:hAnsi="宋体" w:cs="宋体"/>
                <w:color w:val="auto"/>
                <w:sz w:val="24"/>
              </w:rPr>
            </w:pPr>
            <w:r>
              <w:rPr>
                <w:rFonts w:hint="eastAsia" w:ascii="宋体" w:hAnsi="宋体" w:cs="宋体"/>
                <w:color w:val="auto"/>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trPr>
        <w:tc>
          <w:tcPr>
            <w:tcW w:w="1532" w:type="dxa"/>
            <w:vAlign w:val="center"/>
          </w:tcPr>
          <w:p>
            <w:pPr>
              <w:pStyle w:val="104"/>
              <w:tabs>
                <w:tab w:val="left" w:pos="1337"/>
              </w:tabs>
              <w:spacing w:line="360" w:lineRule="auto"/>
              <w:jc w:val="center"/>
              <w:rPr>
                <w:rFonts w:ascii="宋体" w:hAnsi="宋体" w:cs="宋体"/>
                <w:bCs/>
                <w:color w:val="auto"/>
                <w:sz w:val="24"/>
              </w:rPr>
            </w:pPr>
            <w:r>
              <w:rPr>
                <w:rFonts w:hint="eastAsia" w:ascii="宋体" w:hAnsi="宋体" w:cs="宋体"/>
                <w:bCs/>
                <w:color w:val="auto"/>
                <w:sz w:val="24"/>
              </w:rPr>
              <w:t>质量标准</w:t>
            </w:r>
          </w:p>
        </w:tc>
        <w:tc>
          <w:tcPr>
            <w:tcW w:w="7387" w:type="dxa"/>
            <w:vAlign w:val="center"/>
          </w:tcPr>
          <w:p>
            <w:pPr>
              <w:pStyle w:val="104"/>
              <w:tabs>
                <w:tab w:val="left" w:pos="1337"/>
              </w:tabs>
              <w:spacing w:line="360" w:lineRule="auto"/>
              <w:rPr>
                <w:rFonts w:ascii="宋体" w:hAnsi="宋体" w:cs="宋体"/>
                <w:color w:val="auto"/>
                <w:sz w:val="24"/>
                <w:u w:val="single"/>
              </w:rPr>
            </w:pPr>
            <w:r>
              <w:rPr>
                <w:rFonts w:hint="eastAsia" w:ascii="宋体" w:hAnsi="宋体" w:cs="宋体"/>
                <w:color w:val="auto"/>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4" w:hRule="atLeast"/>
        </w:trPr>
        <w:tc>
          <w:tcPr>
            <w:tcW w:w="8919" w:type="dxa"/>
            <w:gridSpan w:val="2"/>
            <w:vAlign w:val="center"/>
          </w:tcPr>
          <w:p>
            <w:pPr>
              <w:pStyle w:val="104"/>
              <w:tabs>
                <w:tab w:val="left" w:pos="1337"/>
              </w:tabs>
              <w:spacing w:line="360" w:lineRule="auto"/>
              <w:rPr>
                <w:rFonts w:ascii="宋体" w:hAnsi="宋体" w:cs="宋体"/>
                <w:color w:val="auto"/>
                <w:sz w:val="24"/>
              </w:rPr>
            </w:pPr>
            <w:r>
              <w:rPr>
                <w:rFonts w:hint="eastAsia" w:ascii="宋体" w:hAnsi="宋体" w:cs="宋体"/>
                <w:bCs/>
                <w:color w:val="auto"/>
                <w:sz w:val="24"/>
              </w:rPr>
              <w:t>备注：</w:t>
            </w:r>
            <w:r>
              <w:rPr>
                <w:rFonts w:hint="eastAsia" w:ascii="宋体" w:hAnsi="宋体" w:cs="宋体"/>
                <w:bCs/>
                <w:color w:val="auto"/>
                <w:sz w:val="24"/>
                <w:u w:val="single"/>
              </w:rPr>
              <w:t xml:space="preserve">                                      </w:t>
            </w:r>
          </w:p>
        </w:tc>
      </w:tr>
    </w:tbl>
    <w:p>
      <w:pPr>
        <w:pStyle w:val="103"/>
        <w:spacing w:line="360" w:lineRule="auto"/>
        <w:ind w:left="0" w:leftChars="0" w:firstLine="0" w:firstLineChars="0"/>
        <w:rPr>
          <w:rFonts w:ascii="宋体" w:hAnsi="宋体" w:cs="宋体"/>
          <w:color w:val="auto"/>
        </w:rPr>
      </w:pPr>
    </w:p>
    <w:p>
      <w:pPr>
        <w:pStyle w:val="103"/>
        <w:spacing w:line="360" w:lineRule="auto"/>
        <w:ind w:left="0" w:leftChars="0" w:firstLine="482" w:firstLineChars="200"/>
        <w:rPr>
          <w:rFonts w:ascii="仿宋" w:hAnsi="仿宋" w:eastAsia="仿宋"/>
          <w:b/>
          <w:color w:val="auto"/>
        </w:rPr>
      </w:pPr>
    </w:p>
    <w:p>
      <w:pPr>
        <w:pStyle w:val="104"/>
        <w:spacing w:line="360" w:lineRule="auto"/>
        <w:rPr>
          <w:rFonts w:ascii="宋体" w:hAnsi="宋体" w:cs="宋体"/>
          <w:color w:val="auto"/>
          <w:sz w:val="24"/>
        </w:rPr>
      </w:pPr>
      <w:r>
        <w:rPr>
          <w:rFonts w:hint="eastAsia" w:ascii="宋体" w:hAnsi="宋体" w:cs="宋体"/>
          <w:color w:val="auto"/>
          <w:sz w:val="24"/>
        </w:rPr>
        <w:t>说明：1、供应商严格按照规定的格式填写。投标总价作为评审及定标的依据。</w:t>
      </w:r>
    </w:p>
    <w:p>
      <w:pPr>
        <w:pStyle w:val="104"/>
        <w:spacing w:line="360" w:lineRule="auto"/>
        <w:ind w:firstLine="720" w:firstLineChars="300"/>
        <w:rPr>
          <w:rFonts w:ascii="宋体" w:hAnsi="宋体" w:cs="宋体"/>
          <w:color w:val="auto"/>
          <w:sz w:val="24"/>
        </w:rPr>
      </w:pPr>
      <w:r>
        <w:rPr>
          <w:rFonts w:hint="eastAsia" w:ascii="宋体" w:hAnsi="宋体" w:cs="宋体"/>
          <w:color w:val="auto"/>
          <w:sz w:val="24"/>
        </w:rPr>
        <w:t>2、任何有选择或有条件的投标总价或表中填写多个报价，均将导致投标被拒绝。</w:t>
      </w:r>
    </w:p>
    <w:p>
      <w:pPr>
        <w:pStyle w:val="104"/>
        <w:spacing w:line="360" w:lineRule="auto"/>
        <w:ind w:firstLine="723" w:firstLineChars="300"/>
        <w:rPr>
          <w:rFonts w:ascii="宋体" w:hAnsi="宋体" w:cs="宋体"/>
          <w:b/>
          <w:bCs/>
          <w:color w:val="auto"/>
          <w:sz w:val="24"/>
        </w:rPr>
      </w:pPr>
      <w:r>
        <w:rPr>
          <w:rFonts w:hint="eastAsia" w:ascii="宋体" w:hAnsi="宋体" w:cs="宋体"/>
          <w:b/>
          <w:bCs/>
          <w:color w:val="auto"/>
          <w:sz w:val="24"/>
        </w:rPr>
        <w:t>3、开标一览表除投标文件正副本中提供外，另须单独密封一份，随投标文件一起提交。</w:t>
      </w:r>
    </w:p>
    <w:p>
      <w:pPr>
        <w:pStyle w:val="104"/>
        <w:spacing w:line="360" w:lineRule="auto"/>
        <w:ind w:left="360" w:firstLine="723" w:firstLineChars="300"/>
        <w:rPr>
          <w:rFonts w:ascii="宋体" w:hAnsi="宋体" w:cs="宋体"/>
          <w:b/>
          <w:bCs/>
          <w:color w:val="auto"/>
          <w:sz w:val="24"/>
        </w:rPr>
      </w:pPr>
    </w:p>
    <w:p>
      <w:pPr>
        <w:pStyle w:val="120"/>
        <w:tabs>
          <w:tab w:val="left" w:pos="750"/>
        </w:tabs>
        <w:adjustRightInd w:val="0"/>
        <w:snapToGrid w:val="0"/>
        <w:spacing w:line="500" w:lineRule="exact"/>
        <w:rPr>
          <w:rFonts w:ascii="宋体" w:hAnsi="宋体" w:cs="宋体"/>
          <w:color w:val="auto"/>
          <w:sz w:val="24"/>
          <w:szCs w:val="24"/>
        </w:rPr>
      </w:pPr>
      <w:r>
        <w:rPr>
          <w:rFonts w:hint="eastAsia" w:ascii="宋体" w:hAnsi="宋体" w:cs="宋体"/>
          <w:color w:val="auto"/>
          <w:sz w:val="24"/>
          <w:szCs w:val="24"/>
        </w:rPr>
        <w:t>供应商名称：</w:t>
      </w:r>
      <w:r>
        <w:rPr>
          <w:rFonts w:hint="eastAsia" w:ascii="宋体" w:hAnsi="宋体" w:cs="宋体"/>
          <w:color w:val="auto"/>
          <w:sz w:val="24"/>
          <w:szCs w:val="24"/>
          <w:u w:val="single"/>
        </w:rPr>
        <w:t xml:space="preserve">                       </w:t>
      </w:r>
      <w:r>
        <w:rPr>
          <w:rFonts w:hint="eastAsia" w:ascii="宋体" w:hAnsi="宋体" w:cs="宋体"/>
          <w:color w:val="auto"/>
          <w:sz w:val="24"/>
          <w:szCs w:val="24"/>
        </w:rPr>
        <w:t>（盖章）</w:t>
      </w:r>
    </w:p>
    <w:p>
      <w:pPr>
        <w:pStyle w:val="120"/>
        <w:tabs>
          <w:tab w:val="left" w:pos="750"/>
        </w:tabs>
        <w:adjustRightInd w:val="0"/>
        <w:snapToGrid w:val="0"/>
        <w:spacing w:line="500" w:lineRule="exact"/>
        <w:rPr>
          <w:rFonts w:ascii="宋体" w:hAnsi="宋体" w:cs="宋体"/>
          <w:color w:val="auto"/>
          <w:sz w:val="24"/>
          <w:szCs w:val="24"/>
        </w:rPr>
      </w:pPr>
      <w:r>
        <w:rPr>
          <w:rFonts w:hint="eastAsia" w:ascii="宋体" w:hAnsi="宋体" w:cs="宋体"/>
          <w:color w:val="auto"/>
          <w:sz w:val="24"/>
          <w:szCs w:val="24"/>
        </w:rPr>
        <w:t>法定代表人 ：</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（签字或盖章）</w:t>
      </w:r>
    </w:p>
    <w:p>
      <w:pPr>
        <w:pStyle w:val="120"/>
        <w:tabs>
          <w:tab w:val="left" w:pos="750"/>
        </w:tabs>
        <w:adjustRightInd w:val="0"/>
        <w:snapToGrid w:val="0"/>
        <w:spacing w:line="500" w:lineRule="exact"/>
        <w:rPr>
          <w:rFonts w:ascii="宋体" w:hAnsi="宋体" w:cs="宋体"/>
          <w:color w:val="auto"/>
          <w:sz w:val="24"/>
          <w:szCs w:val="24"/>
        </w:rPr>
      </w:pPr>
      <w:r>
        <w:rPr>
          <w:rFonts w:hint="eastAsia" w:ascii="宋体" w:hAnsi="宋体" w:cs="宋体"/>
          <w:color w:val="auto"/>
          <w:sz w:val="24"/>
          <w:szCs w:val="24"/>
        </w:rPr>
        <w:t>委托代理人：</w:t>
      </w:r>
      <w:r>
        <w:rPr>
          <w:rFonts w:hint="eastAsia" w:ascii="宋体" w:hAnsi="宋体" w:cs="宋体"/>
          <w:color w:val="auto"/>
          <w:sz w:val="24"/>
          <w:szCs w:val="24"/>
          <w:u w:val="single"/>
        </w:rPr>
        <w:t xml:space="preserve">           </w:t>
      </w:r>
      <w:r>
        <w:rPr>
          <w:rFonts w:hint="eastAsia" w:ascii="宋体" w:hAnsi="宋体" w:cs="宋体"/>
          <w:color w:val="auto"/>
          <w:sz w:val="24"/>
          <w:szCs w:val="24"/>
        </w:rPr>
        <w:t>（签字）</w:t>
      </w:r>
    </w:p>
    <w:p>
      <w:pPr>
        <w:pStyle w:val="104"/>
        <w:spacing w:line="360" w:lineRule="auto"/>
        <w:rPr>
          <w:rFonts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pStyle w:val="104"/>
        <w:spacing w:line="360" w:lineRule="auto"/>
        <w:rPr>
          <w:rFonts w:ascii="宋体" w:hAnsi="宋体" w:cs="宋体"/>
          <w:color w:val="auto"/>
          <w:sz w:val="24"/>
        </w:rPr>
      </w:pPr>
    </w:p>
    <w:p>
      <w:pPr>
        <w:spacing w:line="360" w:lineRule="auto"/>
        <w:jc w:val="center"/>
        <w:rPr>
          <w:rFonts w:hint="eastAsia" w:ascii="宋体" w:hAnsi="宋体"/>
          <w:color w:val="auto"/>
          <w:sz w:val="24"/>
          <w:szCs w:val="24"/>
        </w:rPr>
      </w:pPr>
      <w:r>
        <w:rPr>
          <w:rFonts w:hint="eastAsia" w:cs="宋体"/>
          <w:color w:val="auto"/>
          <w:sz w:val="24"/>
          <w:szCs w:val="24"/>
        </w:rPr>
        <w:br w:type="page"/>
      </w:r>
      <w:bookmarkStart w:id="63" w:name="_Toc11982"/>
      <w:r>
        <w:rPr>
          <w:rFonts w:hint="eastAsia" w:ascii="宋体" w:hAnsi="宋体" w:eastAsia="宋体" w:cs="宋体"/>
          <w:color w:val="auto"/>
          <w:sz w:val="24"/>
        </w:rPr>
        <w:t>★</w:t>
      </w:r>
      <w:r>
        <w:rPr>
          <w:rFonts w:hint="eastAsia" w:ascii="宋体" w:hAnsi="宋体"/>
          <w:b/>
          <w:bCs/>
          <w:color w:val="auto"/>
          <w:sz w:val="24"/>
          <w:szCs w:val="24"/>
        </w:rPr>
        <w:t>投标承诺书</w:t>
      </w:r>
    </w:p>
    <w:p>
      <w:pPr>
        <w:spacing w:line="360" w:lineRule="auto"/>
        <w:ind w:left="424" w:leftChars="202"/>
        <w:rPr>
          <w:rFonts w:ascii="宋体" w:hAnsi="宋体"/>
          <w:b/>
          <w:color w:val="auto"/>
          <w:sz w:val="24"/>
          <w:szCs w:val="24"/>
        </w:rPr>
      </w:pPr>
    </w:p>
    <w:p>
      <w:pPr>
        <w:spacing w:line="360" w:lineRule="auto"/>
        <w:ind w:left="424" w:leftChars="202"/>
        <w:jc w:val="center"/>
        <w:rPr>
          <w:rFonts w:hint="eastAsia" w:ascii="宋体" w:hAnsi="宋体"/>
          <w:b/>
          <w:color w:val="auto"/>
          <w:sz w:val="24"/>
          <w:szCs w:val="24"/>
        </w:rPr>
      </w:pPr>
    </w:p>
    <w:p>
      <w:pPr>
        <w:spacing w:line="360" w:lineRule="auto"/>
        <w:ind w:left="424" w:leftChars="202"/>
        <w:rPr>
          <w:rFonts w:hint="eastAsia" w:ascii="宋体" w:hAnsi="宋体"/>
          <w:color w:val="auto"/>
          <w:sz w:val="24"/>
          <w:szCs w:val="24"/>
          <w:u w:val="single"/>
        </w:rPr>
      </w:pPr>
      <w:r>
        <w:rPr>
          <w:rFonts w:hint="eastAsia" w:ascii="宋体" w:hAnsi="宋体"/>
          <w:color w:val="auto"/>
          <w:sz w:val="24"/>
          <w:szCs w:val="24"/>
        </w:rPr>
        <w:t>采购人：</w:t>
      </w:r>
      <w:r>
        <w:rPr>
          <w:rFonts w:hint="eastAsia" w:ascii="宋体" w:hAnsi="宋体"/>
          <w:color w:val="auto"/>
          <w:sz w:val="24"/>
          <w:szCs w:val="24"/>
          <w:u w:val="single"/>
        </w:rPr>
        <w:t xml:space="preserve">                 </w:t>
      </w:r>
    </w:p>
    <w:p>
      <w:pPr>
        <w:spacing w:line="360" w:lineRule="auto"/>
        <w:ind w:left="424" w:leftChars="202"/>
        <w:rPr>
          <w:rFonts w:hint="eastAsia" w:ascii="宋体" w:hAnsi="宋体"/>
          <w:color w:val="auto"/>
          <w:sz w:val="24"/>
          <w:szCs w:val="24"/>
          <w:u w:val="single"/>
        </w:rPr>
      </w:pPr>
    </w:p>
    <w:p>
      <w:pPr>
        <w:spacing w:line="360" w:lineRule="auto"/>
        <w:ind w:left="424" w:leftChars="202"/>
        <w:rPr>
          <w:rFonts w:hint="eastAsia" w:ascii="宋体" w:hAnsi="宋体"/>
          <w:color w:val="auto"/>
          <w:sz w:val="24"/>
          <w:szCs w:val="24"/>
        </w:rPr>
      </w:pPr>
      <w:r>
        <w:rPr>
          <w:rFonts w:hint="eastAsia" w:ascii="宋体" w:hAnsi="宋体"/>
          <w:color w:val="auto"/>
          <w:sz w:val="24"/>
          <w:szCs w:val="24"/>
        </w:rPr>
        <w:t>若我公司中标后，项目总监为：</w:t>
      </w:r>
    </w:p>
    <w:p>
      <w:pPr>
        <w:spacing w:line="360" w:lineRule="auto"/>
        <w:ind w:left="424" w:leftChars="202"/>
        <w:rPr>
          <w:rFonts w:hint="eastAsia" w:ascii="宋体" w:hAnsi="宋体"/>
          <w:color w:val="auto"/>
          <w:sz w:val="24"/>
          <w:szCs w:val="24"/>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404"/>
        <w:gridCol w:w="2409"/>
        <w:gridCol w:w="2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noWrap w:val="0"/>
            <w:vAlign w:val="top"/>
          </w:tcPr>
          <w:p>
            <w:pPr>
              <w:spacing w:line="360" w:lineRule="auto"/>
              <w:rPr>
                <w:rFonts w:hint="eastAsia" w:ascii="宋体" w:hAnsi="宋体"/>
                <w:color w:val="auto"/>
                <w:sz w:val="24"/>
                <w:szCs w:val="24"/>
              </w:rPr>
            </w:pPr>
            <w:r>
              <w:rPr>
                <w:rFonts w:hint="eastAsia" w:ascii="宋体" w:hAnsi="宋体"/>
                <w:color w:val="auto"/>
                <w:sz w:val="24"/>
                <w:szCs w:val="24"/>
              </w:rPr>
              <w:t>姓名</w:t>
            </w:r>
          </w:p>
        </w:tc>
        <w:tc>
          <w:tcPr>
            <w:tcW w:w="2404" w:type="dxa"/>
            <w:noWrap w:val="0"/>
            <w:vAlign w:val="top"/>
          </w:tcPr>
          <w:p>
            <w:pPr>
              <w:spacing w:line="360" w:lineRule="auto"/>
              <w:rPr>
                <w:rFonts w:hint="eastAsia" w:ascii="宋体" w:hAnsi="宋体"/>
                <w:color w:val="auto"/>
                <w:sz w:val="24"/>
                <w:szCs w:val="24"/>
              </w:rPr>
            </w:pPr>
          </w:p>
        </w:tc>
        <w:tc>
          <w:tcPr>
            <w:tcW w:w="2409" w:type="dxa"/>
            <w:noWrap w:val="0"/>
            <w:vAlign w:val="top"/>
          </w:tcPr>
          <w:p>
            <w:pPr>
              <w:spacing w:line="360" w:lineRule="auto"/>
              <w:rPr>
                <w:rFonts w:hint="eastAsia" w:ascii="宋体" w:hAnsi="宋体"/>
                <w:color w:val="auto"/>
                <w:sz w:val="24"/>
                <w:szCs w:val="24"/>
              </w:rPr>
            </w:pPr>
            <w:r>
              <w:rPr>
                <w:rFonts w:hint="eastAsia" w:ascii="宋体" w:hAnsi="宋体"/>
                <w:color w:val="auto"/>
                <w:sz w:val="24"/>
                <w:szCs w:val="24"/>
              </w:rPr>
              <w:t>职称</w:t>
            </w:r>
          </w:p>
        </w:tc>
        <w:tc>
          <w:tcPr>
            <w:tcW w:w="2404" w:type="dxa"/>
            <w:noWrap w:val="0"/>
            <w:vAlign w:val="top"/>
          </w:tcPr>
          <w:p>
            <w:pPr>
              <w:spacing w:line="360" w:lineRule="auto"/>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noWrap w:val="0"/>
            <w:vAlign w:val="top"/>
          </w:tcPr>
          <w:p>
            <w:pPr>
              <w:spacing w:line="360" w:lineRule="auto"/>
              <w:rPr>
                <w:rFonts w:hint="eastAsia" w:ascii="宋体" w:hAnsi="宋体"/>
                <w:color w:val="auto"/>
                <w:sz w:val="24"/>
                <w:szCs w:val="24"/>
              </w:rPr>
            </w:pPr>
            <w:r>
              <w:rPr>
                <w:rFonts w:hint="eastAsia" w:ascii="宋体" w:hAnsi="宋体"/>
                <w:color w:val="auto"/>
                <w:sz w:val="24"/>
                <w:szCs w:val="24"/>
              </w:rPr>
              <w:t>注册监理工程师证号或总负责人职称证号</w:t>
            </w:r>
          </w:p>
        </w:tc>
        <w:tc>
          <w:tcPr>
            <w:tcW w:w="7217" w:type="dxa"/>
            <w:gridSpan w:val="3"/>
            <w:noWrap w:val="0"/>
            <w:vAlign w:val="top"/>
          </w:tcPr>
          <w:p>
            <w:pPr>
              <w:spacing w:line="360" w:lineRule="auto"/>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noWrap w:val="0"/>
            <w:vAlign w:val="top"/>
          </w:tcPr>
          <w:p>
            <w:pPr>
              <w:spacing w:line="360" w:lineRule="auto"/>
              <w:rPr>
                <w:rFonts w:hint="eastAsia" w:ascii="宋体" w:hAnsi="宋体"/>
                <w:color w:val="auto"/>
                <w:sz w:val="24"/>
                <w:szCs w:val="24"/>
              </w:rPr>
            </w:pPr>
            <w:r>
              <w:rPr>
                <w:rFonts w:hint="eastAsia" w:ascii="宋体" w:hAnsi="宋体"/>
                <w:color w:val="auto"/>
                <w:sz w:val="24"/>
                <w:szCs w:val="24"/>
              </w:rPr>
              <w:t>身份证号码</w:t>
            </w:r>
          </w:p>
        </w:tc>
        <w:tc>
          <w:tcPr>
            <w:tcW w:w="7217" w:type="dxa"/>
            <w:gridSpan w:val="3"/>
            <w:noWrap w:val="0"/>
            <w:vAlign w:val="top"/>
          </w:tcPr>
          <w:p>
            <w:pPr>
              <w:spacing w:line="360" w:lineRule="auto"/>
              <w:rPr>
                <w:rFonts w:hint="eastAsia" w:ascii="宋体" w:hAnsi="宋体"/>
                <w:color w:val="auto"/>
                <w:sz w:val="24"/>
                <w:szCs w:val="24"/>
              </w:rPr>
            </w:pPr>
          </w:p>
        </w:tc>
      </w:tr>
    </w:tbl>
    <w:p>
      <w:pPr>
        <w:spacing w:line="360" w:lineRule="auto"/>
        <w:rPr>
          <w:rFonts w:hint="eastAsia" w:ascii="宋体" w:hAnsi="宋体"/>
          <w:color w:val="auto"/>
          <w:sz w:val="24"/>
          <w:szCs w:val="24"/>
        </w:rPr>
      </w:pPr>
    </w:p>
    <w:p>
      <w:pPr>
        <w:spacing w:line="360" w:lineRule="auto"/>
        <w:ind w:firstLine="480" w:firstLineChars="200"/>
        <w:rPr>
          <w:rFonts w:hint="eastAsia" w:ascii="宋体" w:hAnsi="宋体"/>
          <w:color w:val="auto"/>
          <w:sz w:val="24"/>
          <w:szCs w:val="24"/>
          <w:u w:val="single"/>
        </w:rPr>
      </w:pPr>
      <w:r>
        <w:rPr>
          <w:rFonts w:hint="eastAsia" w:ascii="宋体" w:hAnsi="宋体"/>
          <w:color w:val="auto"/>
          <w:sz w:val="24"/>
          <w:szCs w:val="24"/>
        </w:rPr>
        <w:t>中标后，若由于特殊原因须更换时，我方将以不低于此项目总监信誉的人员替换，并报业主审查。经审查通过后，方可更换。若未经业主批准，我方擅自更换，我方愿以合同价的</w:t>
      </w:r>
      <w:r>
        <w:rPr>
          <w:rFonts w:hint="eastAsia" w:ascii="宋体" w:hAnsi="宋体"/>
          <w:color w:val="auto"/>
          <w:sz w:val="24"/>
          <w:szCs w:val="24"/>
          <w:u w:val="single"/>
        </w:rPr>
        <w:t xml:space="preserve">    </w:t>
      </w:r>
      <w:r>
        <w:rPr>
          <w:rFonts w:hint="eastAsia" w:ascii="宋体" w:hAnsi="宋体"/>
          <w:color w:val="auto"/>
          <w:sz w:val="24"/>
          <w:szCs w:val="24"/>
        </w:rPr>
        <w:t>%作为赔偿金。</w:t>
      </w:r>
    </w:p>
    <w:p>
      <w:pPr>
        <w:spacing w:line="360" w:lineRule="auto"/>
        <w:rPr>
          <w:rFonts w:ascii="宋体" w:hAnsi="宋体"/>
          <w:color w:val="auto"/>
          <w:sz w:val="24"/>
          <w:szCs w:val="24"/>
        </w:rPr>
      </w:pPr>
    </w:p>
    <w:p>
      <w:pPr>
        <w:spacing w:line="360" w:lineRule="auto"/>
        <w:rPr>
          <w:rFonts w:hint="eastAsia" w:ascii="宋体" w:hAnsi="宋体"/>
          <w:color w:val="auto"/>
          <w:sz w:val="24"/>
          <w:szCs w:val="24"/>
        </w:rPr>
      </w:pPr>
    </w:p>
    <w:p>
      <w:pPr>
        <w:spacing w:line="360" w:lineRule="auto"/>
        <w:rPr>
          <w:rFonts w:hint="eastAsia" w:ascii="宋体" w:hAnsi="宋体"/>
          <w:color w:val="auto"/>
          <w:sz w:val="24"/>
          <w:szCs w:val="24"/>
        </w:rPr>
      </w:pPr>
    </w:p>
    <w:p>
      <w:pPr>
        <w:spacing w:line="360" w:lineRule="auto"/>
        <w:rPr>
          <w:rFonts w:ascii="宋体" w:hAnsi="宋体"/>
          <w:color w:val="auto"/>
          <w:sz w:val="24"/>
          <w:szCs w:val="24"/>
        </w:rPr>
      </w:pPr>
    </w:p>
    <w:p>
      <w:pPr>
        <w:pStyle w:val="120"/>
        <w:tabs>
          <w:tab w:val="left" w:pos="750"/>
        </w:tabs>
        <w:adjustRightInd w:val="0"/>
        <w:snapToGrid w:val="0"/>
        <w:spacing w:line="500" w:lineRule="exact"/>
        <w:rPr>
          <w:rFonts w:ascii="宋体" w:hAnsi="宋体" w:cs="宋体"/>
          <w:color w:val="auto"/>
          <w:sz w:val="24"/>
          <w:szCs w:val="24"/>
        </w:rPr>
      </w:pPr>
      <w:r>
        <w:rPr>
          <w:rFonts w:hint="eastAsia" w:ascii="宋体" w:hAnsi="宋体" w:cs="宋体"/>
          <w:color w:val="auto"/>
          <w:sz w:val="24"/>
          <w:szCs w:val="24"/>
        </w:rPr>
        <w:t>供应商名称：</w:t>
      </w:r>
      <w:r>
        <w:rPr>
          <w:rFonts w:hint="eastAsia" w:ascii="宋体" w:hAnsi="宋体" w:cs="宋体"/>
          <w:color w:val="auto"/>
          <w:sz w:val="24"/>
          <w:szCs w:val="24"/>
          <w:u w:val="single"/>
        </w:rPr>
        <w:t xml:space="preserve">                       </w:t>
      </w:r>
      <w:r>
        <w:rPr>
          <w:rFonts w:hint="eastAsia" w:ascii="宋体" w:hAnsi="宋体" w:cs="宋体"/>
          <w:color w:val="auto"/>
          <w:sz w:val="24"/>
          <w:szCs w:val="24"/>
        </w:rPr>
        <w:t>（盖章）</w:t>
      </w:r>
    </w:p>
    <w:p>
      <w:pPr>
        <w:pStyle w:val="120"/>
        <w:tabs>
          <w:tab w:val="left" w:pos="750"/>
        </w:tabs>
        <w:adjustRightInd w:val="0"/>
        <w:snapToGrid w:val="0"/>
        <w:spacing w:line="500" w:lineRule="exact"/>
        <w:rPr>
          <w:rFonts w:ascii="宋体" w:hAnsi="宋体" w:cs="宋体"/>
          <w:color w:val="auto"/>
          <w:sz w:val="24"/>
          <w:szCs w:val="24"/>
        </w:rPr>
      </w:pPr>
      <w:r>
        <w:rPr>
          <w:rFonts w:hint="eastAsia" w:ascii="宋体" w:hAnsi="宋体" w:cs="宋体"/>
          <w:color w:val="auto"/>
          <w:sz w:val="24"/>
          <w:szCs w:val="24"/>
        </w:rPr>
        <w:t>法定代表人 ：</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（签字或盖章）</w:t>
      </w:r>
    </w:p>
    <w:p>
      <w:pPr>
        <w:pStyle w:val="120"/>
        <w:tabs>
          <w:tab w:val="left" w:pos="750"/>
        </w:tabs>
        <w:adjustRightInd w:val="0"/>
        <w:snapToGrid w:val="0"/>
        <w:spacing w:line="500" w:lineRule="exact"/>
        <w:rPr>
          <w:rFonts w:ascii="宋体" w:hAnsi="宋体" w:cs="宋体"/>
          <w:color w:val="auto"/>
          <w:sz w:val="24"/>
          <w:szCs w:val="24"/>
        </w:rPr>
      </w:pPr>
      <w:r>
        <w:rPr>
          <w:rFonts w:hint="eastAsia" w:ascii="宋体" w:hAnsi="宋体" w:cs="宋体"/>
          <w:color w:val="auto"/>
          <w:sz w:val="24"/>
          <w:szCs w:val="24"/>
        </w:rPr>
        <w:t>委托代理人：</w:t>
      </w:r>
      <w:r>
        <w:rPr>
          <w:rFonts w:hint="eastAsia" w:ascii="宋体" w:hAnsi="宋体" w:cs="宋体"/>
          <w:color w:val="auto"/>
          <w:sz w:val="24"/>
          <w:szCs w:val="24"/>
          <w:u w:val="single"/>
        </w:rPr>
        <w:t xml:space="preserve">           </w:t>
      </w:r>
      <w:r>
        <w:rPr>
          <w:rFonts w:hint="eastAsia" w:ascii="宋体" w:hAnsi="宋体" w:cs="宋体"/>
          <w:color w:val="auto"/>
          <w:sz w:val="24"/>
          <w:szCs w:val="24"/>
        </w:rPr>
        <w:t>（签字）</w:t>
      </w:r>
    </w:p>
    <w:p>
      <w:pPr>
        <w:pStyle w:val="104"/>
        <w:spacing w:line="360" w:lineRule="auto"/>
        <w:rPr>
          <w:rFonts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pStyle w:val="159"/>
        <w:spacing w:line="360" w:lineRule="auto"/>
        <w:ind w:firstLine="480" w:firstLineChars="200"/>
        <w:jc w:val="both"/>
        <w:rPr>
          <w:rFonts w:ascii="宋体" w:hAnsi="宋体" w:cs="宋体"/>
          <w:color w:val="auto"/>
          <w:szCs w:val="20"/>
        </w:rPr>
      </w:pPr>
    </w:p>
    <w:p>
      <w:pPr>
        <w:pStyle w:val="169"/>
        <w:jc w:val="center"/>
        <w:outlineLvl w:val="2"/>
        <w:rPr>
          <w:rFonts w:ascii="宋体" w:hAnsi="宋体" w:eastAsia="宋体" w:cs="宋体"/>
          <w:color w:val="auto"/>
          <w:sz w:val="24"/>
        </w:rPr>
      </w:pPr>
      <w:r>
        <w:rPr>
          <w:rFonts w:hint="eastAsia" w:ascii="宋体" w:hAnsi="宋体" w:eastAsia="宋体" w:cs="宋体"/>
          <w:color w:val="auto"/>
          <w:sz w:val="24"/>
        </w:rPr>
        <w:br w:type="page"/>
      </w:r>
      <w:r>
        <w:rPr>
          <w:rFonts w:hint="eastAsia" w:ascii="宋体" w:hAnsi="宋体" w:eastAsia="宋体" w:cs="宋体"/>
          <w:color w:val="auto"/>
          <w:sz w:val="24"/>
        </w:rPr>
        <w:t>★资格证明文件</w:t>
      </w:r>
      <w:bookmarkEnd w:id="63"/>
    </w:p>
    <w:p>
      <w:pPr>
        <w:pStyle w:val="169"/>
        <w:jc w:val="center"/>
        <w:outlineLvl w:val="2"/>
        <w:rPr>
          <w:rFonts w:ascii="宋体" w:hAnsi="宋体" w:eastAsia="宋体" w:cs="宋体"/>
          <w:color w:val="auto"/>
          <w:sz w:val="24"/>
        </w:rPr>
      </w:pPr>
    </w:p>
    <w:p>
      <w:pPr>
        <w:pStyle w:val="136"/>
        <w:spacing w:line="360" w:lineRule="auto"/>
        <w:outlineLvl w:val="2"/>
        <w:rPr>
          <w:rFonts w:hint="eastAsia" w:ascii="宋体" w:hAnsi="宋体" w:eastAsia="宋体" w:cs="宋体"/>
          <w:b w:val="0"/>
          <w:bCs/>
          <w:color w:val="auto"/>
          <w:sz w:val="24"/>
        </w:rPr>
      </w:pPr>
      <w:bookmarkStart w:id="64" w:name="_Toc9140"/>
      <w:r>
        <w:rPr>
          <w:rFonts w:hint="eastAsia" w:ascii="宋体" w:hAnsi="宋体" w:eastAsia="宋体" w:cs="宋体"/>
          <w:b w:val="0"/>
          <w:bCs/>
          <w:color w:val="auto"/>
          <w:sz w:val="24"/>
        </w:rPr>
        <w:t>★营业执照、组织机构代码证、税务登记证（或三证合一的营业执照）</w:t>
      </w:r>
      <w:bookmarkEnd w:id="64"/>
    </w:p>
    <w:p>
      <w:pPr>
        <w:pStyle w:val="136"/>
        <w:spacing w:line="360" w:lineRule="auto"/>
        <w:outlineLvl w:val="2"/>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4"/>
        </w:rPr>
        <w:t>★</w:t>
      </w:r>
      <w:r>
        <w:rPr>
          <w:rFonts w:hint="eastAsia" w:ascii="宋体" w:hAnsi="宋体" w:eastAsia="宋体" w:cs="宋体"/>
          <w:b w:val="0"/>
          <w:bCs/>
          <w:color w:val="auto"/>
          <w:sz w:val="24"/>
          <w:lang w:val="en-US" w:eastAsia="zh-CN"/>
        </w:rPr>
        <w:t>资质证书</w:t>
      </w:r>
    </w:p>
    <w:p>
      <w:pPr>
        <w:pStyle w:val="171"/>
        <w:spacing w:line="360" w:lineRule="auto"/>
        <w:outlineLvl w:val="2"/>
        <w:rPr>
          <w:rFonts w:ascii="宋体" w:hAnsi="宋体" w:eastAsia="宋体" w:cs="宋体"/>
          <w:b w:val="0"/>
          <w:bCs/>
          <w:color w:val="auto"/>
          <w:sz w:val="24"/>
        </w:rPr>
      </w:pPr>
      <w:bookmarkStart w:id="65" w:name="_Toc5625"/>
      <w:r>
        <w:rPr>
          <w:rFonts w:hint="eastAsia" w:ascii="宋体" w:hAnsi="宋体" w:eastAsia="宋体" w:cs="宋体"/>
          <w:b w:val="0"/>
          <w:bCs/>
          <w:color w:val="auto"/>
          <w:sz w:val="24"/>
        </w:rPr>
        <w:t>★近三年（2018、2019、2020）审计报告</w:t>
      </w:r>
    </w:p>
    <w:p>
      <w:pPr>
        <w:pStyle w:val="171"/>
        <w:spacing w:line="360" w:lineRule="auto"/>
        <w:outlineLvl w:val="2"/>
        <w:rPr>
          <w:rFonts w:ascii="宋体" w:hAnsi="宋体" w:eastAsia="宋体" w:cs="宋体"/>
          <w:b w:val="0"/>
          <w:bCs/>
          <w:color w:val="auto"/>
          <w:sz w:val="24"/>
        </w:rPr>
      </w:pPr>
      <w:r>
        <w:rPr>
          <w:rFonts w:hint="eastAsia" w:ascii="宋体" w:hAnsi="宋体" w:eastAsia="宋体" w:cs="宋体"/>
          <w:b w:val="0"/>
          <w:bCs/>
          <w:color w:val="auto"/>
          <w:sz w:val="24"/>
        </w:rPr>
        <w:t>★</w:t>
      </w:r>
      <w:bookmarkEnd w:id="65"/>
      <w:r>
        <w:rPr>
          <w:rFonts w:hint="eastAsia" w:ascii="宋体" w:hAnsi="宋体" w:eastAsia="宋体" w:cs="宋体"/>
          <w:b w:val="0"/>
          <w:bCs/>
          <w:color w:val="auto"/>
          <w:sz w:val="24"/>
        </w:rPr>
        <w:t>汇款凭证或投标保证金收据（以采购代理公司出具为准）</w:t>
      </w:r>
    </w:p>
    <w:p>
      <w:pPr>
        <w:pStyle w:val="171"/>
        <w:spacing w:line="360" w:lineRule="auto"/>
        <w:outlineLvl w:val="2"/>
        <w:rPr>
          <w:rFonts w:ascii="宋体" w:hAnsi="宋体" w:eastAsia="宋体" w:cs="宋体"/>
          <w:b w:val="0"/>
          <w:bCs/>
          <w:color w:val="auto"/>
          <w:sz w:val="24"/>
        </w:rPr>
      </w:pPr>
      <w:bookmarkStart w:id="66" w:name="_Toc18070"/>
      <w:r>
        <w:rPr>
          <w:rFonts w:hint="eastAsia" w:ascii="宋体" w:hAnsi="宋体" w:eastAsia="宋体" w:cs="宋体"/>
          <w:b w:val="0"/>
          <w:bCs/>
          <w:color w:val="auto"/>
          <w:sz w:val="24"/>
        </w:rPr>
        <w:t>★“信用中国”、“中国政府采购网”网页打印件</w:t>
      </w:r>
      <w:bookmarkEnd w:id="66"/>
    </w:p>
    <w:p>
      <w:pPr>
        <w:pStyle w:val="171"/>
        <w:spacing w:line="360" w:lineRule="auto"/>
        <w:outlineLvl w:val="2"/>
        <w:rPr>
          <w:rFonts w:ascii="宋体" w:hAnsi="宋体" w:eastAsia="宋体" w:cs="宋体"/>
          <w:bCs/>
          <w:color w:val="auto"/>
          <w:sz w:val="24"/>
        </w:rPr>
      </w:pPr>
      <w:r>
        <w:rPr>
          <w:rFonts w:hint="eastAsia" w:ascii="宋体" w:hAnsi="宋体" w:eastAsia="宋体" w:cs="宋体"/>
          <w:bCs/>
          <w:color w:val="auto"/>
          <w:sz w:val="24"/>
        </w:rPr>
        <w:t>供应商认为有必要提供其他材料（如有）</w:t>
      </w:r>
    </w:p>
    <w:p>
      <w:pPr>
        <w:pStyle w:val="171"/>
        <w:spacing w:line="360" w:lineRule="auto"/>
        <w:outlineLvl w:val="2"/>
        <w:rPr>
          <w:rFonts w:ascii="宋体" w:hAnsi="宋体" w:eastAsia="宋体" w:cs="宋体"/>
          <w:bCs/>
          <w:color w:val="auto"/>
          <w:sz w:val="24"/>
        </w:rPr>
      </w:pPr>
    </w:p>
    <w:p>
      <w:pPr>
        <w:pStyle w:val="67"/>
        <w:spacing w:line="360" w:lineRule="auto"/>
        <w:ind w:right="-97"/>
        <w:jc w:val="center"/>
        <w:rPr>
          <w:b/>
          <w:color w:val="auto"/>
          <w:sz w:val="24"/>
        </w:rPr>
      </w:pPr>
      <w:r>
        <w:rPr>
          <w:rFonts w:hint="eastAsia"/>
          <w:b/>
          <w:color w:val="auto"/>
          <w:sz w:val="24"/>
        </w:rPr>
        <w:t>中小企业声明函</w:t>
      </w:r>
    </w:p>
    <w:p>
      <w:pPr>
        <w:pStyle w:val="66"/>
        <w:spacing w:line="360" w:lineRule="auto"/>
        <w:ind w:left="0" w:leftChars="0" w:firstLine="0" w:firstLineChars="0"/>
        <w:rPr>
          <w:rFonts w:ascii="黑体"/>
          <w:bCs/>
          <w:color w:val="auto"/>
          <w:u w:val="single"/>
        </w:rPr>
      </w:pPr>
      <w:r>
        <w:rPr>
          <w:rFonts w:hint="eastAsia"/>
          <w:color w:val="auto"/>
        </w:rPr>
        <w:t>项目编号：</w:t>
      </w:r>
      <w:r>
        <w:rPr>
          <w:rFonts w:hint="eastAsia"/>
          <w:color w:val="auto"/>
          <w:u w:val="single"/>
        </w:rPr>
        <w:t xml:space="preserve">                 </w:t>
      </w:r>
    </w:p>
    <w:p>
      <w:pPr>
        <w:pStyle w:val="67"/>
        <w:spacing w:line="360" w:lineRule="auto"/>
        <w:ind w:firstLine="504" w:firstLineChars="200"/>
        <w:rPr>
          <w:rFonts w:ascii="宋体" w:hAnsi="宋体"/>
          <w:color w:val="auto"/>
          <w:spacing w:val="6"/>
          <w:sz w:val="24"/>
        </w:rPr>
      </w:pPr>
      <w:r>
        <w:rPr>
          <w:rFonts w:hint="eastAsia" w:ascii="宋体" w:hAnsi="宋体"/>
          <w:color w:val="auto"/>
          <w:spacing w:val="6"/>
          <w:sz w:val="24"/>
        </w:rPr>
        <w:t>本公司郑重声明，根据《政府采购促进中小企业发展暂行办法》（财库[2011]181号）的规定，本公司为______（请填写：中型、小型、微型）企业。即，本公司同时满足以下条件：</w:t>
      </w:r>
    </w:p>
    <w:p>
      <w:pPr>
        <w:pStyle w:val="67"/>
        <w:spacing w:line="360" w:lineRule="auto"/>
        <w:ind w:firstLine="504" w:firstLineChars="200"/>
        <w:rPr>
          <w:rFonts w:ascii="宋体" w:hAnsi="宋体"/>
          <w:color w:val="auto"/>
          <w:spacing w:val="6"/>
          <w:sz w:val="24"/>
        </w:rPr>
      </w:pPr>
      <w:r>
        <w:rPr>
          <w:rFonts w:hint="eastAsia" w:ascii="宋体" w:hAnsi="宋体"/>
          <w:color w:val="auto"/>
          <w:spacing w:val="6"/>
          <w:sz w:val="24"/>
        </w:rPr>
        <w:t>1.根据《工业和信息化部、国家统计局、国家发展和改革委员会、财政部关于印发中小企业划型标准规定的通知》（工信部联企业[2011]300号）规定的划分标准，本公司为______（请填写：中型、小型、微型）企业。</w:t>
      </w:r>
    </w:p>
    <w:p>
      <w:pPr>
        <w:pStyle w:val="67"/>
        <w:spacing w:line="360" w:lineRule="auto"/>
        <w:ind w:firstLine="504" w:firstLineChars="200"/>
        <w:rPr>
          <w:rFonts w:ascii="宋体" w:hAnsi="宋体"/>
          <w:color w:val="auto"/>
          <w:spacing w:val="6"/>
          <w:sz w:val="24"/>
        </w:rPr>
      </w:pPr>
      <w:r>
        <w:rPr>
          <w:rFonts w:hint="eastAsia" w:ascii="宋体" w:hAnsi="宋体"/>
          <w:color w:val="auto"/>
          <w:spacing w:val="6"/>
          <w:sz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pStyle w:val="67"/>
        <w:spacing w:line="360" w:lineRule="auto"/>
        <w:ind w:firstLine="504" w:firstLineChars="200"/>
        <w:rPr>
          <w:rFonts w:ascii="宋体" w:hAnsi="宋体"/>
          <w:color w:val="auto"/>
          <w:spacing w:val="6"/>
          <w:sz w:val="24"/>
        </w:rPr>
      </w:pPr>
      <w:r>
        <w:rPr>
          <w:rFonts w:hint="eastAsia" w:ascii="宋体" w:hAnsi="宋体"/>
          <w:color w:val="auto"/>
          <w:spacing w:val="6"/>
          <w:sz w:val="24"/>
        </w:rPr>
        <w:t>本公司对上述声明的真实性负责。如有虚假，将依法承担相应责任。</w:t>
      </w:r>
    </w:p>
    <w:p>
      <w:pPr>
        <w:pStyle w:val="67"/>
        <w:spacing w:line="360" w:lineRule="auto"/>
        <w:ind w:firstLine="5040" w:firstLineChars="2100"/>
        <w:rPr>
          <w:color w:val="auto"/>
          <w:sz w:val="24"/>
        </w:rPr>
      </w:pPr>
    </w:p>
    <w:p>
      <w:pPr>
        <w:pStyle w:val="67"/>
        <w:spacing w:line="360" w:lineRule="auto"/>
        <w:ind w:firstLine="5040" w:firstLineChars="2100"/>
        <w:rPr>
          <w:color w:val="auto"/>
          <w:sz w:val="24"/>
        </w:rPr>
      </w:pPr>
      <w:r>
        <w:rPr>
          <w:rFonts w:hint="eastAsia"/>
          <w:color w:val="auto"/>
          <w:sz w:val="24"/>
          <w:lang w:eastAsia="zh-CN"/>
        </w:rPr>
        <w:t>供应商</w:t>
      </w:r>
      <w:r>
        <w:rPr>
          <w:rFonts w:hint="eastAsia"/>
          <w:color w:val="auto"/>
          <w:sz w:val="24"/>
        </w:rPr>
        <w:t>名称（加盖公章）：</w:t>
      </w:r>
    </w:p>
    <w:p>
      <w:pPr>
        <w:pStyle w:val="67"/>
        <w:spacing w:line="360" w:lineRule="auto"/>
        <w:ind w:firstLine="6000" w:firstLineChars="2500"/>
        <w:rPr>
          <w:color w:val="auto"/>
          <w:sz w:val="24"/>
        </w:rPr>
      </w:pPr>
      <w:r>
        <w:rPr>
          <w:rFonts w:hint="eastAsia"/>
          <w:color w:val="auto"/>
          <w:sz w:val="24"/>
        </w:rPr>
        <w:t>年   月   日</w:t>
      </w:r>
    </w:p>
    <w:p>
      <w:pPr>
        <w:pStyle w:val="91"/>
        <w:ind w:right="-88"/>
        <w:jc w:val="left"/>
        <w:rPr>
          <w:rFonts w:hint="eastAsia" w:ascii="宋体" w:hAnsi="宋体" w:cs="宋体"/>
          <w:b/>
          <w:bCs/>
          <w:color w:val="auto"/>
          <w:sz w:val="24"/>
        </w:rPr>
      </w:pPr>
    </w:p>
    <w:p>
      <w:pPr>
        <w:pStyle w:val="91"/>
        <w:ind w:right="-88"/>
        <w:jc w:val="left"/>
        <w:rPr>
          <w:rFonts w:ascii="宋体" w:hAnsi="宋体" w:cs="宋体"/>
          <w:b/>
          <w:bCs/>
          <w:color w:val="auto"/>
          <w:sz w:val="24"/>
        </w:rPr>
      </w:pPr>
      <w:r>
        <w:rPr>
          <w:rFonts w:hint="eastAsia" w:ascii="宋体" w:hAnsi="宋体" w:cs="宋体"/>
          <w:b/>
          <w:bCs/>
          <w:color w:val="auto"/>
          <w:sz w:val="24"/>
        </w:rPr>
        <w:t>注：如</w:t>
      </w:r>
      <w:r>
        <w:rPr>
          <w:rFonts w:hint="eastAsia" w:ascii="宋体" w:hAnsi="宋体" w:cs="宋体"/>
          <w:b/>
          <w:bCs/>
          <w:color w:val="auto"/>
          <w:sz w:val="24"/>
          <w:lang w:eastAsia="zh-CN"/>
        </w:rPr>
        <w:t>供应商</w:t>
      </w:r>
      <w:r>
        <w:rPr>
          <w:rFonts w:hint="eastAsia" w:ascii="宋体" w:hAnsi="宋体" w:cs="宋体"/>
          <w:b/>
          <w:bCs/>
          <w:color w:val="auto"/>
          <w:sz w:val="24"/>
        </w:rPr>
        <w:t>是中小微企业，须提供国家企业信用信息公示系统（http://www.gsxt.gov.cn/index.html）（http://xwqy.gsxt.gov.cn/）网站中查询的小微企业名录网络截图；</w:t>
      </w:r>
      <w:r>
        <w:rPr>
          <w:rFonts w:hint="eastAsia" w:ascii="宋体" w:hAnsi="宋体" w:cs="宋体"/>
          <w:b/>
          <w:bCs/>
          <w:color w:val="auto"/>
          <w:sz w:val="24"/>
          <w:lang w:eastAsia="zh-CN"/>
        </w:rPr>
        <w:t>供应商</w:t>
      </w:r>
      <w:r>
        <w:rPr>
          <w:rFonts w:hint="eastAsia" w:ascii="宋体" w:hAnsi="宋体" w:cs="宋体"/>
          <w:b/>
          <w:bCs/>
          <w:color w:val="auto"/>
          <w:sz w:val="24"/>
        </w:rPr>
        <w:t>为代理商的，其代理产品的制造商也必须为小型、微型企业，需同时提供其国家企业信用信息公示系统网站中查询的小微企业名录网络截图。如未附明确的小微企业名录，将不按小型、微型企业处理。如已附网络截图但有虚假，将按无效标处理。如</w:t>
      </w:r>
      <w:r>
        <w:rPr>
          <w:rFonts w:hint="eastAsia" w:ascii="宋体" w:hAnsi="宋体" w:cs="宋体"/>
          <w:b/>
          <w:bCs/>
          <w:color w:val="auto"/>
          <w:sz w:val="24"/>
          <w:lang w:eastAsia="zh-CN"/>
        </w:rPr>
        <w:t>供应商</w:t>
      </w:r>
      <w:r>
        <w:rPr>
          <w:rFonts w:hint="eastAsia" w:ascii="宋体" w:hAnsi="宋体" w:cs="宋体"/>
          <w:b/>
          <w:bCs/>
          <w:color w:val="auto"/>
          <w:sz w:val="24"/>
        </w:rPr>
        <w:t>不是中小微企业，以上内容请填写“/”。</w:t>
      </w:r>
    </w:p>
    <w:p>
      <w:pPr>
        <w:pStyle w:val="69"/>
        <w:tabs>
          <w:tab w:val="left" w:pos="8786"/>
        </w:tabs>
        <w:spacing w:after="0" w:line="360" w:lineRule="auto"/>
        <w:jc w:val="center"/>
        <w:rPr>
          <w:rFonts w:ascii="宋体" w:hAnsi="宋体" w:cs="宋体"/>
          <w:color w:val="auto"/>
          <w:sz w:val="24"/>
        </w:rPr>
      </w:pPr>
      <w:r>
        <w:rPr>
          <w:rFonts w:hint="eastAsia" w:ascii="宋体" w:hAnsi="宋体" w:cs="宋体"/>
          <w:color w:val="auto"/>
          <w:sz w:val="24"/>
        </w:rPr>
        <w:br w:type="page"/>
      </w:r>
      <w:r>
        <w:rPr>
          <w:rFonts w:hint="eastAsia" w:ascii="宋体" w:hAnsi="宋体" w:cs="宋体"/>
          <w:b/>
          <w:color w:val="auto"/>
          <w:sz w:val="24"/>
        </w:rPr>
        <w:t>★201</w:t>
      </w:r>
      <w:r>
        <w:rPr>
          <w:rFonts w:hint="eastAsia" w:ascii="宋体" w:hAnsi="宋体" w:cs="宋体"/>
          <w:b/>
          <w:color w:val="auto"/>
          <w:sz w:val="24"/>
          <w:lang w:val="en-US" w:eastAsia="zh-CN"/>
        </w:rPr>
        <w:t>9</w:t>
      </w:r>
      <w:r>
        <w:rPr>
          <w:rFonts w:hint="eastAsia" w:ascii="宋体" w:hAnsi="宋体" w:cs="宋体"/>
          <w:b/>
          <w:color w:val="auto"/>
          <w:sz w:val="24"/>
        </w:rPr>
        <w:t>年1月1日起至今类似项目业绩</w:t>
      </w:r>
    </w:p>
    <w:p>
      <w:pPr>
        <w:pStyle w:val="107"/>
        <w:adjustRightInd w:val="0"/>
        <w:snapToGrid w:val="0"/>
        <w:spacing w:line="500" w:lineRule="exact"/>
        <w:rPr>
          <w:rFonts w:ascii="宋体" w:hAnsi="宋体" w:cs="宋体"/>
          <w:color w:val="auto"/>
          <w:sz w:val="24"/>
          <w:szCs w:val="24"/>
        </w:rPr>
      </w:pPr>
      <w:r>
        <w:rPr>
          <w:rFonts w:hint="eastAsia" w:ascii="宋体" w:hAnsi="宋体" w:cs="宋体"/>
          <w:color w:val="auto"/>
          <w:sz w:val="24"/>
          <w:szCs w:val="24"/>
        </w:rPr>
        <w:t>项目名称：</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pPr>
        <w:pStyle w:val="107"/>
        <w:adjustRightInd w:val="0"/>
        <w:snapToGrid w:val="0"/>
        <w:spacing w:line="500" w:lineRule="exact"/>
        <w:rPr>
          <w:rFonts w:ascii="宋体" w:hAnsi="宋体" w:cs="宋体"/>
          <w:color w:val="auto"/>
          <w:sz w:val="24"/>
          <w:szCs w:val="24"/>
          <w:u w:val="single"/>
        </w:rPr>
      </w:pPr>
      <w:r>
        <w:rPr>
          <w:rFonts w:hint="eastAsia" w:ascii="宋体" w:hAnsi="宋体" w:cs="宋体"/>
          <w:color w:val="auto"/>
          <w:sz w:val="24"/>
          <w:szCs w:val="24"/>
        </w:rPr>
        <w:t>项目编号：</w:t>
      </w:r>
      <w:r>
        <w:rPr>
          <w:rFonts w:hint="eastAsia" w:ascii="宋体" w:hAnsi="宋体" w:cs="宋体"/>
          <w:color w:val="auto"/>
          <w:sz w:val="24"/>
          <w:szCs w:val="24"/>
          <w:u w:val="single"/>
        </w:rPr>
        <w:t xml:space="preserve">                              </w:t>
      </w:r>
    </w:p>
    <w:p>
      <w:pPr>
        <w:pStyle w:val="107"/>
        <w:adjustRightInd w:val="0"/>
        <w:snapToGrid w:val="0"/>
        <w:spacing w:line="500" w:lineRule="exact"/>
        <w:rPr>
          <w:rFonts w:ascii="宋体" w:hAnsi="宋体" w:cs="宋体"/>
          <w:color w:val="auto"/>
          <w:sz w:val="24"/>
          <w:szCs w:val="24"/>
          <w:u w:val="single"/>
        </w:rPr>
      </w:pP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08" w:type="dxa"/>
            <w:vAlign w:val="center"/>
          </w:tcPr>
          <w:p>
            <w:pPr>
              <w:pStyle w:val="107"/>
              <w:jc w:val="center"/>
              <w:rPr>
                <w:rFonts w:ascii="宋体" w:hAnsi="宋体" w:cs="宋体"/>
                <w:color w:val="auto"/>
                <w:sz w:val="24"/>
                <w:szCs w:val="24"/>
              </w:rPr>
            </w:pPr>
            <w:r>
              <w:rPr>
                <w:rFonts w:hint="eastAsia" w:ascii="宋体" w:hAnsi="宋体" w:cs="宋体"/>
                <w:color w:val="auto"/>
                <w:sz w:val="24"/>
                <w:szCs w:val="24"/>
              </w:rPr>
              <w:t>项目名称</w:t>
            </w:r>
          </w:p>
        </w:tc>
        <w:tc>
          <w:tcPr>
            <w:tcW w:w="7200" w:type="dxa"/>
          </w:tcPr>
          <w:p>
            <w:pPr>
              <w:pStyle w:val="107"/>
              <w:tabs>
                <w:tab w:val="left" w:pos="2265"/>
              </w:tabs>
              <w:rPr>
                <w:rFonts w:ascii="宋体" w:hAnsi="宋体" w:cs="宋体"/>
                <w:color w:val="auto"/>
                <w:sz w:val="24"/>
                <w:szCs w:val="24"/>
              </w:rPr>
            </w:pPr>
            <w:r>
              <w:rPr>
                <w:rFonts w:hint="eastAsia" w:ascii="宋体" w:hAnsi="宋体" w:cs="宋体"/>
                <w:color w:val="auto"/>
                <w:sz w:val="24"/>
                <w:szCs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908" w:type="dxa"/>
            <w:vAlign w:val="center"/>
          </w:tcPr>
          <w:p>
            <w:pPr>
              <w:pStyle w:val="107"/>
              <w:jc w:val="center"/>
              <w:rPr>
                <w:rFonts w:ascii="宋体" w:hAnsi="宋体" w:cs="宋体"/>
                <w:color w:val="auto"/>
                <w:sz w:val="24"/>
                <w:szCs w:val="24"/>
              </w:rPr>
            </w:pPr>
            <w:r>
              <w:rPr>
                <w:rFonts w:hint="eastAsia" w:ascii="宋体" w:hAnsi="宋体" w:cs="宋体"/>
                <w:color w:val="auto"/>
                <w:sz w:val="24"/>
                <w:szCs w:val="24"/>
              </w:rPr>
              <w:t>项目单位名称</w:t>
            </w:r>
          </w:p>
        </w:tc>
        <w:tc>
          <w:tcPr>
            <w:tcW w:w="7200" w:type="dxa"/>
          </w:tcPr>
          <w:p>
            <w:pPr>
              <w:pStyle w:val="107"/>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908" w:type="dxa"/>
            <w:vAlign w:val="center"/>
          </w:tcPr>
          <w:p>
            <w:pPr>
              <w:pStyle w:val="107"/>
              <w:jc w:val="center"/>
              <w:rPr>
                <w:rFonts w:ascii="宋体" w:hAnsi="宋体" w:cs="宋体"/>
                <w:color w:val="auto"/>
                <w:sz w:val="24"/>
                <w:szCs w:val="24"/>
              </w:rPr>
            </w:pPr>
            <w:r>
              <w:rPr>
                <w:rFonts w:hint="eastAsia" w:ascii="宋体" w:hAnsi="宋体" w:cs="宋体"/>
                <w:color w:val="auto"/>
                <w:sz w:val="24"/>
                <w:szCs w:val="24"/>
              </w:rPr>
              <w:t>项目单位联系人姓名及联系方式</w:t>
            </w:r>
          </w:p>
        </w:tc>
        <w:tc>
          <w:tcPr>
            <w:tcW w:w="7200" w:type="dxa"/>
          </w:tcPr>
          <w:p>
            <w:pPr>
              <w:pStyle w:val="107"/>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908" w:type="dxa"/>
            <w:vAlign w:val="center"/>
          </w:tcPr>
          <w:p>
            <w:pPr>
              <w:pStyle w:val="107"/>
              <w:jc w:val="center"/>
              <w:rPr>
                <w:rFonts w:ascii="宋体" w:hAnsi="宋体" w:cs="宋体"/>
                <w:color w:val="auto"/>
                <w:sz w:val="24"/>
                <w:szCs w:val="24"/>
              </w:rPr>
            </w:pPr>
            <w:r>
              <w:rPr>
                <w:rFonts w:hint="eastAsia" w:ascii="宋体" w:hAnsi="宋体" w:cs="宋体"/>
                <w:color w:val="auto"/>
                <w:sz w:val="24"/>
                <w:szCs w:val="24"/>
              </w:rPr>
              <w:t>合同金额</w:t>
            </w:r>
          </w:p>
        </w:tc>
        <w:tc>
          <w:tcPr>
            <w:tcW w:w="7200" w:type="dxa"/>
          </w:tcPr>
          <w:p>
            <w:pPr>
              <w:pStyle w:val="107"/>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908" w:type="dxa"/>
            <w:vAlign w:val="center"/>
          </w:tcPr>
          <w:p>
            <w:pPr>
              <w:pStyle w:val="107"/>
              <w:jc w:val="center"/>
              <w:rPr>
                <w:rFonts w:ascii="宋体" w:hAnsi="宋体" w:cs="宋体"/>
                <w:color w:val="auto"/>
                <w:sz w:val="24"/>
                <w:szCs w:val="24"/>
              </w:rPr>
            </w:pPr>
            <w:r>
              <w:rPr>
                <w:rFonts w:hint="eastAsia" w:ascii="宋体" w:hAnsi="宋体" w:cs="宋体"/>
                <w:color w:val="auto"/>
                <w:sz w:val="24"/>
                <w:szCs w:val="24"/>
              </w:rPr>
              <w:t>项目负责人</w:t>
            </w:r>
          </w:p>
          <w:p>
            <w:pPr>
              <w:pStyle w:val="107"/>
              <w:jc w:val="center"/>
              <w:rPr>
                <w:rFonts w:ascii="宋体" w:hAnsi="宋体" w:cs="宋体"/>
                <w:color w:val="auto"/>
                <w:sz w:val="24"/>
                <w:szCs w:val="24"/>
              </w:rPr>
            </w:pPr>
            <w:r>
              <w:rPr>
                <w:rFonts w:hint="eastAsia" w:ascii="宋体" w:hAnsi="宋体" w:cs="宋体"/>
                <w:color w:val="auto"/>
                <w:sz w:val="24"/>
                <w:szCs w:val="24"/>
              </w:rPr>
              <w:t>姓名</w:t>
            </w:r>
          </w:p>
        </w:tc>
        <w:tc>
          <w:tcPr>
            <w:tcW w:w="7200" w:type="dxa"/>
          </w:tcPr>
          <w:p>
            <w:pPr>
              <w:pStyle w:val="107"/>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908" w:type="dxa"/>
            <w:vAlign w:val="center"/>
          </w:tcPr>
          <w:p>
            <w:pPr>
              <w:pStyle w:val="107"/>
              <w:jc w:val="center"/>
              <w:rPr>
                <w:rFonts w:ascii="宋体" w:hAnsi="宋体" w:cs="宋体"/>
                <w:color w:val="auto"/>
                <w:sz w:val="24"/>
                <w:szCs w:val="24"/>
              </w:rPr>
            </w:pPr>
            <w:r>
              <w:rPr>
                <w:rFonts w:hint="eastAsia" w:ascii="宋体" w:hAnsi="宋体" w:cs="宋体"/>
                <w:color w:val="auto"/>
                <w:sz w:val="24"/>
                <w:szCs w:val="24"/>
              </w:rPr>
              <w:t>项目实施时间</w:t>
            </w:r>
          </w:p>
        </w:tc>
        <w:tc>
          <w:tcPr>
            <w:tcW w:w="7200" w:type="dxa"/>
          </w:tcPr>
          <w:p>
            <w:pPr>
              <w:pStyle w:val="107"/>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1908" w:type="dxa"/>
            <w:vAlign w:val="center"/>
          </w:tcPr>
          <w:p>
            <w:pPr>
              <w:pStyle w:val="107"/>
              <w:jc w:val="center"/>
              <w:rPr>
                <w:rFonts w:ascii="宋体" w:hAnsi="宋体" w:cs="宋体"/>
                <w:color w:val="auto"/>
                <w:sz w:val="24"/>
                <w:szCs w:val="24"/>
              </w:rPr>
            </w:pPr>
            <w:r>
              <w:rPr>
                <w:rFonts w:hint="eastAsia" w:ascii="宋体" w:hAnsi="宋体" w:cs="宋体"/>
                <w:color w:val="auto"/>
                <w:sz w:val="24"/>
                <w:szCs w:val="24"/>
              </w:rPr>
              <w:t>项目内容说明</w:t>
            </w:r>
          </w:p>
        </w:tc>
        <w:tc>
          <w:tcPr>
            <w:tcW w:w="7200" w:type="dxa"/>
          </w:tcPr>
          <w:p>
            <w:pPr>
              <w:pStyle w:val="107"/>
              <w:jc w:val="center"/>
              <w:rPr>
                <w:rFonts w:ascii="宋体" w:hAnsi="宋体" w:cs="宋体"/>
                <w:color w:val="auto"/>
                <w:sz w:val="24"/>
                <w:szCs w:val="24"/>
              </w:rPr>
            </w:pPr>
          </w:p>
        </w:tc>
      </w:tr>
    </w:tbl>
    <w:p>
      <w:pPr>
        <w:pStyle w:val="107"/>
        <w:autoSpaceDE w:val="0"/>
        <w:autoSpaceDN w:val="0"/>
        <w:spacing w:line="360" w:lineRule="auto"/>
        <w:rPr>
          <w:rFonts w:ascii="宋体" w:hAnsi="宋体" w:cs="宋体"/>
          <w:color w:val="auto"/>
          <w:sz w:val="24"/>
          <w:szCs w:val="24"/>
        </w:rPr>
      </w:pPr>
      <w:r>
        <w:rPr>
          <w:rFonts w:hint="eastAsia" w:ascii="宋体" w:hAnsi="宋体" w:cs="宋体"/>
          <w:color w:val="auto"/>
          <w:sz w:val="24"/>
          <w:szCs w:val="24"/>
        </w:rPr>
        <w:t>说明：1．每个项目须单独附表，并附上相关证明材料，否则专家在评审时将不予采信；</w:t>
      </w:r>
    </w:p>
    <w:p>
      <w:pPr>
        <w:pStyle w:val="107"/>
        <w:spacing w:line="360" w:lineRule="auto"/>
        <w:ind w:firstLine="720" w:firstLineChars="300"/>
        <w:rPr>
          <w:rFonts w:ascii="宋体" w:hAnsi="宋体" w:cs="宋体"/>
          <w:color w:val="auto"/>
          <w:sz w:val="24"/>
          <w:szCs w:val="24"/>
        </w:rPr>
      </w:pPr>
      <w:r>
        <w:rPr>
          <w:rFonts w:hint="eastAsia" w:ascii="宋体" w:hAnsi="宋体" w:cs="宋体"/>
          <w:color w:val="auto"/>
          <w:sz w:val="24"/>
          <w:szCs w:val="24"/>
        </w:rPr>
        <w:t>2．项目内容请详细说明所承担的具体工作内容；</w:t>
      </w:r>
    </w:p>
    <w:p>
      <w:pPr>
        <w:pStyle w:val="107"/>
        <w:spacing w:line="360" w:lineRule="auto"/>
        <w:ind w:firstLine="720" w:firstLineChars="300"/>
        <w:rPr>
          <w:rFonts w:ascii="宋体" w:hAnsi="宋体" w:cs="宋体"/>
          <w:color w:val="auto"/>
          <w:sz w:val="24"/>
          <w:szCs w:val="24"/>
        </w:rPr>
      </w:pPr>
      <w:r>
        <w:rPr>
          <w:rFonts w:hint="eastAsia" w:ascii="宋体" w:hAnsi="宋体" w:cs="宋体"/>
          <w:color w:val="auto"/>
          <w:sz w:val="24"/>
          <w:szCs w:val="24"/>
        </w:rPr>
        <w:t>3．本表后附中标通知书或合同扫描件（</w:t>
      </w:r>
      <w:r>
        <w:rPr>
          <w:rFonts w:hint="eastAsia" w:ascii="宋体" w:hAnsi="宋体" w:cs="宋体"/>
          <w:bCs/>
          <w:color w:val="auto"/>
          <w:sz w:val="24"/>
          <w:szCs w:val="24"/>
        </w:rPr>
        <w:t>注：合同扫描件提供首页，金额页及签署页即可。</w:t>
      </w:r>
      <w:r>
        <w:rPr>
          <w:rFonts w:hint="eastAsia" w:ascii="宋体" w:hAnsi="宋体" w:cs="宋体"/>
          <w:color w:val="auto"/>
          <w:sz w:val="24"/>
          <w:szCs w:val="24"/>
        </w:rPr>
        <w:t>）。</w:t>
      </w:r>
    </w:p>
    <w:p>
      <w:pPr>
        <w:pStyle w:val="107"/>
        <w:adjustRightInd w:val="0"/>
        <w:snapToGrid w:val="0"/>
        <w:spacing w:line="500" w:lineRule="exact"/>
        <w:rPr>
          <w:rFonts w:ascii="宋体" w:hAnsi="宋体" w:cs="宋体"/>
          <w:color w:val="auto"/>
          <w:sz w:val="24"/>
          <w:szCs w:val="24"/>
        </w:rPr>
      </w:pPr>
    </w:p>
    <w:p>
      <w:pPr>
        <w:pStyle w:val="160"/>
        <w:spacing w:line="360" w:lineRule="auto"/>
        <w:ind w:firstLine="480" w:firstLineChars="200"/>
        <w:jc w:val="both"/>
        <w:rPr>
          <w:rFonts w:ascii="宋体" w:hAnsi="宋体" w:cs="宋体"/>
          <w:color w:val="auto"/>
        </w:rPr>
      </w:pPr>
      <w:r>
        <w:rPr>
          <w:rFonts w:hint="eastAsia" w:ascii="宋体" w:hAnsi="宋体" w:cs="宋体"/>
          <w:color w:val="auto"/>
        </w:rPr>
        <w:t>供应商名称：</w:t>
      </w:r>
      <w:r>
        <w:rPr>
          <w:rFonts w:hint="eastAsia" w:ascii="宋体" w:hAnsi="宋体" w:cs="宋体"/>
          <w:color w:val="auto"/>
          <w:u w:val="single"/>
        </w:rPr>
        <w:t xml:space="preserve">                        </w:t>
      </w:r>
      <w:r>
        <w:rPr>
          <w:rFonts w:hint="eastAsia" w:ascii="宋体" w:hAnsi="宋体" w:cs="宋体"/>
          <w:color w:val="auto"/>
        </w:rPr>
        <w:t>（盖章）</w:t>
      </w:r>
    </w:p>
    <w:p>
      <w:pPr>
        <w:pStyle w:val="160"/>
        <w:spacing w:line="360" w:lineRule="auto"/>
        <w:ind w:firstLine="480" w:firstLineChars="200"/>
        <w:jc w:val="both"/>
        <w:rPr>
          <w:rFonts w:ascii="宋体" w:hAnsi="宋体" w:cs="宋体"/>
          <w:color w:val="auto"/>
          <w:u w:val="single"/>
        </w:rPr>
      </w:pPr>
      <w:r>
        <w:rPr>
          <w:rFonts w:hint="eastAsia" w:ascii="宋体" w:hAnsi="宋体" w:cs="宋体"/>
          <w:color w:val="auto"/>
        </w:rPr>
        <w:t>法定代表人：</w:t>
      </w:r>
      <w:r>
        <w:rPr>
          <w:rFonts w:hint="eastAsia" w:ascii="宋体" w:hAnsi="宋体" w:cs="宋体"/>
          <w:color w:val="auto"/>
          <w:u w:val="single"/>
        </w:rPr>
        <w:t xml:space="preserve">                        </w:t>
      </w:r>
      <w:r>
        <w:rPr>
          <w:rFonts w:hint="eastAsia" w:ascii="宋体" w:hAnsi="宋体" w:cs="宋体"/>
          <w:color w:val="auto"/>
        </w:rPr>
        <w:t>（签字或盖章）</w:t>
      </w:r>
    </w:p>
    <w:p>
      <w:pPr>
        <w:pStyle w:val="160"/>
        <w:spacing w:line="360" w:lineRule="auto"/>
        <w:ind w:firstLine="480" w:firstLineChars="200"/>
        <w:jc w:val="both"/>
        <w:rPr>
          <w:rFonts w:ascii="宋体" w:hAnsi="宋体" w:cs="宋体"/>
          <w:color w:val="auto"/>
        </w:rPr>
      </w:pPr>
      <w:r>
        <w:rPr>
          <w:rFonts w:hint="eastAsia" w:ascii="宋体" w:hAnsi="宋体" w:cs="宋体"/>
          <w:color w:val="auto"/>
        </w:rPr>
        <w:t>委托代理人：</w:t>
      </w:r>
      <w:r>
        <w:rPr>
          <w:rFonts w:hint="eastAsia" w:ascii="宋体" w:hAnsi="宋体" w:cs="宋体"/>
          <w:color w:val="auto"/>
          <w:u w:val="single"/>
        </w:rPr>
        <w:t xml:space="preserve">                        </w:t>
      </w:r>
      <w:r>
        <w:rPr>
          <w:rFonts w:hint="eastAsia" w:ascii="宋体" w:hAnsi="宋体" w:cs="宋体"/>
          <w:color w:val="auto"/>
        </w:rPr>
        <w:t>（签字）</w:t>
      </w:r>
    </w:p>
    <w:p>
      <w:pPr>
        <w:pStyle w:val="159"/>
        <w:spacing w:line="360" w:lineRule="auto"/>
        <w:ind w:firstLine="480" w:firstLineChars="200"/>
        <w:jc w:val="both"/>
        <w:rPr>
          <w:rFonts w:ascii="宋体" w:hAnsi="宋体" w:cs="宋体"/>
          <w:color w:val="auto"/>
          <w:szCs w:val="20"/>
        </w:rPr>
      </w:pPr>
      <w:r>
        <w:rPr>
          <w:rFonts w:hint="eastAsia" w:ascii="宋体" w:hAnsi="宋体" w:cs="宋体"/>
          <w:color w:val="auto"/>
          <w:szCs w:val="20"/>
        </w:rPr>
        <w:t>日期：  年   月   日</w:t>
      </w:r>
    </w:p>
    <w:p>
      <w:pPr>
        <w:spacing w:line="360" w:lineRule="auto"/>
        <w:jc w:val="center"/>
        <w:rPr>
          <w:rFonts w:hint="eastAsia" w:ascii="宋体" w:hAnsi="宋体" w:eastAsia="宋体" w:cs="宋体"/>
          <w:b/>
          <w:bCs/>
          <w:color w:val="auto"/>
          <w:sz w:val="24"/>
        </w:rPr>
      </w:pPr>
      <w:r>
        <w:rPr>
          <w:rFonts w:hint="eastAsia" w:ascii="宋体" w:hAnsi="宋体" w:eastAsia="宋体" w:cs="宋体"/>
          <w:color w:val="auto"/>
          <w:sz w:val="24"/>
        </w:rPr>
        <w:br w:type="page"/>
      </w:r>
      <w:bookmarkStart w:id="67" w:name="_Toc16745"/>
      <w:r>
        <w:rPr>
          <w:rFonts w:hint="eastAsia" w:ascii="宋体" w:hAnsi="宋体" w:eastAsia="宋体" w:cs="宋体"/>
          <w:b/>
          <w:bCs/>
          <w:color w:val="auto"/>
          <w:sz w:val="24"/>
        </w:rPr>
        <w:t>★主要人员配备表</w:t>
      </w:r>
      <w:bookmarkEnd w:id="67"/>
    </w:p>
    <w:p>
      <w:pPr>
        <w:spacing w:line="360" w:lineRule="auto"/>
        <w:jc w:val="center"/>
        <w:rPr>
          <w:rFonts w:hint="eastAsia" w:ascii="宋体" w:hAnsi="宋体"/>
          <w:b/>
          <w:color w:val="auto"/>
          <w:sz w:val="24"/>
          <w:szCs w:val="24"/>
        </w:rPr>
      </w:pPr>
      <w:r>
        <w:rPr>
          <w:rFonts w:hint="eastAsia" w:ascii="宋体" w:hAnsi="宋体"/>
          <w:b/>
          <w:color w:val="auto"/>
          <w:sz w:val="24"/>
          <w:szCs w:val="24"/>
        </w:rPr>
        <w:t>项目总监</w:t>
      </w:r>
    </w:p>
    <w:p>
      <w:pPr>
        <w:numPr>
          <w:ilvl w:val="0"/>
          <w:numId w:val="0"/>
        </w:numPr>
        <w:spacing w:line="360" w:lineRule="auto"/>
        <w:ind w:leftChars="0"/>
        <w:rPr>
          <w:rFonts w:ascii="宋体" w:hAnsi="宋体"/>
          <w:color w:val="auto"/>
          <w:sz w:val="24"/>
          <w:szCs w:val="24"/>
        </w:rPr>
      </w:pPr>
      <w:r>
        <w:rPr>
          <w:rFonts w:hint="eastAsia" w:ascii="宋体" w:hAnsi="宋体"/>
          <w:color w:val="auto"/>
          <w:sz w:val="24"/>
          <w:szCs w:val="24"/>
          <w:lang w:val="en-US" w:eastAsia="zh-CN"/>
        </w:rPr>
        <w:t>1.</w:t>
      </w:r>
      <w:r>
        <w:rPr>
          <w:rFonts w:hint="eastAsia" w:ascii="宋体" w:hAnsi="宋体"/>
          <w:color w:val="auto"/>
          <w:sz w:val="24"/>
          <w:szCs w:val="24"/>
        </w:rPr>
        <w:t>项目总监在建工程应按下表提供</w:t>
      </w:r>
    </w:p>
    <w:tbl>
      <w:tblPr>
        <w:tblStyle w:val="3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1372"/>
        <w:gridCol w:w="930"/>
        <w:gridCol w:w="461"/>
        <w:gridCol w:w="1117"/>
        <w:gridCol w:w="401"/>
        <w:gridCol w:w="1339"/>
        <w:gridCol w:w="495"/>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38" w:type="dxa"/>
            <w:gridSpan w:val="9"/>
            <w:tcBorders>
              <w:top w:val="single" w:color="auto" w:sz="12" w:space="0"/>
              <w:left w:val="single" w:color="auto" w:sz="12" w:space="0"/>
              <w:right w:val="single" w:color="auto" w:sz="12" w:space="0"/>
            </w:tcBorders>
            <w:noWrap w:val="0"/>
            <w:vAlign w:val="center"/>
          </w:tcPr>
          <w:p>
            <w:pPr>
              <w:spacing w:line="360" w:lineRule="auto"/>
              <w:jc w:val="center"/>
              <w:rPr>
                <w:rFonts w:hint="eastAsia" w:ascii="宋体" w:hAnsi="宋体"/>
                <w:color w:val="auto"/>
                <w:sz w:val="24"/>
                <w:szCs w:val="24"/>
              </w:rPr>
            </w:pPr>
            <w:r>
              <w:rPr>
                <w:rFonts w:hint="eastAsia" w:ascii="宋体" w:hAnsi="宋体"/>
                <w:color w:val="auto"/>
                <w:sz w:val="24"/>
                <w:szCs w:val="24"/>
              </w:rPr>
              <w:t>总监理工程师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8" w:type="dxa"/>
            <w:tcBorders>
              <w:left w:val="single" w:color="auto" w:sz="12" w:space="0"/>
            </w:tcBorders>
            <w:noWrap w:val="0"/>
            <w:vAlign w:val="center"/>
          </w:tcPr>
          <w:p>
            <w:pPr>
              <w:spacing w:line="360" w:lineRule="auto"/>
              <w:jc w:val="center"/>
              <w:rPr>
                <w:rFonts w:hint="eastAsia" w:ascii="宋体" w:hAnsi="宋体"/>
                <w:color w:val="auto"/>
                <w:sz w:val="24"/>
                <w:szCs w:val="24"/>
              </w:rPr>
            </w:pPr>
            <w:r>
              <w:rPr>
                <w:rFonts w:hint="eastAsia" w:ascii="宋体" w:hAnsi="宋体"/>
                <w:color w:val="auto"/>
                <w:sz w:val="24"/>
                <w:szCs w:val="24"/>
              </w:rPr>
              <w:t>姓  名</w:t>
            </w:r>
          </w:p>
        </w:tc>
        <w:tc>
          <w:tcPr>
            <w:tcW w:w="1372" w:type="dxa"/>
            <w:noWrap w:val="0"/>
            <w:vAlign w:val="center"/>
          </w:tcPr>
          <w:p>
            <w:pPr>
              <w:spacing w:line="360" w:lineRule="auto"/>
              <w:jc w:val="center"/>
              <w:rPr>
                <w:rFonts w:hint="eastAsia" w:ascii="宋体" w:hAnsi="宋体"/>
                <w:color w:val="auto"/>
                <w:sz w:val="24"/>
                <w:szCs w:val="24"/>
              </w:rPr>
            </w:pPr>
          </w:p>
        </w:tc>
        <w:tc>
          <w:tcPr>
            <w:tcW w:w="1391" w:type="dxa"/>
            <w:gridSpan w:val="2"/>
            <w:noWrap w:val="0"/>
            <w:vAlign w:val="center"/>
          </w:tcPr>
          <w:p>
            <w:pPr>
              <w:spacing w:line="360" w:lineRule="auto"/>
              <w:jc w:val="center"/>
              <w:rPr>
                <w:rFonts w:hint="eastAsia" w:ascii="宋体" w:hAnsi="宋体"/>
                <w:color w:val="auto"/>
                <w:sz w:val="24"/>
                <w:szCs w:val="24"/>
              </w:rPr>
            </w:pPr>
            <w:r>
              <w:rPr>
                <w:rFonts w:hint="eastAsia" w:ascii="宋体" w:hAnsi="宋体"/>
                <w:color w:val="auto"/>
                <w:sz w:val="24"/>
                <w:szCs w:val="24"/>
              </w:rPr>
              <w:t>性  别</w:t>
            </w:r>
          </w:p>
        </w:tc>
        <w:tc>
          <w:tcPr>
            <w:tcW w:w="1518" w:type="dxa"/>
            <w:gridSpan w:val="2"/>
            <w:noWrap w:val="0"/>
            <w:vAlign w:val="center"/>
          </w:tcPr>
          <w:p>
            <w:pPr>
              <w:spacing w:line="360" w:lineRule="auto"/>
              <w:jc w:val="center"/>
              <w:rPr>
                <w:rFonts w:hint="eastAsia" w:ascii="宋体" w:hAnsi="宋体"/>
                <w:color w:val="auto"/>
                <w:sz w:val="24"/>
                <w:szCs w:val="24"/>
              </w:rPr>
            </w:pPr>
          </w:p>
        </w:tc>
        <w:tc>
          <w:tcPr>
            <w:tcW w:w="1339" w:type="dxa"/>
            <w:noWrap w:val="0"/>
            <w:vAlign w:val="center"/>
          </w:tcPr>
          <w:p>
            <w:pPr>
              <w:spacing w:line="360" w:lineRule="auto"/>
              <w:jc w:val="center"/>
              <w:rPr>
                <w:rFonts w:hint="eastAsia" w:ascii="宋体" w:hAnsi="宋体"/>
                <w:color w:val="auto"/>
                <w:sz w:val="24"/>
                <w:szCs w:val="24"/>
              </w:rPr>
            </w:pPr>
            <w:r>
              <w:rPr>
                <w:rFonts w:hint="eastAsia" w:ascii="宋体" w:hAnsi="宋体"/>
                <w:color w:val="auto"/>
                <w:sz w:val="24"/>
                <w:szCs w:val="24"/>
              </w:rPr>
              <w:t>年  龄</w:t>
            </w:r>
          </w:p>
        </w:tc>
        <w:tc>
          <w:tcPr>
            <w:tcW w:w="1830" w:type="dxa"/>
            <w:gridSpan w:val="2"/>
            <w:tcBorders>
              <w:right w:val="single" w:color="auto" w:sz="12" w:space="0"/>
            </w:tcBorders>
            <w:noWrap w:val="0"/>
            <w:vAlign w:val="center"/>
          </w:tcPr>
          <w:p>
            <w:pPr>
              <w:spacing w:line="360" w:lineRule="auto"/>
              <w:jc w:val="center"/>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8" w:type="dxa"/>
            <w:tcBorders>
              <w:left w:val="single" w:color="auto" w:sz="12" w:space="0"/>
            </w:tcBorders>
            <w:noWrap w:val="0"/>
            <w:vAlign w:val="center"/>
          </w:tcPr>
          <w:p>
            <w:pPr>
              <w:spacing w:line="360" w:lineRule="auto"/>
              <w:jc w:val="center"/>
              <w:rPr>
                <w:rFonts w:hint="eastAsia" w:ascii="宋体" w:hAnsi="宋体"/>
                <w:color w:val="auto"/>
                <w:sz w:val="24"/>
                <w:szCs w:val="24"/>
              </w:rPr>
            </w:pPr>
            <w:r>
              <w:rPr>
                <w:rFonts w:hint="eastAsia" w:ascii="宋体" w:hAnsi="宋体"/>
                <w:color w:val="auto"/>
                <w:sz w:val="24"/>
                <w:szCs w:val="24"/>
              </w:rPr>
              <w:t>职  务</w:t>
            </w:r>
          </w:p>
        </w:tc>
        <w:tc>
          <w:tcPr>
            <w:tcW w:w="1372" w:type="dxa"/>
            <w:noWrap w:val="0"/>
            <w:vAlign w:val="center"/>
          </w:tcPr>
          <w:p>
            <w:pPr>
              <w:spacing w:line="360" w:lineRule="auto"/>
              <w:jc w:val="center"/>
              <w:rPr>
                <w:rFonts w:hint="eastAsia" w:ascii="宋体" w:hAnsi="宋体"/>
                <w:color w:val="auto"/>
                <w:sz w:val="24"/>
                <w:szCs w:val="24"/>
              </w:rPr>
            </w:pPr>
          </w:p>
        </w:tc>
        <w:tc>
          <w:tcPr>
            <w:tcW w:w="1391" w:type="dxa"/>
            <w:gridSpan w:val="2"/>
            <w:noWrap w:val="0"/>
            <w:vAlign w:val="center"/>
          </w:tcPr>
          <w:p>
            <w:pPr>
              <w:spacing w:line="360" w:lineRule="auto"/>
              <w:jc w:val="center"/>
              <w:rPr>
                <w:rFonts w:hint="eastAsia" w:ascii="宋体" w:hAnsi="宋体"/>
                <w:color w:val="auto"/>
                <w:sz w:val="24"/>
                <w:szCs w:val="24"/>
              </w:rPr>
            </w:pPr>
            <w:r>
              <w:rPr>
                <w:rFonts w:hint="eastAsia" w:ascii="宋体" w:hAnsi="宋体"/>
                <w:color w:val="auto"/>
                <w:sz w:val="24"/>
                <w:szCs w:val="24"/>
              </w:rPr>
              <w:t>职  称</w:t>
            </w:r>
          </w:p>
        </w:tc>
        <w:tc>
          <w:tcPr>
            <w:tcW w:w="1518" w:type="dxa"/>
            <w:gridSpan w:val="2"/>
            <w:noWrap w:val="0"/>
            <w:vAlign w:val="center"/>
          </w:tcPr>
          <w:p>
            <w:pPr>
              <w:spacing w:line="360" w:lineRule="auto"/>
              <w:jc w:val="center"/>
              <w:rPr>
                <w:rFonts w:hint="eastAsia" w:ascii="宋体" w:hAnsi="宋体"/>
                <w:color w:val="auto"/>
                <w:sz w:val="24"/>
                <w:szCs w:val="24"/>
              </w:rPr>
            </w:pPr>
          </w:p>
        </w:tc>
        <w:tc>
          <w:tcPr>
            <w:tcW w:w="1339" w:type="dxa"/>
            <w:noWrap w:val="0"/>
            <w:vAlign w:val="center"/>
          </w:tcPr>
          <w:p>
            <w:pPr>
              <w:spacing w:line="360" w:lineRule="auto"/>
              <w:jc w:val="center"/>
              <w:rPr>
                <w:rFonts w:hint="eastAsia" w:ascii="宋体" w:hAnsi="宋体"/>
                <w:color w:val="auto"/>
                <w:sz w:val="24"/>
                <w:szCs w:val="24"/>
              </w:rPr>
            </w:pPr>
            <w:r>
              <w:rPr>
                <w:rFonts w:hint="eastAsia" w:ascii="宋体" w:hAnsi="宋体"/>
                <w:color w:val="auto"/>
                <w:sz w:val="24"/>
                <w:szCs w:val="24"/>
              </w:rPr>
              <w:t>学  历</w:t>
            </w:r>
          </w:p>
        </w:tc>
        <w:tc>
          <w:tcPr>
            <w:tcW w:w="1830" w:type="dxa"/>
            <w:gridSpan w:val="2"/>
            <w:tcBorders>
              <w:right w:val="single" w:color="auto" w:sz="12" w:space="0"/>
            </w:tcBorders>
            <w:noWrap w:val="0"/>
            <w:vAlign w:val="center"/>
          </w:tcPr>
          <w:p>
            <w:pPr>
              <w:spacing w:line="360" w:lineRule="auto"/>
              <w:jc w:val="center"/>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60" w:type="dxa"/>
            <w:gridSpan w:val="2"/>
            <w:tcBorders>
              <w:left w:val="single" w:color="auto" w:sz="12" w:space="0"/>
            </w:tcBorders>
            <w:noWrap w:val="0"/>
            <w:vAlign w:val="center"/>
          </w:tcPr>
          <w:p>
            <w:pPr>
              <w:spacing w:line="360" w:lineRule="auto"/>
              <w:ind w:firstLine="480" w:firstLineChars="200"/>
              <w:jc w:val="center"/>
              <w:rPr>
                <w:rFonts w:hint="eastAsia" w:ascii="宋体" w:hAnsi="宋体"/>
                <w:color w:val="auto"/>
                <w:sz w:val="24"/>
                <w:szCs w:val="24"/>
              </w:rPr>
            </w:pPr>
            <w:r>
              <w:rPr>
                <w:rFonts w:hint="eastAsia" w:ascii="宋体" w:hAnsi="宋体"/>
                <w:color w:val="auto"/>
                <w:sz w:val="24"/>
                <w:szCs w:val="24"/>
              </w:rPr>
              <w:t>参加工作时间</w:t>
            </w:r>
          </w:p>
        </w:tc>
        <w:tc>
          <w:tcPr>
            <w:tcW w:w="1391" w:type="dxa"/>
            <w:gridSpan w:val="2"/>
            <w:noWrap w:val="0"/>
            <w:vAlign w:val="center"/>
          </w:tcPr>
          <w:p>
            <w:pPr>
              <w:spacing w:line="360" w:lineRule="auto"/>
              <w:jc w:val="center"/>
              <w:rPr>
                <w:rFonts w:hint="eastAsia" w:ascii="宋体" w:hAnsi="宋体"/>
                <w:color w:val="auto"/>
                <w:sz w:val="24"/>
                <w:szCs w:val="24"/>
              </w:rPr>
            </w:pPr>
          </w:p>
        </w:tc>
        <w:tc>
          <w:tcPr>
            <w:tcW w:w="2857" w:type="dxa"/>
            <w:gridSpan w:val="3"/>
            <w:noWrap w:val="0"/>
            <w:vAlign w:val="center"/>
          </w:tcPr>
          <w:p>
            <w:pPr>
              <w:spacing w:line="360" w:lineRule="auto"/>
              <w:jc w:val="center"/>
              <w:rPr>
                <w:rFonts w:hint="eastAsia" w:ascii="宋体" w:hAnsi="宋体"/>
                <w:color w:val="auto"/>
                <w:sz w:val="24"/>
                <w:szCs w:val="24"/>
              </w:rPr>
            </w:pPr>
            <w:r>
              <w:rPr>
                <w:rFonts w:hint="eastAsia" w:ascii="宋体" w:hAnsi="宋体"/>
                <w:color w:val="auto"/>
                <w:sz w:val="24"/>
                <w:szCs w:val="24"/>
              </w:rPr>
              <w:t>从事项目监理年限</w:t>
            </w:r>
          </w:p>
        </w:tc>
        <w:tc>
          <w:tcPr>
            <w:tcW w:w="1830" w:type="dxa"/>
            <w:gridSpan w:val="2"/>
            <w:tcBorders>
              <w:right w:val="single" w:color="auto" w:sz="12" w:space="0"/>
            </w:tcBorders>
            <w:noWrap w:val="0"/>
            <w:vAlign w:val="center"/>
          </w:tcPr>
          <w:p>
            <w:pPr>
              <w:spacing w:line="360" w:lineRule="auto"/>
              <w:jc w:val="center"/>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60" w:type="dxa"/>
            <w:gridSpan w:val="2"/>
            <w:tcBorders>
              <w:left w:val="single" w:color="auto" w:sz="12" w:space="0"/>
            </w:tcBorders>
            <w:noWrap w:val="0"/>
            <w:vAlign w:val="center"/>
          </w:tcPr>
          <w:p>
            <w:pPr>
              <w:spacing w:line="360" w:lineRule="auto"/>
              <w:jc w:val="center"/>
              <w:rPr>
                <w:rFonts w:hint="eastAsia" w:ascii="宋体" w:hAnsi="宋体"/>
                <w:color w:val="auto"/>
                <w:sz w:val="24"/>
                <w:szCs w:val="24"/>
              </w:rPr>
            </w:pPr>
            <w:r>
              <w:rPr>
                <w:rFonts w:hint="eastAsia" w:ascii="宋体" w:hAnsi="宋体"/>
                <w:color w:val="auto"/>
                <w:sz w:val="24"/>
                <w:szCs w:val="24"/>
              </w:rPr>
              <w:t>监理注册证书注册号</w:t>
            </w:r>
          </w:p>
        </w:tc>
        <w:tc>
          <w:tcPr>
            <w:tcW w:w="6078" w:type="dxa"/>
            <w:gridSpan w:val="7"/>
            <w:tcBorders>
              <w:right w:val="single" w:color="auto" w:sz="12" w:space="0"/>
            </w:tcBorders>
            <w:noWrap w:val="0"/>
            <w:vAlign w:val="center"/>
          </w:tcPr>
          <w:p>
            <w:pPr>
              <w:spacing w:line="360" w:lineRule="auto"/>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60" w:type="dxa"/>
            <w:gridSpan w:val="2"/>
            <w:tcBorders>
              <w:left w:val="single" w:color="auto" w:sz="12" w:space="0"/>
              <w:bottom w:val="single" w:color="auto" w:sz="12" w:space="0"/>
            </w:tcBorders>
            <w:noWrap w:val="0"/>
            <w:vAlign w:val="center"/>
          </w:tcPr>
          <w:p>
            <w:pPr>
              <w:spacing w:line="360" w:lineRule="auto"/>
              <w:jc w:val="center"/>
              <w:rPr>
                <w:rFonts w:hint="eastAsia" w:ascii="宋体" w:hAnsi="宋体"/>
                <w:color w:val="auto"/>
                <w:sz w:val="24"/>
                <w:szCs w:val="24"/>
              </w:rPr>
            </w:pPr>
            <w:r>
              <w:rPr>
                <w:rFonts w:hint="eastAsia" w:ascii="宋体" w:hAnsi="宋体"/>
                <w:color w:val="auto"/>
                <w:sz w:val="24"/>
                <w:szCs w:val="24"/>
              </w:rPr>
              <w:t>注册专业</w:t>
            </w:r>
          </w:p>
        </w:tc>
        <w:tc>
          <w:tcPr>
            <w:tcW w:w="6078" w:type="dxa"/>
            <w:gridSpan w:val="7"/>
            <w:tcBorders>
              <w:bottom w:val="single" w:color="auto" w:sz="12" w:space="0"/>
              <w:right w:val="single" w:color="auto" w:sz="12" w:space="0"/>
            </w:tcBorders>
            <w:noWrap w:val="0"/>
            <w:vAlign w:val="center"/>
          </w:tcPr>
          <w:p>
            <w:pPr>
              <w:spacing w:line="360" w:lineRule="auto"/>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38" w:type="dxa"/>
            <w:gridSpan w:val="9"/>
            <w:tcBorders>
              <w:top w:val="single" w:color="auto" w:sz="12" w:space="0"/>
              <w:left w:val="single" w:color="auto" w:sz="12" w:space="0"/>
              <w:right w:val="single" w:color="auto" w:sz="12" w:space="0"/>
            </w:tcBorders>
            <w:noWrap w:val="0"/>
            <w:vAlign w:val="center"/>
          </w:tcPr>
          <w:p>
            <w:pPr>
              <w:spacing w:line="360" w:lineRule="auto"/>
              <w:jc w:val="center"/>
              <w:rPr>
                <w:rFonts w:hint="eastAsia" w:ascii="宋体" w:hAnsi="宋体"/>
                <w:color w:val="auto"/>
                <w:sz w:val="24"/>
                <w:szCs w:val="24"/>
              </w:rPr>
            </w:pPr>
            <w:r>
              <w:rPr>
                <w:rFonts w:hint="eastAsia" w:ascii="宋体" w:hAnsi="宋体"/>
                <w:color w:val="auto"/>
                <w:sz w:val="24"/>
                <w:szCs w:val="24"/>
              </w:rPr>
              <w:t>近三年承担同类或相近工程项目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8" w:type="dxa"/>
            <w:tcBorders>
              <w:left w:val="single" w:color="auto" w:sz="12" w:space="0"/>
            </w:tcBorders>
            <w:noWrap w:val="0"/>
            <w:vAlign w:val="center"/>
          </w:tcPr>
          <w:p>
            <w:pPr>
              <w:spacing w:line="360" w:lineRule="auto"/>
              <w:jc w:val="center"/>
              <w:rPr>
                <w:rFonts w:hint="eastAsia" w:ascii="宋体" w:hAnsi="宋体"/>
                <w:color w:val="auto"/>
                <w:sz w:val="24"/>
                <w:szCs w:val="24"/>
              </w:rPr>
            </w:pPr>
            <w:r>
              <w:rPr>
                <w:rFonts w:hint="eastAsia" w:ascii="宋体" w:hAnsi="宋体"/>
                <w:color w:val="auto"/>
                <w:sz w:val="24"/>
                <w:szCs w:val="24"/>
              </w:rPr>
              <w:t>建设单位</w:t>
            </w:r>
          </w:p>
        </w:tc>
        <w:tc>
          <w:tcPr>
            <w:tcW w:w="2302" w:type="dxa"/>
            <w:gridSpan w:val="2"/>
            <w:noWrap w:val="0"/>
            <w:vAlign w:val="center"/>
          </w:tcPr>
          <w:p>
            <w:pPr>
              <w:spacing w:line="360" w:lineRule="auto"/>
              <w:jc w:val="center"/>
              <w:rPr>
                <w:rFonts w:hint="eastAsia" w:ascii="宋体" w:hAnsi="宋体"/>
                <w:color w:val="auto"/>
                <w:sz w:val="24"/>
                <w:szCs w:val="24"/>
              </w:rPr>
            </w:pPr>
            <w:r>
              <w:rPr>
                <w:rFonts w:hint="eastAsia" w:ascii="宋体" w:hAnsi="宋体"/>
                <w:color w:val="auto"/>
                <w:sz w:val="24"/>
                <w:szCs w:val="24"/>
              </w:rPr>
              <w:t>项目名称</w:t>
            </w:r>
          </w:p>
        </w:tc>
        <w:tc>
          <w:tcPr>
            <w:tcW w:w="1979" w:type="dxa"/>
            <w:gridSpan w:val="3"/>
            <w:noWrap w:val="0"/>
            <w:vAlign w:val="center"/>
          </w:tcPr>
          <w:p>
            <w:pPr>
              <w:spacing w:line="360" w:lineRule="auto"/>
              <w:jc w:val="center"/>
              <w:rPr>
                <w:rFonts w:hint="eastAsia" w:ascii="宋体" w:hAnsi="宋体"/>
                <w:color w:val="auto"/>
                <w:sz w:val="24"/>
                <w:szCs w:val="24"/>
              </w:rPr>
            </w:pPr>
            <w:r>
              <w:rPr>
                <w:rFonts w:hint="eastAsia" w:ascii="宋体" w:hAnsi="宋体"/>
                <w:color w:val="auto"/>
                <w:sz w:val="24"/>
                <w:szCs w:val="24"/>
              </w:rPr>
              <w:t>建设规模</w:t>
            </w:r>
          </w:p>
        </w:tc>
        <w:tc>
          <w:tcPr>
            <w:tcW w:w="1834" w:type="dxa"/>
            <w:gridSpan w:val="2"/>
            <w:noWrap w:val="0"/>
            <w:vAlign w:val="center"/>
          </w:tcPr>
          <w:p>
            <w:pPr>
              <w:spacing w:line="360" w:lineRule="auto"/>
              <w:jc w:val="center"/>
              <w:rPr>
                <w:rFonts w:hint="eastAsia" w:ascii="宋体" w:hAnsi="宋体"/>
                <w:color w:val="auto"/>
                <w:sz w:val="24"/>
                <w:szCs w:val="24"/>
              </w:rPr>
            </w:pPr>
            <w:r>
              <w:rPr>
                <w:rFonts w:hint="eastAsia" w:ascii="宋体" w:hAnsi="宋体"/>
                <w:color w:val="auto"/>
                <w:sz w:val="24"/>
                <w:szCs w:val="24"/>
              </w:rPr>
              <w:t>竣工验收日期</w:t>
            </w:r>
          </w:p>
        </w:tc>
        <w:tc>
          <w:tcPr>
            <w:tcW w:w="1335" w:type="dxa"/>
            <w:tcBorders>
              <w:right w:val="single" w:color="auto" w:sz="12" w:space="0"/>
            </w:tcBorders>
            <w:noWrap w:val="0"/>
            <w:vAlign w:val="center"/>
          </w:tcPr>
          <w:p>
            <w:pPr>
              <w:spacing w:line="360" w:lineRule="auto"/>
              <w:jc w:val="center"/>
              <w:rPr>
                <w:rFonts w:hint="eastAsia" w:ascii="宋体" w:hAnsi="宋体"/>
                <w:color w:val="auto"/>
                <w:sz w:val="24"/>
                <w:szCs w:val="24"/>
              </w:rPr>
            </w:pPr>
            <w:r>
              <w:rPr>
                <w:rFonts w:hint="eastAsia" w:ascii="宋体" w:hAnsi="宋体"/>
                <w:color w:val="auto"/>
                <w:sz w:val="24"/>
                <w:szCs w:val="24"/>
              </w:rPr>
              <w:t>质量等级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8" w:type="dxa"/>
            <w:tcBorders>
              <w:left w:val="single" w:color="auto" w:sz="12" w:space="0"/>
            </w:tcBorders>
            <w:noWrap w:val="0"/>
            <w:vAlign w:val="center"/>
          </w:tcPr>
          <w:p>
            <w:pPr>
              <w:spacing w:line="360" w:lineRule="auto"/>
              <w:jc w:val="center"/>
              <w:rPr>
                <w:rFonts w:hint="eastAsia" w:ascii="宋体" w:hAnsi="宋体"/>
                <w:color w:val="auto"/>
                <w:sz w:val="24"/>
                <w:szCs w:val="24"/>
              </w:rPr>
            </w:pPr>
          </w:p>
        </w:tc>
        <w:tc>
          <w:tcPr>
            <w:tcW w:w="2302" w:type="dxa"/>
            <w:gridSpan w:val="2"/>
            <w:noWrap w:val="0"/>
            <w:vAlign w:val="center"/>
          </w:tcPr>
          <w:p>
            <w:pPr>
              <w:spacing w:line="360" w:lineRule="auto"/>
              <w:jc w:val="center"/>
              <w:rPr>
                <w:rFonts w:hint="eastAsia" w:ascii="宋体" w:hAnsi="宋体"/>
                <w:color w:val="auto"/>
                <w:sz w:val="24"/>
                <w:szCs w:val="24"/>
              </w:rPr>
            </w:pPr>
          </w:p>
        </w:tc>
        <w:tc>
          <w:tcPr>
            <w:tcW w:w="1979" w:type="dxa"/>
            <w:gridSpan w:val="3"/>
            <w:noWrap w:val="0"/>
            <w:vAlign w:val="center"/>
          </w:tcPr>
          <w:p>
            <w:pPr>
              <w:spacing w:line="360" w:lineRule="auto"/>
              <w:jc w:val="center"/>
              <w:rPr>
                <w:rFonts w:hint="eastAsia" w:ascii="宋体" w:hAnsi="宋体"/>
                <w:color w:val="auto"/>
                <w:sz w:val="24"/>
                <w:szCs w:val="24"/>
              </w:rPr>
            </w:pPr>
          </w:p>
        </w:tc>
        <w:tc>
          <w:tcPr>
            <w:tcW w:w="1834" w:type="dxa"/>
            <w:gridSpan w:val="2"/>
            <w:noWrap w:val="0"/>
            <w:vAlign w:val="center"/>
          </w:tcPr>
          <w:p>
            <w:pPr>
              <w:spacing w:line="360" w:lineRule="auto"/>
              <w:jc w:val="center"/>
              <w:rPr>
                <w:rFonts w:hint="eastAsia" w:ascii="宋体" w:hAnsi="宋体"/>
                <w:color w:val="auto"/>
                <w:sz w:val="24"/>
                <w:szCs w:val="24"/>
              </w:rPr>
            </w:pPr>
          </w:p>
        </w:tc>
        <w:tc>
          <w:tcPr>
            <w:tcW w:w="1335" w:type="dxa"/>
            <w:tcBorders>
              <w:right w:val="single" w:color="auto" w:sz="12" w:space="0"/>
            </w:tcBorders>
            <w:noWrap w:val="0"/>
            <w:vAlign w:val="center"/>
          </w:tcPr>
          <w:p>
            <w:pPr>
              <w:spacing w:line="360" w:lineRule="auto"/>
              <w:jc w:val="center"/>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8" w:type="dxa"/>
            <w:tcBorders>
              <w:left w:val="single" w:color="auto" w:sz="12" w:space="0"/>
            </w:tcBorders>
            <w:noWrap w:val="0"/>
            <w:vAlign w:val="center"/>
          </w:tcPr>
          <w:p>
            <w:pPr>
              <w:spacing w:line="360" w:lineRule="auto"/>
              <w:jc w:val="center"/>
              <w:rPr>
                <w:rFonts w:hint="eastAsia" w:ascii="宋体" w:hAnsi="宋体"/>
                <w:color w:val="auto"/>
                <w:sz w:val="24"/>
                <w:szCs w:val="24"/>
              </w:rPr>
            </w:pPr>
          </w:p>
        </w:tc>
        <w:tc>
          <w:tcPr>
            <w:tcW w:w="2302" w:type="dxa"/>
            <w:gridSpan w:val="2"/>
            <w:noWrap w:val="0"/>
            <w:vAlign w:val="center"/>
          </w:tcPr>
          <w:p>
            <w:pPr>
              <w:spacing w:line="360" w:lineRule="auto"/>
              <w:jc w:val="center"/>
              <w:rPr>
                <w:rFonts w:hint="eastAsia" w:ascii="宋体" w:hAnsi="宋体"/>
                <w:color w:val="auto"/>
                <w:sz w:val="24"/>
                <w:szCs w:val="24"/>
              </w:rPr>
            </w:pPr>
          </w:p>
        </w:tc>
        <w:tc>
          <w:tcPr>
            <w:tcW w:w="1979" w:type="dxa"/>
            <w:gridSpan w:val="3"/>
            <w:noWrap w:val="0"/>
            <w:vAlign w:val="center"/>
          </w:tcPr>
          <w:p>
            <w:pPr>
              <w:spacing w:line="360" w:lineRule="auto"/>
              <w:jc w:val="center"/>
              <w:rPr>
                <w:rFonts w:hint="eastAsia" w:ascii="宋体" w:hAnsi="宋体"/>
                <w:color w:val="auto"/>
                <w:sz w:val="24"/>
                <w:szCs w:val="24"/>
              </w:rPr>
            </w:pPr>
          </w:p>
        </w:tc>
        <w:tc>
          <w:tcPr>
            <w:tcW w:w="1834" w:type="dxa"/>
            <w:gridSpan w:val="2"/>
            <w:noWrap w:val="0"/>
            <w:vAlign w:val="center"/>
          </w:tcPr>
          <w:p>
            <w:pPr>
              <w:spacing w:line="360" w:lineRule="auto"/>
              <w:jc w:val="center"/>
              <w:rPr>
                <w:rFonts w:hint="eastAsia" w:ascii="宋体" w:hAnsi="宋体"/>
                <w:color w:val="auto"/>
                <w:sz w:val="24"/>
                <w:szCs w:val="24"/>
              </w:rPr>
            </w:pPr>
          </w:p>
        </w:tc>
        <w:tc>
          <w:tcPr>
            <w:tcW w:w="1335" w:type="dxa"/>
            <w:tcBorders>
              <w:right w:val="single" w:color="auto" w:sz="12" w:space="0"/>
            </w:tcBorders>
            <w:noWrap w:val="0"/>
            <w:vAlign w:val="center"/>
          </w:tcPr>
          <w:p>
            <w:pPr>
              <w:spacing w:line="360" w:lineRule="auto"/>
              <w:jc w:val="center"/>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8" w:type="dxa"/>
            <w:tcBorders>
              <w:left w:val="single" w:color="auto" w:sz="12" w:space="0"/>
            </w:tcBorders>
            <w:noWrap w:val="0"/>
            <w:vAlign w:val="center"/>
          </w:tcPr>
          <w:p>
            <w:pPr>
              <w:spacing w:line="360" w:lineRule="auto"/>
              <w:jc w:val="center"/>
              <w:rPr>
                <w:rFonts w:hint="eastAsia" w:ascii="宋体" w:hAnsi="宋体"/>
                <w:color w:val="auto"/>
                <w:sz w:val="24"/>
                <w:szCs w:val="24"/>
              </w:rPr>
            </w:pPr>
          </w:p>
        </w:tc>
        <w:tc>
          <w:tcPr>
            <w:tcW w:w="2302" w:type="dxa"/>
            <w:gridSpan w:val="2"/>
            <w:noWrap w:val="0"/>
            <w:vAlign w:val="center"/>
          </w:tcPr>
          <w:p>
            <w:pPr>
              <w:spacing w:line="360" w:lineRule="auto"/>
              <w:jc w:val="center"/>
              <w:rPr>
                <w:rFonts w:hint="eastAsia" w:ascii="宋体" w:hAnsi="宋体"/>
                <w:color w:val="auto"/>
                <w:sz w:val="24"/>
                <w:szCs w:val="24"/>
              </w:rPr>
            </w:pPr>
          </w:p>
        </w:tc>
        <w:tc>
          <w:tcPr>
            <w:tcW w:w="1979" w:type="dxa"/>
            <w:gridSpan w:val="3"/>
            <w:noWrap w:val="0"/>
            <w:vAlign w:val="center"/>
          </w:tcPr>
          <w:p>
            <w:pPr>
              <w:spacing w:line="360" w:lineRule="auto"/>
              <w:jc w:val="center"/>
              <w:rPr>
                <w:rFonts w:hint="eastAsia" w:ascii="宋体" w:hAnsi="宋体"/>
                <w:color w:val="auto"/>
                <w:sz w:val="24"/>
                <w:szCs w:val="24"/>
              </w:rPr>
            </w:pPr>
          </w:p>
        </w:tc>
        <w:tc>
          <w:tcPr>
            <w:tcW w:w="1834" w:type="dxa"/>
            <w:gridSpan w:val="2"/>
            <w:noWrap w:val="0"/>
            <w:vAlign w:val="center"/>
          </w:tcPr>
          <w:p>
            <w:pPr>
              <w:spacing w:line="360" w:lineRule="auto"/>
              <w:jc w:val="center"/>
              <w:rPr>
                <w:rFonts w:hint="eastAsia" w:ascii="宋体" w:hAnsi="宋体"/>
                <w:color w:val="auto"/>
                <w:sz w:val="24"/>
                <w:szCs w:val="24"/>
              </w:rPr>
            </w:pPr>
          </w:p>
        </w:tc>
        <w:tc>
          <w:tcPr>
            <w:tcW w:w="1335" w:type="dxa"/>
            <w:tcBorders>
              <w:right w:val="single" w:color="auto" w:sz="12" w:space="0"/>
            </w:tcBorders>
            <w:noWrap w:val="0"/>
            <w:vAlign w:val="center"/>
          </w:tcPr>
          <w:p>
            <w:pPr>
              <w:spacing w:line="360" w:lineRule="auto"/>
              <w:jc w:val="center"/>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8" w:type="dxa"/>
            <w:tcBorders>
              <w:left w:val="single" w:color="auto" w:sz="12" w:space="0"/>
              <w:bottom w:val="single" w:color="auto" w:sz="12" w:space="0"/>
            </w:tcBorders>
            <w:noWrap w:val="0"/>
            <w:vAlign w:val="center"/>
          </w:tcPr>
          <w:p>
            <w:pPr>
              <w:spacing w:line="360" w:lineRule="auto"/>
              <w:jc w:val="center"/>
              <w:rPr>
                <w:rFonts w:hint="eastAsia" w:ascii="宋体" w:hAnsi="宋体"/>
                <w:color w:val="auto"/>
                <w:sz w:val="24"/>
                <w:szCs w:val="24"/>
              </w:rPr>
            </w:pPr>
          </w:p>
        </w:tc>
        <w:tc>
          <w:tcPr>
            <w:tcW w:w="2302" w:type="dxa"/>
            <w:gridSpan w:val="2"/>
            <w:tcBorders>
              <w:bottom w:val="single" w:color="auto" w:sz="12" w:space="0"/>
            </w:tcBorders>
            <w:noWrap w:val="0"/>
            <w:vAlign w:val="center"/>
          </w:tcPr>
          <w:p>
            <w:pPr>
              <w:spacing w:line="360" w:lineRule="auto"/>
              <w:jc w:val="center"/>
              <w:rPr>
                <w:rFonts w:hint="eastAsia" w:ascii="宋体" w:hAnsi="宋体"/>
                <w:color w:val="auto"/>
                <w:sz w:val="24"/>
                <w:szCs w:val="24"/>
              </w:rPr>
            </w:pPr>
          </w:p>
        </w:tc>
        <w:tc>
          <w:tcPr>
            <w:tcW w:w="1979" w:type="dxa"/>
            <w:gridSpan w:val="3"/>
            <w:tcBorders>
              <w:bottom w:val="single" w:color="auto" w:sz="12" w:space="0"/>
            </w:tcBorders>
            <w:noWrap w:val="0"/>
            <w:vAlign w:val="center"/>
          </w:tcPr>
          <w:p>
            <w:pPr>
              <w:spacing w:line="360" w:lineRule="auto"/>
              <w:jc w:val="center"/>
              <w:rPr>
                <w:rFonts w:hint="eastAsia" w:ascii="宋体" w:hAnsi="宋体"/>
                <w:color w:val="auto"/>
                <w:sz w:val="24"/>
                <w:szCs w:val="24"/>
              </w:rPr>
            </w:pPr>
          </w:p>
        </w:tc>
        <w:tc>
          <w:tcPr>
            <w:tcW w:w="1834" w:type="dxa"/>
            <w:gridSpan w:val="2"/>
            <w:tcBorders>
              <w:bottom w:val="single" w:color="auto" w:sz="12" w:space="0"/>
            </w:tcBorders>
            <w:noWrap w:val="0"/>
            <w:vAlign w:val="center"/>
          </w:tcPr>
          <w:p>
            <w:pPr>
              <w:spacing w:line="360" w:lineRule="auto"/>
              <w:jc w:val="center"/>
              <w:rPr>
                <w:rFonts w:hint="eastAsia" w:ascii="宋体" w:hAnsi="宋体"/>
                <w:color w:val="auto"/>
                <w:sz w:val="24"/>
                <w:szCs w:val="24"/>
              </w:rPr>
            </w:pPr>
          </w:p>
        </w:tc>
        <w:tc>
          <w:tcPr>
            <w:tcW w:w="1335" w:type="dxa"/>
            <w:tcBorders>
              <w:bottom w:val="single" w:color="auto" w:sz="12" w:space="0"/>
              <w:right w:val="single" w:color="auto" w:sz="12" w:space="0"/>
            </w:tcBorders>
            <w:noWrap w:val="0"/>
            <w:vAlign w:val="center"/>
          </w:tcPr>
          <w:p>
            <w:pPr>
              <w:spacing w:line="360" w:lineRule="auto"/>
              <w:jc w:val="center"/>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38" w:type="dxa"/>
            <w:gridSpan w:val="9"/>
            <w:tcBorders>
              <w:top w:val="single" w:color="auto" w:sz="12" w:space="0"/>
              <w:left w:val="single" w:color="auto" w:sz="12" w:space="0"/>
              <w:right w:val="single" w:color="auto" w:sz="12" w:space="0"/>
            </w:tcBorders>
            <w:noWrap w:val="0"/>
            <w:vAlign w:val="center"/>
          </w:tcPr>
          <w:p>
            <w:pPr>
              <w:spacing w:line="360" w:lineRule="auto"/>
              <w:jc w:val="center"/>
              <w:rPr>
                <w:rFonts w:hint="eastAsia" w:ascii="宋体" w:hAnsi="宋体"/>
                <w:color w:val="auto"/>
                <w:sz w:val="24"/>
                <w:szCs w:val="24"/>
              </w:rPr>
            </w:pPr>
            <w:r>
              <w:rPr>
                <w:rFonts w:hint="eastAsia" w:ascii="宋体" w:hAnsi="宋体"/>
                <w:color w:val="auto"/>
                <w:sz w:val="24"/>
                <w:szCs w:val="24"/>
              </w:rPr>
              <w:t xml:space="preserve">目 前 正 在 监 理 工 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8" w:type="dxa"/>
            <w:tcBorders>
              <w:left w:val="single" w:color="auto" w:sz="12" w:space="0"/>
            </w:tcBorders>
            <w:noWrap w:val="0"/>
            <w:vAlign w:val="center"/>
          </w:tcPr>
          <w:p>
            <w:pPr>
              <w:spacing w:line="360" w:lineRule="auto"/>
              <w:jc w:val="center"/>
              <w:rPr>
                <w:rFonts w:hint="eastAsia" w:ascii="宋体" w:hAnsi="宋体"/>
                <w:color w:val="auto"/>
                <w:sz w:val="24"/>
                <w:szCs w:val="24"/>
              </w:rPr>
            </w:pPr>
          </w:p>
        </w:tc>
        <w:tc>
          <w:tcPr>
            <w:tcW w:w="2302" w:type="dxa"/>
            <w:gridSpan w:val="2"/>
            <w:noWrap w:val="0"/>
            <w:vAlign w:val="center"/>
          </w:tcPr>
          <w:p>
            <w:pPr>
              <w:spacing w:line="360" w:lineRule="auto"/>
              <w:jc w:val="center"/>
              <w:rPr>
                <w:rFonts w:hint="eastAsia" w:ascii="宋体" w:hAnsi="宋体"/>
                <w:color w:val="auto"/>
                <w:sz w:val="24"/>
                <w:szCs w:val="24"/>
              </w:rPr>
            </w:pPr>
          </w:p>
        </w:tc>
        <w:tc>
          <w:tcPr>
            <w:tcW w:w="1578" w:type="dxa"/>
            <w:gridSpan w:val="2"/>
            <w:noWrap w:val="0"/>
            <w:vAlign w:val="center"/>
          </w:tcPr>
          <w:p>
            <w:pPr>
              <w:spacing w:line="360" w:lineRule="auto"/>
              <w:jc w:val="center"/>
              <w:rPr>
                <w:rFonts w:hint="eastAsia" w:ascii="宋体" w:hAnsi="宋体"/>
                <w:color w:val="auto"/>
                <w:sz w:val="24"/>
                <w:szCs w:val="24"/>
              </w:rPr>
            </w:pPr>
          </w:p>
        </w:tc>
        <w:tc>
          <w:tcPr>
            <w:tcW w:w="2235" w:type="dxa"/>
            <w:gridSpan w:val="3"/>
            <w:noWrap w:val="0"/>
            <w:vAlign w:val="center"/>
          </w:tcPr>
          <w:p>
            <w:pPr>
              <w:spacing w:line="360" w:lineRule="auto"/>
              <w:jc w:val="center"/>
              <w:rPr>
                <w:rFonts w:hint="eastAsia" w:ascii="宋体" w:hAnsi="宋体"/>
                <w:color w:val="auto"/>
                <w:sz w:val="24"/>
                <w:szCs w:val="24"/>
              </w:rPr>
            </w:pPr>
          </w:p>
        </w:tc>
        <w:tc>
          <w:tcPr>
            <w:tcW w:w="1335" w:type="dxa"/>
            <w:tcBorders>
              <w:right w:val="single" w:color="auto" w:sz="12" w:space="0"/>
            </w:tcBorders>
            <w:noWrap w:val="0"/>
            <w:vAlign w:val="center"/>
          </w:tcPr>
          <w:p>
            <w:pPr>
              <w:spacing w:line="360" w:lineRule="auto"/>
              <w:jc w:val="center"/>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8" w:type="dxa"/>
            <w:tcBorders>
              <w:left w:val="single" w:color="auto" w:sz="12" w:space="0"/>
              <w:bottom w:val="single" w:color="auto" w:sz="12" w:space="0"/>
            </w:tcBorders>
            <w:noWrap w:val="0"/>
            <w:vAlign w:val="center"/>
          </w:tcPr>
          <w:p>
            <w:pPr>
              <w:spacing w:line="360" w:lineRule="auto"/>
              <w:jc w:val="center"/>
              <w:rPr>
                <w:rFonts w:hint="eastAsia" w:ascii="宋体" w:hAnsi="宋体"/>
                <w:color w:val="auto"/>
                <w:sz w:val="24"/>
                <w:szCs w:val="24"/>
              </w:rPr>
            </w:pPr>
          </w:p>
        </w:tc>
        <w:tc>
          <w:tcPr>
            <w:tcW w:w="2302" w:type="dxa"/>
            <w:gridSpan w:val="2"/>
            <w:tcBorders>
              <w:bottom w:val="single" w:color="auto" w:sz="12" w:space="0"/>
            </w:tcBorders>
            <w:noWrap w:val="0"/>
            <w:vAlign w:val="center"/>
          </w:tcPr>
          <w:p>
            <w:pPr>
              <w:spacing w:line="360" w:lineRule="auto"/>
              <w:jc w:val="center"/>
              <w:rPr>
                <w:rFonts w:hint="eastAsia" w:ascii="宋体" w:hAnsi="宋体"/>
                <w:color w:val="auto"/>
                <w:sz w:val="24"/>
                <w:szCs w:val="24"/>
              </w:rPr>
            </w:pPr>
          </w:p>
        </w:tc>
        <w:tc>
          <w:tcPr>
            <w:tcW w:w="1578" w:type="dxa"/>
            <w:gridSpan w:val="2"/>
            <w:tcBorders>
              <w:bottom w:val="single" w:color="auto" w:sz="12" w:space="0"/>
            </w:tcBorders>
            <w:noWrap w:val="0"/>
            <w:vAlign w:val="center"/>
          </w:tcPr>
          <w:p>
            <w:pPr>
              <w:spacing w:line="360" w:lineRule="auto"/>
              <w:jc w:val="center"/>
              <w:rPr>
                <w:rFonts w:hint="eastAsia" w:ascii="宋体" w:hAnsi="宋体"/>
                <w:color w:val="auto"/>
                <w:sz w:val="24"/>
                <w:szCs w:val="24"/>
              </w:rPr>
            </w:pPr>
          </w:p>
        </w:tc>
        <w:tc>
          <w:tcPr>
            <w:tcW w:w="2235" w:type="dxa"/>
            <w:gridSpan w:val="3"/>
            <w:tcBorders>
              <w:bottom w:val="single" w:color="auto" w:sz="12" w:space="0"/>
            </w:tcBorders>
            <w:noWrap w:val="0"/>
            <w:vAlign w:val="center"/>
          </w:tcPr>
          <w:p>
            <w:pPr>
              <w:spacing w:line="360" w:lineRule="auto"/>
              <w:jc w:val="center"/>
              <w:rPr>
                <w:rFonts w:hint="eastAsia" w:ascii="宋体" w:hAnsi="宋体"/>
                <w:color w:val="auto"/>
                <w:sz w:val="24"/>
                <w:szCs w:val="24"/>
              </w:rPr>
            </w:pPr>
          </w:p>
        </w:tc>
        <w:tc>
          <w:tcPr>
            <w:tcW w:w="1335" w:type="dxa"/>
            <w:tcBorders>
              <w:bottom w:val="single" w:color="auto" w:sz="12" w:space="0"/>
              <w:right w:val="single" w:color="auto" w:sz="12" w:space="0"/>
            </w:tcBorders>
            <w:noWrap w:val="0"/>
            <w:vAlign w:val="center"/>
          </w:tcPr>
          <w:p>
            <w:pPr>
              <w:spacing w:line="360" w:lineRule="auto"/>
              <w:jc w:val="center"/>
              <w:rPr>
                <w:rFonts w:hint="eastAsia" w:ascii="宋体" w:hAnsi="宋体"/>
                <w:color w:val="auto"/>
                <w:sz w:val="24"/>
                <w:szCs w:val="24"/>
              </w:rPr>
            </w:pPr>
          </w:p>
        </w:tc>
      </w:tr>
    </w:tbl>
    <w:p>
      <w:pPr>
        <w:spacing w:line="360" w:lineRule="auto"/>
        <w:ind w:left="360"/>
        <w:rPr>
          <w:rFonts w:hint="eastAsia" w:ascii="宋体" w:hAnsi="宋体"/>
          <w:color w:val="auto"/>
          <w:sz w:val="24"/>
          <w:szCs w:val="24"/>
        </w:rPr>
      </w:pPr>
    </w:p>
    <w:p>
      <w:pPr>
        <w:spacing w:line="360" w:lineRule="auto"/>
        <w:jc w:val="center"/>
        <w:rPr>
          <w:rFonts w:hint="eastAsia" w:ascii="宋体" w:hAnsi="宋体"/>
          <w:color w:val="auto"/>
          <w:sz w:val="24"/>
          <w:szCs w:val="24"/>
        </w:rPr>
      </w:pPr>
      <w:r>
        <w:rPr>
          <w:rFonts w:hint="eastAsia" w:ascii="宋体" w:hAnsi="宋体"/>
          <w:color w:val="auto"/>
          <w:sz w:val="24"/>
          <w:szCs w:val="24"/>
          <w:lang w:val="en-US" w:eastAsia="zh-CN"/>
        </w:rPr>
        <w:t>2.</w:t>
      </w:r>
      <w:r>
        <w:rPr>
          <w:rFonts w:hint="eastAsia" w:ascii="宋体" w:hAnsi="宋体"/>
          <w:color w:val="auto"/>
          <w:sz w:val="24"/>
          <w:szCs w:val="24"/>
        </w:rPr>
        <w:t>项目总监简历中应附注册监理工程师证书、职称证书、学历证书、合同复印件</w:t>
      </w:r>
    </w:p>
    <w:p>
      <w:pPr>
        <w:pStyle w:val="120"/>
        <w:tabs>
          <w:tab w:val="left" w:pos="750"/>
        </w:tabs>
        <w:adjustRightInd w:val="0"/>
        <w:snapToGrid w:val="0"/>
        <w:spacing w:line="500" w:lineRule="exact"/>
        <w:rPr>
          <w:rFonts w:hint="eastAsia" w:ascii="宋体" w:hAnsi="宋体" w:cs="宋体"/>
          <w:color w:val="auto"/>
          <w:sz w:val="24"/>
          <w:szCs w:val="24"/>
        </w:rPr>
      </w:pPr>
    </w:p>
    <w:p>
      <w:pPr>
        <w:pStyle w:val="120"/>
        <w:tabs>
          <w:tab w:val="left" w:pos="750"/>
        </w:tabs>
        <w:adjustRightInd w:val="0"/>
        <w:snapToGrid w:val="0"/>
        <w:spacing w:line="500" w:lineRule="exact"/>
        <w:rPr>
          <w:rFonts w:hint="eastAsia" w:ascii="宋体" w:hAnsi="宋体" w:cs="宋体"/>
          <w:color w:val="auto"/>
          <w:sz w:val="24"/>
          <w:szCs w:val="24"/>
        </w:rPr>
      </w:pPr>
    </w:p>
    <w:p>
      <w:pPr>
        <w:pStyle w:val="120"/>
        <w:tabs>
          <w:tab w:val="left" w:pos="750"/>
        </w:tabs>
        <w:adjustRightInd w:val="0"/>
        <w:snapToGrid w:val="0"/>
        <w:spacing w:line="500" w:lineRule="exact"/>
        <w:rPr>
          <w:rFonts w:ascii="宋体" w:hAnsi="宋体" w:cs="宋体"/>
          <w:color w:val="auto"/>
          <w:sz w:val="24"/>
          <w:szCs w:val="24"/>
        </w:rPr>
      </w:pPr>
      <w:r>
        <w:rPr>
          <w:rFonts w:hint="eastAsia" w:ascii="宋体" w:hAnsi="宋体" w:cs="宋体"/>
          <w:color w:val="auto"/>
          <w:sz w:val="24"/>
          <w:szCs w:val="24"/>
        </w:rPr>
        <w:t>供应商名称：</w:t>
      </w:r>
      <w:r>
        <w:rPr>
          <w:rFonts w:hint="eastAsia" w:ascii="宋体" w:hAnsi="宋体" w:cs="宋体"/>
          <w:color w:val="auto"/>
          <w:sz w:val="24"/>
          <w:szCs w:val="24"/>
          <w:u w:val="single"/>
        </w:rPr>
        <w:t xml:space="preserve">                       </w:t>
      </w:r>
      <w:r>
        <w:rPr>
          <w:rFonts w:hint="eastAsia" w:ascii="宋体" w:hAnsi="宋体" w:cs="宋体"/>
          <w:color w:val="auto"/>
          <w:sz w:val="24"/>
          <w:szCs w:val="24"/>
        </w:rPr>
        <w:t>（盖章）</w:t>
      </w:r>
    </w:p>
    <w:p>
      <w:pPr>
        <w:pStyle w:val="120"/>
        <w:tabs>
          <w:tab w:val="left" w:pos="750"/>
        </w:tabs>
        <w:adjustRightInd w:val="0"/>
        <w:snapToGrid w:val="0"/>
        <w:spacing w:line="500" w:lineRule="exact"/>
        <w:rPr>
          <w:rFonts w:ascii="宋体" w:hAnsi="宋体" w:cs="宋体"/>
          <w:color w:val="auto"/>
          <w:sz w:val="24"/>
          <w:szCs w:val="24"/>
        </w:rPr>
      </w:pPr>
      <w:r>
        <w:rPr>
          <w:rFonts w:hint="eastAsia" w:ascii="宋体" w:hAnsi="宋体" w:cs="宋体"/>
          <w:color w:val="auto"/>
          <w:sz w:val="24"/>
          <w:szCs w:val="24"/>
        </w:rPr>
        <w:t>法定代表人 ：</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（签字或盖章）</w:t>
      </w:r>
    </w:p>
    <w:p>
      <w:pPr>
        <w:pStyle w:val="120"/>
        <w:tabs>
          <w:tab w:val="left" w:pos="750"/>
        </w:tabs>
        <w:adjustRightInd w:val="0"/>
        <w:snapToGrid w:val="0"/>
        <w:spacing w:line="500" w:lineRule="exact"/>
        <w:rPr>
          <w:rFonts w:ascii="宋体" w:hAnsi="宋体" w:cs="宋体"/>
          <w:color w:val="auto"/>
          <w:sz w:val="24"/>
          <w:szCs w:val="24"/>
        </w:rPr>
      </w:pPr>
      <w:r>
        <w:rPr>
          <w:rFonts w:hint="eastAsia" w:ascii="宋体" w:hAnsi="宋体" w:cs="宋体"/>
          <w:color w:val="auto"/>
          <w:sz w:val="24"/>
          <w:szCs w:val="24"/>
        </w:rPr>
        <w:t>委托代理人：</w:t>
      </w:r>
      <w:r>
        <w:rPr>
          <w:rFonts w:hint="eastAsia" w:ascii="宋体" w:hAnsi="宋体" w:cs="宋体"/>
          <w:color w:val="auto"/>
          <w:sz w:val="24"/>
          <w:szCs w:val="24"/>
          <w:u w:val="single"/>
        </w:rPr>
        <w:t xml:space="preserve">           </w:t>
      </w:r>
      <w:r>
        <w:rPr>
          <w:rFonts w:hint="eastAsia" w:ascii="宋体" w:hAnsi="宋体" w:cs="宋体"/>
          <w:color w:val="auto"/>
          <w:sz w:val="24"/>
          <w:szCs w:val="24"/>
        </w:rPr>
        <w:t>（签字）</w:t>
      </w:r>
    </w:p>
    <w:p>
      <w:pPr>
        <w:pStyle w:val="104"/>
        <w:spacing w:line="360" w:lineRule="auto"/>
        <w:rPr>
          <w:rFonts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rPr>
          <w:rFonts w:hint="eastAsia" w:ascii="宋体" w:hAnsi="宋体"/>
          <w:color w:val="auto"/>
          <w:sz w:val="24"/>
          <w:szCs w:val="24"/>
        </w:rPr>
      </w:pPr>
      <w:r>
        <w:rPr>
          <w:rFonts w:hint="eastAsia" w:ascii="宋体" w:hAnsi="宋体"/>
          <w:color w:val="auto"/>
          <w:sz w:val="24"/>
          <w:szCs w:val="24"/>
        </w:rPr>
        <w:br w:type="page"/>
      </w:r>
    </w:p>
    <w:p>
      <w:pPr>
        <w:spacing w:line="360" w:lineRule="auto"/>
        <w:jc w:val="center"/>
        <w:rPr>
          <w:rFonts w:hint="eastAsia" w:ascii="宋体" w:hAnsi="宋体"/>
          <w:b/>
          <w:color w:val="auto"/>
          <w:sz w:val="24"/>
          <w:szCs w:val="24"/>
        </w:rPr>
      </w:pPr>
      <w:r>
        <w:rPr>
          <w:rFonts w:hint="eastAsia" w:ascii="宋体" w:hAnsi="宋体"/>
          <w:b/>
          <w:color w:val="auto"/>
          <w:sz w:val="24"/>
          <w:szCs w:val="24"/>
        </w:rPr>
        <w:t>现场监理人员</w:t>
      </w:r>
    </w:p>
    <w:p>
      <w:pPr>
        <w:pStyle w:val="2"/>
        <w:rPr>
          <w:rFonts w:hint="eastAsia"/>
        </w:rPr>
      </w:pPr>
    </w:p>
    <w:p>
      <w:pPr>
        <w:spacing w:line="360" w:lineRule="auto"/>
        <w:rPr>
          <w:rFonts w:hint="eastAsia" w:ascii="宋体" w:hAnsi="宋体"/>
          <w:color w:val="auto"/>
          <w:sz w:val="24"/>
          <w:szCs w:val="24"/>
        </w:rPr>
      </w:pPr>
      <w:r>
        <w:rPr>
          <w:rFonts w:hint="eastAsia" w:ascii="宋体" w:hAnsi="宋体"/>
          <w:color w:val="auto"/>
          <w:sz w:val="24"/>
          <w:szCs w:val="24"/>
        </w:rPr>
        <w:t>1、现场监理人员应包括：注册信息系统工程监理工程师、设备监理工程师、投资控制人员及项目总监认为需要配备的其他人员。</w:t>
      </w:r>
    </w:p>
    <w:p>
      <w:pPr>
        <w:spacing w:line="360" w:lineRule="auto"/>
        <w:rPr>
          <w:rFonts w:hint="eastAsia" w:ascii="宋体" w:hAnsi="宋体"/>
          <w:color w:val="auto"/>
          <w:sz w:val="24"/>
          <w:szCs w:val="24"/>
        </w:rPr>
      </w:pPr>
      <w:r>
        <w:rPr>
          <w:rFonts w:hint="eastAsia" w:ascii="宋体" w:hAnsi="宋体"/>
          <w:color w:val="auto"/>
          <w:sz w:val="24"/>
          <w:szCs w:val="24"/>
        </w:rPr>
        <w:t>2、上述人员介绍应包括姓名、职称、主要资历等基本信息。</w:t>
      </w:r>
    </w:p>
    <w:p>
      <w:pPr>
        <w:spacing w:line="360" w:lineRule="auto"/>
        <w:jc w:val="both"/>
        <w:rPr>
          <w:rFonts w:hint="eastAsia" w:ascii="宋体" w:hAnsi="宋体"/>
          <w:color w:val="auto"/>
          <w:sz w:val="24"/>
          <w:szCs w:val="24"/>
        </w:rPr>
      </w:pPr>
      <w:r>
        <w:rPr>
          <w:rFonts w:hint="eastAsia" w:ascii="宋体" w:hAnsi="宋体"/>
          <w:color w:val="auto"/>
          <w:sz w:val="24"/>
          <w:szCs w:val="24"/>
        </w:rPr>
        <w:t>3、现场监理人员应付职称证书或注册证书上岗证书复印件。</w:t>
      </w:r>
    </w:p>
    <w:p>
      <w:pPr>
        <w:rPr>
          <w:rFonts w:hint="eastAsia" w:ascii="宋体" w:hAnsi="宋体"/>
          <w:color w:val="auto"/>
          <w:sz w:val="24"/>
          <w:szCs w:val="24"/>
        </w:rPr>
      </w:pPr>
      <w:r>
        <w:rPr>
          <w:rFonts w:hint="eastAsia" w:ascii="宋体" w:hAnsi="宋体"/>
          <w:color w:val="auto"/>
          <w:sz w:val="24"/>
          <w:szCs w:val="24"/>
        </w:rPr>
        <w:br w:type="page"/>
      </w:r>
    </w:p>
    <w:p>
      <w:pPr>
        <w:spacing w:line="360" w:lineRule="auto"/>
        <w:jc w:val="center"/>
        <w:rPr>
          <w:rFonts w:hint="eastAsia" w:ascii="宋体" w:hAnsi="宋体"/>
          <w:b/>
          <w:bCs/>
          <w:color w:val="auto"/>
          <w:sz w:val="24"/>
          <w:szCs w:val="24"/>
        </w:rPr>
      </w:pPr>
      <w:r>
        <w:rPr>
          <w:rFonts w:hint="eastAsia" w:ascii="宋体" w:hAnsi="宋体"/>
          <w:b/>
          <w:bCs/>
          <w:color w:val="auto"/>
          <w:sz w:val="24"/>
          <w:szCs w:val="24"/>
        </w:rPr>
        <w:t>主要检测设备仪器一览表</w:t>
      </w:r>
    </w:p>
    <w:p>
      <w:pPr>
        <w:spacing w:line="360" w:lineRule="auto"/>
        <w:jc w:val="center"/>
        <w:rPr>
          <w:rFonts w:hint="eastAsia" w:ascii="宋体" w:hAnsi="宋体"/>
          <w:b/>
          <w:bCs/>
          <w:color w:val="auto"/>
          <w:sz w:val="24"/>
          <w:szCs w:val="24"/>
        </w:rPr>
      </w:pPr>
    </w:p>
    <w:tbl>
      <w:tblPr>
        <w:tblStyle w:val="3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268"/>
        <w:gridCol w:w="1923"/>
        <w:gridCol w:w="959"/>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top w:val="single" w:color="auto" w:sz="4" w:space="0"/>
              <w:left w:val="single" w:color="auto" w:sz="4" w:space="0"/>
            </w:tcBorders>
            <w:noWrap w:val="0"/>
            <w:vAlign w:val="center"/>
          </w:tcPr>
          <w:p>
            <w:pPr>
              <w:adjustRightInd w:val="0"/>
              <w:snapToGrid w:val="0"/>
              <w:spacing w:line="360" w:lineRule="auto"/>
              <w:jc w:val="center"/>
              <w:rPr>
                <w:rFonts w:hint="eastAsia" w:ascii="宋体" w:hAnsi="宋体"/>
                <w:b w:val="0"/>
                <w:bCs/>
                <w:color w:val="auto"/>
                <w:sz w:val="24"/>
                <w:szCs w:val="24"/>
              </w:rPr>
            </w:pPr>
            <w:r>
              <w:rPr>
                <w:rFonts w:hint="eastAsia" w:ascii="宋体" w:hAnsi="宋体"/>
                <w:b w:val="0"/>
                <w:bCs/>
                <w:color w:val="auto"/>
                <w:sz w:val="24"/>
                <w:szCs w:val="24"/>
              </w:rPr>
              <w:t>序号</w:t>
            </w:r>
          </w:p>
        </w:tc>
        <w:tc>
          <w:tcPr>
            <w:tcW w:w="2268" w:type="dxa"/>
            <w:tcBorders>
              <w:top w:val="single" w:color="auto" w:sz="4" w:space="0"/>
            </w:tcBorders>
            <w:noWrap w:val="0"/>
            <w:vAlign w:val="center"/>
          </w:tcPr>
          <w:p>
            <w:pPr>
              <w:adjustRightInd w:val="0"/>
              <w:snapToGrid w:val="0"/>
              <w:spacing w:line="360" w:lineRule="auto"/>
              <w:jc w:val="center"/>
              <w:rPr>
                <w:rFonts w:hint="eastAsia" w:ascii="宋体" w:hAnsi="宋体"/>
                <w:b w:val="0"/>
                <w:bCs/>
                <w:color w:val="auto"/>
                <w:sz w:val="24"/>
                <w:szCs w:val="24"/>
              </w:rPr>
            </w:pPr>
            <w:r>
              <w:rPr>
                <w:rFonts w:hint="eastAsia" w:ascii="宋体" w:hAnsi="宋体"/>
                <w:b w:val="0"/>
                <w:bCs/>
                <w:color w:val="auto"/>
                <w:sz w:val="24"/>
                <w:szCs w:val="24"/>
              </w:rPr>
              <w:t>仪器或设备名称</w:t>
            </w:r>
          </w:p>
        </w:tc>
        <w:tc>
          <w:tcPr>
            <w:tcW w:w="1923" w:type="dxa"/>
            <w:tcBorders>
              <w:top w:val="single" w:color="auto" w:sz="4" w:space="0"/>
            </w:tcBorders>
            <w:noWrap w:val="0"/>
            <w:vAlign w:val="center"/>
          </w:tcPr>
          <w:p>
            <w:pPr>
              <w:adjustRightInd w:val="0"/>
              <w:snapToGrid w:val="0"/>
              <w:spacing w:line="360" w:lineRule="auto"/>
              <w:jc w:val="center"/>
              <w:rPr>
                <w:rFonts w:hint="eastAsia" w:ascii="宋体" w:hAnsi="宋体"/>
                <w:b w:val="0"/>
                <w:bCs/>
                <w:color w:val="auto"/>
                <w:sz w:val="24"/>
                <w:szCs w:val="24"/>
              </w:rPr>
            </w:pPr>
            <w:r>
              <w:rPr>
                <w:rFonts w:hint="eastAsia" w:ascii="宋体" w:hAnsi="宋体"/>
                <w:b w:val="0"/>
                <w:bCs/>
                <w:color w:val="auto"/>
                <w:sz w:val="24"/>
                <w:szCs w:val="24"/>
              </w:rPr>
              <w:t>型号、规格</w:t>
            </w:r>
          </w:p>
        </w:tc>
        <w:tc>
          <w:tcPr>
            <w:tcW w:w="959" w:type="dxa"/>
            <w:tcBorders>
              <w:top w:val="single" w:color="auto" w:sz="4" w:space="0"/>
            </w:tcBorders>
            <w:noWrap w:val="0"/>
            <w:vAlign w:val="center"/>
          </w:tcPr>
          <w:p>
            <w:pPr>
              <w:adjustRightInd w:val="0"/>
              <w:snapToGrid w:val="0"/>
              <w:spacing w:line="360" w:lineRule="auto"/>
              <w:jc w:val="center"/>
              <w:rPr>
                <w:rFonts w:hint="eastAsia" w:ascii="宋体" w:hAnsi="宋体"/>
                <w:b w:val="0"/>
                <w:bCs/>
                <w:color w:val="auto"/>
                <w:sz w:val="24"/>
                <w:szCs w:val="24"/>
              </w:rPr>
            </w:pPr>
            <w:r>
              <w:rPr>
                <w:rFonts w:hint="eastAsia" w:ascii="宋体" w:hAnsi="宋体"/>
                <w:b w:val="0"/>
                <w:bCs/>
                <w:color w:val="auto"/>
                <w:sz w:val="24"/>
                <w:szCs w:val="24"/>
              </w:rPr>
              <w:t>数量</w:t>
            </w:r>
          </w:p>
        </w:tc>
        <w:tc>
          <w:tcPr>
            <w:tcW w:w="3069" w:type="dxa"/>
            <w:tcBorders>
              <w:top w:val="single" w:color="auto" w:sz="4" w:space="0"/>
              <w:right w:val="single" w:color="auto" w:sz="4" w:space="0"/>
            </w:tcBorders>
            <w:noWrap w:val="0"/>
            <w:vAlign w:val="center"/>
          </w:tcPr>
          <w:p>
            <w:pPr>
              <w:adjustRightInd w:val="0"/>
              <w:snapToGrid w:val="0"/>
              <w:spacing w:line="360" w:lineRule="auto"/>
              <w:jc w:val="center"/>
              <w:rPr>
                <w:rFonts w:hint="eastAsia" w:ascii="宋体" w:hAnsi="宋体"/>
                <w:b w:val="0"/>
                <w:bCs/>
                <w:color w:val="auto"/>
                <w:sz w:val="24"/>
                <w:szCs w:val="24"/>
              </w:rPr>
            </w:pPr>
            <w:r>
              <w:rPr>
                <w:rFonts w:hint="eastAsia" w:ascii="宋体" w:hAnsi="宋体"/>
                <w:b w:val="0"/>
                <w:bCs/>
                <w:color w:val="auto"/>
                <w:sz w:val="24"/>
                <w:szCs w:val="24"/>
              </w:rPr>
              <w:t>自有或委托检测或租借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left w:val="single" w:color="auto" w:sz="4" w:space="0"/>
            </w:tcBorders>
            <w:noWrap w:val="0"/>
            <w:vAlign w:val="center"/>
          </w:tcPr>
          <w:p>
            <w:pPr>
              <w:adjustRightInd w:val="0"/>
              <w:snapToGrid w:val="0"/>
              <w:spacing w:line="360" w:lineRule="auto"/>
              <w:jc w:val="center"/>
              <w:rPr>
                <w:rFonts w:hint="eastAsia" w:ascii="宋体" w:hAnsi="宋体"/>
                <w:color w:val="auto"/>
                <w:sz w:val="24"/>
                <w:szCs w:val="24"/>
              </w:rPr>
            </w:pPr>
            <w:r>
              <w:rPr>
                <w:rFonts w:hint="eastAsia" w:ascii="宋体" w:hAnsi="宋体"/>
                <w:color w:val="auto"/>
                <w:sz w:val="24"/>
                <w:szCs w:val="24"/>
              </w:rPr>
              <w:t>1</w:t>
            </w:r>
          </w:p>
        </w:tc>
        <w:tc>
          <w:tcPr>
            <w:tcW w:w="2268" w:type="dxa"/>
            <w:noWrap w:val="0"/>
            <w:vAlign w:val="center"/>
          </w:tcPr>
          <w:p>
            <w:pPr>
              <w:adjustRightInd w:val="0"/>
              <w:snapToGrid w:val="0"/>
              <w:spacing w:line="360" w:lineRule="auto"/>
              <w:jc w:val="center"/>
              <w:rPr>
                <w:rFonts w:hint="eastAsia" w:ascii="宋体" w:hAnsi="宋体"/>
                <w:color w:val="auto"/>
                <w:sz w:val="24"/>
                <w:szCs w:val="24"/>
              </w:rPr>
            </w:pPr>
          </w:p>
        </w:tc>
        <w:tc>
          <w:tcPr>
            <w:tcW w:w="1923" w:type="dxa"/>
            <w:noWrap w:val="0"/>
            <w:vAlign w:val="center"/>
          </w:tcPr>
          <w:p>
            <w:pPr>
              <w:adjustRightInd w:val="0"/>
              <w:snapToGrid w:val="0"/>
              <w:spacing w:line="360" w:lineRule="auto"/>
              <w:jc w:val="center"/>
              <w:rPr>
                <w:rFonts w:hint="eastAsia" w:ascii="宋体" w:hAnsi="宋体"/>
                <w:color w:val="auto"/>
                <w:sz w:val="24"/>
                <w:szCs w:val="24"/>
              </w:rPr>
            </w:pPr>
          </w:p>
        </w:tc>
        <w:tc>
          <w:tcPr>
            <w:tcW w:w="959" w:type="dxa"/>
            <w:noWrap w:val="0"/>
            <w:vAlign w:val="center"/>
          </w:tcPr>
          <w:p>
            <w:pPr>
              <w:adjustRightInd w:val="0"/>
              <w:snapToGrid w:val="0"/>
              <w:spacing w:line="360" w:lineRule="auto"/>
              <w:jc w:val="center"/>
              <w:rPr>
                <w:rFonts w:hint="eastAsia" w:ascii="宋体" w:hAnsi="宋体"/>
                <w:color w:val="auto"/>
                <w:sz w:val="24"/>
                <w:szCs w:val="24"/>
              </w:rPr>
            </w:pPr>
          </w:p>
        </w:tc>
        <w:tc>
          <w:tcPr>
            <w:tcW w:w="3069" w:type="dxa"/>
            <w:tcBorders>
              <w:right w:val="single" w:color="auto" w:sz="4" w:space="0"/>
            </w:tcBorders>
            <w:noWrap w:val="0"/>
            <w:vAlign w:val="center"/>
          </w:tcPr>
          <w:p>
            <w:pPr>
              <w:adjustRightInd w:val="0"/>
              <w:snapToGrid w:val="0"/>
              <w:spacing w:line="360" w:lineRule="auto"/>
              <w:jc w:val="center"/>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left w:val="single" w:color="auto" w:sz="4" w:space="0"/>
            </w:tcBorders>
            <w:noWrap w:val="0"/>
            <w:vAlign w:val="center"/>
          </w:tcPr>
          <w:p>
            <w:pPr>
              <w:adjustRightInd w:val="0"/>
              <w:snapToGrid w:val="0"/>
              <w:spacing w:line="360" w:lineRule="auto"/>
              <w:jc w:val="center"/>
              <w:rPr>
                <w:rFonts w:hint="eastAsia" w:ascii="宋体" w:hAnsi="宋体"/>
                <w:color w:val="auto"/>
                <w:sz w:val="24"/>
                <w:szCs w:val="24"/>
              </w:rPr>
            </w:pPr>
            <w:r>
              <w:rPr>
                <w:rFonts w:hint="eastAsia" w:ascii="宋体" w:hAnsi="宋体"/>
                <w:color w:val="auto"/>
                <w:sz w:val="24"/>
                <w:szCs w:val="24"/>
              </w:rPr>
              <w:t>2</w:t>
            </w:r>
          </w:p>
        </w:tc>
        <w:tc>
          <w:tcPr>
            <w:tcW w:w="2268" w:type="dxa"/>
            <w:noWrap w:val="0"/>
            <w:vAlign w:val="center"/>
          </w:tcPr>
          <w:p>
            <w:pPr>
              <w:adjustRightInd w:val="0"/>
              <w:snapToGrid w:val="0"/>
              <w:spacing w:line="360" w:lineRule="auto"/>
              <w:jc w:val="center"/>
              <w:rPr>
                <w:rFonts w:hint="eastAsia" w:ascii="宋体" w:hAnsi="宋体"/>
                <w:color w:val="auto"/>
                <w:sz w:val="24"/>
                <w:szCs w:val="24"/>
              </w:rPr>
            </w:pPr>
          </w:p>
        </w:tc>
        <w:tc>
          <w:tcPr>
            <w:tcW w:w="1923" w:type="dxa"/>
            <w:noWrap w:val="0"/>
            <w:vAlign w:val="center"/>
          </w:tcPr>
          <w:p>
            <w:pPr>
              <w:adjustRightInd w:val="0"/>
              <w:snapToGrid w:val="0"/>
              <w:spacing w:line="360" w:lineRule="auto"/>
              <w:jc w:val="center"/>
              <w:rPr>
                <w:rFonts w:hint="eastAsia" w:ascii="宋体" w:hAnsi="宋体"/>
                <w:color w:val="auto"/>
                <w:sz w:val="24"/>
                <w:szCs w:val="24"/>
                <w:vertAlign w:val="subscript"/>
              </w:rPr>
            </w:pPr>
          </w:p>
        </w:tc>
        <w:tc>
          <w:tcPr>
            <w:tcW w:w="959" w:type="dxa"/>
            <w:noWrap w:val="0"/>
            <w:vAlign w:val="center"/>
          </w:tcPr>
          <w:p>
            <w:pPr>
              <w:adjustRightInd w:val="0"/>
              <w:snapToGrid w:val="0"/>
              <w:spacing w:line="360" w:lineRule="auto"/>
              <w:jc w:val="center"/>
              <w:rPr>
                <w:rFonts w:hint="eastAsia" w:ascii="宋体" w:hAnsi="宋体"/>
                <w:color w:val="auto"/>
                <w:sz w:val="24"/>
                <w:szCs w:val="24"/>
              </w:rPr>
            </w:pPr>
          </w:p>
        </w:tc>
        <w:tc>
          <w:tcPr>
            <w:tcW w:w="3069" w:type="dxa"/>
            <w:tcBorders>
              <w:right w:val="single" w:color="auto" w:sz="4" w:space="0"/>
            </w:tcBorders>
            <w:noWrap w:val="0"/>
            <w:vAlign w:val="center"/>
          </w:tcPr>
          <w:p>
            <w:pPr>
              <w:adjustRightInd w:val="0"/>
              <w:snapToGrid w:val="0"/>
              <w:spacing w:line="360" w:lineRule="auto"/>
              <w:jc w:val="center"/>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left w:val="single" w:color="auto" w:sz="4" w:space="0"/>
            </w:tcBorders>
            <w:noWrap w:val="0"/>
            <w:vAlign w:val="center"/>
          </w:tcPr>
          <w:p>
            <w:pPr>
              <w:adjustRightInd w:val="0"/>
              <w:snapToGrid w:val="0"/>
              <w:spacing w:line="360" w:lineRule="auto"/>
              <w:jc w:val="center"/>
              <w:rPr>
                <w:rFonts w:hint="eastAsia" w:ascii="宋体" w:hAnsi="宋体"/>
                <w:color w:val="auto"/>
                <w:sz w:val="24"/>
                <w:szCs w:val="24"/>
              </w:rPr>
            </w:pPr>
            <w:r>
              <w:rPr>
                <w:rFonts w:hint="eastAsia" w:ascii="宋体" w:hAnsi="宋体"/>
                <w:color w:val="auto"/>
                <w:sz w:val="24"/>
                <w:szCs w:val="24"/>
              </w:rPr>
              <w:t>3</w:t>
            </w:r>
          </w:p>
        </w:tc>
        <w:tc>
          <w:tcPr>
            <w:tcW w:w="2268" w:type="dxa"/>
            <w:noWrap w:val="0"/>
            <w:vAlign w:val="center"/>
          </w:tcPr>
          <w:p>
            <w:pPr>
              <w:adjustRightInd w:val="0"/>
              <w:snapToGrid w:val="0"/>
              <w:spacing w:line="360" w:lineRule="auto"/>
              <w:jc w:val="center"/>
              <w:rPr>
                <w:rFonts w:hint="eastAsia" w:ascii="宋体" w:hAnsi="宋体"/>
                <w:color w:val="auto"/>
                <w:sz w:val="24"/>
                <w:szCs w:val="24"/>
              </w:rPr>
            </w:pPr>
          </w:p>
        </w:tc>
        <w:tc>
          <w:tcPr>
            <w:tcW w:w="1923" w:type="dxa"/>
            <w:noWrap w:val="0"/>
            <w:vAlign w:val="center"/>
          </w:tcPr>
          <w:p>
            <w:pPr>
              <w:adjustRightInd w:val="0"/>
              <w:snapToGrid w:val="0"/>
              <w:spacing w:line="360" w:lineRule="auto"/>
              <w:jc w:val="center"/>
              <w:rPr>
                <w:rFonts w:hint="eastAsia" w:ascii="宋体" w:hAnsi="宋体"/>
                <w:color w:val="auto"/>
                <w:sz w:val="24"/>
                <w:szCs w:val="24"/>
                <w:vertAlign w:val="subscript"/>
              </w:rPr>
            </w:pPr>
          </w:p>
        </w:tc>
        <w:tc>
          <w:tcPr>
            <w:tcW w:w="959" w:type="dxa"/>
            <w:noWrap w:val="0"/>
            <w:vAlign w:val="center"/>
          </w:tcPr>
          <w:p>
            <w:pPr>
              <w:adjustRightInd w:val="0"/>
              <w:snapToGrid w:val="0"/>
              <w:spacing w:line="360" w:lineRule="auto"/>
              <w:jc w:val="center"/>
              <w:rPr>
                <w:rFonts w:hint="eastAsia" w:ascii="宋体" w:hAnsi="宋体"/>
                <w:color w:val="auto"/>
                <w:sz w:val="24"/>
                <w:szCs w:val="24"/>
              </w:rPr>
            </w:pPr>
          </w:p>
        </w:tc>
        <w:tc>
          <w:tcPr>
            <w:tcW w:w="3069" w:type="dxa"/>
            <w:tcBorders>
              <w:right w:val="single" w:color="auto" w:sz="4" w:space="0"/>
            </w:tcBorders>
            <w:noWrap w:val="0"/>
            <w:vAlign w:val="center"/>
          </w:tcPr>
          <w:p>
            <w:pPr>
              <w:adjustRightInd w:val="0"/>
              <w:snapToGrid w:val="0"/>
              <w:spacing w:line="360" w:lineRule="auto"/>
              <w:jc w:val="center"/>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left w:val="single" w:color="auto" w:sz="4" w:space="0"/>
            </w:tcBorders>
            <w:noWrap w:val="0"/>
            <w:vAlign w:val="center"/>
          </w:tcPr>
          <w:p>
            <w:pPr>
              <w:adjustRightInd w:val="0"/>
              <w:snapToGrid w:val="0"/>
              <w:spacing w:line="360" w:lineRule="auto"/>
              <w:jc w:val="center"/>
              <w:rPr>
                <w:rFonts w:hint="eastAsia" w:ascii="宋体" w:hAnsi="宋体"/>
                <w:color w:val="auto"/>
                <w:sz w:val="24"/>
                <w:szCs w:val="24"/>
              </w:rPr>
            </w:pPr>
            <w:r>
              <w:rPr>
                <w:rFonts w:hint="eastAsia" w:ascii="宋体" w:hAnsi="宋体"/>
                <w:color w:val="auto"/>
                <w:sz w:val="24"/>
                <w:szCs w:val="24"/>
              </w:rPr>
              <w:t>4</w:t>
            </w:r>
          </w:p>
        </w:tc>
        <w:tc>
          <w:tcPr>
            <w:tcW w:w="2268" w:type="dxa"/>
            <w:noWrap w:val="0"/>
            <w:vAlign w:val="center"/>
          </w:tcPr>
          <w:p>
            <w:pPr>
              <w:adjustRightInd w:val="0"/>
              <w:snapToGrid w:val="0"/>
              <w:spacing w:line="360" w:lineRule="auto"/>
              <w:jc w:val="center"/>
              <w:rPr>
                <w:rFonts w:hint="eastAsia" w:ascii="宋体" w:hAnsi="宋体"/>
                <w:color w:val="auto"/>
                <w:sz w:val="24"/>
                <w:szCs w:val="24"/>
              </w:rPr>
            </w:pPr>
          </w:p>
        </w:tc>
        <w:tc>
          <w:tcPr>
            <w:tcW w:w="1923" w:type="dxa"/>
            <w:noWrap w:val="0"/>
            <w:vAlign w:val="center"/>
          </w:tcPr>
          <w:p>
            <w:pPr>
              <w:adjustRightInd w:val="0"/>
              <w:snapToGrid w:val="0"/>
              <w:spacing w:line="360" w:lineRule="auto"/>
              <w:jc w:val="center"/>
              <w:rPr>
                <w:rFonts w:hint="eastAsia" w:ascii="宋体" w:hAnsi="宋体"/>
                <w:color w:val="auto"/>
                <w:sz w:val="24"/>
                <w:szCs w:val="24"/>
              </w:rPr>
            </w:pPr>
          </w:p>
        </w:tc>
        <w:tc>
          <w:tcPr>
            <w:tcW w:w="959" w:type="dxa"/>
            <w:noWrap w:val="0"/>
            <w:vAlign w:val="center"/>
          </w:tcPr>
          <w:p>
            <w:pPr>
              <w:adjustRightInd w:val="0"/>
              <w:snapToGrid w:val="0"/>
              <w:spacing w:line="360" w:lineRule="auto"/>
              <w:jc w:val="center"/>
              <w:rPr>
                <w:rFonts w:hint="eastAsia" w:ascii="宋体" w:hAnsi="宋体"/>
                <w:color w:val="auto"/>
                <w:sz w:val="24"/>
                <w:szCs w:val="24"/>
              </w:rPr>
            </w:pPr>
          </w:p>
        </w:tc>
        <w:tc>
          <w:tcPr>
            <w:tcW w:w="3069" w:type="dxa"/>
            <w:tcBorders>
              <w:right w:val="single" w:color="auto" w:sz="4" w:space="0"/>
            </w:tcBorders>
            <w:noWrap w:val="0"/>
            <w:vAlign w:val="center"/>
          </w:tcPr>
          <w:p>
            <w:pPr>
              <w:adjustRightInd w:val="0"/>
              <w:snapToGrid w:val="0"/>
              <w:spacing w:line="360" w:lineRule="auto"/>
              <w:jc w:val="center"/>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left w:val="single" w:color="auto" w:sz="4" w:space="0"/>
            </w:tcBorders>
            <w:noWrap w:val="0"/>
            <w:vAlign w:val="center"/>
          </w:tcPr>
          <w:p>
            <w:pPr>
              <w:adjustRightInd w:val="0"/>
              <w:snapToGrid w:val="0"/>
              <w:spacing w:line="360" w:lineRule="auto"/>
              <w:jc w:val="center"/>
              <w:rPr>
                <w:rFonts w:hint="eastAsia" w:ascii="宋体" w:hAnsi="宋体"/>
                <w:color w:val="auto"/>
                <w:sz w:val="24"/>
                <w:szCs w:val="24"/>
              </w:rPr>
            </w:pPr>
            <w:r>
              <w:rPr>
                <w:rFonts w:hint="eastAsia" w:ascii="宋体" w:hAnsi="宋体"/>
                <w:color w:val="auto"/>
                <w:sz w:val="24"/>
                <w:szCs w:val="24"/>
              </w:rPr>
              <w:t>5</w:t>
            </w:r>
          </w:p>
        </w:tc>
        <w:tc>
          <w:tcPr>
            <w:tcW w:w="2268" w:type="dxa"/>
            <w:noWrap w:val="0"/>
            <w:vAlign w:val="center"/>
          </w:tcPr>
          <w:p>
            <w:pPr>
              <w:adjustRightInd w:val="0"/>
              <w:snapToGrid w:val="0"/>
              <w:spacing w:line="360" w:lineRule="auto"/>
              <w:jc w:val="center"/>
              <w:rPr>
                <w:rFonts w:hint="eastAsia" w:ascii="宋体" w:hAnsi="宋体"/>
                <w:color w:val="auto"/>
                <w:sz w:val="24"/>
                <w:szCs w:val="24"/>
              </w:rPr>
            </w:pPr>
          </w:p>
        </w:tc>
        <w:tc>
          <w:tcPr>
            <w:tcW w:w="1923" w:type="dxa"/>
            <w:noWrap w:val="0"/>
            <w:vAlign w:val="center"/>
          </w:tcPr>
          <w:p>
            <w:pPr>
              <w:adjustRightInd w:val="0"/>
              <w:snapToGrid w:val="0"/>
              <w:spacing w:line="360" w:lineRule="auto"/>
              <w:jc w:val="center"/>
              <w:rPr>
                <w:rFonts w:hint="eastAsia" w:ascii="宋体" w:hAnsi="宋体"/>
                <w:color w:val="auto"/>
                <w:sz w:val="24"/>
                <w:szCs w:val="24"/>
              </w:rPr>
            </w:pPr>
          </w:p>
        </w:tc>
        <w:tc>
          <w:tcPr>
            <w:tcW w:w="959" w:type="dxa"/>
            <w:noWrap w:val="0"/>
            <w:vAlign w:val="center"/>
          </w:tcPr>
          <w:p>
            <w:pPr>
              <w:adjustRightInd w:val="0"/>
              <w:snapToGrid w:val="0"/>
              <w:spacing w:line="360" w:lineRule="auto"/>
              <w:jc w:val="center"/>
              <w:rPr>
                <w:rFonts w:hint="eastAsia" w:ascii="宋体" w:hAnsi="宋体"/>
                <w:color w:val="auto"/>
                <w:sz w:val="24"/>
                <w:szCs w:val="24"/>
              </w:rPr>
            </w:pPr>
          </w:p>
        </w:tc>
        <w:tc>
          <w:tcPr>
            <w:tcW w:w="3069" w:type="dxa"/>
            <w:tcBorders>
              <w:right w:val="single" w:color="auto" w:sz="4" w:space="0"/>
            </w:tcBorders>
            <w:noWrap w:val="0"/>
            <w:vAlign w:val="center"/>
          </w:tcPr>
          <w:p>
            <w:pPr>
              <w:adjustRightInd w:val="0"/>
              <w:snapToGrid w:val="0"/>
              <w:spacing w:line="360" w:lineRule="auto"/>
              <w:jc w:val="center"/>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left w:val="single" w:color="auto" w:sz="4" w:space="0"/>
            </w:tcBorders>
            <w:noWrap w:val="0"/>
            <w:vAlign w:val="center"/>
          </w:tcPr>
          <w:p>
            <w:pPr>
              <w:adjustRightInd w:val="0"/>
              <w:snapToGrid w:val="0"/>
              <w:spacing w:line="360" w:lineRule="auto"/>
              <w:jc w:val="center"/>
              <w:rPr>
                <w:rFonts w:hint="eastAsia" w:ascii="宋体" w:hAnsi="宋体"/>
                <w:color w:val="auto"/>
                <w:sz w:val="24"/>
                <w:szCs w:val="24"/>
              </w:rPr>
            </w:pPr>
            <w:r>
              <w:rPr>
                <w:rFonts w:hint="eastAsia" w:ascii="宋体" w:hAnsi="宋体"/>
                <w:color w:val="auto"/>
                <w:sz w:val="24"/>
                <w:szCs w:val="24"/>
              </w:rPr>
              <w:t>6</w:t>
            </w:r>
          </w:p>
        </w:tc>
        <w:tc>
          <w:tcPr>
            <w:tcW w:w="2268" w:type="dxa"/>
            <w:noWrap w:val="0"/>
            <w:vAlign w:val="center"/>
          </w:tcPr>
          <w:p>
            <w:pPr>
              <w:adjustRightInd w:val="0"/>
              <w:snapToGrid w:val="0"/>
              <w:spacing w:line="360" w:lineRule="auto"/>
              <w:jc w:val="center"/>
              <w:rPr>
                <w:rFonts w:hint="eastAsia" w:ascii="宋体" w:hAnsi="宋体"/>
                <w:color w:val="auto"/>
                <w:sz w:val="24"/>
                <w:szCs w:val="24"/>
              </w:rPr>
            </w:pPr>
          </w:p>
        </w:tc>
        <w:tc>
          <w:tcPr>
            <w:tcW w:w="1923" w:type="dxa"/>
            <w:noWrap w:val="0"/>
            <w:vAlign w:val="center"/>
          </w:tcPr>
          <w:p>
            <w:pPr>
              <w:adjustRightInd w:val="0"/>
              <w:snapToGrid w:val="0"/>
              <w:spacing w:line="360" w:lineRule="auto"/>
              <w:jc w:val="center"/>
              <w:rPr>
                <w:rFonts w:hint="eastAsia" w:ascii="宋体" w:hAnsi="宋体"/>
                <w:color w:val="auto"/>
                <w:sz w:val="24"/>
                <w:szCs w:val="24"/>
              </w:rPr>
            </w:pPr>
          </w:p>
        </w:tc>
        <w:tc>
          <w:tcPr>
            <w:tcW w:w="959" w:type="dxa"/>
            <w:noWrap w:val="0"/>
            <w:vAlign w:val="center"/>
          </w:tcPr>
          <w:p>
            <w:pPr>
              <w:adjustRightInd w:val="0"/>
              <w:snapToGrid w:val="0"/>
              <w:spacing w:line="360" w:lineRule="auto"/>
              <w:jc w:val="center"/>
              <w:rPr>
                <w:rFonts w:hint="eastAsia" w:ascii="宋体" w:hAnsi="宋体"/>
                <w:color w:val="auto"/>
                <w:sz w:val="24"/>
                <w:szCs w:val="24"/>
              </w:rPr>
            </w:pPr>
          </w:p>
        </w:tc>
        <w:tc>
          <w:tcPr>
            <w:tcW w:w="3069" w:type="dxa"/>
            <w:tcBorders>
              <w:right w:val="single" w:color="auto" w:sz="4" w:space="0"/>
            </w:tcBorders>
            <w:noWrap w:val="0"/>
            <w:vAlign w:val="center"/>
          </w:tcPr>
          <w:p>
            <w:pPr>
              <w:adjustRightInd w:val="0"/>
              <w:snapToGrid w:val="0"/>
              <w:spacing w:line="360" w:lineRule="auto"/>
              <w:jc w:val="center"/>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left w:val="single" w:color="auto" w:sz="4" w:space="0"/>
            </w:tcBorders>
            <w:noWrap w:val="0"/>
            <w:vAlign w:val="center"/>
          </w:tcPr>
          <w:p>
            <w:pPr>
              <w:spacing w:line="360" w:lineRule="auto"/>
              <w:jc w:val="center"/>
              <w:rPr>
                <w:rFonts w:hint="eastAsia" w:ascii="宋体" w:hAnsi="宋体"/>
                <w:color w:val="auto"/>
                <w:sz w:val="24"/>
                <w:szCs w:val="24"/>
              </w:rPr>
            </w:pPr>
            <w:r>
              <w:rPr>
                <w:rFonts w:hint="eastAsia" w:ascii="宋体" w:hAnsi="宋体"/>
                <w:color w:val="auto"/>
                <w:sz w:val="24"/>
                <w:szCs w:val="24"/>
              </w:rPr>
              <w:t>7</w:t>
            </w:r>
          </w:p>
        </w:tc>
        <w:tc>
          <w:tcPr>
            <w:tcW w:w="2268" w:type="dxa"/>
            <w:noWrap w:val="0"/>
            <w:vAlign w:val="center"/>
          </w:tcPr>
          <w:p>
            <w:pPr>
              <w:spacing w:line="360" w:lineRule="auto"/>
              <w:jc w:val="center"/>
              <w:rPr>
                <w:rFonts w:hint="eastAsia" w:ascii="宋体" w:hAnsi="宋体"/>
                <w:color w:val="auto"/>
                <w:sz w:val="24"/>
                <w:szCs w:val="24"/>
              </w:rPr>
            </w:pPr>
          </w:p>
        </w:tc>
        <w:tc>
          <w:tcPr>
            <w:tcW w:w="1923" w:type="dxa"/>
            <w:noWrap w:val="0"/>
            <w:vAlign w:val="center"/>
          </w:tcPr>
          <w:p>
            <w:pPr>
              <w:spacing w:line="360" w:lineRule="auto"/>
              <w:jc w:val="center"/>
              <w:rPr>
                <w:rFonts w:hint="eastAsia" w:ascii="宋体" w:hAnsi="宋体"/>
                <w:color w:val="auto"/>
                <w:sz w:val="24"/>
                <w:szCs w:val="24"/>
              </w:rPr>
            </w:pPr>
          </w:p>
        </w:tc>
        <w:tc>
          <w:tcPr>
            <w:tcW w:w="959" w:type="dxa"/>
            <w:noWrap w:val="0"/>
            <w:vAlign w:val="center"/>
          </w:tcPr>
          <w:p>
            <w:pPr>
              <w:spacing w:line="360" w:lineRule="auto"/>
              <w:jc w:val="center"/>
              <w:rPr>
                <w:rFonts w:hint="eastAsia" w:ascii="宋体" w:hAnsi="宋体"/>
                <w:color w:val="auto"/>
                <w:sz w:val="24"/>
                <w:szCs w:val="24"/>
              </w:rPr>
            </w:pPr>
          </w:p>
        </w:tc>
        <w:tc>
          <w:tcPr>
            <w:tcW w:w="3069" w:type="dxa"/>
            <w:tcBorders>
              <w:right w:val="single" w:color="auto" w:sz="4" w:space="0"/>
            </w:tcBorders>
            <w:noWrap w:val="0"/>
            <w:vAlign w:val="center"/>
          </w:tcPr>
          <w:p>
            <w:pPr>
              <w:spacing w:line="360" w:lineRule="auto"/>
              <w:jc w:val="center"/>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left w:val="single" w:color="auto" w:sz="4" w:space="0"/>
            </w:tcBorders>
            <w:noWrap w:val="0"/>
            <w:vAlign w:val="center"/>
          </w:tcPr>
          <w:p>
            <w:pPr>
              <w:adjustRightInd w:val="0"/>
              <w:snapToGrid w:val="0"/>
              <w:spacing w:line="360" w:lineRule="auto"/>
              <w:jc w:val="center"/>
              <w:rPr>
                <w:rFonts w:hint="eastAsia" w:ascii="宋体" w:hAnsi="宋体"/>
                <w:color w:val="auto"/>
                <w:sz w:val="24"/>
                <w:szCs w:val="24"/>
              </w:rPr>
            </w:pPr>
            <w:r>
              <w:rPr>
                <w:rFonts w:hint="eastAsia" w:ascii="宋体" w:hAnsi="宋体"/>
                <w:color w:val="auto"/>
                <w:sz w:val="24"/>
                <w:szCs w:val="24"/>
              </w:rPr>
              <w:t>8</w:t>
            </w:r>
          </w:p>
        </w:tc>
        <w:tc>
          <w:tcPr>
            <w:tcW w:w="2268" w:type="dxa"/>
            <w:noWrap w:val="0"/>
            <w:vAlign w:val="center"/>
          </w:tcPr>
          <w:p>
            <w:pPr>
              <w:adjustRightInd w:val="0"/>
              <w:snapToGrid w:val="0"/>
              <w:spacing w:line="360" w:lineRule="auto"/>
              <w:jc w:val="center"/>
              <w:rPr>
                <w:rFonts w:hint="eastAsia" w:ascii="宋体" w:hAnsi="宋体"/>
                <w:color w:val="auto"/>
                <w:sz w:val="24"/>
                <w:szCs w:val="24"/>
              </w:rPr>
            </w:pPr>
          </w:p>
        </w:tc>
        <w:tc>
          <w:tcPr>
            <w:tcW w:w="1923" w:type="dxa"/>
            <w:noWrap w:val="0"/>
            <w:vAlign w:val="center"/>
          </w:tcPr>
          <w:p>
            <w:pPr>
              <w:adjustRightInd w:val="0"/>
              <w:snapToGrid w:val="0"/>
              <w:spacing w:line="360" w:lineRule="auto"/>
              <w:jc w:val="center"/>
              <w:rPr>
                <w:rFonts w:hint="eastAsia" w:ascii="宋体" w:hAnsi="宋体"/>
                <w:color w:val="auto"/>
                <w:sz w:val="24"/>
                <w:szCs w:val="24"/>
              </w:rPr>
            </w:pPr>
          </w:p>
        </w:tc>
        <w:tc>
          <w:tcPr>
            <w:tcW w:w="959" w:type="dxa"/>
            <w:noWrap w:val="0"/>
            <w:vAlign w:val="center"/>
          </w:tcPr>
          <w:p>
            <w:pPr>
              <w:adjustRightInd w:val="0"/>
              <w:snapToGrid w:val="0"/>
              <w:spacing w:line="360" w:lineRule="auto"/>
              <w:jc w:val="center"/>
              <w:rPr>
                <w:rFonts w:hint="eastAsia" w:ascii="宋体" w:hAnsi="宋体"/>
                <w:color w:val="auto"/>
                <w:sz w:val="24"/>
                <w:szCs w:val="24"/>
              </w:rPr>
            </w:pPr>
          </w:p>
        </w:tc>
        <w:tc>
          <w:tcPr>
            <w:tcW w:w="3069" w:type="dxa"/>
            <w:tcBorders>
              <w:right w:val="single" w:color="auto" w:sz="4" w:space="0"/>
            </w:tcBorders>
            <w:noWrap w:val="0"/>
            <w:vAlign w:val="center"/>
          </w:tcPr>
          <w:p>
            <w:pPr>
              <w:adjustRightInd w:val="0"/>
              <w:snapToGrid w:val="0"/>
              <w:spacing w:line="360" w:lineRule="auto"/>
              <w:jc w:val="center"/>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left w:val="single" w:color="auto" w:sz="4" w:space="0"/>
            </w:tcBorders>
            <w:noWrap w:val="0"/>
            <w:vAlign w:val="center"/>
          </w:tcPr>
          <w:p>
            <w:pPr>
              <w:adjustRightInd w:val="0"/>
              <w:snapToGrid w:val="0"/>
              <w:spacing w:line="360" w:lineRule="auto"/>
              <w:jc w:val="center"/>
              <w:rPr>
                <w:rFonts w:hint="eastAsia" w:ascii="宋体" w:hAnsi="宋体"/>
                <w:color w:val="auto"/>
                <w:sz w:val="24"/>
                <w:szCs w:val="24"/>
              </w:rPr>
            </w:pPr>
            <w:r>
              <w:rPr>
                <w:rFonts w:hint="eastAsia" w:ascii="宋体" w:hAnsi="宋体"/>
                <w:color w:val="auto"/>
                <w:sz w:val="24"/>
                <w:szCs w:val="24"/>
              </w:rPr>
              <w:t>9</w:t>
            </w:r>
          </w:p>
        </w:tc>
        <w:tc>
          <w:tcPr>
            <w:tcW w:w="2268" w:type="dxa"/>
            <w:noWrap w:val="0"/>
            <w:vAlign w:val="center"/>
          </w:tcPr>
          <w:p>
            <w:pPr>
              <w:adjustRightInd w:val="0"/>
              <w:snapToGrid w:val="0"/>
              <w:spacing w:line="360" w:lineRule="auto"/>
              <w:jc w:val="center"/>
              <w:rPr>
                <w:rFonts w:hint="eastAsia" w:ascii="宋体" w:hAnsi="宋体"/>
                <w:color w:val="auto"/>
                <w:sz w:val="24"/>
                <w:szCs w:val="24"/>
              </w:rPr>
            </w:pPr>
          </w:p>
        </w:tc>
        <w:tc>
          <w:tcPr>
            <w:tcW w:w="1923" w:type="dxa"/>
            <w:noWrap w:val="0"/>
            <w:vAlign w:val="center"/>
          </w:tcPr>
          <w:p>
            <w:pPr>
              <w:adjustRightInd w:val="0"/>
              <w:snapToGrid w:val="0"/>
              <w:spacing w:line="360" w:lineRule="auto"/>
              <w:jc w:val="center"/>
              <w:rPr>
                <w:rFonts w:hint="eastAsia" w:ascii="宋体" w:hAnsi="宋体"/>
                <w:color w:val="auto"/>
                <w:sz w:val="24"/>
                <w:szCs w:val="24"/>
              </w:rPr>
            </w:pPr>
          </w:p>
        </w:tc>
        <w:tc>
          <w:tcPr>
            <w:tcW w:w="959" w:type="dxa"/>
            <w:noWrap w:val="0"/>
            <w:vAlign w:val="center"/>
          </w:tcPr>
          <w:p>
            <w:pPr>
              <w:adjustRightInd w:val="0"/>
              <w:snapToGrid w:val="0"/>
              <w:spacing w:line="360" w:lineRule="auto"/>
              <w:jc w:val="center"/>
              <w:rPr>
                <w:rFonts w:hint="eastAsia" w:ascii="宋体" w:hAnsi="宋体"/>
                <w:color w:val="auto"/>
                <w:sz w:val="24"/>
                <w:szCs w:val="24"/>
              </w:rPr>
            </w:pPr>
          </w:p>
        </w:tc>
        <w:tc>
          <w:tcPr>
            <w:tcW w:w="3069" w:type="dxa"/>
            <w:tcBorders>
              <w:right w:val="single" w:color="auto" w:sz="4" w:space="0"/>
            </w:tcBorders>
            <w:noWrap w:val="0"/>
            <w:vAlign w:val="center"/>
          </w:tcPr>
          <w:p>
            <w:pPr>
              <w:adjustRightInd w:val="0"/>
              <w:snapToGrid w:val="0"/>
              <w:spacing w:line="360" w:lineRule="auto"/>
              <w:jc w:val="center"/>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left w:val="single" w:color="auto" w:sz="4" w:space="0"/>
              <w:bottom w:val="single" w:color="auto" w:sz="4" w:space="0"/>
            </w:tcBorders>
            <w:noWrap w:val="0"/>
            <w:vAlign w:val="center"/>
          </w:tcPr>
          <w:p>
            <w:pPr>
              <w:adjustRightInd w:val="0"/>
              <w:snapToGrid w:val="0"/>
              <w:spacing w:line="360" w:lineRule="auto"/>
              <w:jc w:val="center"/>
              <w:rPr>
                <w:rFonts w:hint="eastAsia" w:ascii="宋体" w:hAnsi="宋体"/>
                <w:color w:val="auto"/>
                <w:sz w:val="24"/>
                <w:szCs w:val="24"/>
              </w:rPr>
            </w:pPr>
            <w:r>
              <w:rPr>
                <w:rFonts w:hint="eastAsia" w:ascii="宋体" w:hAnsi="宋体"/>
                <w:color w:val="auto"/>
                <w:sz w:val="24"/>
                <w:szCs w:val="24"/>
              </w:rPr>
              <w:t>10</w:t>
            </w:r>
          </w:p>
        </w:tc>
        <w:tc>
          <w:tcPr>
            <w:tcW w:w="2268" w:type="dxa"/>
            <w:tcBorders>
              <w:bottom w:val="single" w:color="auto" w:sz="4" w:space="0"/>
            </w:tcBorders>
            <w:noWrap w:val="0"/>
            <w:vAlign w:val="center"/>
          </w:tcPr>
          <w:p>
            <w:pPr>
              <w:adjustRightInd w:val="0"/>
              <w:snapToGrid w:val="0"/>
              <w:spacing w:line="360" w:lineRule="auto"/>
              <w:jc w:val="center"/>
              <w:rPr>
                <w:rFonts w:hint="eastAsia" w:ascii="宋体" w:hAnsi="宋体"/>
                <w:color w:val="auto"/>
                <w:sz w:val="24"/>
                <w:szCs w:val="24"/>
              </w:rPr>
            </w:pPr>
          </w:p>
        </w:tc>
        <w:tc>
          <w:tcPr>
            <w:tcW w:w="1923" w:type="dxa"/>
            <w:tcBorders>
              <w:bottom w:val="single" w:color="auto" w:sz="4" w:space="0"/>
            </w:tcBorders>
            <w:noWrap w:val="0"/>
            <w:vAlign w:val="center"/>
          </w:tcPr>
          <w:p>
            <w:pPr>
              <w:adjustRightInd w:val="0"/>
              <w:snapToGrid w:val="0"/>
              <w:spacing w:line="360" w:lineRule="auto"/>
              <w:jc w:val="center"/>
              <w:rPr>
                <w:rFonts w:hint="eastAsia" w:ascii="宋体" w:hAnsi="宋体"/>
                <w:color w:val="auto"/>
                <w:sz w:val="24"/>
                <w:szCs w:val="24"/>
              </w:rPr>
            </w:pPr>
          </w:p>
        </w:tc>
        <w:tc>
          <w:tcPr>
            <w:tcW w:w="959" w:type="dxa"/>
            <w:tcBorders>
              <w:bottom w:val="single" w:color="auto" w:sz="4" w:space="0"/>
            </w:tcBorders>
            <w:noWrap w:val="0"/>
            <w:vAlign w:val="center"/>
          </w:tcPr>
          <w:p>
            <w:pPr>
              <w:adjustRightInd w:val="0"/>
              <w:snapToGrid w:val="0"/>
              <w:spacing w:line="360" w:lineRule="auto"/>
              <w:jc w:val="center"/>
              <w:rPr>
                <w:rFonts w:hint="eastAsia" w:ascii="宋体" w:hAnsi="宋体"/>
                <w:color w:val="auto"/>
                <w:sz w:val="24"/>
                <w:szCs w:val="24"/>
              </w:rPr>
            </w:pPr>
          </w:p>
        </w:tc>
        <w:tc>
          <w:tcPr>
            <w:tcW w:w="3069" w:type="dxa"/>
            <w:tcBorders>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color w:val="auto"/>
                <w:sz w:val="24"/>
                <w:szCs w:val="24"/>
              </w:rPr>
            </w:pPr>
          </w:p>
        </w:tc>
      </w:tr>
    </w:tbl>
    <w:p>
      <w:pPr>
        <w:autoSpaceDE w:val="0"/>
        <w:autoSpaceDN w:val="0"/>
        <w:adjustRightInd w:val="0"/>
        <w:spacing w:line="360" w:lineRule="auto"/>
        <w:rPr>
          <w:rFonts w:hint="eastAsia" w:ascii="宋体" w:hAnsi="宋体"/>
          <w:b/>
          <w:bCs/>
          <w:color w:val="auto"/>
          <w:kern w:val="0"/>
          <w:sz w:val="24"/>
          <w:szCs w:val="24"/>
        </w:rPr>
      </w:pPr>
    </w:p>
    <w:p>
      <w:pPr>
        <w:autoSpaceDE w:val="0"/>
        <w:autoSpaceDN w:val="0"/>
        <w:adjustRightInd w:val="0"/>
        <w:spacing w:line="360" w:lineRule="auto"/>
        <w:ind w:firstLine="600" w:firstLineChars="250"/>
        <w:rPr>
          <w:rFonts w:hint="eastAsia" w:ascii="宋体" w:hAnsi="宋体"/>
          <w:b/>
          <w:bCs/>
          <w:color w:val="auto"/>
          <w:kern w:val="0"/>
          <w:sz w:val="24"/>
          <w:szCs w:val="24"/>
        </w:rPr>
      </w:pPr>
      <w:r>
        <w:rPr>
          <w:rFonts w:hint="eastAsia" w:ascii="宋体" w:hAnsi="宋体"/>
          <w:color w:val="auto"/>
          <w:sz w:val="24"/>
          <w:szCs w:val="24"/>
        </w:rPr>
        <w:t>我方承诺上述填报内容真实。如不真实，将按照有关规定接受处理。</w:t>
      </w:r>
    </w:p>
    <w:p>
      <w:pPr>
        <w:autoSpaceDE w:val="0"/>
        <w:autoSpaceDN w:val="0"/>
        <w:adjustRightInd w:val="0"/>
        <w:spacing w:line="360" w:lineRule="auto"/>
        <w:jc w:val="center"/>
        <w:rPr>
          <w:rFonts w:hint="eastAsia" w:ascii="宋体" w:hAnsi="宋体"/>
          <w:b/>
          <w:bCs/>
          <w:color w:val="auto"/>
          <w:kern w:val="0"/>
          <w:sz w:val="24"/>
          <w:szCs w:val="24"/>
        </w:rPr>
      </w:pPr>
    </w:p>
    <w:p>
      <w:pPr>
        <w:autoSpaceDE w:val="0"/>
        <w:autoSpaceDN w:val="0"/>
        <w:adjustRightInd w:val="0"/>
        <w:spacing w:line="360" w:lineRule="auto"/>
        <w:jc w:val="center"/>
        <w:rPr>
          <w:rFonts w:hint="eastAsia" w:ascii="宋体" w:hAnsi="宋体"/>
          <w:b/>
          <w:bCs/>
          <w:color w:val="auto"/>
          <w:kern w:val="0"/>
          <w:sz w:val="24"/>
          <w:szCs w:val="24"/>
        </w:rPr>
      </w:pPr>
    </w:p>
    <w:p>
      <w:pPr>
        <w:pStyle w:val="160"/>
        <w:spacing w:line="360" w:lineRule="auto"/>
        <w:ind w:firstLine="480" w:firstLineChars="200"/>
        <w:jc w:val="both"/>
        <w:rPr>
          <w:rFonts w:ascii="宋体" w:hAnsi="宋体" w:cs="宋体"/>
          <w:color w:val="auto"/>
        </w:rPr>
      </w:pPr>
      <w:r>
        <w:rPr>
          <w:rFonts w:hint="eastAsia" w:ascii="宋体" w:hAnsi="宋体" w:cs="宋体"/>
          <w:color w:val="auto"/>
        </w:rPr>
        <w:t>供应商名称：</w:t>
      </w:r>
      <w:r>
        <w:rPr>
          <w:rFonts w:hint="eastAsia" w:ascii="宋体" w:hAnsi="宋体" w:cs="宋体"/>
          <w:color w:val="auto"/>
          <w:u w:val="single"/>
        </w:rPr>
        <w:t xml:space="preserve">                        </w:t>
      </w:r>
      <w:r>
        <w:rPr>
          <w:rFonts w:hint="eastAsia" w:ascii="宋体" w:hAnsi="宋体" w:cs="宋体"/>
          <w:color w:val="auto"/>
        </w:rPr>
        <w:t>（盖章）</w:t>
      </w:r>
    </w:p>
    <w:p>
      <w:pPr>
        <w:pStyle w:val="160"/>
        <w:spacing w:line="360" w:lineRule="auto"/>
        <w:ind w:firstLine="480" w:firstLineChars="200"/>
        <w:jc w:val="both"/>
        <w:rPr>
          <w:rFonts w:ascii="宋体" w:hAnsi="宋体" w:cs="宋体"/>
          <w:color w:val="auto"/>
          <w:u w:val="single"/>
        </w:rPr>
      </w:pPr>
      <w:r>
        <w:rPr>
          <w:rFonts w:hint="eastAsia" w:ascii="宋体" w:hAnsi="宋体" w:cs="宋体"/>
          <w:color w:val="auto"/>
        </w:rPr>
        <w:t>法定代表人：</w:t>
      </w:r>
      <w:r>
        <w:rPr>
          <w:rFonts w:hint="eastAsia" w:ascii="宋体" w:hAnsi="宋体" w:cs="宋体"/>
          <w:color w:val="auto"/>
          <w:u w:val="single"/>
        </w:rPr>
        <w:t xml:space="preserve">                        </w:t>
      </w:r>
      <w:r>
        <w:rPr>
          <w:rFonts w:hint="eastAsia" w:ascii="宋体" w:hAnsi="宋体" w:cs="宋体"/>
          <w:color w:val="auto"/>
        </w:rPr>
        <w:t>（签字或盖章）</w:t>
      </w:r>
    </w:p>
    <w:p>
      <w:pPr>
        <w:pStyle w:val="160"/>
        <w:spacing w:line="360" w:lineRule="auto"/>
        <w:ind w:firstLine="480" w:firstLineChars="200"/>
        <w:jc w:val="both"/>
        <w:rPr>
          <w:rFonts w:ascii="宋体" w:hAnsi="宋体" w:cs="宋体"/>
          <w:color w:val="auto"/>
        </w:rPr>
      </w:pPr>
      <w:r>
        <w:rPr>
          <w:rFonts w:hint="eastAsia" w:ascii="宋体" w:hAnsi="宋体" w:cs="宋体"/>
          <w:color w:val="auto"/>
        </w:rPr>
        <w:t>委托代理人：</w:t>
      </w:r>
      <w:r>
        <w:rPr>
          <w:rFonts w:hint="eastAsia" w:ascii="宋体" w:hAnsi="宋体" w:cs="宋体"/>
          <w:color w:val="auto"/>
          <w:u w:val="single"/>
        </w:rPr>
        <w:t xml:space="preserve">                        </w:t>
      </w:r>
      <w:r>
        <w:rPr>
          <w:rFonts w:hint="eastAsia" w:ascii="宋体" w:hAnsi="宋体" w:cs="宋体"/>
          <w:color w:val="auto"/>
        </w:rPr>
        <w:t>（签字）</w:t>
      </w:r>
    </w:p>
    <w:p>
      <w:pPr>
        <w:pStyle w:val="159"/>
        <w:spacing w:line="360" w:lineRule="auto"/>
        <w:ind w:firstLine="480" w:firstLineChars="200"/>
        <w:jc w:val="both"/>
        <w:rPr>
          <w:rFonts w:ascii="宋体" w:hAnsi="宋体" w:cs="宋体"/>
          <w:color w:val="auto"/>
          <w:szCs w:val="20"/>
        </w:rPr>
      </w:pPr>
      <w:r>
        <w:rPr>
          <w:rFonts w:hint="eastAsia" w:ascii="宋体" w:hAnsi="宋体" w:cs="宋体"/>
          <w:color w:val="auto"/>
          <w:szCs w:val="20"/>
        </w:rPr>
        <w:t>日期：  年   月   日</w:t>
      </w:r>
    </w:p>
    <w:p>
      <w:pPr>
        <w:pStyle w:val="2"/>
        <w:rPr>
          <w:rFonts w:hint="eastAsia"/>
        </w:rPr>
      </w:pPr>
    </w:p>
    <w:p>
      <w:pPr>
        <w:rPr>
          <w:rFonts w:hint="eastAsia" w:ascii="宋体" w:hAnsi="宋体"/>
          <w:color w:val="auto"/>
          <w:sz w:val="24"/>
          <w:szCs w:val="24"/>
        </w:rPr>
      </w:pPr>
      <w:r>
        <w:rPr>
          <w:rFonts w:hint="eastAsia" w:ascii="宋体" w:hAnsi="宋体"/>
          <w:color w:val="auto"/>
          <w:sz w:val="24"/>
          <w:szCs w:val="24"/>
        </w:rPr>
        <w:br w:type="page"/>
      </w:r>
    </w:p>
    <w:p>
      <w:pPr>
        <w:spacing w:line="360" w:lineRule="auto"/>
        <w:jc w:val="center"/>
        <w:rPr>
          <w:rFonts w:hint="eastAsia" w:ascii="宋体" w:hAnsi="宋体"/>
          <w:b/>
          <w:color w:val="auto"/>
          <w:sz w:val="24"/>
          <w:szCs w:val="24"/>
        </w:rPr>
      </w:pPr>
      <w:r>
        <w:rPr>
          <w:rFonts w:hint="eastAsia" w:ascii="宋体" w:hAnsi="宋体"/>
          <w:b/>
          <w:color w:val="auto"/>
          <w:sz w:val="24"/>
          <w:szCs w:val="24"/>
        </w:rPr>
        <w:t>施工监理大纲</w:t>
      </w:r>
    </w:p>
    <w:p>
      <w:pPr>
        <w:spacing w:line="360" w:lineRule="auto"/>
        <w:rPr>
          <w:rFonts w:hint="eastAsia" w:ascii="宋体" w:hAnsi="宋体"/>
          <w:color w:val="auto"/>
          <w:sz w:val="24"/>
          <w:szCs w:val="24"/>
        </w:rPr>
      </w:pPr>
    </w:p>
    <w:p>
      <w:pPr>
        <w:pStyle w:val="19"/>
        <w:spacing w:line="360" w:lineRule="auto"/>
        <w:ind w:left="0" w:leftChars="0" w:firstLine="480" w:firstLineChars="200"/>
        <w:rPr>
          <w:rFonts w:hint="eastAsia" w:ascii="宋体" w:hAnsi="宋体" w:eastAsia="宋体"/>
          <w:color w:val="auto"/>
          <w:sz w:val="24"/>
          <w:szCs w:val="24"/>
        </w:rPr>
      </w:pPr>
      <w:r>
        <w:rPr>
          <w:rFonts w:hint="eastAsia" w:ascii="宋体" w:hAnsi="宋体" w:eastAsia="宋体"/>
          <w:color w:val="auto"/>
          <w:sz w:val="24"/>
          <w:szCs w:val="24"/>
          <w:lang w:eastAsia="zh-CN"/>
        </w:rPr>
        <w:t>供应商</w:t>
      </w:r>
      <w:r>
        <w:rPr>
          <w:rFonts w:hint="eastAsia" w:ascii="宋体" w:hAnsi="宋体" w:eastAsia="宋体"/>
          <w:color w:val="auto"/>
          <w:sz w:val="24"/>
          <w:szCs w:val="24"/>
        </w:rPr>
        <w:t>应根据采购项目的具体情况，编织相应的监理大纲。监理大纲部分主要包括下列内容：</w:t>
      </w:r>
    </w:p>
    <w:p>
      <w:pPr>
        <w:spacing w:line="360" w:lineRule="auto"/>
        <w:ind w:firstLine="484" w:firstLineChars="202"/>
        <w:rPr>
          <w:rFonts w:hint="eastAsia" w:ascii="宋体" w:hAnsi="宋体"/>
          <w:color w:val="auto"/>
          <w:kern w:val="0"/>
          <w:sz w:val="24"/>
          <w:szCs w:val="24"/>
        </w:rPr>
      </w:pPr>
      <w:r>
        <w:rPr>
          <w:rFonts w:hint="eastAsia" w:ascii="宋体" w:hAnsi="宋体"/>
          <w:color w:val="auto"/>
          <w:kern w:val="0"/>
          <w:sz w:val="24"/>
          <w:szCs w:val="24"/>
        </w:rPr>
        <w:t>1 工程监理概述；</w:t>
      </w:r>
    </w:p>
    <w:p>
      <w:pPr>
        <w:spacing w:line="360" w:lineRule="auto"/>
        <w:ind w:firstLine="484" w:firstLineChars="202"/>
        <w:rPr>
          <w:rFonts w:hint="eastAsia" w:ascii="宋体" w:hAnsi="宋体"/>
          <w:color w:val="auto"/>
          <w:kern w:val="0"/>
          <w:sz w:val="24"/>
          <w:szCs w:val="24"/>
        </w:rPr>
      </w:pPr>
      <w:r>
        <w:rPr>
          <w:rFonts w:hint="eastAsia" w:ascii="宋体" w:hAnsi="宋体"/>
          <w:color w:val="auto"/>
          <w:kern w:val="0"/>
          <w:sz w:val="24"/>
          <w:szCs w:val="24"/>
        </w:rPr>
        <w:t>2 质量控制；</w:t>
      </w:r>
    </w:p>
    <w:p>
      <w:pPr>
        <w:spacing w:line="360" w:lineRule="auto"/>
        <w:ind w:firstLine="484" w:firstLineChars="202"/>
        <w:rPr>
          <w:rFonts w:hint="eastAsia" w:ascii="宋体" w:hAnsi="宋体"/>
          <w:color w:val="auto"/>
          <w:kern w:val="0"/>
          <w:sz w:val="24"/>
          <w:szCs w:val="24"/>
        </w:rPr>
      </w:pPr>
      <w:r>
        <w:rPr>
          <w:rFonts w:hint="eastAsia" w:ascii="宋体" w:hAnsi="宋体"/>
          <w:color w:val="auto"/>
          <w:kern w:val="0"/>
          <w:sz w:val="24"/>
          <w:szCs w:val="24"/>
        </w:rPr>
        <w:t>3 进度控制；</w:t>
      </w:r>
    </w:p>
    <w:p>
      <w:pPr>
        <w:spacing w:line="360" w:lineRule="auto"/>
        <w:ind w:firstLine="484" w:firstLineChars="202"/>
        <w:rPr>
          <w:rFonts w:hint="eastAsia" w:ascii="宋体" w:hAnsi="宋体"/>
          <w:color w:val="auto"/>
          <w:kern w:val="0"/>
          <w:sz w:val="24"/>
          <w:szCs w:val="24"/>
        </w:rPr>
      </w:pPr>
      <w:r>
        <w:rPr>
          <w:rFonts w:hint="eastAsia" w:ascii="宋体" w:hAnsi="宋体"/>
          <w:color w:val="auto"/>
          <w:kern w:val="0"/>
          <w:sz w:val="24"/>
          <w:szCs w:val="24"/>
        </w:rPr>
        <w:t>4 投资控制；</w:t>
      </w:r>
    </w:p>
    <w:p>
      <w:pPr>
        <w:spacing w:line="360" w:lineRule="auto"/>
        <w:ind w:firstLine="484" w:firstLineChars="202"/>
        <w:rPr>
          <w:rFonts w:hint="eastAsia" w:ascii="宋体" w:hAnsi="宋体"/>
          <w:color w:val="auto"/>
          <w:kern w:val="0"/>
          <w:sz w:val="24"/>
          <w:szCs w:val="24"/>
        </w:rPr>
      </w:pPr>
      <w:r>
        <w:rPr>
          <w:rFonts w:hint="eastAsia" w:ascii="宋体" w:hAnsi="宋体"/>
          <w:color w:val="auto"/>
          <w:kern w:val="0"/>
          <w:sz w:val="24"/>
          <w:szCs w:val="24"/>
        </w:rPr>
        <w:t>5 安全监督；</w:t>
      </w:r>
    </w:p>
    <w:p>
      <w:pPr>
        <w:spacing w:line="360" w:lineRule="auto"/>
        <w:ind w:firstLine="484" w:firstLineChars="202"/>
        <w:rPr>
          <w:rFonts w:hint="eastAsia" w:ascii="宋体" w:hAnsi="宋体"/>
          <w:color w:val="auto"/>
          <w:kern w:val="0"/>
          <w:sz w:val="24"/>
          <w:szCs w:val="24"/>
        </w:rPr>
      </w:pPr>
      <w:r>
        <w:rPr>
          <w:rFonts w:hint="eastAsia" w:ascii="宋体" w:hAnsi="宋体"/>
          <w:color w:val="auto"/>
          <w:kern w:val="0"/>
          <w:sz w:val="24"/>
          <w:szCs w:val="24"/>
        </w:rPr>
        <w:t>6 组织协调；</w:t>
      </w:r>
    </w:p>
    <w:p>
      <w:pPr>
        <w:spacing w:line="360" w:lineRule="auto"/>
        <w:ind w:firstLine="484" w:firstLineChars="202"/>
        <w:rPr>
          <w:rFonts w:ascii="宋体" w:hAnsi="宋体"/>
          <w:color w:val="auto"/>
          <w:kern w:val="0"/>
          <w:sz w:val="24"/>
          <w:szCs w:val="24"/>
        </w:rPr>
      </w:pPr>
      <w:r>
        <w:rPr>
          <w:rFonts w:hint="eastAsia" w:ascii="宋体" w:hAnsi="宋体"/>
          <w:color w:val="auto"/>
          <w:kern w:val="0"/>
          <w:sz w:val="24"/>
          <w:szCs w:val="24"/>
        </w:rPr>
        <w:t>7 合同信息资料管理；</w:t>
      </w:r>
    </w:p>
    <w:p>
      <w:pPr>
        <w:pStyle w:val="13"/>
        <w:spacing w:line="360" w:lineRule="auto"/>
        <w:ind w:firstLine="0" w:firstLineChars="0"/>
        <w:jc w:val="left"/>
        <w:rPr>
          <w:rFonts w:hint="eastAsia" w:ascii="宋体" w:hAnsi="宋体" w:eastAsia="宋体" w:cs="宋体"/>
          <w:color w:val="auto"/>
          <w:sz w:val="24"/>
          <w:szCs w:val="24"/>
          <w:lang w:eastAsia="zh-CN"/>
        </w:rPr>
      </w:pPr>
    </w:p>
    <w:p>
      <w:pPr>
        <w:pStyle w:val="159"/>
        <w:spacing w:line="360" w:lineRule="auto"/>
        <w:jc w:val="center"/>
        <w:rPr>
          <w:rFonts w:ascii="宋体" w:hAnsi="宋体" w:cs="宋体"/>
          <w:bCs/>
          <w:color w:val="auto"/>
        </w:rPr>
      </w:pPr>
    </w:p>
    <w:p>
      <w:pPr>
        <w:pStyle w:val="13"/>
        <w:spacing w:line="360" w:lineRule="auto"/>
        <w:ind w:firstLine="0" w:firstLineChars="0"/>
        <w:jc w:val="left"/>
        <w:rPr>
          <w:rFonts w:ascii="宋体" w:hAnsi="宋体" w:cs="宋体"/>
          <w:color w:val="auto"/>
          <w:sz w:val="24"/>
          <w:szCs w:val="24"/>
        </w:rPr>
      </w:pPr>
    </w:p>
    <w:p>
      <w:pPr>
        <w:rPr>
          <w:rFonts w:hint="eastAsia" w:ascii="宋体" w:hAnsi="宋体" w:cs="宋体"/>
          <w:b/>
          <w:bCs/>
          <w:color w:val="auto"/>
          <w:sz w:val="24"/>
          <w:szCs w:val="24"/>
        </w:rPr>
      </w:pPr>
      <w:r>
        <w:rPr>
          <w:rFonts w:hint="eastAsia" w:ascii="宋体" w:hAnsi="宋体" w:cs="宋体"/>
          <w:b/>
          <w:bCs/>
          <w:color w:val="auto"/>
          <w:sz w:val="24"/>
          <w:szCs w:val="24"/>
        </w:rPr>
        <w:br w:type="page"/>
      </w:r>
    </w:p>
    <w:p>
      <w:pPr>
        <w:spacing w:line="360" w:lineRule="auto"/>
        <w:jc w:val="center"/>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供应商认为有必要提供其他材料（如有）</w:t>
      </w:r>
    </w:p>
    <w:bookmarkEnd w:id="46"/>
    <w:p>
      <w:pPr>
        <w:spacing w:line="360" w:lineRule="auto"/>
        <w:rPr>
          <w:rFonts w:ascii="宋体" w:hAnsi="宋体" w:cs="宋体"/>
          <w:color w:val="auto"/>
          <w:sz w:val="24"/>
          <w:szCs w:val="24"/>
        </w:rPr>
      </w:pPr>
    </w:p>
    <w:sectPr>
      <w:footerReference r:id="rId11" w:type="first"/>
      <w:footerReference r:id="rId10" w:type="default"/>
      <w:pgSz w:w="11906" w:h="16838"/>
      <w:pgMar w:top="1440" w:right="1797" w:bottom="1440" w:left="1797" w:header="851" w:footer="992" w:gutter="0"/>
      <w:pgBorders>
        <w:top w:val="none" w:sz="0" w:space="0"/>
        <w:left w:val="none" w:sz="0" w:space="0"/>
        <w:bottom w:val="none" w:sz="0" w:space="0"/>
        <w:right w:val="none" w:sz="0" w:space="0"/>
      </w:pgBorders>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fldChar w:fldCharType="begin"/>
    </w:r>
    <w:r>
      <w:instrText xml:space="preserve"> PAGE   \* MERGEFORMAT </w:instrText>
    </w:r>
    <w:r>
      <w:fldChar w:fldCharType="separate"/>
    </w:r>
    <w:r>
      <w:rPr>
        <w:lang w:val="zh-CN"/>
      </w:rPr>
      <w:t>71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jc w:val="center"/>
                          </w:pPr>
                          <w:r>
                            <w:fldChar w:fldCharType="begin"/>
                          </w:r>
                          <w:r>
                            <w:instrText xml:space="preserve"> PAGE   \* MERGEFORMAT </w:instrText>
                          </w:r>
                          <w:r>
                            <w:fldChar w:fldCharType="separate"/>
                          </w:r>
                          <w:r>
                            <w:rPr>
                              <w:lang w:val="zh-CN"/>
                            </w:rPr>
                            <w:t>35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26"/>
                      <w:jc w:val="center"/>
                    </w:pPr>
                    <w:r>
                      <w:fldChar w:fldCharType="begin"/>
                    </w:r>
                    <w:r>
                      <w:instrText xml:space="preserve"> PAGE   \* MERGEFORMAT </w:instrText>
                    </w:r>
                    <w:r>
                      <w:fldChar w:fldCharType="separate"/>
                    </w:r>
                    <w:r>
                      <w:rPr>
                        <w:lang w:val="zh-CN"/>
                      </w:rPr>
                      <w:t>35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2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tabs>
        <w:tab w:val="left" w:pos="6255"/>
      </w:tabs>
      <w:jc w:val="left"/>
    </w:pPr>
    <w:r>
      <w:rPr>
        <w:rFonts w:hint="eastAsia"/>
      </w:rPr>
      <w:tab/>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861F8C"/>
    <w:multiLevelType w:val="multilevel"/>
    <w:tmpl w:val="1B861F8C"/>
    <w:lvl w:ilvl="0" w:tentative="0">
      <w:start w:val="1"/>
      <w:numFmt w:val="bullet"/>
      <w:pStyle w:val="178"/>
      <w:lvlText w:val=""/>
      <w:lvlJc w:val="left"/>
      <w:pPr>
        <w:ind w:left="620" w:hanging="420"/>
      </w:pPr>
      <w:rPr>
        <w:rFonts w:hint="default" w:ascii="Wingdings" w:hAnsi="Wingdings"/>
        <w:sz w:val="24"/>
      </w:r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1">
    <w:nsid w:val="2A0AEBD3"/>
    <w:multiLevelType w:val="singleLevel"/>
    <w:tmpl w:val="2A0AEBD3"/>
    <w:lvl w:ilvl="0" w:tentative="0">
      <w:start w:val="1"/>
      <w:numFmt w:val="chineseCounting"/>
      <w:suff w:val="nothing"/>
      <w:lvlText w:val="%1、"/>
      <w:lvlJc w:val="left"/>
      <w:pPr>
        <w:ind w:left="-62"/>
      </w:pPr>
      <w:rPr>
        <w:rFonts w:hint="eastAsia"/>
      </w:rPr>
    </w:lvl>
  </w:abstractNum>
  <w:abstractNum w:abstractNumId="2">
    <w:nsid w:val="4F2E0E64"/>
    <w:multiLevelType w:val="singleLevel"/>
    <w:tmpl w:val="4F2E0E64"/>
    <w:lvl w:ilvl="0" w:tentative="0">
      <w:start w:val="4"/>
      <w:numFmt w:val="decimal"/>
      <w:suff w:val="nothing"/>
      <w:lvlText w:val="%1．"/>
      <w:lvlJc w:val="left"/>
    </w:lvl>
  </w:abstractNum>
  <w:abstractNum w:abstractNumId="3">
    <w:nsid w:val="5761F54D"/>
    <w:multiLevelType w:val="singleLevel"/>
    <w:tmpl w:val="5761F54D"/>
    <w:lvl w:ilvl="0" w:tentative="0">
      <w:start w:val="1"/>
      <w:numFmt w:val="chineseCounting"/>
      <w:suff w:val="space"/>
      <w:lvlText w:val="第%1部分"/>
      <w:lvlJc w:val="left"/>
      <w:rPr>
        <w:rFonts w:hint="eastAsia"/>
      </w:rPr>
    </w:lvl>
  </w:abstractNum>
  <w:abstractNum w:abstractNumId="4">
    <w:nsid w:val="656D6133"/>
    <w:multiLevelType w:val="multilevel"/>
    <w:tmpl w:val="656D6133"/>
    <w:lvl w:ilvl="0" w:tentative="0">
      <w:start w:val="1"/>
      <w:numFmt w:val="chineseCountingThousand"/>
      <w:pStyle w:val="146"/>
      <w:suff w:val="nothing"/>
      <w:lvlText w:val="第%1部分"/>
      <w:lvlJc w:val="center"/>
      <w:pPr>
        <w:ind w:left="0" w:firstLine="288"/>
      </w:pPr>
      <w:rPr>
        <w:rFonts w:hint="eastAsia"/>
        <w:sz w:val="28"/>
        <w:szCs w:val="28"/>
      </w:rPr>
    </w:lvl>
    <w:lvl w:ilvl="1" w:tentative="0">
      <w:start w:val="1"/>
      <w:numFmt w:val="chineseCountingThousand"/>
      <w:pStyle w:val="4"/>
      <w:suff w:val="nothing"/>
      <w:lvlText w:val="%2、"/>
      <w:lvlJc w:val="left"/>
      <w:pPr>
        <w:ind w:left="240" w:firstLine="0"/>
      </w:pPr>
      <w:rPr>
        <w:rFonts w:hint="eastAsia" w:ascii="宋体" w:hAnsi="宋体" w:eastAsia="宋体"/>
        <w:sz w:val="24"/>
        <w:szCs w:val="24"/>
        <w:lang w:val="en-US"/>
      </w:rPr>
    </w:lvl>
    <w:lvl w:ilvl="2" w:tentative="0">
      <w:start w:val="1"/>
      <w:numFmt w:val="chineseCountingThousand"/>
      <w:pStyle w:val="5"/>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6"/>
      <w:suff w:val="nothing"/>
      <w:lvlText w:val="%4、"/>
      <w:lvlJc w:val="left"/>
      <w:pPr>
        <w:ind w:left="0" w:firstLine="0"/>
      </w:pPr>
      <w:rPr>
        <w:rFonts w:hint="eastAsia"/>
      </w:rPr>
    </w:lvl>
    <w:lvl w:ilvl="4" w:tentative="0">
      <w:start w:val="1"/>
      <w:numFmt w:val="upperLetter"/>
      <w:pStyle w:val="7"/>
      <w:suff w:val="nothing"/>
      <w:lvlText w:val="%5、"/>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3ZGIxYzM0NDM5NGFjZGQ3OWFhNzc4ZTMxMDE5ZjcifQ=="/>
  </w:docVars>
  <w:rsids>
    <w:rsidRoot w:val="00A719E8"/>
    <w:rsid w:val="00001F6D"/>
    <w:rsid w:val="00002752"/>
    <w:rsid w:val="000101A1"/>
    <w:rsid w:val="000131CE"/>
    <w:rsid w:val="00016CEC"/>
    <w:rsid w:val="0001778D"/>
    <w:rsid w:val="00030B50"/>
    <w:rsid w:val="00031E7A"/>
    <w:rsid w:val="00032FAA"/>
    <w:rsid w:val="0003336B"/>
    <w:rsid w:val="00034D61"/>
    <w:rsid w:val="00041446"/>
    <w:rsid w:val="00041C0D"/>
    <w:rsid w:val="000446B4"/>
    <w:rsid w:val="0005150C"/>
    <w:rsid w:val="00052611"/>
    <w:rsid w:val="00065865"/>
    <w:rsid w:val="0007218F"/>
    <w:rsid w:val="00076986"/>
    <w:rsid w:val="00083919"/>
    <w:rsid w:val="00090A53"/>
    <w:rsid w:val="00090E5F"/>
    <w:rsid w:val="00091420"/>
    <w:rsid w:val="000942AA"/>
    <w:rsid w:val="00096805"/>
    <w:rsid w:val="000A00D5"/>
    <w:rsid w:val="000A33D3"/>
    <w:rsid w:val="000B167E"/>
    <w:rsid w:val="000B20E3"/>
    <w:rsid w:val="000C6A1F"/>
    <w:rsid w:val="000C6AEA"/>
    <w:rsid w:val="000E130D"/>
    <w:rsid w:val="000F3978"/>
    <w:rsid w:val="000F4839"/>
    <w:rsid w:val="00100959"/>
    <w:rsid w:val="00102D90"/>
    <w:rsid w:val="00107AF8"/>
    <w:rsid w:val="00120830"/>
    <w:rsid w:val="00120D5B"/>
    <w:rsid w:val="00123653"/>
    <w:rsid w:val="001265FA"/>
    <w:rsid w:val="00127052"/>
    <w:rsid w:val="001271D4"/>
    <w:rsid w:val="00137B38"/>
    <w:rsid w:val="001400AD"/>
    <w:rsid w:val="0014015F"/>
    <w:rsid w:val="001503E5"/>
    <w:rsid w:val="001621C2"/>
    <w:rsid w:val="00165249"/>
    <w:rsid w:val="00166324"/>
    <w:rsid w:val="00172162"/>
    <w:rsid w:val="001738FA"/>
    <w:rsid w:val="0017456B"/>
    <w:rsid w:val="00175DCD"/>
    <w:rsid w:val="0018102D"/>
    <w:rsid w:val="001862C0"/>
    <w:rsid w:val="0019662D"/>
    <w:rsid w:val="001B3928"/>
    <w:rsid w:val="001C2236"/>
    <w:rsid w:val="001D35EF"/>
    <w:rsid w:val="001D7BEF"/>
    <w:rsid w:val="001E094D"/>
    <w:rsid w:val="001E139F"/>
    <w:rsid w:val="001E22A8"/>
    <w:rsid w:val="001E68D2"/>
    <w:rsid w:val="00200BEE"/>
    <w:rsid w:val="002013D5"/>
    <w:rsid w:val="00210825"/>
    <w:rsid w:val="002212FF"/>
    <w:rsid w:val="00225283"/>
    <w:rsid w:val="00227185"/>
    <w:rsid w:val="00243CBE"/>
    <w:rsid w:val="00247F6E"/>
    <w:rsid w:val="00257165"/>
    <w:rsid w:val="002635CB"/>
    <w:rsid w:val="002649B9"/>
    <w:rsid w:val="00265D26"/>
    <w:rsid w:val="00271B91"/>
    <w:rsid w:val="00273D81"/>
    <w:rsid w:val="00274752"/>
    <w:rsid w:val="002754FE"/>
    <w:rsid w:val="0027569A"/>
    <w:rsid w:val="00287822"/>
    <w:rsid w:val="00295F7D"/>
    <w:rsid w:val="002A10F8"/>
    <w:rsid w:val="002B1CC5"/>
    <w:rsid w:val="002B4C0A"/>
    <w:rsid w:val="002C3B71"/>
    <w:rsid w:val="002C5E1C"/>
    <w:rsid w:val="002C62B2"/>
    <w:rsid w:val="002C74E1"/>
    <w:rsid w:val="002D2458"/>
    <w:rsid w:val="002D25EF"/>
    <w:rsid w:val="002D2C3F"/>
    <w:rsid w:val="002D4C99"/>
    <w:rsid w:val="002D6B6F"/>
    <w:rsid w:val="002E6EEA"/>
    <w:rsid w:val="002F292C"/>
    <w:rsid w:val="002F30D6"/>
    <w:rsid w:val="002F4E32"/>
    <w:rsid w:val="002F709F"/>
    <w:rsid w:val="002F760E"/>
    <w:rsid w:val="00301EBD"/>
    <w:rsid w:val="00304FF3"/>
    <w:rsid w:val="00305792"/>
    <w:rsid w:val="003176CC"/>
    <w:rsid w:val="00330F86"/>
    <w:rsid w:val="003323EF"/>
    <w:rsid w:val="00334308"/>
    <w:rsid w:val="0034435B"/>
    <w:rsid w:val="0034503C"/>
    <w:rsid w:val="003459AB"/>
    <w:rsid w:val="00346DC5"/>
    <w:rsid w:val="0035097D"/>
    <w:rsid w:val="00351383"/>
    <w:rsid w:val="00357A0D"/>
    <w:rsid w:val="003629B4"/>
    <w:rsid w:val="00396B08"/>
    <w:rsid w:val="003A2553"/>
    <w:rsid w:val="003B1859"/>
    <w:rsid w:val="003B3A87"/>
    <w:rsid w:val="003B66A8"/>
    <w:rsid w:val="003F14F6"/>
    <w:rsid w:val="003F1BF7"/>
    <w:rsid w:val="003F75A5"/>
    <w:rsid w:val="003F79D9"/>
    <w:rsid w:val="00402FB8"/>
    <w:rsid w:val="00405B90"/>
    <w:rsid w:val="004125E5"/>
    <w:rsid w:val="00412FFB"/>
    <w:rsid w:val="0041756E"/>
    <w:rsid w:val="004231C9"/>
    <w:rsid w:val="00431DFC"/>
    <w:rsid w:val="004336B7"/>
    <w:rsid w:val="00435C90"/>
    <w:rsid w:val="00436424"/>
    <w:rsid w:val="00441B7C"/>
    <w:rsid w:val="00456E8F"/>
    <w:rsid w:val="004619C6"/>
    <w:rsid w:val="00464690"/>
    <w:rsid w:val="0046774D"/>
    <w:rsid w:val="00494280"/>
    <w:rsid w:val="004979F3"/>
    <w:rsid w:val="004A65B3"/>
    <w:rsid w:val="004C335E"/>
    <w:rsid w:val="004C3654"/>
    <w:rsid w:val="004D5745"/>
    <w:rsid w:val="004D7358"/>
    <w:rsid w:val="004F0826"/>
    <w:rsid w:val="004F0D20"/>
    <w:rsid w:val="00504294"/>
    <w:rsid w:val="00511C3E"/>
    <w:rsid w:val="00524B1F"/>
    <w:rsid w:val="00525451"/>
    <w:rsid w:val="005332BF"/>
    <w:rsid w:val="00534A33"/>
    <w:rsid w:val="00535BAE"/>
    <w:rsid w:val="00536605"/>
    <w:rsid w:val="00547000"/>
    <w:rsid w:val="005508D6"/>
    <w:rsid w:val="005527E7"/>
    <w:rsid w:val="00554B2A"/>
    <w:rsid w:val="005551EF"/>
    <w:rsid w:val="00566952"/>
    <w:rsid w:val="00566BDB"/>
    <w:rsid w:val="00567CDB"/>
    <w:rsid w:val="005746AB"/>
    <w:rsid w:val="00577C7B"/>
    <w:rsid w:val="005822D6"/>
    <w:rsid w:val="00590E28"/>
    <w:rsid w:val="00593008"/>
    <w:rsid w:val="00594D68"/>
    <w:rsid w:val="005A0C82"/>
    <w:rsid w:val="005A3669"/>
    <w:rsid w:val="005B0030"/>
    <w:rsid w:val="005B04C3"/>
    <w:rsid w:val="005B2285"/>
    <w:rsid w:val="005B280E"/>
    <w:rsid w:val="005B7403"/>
    <w:rsid w:val="005C1B2D"/>
    <w:rsid w:val="005C373C"/>
    <w:rsid w:val="005C57E3"/>
    <w:rsid w:val="005D29FA"/>
    <w:rsid w:val="005E1318"/>
    <w:rsid w:val="005E4C7C"/>
    <w:rsid w:val="005E6F5A"/>
    <w:rsid w:val="005F02A9"/>
    <w:rsid w:val="0060704B"/>
    <w:rsid w:val="00611964"/>
    <w:rsid w:val="00622F44"/>
    <w:rsid w:val="00626F18"/>
    <w:rsid w:val="00631E5C"/>
    <w:rsid w:val="00644F67"/>
    <w:rsid w:val="00651227"/>
    <w:rsid w:val="00652E66"/>
    <w:rsid w:val="0065428B"/>
    <w:rsid w:val="00663EAC"/>
    <w:rsid w:val="00671374"/>
    <w:rsid w:val="006733D7"/>
    <w:rsid w:val="00682959"/>
    <w:rsid w:val="00686745"/>
    <w:rsid w:val="00690892"/>
    <w:rsid w:val="006A7483"/>
    <w:rsid w:val="006B07C8"/>
    <w:rsid w:val="006B109B"/>
    <w:rsid w:val="006B21F7"/>
    <w:rsid w:val="006B722D"/>
    <w:rsid w:val="006D4B22"/>
    <w:rsid w:val="006D4DCF"/>
    <w:rsid w:val="006E5FAE"/>
    <w:rsid w:val="006E7276"/>
    <w:rsid w:val="006E7DC2"/>
    <w:rsid w:val="006F1753"/>
    <w:rsid w:val="006F34E4"/>
    <w:rsid w:val="0070089D"/>
    <w:rsid w:val="007045CD"/>
    <w:rsid w:val="00705B62"/>
    <w:rsid w:val="007121DE"/>
    <w:rsid w:val="00714858"/>
    <w:rsid w:val="007248B7"/>
    <w:rsid w:val="007256FA"/>
    <w:rsid w:val="00731145"/>
    <w:rsid w:val="00736F2F"/>
    <w:rsid w:val="00737ED9"/>
    <w:rsid w:val="00742D2B"/>
    <w:rsid w:val="0076054C"/>
    <w:rsid w:val="00766EAC"/>
    <w:rsid w:val="00766F10"/>
    <w:rsid w:val="00771C80"/>
    <w:rsid w:val="0077228D"/>
    <w:rsid w:val="00772831"/>
    <w:rsid w:val="0077389C"/>
    <w:rsid w:val="007805CE"/>
    <w:rsid w:val="007849A7"/>
    <w:rsid w:val="007911EB"/>
    <w:rsid w:val="00791B84"/>
    <w:rsid w:val="00793D77"/>
    <w:rsid w:val="00793F1B"/>
    <w:rsid w:val="007A56F4"/>
    <w:rsid w:val="007B07F4"/>
    <w:rsid w:val="007B0C2F"/>
    <w:rsid w:val="007B7824"/>
    <w:rsid w:val="007C288F"/>
    <w:rsid w:val="007D3EE5"/>
    <w:rsid w:val="007D4AC1"/>
    <w:rsid w:val="007D7435"/>
    <w:rsid w:val="007E6CE9"/>
    <w:rsid w:val="007E713C"/>
    <w:rsid w:val="008052C0"/>
    <w:rsid w:val="008124A9"/>
    <w:rsid w:val="00815C55"/>
    <w:rsid w:val="008166A8"/>
    <w:rsid w:val="00821234"/>
    <w:rsid w:val="008264C0"/>
    <w:rsid w:val="00826DCD"/>
    <w:rsid w:val="00827249"/>
    <w:rsid w:val="008273A1"/>
    <w:rsid w:val="00831FEC"/>
    <w:rsid w:val="008356A7"/>
    <w:rsid w:val="0084202D"/>
    <w:rsid w:val="0085058A"/>
    <w:rsid w:val="0085329E"/>
    <w:rsid w:val="008540BC"/>
    <w:rsid w:val="00856B43"/>
    <w:rsid w:val="00872D62"/>
    <w:rsid w:val="0087570E"/>
    <w:rsid w:val="00875A5D"/>
    <w:rsid w:val="00880E07"/>
    <w:rsid w:val="008816D3"/>
    <w:rsid w:val="0089081E"/>
    <w:rsid w:val="008909E6"/>
    <w:rsid w:val="00895847"/>
    <w:rsid w:val="008A6C56"/>
    <w:rsid w:val="008B0505"/>
    <w:rsid w:val="008C0564"/>
    <w:rsid w:val="008C62B8"/>
    <w:rsid w:val="008C77C9"/>
    <w:rsid w:val="008D1669"/>
    <w:rsid w:val="008D688E"/>
    <w:rsid w:val="008E49B0"/>
    <w:rsid w:val="008E77C2"/>
    <w:rsid w:val="00901109"/>
    <w:rsid w:val="00901BC3"/>
    <w:rsid w:val="00905719"/>
    <w:rsid w:val="00907B1D"/>
    <w:rsid w:val="00910B89"/>
    <w:rsid w:val="00913C46"/>
    <w:rsid w:val="0092017E"/>
    <w:rsid w:val="00923A16"/>
    <w:rsid w:val="00924F4C"/>
    <w:rsid w:val="009279F1"/>
    <w:rsid w:val="00927BA4"/>
    <w:rsid w:val="009328F1"/>
    <w:rsid w:val="00944634"/>
    <w:rsid w:val="0094592B"/>
    <w:rsid w:val="009471AC"/>
    <w:rsid w:val="00956D76"/>
    <w:rsid w:val="00967B87"/>
    <w:rsid w:val="0097450D"/>
    <w:rsid w:val="009768DF"/>
    <w:rsid w:val="0097736E"/>
    <w:rsid w:val="00984F1E"/>
    <w:rsid w:val="00986F74"/>
    <w:rsid w:val="0099011A"/>
    <w:rsid w:val="00996854"/>
    <w:rsid w:val="009A4A36"/>
    <w:rsid w:val="009B0B13"/>
    <w:rsid w:val="009B2E2E"/>
    <w:rsid w:val="009B68F4"/>
    <w:rsid w:val="009C0A13"/>
    <w:rsid w:val="009C6F00"/>
    <w:rsid w:val="009D0354"/>
    <w:rsid w:val="009E37D0"/>
    <w:rsid w:val="009E3B50"/>
    <w:rsid w:val="009E537C"/>
    <w:rsid w:val="009F1F8B"/>
    <w:rsid w:val="009F7414"/>
    <w:rsid w:val="00A01F58"/>
    <w:rsid w:val="00A07117"/>
    <w:rsid w:val="00A07977"/>
    <w:rsid w:val="00A10C51"/>
    <w:rsid w:val="00A10C9C"/>
    <w:rsid w:val="00A139C3"/>
    <w:rsid w:val="00A171E4"/>
    <w:rsid w:val="00A34AFB"/>
    <w:rsid w:val="00A373C0"/>
    <w:rsid w:val="00A45243"/>
    <w:rsid w:val="00A54948"/>
    <w:rsid w:val="00A54E28"/>
    <w:rsid w:val="00A55EC6"/>
    <w:rsid w:val="00A61FBD"/>
    <w:rsid w:val="00A6298D"/>
    <w:rsid w:val="00A64E41"/>
    <w:rsid w:val="00A719E8"/>
    <w:rsid w:val="00A750D9"/>
    <w:rsid w:val="00A81792"/>
    <w:rsid w:val="00A817D1"/>
    <w:rsid w:val="00A8323B"/>
    <w:rsid w:val="00A85AF3"/>
    <w:rsid w:val="00A868A2"/>
    <w:rsid w:val="00A920C8"/>
    <w:rsid w:val="00A96B79"/>
    <w:rsid w:val="00AA33E6"/>
    <w:rsid w:val="00AB4F12"/>
    <w:rsid w:val="00AC64D0"/>
    <w:rsid w:val="00AC6604"/>
    <w:rsid w:val="00AC6A1B"/>
    <w:rsid w:val="00AD13E9"/>
    <w:rsid w:val="00AD2696"/>
    <w:rsid w:val="00AD486B"/>
    <w:rsid w:val="00AD5962"/>
    <w:rsid w:val="00AD6FD0"/>
    <w:rsid w:val="00AD720A"/>
    <w:rsid w:val="00AE58C6"/>
    <w:rsid w:val="00AF0AE6"/>
    <w:rsid w:val="00AF6849"/>
    <w:rsid w:val="00AF716A"/>
    <w:rsid w:val="00B01983"/>
    <w:rsid w:val="00B0279E"/>
    <w:rsid w:val="00B03EAB"/>
    <w:rsid w:val="00B1108E"/>
    <w:rsid w:val="00B13FEC"/>
    <w:rsid w:val="00B235BC"/>
    <w:rsid w:val="00B23889"/>
    <w:rsid w:val="00B30A43"/>
    <w:rsid w:val="00B31012"/>
    <w:rsid w:val="00B31BFC"/>
    <w:rsid w:val="00B35789"/>
    <w:rsid w:val="00B41391"/>
    <w:rsid w:val="00B41AD1"/>
    <w:rsid w:val="00B451D9"/>
    <w:rsid w:val="00B50B1F"/>
    <w:rsid w:val="00B56EC4"/>
    <w:rsid w:val="00B6282A"/>
    <w:rsid w:val="00B6312C"/>
    <w:rsid w:val="00B6771B"/>
    <w:rsid w:val="00B70B90"/>
    <w:rsid w:val="00B73558"/>
    <w:rsid w:val="00B7532D"/>
    <w:rsid w:val="00B83C79"/>
    <w:rsid w:val="00B909C2"/>
    <w:rsid w:val="00B91B20"/>
    <w:rsid w:val="00B91D9A"/>
    <w:rsid w:val="00B93DE2"/>
    <w:rsid w:val="00BA3EE1"/>
    <w:rsid w:val="00BB0AD6"/>
    <w:rsid w:val="00BB1137"/>
    <w:rsid w:val="00BB15C4"/>
    <w:rsid w:val="00BB27DC"/>
    <w:rsid w:val="00BB655E"/>
    <w:rsid w:val="00BC76BB"/>
    <w:rsid w:val="00BF555C"/>
    <w:rsid w:val="00C01418"/>
    <w:rsid w:val="00C05528"/>
    <w:rsid w:val="00C0646E"/>
    <w:rsid w:val="00C1245F"/>
    <w:rsid w:val="00C12ADB"/>
    <w:rsid w:val="00C20DAE"/>
    <w:rsid w:val="00C25587"/>
    <w:rsid w:val="00C30FEE"/>
    <w:rsid w:val="00C54361"/>
    <w:rsid w:val="00C55EC4"/>
    <w:rsid w:val="00C604D7"/>
    <w:rsid w:val="00C606A4"/>
    <w:rsid w:val="00C672F6"/>
    <w:rsid w:val="00C75289"/>
    <w:rsid w:val="00C76D63"/>
    <w:rsid w:val="00C77B4E"/>
    <w:rsid w:val="00C82685"/>
    <w:rsid w:val="00C866A3"/>
    <w:rsid w:val="00C91C1E"/>
    <w:rsid w:val="00CB02B8"/>
    <w:rsid w:val="00CB1684"/>
    <w:rsid w:val="00CB35AF"/>
    <w:rsid w:val="00CC017E"/>
    <w:rsid w:val="00CC4EE9"/>
    <w:rsid w:val="00CC69B2"/>
    <w:rsid w:val="00CD02D4"/>
    <w:rsid w:val="00CD21A6"/>
    <w:rsid w:val="00CD27F0"/>
    <w:rsid w:val="00CD3E3C"/>
    <w:rsid w:val="00CD740C"/>
    <w:rsid w:val="00CE4249"/>
    <w:rsid w:val="00D01E9D"/>
    <w:rsid w:val="00D0634B"/>
    <w:rsid w:val="00D07766"/>
    <w:rsid w:val="00D12A15"/>
    <w:rsid w:val="00D20CEA"/>
    <w:rsid w:val="00D263FA"/>
    <w:rsid w:val="00D330CB"/>
    <w:rsid w:val="00D34563"/>
    <w:rsid w:val="00D410DD"/>
    <w:rsid w:val="00D411B1"/>
    <w:rsid w:val="00D61F16"/>
    <w:rsid w:val="00D63E1F"/>
    <w:rsid w:val="00D726EB"/>
    <w:rsid w:val="00D73F4C"/>
    <w:rsid w:val="00D9179A"/>
    <w:rsid w:val="00DA61C0"/>
    <w:rsid w:val="00DB255D"/>
    <w:rsid w:val="00DB6D4F"/>
    <w:rsid w:val="00DC0DE3"/>
    <w:rsid w:val="00DC5944"/>
    <w:rsid w:val="00DC6C90"/>
    <w:rsid w:val="00DC6F03"/>
    <w:rsid w:val="00DD185C"/>
    <w:rsid w:val="00DD65C6"/>
    <w:rsid w:val="00DD6D40"/>
    <w:rsid w:val="00DD7203"/>
    <w:rsid w:val="00DE79EB"/>
    <w:rsid w:val="00DF0D84"/>
    <w:rsid w:val="00DF5017"/>
    <w:rsid w:val="00E01F6A"/>
    <w:rsid w:val="00E0638B"/>
    <w:rsid w:val="00E07406"/>
    <w:rsid w:val="00E104CC"/>
    <w:rsid w:val="00E12643"/>
    <w:rsid w:val="00E16C2D"/>
    <w:rsid w:val="00E20296"/>
    <w:rsid w:val="00E21AB5"/>
    <w:rsid w:val="00E22820"/>
    <w:rsid w:val="00E25985"/>
    <w:rsid w:val="00E37991"/>
    <w:rsid w:val="00E41C88"/>
    <w:rsid w:val="00E4437C"/>
    <w:rsid w:val="00E737C3"/>
    <w:rsid w:val="00E73CF8"/>
    <w:rsid w:val="00E74327"/>
    <w:rsid w:val="00E828C7"/>
    <w:rsid w:val="00E82CF9"/>
    <w:rsid w:val="00E914D8"/>
    <w:rsid w:val="00E9342D"/>
    <w:rsid w:val="00E959BB"/>
    <w:rsid w:val="00E97137"/>
    <w:rsid w:val="00EA0AC9"/>
    <w:rsid w:val="00EA14B2"/>
    <w:rsid w:val="00EB6DC6"/>
    <w:rsid w:val="00EB7634"/>
    <w:rsid w:val="00EC0EFB"/>
    <w:rsid w:val="00EC2DD0"/>
    <w:rsid w:val="00ED5559"/>
    <w:rsid w:val="00ED65A6"/>
    <w:rsid w:val="00ED763E"/>
    <w:rsid w:val="00EE0AC8"/>
    <w:rsid w:val="00EF13D0"/>
    <w:rsid w:val="00F01286"/>
    <w:rsid w:val="00F0733A"/>
    <w:rsid w:val="00F103DB"/>
    <w:rsid w:val="00F2074C"/>
    <w:rsid w:val="00F265D6"/>
    <w:rsid w:val="00F44441"/>
    <w:rsid w:val="00F469A7"/>
    <w:rsid w:val="00F47862"/>
    <w:rsid w:val="00F57D97"/>
    <w:rsid w:val="00F65C62"/>
    <w:rsid w:val="00F66340"/>
    <w:rsid w:val="00F71143"/>
    <w:rsid w:val="00F71189"/>
    <w:rsid w:val="00F8032B"/>
    <w:rsid w:val="00F81F11"/>
    <w:rsid w:val="00F835A1"/>
    <w:rsid w:val="00F83F72"/>
    <w:rsid w:val="00F85215"/>
    <w:rsid w:val="00F85548"/>
    <w:rsid w:val="00F91624"/>
    <w:rsid w:val="00FA1380"/>
    <w:rsid w:val="00FA5190"/>
    <w:rsid w:val="00FB0938"/>
    <w:rsid w:val="00FB6E6A"/>
    <w:rsid w:val="00FC0BBB"/>
    <w:rsid w:val="00FC59DA"/>
    <w:rsid w:val="00FC5EA1"/>
    <w:rsid w:val="00FC69EF"/>
    <w:rsid w:val="00FD1B23"/>
    <w:rsid w:val="00FD2F04"/>
    <w:rsid w:val="00FD5600"/>
    <w:rsid w:val="00FD5609"/>
    <w:rsid w:val="00FE28F9"/>
    <w:rsid w:val="00FE3AD8"/>
    <w:rsid w:val="00FF20D9"/>
    <w:rsid w:val="00FF27F9"/>
    <w:rsid w:val="00FF43C4"/>
    <w:rsid w:val="01AB497B"/>
    <w:rsid w:val="023F2664"/>
    <w:rsid w:val="02CB13C0"/>
    <w:rsid w:val="02F0571A"/>
    <w:rsid w:val="02F43704"/>
    <w:rsid w:val="03206975"/>
    <w:rsid w:val="03E12307"/>
    <w:rsid w:val="04205056"/>
    <w:rsid w:val="04691374"/>
    <w:rsid w:val="04D1666C"/>
    <w:rsid w:val="05084EDC"/>
    <w:rsid w:val="051478AB"/>
    <w:rsid w:val="054A4BEB"/>
    <w:rsid w:val="05630983"/>
    <w:rsid w:val="0592662B"/>
    <w:rsid w:val="05C20A88"/>
    <w:rsid w:val="05C218F7"/>
    <w:rsid w:val="06A108F0"/>
    <w:rsid w:val="06DE2EBB"/>
    <w:rsid w:val="07BF1053"/>
    <w:rsid w:val="088279F8"/>
    <w:rsid w:val="08D428B8"/>
    <w:rsid w:val="092978CC"/>
    <w:rsid w:val="09BD71A8"/>
    <w:rsid w:val="09BE2F12"/>
    <w:rsid w:val="09DF74B0"/>
    <w:rsid w:val="0A1D318C"/>
    <w:rsid w:val="0A395E6C"/>
    <w:rsid w:val="0A412928"/>
    <w:rsid w:val="0A4473AD"/>
    <w:rsid w:val="0A455D9E"/>
    <w:rsid w:val="0A573132"/>
    <w:rsid w:val="0AEE5F81"/>
    <w:rsid w:val="0AF968BA"/>
    <w:rsid w:val="0B112338"/>
    <w:rsid w:val="0BE80DC0"/>
    <w:rsid w:val="0C0C272E"/>
    <w:rsid w:val="0C2921A6"/>
    <w:rsid w:val="0C352CC9"/>
    <w:rsid w:val="0CBA6708"/>
    <w:rsid w:val="0CD85BD3"/>
    <w:rsid w:val="0D2A6064"/>
    <w:rsid w:val="0D2D18AC"/>
    <w:rsid w:val="0D477588"/>
    <w:rsid w:val="0E170857"/>
    <w:rsid w:val="0F6A060A"/>
    <w:rsid w:val="0F821CED"/>
    <w:rsid w:val="0FBA0015"/>
    <w:rsid w:val="0FFC464E"/>
    <w:rsid w:val="10A05AE3"/>
    <w:rsid w:val="127C2D67"/>
    <w:rsid w:val="13E45583"/>
    <w:rsid w:val="13FF4D9B"/>
    <w:rsid w:val="142F346D"/>
    <w:rsid w:val="148E6004"/>
    <w:rsid w:val="1516466D"/>
    <w:rsid w:val="15432B61"/>
    <w:rsid w:val="15C02A4D"/>
    <w:rsid w:val="15D26B7C"/>
    <w:rsid w:val="17A4444F"/>
    <w:rsid w:val="17AA4FFC"/>
    <w:rsid w:val="17E257B5"/>
    <w:rsid w:val="182F0196"/>
    <w:rsid w:val="18304DB4"/>
    <w:rsid w:val="184D472C"/>
    <w:rsid w:val="188264DE"/>
    <w:rsid w:val="18AF3114"/>
    <w:rsid w:val="19116713"/>
    <w:rsid w:val="19842917"/>
    <w:rsid w:val="1A1570EE"/>
    <w:rsid w:val="1ACA1479"/>
    <w:rsid w:val="1B1B78AF"/>
    <w:rsid w:val="1BAB555D"/>
    <w:rsid w:val="1C301AAE"/>
    <w:rsid w:val="1CF0019E"/>
    <w:rsid w:val="1D8D4DC6"/>
    <w:rsid w:val="1E6574A9"/>
    <w:rsid w:val="1E930E59"/>
    <w:rsid w:val="1F0F085B"/>
    <w:rsid w:val="1F606A7A"/>
    <w:rsid w:val="1F6F2C89"/>
    <w:rsid w:val="1F76555A"/>
    <w:rsid w:val="1F77191F"/>
    <w:rsid w:val="1F7F0077"/>
    <w:rsid w:val="1FA82EF7"/>
    <w:rsid w:val="1FC30524"/>
    <w:rsid w:val="1FD74F96"/>
    <w:rsid w:val="201B3214"/>
    <w:rsid w:val="20EB261F"/>
    <w:rsid w:val="214B6033"/>
    <w:rsid w:val="217E588D"/>
    <w:rsid w:val="22F8796A"/>
    <w:rsid w:val="230159DA"/>
    <w:rsid w:val="2353322D"/>
    <w:rsid w:val="236B73DA"/>
    <w:rsid w:val="24416D96"/>
    <w:rsid w:val="247A7EC6"/>
    <w:rsid w:val="252B686E"/>
    <w:rsid w:val="25706846"/>
    <w:rsid w:val="25887747"/>
    <w:rsid w:val="25E64956"/>
    <w:rsid w:val="261A7E30"/>
    <w:rsid w:val="26A43314"/>
    <w:rsid w:val="27092E73"/>
    <w:rsid w:val="27092F1C"/>
    <w:rsid w:val="27176953"/>
    <w:rsid w:val="281D33A8"/>
    <w:rsid w:val="29124525"/>
    <w:rsid w:val="29C4355E"/>
    <w:rsid w:val="29C60204"/>
    <w:rsid w:val="2A015D18"/>
    <w:rsid w:val="2B1D7557"/>
    <w:rsid w:val="2B3014B5"/>
    <w:rsid w:val="2B3E4964"/>
    <w:rsid w:val="2BAA31D2"/>
    <w:rsid w:val="2C441079"/>
    <w:rsid w:val="2DC55114"/>
    <w:rsid w:val="2DEA2F44"/>
    <w:rsid w:val="2E80761A"/>
    <w:rsid w:val="2F7B5AAF"/>
    <w:rsid w:val="2FFE0A6B"/>
    <w:rsid w:val="30133DC6"/>
    <w:rsid w:val="30FB4394"/>
    <w:rsid w:val="312520EC"/>
    <w:rsid w:val="317704DF"/>
    <w:rsid w:val="32FE78AF"/>
    <w:rsid w:val="331A5FBD"/>
    <w:rsid w:val="33231168"/>
    <w:rsid w:val="334F276A"/>
    <w:rsid w:val="33671469"/>
    <w:rsid w:val="336F3EEC"/>
    <w:rsid w:val="34101BF0"/>
    <w:rsid w:val="342976F9"/>
    <w:rsid w:val="34DB2902"/>
    <w:rsid w:val="35582558"/>
    <w:rsid w:val="3630445E"/>
    <w:rsid w:val="36D26B33"/>
    <w:rsid w:val="37076EA0"/>
    <w:rsid w:val="37676CB8"/>
    <w:rsid w:val="38495031"/>
    <w:rsid w:val="388C04DD"/>
    <w:rsid w:val="390B288A"/>
    <w:rsid w:val="394D1D50"/>
    <w:rsid w:val="3972124B"/>
    <w:rsid w:val="39DD0E6E"/>
    <w:rsid w:val="39DF4284"/>
    <w:rsid w:val="3A336B35"/>
    <w:rsid w:val="3A48089E"/>
    <w:rsid w:val="3A721021"/>
    <w:rsid w:val="3B632D40"/>
    <w:rsid w:val="3B80480B"/>
    <w:rsid w:val="3BDF5065"/>
    <w:rsid w:val="3C95632B"/>
    <w:rsid w:val="3CC3312A"/>
    <w:rsid w:val="3CE46D1D"/>
    <w:rsid w:val="3D024B25"/>
    <w:rsid w:val="3D267D61"/>
    <w:rsid w:val="3D374538"/>
    <w:rsid w:val="3D865031"/>
    <w:rsid w:val="3DA77D50"/>
    <w:rsid w:val="3DD55891"/>
    <w:rsid w:val="3DF02E36"/>
    <w:rsid w:val="3E07010B"/>
    <w:rsid w:val="3E9927E2"/>
    <w:rsid w:val="3ED35A71"/>
    <w:rsid w:val="3F3B0142"/>
    <w:rsid w:val="3FBF6385"/>
    <w:rsid w:val="414C6D35"/>
    <w:rsid w:val="428E3FC3"/>
    <w:rsid w:val="432E0F2D"/>
    <w:rsid w:val="43B97011"/>
    <w:rsid w:val="43E426E2"/>
    <w:rsid w:val="442908AE"/>
    <w:rsid w:val="448466F3"/>
    <w:rsid w:val="44EB5139"/>
    <w:rsid w:val="46784787"/>
    <w:rsid w:val="46B40402"/>
    <w:rsid w:val="47372A6C"/>
    <w:rsid w:val="47A93FD6"/>
    <w:rsid w:val="47F50747"/>
    <w:rsid w:val="489565FF"/>
    <w:rsid w:val="48BE6773"/>
    <w:rsid w:val="48C77397"/>
    <w:rsid w:val="49092F82"/>
    <w:rsid w:val="491D50A1"/>
    <w:rsid w:val="49252B30"/>
    <w:rsid w:val="49C3200F"/>
    <w:rsid w:val="49FB3591"/>
    <w:rsid w:val="4A3176A9"/>
    <w:rsid w:val="4A591A6A"/>
    <w:rsid w:val="4A6F7971"/>
    <w:rsid w:val="4A732FC3"/>
    <w:rsid w:val="4AA82C2D"/>
    <w:rsid w:val="4AC214ED"/>
    <w:rsid w:val="4B041C41"/>
    <w:rsid w:val="4B4214FB"/>
    <w:rsid w:val="4BFE7C77"/>
    <w:rsid w:val="4C785C90"/>
    <w:rsid w:val="4C9258BF"/>
    <w:rsid w:val="4CEA0FE2"/>
    <w:rsid w:val="4D980958"/>
    <w:rsid w:val="4DD52905"/>
    <w:rsid w:val="4E01067D"/>
    <w:rsid w:val="4E012CAD"/>
    <w:rsid w:val="4E3724EB"/>
    <w:rsid w:val="4E99319A"/>
    <w:rsid w:val="4EE030DA"/>
    <w:rsid w:val="4F3A2CEA"/>
    <w:rsid w:val="4F95298C"/>
    <w:rsid w:val="50380196"/>
    <w:rsid w:val="51A853FA"/>
    <w:rsid w:val="51C23B31"/>
    <w:rsid w:val="521A777D"/>
    <w:rsid w:val="522C1654"/>
    <w:rsid w:val="52324ED8"/>
    <w:rsid w:val="5298299D"/>
    <w:rsid w:val="52992154"/>
    <w:rsid w:val="52C15CF9"/>
    <w:rsid w:val="53343845"/>
    <w:rsid w:val="53FE74AB"/>
    <w:rsid w:val="542640A1"/>
    <w:rsid w:val="548D6E9C"/>
    <w:rsid w:val="559D42A0"/>
    <w:rsid w:val="55BA2415"/>
    <w:rsid w:val="55C04168"/>
    <w:rsid w:val="57645477"/>
    <w:rsid w:val="57CD1191"/>
    <w:rsid w:val="583F49CF"/>
    <w:rsid w:val="58CC7907"/>
    <w:rsid w:val="590B27AB"/>
    <w:rsid w:val="591D2D22"/>
    <w:rsid w:val="59830DB1"/>
    <w:rsid w:val="5A6A0A55"/>
    <w:rsid w:val="5AF3076A"/>
    <w:rsid w:val="5B132661"/>
    <w:rsid w:val="5C822C4F"/>
    <w:rsid w:val="5D154F95"/>
    <w:rsid w:val="5D4C6D37"/>
    <w:rsid w:val="5DD65BAD"/>
    <w:rsid w:val="5E4919C2"/>
    <w:rsid w:val="5E6738DC"/>
    <w:rsid w:val="5EBD385C"/>
    <w:rsid w:val="5EEA30DE"/>
    <w:rsid w:val="600711EA"/>
    <w:rsid w:val="607E1888"/>
    <w:rsid w:val="615C4FBA"/>
    <w:rsid w:val="615F5D87"/>
    <w:rsid w:val="61681F31"/>
    <w:rsid w:val="616C5BA1"/>
    <w:rsid w:val="61CA73D2"/>
    <w:rsid w:val="6276094E"/>
    <w:rsid w:val="630C2BB0"/>
    <w:rsid w:val="638E64B7"/>
    <w:rsid w:val="645D4E99"/>
    <w:rsid w:val="646C13B3"/>
    <w:rsid w:val="647C66C6"/>
    <w:rsid w:val="648241DA"/>
    <w:rsid w:val="64857F81"/>
    <w:rsid w:val="64922636"/>
    <w:rsid w:val="64D2643A"/>
    <w:rsid w:val="652D46F5"/>
    <w:rsid w:val="6563556B"/>
    <w:rsid w:val="6577678D"/>
    <w:rsid w:val="658C1C9A"/>
    <w:rsid w:val="65957C87"/>
    <w:rsid w:val="6614248C"/>
    <w:rsid w:val="66DD0228"/>
    <w:rsid w:val="67AF564B"/>
    <w:rsid w:val="67C9563F"/>
    <w:rsid w:val="68186F33"/>
    <w:rsid w:val="68535A23"/>
    <w:rsid w:val="68927939"/>
    <w:rsid w:val="689B396F"/>
    <w:rsid w:val="68DE6CC7"/>
    <w:rsid w:val="68F277FC"/>
    <w:rsid w:val="69335B0D"/>
    <w:rsid w:val="693403DF"/>
    <w:rsid w:val="69C13CB7"/>
    <w:rsid w:val="69CD4D48"/>
    <w:rsid w:val="6A746D68"/>
    <w:rsid w:val="6AFA1082"/>
    <w:rsid w:val="6B6100D2"/>
    <w:rsid w:val="6BAB65DC"/>
    <w:rsid w:val="6BF66C0F"/>
    <w:rsid w:val="6D101A45"/>
    <w:rsid w:val="6DED60C3"/>
    <w:rsid w:val="6E0262E7"/>
    <w:rsid w:val="6E2F46ED"/>
    <w:rsid w:val="6E994CDA"/>
    <w:rsid w:val="6F23431E"/>
    <w:rsid w:val="6F827009"/>
    <w:rsid w:val="6FC51378"/>
    <w:rsid w:val="6FD94B88"/>
    <w:rsid w:val="6FE508DA"/>
    <w:rsid w:val="70AA35D4"/>
    <w:rsid w:val="70C6369C"/>
    <w:rsid w:val="71385900"/>
    <w:rsid w:val="714E0CE9"/>
    <w:rsid w:val="71A321C0"/>
    <w:rsid w:val="72C07A2B"/>
    <w:rsid w:val="72DD3127"/>
    <w:rsid w:val="72F10719"/>
    <w:rsid w:val="732F0468"/>
    <w:rsid w:val="737A2E24"/>
    <w:rsid w:val="7408000A"/>
    <w:rsid w:val="743C1F3D"/>
    <w:rsid w:val="747C0ED3"/>
    <w:rsid w:val="751B7CB5"/>
    <w:rsid w:val="758254CE"/>
    <w:rsid w:val="75E96AC8"/>
    <w:rsid w:val="76E920D9"/>
    <w:rsid w:val="77251757"/>
    <w:rsid w:val="793C6101"/>
    <w:rsid w:val="79A13C6A"/>
    <w:rsid w:val="79D63FD7"/>
    <w:rsid w:val="7A8A50A2"/>
    <w:rsid w:val="7AC35F10"/>
    <w:rsid w:val="7B1D7E3B"/>
    <w:rsid w:val="7B7E7CC1"/>
    <w:rsid w:val="7BB07AA3"/>
    <w:rsid w:val="7C3623F1"/>
    <w:rsid w:val="7C484CAE"/>
    <w:rsid w:val="7C4B5D63"/>
    <w:rsid w:val="7D316297"/>
    <w:rsid w:val="7D8457E7"/>
    <w:rsid w:val="7E735E71"/>
    <w:rsid w:val="7EAD6AD7"/>
    <w:rsid w:val="7EBF5558"/>
    <w:rsid w:val="7EEC45DF"/>
    <w:rsid w:val="7F5A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42"/>
    <w:qFormat/>
    <w:uiPriority w:val="0"/>
    <w:pPr>
      <w:keepNext/>
      <w:keepLines/>
      <w:adjustRightInd w:val="0"/>
      <w:spacing w:before="340" w:after="330" w:line="578" w:lineRule="atLeast"/>
      <w:ind w:firstLine="288"/>
      <w:jc w:val="left"/>
      <w:textAlignment w:val="baseline"/>
      <w:outlineLvl w:val="0"/>
    </w:pPr>
    <w:rPr>
      <w:b/>
      <w:bCs/>
      <w:kern w:val="44"/>
      <w:sz w:val="32"/>
      <w:szCs w:val="44"/>
    </w:rPr>
  </w:style>
  <w:style w:type="paragraph" w:styleId="4">
    <w:name w:val="heading 2"/>
    <w:basedOn w:val="1"/>
    <w:next w:val="1"/>
    <w:link w:val="43"/>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5">
    <w:name w:val="heading 3"/>
    <w:basedOn w:val="1"/>
    <w:next w:val="1"/>
    <w:link w:val="44"/>
    <w:qFormat/>
    <w:uiPriority w:val="0"/>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styleId="6">
    <w:name w:val="heading 4"/>
    <w:basedOn w:val="1"/>
    <w:next w:val="1"/>
    <w:link w:val="45"/>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7">
    <w:name w:val="heading 5"/>
    <w:basedOn w:val="1"/>
    <w:next w:val="1"/>
    <w:link w:val="46"/>
    <w:qFormat/>
    <w:uiPriority w:val="0"/>
    <w:pPr>
      <w:keepNext/>
      <w:keepLines/>
      <w:numPr>
        <w:ilvl w:val="4"/>
        <w:numId w:val="1"/>
      </w:numPr>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47"/>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48"/>
    <w:qFormat/>
    <w:uiPriority w:val="0"/>
    <w:pPr>
      <w:keepNext/>
      <w:keepLines/>
      <w:numPr>
        <w:ilvl w:val="6"/>
        <w:numId w:val="1"/>
      </w:numPr>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49"/>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50"/>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Cs w:val="21"/>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customStyle="1" w:styleId="2">
    <w:name w:val="4正文"/>
    <w:basedOn w:val="1"/>
    <w:qFormat/>
    <w:uiPriority w:val="0"/>
    <w:pPr>
      <w:spacing w:line="460" w:lineRule="exact"/>
      <w:ind w:firstLine="880"/>
    </w:pPr>
    <w:rPr>
      <w:rFonts w:ascii="Times New Roman" w:hAnsi="Times New Roman"/>
      <w:color w:val="000000"/>
    </w:rPr>
  </w:style>
  <w:style w:type="paragraph" w:styleId="12">
    <w:name w:val="List 3"/>
    <w:basedOn w:val="1"/>
    <w:qFormat/>
    <w:uiPriority w:val="0"/>
    <w:pPr>
      <w:ind w:left="100" w:leftChars="400" w:hanging="200" w:hangingChars="200"/>
    </w:pPr>
  </w:style>
  <w:style w:type="paragraph" w:styleId="13">
    <w:name w:val="Normal Indent"/>
    <w:basedOn w:val="1"/>
    <w:unhideWhenUsed/>
    <w:qFormat/>
    <w:uiPriority w:val="0"/>
    <w:pPr>
      <w:ind w:firstLine="420" w:firstLineChars="200"/>
    </w:p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51"/>
    <w:semiHidden/>
    <w:qFormat/>
    <w:uiPriority w:val="0"/>
    <w:pPr>
      <w:shd w:val="clear" w:color="auto" w:fill="000080"/>
    </w:pPr>
  </w:style>
  <w:style w:type="paragraph" w:styleId="16">
    <w:name w:val="annotation text"/>
    <w:basedOn w:val="1"/>
    <w:link w:val="52"/>
    <w:unhideWhenUsed/>
    <w:qFormat/>
    <w:uiPriority w:val="0"/>
    <w:pPr>
      <w:jc w:val="left"/>
    </w:pPr>
  </w:style>
  <w:style w:type="paragraph" w:styleId="17">
    <w:name w:val="Body Text 3"/>
    <w:basedOn w:val="1"/>
    <w:link w:val="53"/>
    <w:qFormat/>
    <w:uiPriority w:val="0"/>
    <w:pPr>
      <w:spacing w:after="120"/>
    </w:pPr>
    <w:rPr>
      <w:sz w:val="16"/>
      <w:szCs w:val="16"/>
    </w:rPr>
  </w:style>
  <w:style w:type="paragraph" w:styleId="18">
    <w:name w:val="Body Text"/>
    <w:basedOn w:val="1"/>
    <w:next w:val="1"/>
    <w:link w:val="41"/>
    <w:qFormat/>
    <w:uiPriority w:val="0"/>
    <w:pPr>
      <w:spacing w:after="120"/>
      <w:jc w:val="left"/>
    </w:pPr>
    <w:rPr>
      <w:kern w:val="0"/>
      <w:sz w:val="24"/>
      <w:szCs w:val="24"/>
    </w:rPr>
  </w:style>
  <w:style w:type="paragraph" w:styleId="19">
    <w:name w:val="Body Text Indent"/>
    <w:basedOn w:val="1"/>
    <w:link w:val="54"/>
    <w:qFormat/>
    <w:uiPriority w:val="0"/>
    <w:pPr>
      <w:spacing w:line="500" w:lineRule="exact"/>
      <w:ind w:left="1588" w:leftChars="832" w:firstLine="433" w:firstLineChars="196"/>
    </w:pPr>
    <w:rPr>
      <w:kern w:val="0"/>
      <w:sz w:val="24"/>
      <w:szCs w:val="24"/>
    </w:rPr>
  </w:style>
  <w:style w:type="paragraph" w:styleId="20">
    <w:name w:val="List 2"/>
    <w:basedOn w:val="1"/>
    <w:qFormat/>
    <w:uiPriority w:val="0"/>
    <w:pPr>
      <w:ind w:left="100" w:leftChars="200" w:hanging="200" w:hangingChars="200"/>
    </w:pPr>
  </w:style>
  <w:style w:type="paragraph" w:styleId="21">
    <w:name w:val="toc 3"/>
    <w:basedOn w:val="1"/>
    <w:next w:val="1"/>
    <w:qFormat/>
    <w:uiPriority w:val="39"/>
    <w:pPr>
      <w:ind w:left="840" w:leftChars="400"/>
    </w:pPr>
  </w:style>
  <w:style w:type="paragraph" w:styleId="22">
    <w:name w:val="Plain Text"/>
    <w:basedOn w:val="1"/>
    <w:link w:val="55"/>
    <w:qFormat/>
    <w:uiPriority w:val="0"/>
    <w:rPr>
      <w:rFonts w:ascii="宋体" w:hAnsi="Courier New"/>
      <w:kern w:val="0"/>
      <w:sz w:val="20"/>
      <w:szCs w:val="21"/>
    </w:rPr>
  </w:style>
  <w:style w:type="paragraph" w:styleId="23">
    <w:name w:val="Date"/>
    <w:basedOn w:val="1"/>
    <w:next w:val="1"/>
    <w:link w:val="56"/>
    <w:qFormat/>
    <w:uiPriority w:val="0"/>
    <w:pPr>
      <w:ind w:left="100" w:leftChars="2500"/>
    </w:pPr>
  </w:style>
  <w:style w:type="paragraph" w:styleId="24">
    <w:name w:val="Body Text Indent 2"/>
    <w:basedOn w:val="1"/>
    <w:link w:val="57"/>
    <w:qFormat/>
    <w:uiPriority w:val="0"/>
    <w:pPr>
      <w:spacing w:after="120" w:line="480" w:lineRule="auto"/>
      <w:ind w:left="420" w:leftChars="200"/>
    </w:pPr>
  </w:style>
  <w:style w:type="paragraph" w:styleId="25">
    <w:name w:val="Balloon Text"/>
    <w:basedOn w:val="1"/>
    <w:link w:val="58"/>
    <w:semiHidden/>
    <w:qFormat/>
    <w:uiPriority w:val="0"/>
    <w:rPr>
      <w:sz w:val="18"/>
      <w:szCs w:val="18"/>
    </w:rPr>
  </w:style>
  <w:style w:type="paragraph" w:styleId="26">
    <w:name w:val="footer"/>
    <w:basedOn w:val="1"/>
    <w:link w:val="59"/>
    <w:qFormat/>
    <w:uiPriority w:val="99"/>
    <w:pPr>
      <w:tabs>
        <w:tab w:val="center" w:pos="4153"/>
        <w:tab w:val="right" w:pos="8306"/>
      </w:tabs>
      <w:snapToGrid w:val="0"/>
      <w:jc w:val="left"/>
    </w:pPr>
    <w:rPr>
      <w:kern w:val="0"/>
      <w:sz w:val="18"/>
      <w:szCs w:val="18"/>
    </w:rPr>
  </w:style>
  <w:style w:type="paragraph" w:styleId="27">
    <w:name w:val="header"/>
    <w:basedOn w:val="1"/>
    <w:link w:val="60"/>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right" w:leader="dot" w:pos="8302"/>
      </w:tabs>
    </w:pPr>
  </w:style>
  <w:style w:type="paragraph" w:styleId="29">
    <w:name w:val="Body Text Indent 3"/>
    <w:basedOn w:val="1"/>
    <w:link w:val="61"/>
    <w:qFormat/>
    <w:uiPriority w:val="0"/>
    <w:pPr>
      <w:tabs>
        <w:tab w:val="left" w:pos="1134"/>
        <w:tab w:val="left" w:pos="5481"/>
        <w:tab w:val="left" w:pos="5859"/>
      </w:tabs>
      <w:spacing w:line="500" w:lineRule="exact"/>
      <w:ind w:firstLine="8275" w:firstLineChars="1200"/>
    </w:pPr>
    <w:rPr>
      <w:rFonts w:eastAsia="黑体"/>
      <w:b/>
      <w:bCs/>
      <w:sz w:val="72"/>
    </w:rPr>
  </w:style>
  <w:style w:type="paragraph" w:styleId="30">
    <w:name w:val="toc 2"/>
    <w:basedOn w:val="1"/>
    <w:next w:val="1"/>
    <w:qFormat/>
    <w:uiPriority w:val="39"/>
    <w:pPr>
      <w:ind w:left="420" w:leftChars="200"/>
    </w:pPr>
  </w:style>
  <w:style w:type="paragraph" w:styleId="31">
    <w:name w:val="Normal (Web)"/>
    <w:basedOn w:val="1"/>
    <w:qFormat/>
    <w:uiPriority w:val="0"/>
    <w:rPr>
      <w:sz w:val="24"/>
    </w:rPr>
  </w:style>
  <w:style w:type="paragraph" w:styleId="32">
    <w:name w:val="Title"/>
    <w:basedOn w:val="1"/>
    <w:qFormat/>
    <w:uiPriority w:val="0"/>
    <w:pPr>
      <w:spacing w:before="240" w:after="60"/>
      <w:jc w:val="center"/>
      <w:outlineLvl w:val="0"/>
    </w:pPr>
    <w:rPr>
      <w:rFonts w:ascii="Arial" w:hAnsi="Arial"/>
      <w:sz w:val="32"/>
    </w:rPr>
  </w:style>
  <w:style w:type="paragraph" w:styleId="33">
    <w:name w:val="annotation subject"/>
    <w:basedOn w:val="16"/>
    <w:next w:val="16"/>
    <w:link w:val="62"/>
    <w:semiHidden/>
    <w:qFormat/>
    <w:uiPriority w:val="0"/>
    <w:rPr>
      <w:b/>
      <w:bCs/>
      <w:szCs w:val="24"/>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0"/>
    <w:rPr>
      <w:b/>
    </w:rPr>
  </w:style>
  <w:style w:type="character" w:styleId="38">
    <w:name w:val="page number"/>
    <w:qFormat/>
    <w:uiPriority w:val="0"/>
  </w:style>
  <w:style w:type="character" w:styleId="39">
    <w:name w:val="Hyperlink"/>
    <w:qFormat/>
    <w:uiPriority w:val="99"/>
    <w:rPr>
      <w:color w:val="0000FF"/>
      <w:u w:val="single"/>
    </w:rPr>
  </w:style>
  <w:style w:type="character" w:styleId="40">
    <w:name w:val="annotation reference"/>
    <w:semiHidden/>
    <w:qFormat/>
    <w:uiPriority w:val="0"/>
    <w:rPr>
      <w:sz w:val="21"/>
      <w:szCs w:val="21"/>
    </w:rPr>
  </w:style>
  <w:style w:type="character" w:customStyle="1" w:styleId="41">
    <w:name w:val="正文文本 Char"/>
    <w:link w:val="18"/>
    <w:qFormat/>
    <w:uiPriority w:val="0"/>
    <w:rPr>
      <w:rFonts w:ascii="Times New Roman" w:hAnsi="Times New Roman" w:eastAsia="宋体"/>
      <w:sz w:val="24"/>
      <w:szCs w:val="24"/>
    </w:rPr>
  </w:style>
  <w:style w:type="character" w:customStyle="1" w:styleId="42">
    <w:name w:val="标题 1 Char"/>
    <w:link w:val="3"/>
    <w:qFormat/>
    <w:uiPriority w:val="0"/>
    <w:rPr>
      <w:rFonts w:ascii="Times New Roman" w:hAnsi="Times New Roman" w:eastAsia="宋体" w:cs="Times New Roman"/>
      <w:b/>
      <w:bCs/>
      <w:kern w:val="44"/>
      <w:sz w:val="32"/>
      <w:szCs w:val="44"/>
    </w:rPr>
  </w:style>
  <w:style w:type="character" w:customStyle="1" w:styleId="43">
    <w:name w:val="标题 2 Char"/>
    <w:link w:val="4"/>
    <w:qFormat/>
    <w:uiPriority w:val="0"/>
    <w:rPr>
      <w:rFonts w:ascii="Arial" w:hAnsi="Arial" w:eastAsia="黑体" w:cs="Times New Roman"/>
      <w:b/>
      <w:bCs/>
      <w:kern w:val="0"/>
      <w:sz w:val="32"/>
      <w:szCs w:val="32"/>
    </w:rPr>
  </w:style>
  <w:style w:type="character" w:customStyle="1" w:styleId="44">
    <w:name w:val="标题 3 Char"/>
    <w:link w:val="5"/>
    <w:qFormat/>
    <w:uiPriority w:val="0"/>
    <w:rPr>
      <w:rFonts w:ascii="Calibri" w:hAnsi="Calibri" w:eastAsia="宋体" w:cs="Times New Roman"/>
      <w:b/>
      <w:bCs/>
      <w:kern w:val="0"/>
      <w:sz w:val="32"/>
      <w:szCs w:val="32"/>
    </w:rPr>
  </w:style>
  <w:style w:type="character" w:customStyle="1" w:styleId="45">
    <w:name w:val="标题 4 Char"/>
    <w:link w:val="6"/>
    <w:qFormat/>
    <w:uiPriority w:val="0"/>
    <w:rPr>
      <w:rFonts w:ascii="Arial" w:hAnsi="Arial" w:eastAsia="黑体" w:cs="Times New Roman"/>
      <w:b/>
      <w:bCs/>
      <w:kern w:val="0"/>
      <w:sz w:val="28"/>
      <w:szCs w:val="28"/>
    </w:rPr>
  </w:style>
  <w:style w:type="character" w:customStyle="1" w:styleId="46">
    <w:name w:val="标题 5 Char"/>
    <w:link w:val="7"/>
    <w:qFormat/>
    <w:uiPriority w:val="0"/>
    <w:rPr>
      <w:rFonts w:ascii="Calibri" w:hAnsi="Calibri" w:eastAsia="宋体" w:cs="Times New Roman"/>
      <w:b/>
      <w:bCs/>
      <w:kern w:val="0"/>
      <w:sz w:val="28"/>
      <w:szCs w:val="28"/>
    </w:rPr>
  </w:style>
  <w:style w:type="character" w:customStyle="1" w:styleId="47">
    <w:name w:val="标题 6 Char"/>
    <w:link w:val="8"/>
    <w:qFormat/>
    <w:uiPriority w:val="0"/>
    <w:rPr>
      <w:rFonts w:ascii="Arial" w:hAnsi="Arial" w:eastAsia="黑体" w:cs="Times New Roman"/>
      <w:b/>
      <w:bCs/>
      <w:kern w:val="0"/>
      <w:sz w:val="24"/>
    </w:rPr>
  </w:style>
  <w:style w:type="character" w:customStyle="1" w:styleId="48">
    <w:name w:val="标题 7 Char"/>
    <w:link w:val="9"/>
    <w:qFormat/>
    <w:uiPriority w:val="0"/>
    <w:rPr>
      <w:rFonts w:ascii="Calibri" w:hAnsi="Calibri" w:eastAsia="宋体" w:cs="Times New Roman"/>
      <w:b/>
      <w:bCs/>
      <w:kern w:val="0"/>
      <w:sz w:val="24"/>
    </w:rPr>
  </w:style>
  <w:style w:type="character" w:customStyle="1" w:styleId="49">
    <w:name w:val="标题 8 Char"/>
    <w:link w:val="10"/>
    <w:qFormat/>
    <w:uiPriority w:val="0"/>
    <w:rPr>
      <w:rFonts w:ascii="Arial" w:hAnsi="Arial" w:eastAsia="黑体" w:cs="Times New Roman"/>
      <w:kern w:val="0"/>
      <w:sz w:val="24"/>
    </w:rPr>
  </w:style>
  <w:style w:type="character" w:customStyle="1" w:styleId="50">
    <w:name w:val="标题 9 Char"/>
    <w:link w:val="11"/>
    <w:qFormat/>
    <w:uiPriority w:val="0"/>
    <w:rPr>
      <w:rFonts w:ascii="Arial" w:hAnsi="Arial" w:eastAsia="黑体" w:cs="Times New Roman"/>
      <w:kern w:val="0"/>
      <w:szCs w:val="21"/>
    </w:rPr>
  </w:style>
  <w:style w:type="character" w:customStyle="1" w:styleId="51">
    <w:name w:val="文档结构图 Char"/>
    <w:link w:val="15"/>
    <w:semiHidden/>
    <w:qFormat/>
    <w:uiPriority w:val="0"/>
    <w:rPr>
      <w:rFonts w:ascii="Calibri" w:hAnsi="Calibri" w:eastAsia="宋体" w:cs="Times New Roman"/>
      <w:shd w:val="clear" w:color="auto" w:fill="000080"/>
    </w:rPr>
  </w:style>
  <w:style w:type="character" w:customStyle="1" w:styleId="52">
    <w:name w:val="批注文字 Char1"/>
    <w:link w:val="16"/>
    <w:semiHidden/>
    <w:qFormat/>
    <w:uiPriority w:val="99"/>
    <w:rPr>
      <w:rFonts w:ascii="Calibri" w:hAnsi="Calibri" w:eastAsia="宋体" w:cs="Times New Roman"/>
    </w:rPr>
  </w:style>
  <w:style w:type="character" w:customStyle="1" w:styleId="53">
    <w:name w:val="正文文本 3 Char"/>
    <w:link w:val="17"/>
    <w:qFormat/>
    <w:uiPriority w:val="0"/>
    <w:rPr>
      <w:rFonts w:ascii="Calibri" w:hAnsi="Calibri" w:eastAsia="宋体" w:cs="Times New Roman"/>
      <w:sz w:val="16"/>
      <w:szCs w:val="16"/>
    </w:rPr>
  </w:style>
  <w:style w:type="character" w:customStyle="1" w:styleId="54">
    <w:name w:val="正文文本缩进 Char"/>
    <w:link w:val="19"/>
    <w:qFormat/>
    <w:uiPriority w:val="0"/>
    <w:rPr>
      <w:rFonts w:eastAsia="宋体"/>
      <w:sz w:val="24"/>
      <w:szCs w:val="24"/>
    </w:rPr>
  </w:style>
  <w:style w:type="character" w:customStyle="1" w:styleId="55">
    <w:name w:val="纯文本 Char"/>
    <w:link w:val="22"/>
    <w:qFormat/>
    <w:uiPriority w:val="0"/>
    <w:rPr>
      <w:rFonts w:ascii="宋体" w:hAnsi="Courier New" w:eastAsia="宋体"/>
      <w:szCs w:val="21"/>
    </w:rPr>
  </w:style>
  <w:style w:type="character" w:customStyle="1" w:styleId="56">
    <w:name w:val="日期 Char1"/>
    <w:link w:val="23"/>
    <w:qFormat/>
    <w:uiPriority w:val="0"/>
    <w:rPr>
      <w:rFonts w:ascii="Calibri" w:hAnsi="Calibri" w:eastAsia="宋体" w:cs="Times New Roman"/>
    </w:rPr>
  </w:style>
  <w:style w:type="character" w:customStyle="1" w:styleId="57">
    <w:name w:val="正文文本缩进 2 Char"/>
    <w:link w:val="24"/>
    <w:qFormat/>
    <w:uiPriority w:val="0"/>
    <w:rPr>
      <w:rFonts w:ascii="Calibri" w:hAnsi="Calibri" w:eastAsia="宋体" w:cs="Times New Roman"/>
    </w:rPr>
  </w:style>
  <w:style w:type="character" w:customStyle="1" w:styleId="58">
    <w:name w:val="批注框文本 Char"/>
    <w:link w:val="25"/>
    <w:semiHidden/>
    <w:qFormat/>
    <w:uiPriority w:val="0"/>
    <w:rPr>
      <w:rFonts w:ascii="Calibri" w:hAnsi="Calibri" w:eastAsia="宋体" w:cs="Times New Roman"/>
      <w:sz w:val="18"/>
      <w:szCs w:val="18"/>
    </w:rPr>
  </w:style>
  <w:style w:type="character" w:customStyle="1" w:styleId="59">
    <w:name w:val="页脚 Char"/>
    <w:link w:val="26"/>
    <w:qFormat/>
    <w:uiPriority w:val="99"/>
    <w:rPr>
      <w:sz w:val="18"/>
      <w:szCs w:val="18"/>
    </w:rPr>
  </w:style>
  <w:style w:type="character" w:customStyle="1" w:styleId="60">
    <w:name w:val="页眉 Char"/>
    <w:link w:val="27"/>
    <w:qFormat/>
    <w:uiPriority w:val="0"/>
    <w:rPr>
      <w:rFonts w:ascii="Calibri" w:hAnsi="Calibri" w:eastAsia="宋体" w:cs="Times New Roman"/>
      <w:sz w:val="18"/>
      <w:szCs w:val="18"/>
    </w:rPr>
  </w:style>
  <w:style w:type="character" w:customStyle="1" w:styleId="61">
    <w:name w:val="正文文本缩进 3 Char"/>
    <w:link w:val="29"/>
    <w:qFormat/>
    <w:uiPriority w:val="0"/>
    <w:rPr>
      <w:rFonts w:ascii="Calibri" w:hAnsi="Calibri" w:eastAsia="黑体" w:cs="Times New Roman"/>
      <w:b/>
      <w:bCs/>
      <w:sz w:val="72"/>
    </w:rPr>
  </w:style>
  <w:style w:type="character" w:customStyle="1" w:styleId="62">
    <w:name w:val="批注主题 Char"/>
    <w:link w:val="33"/>
    <w:semiHidden/>
    <w:qFormat/>
    <w:uiPriority w:val="0"/>
    <w:rPr>
      <w:rFonts w:ascii="Times New Roman" w:hAnsi="Times New Roman"/>
      <w:b/>
      <w:bCs/>
      <w:szCs w:val="24"/>
    </w:rPr>
  </w:style>
  <w:style w:type="character" w:customStyle="1" w:styleId="63">
    <w:name w:val="页脚 Char1"/>
    <w:semiHidden/>
    <w:qFormat/>
    <w:uiPriority w:val="99"/>
    <w:rPr>
      <w:rFonts w:ascii="Calibri" w:hAnsi="Calibri" w:eastAsia="宋体" w:cs="Times New Roman"/>
      <w:sz w:val="18"/>
      <w:szCs w:val="18"/>
    </w:rPr>
  </w:style>
  <w:style w:type="character" w:customStyle="1" w:styleId="64">
    <w:name w:val="Char Char3"/>
    <w:qFormat/>
    <w:uiPriority w:val="0"/>
    <w:rPr>
      <w:rFonts w:eastAsia="宋体"/>
      <w:kern w:val="2"/>
      <w:sz w:val="21"/>
      <w:szCs w:val="24"/>
      <w:lang w:val="en-US" w:eastAsia="zh-CN" w:bidi="ar-SA"/>
    </w:rPr>
  </w:style>
  <w:style w:type="character" w:customStyle="1" w:styleId="65">
    <w:name w:val="正文文本缩进 Char_0_0"/>
    <w:link w:val="66"/>
    <w:qFormat/>
    <w:uiPriority w:val="0"/>
    <w:rPr>
      <w:rFonts w:ascii="Times New Roman" w:hAnsi="Times New Roman" w:eastAsia="宋体" w:cs="Times New Roman"/>
      <w:sz w:val="24"/>
      <w:szCs w:val="24"/>
    </w:rPr>
  </w:style>
  <w:style w:type="paragraph" w:customStyle="1" w:styleId="66">
    <w:name w:val="正文文本缩进_0_0"/>
    <w:basedOn w:val="67"/>
    <w:link w:val="65"/>
    <w:qFormat/>
    <w:uiPriority w:val="0"/>
    <w:pPr>
      <w:spacing w:line="500" w:lineRule="exact"/>
      <w:ind w:left="1588" w:leftChars="832" w:firstLine="433" w:firstLineChars="196"/>
    </w:pPr>
    <w:rPr>
      <w:kern w:val="0"/>
      <w:sz w:val="24"/>
    </w:rPr>
  </w:style>
  <w:style w:type="paragraph" w:customStyle="1" w:styleId="67">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8">
    <w:name w:val="正文文本 Char1_1"/>
    <w:link w:val="69"/>
    <w:qFormat/>
    <w:uiPriority w:val="0"/>
    <w:rPr>
      <w:rFonts w:ascii="Times New Roman" w:hAnsi="Times New Roman" w:eastAsia="宋体" w:cs="Times New Roman"/>
      <w:szCs w:val="24"/>
    </w:rPr>
  </w:style>
  <w:style w:type="paragraph" w:customStyle="1" w:styleId="69">
    <w:name w:val="正文文本_1"/>
    <w:basedOn w:val="70"/>
    <w:link w:val="68"/>
    <w:qFormat/>
    <w:uiPriority w:val="0"/>
    <w:pPr>
      <w:spacing w:after="120"/>
    </w:pPr>
    <w:rPr>
      <w:kern w:val="0"/>
      <w:sz w:val="20"/>
    </w:rPr>
  </w:style>
  <w:style w:type="paragraph" w:customStyle="1" w:styleId="70">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1">
    <w:name w:val="正文文本 Char1_1_0"/>
    <w:link w:val="72"/>
    <w:qFormat/>
    <w:uiPriority w:val="0"/>
    <w:rPr>
      <w:rFonts w:ascii="Times New Roman" w:hAnsi="Times New Roman" w:eastAsia="宋体" w:cs="Times New Roman"/>
      <w:szCs w:val="24"/>
    </w:rPr>
  </w:style>
  <w:style w:type="paragraph" w:customStyle="1" w:styleId="72">
    <w:name w:val="正文文本_1_0"/>
    <w:basedOn w:val="73"/>
    <w:link w:val="71"/>
    <w:qFormat/>
    <w:uiPriority w:val="0"/>
    <w:pPr>
      <w:spacing w:after="120"/>
    </w:pPr>
    <w:rPr>
      <w:kern w:val="0"/>
      <w:sz w:val="20"/>
    </w:rPr>
  </w:style>
  <w:style w:type="paragraph" w:customStyle="1" w:styleId="73">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4">
    <w:name w:val="批注文字 Char"/>
    <w:qFormat/>
    <w:uiPriority w:val="0"/>
    <w:rPr>
      <w:rFonts w:eastAsia="宋体"/>
      <w:kern w:val="2"/>
      <w:sz w:val="21"/>
      <w:szCs w:val="24"/>
      <w:lang w:val="en-US" w:eastAsia="zh-CN" w:bidi="ar-SA"/>
    </w:rPr>
  </w:style>
  <w:style w:type="character" w:customStyle="1" w:styleId="75">
    <w:name w:val="正文文本缩进 Char_5"/>
    <w:link w:val="76"/>
    <w:qFormat/>
    <w:uiPriority w:val="0"/>
    <w:rPr>
      <w:rFonts w:ascii="Times New Roman" w:hAnsi="Times New Roman" w:eastAsia="宋体" w:cs="Times New Roman"/>
      <w:sz w:val="24"/>
      <w:szCs w:val="24"/>
    </w:rPr>
  </w:style>
  <w:style w:type="paragraph" w:customStyle="1" w:styleId="76">
    <w:name w:val="正文文本缩进_5"/>
    <w:basedOn w:val="77"/>
    <w:link w:val="75"/>
    <w:qFormat/>
    <w:uiPriority w:val="0"/>
    <w:pPr>
      <w:spacing w:line="500" w:lineRule="exact"/>
      <w:ind w:left="1588" w:leftChars="832" w:firstLine="433" w:firstLineChars="196"/>
    </w:pPr>
    <w:rPr>
      <w:kern w:val="0"/>
      <w:sz w:val="24"/>
    </w:rPr>
  </w:style>
  <w:style w:type="paragraph" w:customStyle="1" w:styleId="77">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8">
    <w:name w:val="正文文本缩进 Char_0"/>
    <w:link w:val="79"/>
    <w:qFormat/>
    <w:uiPriority w:val="0"/>
    <w:rPr>
      <w:rFonts w:ascii="Times New Roman" w:hAnsi="Times New Roman" w:eastAsia="宋体" w:cs="Times New Roman"/>
      <w:sz w:val="24"/>
      <w:szCs w:val="24"/>
    </w:rPr>
  </w:style>
  <w:style w:type="paragraph" w:customStyle="1" w:styleId="79">
    <w:name w:val="正文文本缩进_0"/>
    <w:basedOn w:val="80"/>
    <w:link w:val="78"/>
    <w:qFormat/>
    <w:uiPriority w:val="0"/>
    <w:pPr>
      <w:spacing w:line="500" w:lineRule="exact"/>
      <w:ind w:left="1588" w:leftChars="832" w:firstLine="433" w:firstLineChars="196"/>
    </w:pPr>
    <w:rPr>
      <w:kern w:val="0"/>
      <w:sz w:val="24"/>
    </w:rPr>
  </w:style>
  <w:style w:type="paragraph" w:customStyle="1" w:styleId="80">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1">
    <w:name w:val="标题 3 Char_0_0_0"/>
    <w:link w:val="82"/>
    <w:qFormat/>
    <w:uiPriority w:val="0"/>
    <w:rPr>
      <w:rFonts w:ascii="宋体" w:hAnsi="宋体" w:eastAsia="宋体" w:cs="Times New Roman"/>
      <w:b/>
      <w:sz w:val="28"/>
      <w:szCs w:val="28"/>
    </w:rPr>
  </w:style>
  <w:style w:type="paragraph" w:customStyle="1" w:styleId="82">
    <w:name w:val="标题 3_0_0_0"/>
    <w:basedOn w:val="83"/>
    <w:next w:val="83"/>
    <w:link w:val="81"/>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83">
    <w:name w:val="正文_0_0_0_0"/>
    <w:qFormat/>
    <w:uiPriority w:val="0"/>
    <w:pPr>
      <w:widowControl w:val="0"/>
      <w:jc w:val="both"/>
    </w:pPr>
    <w:rPr>
      <w:rFonts w:ascii="Times New Roman" w:hAnsi="Times New Roman" w:eastAsia="宋体" w:cs="Times New Roman"/>
      <w:kern w:val="2"/>
      <w:sz w:val="28"/>
      <w:szCs w:val="22"/>
      <w:lang w:val="en-US" w:eastAsia="zh-CN" w:bidi="ar-SA"/>
    </w:rPr>
  </w:style>
  <w:style w:type="character" w:customStyle="1" w:styleId="84">
    <w:name w:val="正文文本缩进 Char1"/>
    <w:semiHidden/>
    <w:qFormat/>
    <w:uiPriority w:val="99"/>
    <w:rPr>
      <w:rFonts w:ascii="Calibri" w:hAnsi="Calibri" w:eastAsia="宋体" w:cs="Times New Roman"/>
    </w:rPr>
  </w:style>
  <w:style w:type="character" w:customStyle="1" w:styleId="85">
    <w:name w:val="标题 3 Char_0"/>
    <w:link w:val="86"/>
    <w:qFormat/>
    <w:uiPriority w:val="0"/>
    <w:rPr>
      <w:rFonts w:ascii="宋体" w:hAnsi="宋体"/>
      <w:b/>
      <w:sz w:val="28"/>
      <w:szCs w:val="28"/>
    </w:rPr>
  </w:style>
  <w:style w:type="paragraph" w:customStyle="1" w:styleId="86">
    <w:name w:val="标题 3_0"/>
    <w:basedOn w:val="87"/>
    <w:next w:val="87"/>
    <w:link w:val="85"/>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87">
    <w:name w:val="正文_0_0"/>
    <w:qFormat/>
    <w:uiPriority w:val="0"/>
    <w:pPr>
      <w:widowControl w:val="0"/>
      <w:jc w:val="both"/>
    </w:pPr>
    <w:rPr>
      <w:rFonts w:ascii="Times New Roman" w:hAnsi="Times New Roman" w:eastAsia="宋体" w:cs="Times New Roman"/>
      <w:kern w:val="2"/>
      <w:sz w:val="28"/>
      <w:szCs w:val="22"/>
      <w:lang w:val="en-US" w:eastAsia="zh-CN" w:bidi="ar-SA"/>
    </w:rPr>
  </w:style>
  <w:style w:type="character" w:customStyle="1" w:styleId="88">
    <w:name w:val="纯文本 Char1"/>
    <w:semiHidden/>
    <w:qFormat/>
    <w:uiPriority w:val="99"/>
    <w:rPr>
      <w:rFonts w:ascii="宋体" w:hAnsi="Courier New" w:eastAsia="宋体" w:cs="Courier New"/>
      <w:szCs w:val="21"/>
    </w:rPr>
  </w:style>
  <w:style w:type="character" w:customStyle="1" w:styleId="89">
    <w:name w:val="正文文本缩进 Char_3"/>
    <w:link w:val="90"/>
    <w:qFormat/>
    <w:uiPriority w:val="0"/>
    <w:rPr>
      <w:rFonts w:ascii="Times New Roman" w:hAnsi="Times New Roman" w:eastAsia="宋体" w:cs="Times New Roman"/>
      <w:sz w:val="24"/>
      <w:szCs w:val="24"/>
    </w:rPr>
  </w:style>
  <w:style w:type="paragraph" w:customStyle="1" w:styleId="90">
    <w:name w:val="正文文本缩进_3"/>
    <w:basedOn w:val="91"/>
    <w:link w:val="89"/>
    <w:qFormat/>
    <w:uiPriority w:val="0"/>
    <w:pPr>
      <w:spacing w:line="500" w:lineRule="exact"/>
      <w:ind w:left="1588" w:leftChars="832" w:firstLine="433" w:firstLineChars="196"/>
    </w:pPr>
    <w:rPr>
      <w:kern w:val="0"/>
      <w:sz w:val="24"/>
    </w:rPr>
  </w:style>
  <w:style w:type="paragraph" w:customStyle="1" w:styleId="91">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2">
    <w:name w:val="正文文本 Char1_0"/>
    <w:link w:val="93"/>
    <w:qFormat/>
    <w:locked/>
    <w:uiPriority w:val="0"/>
    <w:rPr>
      <w:szCs w:val="24"/>
    </w:rPr>
  </w:style>
  <w:style w:type="paragraph" w:customStyle="1" w:styleId="93">
    <w:name w:val="正文文本_0"/>
    <w:basedOn w:val="94"/>
    <w:link w:val="92"/>
    <w:qFormat/>
    <w:uiPriority w:val="0"/>
    <w:pPr>
      <w:spacing w:after="120"/>
    </w:pPr>
    <w:rPr>
      <w:rFonts w:ascii="Calibri" w:hAnsi="Calibri"/>
      <w:kern w:val="0"/>
      <w:sz w:val="20"/>
    </w:rPr>
  </w:style>
  <w:style w:type="paragraph" w:customStyle="1" w:styleId="9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5">
    <w:name w:val="正文文本缩进 Char_2"/>
    <w:link w:val="96"/>
    <w:qFormat/>
    <w:uiPriority w:val="0"/>
    <w:rPr>
      <w:rFonts w:ascii="Times New Roman" w:hAnsi="Times New Roman" w:eastAsia="宋体" w:cs="Times New Roman"/>
      <w:sz w:val="24"/>
      <w:szCs w:val="24"/>
    </w:rPr>
  </w:style>
  <w:style w:type="paragraph" w:customStyle="1" w:styleId="96">
    <w:name w:val="正文文本缩进_2"/>
    <w:basedOn w:val="97"/>
    <w:link w:val="95"/>
    <w:qFormat/>
    <w:uiPriority w:val="0"/>
    <w:pPr>
      <w:spacing w:line="500" w:lineRule="exact"/>
      <w:ind w:left="1588" w:leftChars="832" w:firstLine="433" w:firstLineChars="196"/>
    </w:pPr>
    <w:rPr>
      <w:kern w:val="0"/>
      <w:sz w:val="24"/>
    </w:rPr>
  </w:style>
  <w:style w:type="paragraph" w:customStyle="1" w:styleId="97">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8">
    <w:name w:val="日期 Char"/>
    <w:link w:val="99"/>
    <w:qFormat/>
    <w:uiPriority w:val="0"/>
    <w:rPr>
      <w:rFonts w:ascii="Times New Roman" w:hAnsi="Times New Roman" w:eastAsia="宋体" w:cs="Times New Roman"/>
      <w:szCs w:val="24"/>
    </w:rPr>
  </w:style>
  <w:style w:type="paragraph" w:customStyle="1" w:styleId="99">
    <w:name w:val="日期_0"/>
    <w:basedOn w:val="73"/>
    <w:next w:val="73"/>
    <w:link w:val="98"/>
    <w:qFormat/>
    <w:uiPriority w:val="0"/>
    <w:pPr>
      <w:ind w:left="100" w:leftChars="2500"/>
    </w:pPr>
    <w:rPr>
      <w:kern w:val="0"/>
      <w:sz w:val="20"/>
    </w:rPr>
  </w:style>
  <w:style w:type="character" w:customStyle="1" w:styleId="100">
    <w:name w:val="font61"/>
    <w:qFormat/>
    <w:uiPriority w:val="0"/>
    <w:rPr>
      <w:rFonts w:hint="eastAsia" w:ascii="宋体" w:hAnsi="宋体" w:eastAsia="宋体" w:cs="宋体"/>
      <w:color w:val="000000"/>
      <w:sz w:val="16"/>
      <w:szCs w:val="16"/>
      <w:u w:val="none"/>
    </w:rPr>
  </w:style>
  <w:style w:type="character" w:customStyle="1" w:styleId="101">
    <w:name w:val="正文文本 Char1"/>
    <w:semiHidden/>
    <w:qFormat/>
    <w:uiPriority w:val="99"/>
    <w:rPr>
      <w:rFonts w:ascii="Calibri" w:hAnsi="Calibri" w:eastAsia="宋体" w:cs="Times New Roman"/>
    </w:rPr>
  </w:style>
  <w:style w:type="character" w:customStyle="1" w:styleId="102">
    <w:name w:val="正文文本缩进 Char_1"/>
    <w:link w:val="103"/>
    <w:qFormat/>
    <w:uiPriority w:val="0"/>
    <w:rPr>
      <w:rFonts w:ascii="Times New Roman" w:hAnsi="Times New Roman" w:eastAsia="宋体" w:cs="Times New Roman"/>
      <w:sz w:val="24"/>
      <w:szCs w:val="24"/>
    </w:rPr>
  </w:style>
  <w:style w:type="paragraph" w:customStyle="1" w:styleId="103">
    <w:name w:val="正文文本缩进_1"/>
    <w:basedOn w:val="104"/>
    <w:link w:val="102"/>
    <w:qFormat/>
    <w:uiPriority w:val="0"/>
    <w:pPr>
      <w:spacing w:line="500" w:lineRule="exact"/>
      <w:ind w:left="1588" w:leftChars="832" w:firstLine="433" w:firstLineChars="196"/>
    </w:pPr>
    <w:rPr>
      <w:kern w:val="0"/>
      <w:sz w:val="24"/>
    </w:rPr>
  </w:style>
  <w:style w:type="paragraph" w:customStyle="1" w:styleId="104">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5">
    <w:name w:val="标题 3 Char_0_1"/>
    <w:link w:val="106"/>
    <w:qFormat/>
    <w:uiPriority w:val="0"/>
    <w:rPr>
      <w:rFonts w:ascii="宋体" w:hAnsi="宋体" w:eastAsia="宋体" w:cs="Times New Roman"/>
      <w:b/>
      <w:sz w:val="28"/>
      <w:szCs w:val="28"/>
    </w:rPr>
  </w:style>
  <w:style w:type="paragraph" w:customStyle="1" w:styleId="106">
    <w:name w:val="标题 3_0_1"/>
    <w:basedOn w:val="107"/>
    <w:next w:val="107"/>
    <w:link w:val="105"/>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107">
    <w:name w:val="正文_0_0_1"/>
    <w:qFormat/>
    <w:uiPriority w:val="0"/>
    <w:pPr>
      <w:widowControl w:val="0"/>
      <w:jc w:val="both"/>
    </w:pPr>
    <w:rPr>
      <w:rFonts w:ascii="Times New Roman" w:hAnsi="Times New Roman" w:eastAsia="宋体" w:cs="Times New Roman"/>
      <w:kern w:val="2"/>
      <w:sz w:val="28"/>
      <w:szCs w:val="22"/>
      <w:lang w:val="en-US" w:eastAsia="zh-CN" w:bidi="ar-SA"/>
    </w:rPr>
  </w:style>
  <w:style w:type="character" w:customStyle="1" w:styleId="108">
    <w:name w:val="正文文本 Char1_0_0"/>
    <w:link w:val="109"/>
    <w:qFormat/>
    <w:uiPriority w:val="0"/>
    <w:rPr>
      <w:rFonts w:ascii="Times New Roman" w:hAnsi="Times New Roman" w:eastAsia="宋体" w:cs="Times New Roman"/>
      <w:szCs w:val="24"/>
    </w:rPr>
  </w:style>
  <w:style w:type="paragraph" w:customStyle="1" w:styleId="109">
    <w:name w:val="正文文本_0_0"/>
    <w:basedOn w:val="67"/>
    <w:link w:val="108"/>
    <w:qFormat/>
    <w:uiPriority w:val="0"/>
    <w:pPr>
      <w:spacing w:after="120"/>
    </w:pPr>
    <w:rPr>
      <w:kern w:val="0"/>
      <w:sz w:val="20"/>
    </w:rPr>
  </w:style>
  <w:style w:type="character" w:customStyle="1" w:styleId="110">
    <w:name w:val="font141"/>
    <w:qFormat/>
    <w:uiPriority w:val="0"/>
    <w:rPr>
      <w:rFonts w:hint="eastAsia" w:ascii="宋体" w:hAnsi="宋体" w:eastAsia="宋体" w:cs="宋体"/>
      <w:color w:val="000000"/>
      <w:sz w:val="16"/>
      <w:szCs w:val="16"/>
      <w:u w:val="none"/>
      <w:vertAlign w:val="superscript"/>
    </w:rPr>
  </w:style>
  <w:style w:type="character" w:customStyle="1" w:styleId="111">
    <w:name w:val="正文文本缩进 Char_4"/>
    <w:link w:val="112"/>
    <w:qFormat/>
    <w:uiPriority w:val="0"/>
    <w:rPr>
      <w:rFonts w:ascii="Times New Roman" w:hAnsi="Times New Roman" w:eastAsia="宋体" w:cs="Times New Roman"/>
      <w:sz w:val="24"/>
      <w:szCs w:val="24"/>
    </w:rPr>
  </w:style>
  <w:style w:type="paragraph" w:customStyle="1" w:styleId="112">
    <w:name w:val="正文文本缩进_4"/>
    <w:basedOn w:val="113"/>
    <w:link w:val="111"/>
    <w:qFormat/>
    <w:uiPriority w:val="0"/>
    <w:pPr>
      <w:spacing w:line="500" w:lineRule="exact"/>
      <w:ind w:left="1588" w:leftChars="832" w:firstLine="433" w:firstLineChars="196"/>
    </w:pPr>
    <w:rPr>
      <w:kern w:val="0"/>
      <w:sz w:val="24"/>
    </w:rPr>
  </w:style>
  <w:style w:type="paragraph" w:customStyle="1" w:styleId="113">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4">
    <w:name w:val="Char Char6"/>
    <w:qFormat/>
    <w:uiPriority w:val="0"/>
    <w:rPr>
      <w:rFonts w:eastAsia="宋体"/>
      <w:kern w:val="2"/>
      <w:sz w:val="21"/>
      <w:szCs w:val="24"/>
      <w:lang w:val="en-US" w:eastAsia="zh-CN" w:bidi="ar-SA"/>
    </w:rPr>
  </w:style>
  <w:style w:type="character" w:customStyle="1" w:styleId="115">
    <w:name w:val="正文文本 Char1_2"/>
    <w:link w:val="116"/>
    <w:qFormat/>
    <w:uiPriority w:val="0"/>
    <w:rPr>
      <w:rFonts w:ascii="Times New Roman" w:hAnsi="Times New Roman" w:eastAsia="宋体" w:cs="Times New Roman"/>
      <w:szCs w:val="24"/>
    </w:rPr>
  </w:style>
  <w:style w:type="paragraph" w:customStyle="1" w:styleId="116">
    <w:name w:val="正文文本_2"/>
    <w:basedOn w:val="104"/>
    <w:link w:val="115"/>
    <w:qFormat/>
    <w:uiPriority w:val="0"/>
    <w:pPr>
      <w:spacing w:after="120"/>
    </w:pPr>
    <w:rPr>
      <w:kern w:val="0"/>
      <w:sz w:val="20"/>
    </w:rPr>
  </w:style>
  <w:style w:type="character" w:customStyle="1" w:styleId="117">
    <w:name w:val="font11"/>
    <w:qFormat/>
    <w:uiPriority w:val="0"/>
    <w:rPr>
      <w:rFonts w:hint="eastAsia" w:ascii="宋体" w:hAnsi="宋体" w:eastAsia="宋体" w:cs="宋体"/>
      <w:color w:val="000000"/>
      <w:sz w:val="24"/>
      <w:szCs w:val="24"/>
      <w:u w:val="none"/>
    </w:rPr>
  </w:style>
  <w:style w:type="character" w:customStyle="1" w:styleId="118">
    <w:name w:val="标题 3 Char_0_0"/>
    <w:link w:val="119"/>
    <w:qFormat/>
    <w:uiPriority w:val="0"/>
    <w:rPr>
      <w:rFonts w:ascii="宋体" w:hAnsi="宋体" w:eastAsia="宋体" w:cs="Times New Roman"/>
      <w:b/>
      <w:sz w:val="28"/>
      <w:szCs w:val="28"/>
    </w:rPr>
  </w:style>
  <w:style w:type="paragraph" w:customStyle="1" w:styleId="119">
    <w:name w:val="标题 3_0_0"/>
    <w:basedOn w:val="120"/>
    <w:next w:val="120"/>
    <w:link w:val="118"/>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120">
    <w:name w:val="正文_0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121">
    <w:name w:val="Normal_6"/>
    <w:qFormat/>
    <w:uiPriority w:val="0"/>
    <w:rPr>
      <w:rFonts w:ascii="黑体" w:hAnsi="黑体" w:eastAsia="黑体" w:cs="Times New Roman"/>
      <w:b/>
      <w:sz w:val="32"/>
      <w:szCs w:val="24"/>
      <w:lang w:val="en-US" w:eastAsia="zh-CN" w:bidi="ar-SA"/>
    </w:rPr>
  </w:style>
  <w:style w:type="paragraph" w:customStyle="1" w:styleId="122">
    <w:name w:val="Normal_10"/>
    <w:qFormat/>
    <w:uiPriority w:val="0"/>
    <w:rPr>
      <w:rFonts w:ascii="黑体" w:hAnsi="黑体" w:eastAsia="黑体" w:cs="Times New Roman"/>
      <w:b/>
      <w:sz w:val="32"/>
      <w:szCs w:val="24"/>
      <w:lang w:val="en-US" w:eastAsia="zh-CN" w:bidi="ar-SA"/>
    </w:rPr>
  </w:style>
  <w:style w:type="paragraph" w:styleId="123">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24">
    <w:name w:val="Normal_12"/>
    <w:qFormat/>
    <w:uiPriority w:val="0"/>
    <w:rPr>
      <w:rFonts w:ascii="黑体" w:hAnsi="黑体" w:eastAsia="黑体" w:cs="Times New Roman"/>
      <w:b/>
      <w:sz w:val="32"/>
      <w:szCs w:val="24"/>
      <w:lang w:val="en-US" w:eastAsia="zh-CN" w:bidi="ar-SA"/>
    </w:rPr>
  </w:style>
  <w:style w:type="paragraph" w:customStyle="1" w:styleId="125">
    <w:name w:val="Normal_7"/>
    <w:qFormat/>
    <w:uiPriority w:val="0"/>
    <w:rPr>
      <w:rFonts w:ascii="黑体" w:hAnsi="黑体" w:eastAsia="黑体" w:cs="Times New Roman"/>
      <w:b/>
      <w:sz w:val="32"/>
      <w:szCs w:val="24"/>
      <w:lang w:val="en-US" w:eastAsia="zh-CN" w:bidi="ar-SA"/>
    </w:rPr>
  </w:style>
  <w:style w:type="paragraph" w:customStyle="1" w:styleId="126">
    <w:name w:val="Normal_17"/>
    <w:qFormat/>
    <w:uiPriority w:val="0"/>
    <w:rPr>
      <w:rFonts w:ascii="黑体" w:hAnsi="黑体" w:eastAsia="黑体" w:cs="Times New Roman"/>
      <w:b/>
      <w:sz w:val="32"/>
      <w:szCs w:val="24"/>
      <w:lang w:val="en-US" w:eastAsia="zh-CN" w:bidi="ar-SA"/>
    </w:rPr>
  </w:style>
  <w:style w:type="paragraph" w:customStyle="1" w:styleId="127">
    <w:name w:val="附件正文"/>
    <w:basedOn w:val="1"/>
    <w:qFormat/>
    <w:uiPriority w:val="0"/>
    <w:pPr>
      <w:snapToGrid w:val="0"/>
      <w:spacing w:line="500" w:lineRule="exact"/>
      <w:ind w:firstLine="540" w:firstLineChars="225"/>
    </w:pPr>
    <w:rPr>
      <w:kern w:val="0"/>
      <w:sz w:val="24"/>
    </w:rPr>
  </w:style>
  <w:style w:type="paragraph" w:customStyle="1" w:styleId="128">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9">
    <w:name w:val="Normal_14"/>
    <w:qFormat/>
    <w:uiPriority w:val="0"/>
    <w:rPr>
      <w:rFonts w:ascii="黑体" w:hAnsi="黑体" w:eastAsia="黑体" w:cs="Times New Roman"/>
      <w:b/>
      <w:sz w:val="32"/>
      <w:szCs w:val="24"/>
      <w:lang w:val="en-US" w:eastAsia="zh-CN" w:bidi="ar-SA"/>
    </w:rPr>
  </w:style>
  <w:style w:type="paragraph" w:customStyle="1" w:styleId="130">
    <w:name w:val="Normal_16"/>
    <w:qFormat/>
    <w:uiPriority w:val="0"/>
    <w:rPr>
      <w:rFonts w:ascii="黑体" w:hAnsi="黑体" w:eastAsia="黑体" w:cs="Times New Roman"/>
      <w:b/>
      <w:sz w:val="32"/>
      <w:szCs w:val="24"/>
      <w:lang w:val="en-US" w:eastAsia="zh-CN" w:bidi="ar-SA"/>
    </w:rPr>
  </w:style>
  <w:style w:type="paragraph" w:customStyle="1" w:styleId="131">
    <w:name w:val="Normal_1"/>
    <w:qFormat/>
    <w:uiPriority w:val="0"/>
    <w:rPr>
      <w:rFonts w:ascii="黑体" w:hAnsi="黑体" w:eastAsia="黑体" w:cs="Times New Roman"/>
      <w:b/>
      <w:sz w:val="32"/>
      <w:szCs w:val="24"/>
      <w:lang w:val="en-US" w:eastAsia="zh-CN" w:bidi="ar-SA"/>
    </w:rPr>
  </w:style>
  <w:style w:type="paragraph" w:styleId="132">
    <w:name w:val="List Paragraph"/>
    <w:basedOn w:val="1"/>
    <w:qFormat/>
    <w:uiPriority w:val="34"/>
    <w:pPr>
      <w:ind w:firstLine="420" w:firstLineChars="200"/>
    </w:pPr>
  </w:style>
  <w:style w:type="paragraph" w:customStyle="1" w:styleId="133">
    <w:name w:val="Char Char Char Char Char Char"/>
    <w:basedOn w:val="15"/>
    <w:qFormat/>
    <w:uiPriority w:val="0"/>
    <w:rPr>
      <w:rFonts w:ascii="Tahoma" w:hAnsi="Tahoma"/>
      <w:sz w:val="24"/>
    </w:rPr>
  </w:style>
  <w:style w:type="paragraph" w:customStyle="1" w:styleId="134">
    <w:name w:val="题注_0_0"/>
    <w:basedOn w:val="77"/>
    <w:next w:val="77"/>
    <w:qFormat/>
    <w:uiPriority w:val="0"/>
    <w:pPr>
      <w:spacing w:before="152" w:after="160"/>
    </w:pPr>
    <w:rPr>
      <w:rFonts w:ascii="Arial" w:hAnsi="Arial" w:eastAsia="黑体"/>
      <w:sz w:val="20"/>
      <w:szCs w:val="20"/>
    </w:rPr>
  </w:style>
  <w:style w:type="paragraph" w:customStyle="1" w:styleId="135">
    <w:name w:val="Normal_18"/>
    <w:qFormat/>
    <w:uiPriority w:val="0"/>
    <w:rPr>
      <w:rFonts w:ascii="黑体" w:hAnsi="黑体" w:eastAsia="黑体" w:cs="Times New Roman"/>
      <w:b/>
      <w:sz w:val="32"/>
      <w:szCs w:val="24"/>
      <w:lang w:val="en-US" w:eastAsia="zh-CN" w:bidi="ar-SA"/>
    </w:rPr>
  </w:style>
  <w:style w:type="paragraph" w:customStyle="1" w:styleId="136">
    <w:name w:val="Normal_3"/>
    <w:qFormat/>
    <w:uiPriority w:val="0"/>
    <w:rPr>
      <w:rFonts w:ascii="黑体" w:hAnsi="黑体" w:eastAsia="黑体" w:cs="Times New Roman"/>
      <w:b/>
      <w:sz w:val="32"/>
      <w:szCs w:val="24"/>
      <w:lang w:val="en-US" w:eastAsia="zh-CN" w:bidi="ar-SA"/>
    </w:rPr>
  </w:style>
  <w:style w:type="paragraph" w:customStyle="1" w:styleId="137">
    <w:name w:val="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列出段落2"/>
    <w:basedOn w:val="1"/>
    <w:qFormat/>
    <w:uiPriority w:val="34"/>
    <w:pPr>
      <w:ind w:firstLine="420" w:firstLineChars="200"/>
    </w:pPr>
  </w:style>
  <w:style w:type="paragraph" w:customStyle="1" w:styleId="139">
    <w:name w:val="题注_0"/>
    <w:basedOn w:val="113"/>
    <w:next w:val="113"/>
    <w:qFormat/>
    <w:uiPriority w:val="0"/>
    <w:pPr>
      <w:spacing w:before="152" w:after="160"/>
    </w:pPr>
    <w:rPr>
      <w:rFonts w:ascii="Arial" w:hAnsi="Arial" w:eastAsia="黑体"/>
      <w:sz w:val="20"/>
      <w:szCs w:val="20"/>
    </w:rPr>
  </w:style>
  <w:style w:type="paragraph" w:customStyle="1" w:styleId="140">
    <w:name w:val="正文文本缩进1"/>
    <w:basedOn w:val="1"/>
    <w:qFormat/>
    <w:uiPriority w:val="0"/>
    <w:pPr>
      <w:ind w:firstLine="630"/>
    </w:pPr>
    <w:rPr>
      <w:rFonts w:eastAsia="楷体_GB2312"/>
      <w:kern w:val="0"/>
      <w:sz w:val="30"/>
      <w:szCs w:val="20"/>
    </w:rPr>
  </w:style>
  <w:style w:type="paragraph" w:customStyle="1" w:styleId="141">
    <w:name w:val="正文 A"/>
    <w:qFormat/>
    <w:uiPriority w:val="0"/>
    <w:pPr>
      <w:widowControl w:val="0"/>
      <w:spacing w:line="360" w:lineRule="auto"/>
      <w:ind w:firstLine="200"/>
      <w:jc w:val="both"/>
    </w:pPr>
    <w:rPr>
      <w:rFonts w:ascii="宋体" w:hAnsi="宋体" w:eastAsia="宋体" w:cs="宋体"/>
      <w:color w:val="000000"/>
      <w:kern w:val="2"/>
      <w:sz w:val="28"/>
      <w:szCs w:val="28"/>
      <w:u w:color="000000"/>
      <w:lang w:val="en-US" w:eastAsia="zh-CN" w:bidi="ar-SA"/>
    </w:rPr>
  </w:style>
  <w:style w:type="paragraph" w:customStyle="1" w:styleId="142">
    <w:name w:val="Normal_9"/>
    <w:qFormat/>
    <w:uiPriority w:val="0"/>
    <w:rPr>
      <w:rFonts w:ascii="黑体" w:hAnsi="黑体" w:eastAsia="黑体" w:cs="Times New Roman"/>
      <w:b/>
      <w:sz w:val="32"/>
      <w:szCs w:val="24"/>
      <w:lang w:val="en-US" w:eastAsia="zh-CN" w:bidi="ar-SA"/>
    </w:rPr>
  </w:style>
  <w:style w:type="paragraph" w:customStyle="1" w:styleId="143">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4">
    <w:name w:val="Normal_8"/>
    <w:qFormat/>
    <w:uiPriority w:val="0"/>
    <w:rPr>
      <w:rFonts w:ascii="黑体" w:hAnsi="黑体" w:eastAsia="黑体" w:cs="Times New Roman"/>
      <w:b/>
      <w:sz w:val="32"/>
      <w:szCs w:val="24"/>
      <w:lang w:val="en-US" w:eastAsia="zh-CN" w:bidi="ar-SA"/>
    </w:rPr>
  </w:style>
  <w:style w:type="paragraph" w:customStyle="1" w:styleId="145">
    <w:name w:val="Char Char Char"/>
    <w:basedOn w:val="1"/>
    <w:qFormat/>
    <w:uiPriority w:val="0"/>
    <w:pPr>
      <w:widowControl/>
      <w:spacing w:after="160" w:line="240" w:lineRule="exact"/>
      <w:jc w:val="left"/>
    </w:pPr>
  </w:style>
  <w:style w:type="paragraph" w:customStyle="1" w:styleId="146">
    <w:name w:val="样式1"/>
    <w:basedOn w:val="1"/>
    <w:qFormat/>
    <w:uiPriority w:val="0"/>
    <w:pPr>
      <w:numPr>
        <w:ilvl w:val="0"/>
        <w:numId w:val="1"/>
      </w:numPr>
      <w:tabs>
        <w:tab w:val="left" w:pos="1110"/>
      </w:tabs>
      <w:adjustRightInd w:val="0"/>
      <w:textAlignment w:val="baseline"/>
    </w:pPr>
    <w:rPr>
      <w:rFonts w:ascii="宋体" w:hAnsi="宋体"/>
      <w:kern w:val="0"/>
      <w:szCs w:val="21"/>
    </w:rPr>
  </w:style>
  <w:style w:type="paragraph" w:customStyle="1" w:styleId="147">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8">
    <w:name w:val="样式 标题 2 + 宋体 五号 非加粗 黑色"/>
    <w:basedOn w:val="4"/>
    <w:qFormat/>
    <w:uiPriority w:val="0"/>
    <w:rPr>
      <w:rFonts w:ascii="宋体" w:hAnsi="宋体" w:eastAsia="宋体"/>
      <w:b w:val="0"/>
      <w:bCs w:val="0"/>
      <w:color w:val="000000"/>
      <w:sz w:val="21"/>
    </w:rPr>
  </w:style>
  <w:style w:type="paragraph" w:customStyle="1" w:styleId="149">
    <w:name w:val="正文_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0">
    <w:name w:val="Normal_2"/>
    <w:qFormat/>
    <w:uiPriority w:val="0"/>
    <w:rPr>
      <w:rFonts w:ascii="黑体" w:hAnsi="黑体" w:eastAsia="黑体" w:cs="Times New Roman"/>
      <w:b/>
      <w:sz w:val="32"/>
      <w:szCs w:val="24"/>
      <w:lang w:val="en-US" w:eastAsia="zh-CN" w:bidi="ar-SA"/>
    </w:rPr>
  </w:style>
  <w:style w:type="paragraph" w:customStyle="1" w:styleId="151">
    <w:name w:val="Char"/>
    <w:basedOn w:val="1"/>
    <w:qFormat/>
    <w:uiPriority w:val="0"/>
    <w:pPr>
      <w:tabs>
        <w:tab w:val="left" w:pos="432"/>
      </w:tabs>
      <w:spacing w:before="156" w:beforeLines="50" w:after="156" w:afterLines="50"/>
      <w:ind w:left="432" w:hanging="432"/>
    </w:pPr>
  </w:style>
  <w:style w:type="paragraph" w:customStyle="1" w:styleId="152">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153">
    <w:name w:val="Normal_15"/>
    <w:qFormat/>
    <w:uiPriority w:val="0"/>
    <w:rPr>
      <w:rFonts w:ascii="黑体" w:hAnsi="黑体" w:eastAsia="黑体" w:cs="Times New Roman"/>
      <w:b/>
      <w:sz w:val="32"/>
      <w:szCs w:val="24"/>
      <w:lang w:val="en-US" w:eastAsia="zh-CN" w:bidi="ar-SA"/>
    </w:rPr>
  </w:style>
  <w:style w:type="paragraph" w:customStyle="1" w:styleId="154">
    <w:name w:val="Char1"/>
    <w:basedOn w:val="1"/>
    <w:qFormat/>
    <w:uiPriority w:val="0"/>
    <w:pPr>
      <w:tabs>
        <w:tab w:val="left" w:pos="360"/>
      </w:tabs>
      <w:spacing w:line="360" w:lineRule="auto"/>
      <w:ind w:firstLine="480" w:firstLineChars="200"/>
    </w:pPr>
    <w:rPr>
      <w:rFonts w:ascii="楷体_GB2312" w:eastAsia="楷体_GB2312"/>
      <w:sz w:val="24"/>
    </w:rPr>
  </w:style>
  <w:style w:type="paragraph" w:customStyle="1" w:styleId="155">
    <w:name w:val="Normal_4"/>
    <w:qFormat/>
    <w:uiPriority w:val="0"/>
    <w:rPr>
      <w:rFonts w:ascii="黑体" w:hAnsi="黑体" w:eastAsia="黑体" w:cs="Times New Roman"/>
      <w:b/>
      <w:sz w:val="32"/>
      <w:szCs w:val="24"/>
      <w:lang w:val="en-US" w:eastAsia="zh-CN" w:bidi="ar-SA"/>
    </w:rPr>
  </w:style>
  <w:style w:type="paragraph" w:customStyle="1" w:styleId="156">
    <w:name w:val="列表段落"/>
    <w:basedOn w:val="1"/>
    <w:qFormat/>
    <w:uiPriority w:val="34"/>
    <w:pPr>
      <w:ind w:firstLine="420" w:firstLineChars="200"/>
    </w:pPr>
    <w:rPr>
      <w:szCs w:val="24"/>
    </w:rPr>
  </w:style>
  <w:style w:type="paragraph" w:customStyle="1" w:styleId="157">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8">
    <w:name w:val="正文_2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9">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60">
    <w:name w:val="È±Ê¡ÎÄ±¾"/>
    <w:basedOn w:val="1"/>
    <w:qFormat/>
    <w:uiPriority w:val="0"/>
    <w:pPr>
      <w:widowControl/>
      <w:overflowPunct w:val="0"/>
      <w:autoSpaceDE w:val="0"/>
      <w:autoSpaceDN w:val="0"/>
      <w:adjustRightInd w:val="0"/>
      <w:jc w:val="left"/>
    </w:pPr>
    <w:rPr>
      <w:kern w:val="0"/>
      <w:sz w:val="24"/>
    </w:rPr>
  </w:style>
  <w:style w:type="paragraph" w:customStyle="1" w:styleId="161">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Normal_19"/>
    <w:qFormat/>
    <w:uiPriority w:val="0"/>
    <w:rPr>
      <w:rFonts w:ascii="黑体" w:hAnsi="黑体" w:eastAsia="黑体" w:cs="Times New Roman"/>
      <w:b/>
      <w:sz w:val="32"/>
      <w:szCs w:val="24"/>
      <w:lang w:val="en-US" w:eastAsia="zh-CN" w:bidi="ar-SA"/>
    </w:rPr>
  </w:style>
  <w:style w:type="paragraph" w:customStyle="1" w:styleId="163">
    <w:name w:val="_Style 161"/>
    <w:basedOn w:val="3"/>
    <w:next w:val="1"/>
    <w:qFormat/>
    <w:uiPriority w:val="39"/>
    <w:pPr>
      <w:widowControl/>
      <w:adjustRightInd/>
      <w:spacing w:before="480" w:after="0" w:line="276" w:lineRule="auto"/>
      <w:ind w:firstLine="0"/>
      <w:textAlignment w:val="auto"/>
      <w:outlineLvl w:val="9"/>
    </w:pPr>
    <w:rPr>
      <w:rFonts w:ascii="Cambria" w:hAnsi="Cambria"/>
      <w:color w:val="365F91"/>
      <w:kern w:val="0"/>
      <w:sz w:val="28"/>
      <w:szCs w:val="28"/>
    </w:rPr>
  </w:style>
  <w:style w:type="paragraph" w:customStyle="1" w:styleId="164">
    <w:name w:val="Char Char Char1 Char8"/>
    <w:basedOn w:val="1"/>
    <w:semiHidden/>
    <w:qFormat/>
    <w:uiPriority w:val="0"/>
    <w:pPr>
      <w:spacing w:line="360" w:lineRule="auto"/>
      <w:ind w:firstLine="200" w:firstLineChars="200"/>
    </w:pPr>
    <w:rPr>
      <w:rFonts w:ascii="宋体" w:hAnsi="宋体" w:cs="宋体"/>
      <w:sz w:val="24"/>
    </w:rPr>
  </w:style>
  <w:style w:type="paragraph" w:customStyle="1" w:styleId="165">
    <w:name w:val="默认段落字体 Para Char Char Char Char Char Char Char Char Char Char Char Char Char Char Char Char"/>
    <w:basedOn w:val="1"/>
    <w:qFormat/>
    <w:uiPriority w:val="0"/>
    <w:rPr>
      <w:rFonts w:ascii="Tahoma" w:hAnsi="Tahoma"/>
      <w:sz w:val="24"/>
      <w:szCs w:val="20"/>
    </w:rPr>
  </w:style>
  <w:style w:type="paragraph" w:customStyle="1" w:styleId="166">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7">
    <w:name w:val="样式 标题 4 + 段前: 5 磅 段后: 5 磅 行距: 单倍行距"/>
    <w:basedOn w:val="6"/>
    <w:qFormat/>
    <w:uiPriority w:val="0"/>
    <w:pPr>
      <w:spacing w:before="100" w:after="100" w:line="240" w:lineRule="auto"/>
    </w:pPr>
    <w:rPr>
      <w:rFonts w:cs="宋体"/>
      <w:szCs w:val="20"/>
    </w:rPr>
  </w:style>
  <w:style w:type="paragraph" w:customStyle="1" w:styleId="168">
    <w:name w:val="正文1"/>
    <w:qFormat/>
    <w:uiPriority w:val="0"/>
    <w:rPr>
      <w:rFonts w:ascii="Times New Roman" w:hAnsi="Times New Roman" w:eastAsia="Times New Roman" w:cs="Times New Roman"/>
      <w:sz w:val="24"/>
      <w:szCs w:val="24"/>
      <w:lang w:val="en-US" w:eastAsia="zh-CN" w:bidi="ar-SA"/>
    </w:rPr>
  </w:style>
  <w:style w:type="paragraph" w:customStyle="1" w:styleId="169">
    <w:name w:val="Normal_13"/>
    <w:qFormat/>
    <w:uiPriority w:val="0"/>
    <w:rPr>
      <w:rFonts w:ascii="黑体" w:hAnsi="黑体" w:eastAsia="黑体" w:cs="Times New Roman"/>
      <w:b/>
      <w:sz w:val="32"/>
      <w:szCs w:val="24"/>
      <w:lang w:val="en-US" w:eastAsia="zh-CN" w:bidi="ar-SA"/>
    </w:rPr>
  </w:style>
  <w:style w:type="paragraph" w:customStyle="1" w:styleId="170">
    <w:name w:val="Normal_0"/>
    <w:qFormat/>
    <w:uiPriority w:val="0"/>
    <w:rPr>
      <w:rFonts w:ascii="黑体" w:hAnsi="黑体" w:eastAsia="黑体" w:cs="Times New Roman"/>
      <w:b/>
      <w:sz w:val="32"/>
      <w:szCs w:val="24"/>
      <w:lang w:val="en-US" w:eastAsia="zh-CN" w:bidi="ar-SA"/>
    </w:rPr>
  </w:style>
  <w:style w:type="paragraph" w:customStyle="1" w:styleId="171">
    <w:name w:val="Normal_5"/>
    <w:qFormat/>
    <w:uiPriority w:val="0"/>
    <w:rPr>
      <w:rFonts w:ascii="黑体" w:hAnsi="黑体" w:eastAsia="黑体" w:cs="Times New Roman"/>
      <w:b/>
      <w:sz w:val="32"/>
      <w:szCs w:val="24"/>
      <w:lang w:val="en-US" w:eastAsia="zh-CN" w:bidi="ar-SA"/>
    </w:rPr>
  </w:style>
  <w:style w:type="paragraph" w:customStyle="1" w:styleId="17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73">
    <w:name w:val="Normal_11"/>
    <w:qFormat/>
    <w:uiPriority w:val="0"/>
    <w:rPr>
      <w:rFonts w:ascii="黑体" w:hAnsi="黑体" w:eastAsia="黑体" w:cs="Times New Roman"/>
      <w:b/>
      <w:sz w:val="32"/>
      <w:szCs w:val="24"/>
      <w:lang w:val="en-US" w:eastAsia="zh-CN" w:bidi="ar-SA"/>
    </w:rPr>
  </w:style>
  <w:style w:type="character" w:customStyle="1" w:styleId="174">
    <w:name w:val="font21"/>
    <w:qFormat/>
    <w:uiPriority w:val="0"/>
    <w:rPr>
      <w:rFonts w:hint="eastAsia" w:ascii="宋体" w:hAnsi="宋体" w:eastAsia="宋体" w:cs="宋体"/>
      <w:color w:val="000000"/>
      <w:sz w:val="20"/>
      <w:szCs w:val="20"/>
      <w:u w:val="none"/>
    </w:rPr>
  </w:style>
  <w:style w:type="character" w:customStyle="1" w:styleId="175">
    <w:name w:val="font01"/>
    <w:qFormat/>
    <w:uiPriority w:val="0"/>
    <w:rPr>
      <w:rFonts w:hint="eastAsia" w:ascii="宋体" w:hAnsi="宋体" w:eastAsia="宋体" w:cs="宋体"/>
      <w:color w:val="000000"/>
      <w:sz w:val="22"/>
      <w:szCs w:val="22"/>
      <w:u w:val="none"/>
    </w:rPr>
  </w:style>
  <w:style w:type="character" w:customStyle="1" w:styleId="176">
    <w:name w:val="param-name"/>
    <w:qFormat/>
    <w:uiPriority w:val="0"/>
  </w:style>
  <w:style w:type="paragraph" w:customStyle="1" w:styleId="177">
    <w:name w:val="表格样式"/>
    <w:basedOn w:val="1"/>
    <w:qFormat/>
    <w:uiPriority w:val="0"/>
    <w:pPr>
      <w:adjustRightInd w:val="0"/>
      <w:snapToGrid w:val="0"/>
      <w:spacing w:before="60" w:after="60" w:line="240" w:lineRule="auto"/>
      <w:ind w:firstLine="0" w:firstLineChars="0"/>
      <w:jc w:val="center"/>
    </w:pPr>
    <w:rPr>
      <w:rFonts w:ascii="Times New Roman" w:hAnsi="Times New Roman" w:eastAsia="微软雅黑"/>
      <w:kern w:val="21"/>
      <w:sz w:val="21"/>
    </w:rPr>
  </w:style>
  <w:style w:type="paragraph" w:customStyle="1" w:styleId="178">
    <w:name w:val="小标题"/>
    <w:basedOn w:val="1"/>
    <w:qFormat/>
    <w:uiPriority w:val="0"/>
    <w:pPr>
      <w:numPr>
        <w:ilvl w:val="0"/>
        <w:numId w:val="2"/>
      </w:numPr>
      <w:tabs>
        <w:tab w:val="left" w:pos="576"/>
      </w:tabs>
      <w:spacing w:before="150" w:beforeLines="150" w:after="50" w:afterLines="50" w:line="240" w:lineRule="auto"/>
      <w:ind w:left="0" w:firstLine="0" w:firstLineChars="0"/>
      <w:jc w:val="left"/>
    </w:pPr>
    <w:rPr>
      <w:rFonts w:ascii="Times New Roman" w:hAnsi="Times New Roman" w:eastAsia="宋体"/>
      <w:b/>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25061</Words>
  <Characters>26360</Characters>
  <Lines>235</Lines>
  <Paragraphs>66</Paragraphs>
  <TotalTime>11</TotalTime>
  <ScaleCrop>false</ScaleCrop>
  <LinksUpToDate>false</LinksUpToDate>
  <CharactersWithSpaces>28322</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2019-07-30T08:34:00Z</dcterms:created>
  <dc:creator>Administrator</dc:creator>
  <cp:lastModifiedBy>Rock狗蛋</cp:lastModifiedBy>
  <cp:lastPrinted>2021-12-12T09:49:00Z</cp:lastPrinted>
  <dcterms:modified xsi:type="dcterms:W3CDTF">2022-05-12T08:31:53Z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94EF3B73439F42D7A96C7B69BEADF38E</vt:lpwstr>
  </property>
</Properties>
</file>