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color w:val="auto"/>
          <w:sz w:val="20"/>
        </w:rPr>
      </w:pPr>
      <w:bookmarkStart w:id="0" w:name="EB617804c349ed43c6a2f03a96b2b0122d"/>
      <w:r>
        <w:rPr>
          <w:rFonts w:hint="eastAsia" w:ascii="宋体" w:hAnsi="宋体" w:cs="宋体"/>
          <w:color w:val="auto"/>
          <w:sz w:val="20"/>
        </w:rPr>
        <w:t xml:space="preserve"> </w:t>
      </w:r>
      <w:bookmarkEnd w:id="0"/>
      <w:bookmarkStart w:id="1" w:name="EB55c3a5730922453d8b444069d03ee88f"/>
      <w:r>
        <w:rPr>
          <w:rFonts w:hint="eastAsia" w:ascii="宋体" w:hAnsi="宋体" w:cs="宋体"/>
          <w:color w:val="auto"/>
          <w:sz w:val="20"/>
        </w:rPr>
        <w:t xml:space="preserve"> </w:t>
      </w:r>
      <w:bookmarkEnd w:id="1"/>
    </w:p>
    <w:p>
      <w:pPr>
        <w:pStyle w:val="13"/>
        <w:ind w:firstLine="803"/>
        <w:rPr>
          <w:rFonts w:ascii="宋体" w:hAnsi="宋体" w:cs="宋体"/>
          <w:b/>
          <w:bCs/>
          <w:color w:val="auto"/>
          <w:sz w:val="40"/>
          <w:szCs w:val="40"/>
        </w:rPr>
      </w:pPr>
    </w:p>
    <w:p>
      <w:pPr>
        <w:pStyle w:val="13"/>
        <w:ind w:firstLine="1446"/>
        <w:rPr>
          <w:rFonts w:ascii="宋体" w:hAnsi="宋体" w:cs="宋体"/>
          <w:b/>
          <w:bCs/>
          <w:color w:val="auto"/>
          <w:sz w:val="72"/>
          <w:szCs w:val="72"/>
        </w:rPr>
      </w:pPr>
    </w:p>
    <w:p>
      <w:pPr>
        <w:spacing w:line="480" w:lineRule="auto"/>
        <w:jc w:val="center"/>
        <w:rPr>
          <w:rFonts w:ascii="宋体" w:hAnsi="宋体" w:cs="宋体"/>
          <w:color w:val="auto"/>
          <w:sz w:val="72"/>
          <w:szCs w:val="72"/>
        </w:rPr>
      </w:pPr>
      <w:r>
        <w:rPr>
          <w:rFonts w:hint="eastAsia" w:ascii="宋体" w:hAnsi="宋体" w:cs="宋体"/>
          <w:color w:val="auto"/>
          <w:sz w:val="72"/>
          <w:szCs w:val="72"/>
        </w:rPr>
        <w:t xml:space="preserve">  招标文件</w:t>
      </w:r>
    </w:p>
    <w:p>
      <w:pPr>
        <w:spacing w:line="480" w:lineRule="auto"/>
        <w:jc w:val="left"/>
        <w:rPr>
          <w:rFonts w:ascii="宋体" w:hAnsi="宋体" w:cs="宋体"/>
          <w:color w:val="auto"/>
          <w:sz w:val="28"/>
          <w:szCs w:val="28"/>
        </w:rPr>
      </w:pPr>
    </w:p>
    <w:p>
      <w:pPr>
        <w:spacing w:line="480" w:lineRule="auto"/>
        <w:ind w:left="-197" w:leftChars="-94" w:firstLine="1038" w:firstLineChars="371"/>
        <w:rPr>
          <w:rFonts w:ascii="宋体" w:hAnsi="宋体" w:cs="宋体"/>
          <w:color w:val="auto"/>
          <w:sz w:val="28"/>
          <w:szCs w:val="28"/>
        </w:rPr>
      </w:pPr>
    </w:p>
    <w:p>
      <w:pPr>
        <w:spacing w:line="480" w:lineRule="auto"/>
        <w:ind w:firstLine="840" w:firstLineChars="300"/>
        <w:rPr>
          <w:rFonts w:ascii="宋体" w:hAnsi="宋体" w:cs="宋体"/>
          <w:color w:val="auto"/>
          <w:sz w:val="28"/>
          <w:szCs w:val="28"/>
        </w:rPr>
      </w:pPr>
    </w:p>
    <w:p>
      <w:pPr>
        <w:adjustRightInd w:val="0"/>
        <w:snapToGrid w:val="0"/>
        <w:spacing w:line="360" w:lineRule="auto"/>
        <w:ind w:left="0" w:leftChars="0" w:right="-313" w:rightChars="-149" w:firstLine="420" w:firstLineChars="150"/>
        <w:jc w:val="left"/>
        <w:rPr>
          <w:rFonts w:hint="eastAsia" w:ascii="宋体" w:hAnsi="宋体" w:eastAsia="宋体" w:cs="宋体"/>
          <w:color w:val="auto"/>
          <w:sz w:val="28"/>
          <w:szCs w:val="28"/>
          <w:lang w:eastAsia="zh-CN"/>
        </w:rPr>
      </w:pPr>
      <w:r>
        <w:rPr>
          <w:rFonts w:hint="eastAsia" w:ascii="宋体" w:hAnsi="宋体" w:cs="宋体"/>
          <w:color w:val="auto"/>
          <w:sz w:val="28"/>
          <w:szCs w:val="28"/>
        </w:rPr>
        <w:t>项目名称：</w:t>
      </w:r>
      <w:r>
        <w:rPr>
          <w:rFonts w:hint="eastAsia" w:ascii="宋体" w:hAnsi="宋体" w:cs="宋体"/>
          <w:color w:val="auto"/>
          <w:sz w:val="28"/>
          <w:szCs w:val="28"/>
          <w:lang w:eastAsia="zh-CN"/>
        </w:rPr>
        <w:t>指挥系统大屏建设项目</w:t>
      </w:r>
    </w:p>
    <w:p>
      <w:pPr>
        <w:pStyle w:val="13"/>
        <w:adjustRightInd w:val="0"/>
        <w:snapToGrid w:val="0"/>
        <w:spacing w:line="360" w:lineRule="auto"/>
        <w:ind w:left="0" w:leftChars="0" w:right="-313" w:rightChars="-149" w:firstLine="420" w:firstLineChars="150"/>
        <w:jc w:val="left"/>
        <w:rPr>
          <w:rFonts w:hint="default" w:ascii="宋体" w:hAnsi="宋体" w:eastAsia="宋体" w:cs="宋体"/>
          <w:color w:val="auto"/>
          <w:sz w:val="28"/>
          <w:szCs w:val="28"/>
          <w:lang w:val="en-US" w:eastAsia="zh-CN"/>
        </w:rPr>
      </w:pPr>
      <w:r>
        <w:rPr>
          <w:rFonts w:hint="eastAsia" w:ascii="宋体" w:hAnsi="宋体" w:cs="宋体"/>
          <w:color w:val="auto"/>
          <w:sz w:val="28"/>
          <w:szCs w:val="28"/>
        </w:rPr>
        <w:t>项目编号：</w:t>
      </w:r>
      <w:r>
        <w:rPr>
          <w:rFonts w:hint="eastAsia" w:ascii="宋体" w:hAnsi="宋体" w:cs="宋体"/>
          <w:color w:val="auto"/>
          <w:sz w:val="28"/>
          <w:szCs w:val="28"/>
          <w:lang w:eastAsia="zh-CN"/>
        </w:rPr>
        <w:t>XLZ2022-117</w:t>
      </w:r>
    </w:p>
    <w:p>
      <w:pPr>
        <w:adjustRightInd w:val="0"/>
        <w:snapToGrid w:val="0"/>
        <w:spacing w:line="360" w:lineRule="auto"/>
        <w:ind w:left="0" w:leftChars="0" w:right="-313" w:rightChars="-149" w:firstLine="420" w:firstLineChars="150"/>
        <w:jc w:val="left"/>
        <w:rPr>
          <w:rFonts w:ascii="宋体" w:hAnsi="宋体" w:cs="宋体"/>
          <w:color w:val="auto"/>
          <w:sz w:val="28"/>
          <w:szCs w:val="28"/>
        </w:rPr>
      </w:pPr>
    </w:p>
    <w:p>
      <w:pPr>
        <w:pStyle w:val="13"/>
        <w:ind w:left="0" w:leftChars="0" w:right="-313" w:rightChars="-149" w:firstLine="315" w:firstLineChars="150"/>
        <w:rPr>
          <w:rFonts w:ascii="宋体" w:hAnsi="宋体" w:cs="宋体"/>
          <w:color w:val="auto"/>
        </w:rPr>
      </w:pPr>
    </w:p>
    <w:p>
      <w:pPr>
        <w:adjustRightInd w:val="0"/>
        <w:snapToGrid w:val="0"/>
        <w:spacing w:line="360" w:lineRule="auto"/>
        <w:ind w:left="0" w:leftChars="0" w:right="-313" w:rightChars="-149" w:firstLine="420" w:firstLineChars="150"/>
        <w:jc w:val="left"/>
        <w:rPr>
          <w:rFonts w:hint="eastAsia" w:ascii="宋体" w:hAnsi="宋体" w:eastAsia="宋体" w:cs="宋体"/>
          <w:color w:val="auto"/>
          <w:sz w:val="28"/>
          <w:szCs w:val="28"/>
          <w:lang w:eastAsia="zh-CN"/>
        </w:rPr>
      </w:pPr>
      <w:r>
        <w:rPr>
          <w:rFonts w:hint="eastAsia" w:ascii="宋体" w:hAnsi="宋体" w:cs="宋体"/>
          <w:color w:val="auto"/>
          <w:sz w:val="28"/>
          <w:szCs w:val="28"/>
        </w:rPr>
        <w:t>采购人（盖章）：</w:t>
      </w:r>
      <w:r>
        <w:rPr>
          <w:rFonts w:hint="eastAsia" w:ascii="宋体" w:hAnsi="宋体" w:cs="宋体"/>
          <w:color w:val="auto"/>
          <w:sz w:val="28"/>
          <w:szCs w:val="28"/>
          <w:lang w:eastAsia="zh-CN"/>
        </w:rPr>
        <w:t>伊犁哈萨克自治州塔城地区公安局</w:t>
      </w:r>
    </w:p>
    <w:p>
      <w:pPr>
        <w:adjustRightInd w:val="0"/>
        <w:snapToGrid w:val="0"/>
        <w:spacing w:line="360" w:lineRule="auto"/>
        <w:ind w:left="0" w:leftChars="0" w:right="-313" w:rightChars="-149" w:firstLine="420" w:firstLineChars="150"/>
        <w:jc w:val="left"/>
        <w:rPr>
          <w:rFonts w:hint="eastAsia" w:ascii="宋体" w:hAnsi="宋体" w:eastAsia="宋体" w:cs="宋体"/>
          <w:color w:val="auto"/>
          <w:sz w:val="28"/>
          <w:szCs w:val="28"/>
          <w:lang w:val="en-US" w:eastAsia="zh-CN"/>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梁警官</w:t>
      </w:r>
    </w:p>
    <w:p>
      <w:pPr>
        <w:pStyle w:val="30"/>
        <w:widowControl/>
        <w:adjustRightInd w:val="0"/>
        <w:snapToGrid w:val="0"/>
        <w:spacing w:line="360" w:lineRule="auto"/>
        <w:ind w:left="0" w:leftChars="0" w:right="-313" w:rightChars="-149" w:firstLine="420" w:firstLineChars="150"/>
        <w:rPr>
          <w:rFonts w:hint="default" w:ascii="宋体" w:hAnsi="宋体" w:eastAsia="宋体" w:cs="宋体"/>
          <w:color w:val="auto"/>
          <w:lang w:val="en-US" w:eastAsia="zh-CN"/>
        </w:rPr>
      </w:pPr>
      <w:r>
        <w:rPr>
          <w:rFonts w:hint="eastAsia" w:ascii="宋体" w:hAnsi="宋体" w:cs="宋体"/>
          <w:color w:val="auto"/>
          <w:sz w:val="28"/>
          <w:szCs w:val="28"/>
        </w:rPr>
        <w:t>联系电话：</w:t>
      </w:r>
      <w:r>
        <w:rPr>
          <w:rFonts w:hint="eastAsia" w:ascii="宋体" w:hAnsi="宋体" w:cs="宋体"/>
          <w:color w:val="auto"/>
          <w:sz w:val="28"/>
          <w:szCs w:val="28"/>
          <w:lang w:val="en-US" w:eastAsia="zh-CN"/>
        </w:rPr>
        <w:t>18690128060</w:t>
      </w:r>
    </w:p>
    <w:p>
      <w:pPr>
        <w:adjustRightInd w:val="0"/>
        <w:snapToGrid w:val="0"/>
        <w:spacing w:line="360" w:lineRule="auto"/>
        <w:ind w:left="0" w:leftChars="0" w:right="-313" w:rightChars="-149" w:firstLine="420" w:firstLineChars="150"/>
        <w:jc w:val="left"/>
        <w:rPr>
          <w:rFonts w:ascii="宋体" w:hAnsi="宋体" w:cs="宋体"/>
          <w:color w:val="auto"/>
          <w:sz w:val="28"/>
          <w:szCs w:val="28"/>
        </w:rPr>
      </w:pPr>
    </w:p>
    <w:p>
      <w:pPr>
        <w:adjustRightInd w:val="0"/>
        <w:snapToGrid w:val="0"/>
        <w:spacing w:line="360" w:lineRule="auto"/>
        <w:ind w:left="0" w:leftChars="0" w:right="-313" w:rightChars="-149" w:firstLine="420" w:firstLineChars="150"/>
        <w:rPr>
          <w:rFonts w:ascii="宋体" w:hAnsi="宋体" w:cs="宋体"/>
          <w:color w:val="auto"/>
          <w:sz w:val="28"/>
          <w:szCs w:val="28"/>
        </w:rPr>
      </w:pPr>
    </w:p>
    <w:p>
      <w:pPr>
        <w:adjustRightInd w:val="0"/>
        <w:snapToGrid w:val="0"/>
        <w:spacing w:line="360" w:lineRule="auto"/>
        <w:ind w:left="0" w:leftChars="0" w:right="-313" w:rightChars="-149" w:firstLine="420" w:firstLineChars="150"/>
        <w:rPr>
          <w:rFonts w:ascii="宋体" w:hAnsi="宋体" w:cs="宋体"/>
          <w:color w:val="auto"/>
          <w:sz w:val="28"/>
          <w:szCs w:val="28"/>
        </w:rPr>
      </w:pPr>
      <w:r>
        <w:rPr>
          <w:rFonts w:hint="eastAsia" w:ascii="宋体" w:hAnsi="宋体" w:cs="宋体"/>
          <w:color w:val="auto"/>
          <w:sz w:val="28"/>
          <w:szCs w:val="28"/>
        </w:rPr>
        <w:t>采购代理机构（盖章）：新疆兴立众工程咨询有限责任公司</w:t>
      </w:r>
    </w:p>
    <w:p>
      <w:pPr>
        <w:adjustRightInd w:val="0"/>
        <w:snapToGrid w:val="0"/>
        <w:spacing w:line="360" w:lineRule="auto"/>
        <w:ind w:left="0" w:leftChars="0" w:right="-313" w:rightChars="-149" w:firstLine="420" w:firstLineChars="150"/>
        <w:rPr>
          <w:rFonts w:ascii="宋体" w:hAnsi="宋体" w:cs="宋体"/>
          <w:color w:val="auto"/>
          <w:sz w:val="28"/>
          <w:szCs w:val="28"/>
        </w:rPr>
      </w:pPr>
      <w:r>
        <w:rPr>
          <w:rFonts w:hint="eastAsia" w:ascii="宋体" w:hAnsi="宋体" w:cs="宋体"/>
          <w:color w:val="auto"/>
          <w:sz w:val="28"/>
          <w:szCs w:val="28"/>
        </w:rPr>
        <w:t>联系人：石磊、朱茜、马涛</w:t>
      </w:r>
    </w:p>
    <w:p>
      <w:pPr>
        <w:adjustRightInd w:val="0"/>
        <w:snapToGrid w:val="0"/>
        <w:spacing w:line="360" w:lineRule="auto"/>
        <w:ind w:left="0" w:leftChars="0" w:right="-313" w:rightChars="-149" w:firstLine="420" w:firstLineChars="150"/>
        <w:rPr>
          <w:rFonts w:hint="default" w:ascii="宋体" w:hAnsi="宋体" w:eastAsia="宋体" w:cs="宋体"/>
          <w:b/>
          <w:bCs/>
          <w:color w:val="auto"/>
          <w:sz w:val="28"/>
          <w:szCs w:val="28"/>
          <w:lang w:val="en-US" w:eastAsia="zh-CN"/>
        </w:rPr>
      </w:pPr>
      <w:r>
        <w:rPr>
          <w:rFonts w:hint="eastAsia" w:ascii="宋体" w:hAnsi="宋体" w:cs="宋体"/>
          <w:color w:val="auto"/>
          <w:sz w:val="28"/>
          <w:szCs w:val="28"/>
        </w:rPr>
        <w:t>联系电话：0991-8869393</w:t>
      </w:r>
      <w:r>
        <w:rPr>
          <w:rFonts w:hint="eastAsia" w:ascii="宋体" w:hAnsi="宋体" w:cs="宋体"/>
          <w:color w:val="auto"/>
          <w:sz w:val="28"/>
          <w:szCs w:val="28"/>
          <w:lang w:val="en-US" w:eastAsia="zh-CN"/>
        </w:rPr>
        <w:t xml:space="preserve"> 13899984798</w:t>
      </w:r>
    </w:p>
    <w:p>
      <w:pPr>
        <w:adjustRightInd w:val="0"/>
        <w:snapToGrid w:val="0"/>
        <w:spacing w:line="360" w:lineRule="auto"/>
        <w:ind w:left="2114" w:leftChars="304" w:hanging="1476" w:hangingChars="525"/>
        <w:rPr>
          <w:rFonts w:ascii="宋体" w:hAnsi="宋体" w:cs="宋体"/>
          <w:b/>
          <w:color w:val="auto"/>
          <w:sz w:val="28"/>
          <w:szCs w:val="28"/>
          <w:lang w:val="zh-CN"/>
        </w:rPr>
      </w:pPr>
    </w:p>
    <w:p>
      <w:pPr>
        <w:pStyle w:val="13"/>
        <w:ind w:firstLine="562"/>
        <w:rPr>
          <w:rFonts w:ascii="宋体" w:hAnsi="宋体" w:cs="宋体"/>
          <w:b/>
          <w:color w:val="auto"/>
          <w:sz w:val="28"/>
          <w:szCs w:val="28"/>
          <w:lang w:val="zh-CN"/>
        </w:rPr>
      </w:pPr>
    </w:p>
    <w:p>
      <w:pPr>
        <w:adjustRightInd w:val="0"/>
        <w:snapToGrid w:val="0"/>
        <w:spacing w:line="360" w:lineRule="auto"/>
        <w:ind w:left="2108" w:leftChars="304" w:hanging="1470" w:hangingChars="525"/>
        <w:jc w:val="center"/>
        <w:rPr>
          <w:rFonts w:ascii="宋体" w:hAnsi="宋体" w:cs="宋体"/>
          <w:color w:val="auto"/>
          <w:sz w:val="28"/>
          <w:szCs w:val="28"/>
        </w:rPr>
        <w:sectPr>
          <w:headerReference r:id="rId5" w:type="first"/>
          <w:headerReference r:id="rId3" w:type="default"/>
          <w:footerReference r:id="rId6" w:type="default"/>
          <w:headerReference r:id="rId4" w:type="even"/>
          <w:footerReference r:id="rId7" w:type="even"/>
          <w:pgSz w:w="11906" w:h="16838"/>
          <w:pgMar w:top="1440" w:right="1800" w:bottom="1440" w:left="16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r>
        <w:rPr>
          <w:rFonts w:hint="eastAsia" w:ascii="宋体" w:hAnsi="宋体" w:cs="宋体"/>
          <w:color w:val="auto"/>
          <w:sz w:val="28"/>
          <w:szCs w:val="28"/>
        </w:rPr>
        <w:t>202</w:t>
      </w:r>
      <w:r>
        <w:rPr>
          <w:rFonts w:hint="eastAsia" w:ascii="宋体" w:hAnsi="宋体" w:cs="宋体"/>
          <w:color w:val="auto"/>
          <w:sz w:val="28"/>
          <w:szCs w:val="28"/>
          <w:lang w:val="en-US" w:eastAsia="zh-CN"/>
        </w:rPr>
        <w:t>2</w:t>
      </w:r>
      <w:r>
        <w:rPr>
          <w:rFonts w:hint="eastAsia" w:ascii="宋体" w:hAnsi="宋体" w:cs="宋体"/>
          <w:color w:val="auto"/>
          <w:sz w:val="28"/>
          <w:szCs w:val="28"/>
        </w:rPr>
        <w:t>年</w:t>
      </w:r>
      <w:r>
        <w:rPr>
          <w:rFonts w:hint="eastAsia" w:ascii="宋体" w:hAnsi="宋体" w:cs="宋体"/>
          <w:color w:val="auto"/>
          <w:sz w:val="28"/>
          <w:szCs w:val="28"/>
          <w:lang w:val="en-US" w:eastAsia="zh-CN"/>
        </w:rPr>
        <w:t>05</w:t>
      </w:r>
      <w:r>
        <w:rPr>
          <w:rFonts w:hint="eastAsia" w:ascii="宋体" w:hAnsi="宋体" w:cs="宋体"/>
          <w:color w:val="auto"/>
          <w:sz w:val="28"/>
          <w:szCs w:val="28"/>
        </w:rPr>
        <w:t>月</w:t>
      </w:r>
      <w:r>
        <w:rPr>
          <w:rFonts w:hint="eastAsia" w:ascii="宋体" w:hAnsi="宋体" w:cs="宋体"/>
          <w:color w:val="auto"/>
          <w:sz w:val="28"/>
          <w:szCs w:val="28"/>
          <w:lang w:val="en-US" w:eastAsia="zh-CN"/>
        </w:rPr>
        <w:t>11</w:t>
      </w:r>
      <w:r>
        <w:rPr>
          <w:rFonts w:hint="eastAsia" w:ascii="宋体" w:hAnsi="宋体" w:cs="宋体"/>
          <w:color w:val="auto"/>
          <w:sz w:val="28"/>
          <w:szCs w:val="28"/>
        </w:rPr>
        <w:t>日</w:t>
      </w:r>
    </w:p>
    <w:p>
      <w:pPr>
        <w:spacing w:line="360" w:lineRule="auto"/>
        <w:ind w:firstLine="4357" w:firstLineChars="1550"/>
        <w:rPr>
          <w:rFonts w:ascii="宋体" w:hAnsi="宋体" w:cs="宋体"/>
          <w:b/>
          <w:color w:val="auto"/>
          <w:sz w:val="28"/>
          <w:szCs w:val="28"/>
        </w:rPr>
      </w:pPr>
      <w:r>
        <w:rPr>
          <w:rFonts w:hint="eastAsia" w:ascii="宋体" w:hAnsi="宋体" w:cs="宋体"/>
          <w:b/>
          <w:color w:val="auto"/>
          <w:sz w:val="28"/>
          <w:szCs w:val="28"/>
          <w:lang w:val="zh-CN"/>
        </w:rPr>
        <w:t>目 录</w:t>
      </w:r>
    </w:p>
    <w:p>
      <w:pPr>
        <w:pStyle w:val="27"/>
        <w:tabs>
          <w:tab w:val="right" w:leader="dot" w:pos="8312"/>
          <w:tab w:val="clear" w:pos="8302"/>
        </w:tabs>
        <w:rPr>
          <w:rFonts w:ascii="宋体" w:hAnsi="宋体" w:cs="宋体"/>
          <w:color w:val="auto"/>
          <w:sz w:val="28"/>
          <w:szCs w:val="28"/>
        </w:rPr>
      </w:pPr>
      <w:r>
        <w:rPr>
          <w:rFonts w:hint="eastAsia" w:ascii="宋体" w:hAnsi="宋体" w:cs="宋体"/>
          <w:color w:val="auto"/>
        </w:rPr>
        <w:fldChar w:fldCharType="begin"/>
      </w:r>
      <w:r>
        <w:rPr>
          <w:rFonts w:hint="eastAsia" w:ascii="宋体" w:hAnsi="宋体" w:cs="宋体"/>
          <w:color w:val="auto"/>
        </w:rPr>
        <w:instrText xml:space="preserve"> TOC \o "1-3" \u </w:instrText>
      </w:r>
      <w:r>
        <w:rPr>
          <w:rFonts w:hint="eastAsia" w:ascii="宋体" w:hAnsi="宋体" w:cs="宋体"/>
          <w:color w:val="auto"/>
        </w:rPr>
        <w:fldChar w:fldCharType="separate"/>
      </w:r>
      <w:r>
        <w:rPr>
          <w:rFonts w:hint="eastAsia" w:ascii="宋体" w:hAnsi="宋体" w:cs="宋体"/>
          <w:color w:val="auto"/>
          <w:sz w:val="28"/>
          <w:szCs w:val="28"/>
        </w:rPr>
        <w:t>第一部分  招标公告</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_Toc32378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p>
    <w:p>
      <w:pPr>
        <w:pStyle w:val="27"/>
        <w:tabs>
          <w:tab w:val="right" w:leader="dot" w:pos="8312"/>
          <w:tab w:val="clear" w:pos="8302"/>
        </w:tabs>
        <w:rPr>
          <w:rFonts w:ascii="宋体" w:hAnsi="宋体" w:cs="宋体"/>
          <w:color w:val="auto"/>
          <w:sz w:val="28"/>
          <w:szCs w:val="28"/>
        </w:rPr>
      </w:pPr>
      <w:r>
        <w:rPr>
          <w:rFonts w:hint="eastAsia" w:ascii="宋体" w:hAnsi="宋体" w:cs="宋体"/>
          <w:color w:val="auto"/>
          <w:sz w:val="28"/>
          <w:szCs w:val="28"/>
        </w:rPr>
        <w:t>第二部分  供应商须知</w:t>
      </w:r>
      <w:r>
        <w:rPr>
          <w:rFonts w:hint="eastAsia" w:ascii="宋体" w:hAnsi="宋体" w:cs="宋体"/>
          <w:color w:val="auto"/>
          <w:sz w:val="28"/>
          <w:szCs w:val="28"/>
        </w:rPr>
        <w:tab/>
      </w:r>
      <w:r>
        <w:rPr>
          <w:rFonts w:hint="eastAsia" w:ascii="宋体" w:hAnsi="宋体" w:cs="宋体"/>
          <w:color w:val="auto"/>
          <w:sz w:val="28"/>
          <w:szCs w:val="28"/>
        </w:rPr>
        <w:t>3</w:t>
      </w:r>
    </w:p>
    <w:p>
      <w:pPr>
        <w:pStyle w:val="20"/>
        <w:tabs>
          <w:tab w:val="right" w:leader="dot" w:pos="8312"/>
        </w:tabs>
        <w:rPr>
          <w:rFonts w:ascii="宋体" w:hAnsi="宋体" w:cs="宋体"/>
          <w:color w:val="auto"/>
          <w:sz w:val="28"/>
          <w:szCs w:val="28"/>
        </w:rPr>
      </w:pPr>
      <w:r>
        <w:rPr>
          <w:rFonts w:hint="eastAsia" w:ascii="宋体" w:hAnsi="宋体" w:cs="宋体"/>
          <w:color w:val="auto"/>
          <w:sz w:val="28"/>
          <w:szCs w:val="28"/>
        </w:rPr>
        <w:t>一、总则</w:t>
      </w:r>
      <w:r>
        <w:rPr>
          <w:rFonts w:hint="eastAsia" w:ascii="宋体" w:hAnsi="宋体" w:cs="宋体"/>
          <w:color w:val="auto"/>
          <w:sz w:val="28"/>
          <w:szCs w:val="28"/>
        </w:rPr>
        <w:tab/>
      </w:r>
      <w:r>
        <w:rPr>
          <w:rFonts w:hint="eastAsia" w:ascii="宋体" w:hAnsi="宋体" w:cs="宋体"/>
          <w:color w:val="auto"/>
          <w:sz w:val="28"/>
          <w:szCs w:val="28"/>
        </w:rPr>
        <w:t>7</w:t>
      </w:r>
    </w:p>
    <w:p>
      <w:pPr>
        <w:pStyle w:val="20"/>
        <w:tabs>
          <w:tab w:val="right" w:leader="dot" w:pos="8312"/>
        </w:tabs>
        <w:rPr>
          <w:rFonts w:ascii="宋体" w:hAnsi="宋体" w:cs="宋体"/>
          <w:color w:val="auto"/>
          <w:sz w:val="28"/>
          <w:szCs w:val="28"/>
        </w:rPr>
      </w:pPr>
      <w:r>
        <w:rPr>
          <w:rFonts w:hint="eastAsia" w:ascii="宋体" w:hAnsi="宋体" w:cs="宋体"/>
          <w:color w:val="auto"/>
          <w:sz w:val="28"/>
          <w:szCs w:val="28"/>
        </w:rPr>
        <w:t>二、招标文件</w:t>
      </w:r>
      <w:r>
        <w:rPr>
          <w:rFonts w:hint="eastAsia" w:ascii="宋体" w:hAnsi="宋体" w:cs="宋体"/>
          <w:color w:val="auto"/>
          <w:sz w:val="28"/>
          <w:szCs w:val="28"/>
        </w:rPr>
        <w:tab/>
      </w:r>
      <w:r>
        <w:rPr>
          <w:rFonts w:hint="eastAsia" w:ascii="宋体" w:hAnsi="宋体" w:cs="宋体"/>
          <w:color w:val="auto"/>
          <w:sz w:val="28"/>
          <w:szCs w:val="28"/>
        </w:rPr>
        <w:t>10</w:t>
      </w:r>
    </w:p>
    <w:p>
      <w:pPr>
        <w:pStyle w:val="20"/>
        <w:tabs>
          <w:tab w:val="right" w:leader="dot" w:pos="8312"/>
        </w:tabs>
        <w:rPr>
          <w:rFonts w:ascii="宋体" w:hAnsi="宋体" w:cs="宋体"/>
          <w:color w:val="auto"/>
          <w:sz w:val="28"/>
          <w:szCs w:val="28"/>
        </w:rPr>
      </w:pPr>
      <w:r>
        <w:rPr>
          <w:rFonts w:hint="eastAsia" w:ascii="宋体" w:hAnsi="宋体" w:cs="宋体"/>
          <w:color w:val="auto"/>
          <w:sz w:val="28"/>
          <w:szCs w:val="28"/>
        </w:rPr>
        <w:t>三、投标文件</w:t>
      </w:r>
      <w:r>
        <w:rPr>
          <w:rFonts w:hint="eastAsia" w:ascii="宋体" w:hAnsi="宋体" w:cs="宋体"/>
          <w:color w:val="auto"/>
          <w:sz w:val="28"/>
          <w:szCs w:val="28"/>
        </w:rPr>
        <w:tab/>
      </w:r>
      <w:r>
        <w:rPr>
          <w:rFonts w:hint="eastAsia" w:ascii="宋体" w:hAnsi="宋体" w:cs="宋体"/>
          <w:color w:val="auto"/>
          <w:sz w:val="28"/>
          <w:szCs w:val="28"/>
        </w:rPr>
        <w:t>11</w:t>
      </w:r>
    </w:p>
    <w:p>
      <w:pPr>
        <w:pStyle w:val="20"/>
        <w:tabs>
          <w:tab w:val="right" w:leader="dot" w:pos="8312"/>
        </w:tabs>
        <w:rPr>
          <w:rFonts w:ascii="宋体" w:hAnsi="宋体" w:cs="宋体"/>
          <w:color w:val="auto"/>
          <w:sz w:val="28"/>
          <w:szCs w:val="28"/>
        </w:rPr>
      </w:pPr>
      <w:r>
        <w:rPr>
          <w:rFonts w:hint="eastAsia" w:ascii="宋体" w:hAnsi="宋体" w:cs="宋体"/>
          <w:color w:val="auto"/>
          <w:sz w:val="28"/>
          <w:szCs w:val="28"/>
        </w:rPr>
        <w:t>四、投标保证金</w:t>
      </w:r>
      <w:r>
        <w:rPr>
          <w:rFonts w:hint="eastAsia" w:ascii="宋体" w:hAnsi="宋体" w:cs="宋体"/>
          <w:color w:val="auto"/>
          <w:sz w:val="28"/>
          <w:szCs w:val="28"/>
        </w:rPr>
        <w:tab/>
      </w:r>
      <w:r>
        <w:rPr>
          <w:rFonts w:hint="eastAsia" w:ascii="宋体" w:hAnsi="宋体" w:cs="宋体"/>
          <w:color w:val="auto"/>
          <w:sz w:val="28"/>
          <w:szCs w:val="28"/>
        </w:rPr>
        <w:t>15</w:t>
      </w:r>
    </w:p>
    <w:p>
      <w:pPr>
        <w:pStyle w:val="20"/>
        <w:tabs>
          <w:tab w:val="right" w:leader="dot" w:pos="8312"/>
        </w:tabs>
        <w:rPr>
          <w:rFonts w:ascii="宋体" w:hAnsi="宋体" w:cs="宋体"/>
          <w:color w:val="auto"/>
          <w:sz w:val="28"/>
          <w:szCs w:val="28"/>
        </w:rPr>
      </w:pPr>
      <w:r>
        <w:rPr>
          <w:rFonts w:hint="eastAsia" w:ascii="宋体" w:hAnsi="宋体" w:cs="宋体"/>
          <w:color w:val="auto"/>
          <w:sz w:val="28"/>
          <w:szCs w:val="28"/>
        </w:rPr>
        <w:t>五、投标文件的递交</w:t>
      </w:r>
      <w:r>
        <w:rPr>
          <w:rFonts w:hint="eastAsia" w:ascii="宋体" w:hAnsi="宋体" w:cs="宋体"/>
          <w:color w:val="auto"/>
          <w:sz w:val="28"/>
          <w:szCs w:val="28"/>
        </w:rPr>
        <w:tab/>
      </w:r>
      <w:r>
        <w:rPr>
          <w:rFonts w:hint="eastAsia" w:ascii="宋体" w:hAnsi="宋体" w:cs="宋体"/>
          <w:color w:val="auto"/>
          <w:sz w:val="28"/>
          <w:szCs w:val="28"/>
        </w:rPr>
        <w:t>15</w:t>
      </w:r>
    </w:p>
    <w:p>
      <w:pPr>
        <w:pStyle w:val="20"/>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六、开标</w:t>
      </w:r>
      <w:r>
        <w:rPr>
          <w:rFonts w:hint="eastAsia" w:ascii="宋体" w:hAnsi="宋体" w:cs="宋体"/>
          <w:color w:val="auto"/>
          <w:sz w:val="28"/>
          <w:szCs w:val="28"/>
        </w:rPr>
        <w:tab/>
      </w:r>
      <w:r>
        <w:rPr>
          <w:rFonts w:hint="eastAsia" w:ascii="宋体" w:hAnsi="宋体" w:cs="宋体"/>
          <w:color w:val="auto"/>
          <w:sz w:val="28"/>
          <w:szCs w:val="28"/>
          <w:lang w:val="en-US" w:eastAsia="zh-CN"/>
        </w:rPr>
        <w:t>16</w:t>
      </w:r>
    </w:p>
    <w:p>
      <w:pPr>
        <w:pStyle w:val="20"/>
        <w:tabs>
          <w:tab w:val="right" w:leader="dot" w:pos="8312"/>
        </w:tabs>
        <w:rPr>
          <w:rFonts w:ascii="宋体" w:hAnsi="宋体" w:cs="宋体"/>
          <w:color w:val="auto"/>
          <w:sz w:val="28"/>
          <w:szCs w:val="28"/>
        </w:rPr>
      </w:pPr>
      <w:r>
        <w:rPr>
          <w:rFonts w:hint="eastAsia" w:ascii="宋体" w:hAnsi="宋体" w:cs="宋体"/>
          <w:color w:val="auto"/>
          <w:sz w:val="28"/>
          <w:szCs w:val="28"/>
        </w:rPr>
        <w:t>七、评标步骤和要求</w:t>
      </w:r>
      <w:r>
        <w:rPr>
          <w:rFonts w:hint="eastAsia" w:ascii="宋体" w:hAnsi="宋体" w:cs="宋体"/>
          <w:color w:val="auto"/>
          <w:sz w:val="28"/>
          <w:szCs w:val="28"/>
        </w:rPr>
        <w:tab/>
      </w:r>
      <w:r>
        <w:rPr>
          <w:rFonts w:hint="eastAsia" w:ascii="宋体" w:hAnsi="宋体" w:cs="宋体"/>
          <w:color w:val="auto"/>
          <w:sz w:val="28"/>
          <w:szCs w:val="28"/>
        </w:rPr>
        <w:t>17</w:t>
      </w:r>
    </w:p>
    <w:p>
      <w:pPr>
        <w:pStyle w:val="20"/>
        <w:tabs>
          <w:tab w:val="right" w:leader="dot" w:pos="8312"/>
        </w:tabs>
        <w:rPr>
          <w:rFonts w:ascii="宋体" w:hAnsi="宋体" w:cs="宋体"/>
          <w:color w:val="auto"/>
          <w:sz w:val="28"/>
          <w:szCs w:val="28"/>
        </w:rPr>
      </w:pPr>
      <w:r>
        <w:rPr>
          <w:rFonts w:hint="eastAsia" w:ascii="宋体" w:hAnsi="宋体" w:cs="宋体"/>
          <w:color w:val="auto"/>
          <w:sz w:val="28"/>
          <w:szCs w:val="28"/>
        </w:rPr>
        <w:t>八、履约保证金</w:t>
      </w:r>
      <w:r>
        <w:rPr>
          <w:rFonts w:hint="eastAsia" w:ascii="宋体" w:hAnsi="宋体" w:cs="宋体"/>
          <w:color w:val="auto"/>
          <w:sz w:val="28"/>
          <w:szCs w:val="28"/>
        </w:rPr>
        <w:tab/>
      </w:r>
      <w:r>
        <w:rPr>
          <w:rFonts w:hint="eastAsia" w:ascii="宋体" w:hAnsi="宋体" w:cs="宋体"/>
          <w:color w:val="auto"/>
          <w:sz w:val="28"/>
          <w:szCs w:val="28"/>
        </w:rPr>
        <w:t>21</w:t>
      </w:r>
    </w:p>
    <w:p>
      <w:pPr>
        <w:pStyle w:val="20"/>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九、签订、审核合同</w:t>
      </w:r>
      <w:r>
        <w:rPr>
          <w:rFonts w:hint="eastAsia" w:ascii="宋体" w:hAnsi="宋体" w:cs="宋体"/>
          <w:color w:val="auto"/>
          <w:sz w:val="28"/>
          <w:szCs w:val="28"/>
        </w:rPr>
        <w:tab/>
      </w:r>
      <w:r>
        <w:rPr>
          <w:rFonts w:hint="eastAsia" w:ascii="宋体" w:hAnsi="宋体" w:cs="宋体"/>
          <w:color w:val="auto"/>
          <w:sz w:val="28"/>
          <w:szCs w:val="28"/>
          <w:lang w:val="en-US" w:eastAsia="zh-CN"/>
        </w:rPr>
        <w:t>21</w:t>
      </w:r>
    </w:p>
    <w:p>
      <w:pPr>
        <w:pStyle w:val="20"/>
        <w:tabs>
          <w:tab w:val="right" w:leader="dot" w:pos="8312"/>
        </w:tabs>
        <w:rPr>
          <w:rFonts w:hint="default" w:ascii="宋体" w:hAnsi="宋体" w:eastAsia="宋体" w:cs="宋体"/>
          <w:color w:val="auto"/>
          <w:sz w:val="28"/>
          <w:szCs w:val="28"/>
          <w:lang w:val="en-US" w:eastAsia="zh-CN"/>
        </w:rPr>
      </w:pPr>
      <w:r>
        <w:rPr>
          <w:rFonts w:hint="eastAsia" w:ascii="宋体" w:hAnsi="宋体" w:cs="宋体"/>
          <w:color w:val="auto"/>
          <w:sz w:val="28"/>
          <w:szCs w:val="28"/>
        </w:rPr>
        <w:t>十、处罚、询问和质疑</w:t>
      </w:r>
      <w:r>
        <w:rPr>
          <w:rFonts w:hint="eastAsia" w:ascii="宋体" w:hAnsi="宋体" w:cs="宋体"/>
          <w:color w:val="auto"/>
          <w:sz w:val="28"/>
          <w:szCs w:val="28"/>
        </w:rPr>
        <w:tab/>
      </w:r>
      <w:r>
        <w:rPr>
          <w:rFonts w:hint="eastAsia" w:ascii="宋体" w:hAnsi="宋体" w:cs="宋体"/>
          <w:color w:val="auto"/>
          <w:sz w:val="28"/>
          <w:szCs w:val="28"/>
          <w:lang w:val="en-US" w:eastAsia="zh-CN"/>
        </w:rPr>
        <w:t>22</w:t>
      </w:r>
    </w:p>
    <w:p>
      <w:pPr>
        <w:pStyle w:val="20"/>
        <w:tabs>
          <w:tab w:val="right" w:leader="dot" w:pos="8312"/>
        </w:tabs>
        <w:rPr>
          <w:rFonts w:ascii="宋体" w:hAnsi="宋体" w:cs="宋体"/>
          <w:color w:val="auto"/>
          <w:sz w:val="28"/>
          <w:szCs w:val="28"/>
        </w:rPr>
      </w:pPr>
      <w:r>
        <w:rPr>
          <w:rFonts w:hint="eastAsia" w:ascii="宋体" w:hAnsi="宋体" w:cs="宋体"/>
          <w:color w:val="auto"/>
          <w:sz w:val="28"/>
          <w:szCs w:val="28"/>
        </w:rPr>
        <w:t>十一、保密和披露</w:t>
      </w:r>
      <w:r>
        <w:rPr>
          <w:rFonts w:hint="eastAsia" w:ascii="宋体" w:hAnsi="宋体" w:cs="宋体"/>
          <w:color w:val="auto"/>
          <w:sz w:val="28"/>
          <w:szCs w:val="28"/>
        </w:rPr>
        <w:tab/>
      </w:r>
      <w:r>
        <w:rPr>
          <w:rFonts w:hint="eastAsia" w:ascii="宋体" w:hAnsi="宋体" w:cs="宋体"/>
          <w:color w:val="auto"/>
          <w:sz w:val="28"/>
          <w:szCs w:val="28"/>
        </w:rPr>
        <w:t>24</w:t>
      </w:r>
    </w:p>
    <w:p>
      <w:pPr>
        <w:pStyle w:val="27"/>
        <w:tabs>
          <w:tab w:val="right" w:leader="dot" w:pos="8312"/>
          <w:tab w:val="clear" w:pos="8302"/>
        </w:tabs>
        <w:rPr>
          <w:rFonts w:ascii="宋体" w:hAnsi="宋体" w:cs="宋体"/>
          <w:color w:val="auto"/>
          <w:sz w:val="28"/>
          <w:szCs w:val="28"/>
        </w:rPr>
      </w:pPr>
      <w:r>
        <w:rPr>
          <w:rFonts w:hint="eastAsia" w:ascii="宋体" w:hAnsi="宋体" w:cs="宋体"/>
          <w:color w:val="auto"/>
          <w:sz w:val="28"/>
          <w:szCs w:val="28"/>
        </w:rPr>
        <w:t>第三部分  采购需求</w:t>
      </w:r>
      <w:r>
        <w:rPr>
          <w:rFonts w:hint="eastAsia" w:ascii="宋体" w:hAnsi="宋体" w:cs="宋体"/>
          <w:color w:val="auto"/>
          <w:sz w:val="28"/>
          <w:szCs w:val="28"/>
        </w:rPr>
        <w:tab/>
      </w:r>
      <w:r>
        <w:rPr>
          <w:rFonts w:hint="eastAsia" w:ascii="宋体" w:hAnsi="宋体" w:cs="宋体"/>
          <w:color w:val="auto"/>
          <w:sz w:val="28"/>
          <w:szCs w:val="28"/>
        </w:rPr>
        <w:t>25</w:t>
      </w:r>
    </w:p>
    <w:p>
      <w:pPr>
        <w:pStyle w:val="27"/>
        <w:tabs>
          <w:tab w:val="right" w:leader="dot" w:pos="8312"/>
          <w:tab w:val="clear" w:pos="8302"/>
        </w:tabs>
        <w:rPr>
          <w:rFonts w:ascii="宋体" w:hAnsi="宋体" w:cs="宋体"/>
          <w:color w:val="auto"/>
          <w:sz w:val="28"/>
          <w:szCs w:val="28"/>
        </w:rPr>
      </w:pPr>
      <w:r>
        <w:rPr>
          <w:rFonts w:hint="eastAsia" w:ascii="宋体" w:hAnsi="宋体" w:cs="宋体"/>
          <w:color w:val="auto"/>
          <w:sz w:val="28"/>
          <w:szCs w:val="28"/>
        </w:rPr>
        <w:t>第四部分  评审方法（综合评分法）</w:t>
      </w:r>
      <w:r>
        <w:rPr>
          <w:rFonts w:hint="eastAsia" w:ascii="宋体" w:hAnsi="宋体" w:cs="宋体"/>
          <w:color w:val="auto"/>
          <w:sz w:val="28"/>
          <w:szCs w:val="28"/>
        </w:rPr>
        <w:tab/>
      </w:r>
      <w:r>
        <w:rPr>
          <w:rFonts w:hint="eastAsia" w:ascii="宋体" w:hAnsi="宋体" w:cs="宋体"/>
          <w:color w:val="auto"/>
          <w:sz w:val="28"/>
          <w:szCs w:val="28"/>
        </w:rPr>
        <w:t>33</w:t>
      </w:r>
    </w:p>
    <w:p>
      <w:pPr>
        <w:pStyle w:val="27"/>
        <w:tabs>
          <w:tab w:val="right" w:leader="dot" w:pos="8312"/>
          <w:tab w:val="clear" w:pos="8302"/>
        </w:tabs>
        <w:rPr>
          <w:rFonts w:ascii="宋体" w:hAnsi="宋体" w:cs="宋体"/>
          <w:color w:val="auto"/>
          <w:sz w:val="28"/>
          <w:szCs w:val="28"/>
        </w:rPr>
      </w:pPr>
      <w:r>
        <w:rPr>
          <w:rFonts w:hint="eastAsia" w:ascii="宋体" w:hAnsi="宋体" w:cs="宋体"/>
          <w:color w:val="auto"/>
          <w:sz w:val="28"/>
          <w:szCs w:val="28"/>
        </w:rPr>
        <w:t>第五部分  拟签订的合同文本</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_Toc10894 </w:instrText>
      </w:r>
      <w:r>
        <w:rPr>
          <w:rFonts w:hint="eastAsia" w:ascii="宋体" w:hAnsi="宋体" w:cs="宋体"/>
          <w:color w:val="auto"/>
          <w:sz w:val="28"/>
          <w:szCs w:val="28"/>
        </w:rPr>
        <w:fldChar w:fldCharType="separate"/>
      </w:r>
      <w:r>
        <w:rPr>
          <w:rFonts w:hint="eastAsia" w:ascii="宋体" w:hAnsi="宋体" w:cs="宋体"/>
          <w:color w:val="auto"/>
          <w:sz w:val="28"/>
          <w:szCs w:val="28"/>
        </w:rPr>
        <w:t>38</w:t>
      </w:r>
      <w:r>
        <w:rPr>
          <w:rFonts w:hint="eastAsia" w:ascii="宋体" w:hAnsi="宋体" w:cs="宋体"/>
          <w:color w:val="auto"/>
          <w:sz w:val="28"/>
          <w:szCs w:val="28"/>
        </w:rPr>
        <w:fldChar w:fldCharType="end"/>
      </w:r>
    </w:p>
    <w:p>
      <w:pPr>
        <w:pStyle w:val="27"/>
        <w:tabs>
          <w:tab w:val="right" w:leader="dot" w:pos="8312"/>
          <w:tab w:val="clear" w:pos="8302"/>
        </w:tabs>
        <w:rPr>
          <w:rFonts w:hint="eastAsia" w:ascii="宋体" w:hAnsi="宋体" w:eastAsia="宋体" w:cs="宋体"/>
          <w:color w:val="auto"/>
          <w:sz w:val="28"/>
          <w:szCs w:val="28"/>
          <w:lang w:eastAsia="zh-CN"/>
        </w:rPr>
      </w:pPr>
      <w:r>
        <w:rPr>
          <w:rFonts w:hint="eastAsia" w:ascii="宋体" w:hAnsi="宋体" w:cs="宋体"/>
          <w:color w:val="auto"/>
          <w:sz w:val="28"/>
          <w:szCs w:val="28"/>
        </w:rPr>
        <w:t>第六部分  投标文件格式</w:t>
      </w:r>
      <w:r>
        <w:rPr>
          <w:rFonts w:hint="eastAsia" w:ascii="宋体" w:hAnsi="宋体" w:cs="宋体"/>
          <w:color w:val="auto"/>
          <w:sz w:val="28"/>
          <w:szCs w:val="28"/>
        </w:rPr>
        <w:tab/>
      </w:r>
      <w:r>
        <w:rPr>
          <w:rFonts w:hint="eastAsia" w:ascii="宋体" w:hAnsi="宋体" w:cs="宋体"/>
          <w:color w:val="auto"/>
          <w:sz w:val="28"/>
          <w:szCs w:val="28"/>
        </w:rPr>
        <w:t>4</w:t>
      </w:r>
      <w:r>
        <w:rPr>
          <w:rFonts w:hint="eastAsia" w:ascii="宋体" w:hAnsi="宋体" w:cs="宋体"/>
          <w:color w:val="auto"/>
          <w:sz w:val="28"/>
          <w:szCs w:val="28"/>
          <w:lang w:val="en-US" w:eastAsia="zh-CN"/>
        </w:rPr>
        <w:t>1</w:t>
      </w:r>
    </w:p>
    <w:p>
      <w:pPr>
        <w:pStyle w:val="29"/>
        <w:tabs>
          <w:tab w:val="right" w:leader="dot" w:pos="8312"/>
        </w:tabs>
        <w:rPr>
          <w:rFonts w:ascii="宋体" w:hAnsi="宋体" w:cs="宋体"/>
          <w:color w:val="auto"/>
        </w:rPr>
      </w:pPr>
    </w:p>
    <w:p>
      <w:pPr>
        <w:rPr>
          <w:rFonts w:ascii="宋体" w:hAnsi="宋体" w:cs="宋体"/>
          <w:b/>
          <w:bCs/>
          <w:color w:val="auto"/>
          <w:lang w:val="zh-CN"/>
        </w:rPr>
      </w:pPr>
      <w:r>
        <w:rPr>
          <w:rFonts w:hint="eastAsia" w:ascii="宋体" w:hAnsi="宋体" w:cs="宋体"/>
          <w:color w:val="auto"/>
        </w:rPr>
        <w:fldChar w:fldCharType="end"/>
      </w:r>
    </w:p>
    <w:p>
      <w:pPr>
        <w:rPr>
          <w:rFonts w:ascii="宋体" w:hAnsi="宋体" w:cs="宋体"/>
          <w:color w:val="auto"/>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pStyle w:val="18"/>
        <w:numPr>
          <w:ilvl w:val="0"/>
          <w:numId w:val="3"/>
        </w:numPr>
        <w:tabs>
          <w:tab w:val="left" w:pos="0"/>
        </w:tabs>
        <w:spacing w:line="240" w:lineRule="auto"/>
        <w:ind w:left="0" w:leftChars="0" w:firstLine="0" w:firstLineChars="0"/>
        <w:jc w:val="center"/>
        <w:outlineLvl w:val="0"/>
        <w:rPr>
          <w:rStyle w:val="41"/>
          <w:rFonts w:ascii="宋体" w:hAnsi="宋体" w:cs="宋体"/>
          <w:color w:val="auto"/>
        </w:rPr>
      </w:pPr>
      <w:bookmarkStart w:id="2" w:name="_Toc32378"/>
      <w:r>
        <w:rPr>
          <w:rStyle w:val="41"/>
          <w:rFonts w:hint="eastAsia" w:ascii="宋体" w:hAnsi="宋体" w:cs="宋体"/>
          <w:color w:val="auto"/>
        </w:rPr>
        <w:t xml:space="preserve"> 招标公告</w:t>
      </w:r>
      <w:bookmarkEnd w:id="2"/>
    </w:p>
    <w:p>
      <w:pPr>
        <w:widowControl/>
        <w:adjustRightInd w:val="0"/>
        <w:snapToGrid w:val="0"/>
        <w:spacing w:line="360" w:lineRule="auto"/>
        <w:jc w:val="center"/>
        <w:outlineLvl w:val="0"/>
        <w:rPr>
          <w:rFonts w:ascii="宋体" w:hAnsi="宋体" w:cs="宋体"/>
          <w:color w:val="auto"/>
          <w:kern w:val="36"/>
          <w:sz w:val="22"/>
        </w:rPr>
      </w:pPr>
      <w:bookmarkStart w:id="3" w:name="_Toc21898"/>
      <w:r>
        <w:rPr>
          <w:rFonts w:hint="eastAsia" w:ascii="宋体" w:hAnsi="宋体" w:cs="宋体"/>
          <w:color w:val="auto"/>
          <w:kern w:val="36"/>
          <w:sz w:val="24"/>
          <w:szCs w:val="24"/>
          <w:lang w:eastAsia="zh-CN"/>
        </w:rPr>
        <w:t>指挥系统大屏建设项目</w:t>
      </w:r>
      <w:r>
        <w:rPr>
          <w:rFonts w:hint="eastAsia" w:ascii="宋体" w:hAnsi="宋体" w:cs="宋体"/>
          <w:color w:val="auto"/>
          <w:kern w:val="36"/>
          <w:sz w:val="24"/>
          <w:szCs w:val="24"/>
        </w:rPr>
        <w:t>公开招标公告</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一、招标项目编号：</w:t>
      </w:r>
      <w:r>
        <w:rPr>
          <w:rFonts w:hint="eastAsia" w:ascii="宋体" w:hAnsi="宋体" w:cs="宋体"/>
          <w:color w:val="auto"/>
          <w:kern w:val="0"/>
          <w:sz w:val="24"/>
          <w:szCs w:val="24"/>
          <w:lang w:eastAsia="zh-CN"/>
        </w:rPr>
        <w:t>XLZ2022-117</w:t>
      </w:r>
      <w:r>
        <w:rPr>
          <w:rFonts w:hint="eastAsia" w:ascii="宋体" w:hAnsi="宋体" w:cs="宋体"/>
          <w:color w:val="auto"/>
          <w:kern w:val="0"/>
          <w:sz w:val="24"/>
          <w:szCs w:val="24"/>
        </w:rPr>
        <w:t xml:space="preserve">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二、招标组织类型：分散采购-分散委托中介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三、招标项目概况</w:t>
      </w:r>
    </w:p>
    <w:p>
      <w:pPr>
        <w:pStyle w:val="13"/>
        <w:adjustRightInd w:val="0"/>
        <w:snapToGrid w:val="0"/>
        <w:spacing w:line="360" w:lineRule="auto"/>
        <w:ind w:firstLine="48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预算金额：484.4564</w:t>
      </w:r>
      <w:r>
        <w:rPr>
          <w:rFonts w:hint="eastAsia" w:ascii="宋体" w:hAnsi="宋体" w:cs="宋体"/>
          <w:color w:val="auto"/>
          <w:kern w:val="0"/>
          <w:sz w:val="24"/>
          <w:szCs w:val="24"/>
          <w:lang w:eastAsia="zh-CN"/>
        </w:rPr>
        <w:t>万元</w:t>
      </w:r>
    </w:p>
    <w:p>
      <w:pPr>
        <w:pStyle w:val="13"/>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采购内容：</w:t>
      </w:r>
      <w:r>
        <w:rPr>
          <w:rFonts w:hint="eastAsia" w:ascii="宋体" w:hAnsi="宋体" w:cs="宋体"/>
          <w:color w:val="auto"/>
          <w:sz w:val="24"/>
          <w:szCs w:val="24"/>
        </w:rPr>
        <w:t>详见招标文件第三部分 采购需求</w:t>
      </w:r>
    </w:p>
    <w:p>
      <w:pPr>
        <w:pStyle w:val="13"/>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本采购项目不接受联合体投标</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四、投标供应商资格要求:</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符合《中华人民共和国政府采购法》第二十二条的规定；</w:t>
      </w:r>
    </w:p>
    <w:p>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2、落实政府采购政策需满足的资格要求：</w:t>
      </w:r>
    </w:p>
    <w:p>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（1）鼓励节能政策：在技术、服务等指标同等条件下，优先采购属于国家公布的节能清单中产品；</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（2）鼓励环保政策：在性能、技术、服务等指标同等条件下，优先采购国家公布的环保产品清单中的产品；</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（3）扶持中小企业政策：评审时小型和微型企业产品享受6%的价格折扣。</w:t>
      </w:r>
    </w:p>
    <w:p>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3、本项目的特定资格要求：</w:t>
      </w:r>
    </w:p>
    <w:p>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（1）供应商具有合法有效的营业执照；</w:t>
      </w:r>
    </w:p>
    <w:p>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default"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（2）供应商须具备电子与智能化工程专业承包一级资质</w:t>
      </w:r>
      <w:r>
        <w:rPr>
          <w:rFonts w:hint="eastAsia" w:ascii="宋体" w:hAnsi="宋体" w:cs="宋体"/>
          <w:b w:val="0"/>
          <w:bCs/>
          <w:i w:val="0"/>
          <w:caps w:val="0"/>
          <w:color w:val="auto"/>
          <w:spacing w:val="0"/>
          <w:sz w:val="24"/>
          <w:szCs w:val="24"/>
          <w:highlight w:val="none"/>
          <w:shd w:val="clear" w:color="auto" w:fill="FFFFFF"/>
          <w:vertAlign w:val="baseline"/>
          <w:lang w:val="en-US" w:eastAsia="zh-CN"/>
        </w:rPr>
        <w:t>，具有有效的安全生产许可证，且同时具备计算机信息系统集成甲级资质；</w:t>
      </w:r>
    </w:p>
    <w:p>
      <w:pPr>
        <w:pStyle w:val="3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218" w:leftChars="104" w:right="0" w:rightChars="0" w:firstLine="240" w:firstLineChars="100"/>
        <w:textAlignment w:val="baseline"/>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pPr>
      <w:r>
        <w:rPr>
          <w:rFonts w:hint="eastAsia" w:ascii="宋体" w:hAnsi="宋体" w:cs="宋体"/>
          <w:b w:val="0"/>
          <w:bCs/>
          <w:i w:val="0"/>
          <w:caps w:val="0"/>
          <w:color w:val="auto"/>
          <w:spacing w:val="0"/>
          <w:sz w:val="24"/>
          <w:szCs w:val="24"/>
          <w:highlight w:val="none"/>
          <w:shd w:val="clear" w:color="auto" w:fill="FFFFFF"/>
          <w:vertAlign w:val="baseline"/>
          <w:lang w:val="en-US" w:eastAsia="zh-CN"/>
        </w:rPr>
        <w:t>（3）</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供应商须提供在“信用中国”（www.creditchina.gov.cn）和中国政府采购网（www.ccgp.gov.cn）网站上未被列入失信被执行人、重大税收违法案件当事人名单、政府采购不良行为记录以及政府采购严重违法失信行为记录名单的网页打印件（网页打印件须自</w:t>
      </w:r>
      <w:r>
        <w:rPr>
          <w:rFonts w:hint="eastAsia" w:ascii="宋体" w:hAnsi="宋体" w:cs="宋体"/>
          <w:b w:val="0"/>
          <w:bCs/>
          <w:i w:val="0"/>
          <w:caps w:val="0"/>
          <w:color w:val="auto"/>
          <w:spacing w:val="0"/>
          <w:sz w:val="24"/>
          <w:szCs w:val="24"/>
          <w:highlight w:val="none"/>
          <w:shd w:val="clear" w:color="auto" w:fill="FFFFFF"/>
          <w:vertAlign w:val="baseline"/>
          <w:lang w:val="en-US" w:eastAsia="zh-CN"/>
        </w:rPr>
        <w:t>投标</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文件发布之日起至首次提交</w:t>
      </w:r>
      <w:r>
        <w:rPr>
          <w:rFonts w:hint="eastAsia" w:ascii="宋体" w:hAnsi="宋体" w:cs="宋体"/>
          <w:b w:val="0"/>
          <w:bCs/>
          <w:i w:val="0"/>
          <w:caps w:val="0"/>
          <w:color w:val="auto"/>
          <w:spacing w:val="0"/>
          <w:sz w:val="24"/>
          <w:szCs w:val="24"/>
          <w:highlight w:val="none"/>
          <w:shd w:val="clear" w:color="auto" w:fill="FFFFFF"/>
          <w:vertAlign w:val="baseline"/>
          <w:lang w:val="en-US" w:eastAsia="zh-CN"/>
        </w:rPr>
        <w:t>投标</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文件截止时间内从上述网站中打印）并加盖公章；</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4、</w:t>
      </w:r>
      <w:r>
        <w:rPr>
          <w:rFonts w:hint="eastAsia" w:ascii="宋体" w:hAnsi="宋体" w:eastAsia="宋体" w:cs="宋体"/>
          <w:b w:val="0"/>
          <w:bCs/>
          <w:i w:val="0"/>
          <w:caps w:val="0"/>
          <w:color w:val="auto"/>
          <w:spacing w:val="0"/>
          <w:sz w:val="24"/>
          <w:szCs w:val="24"/>
          <w:highlight w:val="none"/>
          <w:shd w:val="clear" w:color="auto" w:fill="FFFFFF"/>
          <w:vertAlign w:val="baseline"/>
        </w:rPr>
        <w:t>其他说明：</w:t>
      </w:r>
      <w:r>
        <w:rPr>
          <w:rFonts w:hint="eastAsia" w:ascii="宋体" w:hAnsi="宋体" w:eastAsia="宋体" w:cs="宋体"/>
          <w:b w:val="0"/>
          <w:bCs/>
          <w:i w:val="0"/>
          <w:caps w:val="0"/>
          <w:color w:val="auto"/>
          <w:spacing w:val="0"/>
          <w:sz w:val="24"/>
          <w:szCs w:val="24"/>
          <w:highlight w:val="none"/>
          <w:shd w:val="clear" w:color="auto" w:fill="FFFFFF"/>
          <w:vertAlign w:val="baseline"/>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（a）与采购人存在利害关系可能影响采购公正性的法人、其他组织或者个人，不得参加投标。</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br w:type="textWrapping"/>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 xml:space="preserve">    （b）单位负责人为同一人或者存在控股、管理关系的不同单位，不得参加同一标段投标或者未划分标段的同一采购项目投标。违反前两款规定的，相关投标均无效</w:t>
      </w:r>
      <w:r>
        <w:rPr>
          <w:rFonts w:hint="eastAsia" w:ascii="宋体" w:hAnsi="宋体" w:eastAsia="宋体" w:cs="宋体"/>
          <w:b w:val="0"/>
          <w:bCs/>
          <w:i w:val="0"/>
          <w:caps w:val="0"/>
          <w:color w:val="auto"/>
          <w:spacing w:val="0"/>
          <w:sz w:val="24"/>
          <w:szCs w:val="24"/>
          <w:highlight w:val="none"/>
          <w:shd w:val="clear" w:color="auto" w:fill="FFFFFF"/>
          <w:vertAlign w:val="baseline"/>
        </w:rPr>
        <w:t>。</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五、招标文件的报名/发售时间、地址：</w:t>
      </w:r>
    </w:p>
    <w:p>
      <w:pPr>
        <w:widowControl/>
        <w:adjustRightInd w:val="0"/>
        <w:snapToGrid w:val="0"/>
        <w:spacing w:line="360" w:lineRule="auto"/>
        <w:ind w:firstLine="480" w:firstLineChars="200"/>
        <w:jc w:val="left"/>
        <w:rPr>
          <w:rFonts w:hint="default" w:ascii="宋体" w:hAnsi="宋体" w:cs="宋体"/>
          <w:color w:val="auto"/>
          <w:kern w:val="0"/>
          <w:sz w:val="24"/>
          <w:szCs w:val="24"/>
          <w:lang w:val="en-US"/>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报名（发售／获取）时间：202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05</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13</w:t>
      </w:r>
      <w:r>
        <w:rPr>
          <w:rFonts w:hint="eastAsia" w:ascii="宋体" w:hAnsi="宋体" w:cs="宋体"/>
          <w:color w:val="auto"/>
          <w:kern w:val="0"/>
          <w:sz w:val="24"/>
          <w:szCs w:val="24"/>
        </w:rPr>
        <w:t>至202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05</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19</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上午：10:00-14:00        下午：15:00-19:00</w:t>
      </w:r>
    </w:p>
    <w:p>
      <w:pPr>
        <w:widowControl/>
        <w:numPr>
          <w:ilvl w:val="0"/>
          <w:numId w:val="0"/>
        </w:numPr>
        <w:adjustRightInd w:val="0"/>
        <w:snapToGrid w:val="0"/>
        <w:spacing w:line="360" w:lineRule="auto"/>
        <w:ind w:left="719" w:leftChars="228" w:hanging="240" w:hangingChars="100"/>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报名（发售／获取）地址：现场</w:t>
      </w:r>
      <w:r>
        <w:rPr>
          <w:rFonts w:hint="eastAsia" w:ascii="宋体" w:hAnsi="宋体" w:cs="宋体"/>
          <w:color w:val="auto"/>
          <w:kern w:val="0"/>
          <w:sz w:val="24"/>
          <w:szCs w:val="24"/>
          <w:lang w:val="en-US" w:eastAsia="zh-CN"/>
        </w:rPr>
        <w:t xml:space="preserve">获取 </w:t>
      </w:r>
      <w:r>
        <w:rPr>
          <w:rFonts w:hint="eastAsia" w:ascii="宋体" w:hAnsi="宋体" w:cs="宋体"/>
          <w:color w:val="auto"/>
          <w:kern w:val="0"/>
          <w:sz w:val="24"/>
          <w:szCs w:val="24"/>
        </w:rPr>
        <w:t>乌鲁木齐红山路16号时代广场D座23楼</w:t>
      </w:r>
      <w:r>
        <w:rPr>
          <w:rFonts w:hint="eastAsia" w:ascii="宋体" w:hAnsi="宋体" w:cs="宋体"/>
          <w:color w:val="auto"/>
          <w:kern w:val="0"/>
          <w:sz w:val="24"/>
          <w:szCs w:val="24"/>
          <w:lang w:val="en-US" w:eastAsia="zh-CN"/>
        </w:rPr>
        <w:t>O室</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3．供应商购买标书时应提交的资料：</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（1）企业营业执照；</w:t>
      </w:r>
    </w:p>
    <w:p>
      <w:pPr>
        <w:widowControl/>
        <w:adjustRightInd w:val="0"/>
        <w:snapToGrid w:val="0"/>
        <w:spacing w:line="360" w:lineRule="auto"/>
        <w:ind w:left="479" w:leftChars="228" w:firstLine="240" w:firstLineChars="100"/>
        <w:jc w:val="left"/>
        <w:rPr>
          <w:rFonts w:hint="default" w:ascii="宋体" w:hAnsi="宋体" w:cs="宋体"/>
          <w:color w:val="auto"/>
          <w:kern w:val="0"/>
          <w:sz w:val="24"/>
          <w:szCs w:val="24"/>
          <w:lang w:val="en-US"/>
        </w:rPr>
      </w:pPr>
      <w:r>
        <w:rPr>
          <w:rFonts w:hint="eastAsia" w:ascii="宋体" w:hAnsi="宋体" w:cs="宋体"/>
          <w:color w:val="auto"/>
          <w:kern w:val="0"/>
          <w:sz w:val="24"/>
          <w:szCs w:val="24"/>
        </w:rPr>
        <w:t>（2）</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电子与智能化工程专业承包资质</w:t>
      </w:r>
      <w:r>
        <w:rPr>
          <w:rFonts w:hint="eastAsia" w:ascii="宋体" w:hAnsi="宋体" w:cs="宋体"/>
          <w:b w:val="0"/>
          <w:bCs/>
          <w:i w:val="0"/>
          <w:caps w:val="0"/>
          <w:color w:val="auto"/>
          <w:spacing w:val="0"/>
          <w:sz w:val="24"/>
          <w:szCs w:val="24"/>
          <w:highlight w:val="none"/>
          <w:shd w:val="clear" w:color="auto" w:fill="FFFFFF"/>
          <w:vertAlign w:val="baseline"/>
          <w:lang w:val="en-US" w:eastAsia="zh-CN"/>
        </w:rPr>
        <w:t>证书，安全生产许可证，计算机信息系统集成资质证书</w:t>
      </w:r>
      <w:r>
        <w:rPr>
          <w:rFonts w:hint="eastAsia" w:ascii="宋体" w:hAnsi="宋体" w:cs="宋体"/>
          <w:color w:val="auto"/>
          <w:kern w:val="0"/>
          <w:sz w:val="24"/>
          <w:szCs w:val="24"/>
          <w:lang w:val="en-US" w:eastAsia="zh-CN"/>
        </w:rPr>
        <w:t>；</w:t>
      </w:r>
    </w:p>
    <w:p>
      <w:pPr>
        <w:widowControl/>
        <w:adjustRightInd w:val="0"/>
        <w:snapToGrid w:val="0"/>
        <w:spacing w:line="360" w:lineRule="auto"/>
        <w:ind w:left="479" w:leftChars="228" w:firstLine="240" w:firstLineChars="100"/>
        <w:jc w:val="left"/>
        <w:rPr>
          <w:rFonts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法定代表人身份证明书及法定代表人身份证或法定代表人授权委托书及被授权人身份证（法定代表人及被授权人的身份证复印件必须和授权委托书正文在同一面上，并加盖公章及法定代表人签字或盖章）；</w:t>
      </w:r>
    </w:p>
    <w:p>
      <w:pPr>
        <w:widowControl/>
        <w:adjustRightInd w:val="0"/>
        <w:snapToGrid w:val="0"/>
        <w:spacing w:line="360" w:lineRule="auto"/>
        <w:ind w:firstLine="720" w:firstLineChars="300"/>
        <w:jc w:val="left"/>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）“信用中国”、“中国政府采购网”网页打印页（加盖公章）；</w:t>
      </w:r>
    </w:p>
    <w:p>
      <w:pPr>
        <w:widowControl/>
        <w:adjustRightInd w:val="0"/>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以上文件须提供复印件2份并加盖公章。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六、投标截止时间：202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06</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02 16</w:t>
      </w:r>
      <w:r>
        <w:rPr>
          <w:rFonts w:hint="eastAsia" w:ascii="宋体" w:hAnsi="宋体" w:cs="宋体"/>
          <w:color w:val="auto"/>
          <w:kern w:val="0"/>
          <w:sz w:val="24"/>
          <w:szCs w:val="24"/>
        </w:rPr>
        <w:t>:00:00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七、投标地址：乌鲁木齐红山路16号时代广场D座23楼一号会议室</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八、开标时间：202</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06</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 xml:space="preserve">02 </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:00:00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九、开标地址：乌鲁木齐红山路16号时代广场D座23楼一号会议室</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十、投标保证金：详见招标文件。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十一、联系方式</w:t>
      </w:r>
    </w:p>
    <w:p>
      <w:pPr>
        <w:widowControl/>
        <w:adjustRightInd w:val="0"/>
        <w:snapToGrid w:val="0"/>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1、采购人名称：</w:t>
      </w:r>
      <w:r>
        <w:rPr>
          <w:rFonts w:hint="eastAsia" w:ascii="宋体" w:hAnsi="宋体" w:cs="宋体"/>
          <w:color w:val="auto"/>
          <w:kern w:val="0"/>
          <w:sz w:val="24"/>
          <w:szCs w:val="24"/>
          <w:lang w:eastAsia="zh-CN"/>
        </w:rPr>
        <w:t>伊犁哈萨克自治州塔城地区公安局</w:t>
      </w:r>
    </w:p>
    <w:p>
      <w:pPr>
        <w:widowControl/>
        <w:adjustRightInd w:val="0"/>
        <w:snapToGrid w:val="0"/>
        <w:spacing w:line="360" w:lineRule="auto"/>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val="en-US" w:eastAsia="zh-CN"/>
        </w:rPr>
        <w:t>梁警官</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18690128060</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2、采购代理机构名称：新疆兴立众工程咨询有限责任公司 </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联系人：石磊、朱茜、马涛</w:t>
      </w:r>
    </w:p>
    <w:p>
      <w:pPr>
        <w:widowControl/>
        <w:adjustRightInd w:val="0"/>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 xml:space="preserve">13899984798  </w:t>
      </w:r>
      <w:r>
        <w:rPr>
          <w:rFonts w:hint="eastAsia" w:ascii="宋体" w:hAnsi="宋体" w:cs="宋体"/>
          <w:color w:val="auto"/>
          <w:kern w:val="0"/>
          <w:sz w:val="24"/>
          <w:szCs w:val="24"/>
        </w:rPr>
        <w:t>0991-8869393</w:t>
      </w:r>
    </w:p>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地址：乌鲁木齐红山路16号时代广场D座23楼O室 </w:t>
      </w:r>
    </w:p>
    <w:p>
      <w:pPr>
        <w:widowControl/>
        <w:spacing w:line="400" w:lineRule="exact"/>
        <w:jc w:val="center"/>
        <w:rPr>
          <w:rFonts w:ascii="宋体" w:hAnsi="宋体" w:cs="宋体"/>
          <w:b/>
          <w:bCs/>
          <w:color w:val="auto"/>
          <w:sz w:val="36"/>
        </w:rPr>
      </w:pPr>
      <w:r>
        <w:rPr>
          <w:rFonts w:hint="eastAsia" w:ascii="宋体" w:hAnsi="宋体" w:cs="宋体"/>
          <w:color w:val="auto"/>
          <w:kern w:val="0"/>
          <w:sz w:val="24"/>
          <w:szCs w:val="24"/>
        </w:rPr>
        <w:br w:type="page"/>
      </w:r>
      <w:r>
        <w:rPr>
          <w:rStyle w:val="41"/>
          <w:rFonts w:hint="eastAsia" w:ascii="宋体" w:hAnsi="宋体" w:cs="宋体"/>
          <w:color w:val="auto"/>
        </w:rPr>
        <w:t>第二部分  供应商须知</w:t>
      </w:r>
      <w:bookmarkEnd w:id="3"/>
    </w:p>
    <w:p>
      <w:pPr>
        <w:jc w:val="center"/>
        <w:rPr>
          <w:rFonts w:ascii="宋体" w:hAnsi="宋体" w:cs="宋体"/>
          <w:b/>
          <w:bCs/>
          <w:color w:val="auto"/>
          <w:sz w:val="28"/>
          <w:szCs w:val="28"/>
        </w:rPr>
      </w:pPr>
      <w:bookmarkStart w:id="4" w:name="EBffab4e229c294506b82ba390aef19cb7"/>
      <w:bookmarkEnd w:id="4"/>
      <w:bookmarkStart w:id="5" w:name="EB30be2cd937ea416b86595e1f810ebc36"/>
      <w:bookmarkEnd w:id="5"/>
      <w:r>
        <w:rPr>
          <w:rFonts w:hint="eastAsia" w:ascii="宋体" w:hAnsi="宋体" w:cs="宋体"/>
          <w:b/>
          <w:bCs/>
          <w:color w:val="auto"/>
          <w:sz w:val="28"/>
          <w:szCs w:val="28"/>
        </w:rPr>
        <w:t>（一）、供应商须知前附表</w:t>
      </w:r>
    </w:p>
    <w:tbl>
      <w:tblPr>
        <w:tblStyle w:val="33"/>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7"/>
        <w:gridCol w:w="1206"/>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内容</w:t>
            </w:r>
          </w:p>
        </w:tc>
        <w:tc>
          <w:tcPr>
            <w:tcW w:w="6234" w:type="dxa"/>
            <w:vAlign w:val="center"/>
          </w:tcPr>
          <w:p>
            <w:pPr>
              <w:pStyle w:val="166"/>
              <w:keepNext w:val="0"/>
              <w:keepLines w:val="0"/>
              <w:pageBreakBefore w:val="0"/>
              <w:numPr>
                <w:ilvl w:val="0"/>
                <w:numId w:val="0"/>
              </w:numPr>
              <w:kinsoku/>
              <w:wordWrap/>
              <w:overflowPunct/>
              <w:topLinePunct w:val="0"/>
              <w:bidi w:val="0"/>
              <w:adjustRightInd w:val="0"/>
              <w:snapToGrid w:val="0"/>
              <w:spacing w:before="0" w:after="0" w:line="304" w:lineRule="exact"/>
              <w:jc w:val="center"/>
              <w:rPr>
                <w:rFonts w:ascii="宋体" w:hAnsi="宋体" w:eastAsia="宋体"/>
                <w:b w:val="0"/>
                <w:bCs w:val="0"/>
                <w:color w:val="auto"/>
                <w:sz w:val="24"/>
                <w:szCs w:val="24"/>
              </w:rPr>
            </w:pPr>
            <w:r>
              <w:rPr>
                <w:rFonts w:hint="eastAsia" w:ascii="宋体" w:hAnsi="宋体" w:eastAsia="宋体"/>
                <w:b w:val="0"/>
                <w:bCs w:val="0"/>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403" w:type="dxa"/>
            <w:gridSpan w:val="2"/>
            <w:vAlign w:val="center"/>
          </w:tcPr>
          <w:p>
            <w:pPr>
              <w:pStyle w:val="166"/>
              <w:keepNext w:val="0"/>
              <w:keepLines w:val="0"/>
              <w:pageBreakBefore w:val="0"/>
              <w:numPr>
                <w:ilvl w:val="0"/>
                <w:numId w:val="0"/>
              </w:numPr>
              <w:kinsoku/>
              <w:wordWrap/>
              <w:overflowPunct/>
              <w:topLinePunct w:val="0"/>
              <w:bidi w:val="0"/>
              <w:adjustRightInd w:val="0"/>
              <w:snapToGrid w:val="0"/>
              <w:spacing w:before="0" w:after="0" w:line="304" w:lineRule="exact"/>
              <w:jc w:val="center"/>
              <w:rPr>
                <w:rFonts w:ascii="宋体" w:hAnsi="宋体" w:eastAsia="宋体"/>
                <w:b w:val="0"/>
                <w:bCs w:val="0"/>
                <w:color w:val="auto"/>
                <w:sz w:val="24"/>
                <w:szCs w:val="24"/>
              </w:rPr>
            </w:pPr>
            <w:r>
              <w:rPr>
                <w:rFonts w:hint="eastAsia" w:ascii="宋体" w:hAnsi="宋体" w:eastAsia="宋体"/>
                <w:b w:val="0"/>
                <w:bCs w:val="0"/>
                <w:color w:val="auto"/>
                <w:sz w:val="24"/>
                <w:szCs w:val="24"/>
              </w:rPr>
              <w:t>项目名称</w:t>
            </w:r>
          </w:p>
        </w:tc>
        <w:tc>
          <w:tcPr>
            <w:tcW w:w="6234" w:type="dxa"/>
            <w:vAlign w:val="center"/>
          </w:tcPr>
          <w:p>
            <w:pPr>
              <w:keepNext w:val="0"/>
              <w:keepLines w:val="0"/>
              <w:pageBreakBefore w:val="0"/>
              <w:widowControl/>
              <w:kinsoku/>
              <w:wordWrap/>
              <w:overflowPunct/>
              <w:topLinePunct w:val="0"/>
              <w:bidi w:val="0"/>
              <w:adjustRightInd w:val="0"/>
              <w:snapToGrid w:val="0"/>
              <w:spacing w:before="100" w:beforeAutospacing="1" w:after="100" w:afterAutospacing="1" w:line="304" w:lineRule="exact"/>
              <w:outlineLvl w:val="0"/>
              <w:rPr>
                <w:rStyle w:val="36"/>
                <w:rFonts w:hint="eastAsia" w:ascii="宋体" w:hAnsi="宋体" w:eastAsia="宋体" w:cs="宋体"/>
                <w:b w:val="0"/>
                <w:color w:val="auto"/>
                <w:sz w:val="24"/>
                <w:szCs w:val="24"/>
                <w:lang w:eastAsia="zh-CN"/>
              </w:rPr>
            </w:pPr>
            <w:r>
              <w:rPr>
                <w:rFonts w:hint="eastAsia" w:ascii="宋体" w:hAnsi="宋体" w:cs="宋体"/>
                <w:color w:val="auto"/>
                <w:kern w:val="36"/>
                <w:sz w:val="24"/>
                <w:szCs w:val="24"/>
                <w:lang w:eastAsia="zh-CN"/>
              </w:rPr>
              <w:t>指挥系统大屏建设项目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2403" w:type="dxa"/>
            <w:gridSpan w:val="2"/>
            <w:vAlign w:val="center"/>
          </w:tcPr>
          <w:p>
            <w:pPr>
              <w:pStyle w:val="166"/>
              <w:keepNext w:val="0"/>
              <w:keepLines w:val="0"/>
              <w:pageBreakBefore w:val="0"/>
              <w:numPr>
                <w:ilvl w:val="0"/>
                <w:numId w:val="0"/>
              </w:numPr>
              <w:kinsoku/>
              <w:wordWrap/>
              <w:overflowPunct/>
              <w:topLinePunct w:val="0"/>
              <w:bidi w:val="0"/>
              <w:adjustRightInd w:val="0"/>
              <w:snapToGrid w:val="0"/>
              <w:spacing w:before="0" w:after="0" w:line="304" w:lineRule="exact"/>
              <w:jc w:val="center"/>
              <w:rPr>
                <w:rFonts w:ascii="宋体" w:hAnsi="宋体" w:eastAsia="宋体"/>
                <w:b w:val="0"/>
                <w:bCs w:val="0"/>
                <w:color w:val="auto"/>
                <w:sz w:val="24"/>
                <w:szCs w:val="24"/>
              </w:rPr>
            </w:pPr>
            <w:r>
              <w:rPr>
                <w:rFonts w:hint="eastAsia" w:ascii="宋体" w:hAnsi="宋体" w:eastAsia="宋体"/>
                <w:b w:val="0"/>
                <w:bCs w:val="0"/>
                <w:color w:val="auto"/>
                <w:sz w:val="24"/>
                <w:szCs w:val="24"/>
              </w:rPr>
              <w:t>采购人</w:t>
            </w:r>
          </w:p>
        </w:tc>
        <w:tc>
          <w:tcPr>
            <w:tcW w:w="6234" w:type="dxa"/>
            <w:vAlign w:val="center"/>
          </w:tcPr>
          <w:p>
            <w:pPr>
              <w:keepNext w:val="0"/>
              <w:keepLines w:val="0"/>
              <w:pageBreakBefore w:val="0"/>
              <w:kinsoku/>
              <w:wordWrap/>
              <w:overflowPunct/>
              <w:topLinePunct w:val="0"/>
              <w:bidi w:val="0"/>
              <w:adjustRightInd w:val="0"/>
              <w:snapToGrid w:val="0"/>
              <w:spacing w:line="304" w:lineRule="exact"/>
              <w:rPr>
                <w:rStyle w:val="36"/>
                <w:rFonts w:hint="eastAsia" w:ascii="宋体" w:hAnsi="宋体" w:eastAsia="宋体" w:cs="宋体"/>
                <w:b w:val="0"/>
                <w:color w:val="auto"/>
                <w:sz w:val="24"/>
                <w:szCs w:val="24"/>
                <w:lang w:eastAsia="zh-CN"/>
              </w:rPr>
            </w:pPr>
            <w:r>
              <w:rPr>
                <w:rStyle w:val="36"/>
                <w:rFonts w:hint="eastAsia" w:ascii="宋体" w:hAnsi="宋体" w:cs="宋体"/>
                <w:b w:val="0"/>
                <w:color w:val="auto"/>
                <w:sz w:val="24"/>
                <w:szCs w:val="24"/>
              </w:rPr>
              <w:t>名    称：</w:t>
            </w:r>
            <w:r>
              <w:rPr>
                <w:rStyle w:val="36"/>
                <w:rFonts w:hint="eastAsia" w:ascii="宋体" w:hAnsi="宋体" w:cs="宋体"/>
                <w:b w:val="0"/>
                <w:color w:val="auto"/>
                <w:sz w:val="24"/>
                <w:szCs w:val="24"/>
                <w:lang w:eastAsia="zh-CN"/>
              </w:rPr>
              <w:t>伊犁哈萨克自治州塔城地区公安局</w:t>
            </w:r>
          </w:p>
          <w:p>
            <w:pPr>
              <w:keepNext w:val="0"/>
              <w:keepLines w:val="0"/>
              <w:pageBreakBefore w:val="0"/>
              <w:kinsoku/>
              <w:wordWrap/>
              <w:overflowPunct/>
              <w:topLinePunct w:val="0"/>
              <w:bidi w:val="0"/>
              <w:adjustRightInd w:val="0"/>
              <w:snapToGrid w:val="0"/>
              <w:spacing w:line="304" w:lineRule="exact"/>
              <w:rPr>
                <w:rStyle w:val="36"/>
                <w:rFonts w:hint="eastAsia" w:ascii="宋体" w:hAnsi="宋体" w:eastAsia="宋体" w:cs="宋体"/>
                <w:b w:val="0"/>
                <w:color w:val="auto"/>
                <w:sz w:val="24"/>
                <w:szCs w:val="24"/>
                <w:lang w:val="en-US" w:eastAsia="zh-CN"/>
              </w:rPr>
            </w:pPr>
            <w:r>
              <w:rPr>
                <w:rStyle w:val="36"/>
                <w:rFonts w:hint="eastAsia" w:ascii="宋体" w:hAnsi="宋体" w:cs="宋体"/>
                <w:b w:val="0"/>
                <w:color w:val="auto"/>
                <w:sz w:val="24"/>
                <w:szCs w:val="24"/>
              </w:rPr>
              <w:t>联 系 人：</w:t>
            </w:r>
            <w:bookmarkStart w:id="6" w:name="EBdc46765b8496439baac9487bf5cb2605"/>
            <w:bookmarkEnd w:id="6"/>
            <w:r>
              <w:rPr>
                <w:rStyle w:val="36"/>
                <w:rFonts w:hint="eastAsia" w:ascii="宋体" w:hAnsi="宋体" w:cs="宋体"/>
                <w:b w:val="0"/>
                <w:color w:val="auto"/>
                <w:sz w:val="24"/>
                <w:szCs w:val="24"/>
                <w:lang w:val="en-US" w:eastAsia="zh-CN"/>
              </w:rPr>
              <w:t>梁警官</w:t>
            </w:r>
          </w:p>
          <w:p>
            <w:pPr>
              <w:keepNext w:val="0"/>
              <w:keepLines w:val="0"/>
              <w:pageBreakBefore w:val="0"/>
              <w:kinsoku/>
              <w:wordWrap/>
              <w:overflowPunct/>
              <w:topLinePunct w:val="0"/>
              <w:bidi w:val="0"/>
              <w:adjustRightInd w:val="0"/>
              <w:snapToGrid w:val="0"/>
              <w:spacing w:line="304" w:lineRule="exact"/>
              <w:rPr>
                <w:rStyle w:val="36"/>
                <w:rFonts w:ascii="宋体" w:hAnsi="宋体" w:cs="宋体"/>
                <w:b w:val="0"/>
                <w:color w:val="auto"/>
                <w:sz w:val="24"/>
                <w:szCs w:val="24"/>
              </w:rPr>
            </w:pPr>
            <w:r>
              <w:rPr>
                <w:rStyle w:val="36"/>
                <w:rFonts w:hint="eastAsia" w:ascii="宋体" w:hAnsi="宋体" w:cs="宋体"/>
                <w:b w:val="0"/>
                <w:color w:val="auto"/>
                <w:sz w:val="24"/>
                <w:szCs w:val="24"/>
              </w:rPr>
              <w:t>联系电话：</w:t>
            </w:r>
            <w:bookmarkStart w:id="7" w:name="EBb02062c7f213427390e93f40bb6fd07d"/>
            <w:bookmarkEnd w:id="7"/>
            <w:r>
              <w:rPr>
                <w:rStyle w:val="36"/>
                <w:rFonts w:hint="eastAsia" w:ascii="宋体" w:hAnsi="宋体" w:cs="宋体"/>
                <w:b w:val="0"/>
                <w:color w:val="auto"/>
                <w:sz w:val="24"/>
                <w:szCs w:val="24"/>
                <w:lang w:val="en-US" w:eastAsia="zh-CN"/>
              </w:rPr>
              <w:t>18690128060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采购代理机构</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名    称：新疆兴立众工程咨询有限责任公司</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地    址：</w:t>
            </w:r>
            <w:bookmarkStart w:id="8" w:name="EB96431d05b45b454b8fe7d4524fc167a3"/>
            <w:bookmarkEnd w:id="8"/>
            <w:r>
              <w:rPr>
                <w:rFonts w:hint="eastAsia" w:ascii="宋体" w:hAnsi="宋体" w:cs="宋体"/>
                <w:color w:val="auto"/>
                <w:sz w:val="24"/>
                <w:szCs w:val="24"/>
              </w:rPr>
              <w:t>乌鲁木齐红山路16号时代广场D座23楼O室</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联 系 人：</w:t>
            </w:r>
            <w:bookmarkStart w:id="9" w:name="EB8a126f2415034440b3de4e030b75a537"/>
            <w:bookmarkEnd w:id="9"/>
            <w:r>
              <w:rPr>
                <w:rFonts w:hint="eastAsia" w:ascii="宋体" w:hAnsi="宋体" w:cs="宋体"/>
                <w:color w:val="auto"/>
                <w:sz w:val="24"/>
                <w:szCs w:val="24"/>
              </w:rPr>
              <w:t>石磊、朱茜、马涛</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联系电话：</w:t>
            </w:r>
            <w:bookmarkStart w:id="10" w:name="EBe3286ac41586486c9a2046d66d6a6c82"/>
            <w:bookmarkEnd w:id="10"/>
            <w:r>
              <w:rPr>
                <w:rFonts w:hint="eastAsia" w:ascii="宋体" w:hAnsi="宋体" w:cs="宋体"/>
                <w:color w:val="auto"/>
                <w:sz w:val="24"/>
                <w:szCs w:val="24"/>
                <w:lang w:val="en-US" w:eastAsia="zh-CN"/>
              </w:rPr>
              <w:t xml:space="preserve">13899984798  </w:t>
            </w:r>
            <w:r>
              <w:rPr>
                <w:rFonts w:hint="eastAsia" w:ascii="宋体" w:hAnsi="宋体" w:cs="宋体"/>
                <w:color w:val="auto"/>
                <w:sz w:val="24"/>
                <w:szCs w:val="24"/>
              </w:rPr>
              <w:t>0991-8869393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sz w:val="24"/>
                <w:szCs w:val="24"/>
              </w:rPr>
              <w:t>采购预算</w:t>
            </w:r>
          </w:p>
        </w:tc>
        <w:tc>
          <w:tcPr>
            <w:tcW w:w="6234" w:type="dxa"/>
            <w:vAlign w:val="center"/>
          </w:tcPr>
          <w:p>
            <w:pPr>
              <w:pStyle w:val="30"/>
              <w:keepNext w:val="0"/>
              <w:keepLines w:val="0"/>
              <w:pageBreakBefore w:val="0"/>
              <w:widowControl/>
              <w:kinsoku/>
              <w:wordWrap/>
              <w:overflowPunct/>
              <w:topLinePunct w:val="0"/>
              <w:bidi w:val="0"/>
              <w:adjustRightInd w:val="0"/>
              <w:snapToGrid w:val="0"/>
              <w:spacing w:line="304" w:lineRule="exact"/>
              <w:rPr>
                <w:rFonts w:hint="eastAsia" w:ascii="宋体" w:hAnsi="宋体" w:eastAsia="宋体" w:cs="宋体"/>
                <w:color w:val="auto"/>
                <w:szCs w:val="24"/>
                <w:lang w:eastAsia="zh-CN"/>
              </w:rPr>
            </w:pPr>
            <w:r>
              <w:rPr>
                <w:rFonts w:hint="eastAsia" w:ascii="宋体" w:hAnsi="宋体" w:cs="宋体"/>
                <w:color w:val="auto"/>
                <w:szCs w:val="24"/>
                <w:lang w:eastAsia="zh-CN"/>
              </w:rPr>
              <w:t>484.4564万元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资金来源及落实情况</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资金来源：财政资金</w:t>
            </w:r>
          </w:p>
          <w:p>
            <w:pPr>
              <w:keepNext w:val="0"/>
              <w:keepLines w:val="0"/>
              <w:pageBreakBefore w:val="0"/>
              <w:kinsoku/>
              <w:wordWrap/>
              <w:overflowPunct/>
              <w:topLinePunct w:val="0"/>
              <w:bidi w:val="0"/>
              <w:adjustRightInd w:val="0"/>
              <w:snapToGrid w:val="0"/>
              <w:spacing w:line="304" w:lineRule="exact"/>
              <w:rPr>
                <w:rFonts w:ascii="宋体" w:hAnsi="宋体" w:cs="宋体"/>
                <w:color w:val="auto"/>
              </w:rPr>
            </w:pPr>
            <w:r>
              <w:rPr>
                <w:rFonts w:hint="eastAsia" w:ascii="宋体" w:hAnsi="宋体" w:cs="宋体"/>
                <w:color w:val="auto"/>
                <w:sz w:val="24"/>
                <w:szCs w:val="24"/>
              </w:rPr>
              <w:t>落实情况：已落实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采购内容</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详见招标文件第三部分 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供应商资格要求</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bookmarkStart w:id="11" w:name="EB7907836f74a6455bb75d2ff8b438afad"/>
            <w:bookmarkEnd w:id="11"/>
            <w:r>
              <w:rPr>
                <w:rFonts w:hint="eastAsia" w:ascii="宋体" w:hAnsi="宋体" w:cs="宋体"/>
                <w:color w:val="auto"/>
                <w:sz w:val="24"/>
                <w:szCs w:val="24"/>
              </w:rPr>
              <w:t>（1）符合《中华人民共和国政府采购法》第二十二条的规定；</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（2）供应商具有合法有效的营业执照；</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供应商须具备电子与智能化工程专业承包一级资质</w:t>
            </w:r>
            <w:r>
              <w:rPr>
                <w:rFonts w:hint="eastAsia" w:ascii="宋体" w:hAnsi="宋体" w:cs="宋体"/>
                <w:b w:val="0"/>
                <w:bCs/>
                <w:i w:val="0"/>
                <w:caps w:val="0"/>
                <w:color w:val="auto"/>
                <w:spacing w:val="0"/>
                <w:sz w:val="24"/>
                <w:szCs w:val="24"/>
                <w:highlight w:val="none"/>
                <w:shd w:val="clear" w:color="auto" w:fill="FFFFFF"/>
                <w:vertAlign w:val="baseline"/>
                <w:lang w:val="en-US" w:eastAsia="zh-CN"/>
              </w:rPr>
              <w:t>，具有有效的安全生产许可证，且同时具备计算机信息系统集成甲级资质</w:t>
            </w:r>
            <w:r>
              <w:rPr>
                <w:rFonts w:hint="eastAsia" w:ascii="宋体" w:hAnsi="宋体" w:cs="宋体"/>
                <w:color w:val="auto"/>
                <w:sz w:val="24"/>
                <w:szCs w:val="24"/>
                <w:lang w:val="en-US" w:eastAsia="zh-CN"/>
              </w:rPr>
              <w:t>；</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）供应商在“信用中国”网站（www.creditchina.gov.</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cn）、“中国政府采购网”网站（www.ccgp.gov.cn）未被列入失信被执行人名单、重大税收违法案件当事人名单、政府采购严重违法失信行为记录名单（尚在处罚期内的）、经营异常名录，须提供证明材料（信用中国网 、中国政府采购网网页打印页）（网页打印件须自招标公告发布之日起至投标文件递交截止时间从上述网站中打印）；</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）本采购项目不接受联合体投标；</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）其他说明：</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（a）与采购人存在利害关系可能影响采购公正性的法人、其他组织或者个人，不得参加投标。</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（b）单位负责人为同一人或者存在控股、管理关系的不同单位，不得参加同一标段投标或者未划分标段的同一采购项目投标。违反前两款规定的，相关投标均无效。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sz w:val="24"/>
                <w:szCs w:val="24"/>
              </w:rPr>
              <w:t>是否允许联合体投标</w:t>
            </w:r>
          </w:p>
        </w:tc>
        <w:tc>
          <w:tcPr>
            <w:tcW w:w="6234" w:type="dxa"/>
            <w:vAlign w:val="center"/>
          </w:tcPr>
          <w:p>
            <w:pPr>
              <w:keepNext w:val="0"/>
              <w:keepLines w:val="0"/>
              <w:pageBreakBefore w:val="0"/>
              <w:kinsoku/>
              <w:wordWrap/>
              <w:overflowPunct/>
              <w:topLinePunct w:val="0"/>
              <w:autoSpaceDE w:val="0"/>
              <w:autoSpaceDN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工期</w:t>
            </w:r>
          </w:p>
        </w:tc>
        <w:tc>
          <w:tcPr>
            <w:tcW w:w="6234" w:type="dxa"/>
            <w:vAlign w:val="center"/>
          </w:tcPr>
          <w:p>
            <w:pPr>
              <w:keepNext w:val="0"/>
              <w:keepLines w:val="0"/>
              <w:pageBreakBefore w:val="0"/>
              <w:kinsoku/>
              <w:wordWrap/>
              <w:overflowPunct/>
              <w:topLinePunct w:val="0"/>
              <w:autoSpaceDE w:val="0"/>
              <w:autoSpaceDN w:val="0"/>
              <w:bidi w:val="0"/>
              <w:adjustRightInd w:val="0"/>
              <w:snapToGrid w:val="0"/>
              <w:spacing w:line="304" w:lineRule="exact"/>
              <w:rPr>
                <w:rFonts w:hint="default" w:ascii="宋体" w:hAnsi="宋体" w:eastAsia="宋体" w:cs="宋体"/>
                <w:b/>
                <w:bCs/>
                <w:color w:val="auto"/>
                <w:kern w:val="0"/>
                <w:sz w:val="24"/>
                <w:szCs w:val="24"/>
                <w:highlight w:val="none"/>
                <w:lang w:val="en-US" w:eastAsia="zh-CN"/>
              </w:rPr>
            </w:pPr>
            <w:r>
              <w:rPr>
                <w:rFonts w:hint="eastAsia" w:hAnsi="宋体" w:cs="宋体"/>
                <w:b w:val="0"/>
                <w:bCs w:val="0"/>
                <w:color w:val="auto"/>
                <w:kern w:val="2"/>
                <w:sz w:val="24"/>
                <w:szCs w:val="24"/>
                <w:highlight w:val="none"/>
                <w:lang w:val="en-US" w:eastAsia="zh-CN"/>
              </w:rPr>
              <w:t>二</w:t>
            </w:r>
            <w:r>
              <w:rPr>
                <w:rFonts w:hint="eastAsia" w:hAnsi="宋体" w:cs="宋体"/>
                <w:b w:val="0"/>
                <w:bCs w:val="0"/>
                <w:color w:val="auto"/>
                <w:kern w:val="2"/>
                <w:sz w:val="24"/>
                <w:szCs w:val="24"/>
                <w:highlight w:val="none"/>
                <w:lang w:eastAsia="zh-CN"/>
              </w:rPr>
              <w:t>个月（按甲方约定要求）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ind w:left="1592" w:hanging="1592"/>
              <w:jc w:val="center"/>
              <w:rPr>
                <w:rFonts w:ascii="宋体" w:hAnsi="宋体" w:cs="宋体"/>
                <w:color w:val="auto"/>
                <w:kern w:val="0"/>
                <w:sz w:val="24"/>
                <w:szCs w:val="24"/>
              </w:rPr>
            </w:pPr>
            <w:r>
              <w:rPr>
                <w:rFonts w:hint="eastAsia" w:ascii="宋体" w:hAnsi="宋体" w:cs="宋体"/>
                <w:color w:val="auto"/>
                <w:kern w:val="0"/>
                <w:sz w:val="24"/>
                <w:szCs w:val="24"/>
              </w:rPr>
              <w:t>质量标准</w:t>
            </w:r>
          </w:p>
        </w:tc>
        <w:tc>
          <w:tcPr>
            <w:tcW w:w="6234" w:type="dxa"/>
            <w:vAlign w:val="center"/>
          </w:tcPr>
          <w:p>
            <w:pPr>
              <w:keepNext w:val="0"/>
              <w:keepLines w:val="0"/>
              <w:pageBreakBefore w:val="0"/>
              <w:kinsoku/>
              <w:wordWrap/>
              <w:overflowPunct/>
              <w:topLinePunct w:val="0"/>
              <w:bidi w:val="0"/>
              <w:adjustRightInd w:val="0"/>
              <w:snapToGrid w:val="0"/>
              <w:spacing w:line="304" w:lineRule="exact"/>
              <w:jc w:val="left"/>
              <w:rPr>
                <w:rFonts w:ascii="宋体" w:hAnsi="宋体" w:cs="宋体"/>
                <w:color w:val="auto"/>
                <w:sz w:val="24"/>
                <w:szCs w:val="24"/>
              </w:rPr>
            </w:pPr>
            <w:r>
              <w:rPr>
                <w:rFonts w:hint="eastAsia" w:ascii="宋体" w:hAnsi="宋体" w:cs="宋体"/>
                <w:color w:val="auto"/>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ind w:left="1592" w:hanging="1592"/>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付款方式</w:t>
            </w:r>
          </w:p>
        </w:tc>
        <w:tc>
          <w:tcPr>
            <w:tcW w:w="6234" w:type="dxa"/>
            <w:vAlign w:val="center"/>
          </w:tcPr>
          <w:p>
            <w:pPr>
              <w:pStyle w:val="30"/>
              <w:keepNext w:val="0"/>
              <w:keepLines w:val="0"/>
              <w:pageBreakBefore w:val="0"/>
              <w:widowControl/>
              <w:kinsoku/>
              <w:wordWrap/>
              <w:overflowPunct/>
              <w:topLinePunct w:val="0"/>
              <w:bidi w:val="0"/>
              <w:adjustRightInd w:val="0"/>
              <w:snapToGrid w:val="0"/>
              <w:spacing w:line="304" w:lineRule="exac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按合同要求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ind w:left="1592" w:hanging="1592"/>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质保期</w:t>
            </w:r>
          </w:p>
        </w:tc>
        <w:tc>
          <w:tcPr>
            <w:tcW w:w="6234" w:type="dxa"/>
            <w:vAlign w:val="center"/>
          </w:tcPr>
          <w:p>
            <w:pPr>
              <w:pStyle w:val="30"/>
              <w:keepNext w:val="0"/>
              <w:keepLines w:val="0"/>
              <w:pageBreakBefore w:val="0"/>
              <w:widowControl/>
              <w:kinsoku/>
              <w:wordWrap/>
              <w:overflowPunct/>
              <w:topLinePunct w:val="0"/>
              <w:bidi w:val="0"/>
              <w:adjustRightInd w:val="0"/>
              <w:snapToGrid w:val="0"/>
              <w:spacing w:line="304" w:lineRule="exact"/>
              <w:rPr>
                <w:rFonts w:ascii="宋体" w:hAnsi="宋体" w:cs="宋体"/>
                <w:color w:val="auto"/>
                <w:szCs w:val="24"/>
                <w:highlight w:val="none"/>
              </w:rPr>
            </w:pPr>
            <w:r>
              <w:rPr>
                <w:rFonts w:hint="eastAsia" w:ascii="宋体" w:hAnsi="宋体" w:eastAsia="宋体" w:cs="宋体"/>
                <w:b w:val="0"/>
                <w:bCs w:val="0"/>
                <w:color w:val="auto"/>
                <w:sz w:val="24"/>
                <w:szCs w:val="24"/>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ind w:left="1592" w:hanging="1592"/>
              <w:jc w:val="center"/>
              <w:rPr>
                <w:rFonts w:ascii="宋体" w:hAnsi="宋体" w:cs="宋体"/>
                <w:color w:val="auto"/>
                <w:kern w:val="0"/>
                <w:sz w:val="24"/>
                <w:szCs w:val="24"/>
              </w:rPr>
            </w:pPr>
            <w:r>
              <w:rPr>
                <w:rFonts w:hint="eastAsia" w:ascii="宋体" w:hAnsi="宋体" w:cs="宋体"/>
                <w:color w:val="auto"/>
                <w:kern w:val="0"/>
                <w:sz w:val="24"/>
                <w:szCs w:val="24"/>
              </w:rPr>
              <w:t>履约保证金</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eastAsia="宋体" w:cs="宋体"/>
                <w:color w:val="auto"/>
                <w:kern w:val="2"/>
                <w:sz w:val="24"/>
                <w:szCs w:val="24"/>
                <w:lang w:val="en-US" w:eastAsia="zh-CN" w:bidi="ar-SA"/>
              </w:rPr>
              <w:t>中标金额的</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restart"/>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1197" w:type="dxa"/>
            <w:vMerge w:val="restart"/>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sz w:val="24"/>
                <w:szCs w:val="24"/>
              </w:rPr>
              <w:t>投标文件组成部分</w:t>
            </w:r>
          </w:p>
        </w:tc>
        <w:tc>
          <w:tcPr>
            <w:tcW w:w="1206"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kern w:val="0"/>
                <w:sz w:val="24"/>
                <w:szCs w:val="24"/>
              </w:rPr>
              <w:t>封面</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kern w:val="0"/>
                <w:sz w:val="24"/>
                <w:szCs w:val="24"/>
              </w:rPr>
              <w:t>投标文件封面；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1197"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p>
        </w:tc>
        <w:tc>
          <w:tcPr>
            <w:tcW w:w="1206"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sz w:val="24"/>
                <w:szCs w:val="24"/>
              </w:rPr>
              <w:t>商务、经济文件</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★投标函；</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★开标一览表；</w:t>
            </w:r>
          </w:p>
          <w:p>
            <w:pPr>
              <w:pStyle w:val="13"/>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rPr>
            </w:pPr>
            <w:r>
              <w:rPr>
                <w:rFonts w:hint="eastAsia" w:ascii="宋体" w:hAnsi="宋体" w:cs="宋体"/>
                <w:color w:val="auto"/>
                <w:sz w:val="24"/>
                <w:szCs w:val="24"/>
              </w:rPr>
              <w:t>★分项报价明细表；</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★法定代表人资格证明书及法定代表人授权委托书；</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★资格证明文件；</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近三年（2019年至今）相关类似</w:t>
            </w:r>
            <w:r>
              <w:rPr>
                <w:rFonts w:hint="eastAsia" w:ascii="宋体" w:hAnsi="宋体" w:eastAsia="宋体" w:cs="宋体"/>
                <w:i w:val="0"/>
                <w:color w:val="auto"/>
                <w:kern w:val="0"/>
                <w:sz w:val="22"/>
                <w:szCs w:val="22"/>
                <w:u w:val="none"/>
                <w:lang w:val="en-US" w:eastAsia="zh-CN" w:bidi="ar"/>
              </w:rPr>
              <w:t>业绩</w:t>
            </w:r>
            <w:r>
              <w:rPr>
                <w:rFonts w:hint="eastAsia" w:ascii="宋体" w:hAnsi="宋体" w:cs="宋体"/>
                <w:color w:val="auto"/>
                <w:sz w:val="24"/>
                <w:szCs w:val="24"/>
              </w:rPr>
              <w:t>；</w:t>
            </w:r>
          </w:p>
          <w:p>
            <w:pPr>
              <w:pStyle w:val="13"/>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4"/>
              </w:rPr>
            </w:pPr>
            <w:r>
              <w:rPr>
                <w:rFonts w:hint="eastAsia" w:ascii="宋体" w:hAnsi="宋体" w:cs="宋体"/>
                <w:color w:val="auto"/>
                <w:sz w:val="24"/>
                <w:szCs w:val="24"/>
              </w:rPr>
              <w:t>★主要人员配备表；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1197"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p>
        </w:tc>
        <w:tc>
          <w:tcPr>
            <w:tcW w:w="1206"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sz w:val="24"/>
                <w:szCs w:val="24"/>
              </w:rPr>
              <w:t>技术文件</w:t>
            </w:r>
          </w:p>
        </w:tc>
        <w:tc>
          <w:tcPr>
            <w:tcW w:w="6234" w:type="dxa"/>
            <w:vAlign w:val="center"/>
          </w:tcPr>
          <w:p>
            <w:pPr>
              <w:pStyle w:val="13"/>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4"/>
              </w:rPr>
            </w:pPr>
            <w:r>
              <w:rPr>
                <w:rFonts w:hint="eastAsia" w:ascii="宋体" w:hAnsi="宋体" w:cs="宋体"/>
                <w:color w:val="auto"/>
                <w:sz w:val="24"/>
                <w:szCs w:val="24"/>
              </w:rPr>
              <w:t>供应商自行编写的技术文件：</w:t>
            </w:r>
          </w:p>
          <w:p>
            <w:pPr>
              <w:pStyle w:val="13"/>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4"/>
              </w:rPr>
            </w:pPr>
            <w:r>
              <w:rPr>
                <w:rFonts w:hint="eastAsia" w:ascii="宋体" w:hAnsi="宋体" w:cs="宋体"/>
                <w:color w:val="auto"/>
                <w:sz w:val="24"/>
                <w:szCs w:val="24"/>
              </w:rPr>
              <w:t>★项目理解；</w:t>
            </w:r>
          </w:p>
          <w:p>
            <w:pPr>
              <w:pStyle w:val="13"/>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4"/>
              </w:rPr>
            </w:pPr>
            <w:r>
              <w:rPr>
                <w:rFonts w:hint="eastAsia" w:ascii="宋体" w:hAnsi="宋体" w:cs="宋体"/>
                <w:color w:val="auto"/>
                <w:sz w:val="24"/>
                <w:szCs w:val="24"/>
              </w:rPr>
              <w:t>★技术参数；</w:t>
            </w:r>
          </w:p>
          <w:p>
            <w:pPr>
              <w:pStyle w:val="13"/>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4"/>
              </w:rPr>
            </w:pPr>
            <w:r>
              <w:rPr>
                <w:rFonts w:hint="eastAsia" w:ascii="宋体" w:hAnsi="宋体" w:cs="宋体"/>
                <w:color w:val="auto"/>
                <w:sz w:val="24"/>
                <w:szCs w:val="24"/>
              </w:rPr>
              <w:t>★实施方案；</w:t>
            </w:r>
          </w:p>
          <w:p>
            <w:pPr>
              <w:pStyle w:val="13"/>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4"/>
              </w:rPr>
            </w:pPr>
            <w:r>
              <w:rPr>
                <w:rFonts w:hint="eastAsia" w:ascii="宋体" w:hAnsi="宋体" w:cs="宋体"/>
                <w:color w:val="auto"/>
                <w:sz w:val="24"/>
                <w:szCs w:val="24"/>
              </w:rPr>
              <w:t>★组织安排；</w:t>
            </w:r>
          </w:p>
          <w:p>
            <w:pPr>
              <w:pStyle w:val="13"/>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售后服务</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1197"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p>
        </w:tc>
        <w:tc>
          <w:tcPr>
            <w:tcW w:w="1206"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其他资料</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供应商认为有必要提供的其他资料。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sz w:val="24"/>
                <w:szCs w:val="24"/>
              </w:rPr>
              <w:t>是否允许供应商将项目非主体、非关键性工作交由他人完成</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bookmarkStart w:id="12" w:name="EBc6ac0877da194e1ead2e51743a97925a"/>
            <w:bookmarkEnd w:id="12"/>
            <w:r>
              <w:rPr>
                <w:rFonts w:hint="eastAsia" w:ascii="宋体" w:hAnsi="宋体" w:cs="宋体"/>
                <w:color w:val="auto"/>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sz w:val="24"/>
                <w:szCs w:val="24"/>
              </w:rPr>
              <w:t>答疑澄清时间</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bCs/>
                <w:color w:val="auto"/>
                <w:sz w:val="24"/>
                <w:szCs w:val="24"/>
              </w:rPr>
            </w:pPr>
            <w:bookmarkStart w:id="13" w:name="EB7f9a2183097e49ed95bd12c9f3aa7860"/>
            <w:bookmarkEnd w:id="13"/>
            <w:r>
              <w:rPr>
                <w:rFonts w:hint="eastAsia" w:ascii="宋体" w:hAnsi="宋体" w:cs="宋体"/>
                <w:color w:val="auto"/>
                <w:sz w:val="24"/>
                <w:szCs w:val="24"/>
              </w:rPr>
              <w:t>供应商领取招标文件后，若有疑问需要澄清的，于投标截止时间15日前提出</w:t>
            </w:r>
            <w:r>
              <w:rPr>
                <w:rFonts w:hint="eastAsia" w:ascii="宋体" w:hAnsi="宋体" w:cs="宋体"/>
                <w:bCs/>
                <w:color w:val="auto"/>
                <w:sz w:val="24"/>
                <w:szCs w:val="24"/>
              </w:rPr>
              <w:t>疑问或澄清要求（逾期不予受理）。</w:t>
            </w:r>
          </w:p>
          <w:p>
            <w:pPr>
              <w:keepNext w:val="0"/>
              <w:keepLines w:val="0"/>
              <w:pageBreakBefore w:val="0"/>
              <w:kinsoku/>
              <w:wordWrap/>
              <w:overflowPunct/>
              <w:topLinePunct w:val="0"/>
              <w:autoSpaceDE w:val="0"/>
              <w:autoSpaceDN w:val="0"/>
              <w:bidi w:val="0"/>
              <w:adjustRightInd w:val="0"/>
              <w:snapToGrid w:val="0"/>
              <w:spacing w:line="304" w:lineRule="exact"/>
              <w:rPr>
                <w:rFonts w:ascii="宋体" w:hAnsi="宋体" w:cs="宋体"/>
                <w:color w:val="auto"/>
                <w:sz w:val="24"/>
                <w:szCs w:val="24"/>
              </w:rPr>
            </w:pPr>
            <w:r>
              <w:rPr>
                <w:rFonts w:hint="eastAsia" w:ascii="宋体" w:hAnsi="宋体" w:cs="宋体"/>
                <w:color w:val="auto"/>
                <w:kern w:val="0"/>
                <w:sz w:val="24"/>
                <w:szCs w:val="24"/>
              </w:rPr>
              <w:t>联系人：</w:t>
            </w:r>
            <w:r>
              <w:rPr>
                <w:rFonts w:hint="eastAsia" w:ascii="宋体" w:hAnsi="宋体" w:cs="宋体"/>
                <w:color w:val="auto"/>
                <w:sz w:val="24"/>
                <w:szCs w:val="24"/>
              </w:rPr>
              <w:t>马涛</w:t>
            </w:r>
          </w:p>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kern w:val="0"/>
                <w:sz w:val="24"/>
                <w:szCs w:val="24"/>
              </w:rPr>
              <w:t>联系电话：0991-8869393</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kern w:val="0"/>
                <w:sz w:val="24"/>
                <w:szCs w:val="24"/>
              </w:rPr>
              <w:t>提交方式：书面形式一式三份并加盖单位公章，采用信函、或者直接送达方式通知采购代理机构（递交纸质版澄清函文件的同时须提供澄清函原件电子版扫描件一份发至电子信箱：290641710@QQ.com）</w:t>
            </w:r>
          </w:p>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bCs/>
                <w:color w:val="auto"/>
                <w:sz w:val="24"/>
                <w:szCs w:val="24"/>
              </w:rPr>
              <w:t>注：澄清、修改文件发出后，供应商必须使用最新的澄清文件制作投标文件。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15</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sz w:val="24"/>
                <w:szCs w:val="24"/>
              </w:rPr>
              <w:t>投标有效期</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bookmarkStart w:id="14" w:name="EBbb43714198e3424880ac7b30e46e04ef"/>
            <w:bookmarkEnd w:id="14"/>
            <w:r>
              <w:rPr>
                <w:rFonts w:hint="eastAsia" w:ascii="宋体" w:hAnsi="宋体" w:cs="宋体"/>
                <w:color w:val="auto"/>
                <w:sz w:val="24"/>
                <w:szCs w:val="24"/>
                <w:lang w:val="zh-CN"/>
              </w:rPr>
              <w:t>自投标截止之日起</w:t>
            </w:r>
            <w:r>
              <w:rPr>
                <w:rFonts w:hint="eastAsia" w:ascii="宋体" w:hAnsi="宋体" w:cs="宋体"/>
                <w:color w:val="auto"/>
                <w:sz w:val="24"/>
                <w:szCs w:val="24"/>
                <w:u w:val="single"/>
              </w:rPr>
              <w:t>90</w:t>
            </w:r>
            <w:r>
              <w:rPr>
                <w:rFonts w:hint="eastAsia" w:ascii="宋体" w:hAnsi="宋体" w:cs="宋体"/>
                <w:color w:val="auto"/>
                <w:sz w:val="24"/>
                <w:szCs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投标截止时间</w:t>
            </w:r>
          </w:p>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kern w:val="0"/>
                <w:sz w:val="24"/>
                <w:szCs w:val="24"/>
              </w:rPr>
              <w:t>（开标时间）</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b/>
                <w:bCs/>
                <w:color w:val="auto"/>
                <w:sz w:val="24"/>
                <w:szCs w:val="24"/>
              </w:rPr>
            </w:pPr>
            <w:bookmarkStart w:id="15" w:name="EBcc65ac7201d245c29c488553475d3e35"/>
            <w:bookmarkEnd w:id="15"/>
            <w:r>
              <w:rPr>
                <w:rFonts w:hint="eastAsia" w:ascii="宋体" w:hAnsi="宋体" w:cs="宋体"/>
                <w:color w:val="auto"/>
                <w:sz w:val="24"/>
                <w:szCs w:val="24"/>
              </w:rPr>
              <w:t>截止时间：202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02</w:t>
            </w:r>
            <w:r>
              <w:rPr>
                <w:rFonts w:hint="eastAsia" w:ascii="宋体" w:hAnsi="宋体" w:cs="宋体"/>
                <w:color w:val="auto"/>
                <w:sz w:val="24"/>
                <w:szCs w:val="24"/>
              </w:rPr>
              <w:t>日</w:t>
            </w:r>
            <w:r>
              <w:rPr>
                <w:rFonts w:hint="eastAsia" w:ascii="宋体" w:hAnsi="宋体" w:cs="宋体"/>
                <w:color w:val="auto"/>
                <w:sz w:val="24"/>
                <w:szCs w:val="24"/>
                <w:lang w:val="en-US" w:eastAsia="zh-CN"/>
              </w:rPr>
              <w:t>16</w:t>
            </w:r>
            <w:r>
              <w:rPr>
                <w:rFonts w:hint="eastAsia" w:ascii="宋体" w:hAnsi="宋体" w:cs="宋体"/>
                <w:color w:val="auto"/>
                <w:sz w:val="24"/>
                <w:szCs w:val="24"/>
              </w:rPr>
              <w:t>:00时（北京时间）。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供应商在投标截止</w:t>
            </w:r>
          </w:p>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sz w:val="24"/>
                <w:szCs w:val="24"/>
              </w:rPr>
            </w:pPr>
            <w:r>
              <w:rPr>
                <w:rFonts w:hint="eastAsia" w:ascii="宋体" w:hAnsi="宋体" w:cs="宋体"/>
                <w:color w:val="auto"/>
                <w:kern w:val="0"/>
                <w:sz w:val="24"/>
                <w:szCs w:val="24"/>
              </w:rPr>
              <w:t>时间前提交的文件</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投标文件（具体要求见本表第18项）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18</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投标文件份数</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投标文件包括：</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1、投标文件：</w:t>
            </w:r>
            <w:r>
              <w:rPr>
                <w:rFonts w:hint="eastAsia" w:ascii="宋体" w:hAnsi="宋体" w:cs="宋体"/>
                <w:color w:val="auto"/>
                <w:sz w:val="24"/>
                <w:szCs w:val="24"/>
                <w:u w:val="single"/>
              </w:rPr>
              <w:t xml:space="preserve"> 5 </w:t>
            </w:r>
            <w:r>
              <w:rPr>
                <w:rFonts w:hint="eastAsia" w:ascii="宋体" w:hAnsi="宋体" w:cs="宋体"/>
                <w:color w:val="auto"/>
                <w:sz w:val="24"/>
                <w:szCs w:val="24"/>
              </w:rPr>
              <w:t>份，其中正本</w:t>
            </w:r>
            <w:r>
              <w:rPr>
                <w:rFonts w:hint="eastAsia" w:ascii="宋体" w:hAnsi="宋体" w:cs="宋体"/>
                <w:color w:val="auto"/>
                <w:sz w:val="24"/>
                <w:szCs w:val="24"/>
                <w:u w:val="single"/>
              </w:rPr>
              <w:t xml:space="preserve"> 1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4 </w:t>
            </w:r>
            <w:r>
              <w:rPr>
                <w:rFonts w:hint="eastAsia" w:ascii="宋体" w:hAnsi="宋体" w:cs="宋体"/>
                <w:color w:val="auto"/>
                <w:sz w:val="24"/>
                <w:szCs w:val="24"/>
              </w:rPr>
              <w:t>份；</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2、电子版</w:t>
            </w:r>
            <w:r>
              <w:rPr>
                <w:rFonts w:hint="eastAsia" w:ascii="宋体" w:hAnsi="宋体" w:cs="宋体"/>
                <w:color w:val="auto"/>
                <w:sz w:val="24"/>
                <w:szCs w:val="24"/>
                <w:lang w:eastAsia="zh-CN"/>
              </w:rPr>
              <w:t>、演示视频</w:t>
            </w:r>
            <w:r>
              <w:rPr>
                <w:rFonts w:hint="eastAsia" w:ascii="宋体" w:hAnsi="宋体" w:cs="宋体"/>
                <w:color w:val="auto"/>
                <w:sz w:val="24"/>
                <w:szCs w:val="24"/>
              </w:rPr>
              <w:t>U盘：</w:t>
            </w:r>
            <w:r>
              <w:rPr>
                <w:rFonts w:hint="eastAsia" w:ascii="宋体" w:hAnsi="宋体" w:cs="宋体"/>
                <w:color w:val="auto"/>
                <w:sz w:val="24"/>
                <w:szCs w:val="24"/>
                <w:lang w:val="en-US" w:eastAsia="zh-CN"/>
              </w:rPr>
              <w:t>各</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份（供应商需将盖过章的投标文件扫描并按DPF格式保存</w:t>
            </w:r>
            <w:r>
              <w:rPr>
                <w:rFonts w:hint="eastAsia" w:ascii="宋体" w:hAnsi="宋体" w:cs="宋体"/>
                <w:color w:val="auto"/>
                <w:sz w:val="24"/>
                <w:szCs w:val="24"/>
                <w:lang w:eastAsia="zh-CN"/>
              </w:rPr>
              <w:t>；功能演示视频</w:t>
            </w:r>
            <w:r>
              <w:rPr>
                <w:rFonts w:hint="eastAsia" w:ascii="宋体" w:hAnsi="宋体" w:cs="宋体"/>
                <w:color w:val="auto"/>
                <w:sz w:val="24"/>
                <w:szCs w:val="24"/>
              </w:rPr>
              <w:t>按</w:t>
            </w:r>
            <w:r>
              <w:rPr>
                <w:rFonts w:hint="eastAsia" w:ascii="宋体" w:hAnsi="宋体" w:cs="宋体"/>
                <w:color w:val="auto"/>
                <w:sz w:val="24"/>
                <w:szCs w:val="24"/>
                <w:lang w:val="en-US" w:eastAsia="zh-CN"/>
              </w:rPr>
              <w:t>MP4</w:t>
            </w:r>
            <w:r>
              <w:rPr>
                <w:rFonts w:hint="eastAsia" w:ascii="宋体" w:hAnsi="宋体" w:cs="宋体"/>
                <w:color w:val="auto"/>
                <w:sz w:val="24"/>
                <w:szCs w:val="24"/>
              </w:rPr>
              <w:t>格式保存）；</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rPr>
              <w:t>3、开标一览表：</w:t>
            </w:r>
            <w:r>
              <w:rPr>
                <w:rFonts w:hint="eastAsia" w:ascii="宋体" w:hAnsi="宋体" w:cs="宋体"/>
                <w:color w:val="auto"/>
                <w:sz w:val="24"/>
                <w:szCs w:val="24"/>
                <w:u w:val="single"/>
              </w:rPr>
              <w:t xml:space="preserve"> 1 </w:t>
            </w:r>
            <w:r>
              <w:rPr>
                <w:rFonts w:hint="eastAsia" w:ascii="宋体" w:hAnsi="宋体" w:cs="宋体"/>
                <w:color w:val="auto"/>
                <w:sz w:val="24"/>
                <w:szCs w:val="24"/>
              </w:rPr>
              <w:t>份。</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sz w:val="24"/>
                <w:szCs w:val="24"/>
              </w:rPr>
            </w:pPr>
            <w:r>
              <w:rPr>
                <w:rFonts w:hint="eastAsia" w:ascii="宋体" w:hAnsi="宋体" w:cs="宋体"/>
                <w:color w:val="auto"/>
                <w:sz w:val="24"/>
                <w:szCs w:val="24"/>
                <w:lang w:val="en-US" w:eastAsia="zh-CN"/>
              </w:rPr>
              <w:t>4、备查原件：</w:t>
            </w:r>
            <w:r>
              <w:rPr>
                <w:rFonts w:hint="eastAsia" w:ascii="宋体" w:hAnsi="宋体" w:cs="宋体"/>
                <w:color w:val="auto"/>
                <w:sz w:val="24"/>
                <w:szCs w:val="24"/>
                <w:u w:val="single"/>
              </w:rPr>
              <w:t xml:space="preserve"> 1 </w:t>
            </w:r>
            <w:r>
              <w:rPr>
                <w:rFonts w:hint="eastAsia" w:ascii="宋体" w:hAnsi="宋体" w:cs="宋体"/>
                <w:color w:val="auto"/>
                <w:sz w:val="24"/>
                <w:szCs w:val="24"/>
              </w:rPr>
              <w:t>份</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以上内容做好标示，密封提交；投标文件正、副本分别密封；电子U盘</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备查原件</w:t>
            </w:r>
            <w:r>
              <w:rPr>
                <w:rFonts w:hint="eastAsia" w:ascii="宋体" w:hAnsi="宋体" w:cs="宋体"/>
                <w:color w:val="auto"/>
                <w:sz w:val="24"/>
                <w:szCs w:val="24"/>
              </w:rPr>
              <w:t>及开标一览表分别单独密封。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19</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开标时间及地点</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开标时间：202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02</w:t>
            </w:r>
            <w:r>
              <w:rPr>
                <w:rFonts w:hint="eastAsia" w:ascii="宋体" w:hAnsi="宋体" w:cs="宋体"/>
                <w:color w:val="auto"/>
                <w:sz w:val="24"/>
                <w:szCs w:val="24"/>
              </w:rPr>
              <w:t>日</w:t>
            </w:r>
            <w:r>
              <w:rPr>
                <w:rFonts w:hint="eastAsia" w:ascii="宋体" w:hAnsi="宋体" w:cs="宋体"/>
                <w:color w:val="auto"/>
                <w:sz w:val="24"/>
                <w:szCs w:val="24"/>
                <w:lang w:val="en-US" w:eastAsia="zh-CN"/>
              </w:rPr>
              <w:t>16</w:t>
            </w:r>
            <w:r>
              <w:rPr>
                <w:rFonts w:hint="eastAsia" w:ascii="宋体" w:hAnsi="宋体" w:cs="宋体"/>
                <w:color w:val="auto"/>
                <w:sz w:val="24"/>
                <w:szCs w:val="24"/>
              </w:rPr>
              <w:t>:00时（北京时间）</w:t>
            </w:r>
          </w:p>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sz w:val="24"/>
                <w:szCs w:val="24"/>
              </w:rPr>
              <w:t>开标地点：</w:t>
            </w:r>
            <w:r>
              <w:rPr>
                <w:rFonts w:hint="eastAsia" w:ascii="宋体" w:hAnsi="宋体" w:cs="宋体"/>
                <w:color w:val="auto"/>
                <w:kern w:val="0"/>
                <w:sz w:val="24"/>
                <w:szCs w:val="24"/>
              </w:rPr>
              <w:t>乌鲁木齐市天山区红山路16号时代广场D座23楼1号会议室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20</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评标委员会的组成</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评标委员会构成</w:t>
            </w:r>
            <w:r>
              <w:rPr>
                <w:rFonts w:hint="eastAsia" w:ascii="宋体" w:hAnsi="宋体" w:cs="宋体"/>
                <w:b/>
                <w:color w:val="auto"/>
                <w:sz w:val="24"/>
                <w:szCs w:val="24"/>
              </w:rPr>
              <w:t>：</w:t>
            </w:r>
            <w:r>
              <w:rPr>
                <w:rFonts w:hint="eastAsia" w:ascii="宋体" w:hAnsi="宋体" w:cs="宋体"/>
                <w:b/>
                <w:color w:val="auto"/>
                <w:sz w:val="24"/>
                <w:szCs w:val="24"/>
                <w:u w:val="single"/>
              </w:rPr>
              <w:t xml:space="preserve"> </w:t>
            </w:r>
            <w:r>
              <w:rPr>
                <w:rFonts w:hint="eastAsia" w:ascii="宋体" w:hAnsi="宋体" w:cs="宋体"/>
                <w:bCs/>
                <w:color w:val="auto"/>
                <w:sz w:val="24"/>
                <w:szCs w:val="24"/>
                <w:u w:val="single"/>
              </w:rPr>
              <w:t>5</w:t>
            </w:r>
            <w:r>
              <w:rPr>
                <w:rFonts w:hint="eastAsia" w:ascii="宋体" w:hAnsi="宋体" w:cs="宋体"/>
                <w:b/>
                <w:color w:val="auto"/>
                <w:sz w:val="24"/>
                <w:szCs w:val="24"/>
                <w:u w:val="single"/>
              </w:rPr>
              <w:t xml:space="preserve"> </w:t>
            </w:r>
            <w:r>
              <w:rPr>
                <w:rFonts w:hint="eastAsia" w:ascii="宋体" w:hAnsi="宋体" w:cs="宋体"/>
                <w:color w:val="auto"/>
                <w:sz w:val="24"/>
                <w:szCs w:val="24"/>
              </w:rPr>
              <w:t>人，其中采购人代表人</w:t>
            </w:r>
            <w:r>
              <w:rPr>
                <w:rFonts w:hint="eastAsia" w:ascii="宋体" w:hAnsi="宋体" w:cs="宋体"/>
                <w:color w:val="auto"/>
                <w:sz w:val="24"/>
                <w:szCs w:val="24"/>
                <w:u w:val="single"/>
              </w:rPr>
              <w:t xml:space="preserve"> 1 </w:t>
            </w:r>
            <w:r>
              <w:rPr>
                <w:rFonts w:hint="eastAsia" w:ascii="宋体" w:hAnsi="宋体" w:cs="宋体"/>
                <w:color w:val="auto"/>
                <w:sz w:val="24"/>
                <w:szCs w:val="24"/>
              </w:rPr>
              <w:t>人</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评委确定方式：随机抽取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restart"/>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21</w:t>
            </w:r>
          </w:p>
        </w:tc>
        <w:tc>
          <w:tcPr>
            <w:tcW w:w="2403" w:type="dxa"/>
            <w:gridSpan w:val="2"/>
            <w:vMerge w:val="restart"/>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投标保证金</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bCs/>
                <w:color w:val="auto"/>
                <w:kern w:val="0"/>
                <w:sz w:val="24"/>
                <w:szCs w:val="24"/>
              </w:rPr>
            </w:pPr>
            <w:r>
              <w:rPr>
                <w:rFonts w:hint="eastAsia" w:ascii="宋体" w:hAnsi="宋体" w:cs="宋体"/>
                <w:color w:val="auto"/>
                <w:sz w:val="24"/>
                <w:szCs w:val="24"/>
              </w:rPr>
              <w:t>缴纳方式：电汇、网银转账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2403" w:type="dxa"/>
            <w:gridSpan w:val="2"/>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保证金金额：</w:t>
            </w:r>
            <w:r>
              <w:rPr>
                <w:rFonts w:hint="eastAsia" w:ascii="宋体" w:hAnsi="宋体" w:cs="宋体"/>
                <w:b/>
                <w:bCs/>
                <w:color w:val="auto"/>
                <w:kern w:val="0"/>
                <w:sz w:val="24"/>
                <w:szCs w:val="24"/>
                <w:lang w:val="en-US" w:eastAsia="zh-CN"/>
              </w:rPr>
              <w:t>玖万元整</w:t>
            </w: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90000</w:t>
            </w:r>
            <w:r>
              <w:rPr>
                <w:rFonts w:hint="eastAsia" w:ascii="宋体" w:hAnsi="宋体" w:cs="宋体"/>
                <w:b/>
                <w:bCs/>
                <w:color w:val="auto"/>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2403" w:type="dxa"/>
            <w:gridSpan w:val="2"/>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6234" w:type="dxa"/>
            <w:vAlign w:val="center"/>
          </w:tcPr>
          <w:p>
            <w:pPr>
              <w:pStyle w:val="2"/>
              <w:keepNext w:val="0"/>
              <w:keepLines w:val="0"/>
              <w:pageBreakBefore w:val="0"/>
              <w:kinsoku/>
              <w:wordWrap/>
              <w:overflowPunct/>
              <w:topLinePunct w:val="0"/>
              <w:bidi w:val="0"/>
              <w:adjustRightInd w:val="0"/>
              <w:snapToGrid w:val="0"/>
              <w:spacing w:after="0" w:line="304" w:lineRule="exact"/>
              <w:rPr>
                <w:rFonts w:ascii="宋体" w:hAnsi="宋体" w:cs="宋体"/>
                <w:color w:val="auto"/>
                <w:kern w:val="2"/>
              </w:rPr>
            </w:pPr>
            <w:r>
              <w:rPr>
                <w:rFonts w:hint="eastAsia" w:ascii="宋体" w:hAnsi="宋体" w:cs="宋体"/>
                <w:color w:val="auto"/>
                <w:kern w:val="2"/>
              </w:rPr>
              <w:t>开户名称：新疆兴立众工程咨询有限责任公司</w:t>
            </w:r>
          </w:p>
          <w:p>
            <w:pPr>
              <w:pStyle w:val="2"/>
              <w:keepNext w:val="0"/>
              <w:keepLines w:val="0"/>
              <w:pageBreakBefore w:val="0"/>
              <w:kinsoku/>
              <w:wordWrap/>
              <w:overflowPunct/>
              <w:topLinePunct w:val="0"/>
              <w:bidi w:val="0"/>
              <w:adjustRightInd w:val="0"/>
              <w:snapToGrid w:val="0"/>
              <w:spacing w:after="0" w:line="304" w:lineRule="exact"/>
              <w:rPr>
                <w:rFonts w:ascii="宋体" w:hAnsi="宋体" w:cs="宋体"/>
                <w:color w:val="auto"/>
                <w:kern w:val="2"/>
              </w:rPr>
            </w:pPr>
            <w:r>
              <w:rPr>
                <w:rFonts w:hint="eastAsia" w:ascii="宋体" w:hAnsi="宋体" w:cs="宋体"/>
                <w:color w:val="auto"/>
                <w:kern w:val="2"/>
              </w:rPr>
              <w:t>开户银行：中国银行股份有限公司乌鲁木齐市光明路支行</w:t>
            </w:r>
          </w:p>
          <w:p>
            <w:pPr>
              <w:pStyle w:val="2"/>
              <w:keepNext w:val="0"/>
              <w:keepLines w:val="0"/>
              <w:pageBreakBefore w:val="0"/>
              <w:kinsoku/>
              <w:wordWrap/>
              <w:overflowPunct/>
              <w:topLinePunct w:val="0"/>
              <w:bidi w:val="0"/>
              <w:adjustRightInd w:val="0"/>
              <w:snapToGrid w:val="0"/>
              <w:spacing w:after="0" w:line="304" w:lineRule="exact"/>
              <w:rPr>
                <w:rFonts w:ascii="宋体" w:hAnsi="宋体" w:cs="宋体"/>
                <w:color w:val="auto"/>
                <w:kern w:val="2"/>
              </w:rPr>
            </w:pPr>
            <w:r>
              <w:rPr>
                <w:rFonts w:hint="eastAsia" w:ascii="宋体" w:hAnsi="宋体" w:cs="宋体"/>
                <w:color w:val="auto"/>
                <w:kern w:val="2"/>
              </w:rPr>
              <w:t>银行账号：107060701529</w:t>
            </w:r>
          </w:p>
          <w:p>
            <w:pPr>
              <w:pStyle w:val="2"/>
              <w:keepNext w:val="0"/>
              <w:keepLines w:val="0"/>
              <w:pageBreakBefore w:val="0"/>
              <w:kinsoku/>
              <w:wordWrap/>
              <w:overflowPunct/>
              <w:topLinePunct w:val="0"/>
              <w:bidi w:val="0"/>
              <w:adjustRightInd w:val="0"/>
              <w:snapToGrid w:val="0"/>
              <w:spacing w:after="0" w:line="304" w:lineRule="exact"/>
              <w:rPr>
                <w:rFonts w:ascii="宋体" w:hAnsi="宋体" w:cs="宋体"/>
                <w:color w:val="auto"/>
                <w:kern w:val="2"/>
              </w:rPr>
            </w:pPr>
            <w:r>
              <w:rPr>
                <w:rFonts w:hint="eastAsia" w:ascii="宋体" w:hAnsi="宋体" w:cs="宋体"/>
                <w:color w:val="auto"/>
                <w:kern w:val="2"/>
              </w:rPr>
              <w:t>银行行号：104881006055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2403" w:type="dxa"/>
            <w:gridSpan w:val="2"/>
            <w:vMerge w:val="continue"/>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p>
        </w:tc>
        <w:tc>
          <w:tcPr>
            <w:tcW w:w="6234" w:type="dxa"/>
            <w:tcBorders>
              <w:bottom w:val="single" w:color="auto" w:sz="4" w:space="0"/>
            </w:tcBorders>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到账截止时间：202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06</w:t>
            </w:r>
            <w:r>
              <w:rPr>
                <w:rFonts w:hint="eastAsia" w:ascii="宋体" w:hAnsi="宋体" w:cs="宋体"/>
                <w:color w:val="auto"/>
                <w:sz w:val="24"/>
                <w:szCs w:val="24"/>
              </w:rPr>
              <w:t>月</w:t>
            </w:r>
            <w:r>
              <w:rPr>
                <w:rFonts w:hint="eastAsia" w:ascii="宋体" w:hAnsi="宋体" w:cs="宋体"/>
                <w:color w:val="auto"/>
                <w:sz w:val="24"/>
                <w:szCs w:val="24"/>
                <w:lang w:val="en-US" w:eastAsia="zh-CN"/>
              </w:rPr>
              <w:t>02</w:t>
            </w:r>
            <w:r>
              <w:rPr>
                <w:rFonts w:hint="eastAsia" w:ascii="宋体" w:hAnsi="宋体" w:cs="宋体"/>
                <w:color w:val="auto"/>
                <w:sz w:val="24"/>
                <w:szCs w:val="24"/>
              </w:rPr>
              <w:t>日</w:t>
            </w:r>
            <w:r>
              <w:rPr>
                <w:rFonts w:hint="eastAsia" w:ascii="宋体" w:hAnsi="宋体" w:cs="宋体"/>
                <w:color w:val="auto"/>
                <w:sz w:val="24"/>
                <w:szCs w:val="24"/>
                <w:lang w:val="en-US" w:eastAsia="zh-CN"/>
              </w:rPr>
              <w:t>16</w:t>
            </w:r>
            <w:r>
              <w:rPr>
                <w:rFonts w:hint="eastAsia" w:ascii="宋体" w:hAnsi="宋体" w:cs="宋体"/>
                <w:color w:val="auto"/>
                <w:sz w:val="24"/>
                <w:szCs w:val="24"/>
              </w:rPr>
              <w:t>:00（北京时间）</w:t>
            </w:r>
          </w:p>
          <w:p>
            <w:pPr>
              <w:pStyle w:val="137"/>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4"/>
              </w:rPr>
            </w:pPr>
            <w:r>
              <w:rPr>
                <w:rFonts w:hint="eastAsia" w:ascii="宋体" w:hAnsi="宋体" w:cs="宋体"/>
                <w:color w:val="auto"/>
                <w:sz w:val="24"/>
                <w:szCs w:val="24"/>
              </w:rPr>
              <w:t>注：（1）用转账或银行电汇提交保证金的，应当从其基本账户转入上述银行账户；未按招标要求缴纳投标保证金的，视为非实质性响应。（请各供应商在缴纳保证金时注明项目名称（若字数超标，可自行简写项目名称），如未注明，造成保证金无法查明的，责任由供应商承担）</w:t>
            </w:r>
          </w:p>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（2）供应商以转账或银行电汇形式提交保证金的应充分考虑资金在途时间，保证金应于投标保证金递交截止时间前到账。</w:t>
            </w:r>
          </w:p>
          <w:p>
            <w:pPr>
              <w:pStyle w:val="13"/>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sz w:val="24"/>
                <w:szCs w:val="28"/>
              </w:rPr>
            </w:pPr>
            <w:r>
              <w:rPr>
                <w:rFonts w:hint="eastAsia" w:ascii="宋体" w:hAnsi="宋体" w:cs="宋体"/>
                <w:color w:val="auto"/>
                <w:sz w:val="24"/>
                <w:szCs w:val="28"/>
              </w:rPr>
              <w:t>（3）财务电话：0991-2601599，有关保证金交纳及退还相关事相请与财务部联系。</w:t>
            </w:r>
          </w:p>
          <w:p>
            <w:pPr>
              <w:pStyle w:val="13"/>
              <w:keepNext w:val="0"/>
              <w:keepLines w:val="0"/>
              <w:pageBreakBefore w:val="0"/>
              <w:kinsoku/>
              <w:wordWrap/>
              <w:overflowPunct/>
              <w:topLinePunct w:val="0"/>
              <w:bidi w:val="0"/>
              <w:adjustRightInd w:val="0"/>
              <w:snapToGrid w:val="0"/>
              <w:spacing w:line="304" w:lineRule="exact"/>
              <w:ind w:firstLine="0" w:firstLineChars="0"/>
              <w:rPr>
                <w:rFonts w:ascii="宋体" w:hAnsi="宋体" w:cs="宋体"/>
                <w:color w:val="auto"/>
              </w:rPr>
            </w:pPr>
            <w:r>
              <w:rPr>
                <w:rFonts w:hint="eastAsia" w:ascii="宋体" w:hAnsi="宋体" w:cs="宋体"/>
                <w:color w:val="auto"/>
                <w:sz w:val="24"/>
                <w:szCs w:val="28"/>
              </w:rPr>
              <w:t>（4）退投标保证金请联系业务员：马涛 电话：13899984798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23</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评审方法</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bookmarkStart w:id="16" w:name="EB9ad3541a282b4a7283f6b2d3dd53e7a3"/>
            <w:bookmarkEnd w:id="16"/>
            <w:r>
              <w:rPr>
                <w:rFonts w:hint="eastAsia" w:ascii="宋体" w:hAnsi="宋体" w:cs="宋体"/>
                <w:color w:val="auto"/>
                <w:kern w:val="0"/>
                <w:sz w:val="24"/>
                <w:szCs w:val="24"/>
              </w:rPr>
              <w:t>资格后审、综合评分法。</w:t>
            </w:r>
          </w:p>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r>
              <w:rPr>
                <w:rFonts w:hint="eastAsia" w:ascii="宋体" w:hAnsi="宋体" w:cs="宋体"/>
                <w:color w:val="auto"/>
                <w:kern w:val="0"/>
                <w:sz w:val="24"/>
                <w:szCs w:val="24"/>
              </w:rPr>
              <w:t>注：综合评分法是指在最大限度地满足招标文件实质性要求前提下，按照招标文件中规定的评分细则评审后，以评标最终得分最高的供应商作为中标人的评标方法。每一供应商的最终得分为所有评委评分的算术平均值</w:t>
            </w:r>
            <w:r>
              <w:rPr>
                <w:rFonts w:hint="eastAsia" w:ascii="宋体" w:hAnsi="宋体" w:cs="宋体"/>
                <w:b/>
                <w:color w:val="auto"/>
                <w:kern w:val="0"/>
                <w:sz w:val="24"/>
                <w:szCs w:val="24"/>
              </w:rPr>
              <w:t>。</w:t>
            </w:r>
            <w:r>
              <w:rPr>
                <w:rFonts w:hint="eastAsia" w:ascii="宋体" w:hAnsi="宋体" w:cs="宋体"/>
                <w:color w:val="auto"/>
                <w:kern w:val="0"/>
                <w:sz w:val="24"/>
                <w:szCs w:val="24"/>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24</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资格审查材料</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hint="eastAsia" w:ascii="宋体" w:hAnsi="宋体" w:cs="宋体"/>
                <w:b/>
                <w:bCs/>
                <w:color w:val="auto"/>
                <w:kern w:val="0"/>
                <w:sz w:val="24"/>
                <w:szCs w:val="24"/>
              </w:rPr>
            </w:pPr>
            <w:r>
              <w:rPr>
                <w:rFonts w:hint="eastAsia" w:ascii="宋体" w:hAnsi="宋体" w:cs="宋体"/>
                <w:b/>
                <w:bCs/>
                <w:color w:val="auto"/>
                <w:kern w:val="0"/>
                <w:sz w:val="24"/>
                <w:szCs w:val="24"/>
              </w:rPr>
              <w:t>各供应商开标会现场需携带以下内容原件进行资格审查：</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kern w:val="0"/>
                <w:sz w:val="24"/>
                <w:szCs w:val="24"/>
              </w:rPr>
            </w:pPr>
            <w:r>
              <w:rPr>
                <w:rFonts w:hint="eastAsia" w:ascii="宋体" w:hAnsi="宋体" w:cs="宋体"/>
                <w:color w:val="auto"/>
                <w:kern w:val="0"/>
                <w:sz w:val="24"/>
                <w:szCs w:val="24"/>
              </w:rPr>
              <w:t>（1）营业执照；</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eastAsia="宋体" w:cs="宋体"/>
                <w:b w:val="0"/>
                <w:bCs/>
                <w:i w:val="0"/>
                <w:caps w:val="0"/>
                <w:color w:val="auto"/>
                <w:spacing w:val="0"/>
                <w:sz w:val="24"/>
                <w:szCs w:val="24"/>
                <w:highlight w:val="none"/>
                <w:shd w:val="clear" w:color="auto" w:fill="FFFFFF"/>
                <w:vertAlign w:val="baseline"/>
                <w:lang w:val="en-US" w:eastAsia="zh-CN"/>
              </w:rPr>
              <w:t>电子与智能化工程专业承包资质</w:t>
            </w:r>
            <w:r>
              <w:rPr>
                <w:rFonts w:hint="eastAsia" w:ascii="宋体" w:hAnsi="宋体" w:cs="宋体"/>
                <w:b w:val="0"/>
                <w:bCs/>
                <w:i w:val="0"/>
                <w:caps w:val="0"/>
                <w:color w:val="auto"/>
                <w:spacing w:val="0"/>
                <w:sz w:val="24"/>
                <w:szCs w:val="24"/>
                <w:highlight w:val="none"/>
                <w:shd w:val="clear" w:color="auto" w:fill="FFFFFF"/>
                <w:vertAlign w:val="baseline"/>
                <w:lang w:val="en-US" w:eastAsia="zh-CN"/>
              </w:rPr>
              <w:t>证书，安全生产许可证，计算机信息系统集成资质证书</w:t>
            </w:r>
            <w:r>
              <w:rPr>
                <w:rFonts w:hint="eastAsia" w:ascii="宋体" w:hAnsi="宋体" w:cs="宋体"/>
                <w:color w:val="auto"/>
                <w:kern w:val="0"/>
                <w:sz w:val="24"/>
                <w:szCs w:val="24"/>
                <w:lang w:val="en-US" w:eastAsia="zh-CN"/>
              </w:rPr>
              <w:t>；</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）供应商代表随身携带一份法定代表人授权委托书、有效身份证明原件（如供应商代表为企业法定代表人，则需要提供有效身份证明及法定代表人身份证明书原件），以证明其身份；</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kern w:val="0"/>
                <w:sz w:val="24"/>
                <w:szCs w:val="24"/>
              </w:rPr>
            </w:pPr>
            <w:r>
              <w:rPr>
                <w:rFonts w:hint="eastAsia" w:ascii="宋体" w:hAnsi="宋体" w:cs="宋体"/>
                <w:color w:val="auto"/>
                <w:kern w:val="0"/>
                <w:sz w:val="24"/>
                <w:szCs w:val="24"/>
              </w:rPr>
              <w:t>（3）投标保证金收据（以采购代理公司出具为准）。</w:t>
            </w:r>
          </w:p>
          <w:p>
            <w:pPr>
              <w:keepNext w:val="0"/>
              <w:keepLines w:val="0"/>
              <w:pageBreakBefore w:val="0"/>
              <w:kinsoku/>
              <w:wordWrap/>
              <w:overflowPunct/>
              <w:topLinePunct w:val="0"/>
              <w:bidi w:val="0"/>
              <w:adjustRightInd w:val="0"/>
              <w:snapToGrid w:val="0"/>
              <w:spacing w:line="304" w:lineRule="exact"/>
              <w:rPr>
                <w:rFonts w:hint="eastAsia" w:ascii="宋体" w:hAnsi="宋体" w:cs="宋体"/>
                <w:color w:val="auto"/>
                <w:kern w:val="0"/>
                <w:sz w:val="24"/>
                <w:szCs w:val="24"/>
              </w:rPr>
            </w:pPr>
            <w:r>
              <w:rPr>
                <w:rFonts w:hint="eastAsia" w:ascii="宋体" w:hAnsi="宋体" w:cs="宋体"/>
                <w:b/>
                <w:bCs/>
                <w:color w:val="auto"/>
                <w:kern w:val="0"/>
                <w:sz w:val="24"/>
                <w:szCs w:val="24"/>
              </w:rPr>
              <w:t>任何对招标文件的误解所造成的损失，均由供应商自行承担。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25</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踏勘现场</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kern w:val="0"/>
                <w:sz w:val="24"/>
                <w:szCs w:val="24"/>
              </w:rPr>
            </w:pPr>
            <w:bookmarkStart w:id="17" w:name="EB0074e2ed01924d5f940b01ce03dab020"/>
            <w:bookmarkEnd w:id="17"/>
            <w:bookmarkStart w:id="18" w:name="EBfac76cf65e4c418cba0e15c753f1359b"/>
            <w:bookmarkEnd w:id="18"/>
            <w:r>
              <w:rPr>
                <w:rFonts w:hint="eastAsia" w:ascii="宋体" w:hAnsi="宋体" w:cs="宋体"/>
                <w:color w:val="auto"/>
                <w:kern w:val="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26</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sz w:val="24"/>
              </w:rPr>
              <w:t>是否接受进口产品</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27</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sz w:val="24"/>
                <w:szCs w:val="24"/>
              </w:rPr>
              <w:t>技术部分是否采用“暗标”评审</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color w:val="auto"/>
                <w:sz w:val="24"/>
                <w:szCs w:val="24"/>
              </w:rPr>
            </w:pPr>
            <w:r>
              <w:rPr>
                <w:rFonts w:hint="eastAsia" w:ascii="宋体" w:hAnsi="宋体"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28</w:t>
            </w:r>
          </w:p>
        </w:tc>
        <w:tc>
          <w:tcPr>
            <w:tcW w:w="2403" w:type="dxa"/>
            <w:gridSpan w:val="2"/>
            <w:vAlign w:val="center"/>
          </w:tcPr>
          <w:p>
            <w:pPr>
              <w:keepNext w:val="0"/>
              <w:keepLines w:val="0"/>
              <w:pageBreakBefore w:val="0"/>
              <w:kinsoku/>
              <w:wordWrap/>
              <w:overflowPunct/>
              <w:topLinePunct w:val="0"/>
              <w:autoSpaceDE w:val="0"/>
              <w:autoSpaceDN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争议的解决</w:t>
            </w:r>
          </w:p>
        </w:tc>
        <w:tc>
          <w:tcPr>
            <w:tcW w:w="6234" w:type="dxa"/>
            <w:vAlign w:val="center"/>
          </w:tcPr>
          <w:p>
            <w:pPr>
              <w:keepNext w:val="0"/>
              <w:keepLines w:val="0"/>
              <w:pageBreakBefore w:val="0"/>
              <w:kinsoku/>
              <w:wordWrap/>
              <w:overflowPunct/>
              <w:topLinePunct w:val="0"/>
              <w:autoSpaceDE w:val="0"/>
              <w:autoSpaceDN w:val="0"/>
              <w:bidi w:val="0"/>
              <w:adjustRightInd w:val="0"/>
              <w:snapToGrid w:val="0"/>
              <w:spacing w:line="304" w:lineRule="exact"/>
              <w:rPr>
                <w:rFonts w:ascii="宋体" w:hAnsi="宋体" w:cs="宋体"/>
                <w:b/>
                <w:color w:val="auto"/>
                <w:sz w:val="24"/>
                <w:szCs w:val="24"/>
              </w:rPr>
            </w:pPr>
            <w:bookmarkStart w:id="19" w:name="EB2f5f405fa5e847b7b1e93aa13e02f53c"/>
            <w:bookmarkEnd w:id="19"/>
            <w:bookmarkStart w:id="20" w:name="EB032dd5bb9a2a45ea8238724fe0749933"/>
            <w:bookmarkEnd w:id="20"/>
            <w:r>
              <w:rPr>
                <w:rFonts w:hint="eastAsia" w:ascii="宋体" w:hAnsi="宋体" w:cs="宋体"/>
                <w:color w:val="auto"/>
                <w:sz w:val="24"/>
                <w:szCs w:val="24"/>
              </w:rPr>
              <w:t>中标后甲乙双方协商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color w:val="auto"/>
                <w:kern w:val="0"/>
                <w:sz w:val="24"/>
                <w:szCs w:val="24"/>
              </w:rPr>
            </w:pPr>
            <w:r>
              <w:rPr>
                <w:rFonts w:hint="eastAsia" w:ascii="宋体" w:hAnsi="宋体" w:cs="宋体"/>
                <w:color w:val="auto"/>
                <w:kern w:val="0"/>
                <w:sz w:val="24"/>
                <w:szCs w:val="24"/>
              </w:rPr>
              <w:t>29</w:t>
            </w:r>
          </w:p>
        </w:tc>
        <w:tc>
          <w:tcPr>
            <w:tcW w:w="2403" w:type="dxa"/>
            <w:gridSpan w:val="2"/>
            <w:vAlign w:val="center"/>
          </w:tcPr>
          <w:p>
            <w:pPr>
              <w:keepNext w:val="0"/>
              <w:keepLines w:val="0"/>
              <w:pageBreakBefore w:val="0"/>
              <w:kinsoku/>
              <w:wordWrap/>
              <w:overflowPunct/>
              <w:topLinePunct w:val="0"/>
              <w:bidi w:val="0"/>
              <w:adjustRightInd w:val="0"/>
              <w:snapToGrid w:val="0"/>
              <w:spacing w:line="304" w:lineRule="exact"/>
              <w:jc w:val="center"/>
              <w:rPr>
                <w:rFonts w:ascii="宋体" w:hAnsi="宋体" w:cs="宋体"/>
                <w:b/>
                <w:bCs/>
                <w:color w:val="auto"/>
                <w:kern w:val="0"/>
                <w:sz w:val="24"/>
                <w:szCs w:val="24"/>
              </w:rPr>
            </w:pPr>
            <w:r>
              <w:rPr>
                <w:rFonts w:hint="eastAsia" w:ascii="宋体" w:hAnsi="宋体" w:cs="宋体"/>
                <w:color w:val="auto"/>
                <w:kern w:val="0"/>
                <w:sz w:val="24"/>
                <w:szCs w:val="24"/>
              </w:rPr>
              <w:t>招标代理服务费</w:t>
            </w:r>
          </w:p>
        </w:tc>
        <w:tc>
          <w:tcPr>
            <w:tcW w:w="6234" w:type="dxa"/>
            <w:vAlign w:val="center"/>
          </w:tcPr>
          <w:p>
            <w:pPr>
              <w:keepNext w:val="0"/>
              <w:keepLines w:val="0"/>
              <w:pageBreakBefore w:val="0"/>
              <w:kinsoku/>
              <w:wordWrap/>
              <w:overflowPunct/>
              <w:topLinePunct w:val="0"/>
              <w:bidi w:val="0"/>
              <w:adjustRightInd w:val="0"/>
              <w:snapToGrid w:val="0"/>
              <w:spacing w:line="304" w:lineRule="exact"/>
              <w:rPr>
                <w:rFonts w:ascii="宋体" w:hAnsi="宋体" w:cs="宋体"/>
                <w:b/>
                <w:bCs/>
                <w:color w:val="auto"/>
                <w:sz w:val="24"/>
                <w:szCs w:val="24"/>
              </w:rPr>
            </w:pPr>
            <w:r>
              <w:rPr>
                <w:rFonts w:hint="eastAsia" w:ascii="宋体" w:hAnsi="宋体" w:cs="宋体"/>
                <w:color w:val="auto"/>
                <w:sz w:val="24"/>
              </w:rPr>
              <w:t>根据国家相关法律法规规定，由中标人支付。</w:t>
            </w:r>
          </w:p>
        </w:tc>
      </w:tr>
    </w:tbl>
    <w:p>
      <w:pPr>
        <w:spacing w:line="360" w:lineRule="auto"/>
        <w:ind w:left="602" w:right="-307" w:rightChars="-146" w:hanging="602" w:hangingChars="250"/>
        <w:rPr>
          <w:rFonts w:ascii="宋体" w:hAnsi="宋体" w:cs="宋体"/>
          <w:b/>
          <w:bCs/>
          <w:color w:val="auto"/>
          <w:kern w:val="0"/>
          <w:sz w:val="24"/>
        </w:rPr>
      </w:pPr>
      <w:r>
        <w:rPr>
          <w:rFonts w:hint="eastAsia" w:ascii="宋体" w:hAnsi="宋体" w:cs="宋体"/>
          <w:b/>
          <w:bCs/>
          <w:color w:val="auto"/>
          <w:kern w:val="0"/>
          <w:sz w:val="24"/>
        </w:rPr>
        <w:t>注：1.本表中加★项目若有缺失或无效，将导致投标无效且不允许在开标后补正；</w:t>
      </w:r>
    </w:p>
    <w:p>
      <w:pPr>
        <w:spacing w:line="360" w:lineRule="auto"/>
        <w:ind w:left="601" w:leftChars="229" w:right="-307" w:rightChars="-146" w:hanging="120" w:hangingChars="50"/>
        <w:rPr>
          <w:rFonts w:ascii="宋体" w:hAnsi="宋体" w:cs="宋体"/>
          <w:b/>
          <w:bCs/>
          <w:color w:val="auto"/>
          <w:kern w:val="0"/>
          <w:sz w:val="24"/>
        </w:rPr>
      </w:pPr>
      <w:r>
        <w:rPr>
          <w:rFonts w:hint="eastAsia" w:ascii="宋体" w:hAnsi="宋体" w:cs="宋体"/>
          <w:b/>
          <w:bCs/>
          <w:color w:val="auto"/>
          <w:kern w:val="0"/>
          <w:sz w:val="24"/>
        </w:rPr>
        <w:t>2.本表内容与招标文件其它内容不一致的，应当以本表内容为准。</w:t>
      </w:r>
      <w:bookmarkStart w:id="21" w:name="_Toc18264"/>
    </w:p>
    <w:p>
      <w:pPr>
        <w:spacing w:line="360" w:lineRule="exact"/>
        <w:jc w:val="center"/>
        <w:outlineLvl w:val="1"/>
        <w:rPr>
          <w:rFonts w:ascii="宋体" w:hAnsi="宋体" w:cs="宋体"/>
          <w:b/>
          <w:bCs/>
          <w:color w:val="auto"/>
          <w:sz w:val="28"/>
          <w:szCs w:val="28"/>
        </w:rPr>
      </w:pPr>
      <w:r>
        <w:rPr>
          <w:rFonts w:hint="eastAsia" w:ascii="宋体" w:hAnsi="宋体" w:cs="宋体"/>
          <w:b/>
          <w:bCs/>
          <w:color w:val="auto"/>
          <w:kern w:val="0"/>
          <w:sz w:val="24"/>
        </w:rPr>
        <w:br w:type="page"/>
      </w:r>
      <w:r>
        <w:rPr>
          <w:rFonts w:hint="eastAsia" w:ascii="宋体" w:hAnsi="宋体" w:cs="宋体"/>
          <w:b/>
          <w:bCs/>
          <w:color w:val="auto"/>
          <w:sz w:val="28"/>
          <w:szCs w:val="28"/>
        </w:rPr>
        <w:t>（二）供应商须知正文部分</w:t>
      </w:r>
      <w:bookmarkEnd w:id="21"/>
    </w:p>
    <w:p>
      <w:pPr>
        <w:pStyle w:val="5"/>
        <w:numPr>
          <w:ilvl w:val="0"/>
          <w:numId w:val="0"/>
        </w:numPr>
        <w:spacing w:before="0" w:after="0" w:line="360" w:lineRule="auto"/>
        <w:rPr>
          <w:rFonts w:ascii="宋体" w:hAnsi="宋体" w:cs="宋体"/>
          <w:color w:val="auto"/>
          <w:sz w:val="24"/>
          <w:szCs w:val="24"/>
        </w:rPr>
      </w:pPr>
      <w:bookmarkStart w:id="22" w:name="_Toc22636"/>
      <w:r>
        <w:rPr>
          <w:rFonts w:hint="eastAsia" w:ascii="宋体" w:hAnsi="宋体" w:cs="宋体"/>
          <w:color w:val="auto"/>
          <w:sz w:val="24"/>
          <w:szCs w:val="24"/>
        </w:rPr>
        <w:t>一、总则</w:t>
      </w:r>
      <w:bookmarkEnd w:id="22"/>
    </w:p>
    <w:p>
      <w:pPr>
        <w:spacing w:line="360" w:lineRule="auto"/>
        <w:rPr>
          <w:rFonts w:ascii="宋体" w:hAnsi="宋体" w:cs="宋体"/>
          <w:b/>
          <w:color w:val="auto"/>
          <w:sz w:val="24"/>
        </w:rPr>
      </w:pPr>
      <w:r>
        <w:rPr>
          <w:rFonts w:hint="eastAsia" w:ascii="宋体" w:hAnsi="宋体" w:cs="宋体"/>
          <w:b/>
          <w:color w:val="auto"/>
          <w:sz w:val="24"/>
        </w:rPr>
        <w:t>1.说明</w:t>
      </w:r>
    </w:p>
    <w:p>
      <w:pPr>
        <w:spacing w:line="360" w:lineRule="auto"/>
        <w:ind w:firstLine="480" w:firstLineChars="200"/>
        <w:rPr>
          <w:rFonts w:ascii="宋体" w:hAnsi="宋体" w:cs="宋体"/>
          <w:color w:val="auto"/>
          <w:sz w:val="24"/>
        </w:rPr>
      </w:pPr>
      <w:r>
        <w:rPr>
          <w:rFonts w:hint="eastAsia" w:ascii="宋体" w:hAnsi="宋体" w:cs="宋体"/>
          <w:color w:val="auto"/>
          <w:sz w:val="24"/>
        </w:rPr>
        <w:t>1.1本招标文件适用于本次招标采购项目的招标投标。</w:t>
      </w:r>
    </w:p>
    <w:p>
      <w:pPr>
        <w:spacing w:line="360" w:lineRule="auto"/>
        <w:rPr>
          <w:rFonts w:ascii="宋体" w:hAnsi="宋体" w:cs="宋体"/>
          <w:b/>
          <w:color w:val="auto"/>
          <w:sz w:val="24"/>
        </w:rPr>
      </w:pPr>
      <w:r>
        <w:rPr>
          <w:rFonts w:hint="eastAsia" w:ascii="宋体" w:hAnsi="宋体" w:cs="宋体"/>
          <w:b/>
          <w:color w:val="auto"/>
          <w:sz w:val="24"/>
        </w:rPr>
        <w:t>2.定义</w:t>
      </w:r>
    </w:p>
    <w:p>
      <w:pPr>
        <w:spacing w:line="360" w:lineRule="auto"/>
        <w:ind w:firstLine="480" w:firstLineChars="200"/>
        <w:rPr>
          <w:rFonts w:ascii="宋体" w:hAnsi="宋体" w:cs="宋体"/>
          <w:color w:val="auto"/>
          <w:sz w:val="24"/>
        </w:rPr>
      </w:pPr>
      <w:r>
        <w:rPr>
          <w:rFonts w:hint="eastAsia" w:ascii="宋体" w:hAnsi="宋体" w:cs="宋体"/>
          <w:color w:val="auto"/>
          <w:sz w:val="24"/>
        </w:rPr>
        <w:t>2.1“采购人”名称见本招标文件第二部分“供应商须知前附表”中第2项。</w:t>
      </w:r>
    </w:p>
    <w:p>
      <w:pPr>
        <w:spacing w:line="360" w:lineRule="auto"/>
        <w:ind w:firstLine="480" w:firstLineChars="200"/>
        <w:rPr>
          <w:rFonts w:ascii="宋体" w:hAnsi="宋体" w:cs="宋体"/>
          <w:color w:val="auto"/>
          <w:sz w:val="24"/>
        </w:rPr>
      </w:pPr>
      <w:r>
        <w:rPr>
          <w:rFonts w:hint="eastAsia" w:ascii="宋体" w:hAnsi="宋体" w:cs="宋体"/>
          <w:color w:val="auto"/>
          <w:sz w:val="24"/>
        </w:rPr>
        <w:t>2.2“采购代理机构”名称见本招标文件第二部分“供应商须知前附表”中第3项。</w:t>
      </w:r>
    </w:p>
    <w:p>
      <w:pPr>
        <w:spacing w:line="360" w:lineRule="auto"/>
        <w:ind w:firstLine="480" w:firstLineChars="200"/>
        <w:rPr>
          <w:rFonts w:ascii="宋体" w:hAnsi="宋体" w:cs="宋体"/>
          <w:color w:val="auto"/>
          <w:sz w:val="24"/>
        </w:rPr>
      </w:pPr>
      <w:r>
        <w:rPr>
          <w:rFonts w:hint="eastAsia" w:ascii="宋体" w:hAnsi="宋体" w:cs="宋体"/>
          <w:color w:val="auto"/>
          <w:sz w:val="24"/>
        </w:rPr>
        <w:t>2.3“招标货物”指招标文件第三部分所述所有货物；“服务”指招标文件第三部分所述供应商应该履行的承诺和义务。</w:t>
      </w:r>
    </w:p>
    <w:p>
      <w:pPr>
        <w:spacing w:line="360" w:lineRule="auto"/>
        <w:ind w:firstLine="480" w:firstLineChars="200"/>
        <w:rPr>
          <w:rFonts w:ascii="宋体" w:hAnsi="宋体" w:cs="宋体"/>
          <w:color w:val="auto"/>
          <w:sz w:val="24"/>
        </w:rPr>
      </w:pPr>
      <w:r>
        <w:rPr>
          <w:rFonts w:hint="eastAsia" w:ascii="宋体" w:hAnsi="宋体" w:cs="宋体"/>
          <w:color w:val="auto"/>
          <w:sz w:val="24"/>
        </w:rPr>
        <w:t>2.4“潜在供应商”指符合招标文件各项规定的供应商。</w:t>
      </w:r>
    </w:p>
    <w:p>
      <w:pPr>
        <w:spacing w:line="360" w:lineRule="auto"/>
        <w:ind w:firstLine="480" w:firstLineChars="200"/>
        <w:rPr>
          <w:rFonts w:ascii="宋体" w:hAnsi="宋体" w:cs="宋体"/>
          <w:color w:val="auto"/>
          <w:sz w:val="24"/>
        </w:rPr>
      </w:pPr>
      <w:r>
        <w:rPr>
          <w:rFonts w:hint="eastAsia" w:ascii="宋体" w:hAnsi="宋体" w:cs="宋体"/>
          <w:color w:val="auto"/>
          <w:sz w:val="24"/>
        </w:rPr>
        <w:t>2.5“供应商”指符合招标文件规定并参加投标的供应商。</w:t>
      </w:r>
    </w:p>
    <w:p>
      <w:pPr>
        <w:spacing w:line="360" w:lineRule="auto"/>
        <w:ind w:firstLine="480" w:firstLineChars="200"/>
        <w:rPr>
          <w:rFonts w:ascii="宋体" w:hAnsi="宋体" w:cs="宋体"/>
          <w:color w:val="auto"/>
          <w:sz w:val="24"/>
        </w:rPr>
      </w:pPr>
      <w:r>
        <w:rPr>
          <w:rFonts w:hint="eastAsia" w:ascii="宋体" w:hAnsi="宋体" w:cs="宋体"/>
          <w:color w:val="auto"/>
          <w:sz w:val="24"/>
        </w:rPr>
        <w:t>2.6“供应商公章”在投标文件中指与供应商标准公章一致的供应商签章。</w:t>
      </w:r>
    </w:p>
    <w:p>
      <w:pPr>
        <w:spacing w:line="360" w:lineRule="auto"/>
        <w:rPr>
          <w:rFonts w:ascii="宋体" w:hAnsi="宋体" w:cs="宋体"/>
          <w:b/>
          <w:color w:val="auto"/>
          <w:sz w:val="24"/>
        </w:rPr>
      </w:pPr>
      <w:r>
        <w:rPr>
          <w:rFonts w:hint="eastAsia" w:ascii="宋体" w:hAnsi="宋体" w:cs="宋体"/>
          <w:b/>
          <w:color w:val="auto"/>
          <w:sz w:val="24"/>
        </w:rPr>
        <w:t>3.合格供应商的条件</w:t>
      </w:r>
    </w:p>
    <w:p>
      <w:pPr>
        <w:spacing w:line="360" w:lineRule="auto"/>
        <w:ind w:firstLine="480" w:firstLineChars="200"/>
        <w:rPr>
          <w:rFonts w:ascii="宋体" w:hAnsi="宋体" w:cs="宋体"/>
          <w:color w:val="auto"/>
          <w:sz w:val="24"/>
        </w:rPr>
      </w:pPr>
      <w:r>
        <w:rPr>
          <w:rFonts w:hint="eastAsia" w:ascii="宋体" w:hAnsi="宋体" w:cs="宋体"/>
          <w:color w:val="auto"/>
          <w:sz w:val="24"/>
        </w:rPr>
        <w:t>3.1具有本项目实施能力，符合、承认并承诺履行本文件各项规定的国内法人、其他组织或自然人均可参加投标。</w:t>
      </w:r>
    </w:p>
    <w:p>
      <w:pPr>
        <w:spacing w:line="360" w:lineRule="auto"/>
        <w:ind w:firstLine="480" w:firstLineChars="200"/>
        <w:rPr>
          <w:rFonts w:ascii="宋体" w:hAnsi="宋体" w:cs="宋体"/>
          <w:color w:val="auto"/>
          <w:sz w:val="24"/>
        </w:rPr>
      </w:pPr>
      <w:r>
        <w:rPr>
          <w:rFonts w:hint="eastAsia" w:ascii="宋体" w:hAnsi="宋体" w:cs="宋体"/>
          <w:color w:val="auto"/>
          <w:sz w:val="24"/>
        </w:rPr>
        <w:t>3.2遵守有关的国家法律、法规和条例，具备《中华人民共和国政府采购法》和本文件中规定的条件：</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1)具有独立承担民事责任的能力； </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rPr>
          <w:rFonts w:ascii="宋体" w:hAnsi="宋体" w:cs="宋体"/>
          <w:color w:val="auto"/>
          <w:sz w:val="24"/>
        </w:rPr>
      </w:pPr>
      <w:r>
        <w:rPr>
          <w:rFonts w:hint="eastAsia" w:ascii="宋体" w:hAnsi="宋体" w:cs="宋体"/>
          <w:color w:val="auto"/>
          <w:sz w:val="24"/>
        </w:rPr>
        <w:t>4)具有依法缴纳税收和社会保障资金的良好记录；</w:t>
      </w:r>
    </w:p>
    <w:p>
      <w:pPr>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rPr>
          <w:rFonts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rPr>
          <w:rFonts w:ascii="宋体" w:hAnsi="宋体" w:cs="宋体"/>
          <w:color w:val="auto"/>
          <w:sz w:val="24"/>
        </w:rPr>
      </w:pPr>
      <w:r>
        <w:rPr>
          <w:rFonts w:hint="eastAsia" w:ascii="宋体" w:hAnsi="宋体" w:cs="宋体"/>
          <w:color w:val="auto"/>
          <w:sz w:val="24"/>
        </w:rPr>
        <w:t>7)具有本招标文件第二部分“供应商须知前附表”中第7项规定的资格条件。</w:t>
      </w:r>
    </w:p>
    <w:p>
      <w:pPr>
        <w:spacing w:line="360" w:lineRule="auto"/>
        <w:ind w:firstLine="480" w:firstLineChars="200"/>
        <w:rPr>
          <w:rFonts w:ascii="宋体" w:hAnsi="宋体" w:cs="宋体"/>
          <w:color w:val="auto"/>
          <w:sz w:val="24"/>
        </w:rPr>
      </w:pPr>
      <w:r>
        <w:rPr>
          <w:rFonts w:hint="eastAsia" w:ascii="宋体" w:hAnsi="宋体" w:cs="宋体"/>
          <w:color w:val="auto"/>
          <w:sz w:val="24"/>
        </w:rPr>
        <w:t>3.3供应商之间如果存在下列情形之一的，不得同时参加同一包（标段）或者不分包（标段）的同一项目投标：</w:t>
      </w:r>
    </w:p>
    <w:p>
      <w:pPr>
        <w:spacing w:line="360" w:lineRule="auto"/>
        <w:ind w:firstLine="480" w:firstLineChars="200"/>
        <w:rPr>
          <w:rFonts w:ascii="宋体" w:hAnsi="宋体" w:cs="宋体"/>
          <w:color w:val="auto"/>
          <w:sz w:val="24"/>
        </w:rPr>
      </w:pPr>
      <w:r>
        <w:rPr>
          <w:rFonts w:hint="eastAsia" w:ascii="宋体" w:hAnsi="宋体" w:cs="宋体"/>
          <w:color w:val="auto"/>
          <w:sz w:val="24"/>
        </w:rPr>
        <w:t>3.3.1法定代表人为同一个人的两个及两个以上法人；</w:t>
      </w:r>
    </w:p>
    <w:p>
      <w:pPr>
        <w:spacing w:line="360" w:lineRule="auto"/>
        <w:ind w:firstLine="480" w:firstLineChars="200"/>
        <w:rPr>
          <w:rFonts w:ascii="宋体" w:hAnsi="宋体" w:cs="宋体"/>
          <w:color w:val="auto"/>
          <w:sz w:val="24"/>
        </w:rPr>
      </w:pPr>
      <w:r>
        <w:rPr>
          <w:rFonts w:hint="eastAsia" w:ascii="宋体" w:hAnsi="宋体" w:cs="宋体"/>
          <w:color w:val="auto"/>
          <w:sz w:val="24"/>
        </w:rPr>
        <w:t>3.3.2母公司、全资子公司及其控股公司；</w:t>
      </w:r>
    </w:p>
    <w:p>
      <w:pPr>
        <w:spacing w:line="360" w:lineRule="auto"/>
        <w:ind w:firstLine="480" w:firstLineChars="200"/>
        <w:rPr>
          <w:rFonts w:ascii="宋体" w:hAnsi="宋体" w:cs="宋体"/>
          <w:color w:val="auto"/>
          <w:sz w:val="24"/>
        </w:rPr>
      </w:pPr>
      <w:r>
        <w:rPr>
          <w:rFonts w:hint="eastAsia" w:ascii="宋体" w:hAnsi="宋体" w:cs="宋体"/>
          <w:color w:val="auto"/>
          <w:sz w:val="24"/>
        </w:rPr>
        <w:t>3.3.3参加投标的其他组织之间存在特殊的利害关系的；</w:t>
      </w:r>
    </w:p>
    <w:p>
      <w:pPr>
        <w:spacing w:line="360" w:lineRule="auto"/>
        <w:ind w:firstLine="480" w:firstLineChars="200"/>
        <w:rPr>
          <w:rFonts w:ascii="宋体" w:hAnsi="宋体" w:cs="宋体"/>
          <w:color w:val="auto"/>
          <w:sz w:val="24"/>
        </w:rPr>
      </w:pPr>
      <w:r>
        <w:rPr>
          <w:rFonts w:hint="eastAsia" w:ascii="宋体" w:hAnsi="宋体" w:cs="宋体"/>
          <w:color w:val="auto"/>
          <w:sz w:val="24"/>
        </w:rPr>
        <w:t>3.3.4法律和行政法规规定的其他情形。</w:t>
      </w:r>
    </w:p>
    <w:p>
      <w:pPr>
        <w:spacing w:line="360" w:lineRule="auto"/>
        <w:ind w:firstLine="480" w:firstLineChars="200"/>
        <w:rPr>
          <w:rFonts w:ascii="宋体" w:hAnsi="宋体" w:cs="宋体"/>
          <w:color w:val="auto"/>
          <w:sz w:val="24"/>
        </w:rPr>
      </w:pPr>
      <w:r>
        <w:rPr>
          <w:rFonts w:hint="eastAsia" w:ascii="宋体" w:hAnsi="宋体" w:cs="宋体"/>
          <w:color w:val="auto"/>
          <w:sz w:val="24"/>
        </w:rPr>
        <w:t>3.4供应商代表须持有《法定代表人授权委托书》。</w:t>
      </w:r>
    </w:p>
    <w:p>
      <w:pPr>
        <w:spacing w:line="360" w:lineRule="auto"/>
        <w:ind w:firstLine="480" w:firstLineChars="200"/>
        <w:rPr>
          <w:rFonts w:ascii="宋体" w:hAnsi="宋体" w:cs="宋体"/>
          <w:color w:val="auto"/>
          <w:sz w:val="24"/>
        </w:rPr>
      </w:pPr>
      <w:r>
        <w:rPr>
          <w:rFonts w:hint="eastAsia" w:ascii="宋体" w:hAnsi="宋体" w:cs="宋体"/>
          <w:color w:val="auto"/>
          <w:sz w:val="24"/>
        </w:rPr>
        <w:t>3.5供应商须按时足额交纳投标保证金。</w:t>
      </w:r>
    </w:p>
    <w:p>
      <w:pPr>
        <w:spacing w:line="360" w:lineRule="auto"/>
        <w:ind w:firstLine="480" w:firstLineChars="200"/>
        <w:rPr>
          <w:rFonts w:ascii="宋体" w:hAnsi="宋体" w:cs="宋体"/>
          <w:color w:val="auto"/>
          <w:sz w:val="24"/>
        </w:rPr>
      </w:pPr>
      <w:r>
        <w:rPr>
          <w:rFonts w:hint="eastAsia" w:ascii="宋体" w:hAnsi="宋体" w:cs="宋体"/>
          <w:color w:val="auto"/>
          <w:sz w:val="24"/>
        </w:rPr>
        <w:t>3.6本次招标是否允许由两个以上供应商组成一个联合体以一个供应商身份共同投标，按照招标文件第二部分“供应商须知前附表”中第7项的规定。如果允许，除均应符合上述规定外，还应符合下列要求：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spacing w:line="360" w:lineRule="auto"/>
        <w:ind w:firstLine="480" w:firstLineChars="200"/>
        <w:rPr>
          <w:rFonts w:ascii="宋体" w:hAnsi="宋体" w:cs="宋体"/>
          <w:color w:val="auto"/>
          <w:sz w:val="24"/>
        </w:rPr>
      </w:pPr>
      <w:r>
        <w:rPr>
          <w:rFonts w:hint="eastAsia" w:ascii="宋体" w:hAnsi="宋体" w:cs="宋体"/>
          <w:color w:val="auto"/>
          <w:sz w:val="24"/>
        </w:rPr>
        <w:t>2）联合体各方中至少应当有一方对应满足本项目规定的相应资质条件，并且联合体供应商整体应当符合本项目的资质要求，否则，其提交的联合投标将被拒绝。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3）由不同专业的供应商组成的联合体, 首先以投标的全权代表方的应答材料作为认定资质以及商务评审的依据；涉及行业专属的资质,按照所属行业所对应的供应商的应答材料确定。</w:t>
      </w:r>
    </w:p>
    <w:p>
      <w:pPr>
        <w:spacing w:line="360" w:lineRule="auto"/>
        <w:ind w:firstLine="480" w:firstLineChars="200"/>
        <w:rPr>
          <w:rFonts w:ascii="宋体" w:hAnsi="宋体" w:cs="宋体"/>
          <w:color w:val="auto"/>
          <w:sz w:val="24"/>
        </w:rPr>
      </w:pPr>
      <w:r>
        <w:rPr>
          <w:rFonts w:hint="eastAsia" w:ascii="宋体" w:hAnsi="宋体" w:cs="宋体"/>
          <w:color w:val="auto"/>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5）联合体或其成员不得将其在合同项下的权利或义务全部或部分转让给第三人，有关分包事项或服务委托等须事先取得采购代理机构书面同意并且须遵守相关法律、法规、本次招标的全部相关规定。</w:t>
      </w:r>
    </w:p>
    <w:p>
      <w:pPr>
        <w:spacing w:line="360" w:lineRule="auto"/>
        <w:ind w:firstLine="480" w:firstLineChars="200"/>
        <w:rPr>
          <w:rFonts w:ascii="宋体" w:hAnsi="宋体" w:cs="宋体"/>
          <w:color w:val="auto"/>
          <w:sz w:val="24"/>
        </w:rPr>
      </w:pPr>
      <w:r>
        <w:rPr>
          <w:rFonts w:hint="eastAsia" w:ascii="宋体" w:hAnsi="宋体" w:cs="宋体"/>
          <w:color w:val="auto"/>
          <w:sz w:val="24"/>
        </w:rPr>
        <w:t>6）联合体各方均不得同时再以自己独立的名义单独投标，也不得再同时参加其他的联合体投标。若该等情形被发现，其单独的投标和与此有关的联合体的投标均将被一并拒绝。</w:t>
      </w:r>
    </w:p>
    <w:p>
      <w:pPr>
        <w:pStyle w:val="19"/>
        <w:tabs>
          <w:tab w:val="left" w:pos="1146"/>
        </w:tabs>
        <w:spacing w:line="360" w:lineRule="auto"/>
        <w:ind w:left="0" w:leftChars="0" w:firstLine="480" w:firstLineChars="200"/>
        <w:rPr>
          <w:rFonts w:ascii="宋体" w:hAnsi="宋体" w:cs="宋体"/>
          <w:color w:val="auto"/>
          <w:sz w:val="24"/>
        </w:rPr>
      </w:pPr>
      <w:r>
        <w:rPr>
          <w:rFonts w:hint="eastAsia" w:ascii="宋体" w:hAnsi="宋体" w:cs="宋体"/>
          <w:color w:val="auto"/>
          <w:sz w:val="24"/>
        </w:rPr>
        <w:t>3.7供应商不得与采购人、采购代理机构等有利害关系。</w:t>
      </w:r>
    </w:p>
    <w:p>
      <w:pPr>
        <w:spacing w:line="360" w:lineRule="auto"/>
        <w:rPr>
          <w:rFonts w:ascii="宋体" w:hAnsi="宋体" w:cs="宋体"/>
          <w:b/>
          <w:color w:val="auto"/>
          <w:sz w:val="24"/>
        </w:rPr>
      </w:pPr>
      <w:r>
        <w:rPr>
          <w:rFonts w:hint="eastAsia" w:ascii="宋体" w:hAnsi="宋体" w:cs="宋体"/>
          <w:b/>
          <w:color w:val="auto"/>
          <w:sz w:val="24"/>
        </w:rPr>
        <w:t>4.投标费用</w:t>
      </w:r>
    </w:p>
    <w:p>
      <w:pPr>
        <w:spacing w:line="360" w:lineRule="auto"/>
        <w:ind w:firstLine="480" w:firstLineChars="200"/>
        <w:rPr>
          <w:rFonts w:ascii="宋体" w:hAnsi="宋体" w:cs="宋体"/>
          <w:color w:val="auto"/>
          <w:sz w:val="24"/>
        </w:rPr>
      </w:pPr>
      <w:r>
        <w:rPr>
          <w:rFonts w:hint="eastAsia" w:ascii="宋体" w:hAnsi="宋体" w:cs="宋体"/>
          <w:color w:val="auto"/>
          <w:sz w:val="24"/>
        </w:rPr>
        <w:t>4.1供应商应承担所有与准备和参加投标有关的费用。</w:t>
      </w:r>
    </w:p>
    <w:p>
      <w:pPr>
        <w:spacing w:line="360" w:lineRule="auto"/>
        <w:rPr>
          <w:rFonts w:ascii="宋体" w:hAnsi="宋体" w:cs="宋体"/>
          <w:b/>
          <w:color w:val="auto"/>
          <w:sz w:val="24"/>
        </w:rPr>
      </w:pPr>
      <w:r>
        <w:rPr>
          <w:rFonts w:hint="eastAsia" w:ascii="宋体" w:hAnsi="宋体" w:cs="宋体"/>
          <w:b/>
          <w:color w:val="auto"/>
          <w:sz w:val="24"/>
        </w:rPr>
        <w:t>5.纪律</w:t>
      </w:r>
    </w:p>
    <w:p>
      <w:pPr>
        <w:spacing w:line="360" w:lineRule="auto"/>
        <w:ind w:firstLine="480" w:firstLineChars="200"/>
        <w:rPr>
          <w:rFonts w:ascii="宋体" w:hAnsi="宋体" w:cs="宋体"/>
          <w:color w:val="auto"/>
          <w:sz w:val="24"/>
        </w:rPr>
      </w:pPr>
      <w:r>
        <w:rPr>
          <w:rFonts w:hint="eastAsia" w:ascii="宋体" w:hAnsi="宋体" w:cs="宋体"/>
          <w:color w:val="auto"/>
          <w:sz w:val="24"/>
        </w:rPr>
        <w:t>5.1供应商的投标行为应遵守中国的有关法律、法规和规章。</w:t>
      </w:r>
    </w:p>
    <w:p>
      <w:pPr>
        <w:spacing w:line="360" w:lineRule="auto"/>
        <w:ind w:firstLine="480" w:firstLineChars="200"/>
        <w:rPr>
          <w:rFonts w:ascii="宋体" w:hAnsi="宋体" w:cs="宋体"/>
          <w:color w:val="auto"/>
          <w:sz w:val="24"/>
        </w:rPr>
      </w:pPr>
      <w:r>
        <w:rPr>
          <w:rFonts w:hint="eastAsia" w:ascii="宋体" w:hAnsi="宋体" w:cs="宋体"/>
          <w:color w:val="auto"/>
          <w:sz w:val="24"/>
        </w:rPr>
        <w:t>5.2供应商不得相互串通投标报价，不得妨碍其他供应商的公平竞争，不得损害采购人或其他供应商的合法权益，供应商不得以向采购人、评标委员会成员行贿或者采取其他不正当手段谋取中标。</w:t>
      </w:r>
    </w:p>
    <w:p>
      <w:pPr>
        <w:spacing w:line="360" w:lineRule="auto"/>
        <w:ind w:firstLine="480" w:firstLineChars="200"/>
        <w:rPr>
          <w:rFonts w:ascii="宋体" w:hAnsi="宋体" w:cs="宋体"/>
          <w:color w:val="auto"/>
          <w:sz w:val="24"/>
        </w:rPr>
      </w:pPr>
      <w:r>
        <w:rPr>
          <w:rFonts w:hint="eastAsia" w:ascii="宋体" w:hAnsi="宋体" w:cs="宋体"/>
          <w:color w:val="auto"/>
          <w:sz w:val="24"/>
        </w:rPr>
        <w:t>5.2.1有下列情形之一的，属于供应商相互串通投标：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5.2.1.1供应商之间协商投标报价等投标文件的实质性内容；</w:t>
      </w:r>
    </w:p>
    <w:p>
      <w:pPr>
        <w:spacing w:line="360" w:lineRule="auto"/>
        <w:ind w:firstLine="480" w:firstLineChars="200"/>
        <w:rPr>
          <w:rFonts w:ascii="宋体" w:hAnsi="宋体" w:cs="宋体"/>
          <w:color w:val="auto"/>
          <w:sz w:val="24"/>
        </w:rPr>
      </w:pPr>
      <w:r>
        <w:rPr>
          <w:rFonts w:hint="eastAsia" w:ascii="宋体" w:hAnsi="宋体" w:cs="宋体"/>
          <w:color w:val="auto"/>
          <w:sz w:val="24"/>
        </w:rPr>
        <w:t>5.2.1.2供应商之间约定中标人；</w:t>
      </w:r>
    </w:p>
    <w:p>
      <w:pPr>
        <w:spacing w:line="360" w:lineRule="auto"/>
        <w:ind w:firstLine="480" w:firstLineChars="200"/>
        <w:rPr>
          <w:rFonts w:ascii="宋体" w:hAnsi="宋体" w:cs="宋体"/>
          <w:color w:val="auto"/>
          <w:sz w:val="24"/>
        </w:rPr>
      </w:pPr>
      <w:r>
        <w:rPr>
          <w:rFonts w:hint="eastAsia" w:ascii="宋体" w:hAnsi="宋体" w:cs="宋体"/>
          <w:color w:val="auto"/>
          <w:sz w:val="24"/>
        </w:rPr>
        <w:t>5.2.1.3供应商之间约定部分供应商放弃投标或者中标；</w:t>
      </w:r>
    </w:p>
    <w:p>
      <w:pPr>
        <w:spacing w:line="360" w:lineRule="auto"/>
        <w:ind w:firstLine="480" w:firstLineChars="200"/>
        <w:rPr>
          <w:rFonts w:ascii="宋体" w:hAnsi="宋体" w:cs="宋体"/>
          <w:color w:val="auto"/>
          <w:sz w:val="24"/>
        </w:rPr>
      </w:pPr>
      <w:r>
        <w:rPr>
          <w:rFonts w:hint="eastAsia" w:ascii="宋体" w:hAnsi="宋体" w:cs="宋体"/>
          <w:color w:val="auto"/>
          <w:sz w:val="24"/>
        </w:rPr>
        <w:t>5.2.1.4属于同一集团、协会、商会等组织成员的供应商按照该组织要求协同投标；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5.2.1.5供应商之间为谋取中标或者排斥特定供应商而采取的其他联合行动。</w:t>
      </w:r>
    </w:p>
    <w:p>
      <w:pPr>
        <w:spacing w:line="360" w:lineRule="auto"/>
        <w:ind w:firstLine="480" w:firstLineChars="200"/>
        <w:rPr>
          <w:rFonts w:ascii="宋体" w:hAnsi="宋体" w:cs="宋体"/>
          <w:color w:val="auto"/>
          <w:sz w:val="24"/>
        </w:rPr>
      </w:pPr>
      <w:r>
        <w:rPr>
          <w:rFonts w:hint="eastAsia" w:ascii="宋体" w:hAnsi="宋体" w:cs="宋体"/>
          <w:color w:val="auto"/>
          <w:sz w:val="24"/>
        </w:rPr>
        <w:t>5.2.2有下列情形之一的，视为供应商相互串通投标：</w:t>
      </w:r>
    </w:p>
    <w:p>
      <w:pPr>
        <w:spacing w:line="360" w:lineRule="auto"/>
        <w:ind w:firstLine="480" w:firstLineChars="200"/>
        <w:rPr>
          <w:rFonts w:ascii="宋体" w:hAnsi="宋体" w:cs="宋体"/>
          <w:color w:val="auto"/>
          <w:sz w:val="24"/>
        </w:rPr>
      </w:pPr>
      <w:r>
        <w:rPr>
          <w:rFonts w:hint="eastAsia" w:ascii="宋体" w:hAnsi="宋体" w:cs="宋体"/>
          <w:color w:val="auto"/>
          <w:sz w:val="24"/>
        </w:rPr>
        <w:t>5.2.2.1不同供应商的投标文件由同一单位或者个人编制；</w:t>
      </w:r>
    </w:p>
    <w:p>
      <w:pPr>
        <w:spacing w:line="360" w:lineRule="auto"/>
        <w:ind w:firstLine="480" w:firstLineChars="200"/>
        <w:rPr>
          <w:rFonts w:ascii="宋体" w:hAnsi="宋体" w:cs="宋体"/>
          <w:color w:val="auto"/>
          <w:sz w:val="24"/>
        </w:rPr>
      </w:pPr>
      <w:r>
        <w:rPr>
          <w:rFonts w:hint="eastAsia" w:ascii="宋体" w:hAnsi="宋体" w:cs="宋体"/>
          <w:color w:val="auto"/>
          <w:sz w:val="24"/>
        </w:rPr>
        <w:t>5.2.2.2不同供应商的投标文件中载明的项目管理成员为同一人；</w:t>
      </w:r>
    </w:p>
    <w:p>
      <w:pPr>
        <w:spacing w:line="360" w:lineRule="auto"/>
        <w:ind w:firstLine="480" w:firstLineChars="200"/>
        <w:rPr>
          <w:rFonts w:ascii="宋体" w:hAnsi="宋体" w:cs="宋体"/>
          <w:color w:val="auto"/>
          <w:sz w:val="24"/>
        </w:rPr>
      </w:pPr>
      <w:r>
        <w:rPr>
          <w:rFonts w:hint="eastAsia" w:ascii="宋体" w:hAnsi="宋体" w:cs="宋体"/>
          <w:color w:val="auto"/>
          <w:sz w:val="24"/>
        </w:rPr>
        <w:t>5.2.2.3不同供应商的投标文件异常一致或者投标报价呈规律性差异；</w:t>
      </w:r>
    </w:p>
    <w:p>
      <w:pPr>
        <w:spacing w:line="360" w:lineRule="auto"/>
        <w:ind w:firstLine="480" w:firstLineChars="200"/>
        <w:rPr>
          <w:rFonts w:ascii="宋体" w:hAnsi="宋体" w:cs="宋体"/>
          <w:color w:val="auto"/>
          <w:sz w:val="24"/>
        </w:rPr>
      </w:pPr>
      <w:r>
        <w:rPr>
          <w:rFonts w:hint="eastAsia" w:ascii="宋体" w:hAnsi="宋体" w:cs="宋体"/>
          <w:color w:val="auto"/>
          <w:sz w:val="24"/>
        </w:rPr>
        <w:t>5.2.2.4不同供应商的投标文件相互混装；</w:t>
      </w:r>
    </w:p>
    <w:p>
      <w:pPr>
        <w:spacing w:line="360" w:lineRule="auto"/>
        <w:ind w:firstLine="480" w:firstLineChars="200"/>
        <w:rPr>
          <w:rFonts w:ascii="宋体" w:hAnsi="宋体" w:cs="宋体"/>
          <w:color w:val="auto"/>
          <w:sz w:val="24"/>
        </w:rPr>
      </w:pPr>
      <w:r>
        <w:rPr>
          <w:rFonts w:hint="eastAsia" w:ascii="宋体" w:hAnsi="宋体" w:cs="宋体"/>
          <w:color w:val="auto"/>
          <w:sz w:val="24"/>
        </w:rPr>
        <w:t>5.2.2.5不同供应商的投标保证金从同一单位或者个人的账户转出。</w:t>
      </w:r>
    </w:p>
    <w:p>
      <w:pPr>
        <w:spacing w:line="360" w:lineRule="auto"/>
        <w:rPr>
          <w:rFonts w:ascii="宋体" w:hAnsi="宋体" w:cs="宋体"/>
          <w:b/>
          <w:color w:val="auto"/>
          <w:sz w:val="24"/>
        </w:rPr>
      </w:pPr>
      <w:r>
        <w:rPr>
          <w:rFonts w:hint="eastAsia" w:ascii="宋体" w:hAnsi="宋体" w:cs="宋体"/>
          <w:b/>
          <w:color w:val="auto"/>
          <w:sz w:val="24"/>
        </w:rPr>
        <w:t>6.通知</w:t>
      </w:r>
    </w:p>
    <w:p>
      <w:pPr>
        <w:spacing w:line="360" w:lineRule="auto"/>
        <w:ind w:firstLine="480" w:firstLineChars="200"/>
        <w:rPr>
          <w:rFonts w:ascii="宋体" w:hAnsi="宋体" w:cs="宋体"/>
          <w:color w:val="auto"/>
          <w:sz w:val="24"/>
        </w:rPr>
      </w:pPr>
      <w:r>
        <w:rPr>
          <w:rFonts w:hint="eastAsia" w:ascii="宋体" w:hAnsi="宋体" w:cs="宋体"/>
          <w:color w:val="auto"/>
          <w:sz w:val="24"/>
        </w:rPr>
        <w:t>6.1对与本项目有关的通知，采购代理机构将以书面（包括书面材料、信函、传真等，下同）或在本次招标公告刊登的媒体上发布公告并在中国政府采购网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5"/>
        <w:numPr>
          <w:ilvl w:val="0"/>
          <w:numId w:val="0"/>
        </w:numPr>
        <w:spacing w:before="0" w:after="0" w:line="360" w:lineRule="auto"/>
        <w:rPr>
          <w:rFonts w:ascii="宋体" w:hAnsi="宋体" w:cs="宋体"/>
          <w:color w:val="auto"/>
          <w:sz w:val="24"/>
          <w:szCs w:val="24"/>
        </w:rPr>
      </w:pPr>
      <w:bookmarkStart w:id="23" w:name="_Toc32421"/>
      <w:r>
        <w:rPr>
          <w:rFonts w:hint="eastAsia" w:ascii="宋体" w:hAnsi="宋体" w:cs="宋体"/>
          <w:color w:val="auto"/>
          <w:sz w:val="24"/>
          <w:szCs w:val="24"/>
        </w:rPr>
        <w:t>二、招标文件</w:t>
      </w:r>
      <w:bookmarkEnd w:id="23"/>
    </w:p>
    <w:p>
      <w:pPr>
        <w:spacing w:line="360" w:lineRule="auto"/>
        <w:rPr>
          <w:rFonts w:ascii="宋体" w:hAnsi="宋体" w:cs="宋体"/>
          <w:b/>
          <w:color w:val="auto"/>
          <w:sz w:val="24"/>
        </w:rPr>
      </w:pPr>
      <w:r>
        <w:rPr>
          <w:rFonts w:hint="eastAsia" w:ascii="宋体" w:hAnsi="宋体" w:cs="宋体"/>
          <w:b/>
          <w:color w:val="auto"/>
          <w:sz w:val="24"/>
        </w:rPr>
        <w:t>7.招标文件组成</w:t>
      </w:r>
    </w:p>
    <w:p>
      <w:pPr>
        <w:spacing w:line="360" w:lineRule="auto"/>
        <w:ind w:firstLine="480" w:firstLineChars="200"/>
        <w:rPr>
          <w:rFonts w:ascii="宋体" w:hAnsi="宋体" w:cs="宋体"/>
          <w:color w:val="auto"/>
          <w:sz w:val="24"/>
        </w:rPr>
      </w:pPr>
      <w:r>
        <w:rPr>
          <w:rFonts w:hint="eastAsia" w:ascii="宋体" w:hAnsi="宋体" w:cs="宋体"/>
          <w:color w:val="auto"/>
          <w:sz w:val="24"/>
        </w:rPr>
        <w:t>7.1招标文件由招标文件目录所列内容组成。</w:t>
      </w:r>
    </w:p>
    <w:p>
      <w:pPr>
        <w:spacing w:line="360" w:lineRule="auto"/>
        <w:rPr>
          <w:rFonts w:ascii="宋体" w:hAnsi="宋体" w:cs="宋体"/>
          <w:b/>
          <w:color w:val="auto"/>
          <w:sz w:val="24"/>
        </w:rPr>
      </w:pPr>
      <w:r>
        <w:rPr>
          <w:rFonts w:hint="eastAsia" w:ascii="宋体" w:hAnsi="宋体" w:cs="宋体"/>
          <w:b/>
          <w:color w:val="auto"/>
          <w:sz w:val="24"/>
        </w:rPr>
        <w:t>8.踏勘现场</w:t>
      </w:r>
    </w:p>
    <w:p>
      <w:pPr>
        <w:spacing w:line="360" w:lineRule="auto"/>
        <w:ind w:firstLine="480" w:firstLineChars="200"/>
        <w:rPr>
          <w:rFonts w:ascii="宋体" w:hAnsi="宋体" w:cs="宋体"/>
          <w:color w:val="auto"/>
          <w:sz w:val="24"/>
        </w:rPr>
      </w:pPr>
      <w:r>
        <w:rPr>
          <w:rFonts w:hint="eastAsia" w:ascii="宋体" w:hAnsi="宋体" w:cs="宋体"/>
          <w:color w:val="auto"/>
          <w:sz w:val="24"/>
        </w:rPr>
        <w:t>8.1本项目是否统一组织供应商踏勘现场见招标文件第二部分“供应商须知前附表”中第25项的规定。无论是否统一组织，供应商应对现场和周围环境进行勘察，以获取编制投标文件所需的资料。</w:t>
      </w:r>
    </w:p>
    <w:p>
      <w:pPr>
        <w:spacing w:line="360" w:lineRule="auto"/>
        <w:ind w:firstLine="480" w:firstLineChars="200"/>
        <w:rPr>
          <w:rFonts w:ascii="宋体" w:hAnsi="宋体" w:cs="宋体"/>
          <w:color w:val="auto"/>
          <w:sz w:val="24"/>
        </w:rPr>
      </w:pPr>
      <w:r>
        <w:rPr>
          <w:rFonts w:hint="eastAsia" w:ascii="宋体" w:hAnsi="宋体" w:cs="宋体"/>
          <w:color w:val="auto"/>
          <w:sz w:val="24"/>
        </w:rPr>
        <w:t>8.2踏勘现场所发生的费用由供应商自行承担。采购人向供应商提供的有关现场的资料和数据，是采购人现有的能使供应商利用的资料。采购人对供应商由此而做出的推论、理解和结论概不负责。供应商未到现场实地踏勘的，中标后签订合同时和履约过程中，不得以不完全了解现场情况为由，提出任何形式的增加合同价款或索赔的要求。</w:t>
      </w:r>
    </w:p>
    <w:p>
      <w:pPr>
        <w:spacing w:line="360" w:lineRule="auto"/>
        <w:ind w:firstLine="480" w:firstLineChars="200"/>
        <w:rPr>
          <w:rFonts w:ascii="宋体" w:hAnsi="宋体" w:cs="宋体"/>
          <w:color w:val="auto"/>
          <w:sz w:val="24"/>
        </w:rPr>
      </w:pPr>
      <w:r>
        <w:rPr>
          <w:rFonts w:hint="eastAsia" w:ascii="宋体" w:hAnsi="宋体" w:cs="宋体"/>
          <w:color w:val="auto"/>
          <w:sz w:val="24"/>
        </w:rPr>
        <w:t>8.3除非有特殊要求，招标文件不单独提供供货使用地的自然环境、气候条件、公用设施等情况，供应商被视为熟悉上述与履行合同有关的一切情况。</w:t>
      </w:r>
    </w:p>
    <w:p>
      <w:pPr>
        <w:spacing w:line="360" w:lineRule="auto"/>
        <w:ind w:firstLine="480" w:firstLineChars="200"/>
        <w:rPr>
          <w:rFonts w:ascii="宋体" w:hAnsi="宋体" w:cs="宋体"/>
          <w:color w:val="auto"/>
          <w:sz w:val="24"/>
        </w:rPr>
      </w:pPr>
      <w:r>
        <w:rPr>
          <w:rFonts w:hint="eastAsia" w:ascii="宋体" w:hAnsi="宋体" w:cs="宋体"/>
          <w:color w:val="auto"/>
          <w:sz w:val="24"/>
        </w:rPr>
        <w:t>8.4除采购人原因外，供应商自行负责在踏勘现场中所发生的人员伤亡和财产损失。</w:t>
      </w:r>
    </w:p>
    <w:p>
      <w:pPr>
        <w:spacing w:line="360" w:lineRule="auto"/>
        <w:rPr>
          <w:rFonts w:ascii="宋体" w:hAnsi="宋体" w:cs="宋体"/>
          <w:bCs/>
          <w:color w:val="auto"/>
          <w:sz w:val="24"/>
        </w:rPr>
      </w:pPr>
      <w:r>
        <w:rPr>
          <w:rFonts w:hint="eastAsia" w:ascii="宋体" w:hAnsi="宋体" w:cs="宋体"/>
          <w:b/>
          <w:color w:val="auto"/>
          <w:sz w:val="24"/>
        </w:rPr>
        <w:t>9.知识产权</w:t>
      </w:r>
    </w:p>
    <w:p>
      <w:pPr>
        <w:spacing w:line="360" w:lineRule="auto"/>
        <w:ind w:firstLine="480" w:firstLineChars="200"/>
        <w:rPr>
          <w:rFonts w:ascii="宋体" w:hAnsi="宋体" w:cs="宋体"/>
          <w:color w:val="auto"/>
          <w:sz w:val="24"/>
        </w:rPr>
      </w:pPr>
      <w:r>
        <w:rPr>
          <w:rFonts w:hint="eastAsia" w:ascii="宋体" w:hAnsi="宋体" w:cs="宋体"/>
          <w:color w:val="auto"/>
          <w:sz w:val="24"/>
        </w:rPr>
        <w:t>9.1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spacing w:line="360" w:lineRule="auto"/>
        <w:ind w:firstLine="480" w:firstLineChars="200"/>
        <w:rPr>
          <w:rFonts w:ascii="宋体" w:hAnsi="宋体" w:cs="宋体"/>
          <w:color w:val="auto"/>
          <w:sz w:val="24"/>
        </w:rPr>
      </w:pPr>
      <w:r>
        <w:rPr>
          <w:rFonts w:hint="eastAsia" w:ascii="宋体" w:hAnsi="宋体" w:cs="宋体"/>
          <w:color w:val="auto"/>
          <w:sz w:val="24"/>
        </w:rPr>
        <w:t>9.2供应商如欲在项目实施过程中采用自有知识成果，须在投标文件中声明，并提供相关知识产权证明文件。使用该知识成果后，供应商须提供开发接口和开发手册等技术文档。</w:t>
      </w:r>
    </w:p>
    <w:p>
      <w:pPr>
        <w:spacing w:line="360" w:lineRule="auto"/>
        <w:rPr>
          <w:rFonts w:ascii="宋体" w:hAnsi="宋体" w:cs="宋体"/>
          <w:b/>
          <w:color w:val="auto"/>
          <w:sz w:val="24"/>
        </w:rPr>
      </w:pPr>
      <w:r>
        <w:rPr>
          <w:rFonts w:hint="eastAsia" w:ascii="宋体" w:hAnsi="宋体" w:cs="宋体"/>
          <w:b/>
          <w:color w:val="auto"/>
          <w:sz w:val="24"/>
        </w:rPr>
        <w:t>10.答疑及招标文件的澄清和修改</w:t>
      </w:r>
    </w:p>
    <w:p>
      <w:pPr>
        <w:spacing w:line="360" w:lineRule="auto"/>
        <w:ind w:firstLine="480" w:firstLineChars="200"/>
        <w:rPr>
          <w:rFonts w:ascii="宋体" w:hAnsi="宋体" w:cs="宋体"/>
          <w:color w:val="auto"/>
          <w:sz w:val="24"/>
        </w:rPr>
      </w:pPr>
      <w:r>
        <w:rPr>
          <w:rFonts w:hint="eastAsia" w:ascii="宋体" w:hAnsi="宋体" w:cs="宋体"/>
          <w:color w:val="auto"/>
          <w:sz w:val="24"/>
        </w:rPr>
        <w:t>10.1供应商如果对招标文件有疑问或要求进行澄清的，应按照招标文件第二部分“供应商须知前附表”第14项规定向采购代理机构以书面方式提出。采购代理机构将组织相关专家召开答疑会，如召开，答疑会安排另行通知。</w:t>
      </w:r>
    </w:p>
    <w:p>
      <w:pPr>
        <w:spacing w:line="360" w:lineRule="auto"/>
        <w:ind w:firstLine="480" w:firstLineChars="200"/>
        <w:rPr>
          <w:rFonts w:ascii="宋体" w:hAnsi="宋体" w:cs="宋体"/>
          <w:color w:val="auto"/>
          <w:sz w:val="24"/>
        </w:rPr>
      </w:pPr>
      <w:r>
        <w:rPr>
          <w:rFonts w:hint="eastAsia" w:ascii="宋体" w:hAnsi="宋体" w:cs="宋体"/>
          <w:color w:val="auto"/>
          <w:sz w:val="24"/>
        </w:rPr>
        <w:t>供应商在规定的时间内未对招标文件提出疑问或要求澄清的，采购代理机构将视其为同意，对在“答疑接受时间”后就招标文件内容提出的疑问及澄清要求将不予受理。</w:t>
      </w:r>
    </w:p>
    <w:p>
      <w:pPr>
        <w:spacing w:line="360" w:lineRule="auto"/>
        <w:ind w:firstLine="480" w:firstLineChars="200"/>
        <w:rPr>
          <w:rFonts w:ascii="宋体" w:hAnsi="宋体" w:cs="宋体"/>
          <w:color w:val="auto"/>
          <w:sz w:val="24"/>
        </w:rPr>
      </w:pPr>
      <w:r>
        <w:rPr>
          <w:rFonts w:hint="eastAsia" w:ascii="宋体" w:hAnsi="宋体" w:cs="宋体"/>
          <w:color w:val="auto"/>
          <w:sz w:val="24"/>
        </w:rPr>
        <w:t>10.2无论出于何种原因，采购代理机构主动或出于解答供应商疑问对已发出的招标文件进行必要澄清或修改的，应当在招标文件要求提交投标文件截止时间15日前，以当面交接、邮寄、传真或电子邮件、网站披露等其中至少一种方式，向潜在供应商发出澄清、修改的补充文件。需要为此调整投标文件提交截止时间的，应当重新确定，并就变更后的投标截止时间重新发出通知。</w:t>
      </w:r>
    </w:p>
    <w:p>
      <w:pPr>
        <w:spacing w:line="360" w:lineRule="auto"/>
        <w:ind w:firstLine="480" w:firstLineChars="200"/>
        <w:rPr>
          <w:rFonts w:ascii="宋体" w:hAnsi="宋体" w:cs="宋体"/>
          <w:color w:val="auto"/>
          <w:sz w:val="24"/>
        </w:rPr>
      </w:pPr>
      <w:r>
        <w:rPr>
          <w:rFonts w:hint="eastAsia" w:ascii="宋体" w:hAnsi="宋体" w:cs="宋体"/>
          <w:color w:val="auto"/>
          <w:sz w:val="24"/>
        </w:rPr>
        <w:t>特殊情况下，采购代理机构发布澄清、修改文件后，征得供应商同意，可不改变投标截止时间和开标时间。</w:t>
      </w:r>
    </w:p>
    <w:p>
      <w:pPr>
        <w:spacing w:line="360" w:lineRule="auto"/>
        <w:ind w:firstLine="480" w:firstLineChars="200"/>
        <w:rPr>
          <w:rFonts w:ascii="宋体" w:hAnsi="宋体" w:cs="宋体"/>
          <w:color w:val="auto"/>
          <w:sz w:val="24"/>
        </w:rPr>
      </w:pPr>
      <w:r>
        <w:rPr>
          <w:rFonts w:hint="eastAsia" w:ascii="宋体" w:hAnsi="宋体" w:cs="宋体"/>
          <w:color w:val="auto"/>
          <w:sz w:val="24"/>
        </w:rPr>
        <w:t>10.3采购代理机构一旦对招标文件作出了澄清、修改，即刻发生效力，采购代理机构有关的补充文件，将作为招标文件的组成部分，对所有现实的或潜在的供应商均具有约束力，而无论是否已经实际收到上述文件。同时，采购代理机构和供应商的权利及义务将受到新的截止期的约束。</w:t>
      </w:r>
    </w:p>
    <w:p>
      <w:pPr>
        <w:spacing w:line="360" w:lineRule="auto"/>
        <w:ind w:firstLine="480" w:firstLineChars="200"/>
        <w:rPr>
          <w:rFonts w:ascii="宋体" w:hAnsi="宋体" w:cs="宋体"/>
          <w:b/>
          <w:color w:val="auto"/>
          <w:sz w:val="24"/>
        </w:rPr>
      </w:pPr>
      <w:r>
        <w:rPr>
          <w:rFonts w:hint="eastAsia" w:ascii="宋体" w:hAnsi="宋体" w:cs="宋体"/>
          <w:color w:val="auto"/>
          <w:sz w:val="24"/>
        </w:rPr>
        <w:t>10.4采购代理机构对招标文件作出的澄清、修改在中国政府采购网上进行披露，请供应商及时关注并获取相关资料。因登记有误、线路故障或其它任何意外情形，导致供应商未及时获取的，采购代理机构不因此承担任何责任，且有关的招标活动继续有效地进行。当招标文件的澄清、修改及进行其他答复等就同一内容的表述不一致时，以最后发布的内容为准。</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上述澄清、修改在网上发布的同时，</w:t>
      </w:r>
      <w:r>
        <w:rPr>
          <w:rFonts w:hint="eastAsia" w:ascii="宋体" w:hAnsi="宋体" w:cs="宋体"/>
          <w:color w:val="auto"/>
          <w:sz w:val="24"/>
        </w:rPr>
        <w:t>采购代理机构</w:t>
      </w:r>
      <w:r>
        <w:rPr>
          <w:rFonts w:hint="eastAsia" w:ascii="宋体" w:hAnsi="宋体" w:cs="宋体"/>
          <w:bCs/>
          <w:color w:val="auto"/>
          <w:sz w:val="24"/>
        </w:rPr>
        <w:t>将通过电话通知方式提醒供应商进行查询。此电话仅系友情提示，并不具有任何约束性和必要性，采购代理机构不承担供应商未收到电话而引起的一切后果和法律责任。</w:t>
      </w:r>
    </w:p>
    <w:p>
      <w:pPr>
        <w:spacing w:line="360" w:lineRule="auto"/>
        <w:ind w:firstLine="480" w:firstLineChars="200"/>
        <w:rPr>
          <w:rFonts w:ascii="宋体" w:hAnsi="宋体" w:cs="宋体"/>
          <w:bCs/>
          <w:color w:val="auto"/>
          <w:sz w:val="24"/>
        </w:rPr>
      </w:pPr>
      <w:r>
        <w:rPr>
          <w:rFonts w:hint="eastAsia" w:ascii="宋体" w:hAnsi="宋体" w:cs="宋体"/>
          <w:bCs/>
          <w:color w:val="auto"/>
          <w:sz w:val="24"/>
        </w:rPr>
        <w:t>10.5澄清、修改文件发出后，供应商必须使用最新的答疑、澄清文件投标文件。</w:t>
      </w:r>
    </w:p>
    <w:p>
      <w:pPr>
        <w:pStyle w:val="5"/>
        <w:numPr>
          <w:ilvl w:val="0"/>
          <w:numId w:val="0"/>
        </w:numPr>
        <w:spacing w:before="0" w:after="0" w:line="360" w:lineRule="auto"/>
        <w:rPr>
          <w:rFonts w:ascii="宋体" w:hAnsi="宋体" w:cs="宋体"/>
          <w:color w:val="auto"/>
          <w:sz w:val="24"/>
          <w:szCs w:val="24"/>
        </w:rPr>
      </w:pPr>
      <w:bookmarkStart w:id="24" w:name="_Toc6348"/>
      <w:r>
        <w:rPr>
          <w:rFonts w:hint="eastAsia" w:ascii="宋体" w:hAnsi="宋体" w:cs="宋体"/>
          <w:color w:val="auto"/>
          <w:sz w:val="24"/>
          <w:szCs w:val="24"/>
        </w:rPr>
        <w:t>三、投标文件</w:t>
      </w:r>
      <w:bookmarkEnd w:id="24"/>
    </w:p>
    <w:p>
      <w:pPr>
        <w:spacing w:line="360" w:lineRule="auto"/>
        <w:rPr>
          <w:rFonts w:ascii="宋体" w:hAnsi="宋体" w:cs="宋体"/>
          <w:b/>
          <w:color w:val="auto"/>
          <w:sz w:val="24"/>
        </w:rPr>
      </w:pPr>
      <w:r>
        <w:rPr>
          <w:rFonts w:hint="eastAsia" w:ascii="宋体" w:hAnsi="宋体" w:cs="宋体"/>
          <w:b/>
          <w:color w:val="auto"/>
          <w:sz w:val="24"/>
        </w:rPr>
        <w:t>11.投标文件的语言及计量单位</w:t>
      </w:r>
    </w:p>
    <w:p>
      <w:pPr>
        <w:spacing w:line="360" w:lineRule="auto"/>
        <w:ind w:firstLine="480" w:firstLineChars="200"/>
        <w:rPr>
          <w:rFonts w:ascii="宋体" w:hAnsi="宋体" w:cs="宋体"/>
          <w:color w:val="auto"/>
          <w:sz w:val="24"/>
        </w:rPr>
      </w:pPr>
      <w:r>
        <w:rPr>
          <w:rFonts w:hint="eastAsia" w:ascii="宋体" w:hAnsi="宋体" w:cs="宋体"/>
          <w:color w:val="auto"/>
          <w:sz w:val="24"/>
        </w:rPr>
        <w:t>11.1供应商提交的投标文件（包括技术文件和资料、图纸中的说明）以及供应商与采购代理机构就有关投标的所有来往函电均应使用中文简体字。</w:t>
      </w:r>
    </w:p>
    <w:p>
      <w:pPr>
        <w:spacing w:line="360" w:lineRule="auto"/>
        <w:ind w:firstLine="480" w:firstLineChars="200"/>
        <w:rPr>
          <w:rFonts w:ascii="宋体" w:hAnsi="宋体" w:cs="宋体"/>
          <w:color w:val="auto"/>
          <w:sz w:val="24"/>
        </w:rPr>
      </w:pPr>
      <w:r>
        <w:rPr>
          <w:rFonts w:hint="eastAsia" w:ascii="宋体" w:hAnsi="宋体" w:cs="宋体"/>
          <w:color w:val="auto"/>
          <w:sz w:val="24"/>
        </w:rPr>
        <w:t>11.2原版为外文的证书类文件，以及由外国人作出的本人签名、外国公司的名称或外国印章等可以是外文，但应当提供中文翻译文件并加盖供应商公章。必要时评标委员会可以要求供应商提供附有公证书的中文翻译文件或者与原版文件签章相一致的中文翻译文件。原版为外文的证书类、证明类文件，与供应商名称或其他实际情况不符的，供应商应当提供相关证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11.3除非招标文件另有规定，投标文件所使用的计量单位，应使用国家法定计量单位。</w:t>
      </w:r>
    </w:p>
    <w:p>
      <w:pPr>
        <w:spacing w:line="360" w:lineRule="auto"/>
        <w:ind w:firstLine="480" w:firstLineChars="200"/>
        <w:rPr>
          <w:rFonts w:ascii="宋体" w:hAnsi="宋体" w:cs="宋体"/>
          <w:color w:val="auto"/>
          <w:sz w:val="24"/>
        </w:rPr>
      </w:pPr>
      <w:r>
        <w:rPr>
          <w:rFonts w:hint="eastAsia" w:ascii="宋体" w:hAnsi="宋体" w:cs="宋体"/>
          <w:color w:val="auto"/>
          <w:sz w:val="24"/>
        </w:rPr>
        <w:t>11.4对违反上述规定情形的，评标委员会有权要求供应商限期提供相应文件或决定对其投标予以拒绝。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11.5电报、电话、传真形式的投标概不接受。供应商的投标文件一律不予退还。</w:t>
      </w:r>
    </w:p>
    <w:p>
      <w:pPr>
        <w:spacing w:line="360" w:lineRule="auto"/>
        <w:rPr>
          <w:rFonts w:ascii="宋体" w:hAnsi="宋体" w:cs="宋体"/>
          <w:b/>
          <w:color w:val="auto"/>
          <w:sz w:val="24"/>
        </w:rPr>
      </w:pPr>
      <w:r>
        <w:rPr>
          <w:rFonts w:hint="eastAsia" w:ascii="宋体" w:hAnsi="宋体" w:cs="宋体"/>
          <w:b/>
          <w:color w:val="auto"/>
          <w:sz w:val="24"/>
        </w:rPr>
        <w:t>12.投标文件组成及编制</w:t>
      </w:r>
    </w:p>
    <w:p>
      <w:pPr>
        <w:spacing w:line="360" w:lineRule="auto"/>
        <w:ind w:firstLine="480" w:firstLineChars="200"/>
        <w:rPr>
          <w:rFonts w:ascii="宋体" w:hAnsi="宋体" w:cs="宋体"/>
          <w:color w:val="auto"/>
          <w:sz w:val="24"/>
        </w:rPr>
      </w:pPr>
      <w:r>
        <w:rPr>
          <w:rFonts w:hint="eastAsia" w:ascii="宋体" w:hAnsi="宋体" w:cs="宋体"/>
          <w:color w:val="auto"/>
          <w:sz w:val="24"/>
        </w:rPr>
        <w:t>12.1投标文件分为商务、经济文件和技术文件。</w:t>
      </w:r>
    </w:p>
    <w:p>
      <w:pPr>
        <w:spacing w:line="360" w:lineRule="auto"/>
        <w:ind w:firstLine="480" w:firstLineChars="200"/>
        <w:rPr>
          <w:rFonts w:ascii="宋体" w:hAnsi="宋体" w:cs="宋体"/>
          <w:color w:val="auto"/>
          <w:sz w:val="24"/>
        </w:rPr>
      </w:pPr>
      <w:r>
        <w:rPr>
          <w:rFonts w:hint="eastAsia" w:ascii="宋体" w:hAnsi="宋体" w:cs="宋体"/>
          <w:color w:val="auto"/>
          <w:sz w:val="24"/>
        </w:rPr>
        <w:t>商务、经济文件指供应商提交的证明其有资格参加投标和中标后有能力履行合同的文件。技术文件指供应商提交的能够证明其提供的服务符合招标文件规定的文件。本次招标，供应商须按招标文件第二部分“供应商须知前附表”中第12项规定提交商务、经济文件和技术文件，其中加★项目若有缺失或无效，将导致投标被拒绝且不允许在开标后补正。</w:t>
      </w:r>
    </w:p>
    <w:p>
      <w:pPr>
        <w:pStyle w:val="13"/>
        <w:spacing w:line="360" w:lineRule="auto"/>
        <w:ind w:firstLine="480"/>
        <w:rPr>
          <w:rFonts w:ascii="宋体" w:hAnsi="宋体" w:cs="宋体"/>
          <w:color w:val="auto"/>
          <w:sz w:val="24"/>
        </w:rPr>
      </w:pPr>
      <w:r>
        <w:rPr>
          <w:rFonts w:hint="eastAsia" w:ascii="宋体" w:hAnsi="宋体" w:cs="宋体"/>
          <w:color w:val="auto"/>
          <w:sz w:val="24"/>
        </w:rPr>
        <w:t>12.2招标文件中提供格式的，投标文件须按照格式编制；表格样式不够或多余的，供应商根据实际情况可按照格式要求自行增加或减少。招标文件中未提供格式的，供应商可根据实际情况自行提供。</w:t>
      </w:r>
    </w:p>
    <w:p>
      <w:pPr>
        <w:spacing w:line="360" w:lineRule="auto"/>
        <w:ind w:firstLine="480" w:firstLineChars="200"/>
        <w:rPr>
          <w:rFonts w:ascii="宋体" w:hAnsi="宋体" w:cs="宋体"/>
          <w:color w:val="auto"/>
          <w:sz w:val="24"/>
        </w:rPr>
      </w:pPr>
      <w:r>
        <w:rPr>
          <w:rFonts w:hint="eastAsia" w:ascii="宋体" w:hAnsi="宋体" w:cs="宋体"/>
          <w:color w:val="auto"/>
          <w:sz w:val="24"/>
        </w:rPr>
        <w:t>12.3供应商递交的投标文件及相关要求按照招标文件第二部分“供应商须知前附表”中第17、18项的规定。</w:t>
      </w:r>
    </w:p>
    <w:p>
      <w:pPr>
        <w:spacing w:line="360" w:lineRule="auto"/>
        <w:rPr>
          <w:rFonts w:ascii="宋体" w:hAnsi="宋体" w:cs="宋体"/>
          <w:b/>
          <w:color w:val="auto"/>
          <w:sz w:val="24"/>
        </w:rPr>
      </w:pPr>
      <w:r>
        <w:rPr>
          <w:rFonts w:hint="eastAsia" w:ascii="宋体" w:hAnsi="宋体" w:cs="宋体"/>
          <w:b/>
          <w:color w:val="auto"/>
          <w:sz w:val="24"/>
        </w:rPr>
        <w:t>13.投标报价</w:t>
      </w:r>
    </w:p>
    <w:p>
      <w:pPr>
        <w:spacing w:line="360" w:lineRule="auto"/>
        <w:ind w:firstLine="480" w:firstLineChars="200"/>
        <w:rPr>
          <w:rFonts w:ascii="宋体" w:hAnsi="宋体" w:cs="宋体"/>
          <w:color w:val="auto"/>
          <w:sz w:val="24"/>
        </w:rPr>
      </w:pPr>
      <w:r>
        <w:rPr>
          <w:rFonts w:hint="eastAsia" w:ascii="宋体" w:hAnsi="宋体" w:cs="宋体"/>
          <w:color w:val="auto"/>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供应商自行承担。</w:t>
      </w:r>
    </w:p>
    <w:p>
      <w:pPr>
        <w:spacing w:line="360" w:lineRule="auto"/>
        <w:ind w:firstLine="480" w:firstLineChars="200"/>
        <w:rPr>
          <w:rFonts w:ascii="宋体" w:hAnsi="宋体" w:cs="宋体"/>
          <w:color w:val="auto"/>
          <w:sz w:val="24"/>
        </w:rPr>
      </w:pPr>
      <w:r>
        <w:rPr>
          <w:rFonts w:hint="eastAsia" w:ascii="宋体" w:hAnsi="宋体" w:cs="宋体"/>
          <w:color w:val="auto"/>
          <w:sz w:val="24"/>
        </w:rPr>
        <w:t>13.2供应商投报多包的，须对每包分别制作投标文件并报价</w:t>
      </w:r>
      <w:r>
        <w:rPr>
          <w:rFonts w:hint="eastAsia" w:ascii="宋体" w:hAnsi="宋体" w:cs="宋体"/>
          <w:b/>
          <w:color w:val="auto"/>
          <w:sz w:val="24"/>
        </w:rPr>
        <w:t>。</w:t>
      </w:r>
    </w:p>
    <w:p>
      <w:pPr>
        <w:spacing w:line="360" w:lineRule="auto"/>
        <w:ind w:firstLine="480" w:firstLineChars="200"/>
        <w:rPr>
          <w:rFonts w:ascii="宋体" w:hAnsi="宋体" w:cs="宋体"/>
          <w:b/>
          <w:color w:val="auto"/>
          <w:sz w:val="24"/>
        </w:rPr>
      </w:pPr>
      <w:r>
        <w:rPr>
          <w:rFonts w:hint="eastAsia" w:ascii="宋体" w:hAnsi="宋体" w:cs="宋体"/>
          <w:color w:val="auto"/>
          <w:sz w:val="24"/>
        </w:rPr>
        <w:t>13.3除非招标文件另有规定，不接受可选择或可调整的投标方案和报价，任何有选择的或可调整的投标方案和报价将被视为非响应性投标而被拒绝。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13.4本项目是否接受进口产品按照招标文件第二部分“供应商须知前附表中”中第26项的规定。</w:t>
      </w:r>
    </w:p>
    <w:p>
      <w:pPr>
        <w:spacing w:line="360" w:lineRule="auto"/>
        <w:ind w:firstLine="480" w:firstLineChars="200"/>
        <w:rPr>
          <w:rFonts w:ascii="宋体" w:hAnsi="宋体" w:cs="宋体"/>
          <w:color w:val="auto"/>
          <w:sz w:val="24"/>
        </w:rPr>
      </w:pPr>
      <w:r>
        <w:rPr>
          <w:rFonts w:hint="eastAsia" w:ascii="宋体" w:hAnsi="宋体" w:cs="宋体"/>
          <w:color w:val="auto"/>
          <w:sz w:val="24"/>
        </w:rPr>
        <w:t>13.5本项目是否允许供应商将项目的非主体、非关键性工作交由他人完成按照招标文件第二部分“供应商须知前附表”中第13项的规定。如允许，供应商根据采购项目的实际情况，拟在中标后将中标项目的非主体、非关键性工作交由他人完成，须在技术文件中载明。</w:t>
      </w:r>
    </w:p>
    <w:p>
      <w:pPr>
        <w:spacing w:line="360" w:lineRule="auto"/>
        <w:ind w:firstLine="480" w:firstLineChars="200"/>
        <w:rPr>
          <w:rFonts w:ascii="宋体" w:hAnsi="宋体" w:cs="宋体"/>
          <w:color w:val="auto"/>
          <w:sz w:val="24"/>
        </w:rPr>
      </w:pPr>
      <w:r>
        <w:rPr>
          <w:rFonts w:hint="eastAsia" w:ascii="宋体" w:hAnsi="宋体" w:cs="宋体"/>
          <w:color w:val="auto"/>
          <w:sz w:val="24"/>
        </w:rPr>
        <w:t>13.6供应商须严格按照报价明细表规定的内容填写货物单价以及其他事项。</w:t>
      </w:r>
    </w:p>
    <w:p>
      <w:pPr>
        <w:spacing w:line="360" w:lineRule="auto"/>
        <w:ind w:firstLine="480" w:firstLineChars="200"/>
        <w:rPr>
          <w:rFonts w:ascii="宋体" w:hAnsi="宋体" w:cs="宋体"/>
          <w:color w:val="auto"/>
          <w:sz w:val="24"/>
        </w:rPr>
      </w:pPr>
      <w:r>
        <w:rPr>
          <w:rFonts w:hint="eastAsia" w:ascii="宋体" w:hAnsi="宋体" w:cs="宋体"/>
          <w:color w:val="auto"/>
          <w:sz w:val="24"/>
        </w:rPr>
        <w:t>13.7供应商对投标报价若有说明应在投标文件中显著处注明。</w:t>
      </w:r>
    </w:p>
    <w:p>
      <w:pPr>
        <w:spacing w:line="360" w:lineRule="auto"/>
        <w:ind w:firstLine="480" w:firstLineChars="200"/>
        <w:rPr>
          <w:rFonts w:ascii="宋体" w:hAnsi="宋体" w:cs="宋体"/>
          <w:color w:val="auto"/>
          <w:sz w:val="24"/>
        </w:rPr>
      </w:pPr>
      <w:r>
        <w:rPr>
          <w:rFonts w:hint="eastAsia" w:ascii="宋体" w:hAnsi="宋体" w:cs="宋体"/>
          <w:color w:val="auto"/>
          <w:sz w:val="24"/>
        </w:rPr>
        <w:t>除政策性文件规定以外，供应商所报价格在合同实施期间不因市场变化因素而变动。</w:t>
      </w:r>
    </w:p>
    <w:p>
      <w:pPr>
        <w:spacing w:line="360" w:lineRule="auto"/>
        <w:ind w:firstLine="480" w:firstLineChars="200"/>
        <w:rPr>
          <w:rFonts w:ascii="宋体" w:hAnsi="宋体" w:cs="宋体"/>
          <w:color w:val="auto"/>
          <w:sz w:val="24"/>
        </w:rPr>
      </w:pPr>
      <w:r>
        <w:rPr>
          <w:rFonts w:hint="eastAsia" w:ascii="宋体" w:hAnsi="宋体" w:cs="宋体"/>
          <w:color w:val="auto"/>
          <w:sz w:val="24"/>
        </w:rPr>
        <w:t>13.8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13.9最低报价不能作为中标的保证。</w:t>
      </w:r>
    </w:p>
    <w:p>
      <w:pPr>
        <w:spacing w:line="360" w:lineRule="auto"/>
        <w:rPr>
          <w:rFonts w:ascii="宋体" w:hAnsi="宋体" w:cs="宋体"/>
          <w:b/>
          <w:color w:val="auto"/>
          <w:sz w:val="24"/>
        </w:rPr>
      </w:pPr>
      <w:r>
        <w:rPr>
          <w:rFonts w:hint="eastAsia" w:ascii="宋体" w:hAnsi="宋体" w:cs="宋体"/>
          <w:b/>
          <w:color w:val="auto"/>
          <w:sz w:val="24"/>
        </w:rPr>
        <w:t>14.投标有效期</w:t>
      </w:r>
    </w:p>
    <w:p>
      <w:pPr>
        <w:spacing w:line="360" w:lineRule="auto"/>
        <w:ind w:firstLine="480" w:firstLineChars="200"/>
        <w:rPr>
          <w:rFonts w:ascii="宋体" w:hAnsi="宋体" w:cs="宋体"/>
          <w:color w:val="auto"/>
          <w:sz w:val="24"/>
        </w:rPr>
      </w:pPr>
      <w:r>
        <w:rPr>
          <w:rFonts w:hint="eastAsia" w:ascii="宋体" w:hAnsi="宋体" w:cs="宋体"/>
          <w:color w:val="auto"/>
          <w:sz w:val="24"/>
        </w:rPr>
        <w:t>14.1本项目的投标有效期按照招标文件第二部分“供应商须知前附表中”中第15项的规定。投标有效期自开标之日起计算，短于规定期限的投标将按无效投标处理。</w:t>
      </w:r>
    </w:p>
    <w:p>
      <w:pPr>
        <w:spacing w:line="360" w:lineRule="auto"/>
        <w:ind w:firstLine="480" w:firstLineChars="200"/>
        <w:rPr>
          <w:rFonts w:ascii="宋体" w:hAnsi="宋体" w:cs="宋体"/>
          <w:color w:val="auto"/>
          <w:sz w:val="24"/>
        </w:rPr>
      </w:pPr>
      <w:r>
        <w:rPr>
          <w:rFonts w:hint="eastAsia" w:ascii="宋体" w:hAnsi="宋体" w:cs="宋体"/>
          <w:color w:val="auto"/>
          <w:sz w:val="24"/>
        </w:rPr>
        <w:t>14.2在特殊情况下，采购代理机构可与供应商协商延长投标有效期。这种要求和答复都应以书面形式进行。此时，规定的投标保证金的有效期也相应延长。供应商可以拒绝接受延期要求而不会被没收保证金。同意延长有效期的供应商除按照采购代理机构要求修改投标有效期外，不能修改投标文件的其他内容。</w:t>
      </w:r>
    </w:p>
    <w:p>
      <w:pPr>
        <w:spacing w:line="360" w:lineRule="auto"/>
        <w:rPr>
          <w:rFonts w:ascii="宋体" w:hAnsi="宋体" w:cs="宋体"/>
          <w:b/>
          <w:color w:val="auto"/>
          <w:sz w:val="24"/>
        </w:rPr>
      </w:pPr>
      <w:r>
        <w:rPr>
          <w:rFonts w:hint="eastAsia" w:ascii="宋体" w:hAnsi="宋体" w:cs="宋体"/>
          <w:b/>
          <w:color w:val="auto"/>
          <w:sz w:val="24"/>
        </w:rPr>
        <w:t>15.投标内容填写说明</w:t>
      </w:r>
    </w:p>
    <w:p>
      <w:pPr>
        <w:spacing w:line="360" w:lineRule="auto"/>
        <w:ind w:firstLine="480" w:firstLineChars="200"/>
        <w:rPr>
          <w:rFonts w:ascii="宋体" w:hAnsi="宋体" w:cs="宋体"/>
          <w:color w:val="auto"/>
          <w:sz w:val="24"/>
        </w:rPr>
      </w:pPr>
      <w:r>
        <w:rPr>
          <w:rFonts w:hint="eastAsia" w:ascii="宋体" w:hAnsi="宋体" w:cs="宋体"/>
          <w:color w:val="auto"/>
          <w:sz w:val="24"/>
        </w:rPr>
        <w:t>15.1供应商应详细阅读招标文件的全部内容。投标文件须对招标文件中的内容作出实质性和完整的响应，如果投标文件填报的内容不详，或没有提供招标文件中所要求的全部资料及数据，将可能导致投标被拒绝。</w:t>
      </w:r>
    </w:p>
    <w:p>
      <w:pPr>
        <w:spacing w:line="360" w:lineRule="auto"/>
        <w:ind w:firstLine="480" w:firstLineChars="200"/>
        <w:rPr>
          <w:rFonts w:ascii="宋体" w:hAnsi="宋体" w:cs="宋体"/>
          <w:b/>
          <w:color w:val="auto"/>
          <w:sz w:val="24"/>
        </w:rPr>
      </w:pPr>
      <w:r>
        <w:rPr>
          <w:rFonts w:hint="eastAsia" w:ascii="宋体" w:hAnsi="宋体" w:cs="宋体"/>
          <w:color w:val="auto"/>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供应商承担。投标文件未按规定提交，将被视为不完整响应的投标文件，其投标有可能被拒绝</w:t>
      </w:r>
      <w:r>
        <w:rPr>
          <w:rFonts w:hint="eastAsia" w:ascii="宋体" w:hAnsi="宋体" w:cs="宋体"/>
          <w:b/>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15.3开标一览表为在开标仪式上唱标的内容，要求按格式统一填写，不得自行增减内容。</w:t>
      </w:r>
    </w:p>
    <w:p>
      <w:pPr>
        <w:spacing w:line="360" w:lineRule="auto"/>
        <w:ind w:firstLine="480" w:firstLineChars="200"/>
        <w:rPr>
          <w:rFonts w:ascii="宋体" w:hAnsi="宋体" w:cs="宋体"/>
          <w:color w:val="auto"/>
          <w:sz w:val="24"/>
        </w:rPr>
      </w:pPr>
      <w:r>
        <w:rPr>
          <w:rFonts w:hint="eastAsia" w:ascii="宋体" w:hAnsi="宋体" w:cs="宋体"/>
          <w:color w:val="auto"/>
          <w:sz w:val="24"/>
        </w:rPr>
        <w:t>15.4供应商须注意：为合理节约政府采购评审成本，提倡诚实信用的投标行为，特别要求供应商应本着诚信精神，在本次投标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标委员会有权视具体情形评审时予以处理，乃至对该投标予以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15.5供应商必须保证投标文件所提供的全部资料真实可靠，并接受采购代理机构或评标委员会对其中任何资料进一步审查的要求。</w:t>
      </w:r>
    </w:p>
    <w:p>
      <w:pPr>
        <w:spacing w:line="360" w:lineRule="auto"/>
        <w:ind w:firstLine="480" w:firstLineChars="200"/>
        <w:rPr>
          <w:rFonts w:ascii="宋体" w:hAnsi="宋体" w:cs="宋体"/>
          <w:b/>
          <w:color w:val="auto"/>
          <w:sz w:val="24"/>
        </w:rPr>
      </w:pPr>
      <w:r>
        <w:rPr>
          <w:rFonts w:hint="eastAsia" w:ascii="宋体" w:hAnsi="宋体" w:cs="宋体"/>
          <w:color w:val="auto"/>
          <w:sz w:val="24"/>
        </w:rPr>
        <w:t>15.6供应商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spacing w:line="360" w:lineRule="auto"/>
        <w:ind w:firstLine="480" w:firstLineChars="200"/>
        <w:rPr>
          <w:rFonts w:ascii="宋体" w:hAnsi="宋体" w:cs="宋体"/>
          <w:b/>
          <w:color w:val="auto"/>
          <w:kern w:val="0"/>
          <w:sz w:val="24"/>
        </w:rPr>
      </w:pPr>
      <w:r>
        <w:rPr>
          <w:rFonts w:hint="eastAsia" w:ascii="宋体" w:hAnsi="宋体" w:cs="宋体"/>
          <w:color w:val="auto"/>
          <w:sz w:val="24"/>
        </w:rPr>
        <w:t>15.7本项目</w:t>
      </w:r>
      <w:r>
        <w:rPr>
          <w:rFonts w:hint="eastAsia" w:ascii="宋体" w:hAnsi="宋体" w:cs="宋体"/>
          <w:color w:val="auto"/>
          <w:kern w:val="0"/>
          <w:sz w:val="24"/>
        </w:rPr>
        <w:t>技术部分是否采用“暗标”评审方式</w:t>
      </w:r>
      <w:r>
        <w:rPr>
          <w:rFonts w:hint="eastAsia" w:ascii="宋体" w:hAnsi="宋体" w:cs="宋体"/>
          <w:color w:val="auto"/>
          <w:sz w:val="24"/>
        </w:rPr>
        <w:t>按照招标文件第二部分“供应商须知前附表中”中第27项的规定。如果采用暗标评审方式的，供应商在制作投标文件时应当以能够隐去供应商的身份为原则并需严格遵守以下各项规定：</w:t>
      </w:r>
    </w:p>
    <w:p>
      <w:pPr>
        <w:spacing w:line="360" w:lineRule="auto"/>
        <w:ind w:firstLine="480" w:firstLineChars="200"/>
        <w:rPr>
          <w:rFonts w:ascii="宋体" w:hAnsi="宋体" w:cs="宋体"/>
          <w:color w:val="auto"/>
          <w:sz w:val="24"/>
        </w:rPr>
      </w:pPr>
      <w:r>
        <w:rPr>
          <w:rFonts w:hint="eastAsia" w:ascii="宋体" w:hAnsi="宋体" w:cs="宋体"/>
          <w:color w:val="auto"/>
          <w:sz w:val="24"/>
        </w:rPr>
        <w:t>15.7.1技术部分中纳入“暗标”部分的内容：样品。</w:t>
      </w:r>
    </w:p>
    <w:p>
      <w:pPr>
        <w:spacing w:line="360" w:lineRule="auto"/>
        <w:ind w:firstLine="480" w:firstLineChars="200"/>
        <w:rPr>
          <w:rFonts w:ascii="宋体" w:hAnsi="宋体" w:cs="宋体"/>
          <w:color w:val="auto"/>
          <w:sz w:val="24"/>
        </w:rPr>
      </w:pPr>
      <w:r>
        <w:rPr>
          <w:rFonts w:hint="eastAsia" w:ascii="宋体" w:hAnsi="宋体" w:cs="宋体"/>
          <w:color w:val="auto"/>
          <w:sz w:val="24"/>
        </w:rPr>
        <w:t>15.7.2暗标的编制要求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15.7.2.1投标文件技术部分全部内容中不能出现任何本供应商的名称和其它可识别供应商身份的字符、企业徽标或符号、人员名称以及其他特殊标记等（如有此类文件应放于商务文件“用于评审的证明材料”中），否则将导致投标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spacing w:line="360" w:lineRule="auto"/>
        <w:ind w:left="1" w:firstLine="480" w:firstLineChars="200"/>
        <w:rPr>
          <w:rFonts w:ascii="宋体" w:hAnsi="宋体" w:cs="宋体"/>
          <w:color w:val="auto"/>
          <w:sz w:val="24"/>
        </w:rPr>
      </w:pPr>
      <w:r>
        <w:rPr>
          <w:rFonts w:hint="eastAsia" w:ascii="宋体" w:hAnsi="宋体" w:cs="宋体"/>
          <w:color w:val="auto"/>
          <w:sz w:val="24"/>
        </w:rPr>
        <w:t>15.7.2.3任何情况下，技术部分（“暗标”部分）中不得出现任何供应商的审阅或者批注痕迹，否则将导致投标被拒绝。</w:t>
      </w:r>
    </w:p>
    <w:p>
      <w:pPr>
        <w:pStyle w:val="5"/>
        <w:numPr>
          <w:ilvl w:val="0"/>
          <w:numId w:val="0"/>
        </w:numPr>
        <w:spacing w:before="0" w:after="0" w:line="360" w:lineRule="auto"/>
        <w:rPr>
          <w:rFonts w:ascii="宋体" w:hAnsi="宋体" w:cs="宋体"/>
          <w:color w:val="auto"/>
          <w:sz w:val="24"/>
          <w:szCs w:val="24"/>
        </w:rPr>
      </w:pPr>
      <w:bookmarkStart w:id="25" w:name="_Toc6223"/>
      <w:r>
        <w:rPr>
          <w:rFonts w:hint="eastAsia" w:ascii="宋体" w:hAnsi="宋体" w:cs="宋体"/>
          <w:color w:val="auto"/>
          <w:sz w:val="24"/>
          <w:szCs w:val="24"/>
        </w:rPr>
        <w:t>四、投标保证金</w:t>
      </w:r>
      <w:bookmarkEnd w:id="25"/>
    </w:p>
    <w:p>
      <w:pPr>
        <w:spacing w:line="360" w:lineRule="auto"/>
        <w:rPr>
          <w:rFonts w:ascii="宋体" w:hAnsi="宋体" w:cs="宋体"/>
          <w:b/>
          <w:color w:val="auto"/>
          <w:sz w:val="24"/>
        </w:rPr>
      </w:pPr>
      <w:r>
        <w:rPr>
          <w:rFonts w:hint="eastAsia" w:ascii="宋体" w:hAnsi="宋体" w:cs="宋体"/>
          <w:b/>
          <w:color w:val="auto"/>
          <w:sz w:val="24"/>
        </w:rPr>
        <w:t xml:space="preserve">16.投标保证金 </w:t>
      </w:r>
    </w:p>
    <w:p>
      <w:pPr>
        <w:spacing w:line="360" w:lineRule="auto"/>
        <w:ind w:firstLine="480" w:firstLineChars="200"/>
        <w:rPr>
          <w:rFonts w:ascii="宋体" w:hAnsi="宋体" w:cs="宋体"/>
          <w:color w:val="auto"/>
          <w:sz w:val="24"/>
        </w:rPr>
      </w:pPr>
      <w:r>
        <w:rPr>
          <w:rFonts w:hint="eastAsia" w:ascii="宋体" w:hAnsi="宋体" w:cs="宋体"/>
          <w:color w:val="auto"/>
          <w:sz w:val="24"/>
        </w:rPr>
        <w:t>16.1供应商应按照招标文件第二部分“供应商须知前附表”中第21项的规定交纳。投标保证金须于到账截止时间前到帐。</w:t>
      </w:r>
    </w:p>
    <w:p>
      <w:pPr>
        <w:spacing w:line="360" w:lineRule="auto"/>
        <w:ind w:firstLine="480" w:firstLineChars="200"/>
        <w:rPr>
          <w:rFonts w:ascii="宋体" w:hAnsi="宋体" w:cs="宋体"/>
          <w:color w:val="auto"/>
          <w:sz w:val="24"/>
        </w:rPr>
      </w:pPr>
      <w:r>
        <w:rPr>
          <w:rFonts w:hint="eastAsia" w:ascii="宋体" w:hAnsi="宋体" w:cs="宋体"/>
          <w:color w:val="auto"/>
          <w:sz w:val="24"/>
        </w:rPr>
        <w:t>16.2不接收以现金或汇票等其他形式递交的投标保证金。未按要求提交投标保证金的，将被视为无效投标。</w:t>
      </w:r>
    </w:p>
    <w:p>
      <w:pPr>
        <w:spacing w:line="360" w:lineRule="auto"/>
        <w:ind w:firstLine="480" w:firstLineChars="200"/>
        <w:rPr>
          <w:rFonts w:ascii="宋体" w:hAnsi="宋体" w:cs="宋体"/>
          <w:color w:val="auto"/>
          <w:sz w:val="24"/>
        </w:rPr>
      </w:pPr>
      <w:r>
        <w:rPr>
          <w:rFonts w:hint="eastAsia" w:ascii="宋体" w:hAnsi="宋体" w:cs="宋体"/>
          <w:color w:val="auto"/>
          <w:sz w:val="24"/>
        </w:rPr>
        <w:t>16.3未中标的供应商的投标保证金在中标通知书发出之日起5个工作日内退还；中标人的投标保证金将在交纳履约保证金并于合同生效后5个工作日内退还。</w:t>
      </w:r>
    </w:p>
    <w:p>
      <w:pPr>
        <w:spacing w:line="360" w:lineRule="auto"/>
        <w:ind w:firstLine="480" w:firstLineChars="200"/>
        <w:rPr>
          <w:rFonts w:ascii="宋体" w:hAnsi="宋体" w:cs="宋体"/>
          <w:color w:val="auto"/>
        </w:rPr>
      </w:pPr>
      <w:r>
        <w:rPr>
          <w:rFonts w:hint="eastAsia" w:ascii="宋体" w:hAnsi="宋体" w:cs="宋体"/>
          <w:color w:val="auto"/>
          <w:sz w:val="24"/>
        </w:rPr>
        <w:t>16.4投标保证金退还一律采用网上银行转帐方式退还至供应商的汇款帐户，资金原路返回。</w:t>
      </w:r>
    </w:p>
    <w:p>
      <w:pPr>
        <w:pStyle w:val="5"/>
        <w:numPr>
          <w:ilvl w:val="0"/>
          <w:numId w:val="0"/>
        </w:numPr>
        <w:spacing w:before="0" w:after="0" w:line="360" w:lineRule="auto"/>
        <w:rPr>
          <w:rFonts w:ascii="宋体" w:hAnsi="宋体" w:cs="宋体"/>
          <w:color w:val="auto"/>
          <w:sz w:val="24"/>
          <w:szCs w:val="24"/>
        </w:rPr>
      </w:pPr>
      <w:bookmarkStart w:id="26" w:name="_Toc4749"/>
      <w:r>
        <w:rPr>
          <w:rFonts w:hint="eastAsia" w:ascii="宋体" w:hAnsi="宋体" w:cs="宋体"/>
          <w:color w:val="auto"/>
          <w:sz w:val="24"/>
          <w:szCs w:val="24"/>
        </w:rPr>
        <w:t>五、投标文件的递交</w:t>
      </w:r>
      <w:bookmarkEnd w:id="26"/>
    </w:p>
    <w:p>
      <w:pPr>
        <w:spacing w:line="360" w:lineRule="auto"/>
        <w:rPr>
          <w:rFonts w:ascii="宋体" w:hAnsi="宋体" w:cs="宋体"/>
          <w:b/>
          <w:color w:val="auto"/>
          <w:sz w:val="24"/>
        </w:rPr>
      </w:pPr>
      <w:r>
        <w:rPr>
          <w:rFonts w:hint="eastAsia" w:ascii="宋体" w:hAnsi="宋体" w:cs="宋体"/>
          <w:b/>
          <w:color w:val="auto"/>
          <w:sz w:val="24"/>
        </w:rPr>
        <w:t>17.投标文件的密封和标记</w:t>
      </w:r>
    </w:p>
    <w:p>
      <w:pPr>
        <w:spacing w:line="360" w:lineRule="auto"/>
        <w:ind w:firstLine="480" w:firstLineChars="200"/>
        <w:rPr>
          <w:rFonts w:ascii="宋体" w:hAnsi="宋体" w:cs="宋体"/>
          <w:color w:val="auto"/>
          <w:sz w:val="24"/>
        </w:rPr>
      </w:pPr>
      <w:r>
        <w:rPr>
          <w:rFonts w:hint="eastAsia" w:ascii="宋体" w:hAnsi="宋体" w:cs="宋体"/>
          <w:color w:val="auto"/>
          <w:sz w:val="24"/>
        </w:rPr>
        <w:t>17.1供应商严格按招标文件要求制作投标文件，在投标截止时间前完成投标文件。供应商在投标截止时间前，可以对其所递交的投标文件进行修改并重新递交，但以投标截止时间前最后一次提交的投标文件为有效投标文件。</w:t>
      </w:r>
    </w:p>
    <w:p>
      <w:pPr>
        <w:spacing w:line="360" w:lineRule="auto"/>
        <w:ind w:firstLine="480" w:firstLineChars="200"/>
        <w:rPr>
          <w:rFonts w:ascii="宋体" w:hAnsi="宋体" w:cs="宋体"/>
          <w:color w:val="auto"/>
          <w:sz w:val="24"/>
        </w:rPr>
      </w:pPr>
      <w:r>
        <w:rPr>
          <w:rFonts w:hint="eastAsia" w:ascii="宋体" w:hAnsi="宋体" w:cs="宋体"/>
          <w:color w:val="auto"/>
          <w:sz w:val="24"/>
        </w:rPr>
        <w:t>投标截止时间以中国政府采购网招标公告发布时间为准，逾期将被拒绝。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17.2供应商应将投标文件正本和副本分别装入信封内加以密封，分别在信封上标“正本”或“副本”字样，并在密封处压口加盖公章及法人章。</w:t>
      </w:r>
    </w:p>
    <w:p>
      <w:pPr>
        <w:spacing w:line="360" w:lineRule="auto"/>
        <w:ind w:firstLine="480" w:firstLineChars="200"/>
        <w:rPr>
          <w:rFonts w:ascii="宋体" w:hAnsi="宋体" w:cs="宋体"/>
          <w:color w:val="auto"/>
          <w:sz w:val="24"/>
        </w:rPr>
      </w:pPr>
      <w:r>
        <w:rPr>
          <w:rFonts w:hint="eastAsia" w:ascii="宋体" w:hAnsi="宋体" w:cs="宋体"/>
          <w:color w:val="auto"/>
          <w:sz w:val="24"/>
        </w:rPr>
        <w:t>17.3供应商还应将填好的开标一览表、投标文件（电子版）分别装入一单独的信封内加以密封，在密封处压口加盖公章及法人章，并在信封上注明“开标一览表”、“投标文件（电子版）”字样，作为投标文件的一部分。</w:t>
      </w:r>
    </w:p>
    <w:p>
      <w:pPr>
        <w:spacing w:line="360" w:lineRule="auto"/>
        <w:ind w:firstLine="480" w:firstLineChars="200"/>
        <w:rPr>
          <w:rFonts w:ascii="宋体" w:hAnsi="宋体" w:cs="宋体"/>
          <w:color w:val="auto"/>
          <w:sz w:val="24"/>
        </w:rPr>
      </w:pPr>
      <w:r>
        <w:rPr>
          <w:rFonts w:hint="eastAsia" w:ascii="宋体" w:hAnsi="宋体" w:cs="宋体"/>
          <w:color w:val="auto"/>
          <w:sz w:val="24"/>
        </w:rPr>
        <w:t>17.4所有投标文件信封上均应贴上封条，封条上应写明：</w:t>
      </w:r>
    </w:p>
    <w:p>
      <w:pPr>
        <w:spacing w:line="360" w:lineRule="auto"/>
        <w:ind w:firstLine="480" w:firstLineChars="200"/>
        <w:rPr>
          <w:rFonts w:ascii="宋体" w:hAnsi="宋体" w:cs="宋体"/>
          <w:color w:val="auto"/>
          <w:sz w:val="24"/>
        </w:rPr>
      </w:pPr>
      <w:r>
        <w:rPr>
          <w:rFonts w:hint="eastAsia" w:ascii="宋体" w:hAnsi="宋体" w:cs="宋体"/>
          <w:color w:val="auto"/>
          <w:sz w:val="24"/>
        </w:rPr>
        <w:t>（1）项目名称：</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（2）项目编号： </w:t>
      </w:r>
    </w:p>
    <w:p>
      <w:pPr>
        <w:spacing w:line="360" w:lineRule="auto"/>
        <w:ind w:firstLine="480" w:firstLineChars="200"/>
        <w:rPr>
          <w:rFonts w:ascii="宋体" w:hAnsi="宋体" w:cs="宋体"/>
          <w:color w:val="auto"/>
          <w:sz w:val="24"/>
        </w:rPr>
      </w:pPr>
      <w:r>
        <w:rPr>
          <w:rFonts w:hint="eastAsia" w:ascii="宋体" w:hAnsi="宋体" w:cs="宋体"/>
          <w:color w:val="auto"/>
          <w:sz w:val="24"/>
        </w:rPr>
        <w:t>（3）供应商名称（加盖公章）：</w:t>
      </w:r>
    </w:p>
    <w:p>
      <w:pPr>
        <w:spacing w:line="360" w:lineRule="auto"/>
        <w:ind w:firstLine="480" w:firstLineChars="200"/>
        <w:rPr>
          <w:rFonts w:ascii="宋体" w:hAnsi="宋体" w:cs="宋体"/>
          <w:color w:val="auto"/>
          <w:sz w:val="24"/>
        </w:rPr>
      </w:pPr>
      <w:r>
        <w:rPr>
          <w:rFonts w:hint="eastAsia" w:ascii="宋体" w:hAnsi="宋体" w:cs="宋体"/>
          <w:color w:val="auto"/>
          <w:sz w:val="24"/>
        </w:rPr>
        <w:t>（4）供应商地址：</w:t>
      </w:r>
    </w:p>
    <w:p>
      <w:pPr>
        <w:spacing w:line="360" w:lineRule="auto"/>
        <w:ind w:firstLine="480" w:firstLineChars="200"/>
        <w:rPr>
          <w:rFonts w:ascii="宋体" w:hAnsi="宋体" w:cs="宋体"/>
          <w:color w:val="auto"/>
          <w:sz w:val="24"/>
        </w:rPr>
      </w:pPr>
      <w:r>
        <w:rPr>
          <w:rFonts w:hint="eastAsia" w:ascii="宋体" w:hAnsi="宋体" w:cs="宋体"/>
          <w:color w:val="auto"/>
          <w:sz w:val="24"/>
        </w:rPr>
        <w:t>（5）联系人：</w:t>
      </w:r>
    </w:p>
    <w:p>
      <w:pPr>
        <w:spacing w:line="360" w:lineRule="auto"/>
        <w:ind w:firstLine="480" w:firstLineChars="200"/>
        <w:rPr>
          <w:rFonts w:ascii="宋体" w:hAnsi="宋体" w:cs="宋体"/>
          <w:color w:val="auto"/>
          <w:sz w:val="24"/>
        </w:rPr>
      </w:pPr>
      <w:r>
        <w:rPr>
          <w:rFonts w:hint="eastAsia" w:ascii="宋体" w:hAnsi="宋体" w:cs="宋体"/>
          <w:color w:val="auto"/>
          <w:sz w:val="24"/>
        </w:rPr>
        <w:t>（6）联系方式：</w:t>
      </w:r>
    </w:p>
    <w:p>
      <w:pPr>
        <w:spacing w:line="360" w:lineRule="auto"/>
        <w:ind w:firstLine="480" w:firstLineChars="200"/>
        <w:rPr>
          <w:rFonts w:ascii="宋体" w:hAnsi="宋体" w:cs="宋体"/>
          <w:color w:val="auto"/>
          <w:sz w:val="24"/>
        </w:rPr>
      </w:pPr>
      <w:r>
        <w:rPr>
          <w:rFonts w:hint="eastAsia" w:ascii="宋体" w:hAnsi="宋体" w:cs="宋体"/>
          <w:color w:val="auto"/>
          <w:sz w:val="24"/>
        </w:rPr>
        <w:t>（9）注明“   年  月  日   开标前不准启封”，“正本”，“副本”字样。</w:t>
      </w:r>
    </w:p>
    <w:p>
      <w:pPr>
        <w:spacing w:line="360" w:lineRule="auto"/>
        <w:ind w:firstLine="480" w:firstLineChars="200"/>
        <w:rPr>
          <w:rFonts w:ascii="宋体" w:hAnsi="宋体" w:cs="宋体"/>
          <w:color w:val="auto"/>
          <w:sz w:val="24"/>
        </w:rPr>
      </w:pPr>
      <w:r>
        <w:rPr>
          <w:rFonts w:hint="eastAsia" w:ascii="宋体" w:hAnsi="宋体" w:cs="宋体"/>
          <w:color w:val="auto"/>
          <w:sz w:val="24"/>
        </w:rPr>
        <w:t>17.5供应商认为有必要提交的其他资料请于投标截止时间前一并提交。</w:t>
      </w:r>
    </w:p>
    <w:p>
      <w:pPr>
        <w:spacing w:line="360" w:lineRule="auto"/>
        <w:ind w:firstLine="480" w:firstLineChars="200"/>
        <w:rPr>
          <w:rFonts w:ascii="宋体" w:hAnsi="宋体" w:cs="宋体"/>
          <w:color w:val="auto"/>
          <w:sz w:val="24"/>
        </w:rPr>
      </w:pPr>
      <w:r>
        <w:rPr>
          <w:rFonts w:hint="eastAsia" w:ascii="宋体" w:hAnsi="宋体" w:cs="宋体"/>
          <w:color w:val="auto"/>
          <w:sz w:val="24"/>
        </w:rPr>
        <w:t>17.6如果供应商未按上述要求密封及加写标记，采购代理机构对投标文件的误投和提前启封概不负责。对由此造成提前开封的投标文件，采购代理机构有权予以拒绝，并退回供应商。</w:t>
      </w:r>
    </w:p>
    <w:p>
      <w:pPr>
        <w:spacing w:line="360" w:lineRule="auto"/>
        <w:rPr>
          <w:rFonts w:ascii="宋体" w:hAnsi="宋体" w:cs="宋体"/>
          <w:b/>
          <w:color w:val="auto"/>
          <w:sz w:val="24"/>
        </w:rPr>
      </w:pPr>
      <w:r>
        <w:rPr>
          <w:rFonts w:hint="eastAsia" w:ascii="宋体" w:hAnsi="宋体" w:cs="宋体"/>
          <w:b/>
          <w:color w:val="auto"/>
          <w:sz w:val="24"/>
        </w:rPr>
        <w:t>18.投标文件的递交</w:t>
      </w:r>
    </w:p>
    <w:p>
      <w:pPr>
        <w:spacing w:line="360" w:lineRule="auto"/>
        <w:ind w:firstLine="480" w:firstLineChars="200"/>
        <w:rPr>
          <w:rFonts w:ascii="宋体" w:hAnsi="宋体" w:cs="宋体"/>
          <w:color w:val="auto"/>
          <w:sz w:val="24"/>
        </w:rPr>
      </w:pPr>
      <w:r>
        <w:rPr>
          <w:rFonts w:hint="eastAsia" w:ascii="宋体" w:hAnsi="宋体" w:cs="宋体"/>
          <w:color w:val="auto"/>
          <w:sz w:val="24"/>
        </w:rPr>
        <w:t>18.1供应商应当在招标文件要求提交投标文件的截止时间前投标，并将投标文件密封送达指定开标地点。</w:t>
      </w:r>
    </w:p>
    <w:p>
      <w:pPr>
        <w:spacing w:line="360" w:lineRule="auto"/>
        <w:ind w:firstLine="480" w:firstLineChars="200"/>
        <w:rPr>
          <w:rFonts w:ascii="宋体" w:hAnsi="宋体" w:cs="宋体"/>
          <w:color w:val="auto"/>
          <w:sz w:val="24"/>
        </w:rPr>
      </w:pPr>
      <w:r>
        <w:rPr>
          <w:rFonts w:hint="eastAsia" w:ascii="宋体" w:hAnsi="宋体" w:cs="宋体"/>
          <w:color w:val="auto"/>
          <w:sz w:val="24"/>
        </w:rPr>
        <w:t>18.2在招标文件要求提交投标文件的截止时间之后送达的投标文件，为无效投标文件，采购代理机构将拒绝接收。</w:t>
      </w:r>
    </w:p>
    <w:p>
      <w:pPr>
        <w:spacing w:line="360" w:lineRule="auto"/>
        <w:rPr>
          <w:rFonts w:ascii="宋体" w:hAnsi="宋体" w:cs="宋体"/>
          <w:b/>
          <w:color w:val="auto"/>
          <w:sz w:val="24"/>
        </w:rPr>
      </w:pPr>
      <w:r>
        <w:rPr>
          <w:rFonts w:hint="eastAsia" w:ascii="宋体" w:hAnsi="宋体" w:cs="宋体"/>
          <w:b/>
          <w:color w:val="auto"/>
          <w:sz w:val="24"/>
        </w:rPr>
        <w:t>19.投标文件的修改和撤回</w:t>
      </w:r>
    </w:p>
    <w:p>
      <w:pPr>
        <w:spacing w:line="360" w:lineRule="auto"/>
        <w:ind w:firstLine="480" w:firstLineChars="200"/>
        <w:rPr>
          <w:rFonts w:ascii="宋体" w:hAnsi="宋体" w:cs="宋体"/>
          <w:color w:val="auto"/>
        </w:rPr>
      </w:pPr>
      <w:r>
        <w:rPr>
          <w:rFonts w:hint="eastAsia" w:ascii="宋体" w:hAnsi="宋体" w:cs="宋体"/>
          <w:color w:val="auto"/>
          <w:sz w:val="24"/>
        </w:rPr>
        <w:t>19.1供应商在递交投标文件后，可以修改或撤回其投标，但这种修改和撤回，必须在规定的投标截止时间前。在投标截止时间后，供应商不得要求修改或撤回其投标文件。</w:t>
      </w:r>
    </w:p>
    <w:p>
      <w:pPr>
        <w:pStyle w:val="5"/>
        <w:numPr>
          <w:ilvl w:val="0"/>
          <w:numId w:val="0"/>
        </w:numPr>
        <w:spacing w:before="0" w:after="0" w:line="360" w:lineRule="auto"/>
        <w:rPr>
          <w:rFonts w:ascii="宋体" w:hAnsi="宋体" w:cs="宋体"/>
          <w:color w:val="auto"/>
          <w:sz w:val="24"/>
          <w:szCs w:val="24"/>
        </w:rPr>
      </w:pPr>
      <w:bookmarkStart w:id="27" w:name="_Toc20852"/>
      <w:r>
        <w:rPr>
          <w:rFonts w:hint="eastAsia" w:ascii="宋体" w:hAnsi="宋体" w:cs="宋体"/>
          <w:color w:val="auto"/>
          <w:sz w:val="24"/>
          <w:szCs w:val="24"/>
        </w:rPr>
        <w:t>六、开标</w:t>
      </w:r>
      <w:bookmarkEnd w:id="27"/>
    </w:p>
    <w:p>
      <w:pPr>
        <w:spacing w:line="360" w:lineRule="auto"/>
        <w:rPr>
          <w:rFonts w:ascii="宋体" w:hAnsi="宋体" w:cs="宋体"/>
          <w:b/>
          <w:color w:val="auto"/>
          <w:sz w:val="24"/>
        </w:rPr>
      </w:pPr>
      <w:r>
        <w:rPr>
          <w:rFonts w:hint="eastAsia" w:ascii="宋体" w:hAnsi="宋体" w:cs="宋体"/>
          <w:b/>
          <w:color w:val="auto"/>
          <w:sz w:val="24"/>
        </w:rPr>
        <w:t>20.开标</w:t>
      </w:r>
    </w:p>
    <w:p>
      <w:pPr>
        <w:spacing w:line="360" w:lineRule="auto"/>
        <w:ind w:firstLine="480" w:firstLineChars="200"/>
        <w:rPr>
          <w:rFonts w:ascii="宋体" w:hAnsi="宋体" w:cs="宋体"/>
          <w:color w:val="auto"/>
          <w:sz w:val="24"/>
        </w:rPr>
      </w:pPr>
      <w:r>
        <w:rPr>
          <w:rFonts w:hint="eastAsia" w:ascii="宋体" w:hAnsi="宋体" w:cs="宋体"/>
          <w:color w:val="auto"/>
          <w:sz w:val="24"/>
        </w:rPr>
        <w:t>20.1采购代理机构按照招标文件规定的时间、地点主持开标。供应商法定代表人或授权代理人应携带身份证明、投标文件（用密封袋密封）及应当提交的其他资料参加开标并签到。</w:t>
      </w:r>
    </w:p>
    <w:p>
      <w:pPr>
        <w:spacing w:line="360" w:lineRule="auto"/>
        <w:ind w:firstLine="480" w:firstLineChars="200"/>
        <w:rPr>
          <w:rFonts w:ascii="宋体" w:hAnsi="宋体" w:cs="宋体"/>
          <w:color w:val="auto"/>
          <w:sz w:val="24"/>
        </w:rPr>
      </w:pPr>
      <w:r>
        <w:rPr>
          <w:rFonts w:hint="eastAsia" w:ascii="宋体" w:hAnsi="宋体" w:cs="宋体"/>
          <w:color w:val="auto"/>
          <w:sz w:val="24"/>
        </w:rPr>
        <w:t>20.2开标前，采购代理机构将会同监督人员或公证人员进行验标，检查供应商报名及保证金交纳情况，确认无误后开标。开标时，采购代理机构工作人员在监督人员或公证人员监督下拆封所有投标文件。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20.3开标时，采购代理机构将供应商名称、投标价格，以及采购代理机构认为合适的其它详细内容。供应商若有报价和优惠未被唱出，应在开标时及时声明或提请注意，否则采购代理机构对此不承担任何责任。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20.4在评审结束前，未得到采购代理机构允许，供应商法定代表人或授权代理人不得离开开标现场。</w:t>
      </w:r>
    </w:p>
    <w:p>
      <w:pPr>
        <w:pStyle w:val="5"/>
        <w:numPr>
          <w:ilvl w:val="0"/>
          <w:numId w:val="0"/>
        </w:numPr>
        <w:spacing w:before="0" w:after="0" w:line="360" w:lineRule="auto"/>
        <w:rPr>
          <w:rFonts w:ascii="宋体" w:hAnsi="宋体" w:cs="宋体"/>
          <w:color w:val="auto"/>
          <w:sz w:val="24"/>
          <w:szCs w:val="24"/>
        </w:rPr>
      </w:pPr>
      <w:bookmarkStart w:id="28" w:name="_Toc1036"/>
      <w:r>
        <w:rPr>
          <w:rFonts w:hint="eastAsia" w:ascii="宋体" w:hAnsi="宋体" w:cs="宋体"/>
          <w:color w:val="auto"/>
          <w:sz w:val="24"/>
          <w:szCs w:val="24"/>
        </w:rPr>
        <w:t>七、评标步骤和要求</w:t>
      </w:r>
      <w:bookmarkEnd w:id="28"/>
    </w:p>
    <w:p>
      <w:pPr>
        <w:spacing w:line="360" w:lineRule="auto"/>
        <w:rPr>
          <w:rFonts w:ascii="宋体" w:hAnsi="宋体" w:cs="宋体"/>
          <w:b/>
          <w:color w:val="auto"/>
          <w:sz w:val="24"/>
        </w:rPr>
      </w:pPr>
      <w:r>
        <w:rPr>
          <w:rFonts w:hint="eastAsia" w:ascii="宋体" w:hAnsi="宋体" w:cs="宋体"/>
          <w:b/>
          <w:color w:val="auto"/>
          <w:sz w:val="24"/>
        </w:rPr>
        <w:t>21.组建评标委员会</w:t>
      </w:r>
    </w:p>
    <w:p>
      <w:pPr>
        <w:spacing w:line="360" w:lineRule="auto"/>
        <w:ind w:firstLine="480" w:firstLineChars="200"/>
        <w:rPr>
          <w:rFonts w:ascii="宋体" w:hAnsi="宋体" w:cs="宋体"/>
          <w:color w:val="auto"/>
          <w:sz w:val="24"/>
        </w:rPr>
      </w:pPr>
      <w:r>
        <w:rPr>
          <w:rFonts w:hint="eastAsia" w:ascii="宋体" w:hAnsi="宋体" w:cs="宋体"/>
          <w:color w:val="auto"/>
          <w:sz w:val="24"/>
        </w:rPr>
        <w:t>21.1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采购人不得以评审专家身份参加本部门或本单位采购项目的评审。采购代理机构人员不得参加本机构代理的采购项目的评审。</w:t>
      </w:r>
    </w:p>
    <w:p>
      <w:pPr>
        <w:spacing w:line="360" w:lineRule="auto"/>
        <w:ind w:firstLine="480" w:firstLineChars="200"/>
        <w:rPr>
          <w:rFonts w:ascii="宋体" w:hAnsi="宋体" w:cs="宋体"/>
          <w:color w:val="auto"/>
          <w:sz w:val="24"/>
        </w:rPr>
      </w:pPr>
      <w:r>
        <w:rPr>
          <w:rFonts w:hint="eastAsia" w:ascii="宋体" w:hAnsi="宋体" w:cs="宋体"/>
          <w:color w:val="auto"/>
          <w:sz w:val="24"/>
        </w:rPr>
        <w:t>采购人应当从同级或上一级财政部门设立的政府采购评审专家库中，通过随机方式抽取评标专家。</w:t>
      </w:r>
    </w:p>
    <w:p>
      <w:pPr>
        <w:spacing w:line="360" w:lineRule="auto"/>
        <w:ind w:firstLine="480" w:firstLineChars="200"/>
        <w:rPr>
          <w:rFonts w:ascii="宋体" w:hAnsi="宋体" w:cs="宋体"/>
          <w:color w:val="auto"/>
          <w:sz w:val="24"/>
        </w:rPr>
      </w:pPr>
      <w:r>
        <w:rPr>
          <w:rFonts w:hint="eastAsia" w:ascii="宋体" w:hAnsi="宋体" w:cs="宋体"/>
          <w:color w:val="auto"/>
          <w:sz w:val="24"/>
        </w:rPr>
        <w:t>采购人对技术复杂、专业性极强的采购项目，通过随机方式难以确定合适评标专家的，可以采取选择性方式确定评标专家。</w:t>
      </w:r>
    </w:p>
    <w:p>
      <w:pPr>
        <w:spacing w:line="360" w:lineRule="auto"/>
        <w:ind w:firstLine="480" w:firstLineChars="200"/>
        <w:rPr>
          <w:rFonts w:ascii="宋体" w:hAnsi="宋体" w:cs="宋体"/>
          <w:color w:val="auto"/>
          <w:sz w:val="24"/>
        </w:rPr>
      </w:pPr>
      <w:r>
        <w:rPr>
          <w:rFonts w:hint="eastAsia" w:ascii="宋体" w:hAnsi="宋体" w:cs="宋体"/>
          <w:color w:val="auto"/>
          <w:sz w:val="24"/>
        </w:rPr>
        <w:t>采购预算金额在1000万元以上，评标委员会成员人数应当为7人以上单数。</w:t>
      </w:r>
    </w:p>
    <w:p>
      <w:pPr>
        <w:spacing w:line="360" w:lineRule="auto"/>
        <w:ind w:firstLine="480" w:firstLineChars="200"/>
        <w:rPr>
          <w:rFonts w:ascii="宋体" w:hAnsi="宋体" w:cs="宋体"/>
          <w:color w:val="auto"/>
          <w:sz w:val="24"/>
        </w:rPr>
      </w:pPr>
      <w:r>
        <w:rPr>
          <w:rFonts w:hint="eastAsia" w:ascii="宋体" w:hAnsi="宋体" w:cs="宋体"/>
          <w:color w:val="auto"/>
          <w:sz w:val="24"/>
        </w:rPr>
        <w:t>21.2参与过本项目的论证专家不得作为评标专家参加评标，采购人不得以专家身份参与评标。采购人委派的纪检监察人员进入评标现场不得超过2人，其他无关人员不得进入评标现场。</w:t>
      </w:r>
    </w:p>
    <w:p>
      <w:pPr>
        <w:spacing w:line="360" w:lineRule="auto"/>
        <w:rPr>
          <w:rFonts w:ascii="宋体" w:hAnsi="宋体" w:cs="宋体"/>
          <w:b/>
          <w:color w:val="auto"/>
          <w:sz w:val="24"/>
        </w:rPr>
      </w:pPr>
      <w:r>
        <w:rPr>
          <w:rFonts w:hint="eastAsia" w:ascii="宋体" w:hAnsi="宋体" w:cs="宋体"/>
          <w:b/>
          <w:color w:val="auto"/>
          <w:sz w:val="24"/>
        </w:rPr>
        <w:t>22、资格审查</w:t>
      </w:r>
    </w:p>
    <w:p>
      <w:pPr>
        <w:spacing w:line="360" w:lineRule="auto"/>
        <w:ind w:firstLine="480" w:firstLineChars="200"/>
        <w:rPr>
          <w:rFonts w:ascii="宋体" w:hAnsi="宋体" w:cs="宋体"/>
          <w:color w:val="auto"/>
          <w:sz w:val="24"/>
        </w:rPr>
      </w:pPr>
      <w:r>
        <w:rPr>
          <w:rFonts w:hint="eastAsia" w:ascii="宋体" w:hAnsi="宋体" w:cs="宋体"/>
          <w:color w:val="auto"/>
          <w:sz w:val="24"/>
        </w:rPr>
        <w:t>22.1公开招标采购项目采购人或者采购代理机构应当依法对供应商的资格进行审查。合格供应商不足3家的，不得评标。</w:t>
      </w:r>
    </w:p>
    <w:p>
      <w:pPr>
        <w:spacing w:line="360" w:lineRule="auto"/>
        <w:rPr>
          <w:rFonts w:ascii="宋体" w:hAnsi="宋体" w:cs="宋体"/>
          <w:b/>
          <w:color w:val="auto"/>
          <w:sz w:val="24"/>
        </w:rPr>
      </w:pPr>
      <w:r>
        <w:rPr>
          <w:rFonts w:hint="eastAsia" w:ascii="宋体" w:hAnsi="宋体" w:cs="宋体"/>
          <w:b/>
          <w:color w:val="auto"/>
          <w:sz w:val="24"/>
        </w:rPr>
        <w:t>23.初步评审</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23.1评标委员会审查投标文件是否符合招标文件的基本要求：内容是否完整、资格证明文件是否合格、文件签署是否齐全、有无计算错误等。 </w:t>
      </w:r>
    </w:p>
    <w:p>
      <w:pPr>
        <w:spacing w:line="360" w:lineRule="auto"/>
        <w:ind w:firstLine="480" w:firstLineChars="200"/>
        <w:rPr>
          <w:rFonts w:ascii="宋体" w:hAnsi="宋体" w:cs="宋体"/>
          <w:color w:val="auto"/>
          <w:sz w:val="24"/>
        </w:rPr>
      </w:pPr>
      <w:r>
        <w:rPr>
          <w:rFonts w:hint="eastAsia" w:ascii="宋体" w:hAnsi="宋体" w:cs="宋体"/>
          <w:color w:val="auto"/>
          <w:sz w:val="24"/>
        </w:rPr>
        <w:t>23.2评标委员会审查投标文件是否实质上响应招标文件的要求。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1）实质上响应的投标是指与招标文件上的条款、条件和规格相符，没有重大偏离或保留，否则将视为无效投标。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重大偏离或保留系指投标内容的服务要求和服务期等明显不能满足招标文件的要求，或者实质上与招标文件不一致，纠正这些偏离或保留将对其他实质上响应要求的供应商的竞争地位产生不公正的影响。包括但不限于：</w:t>
      </w:r>
    </w:p>
    <w:p>
      <w:pPr>
        <w:spacing w:line="360" w:lineRule="auto"/>
        <w:ind w:firstLine="470" w:firstLineChars="196"/>
        <w:rPr>
          <w:rFonts w:ascii="宋体" w:hAnsi="宋体" w:cs="宋体"/>
          <w:color w:val="auto"/>
          <w:sz w:val="24"/>
        </w:rPr>
      </w:pPr>
      <w:r>
        <w:rPr>
          <w:rFonts w:hint="eastAsia" w:ascii="宋体" w:hAnsi="宋体" w:cs="宋体"/>
          <w:color w:val="auto"/>
          <w:sz w:val="24"/>
        </w:rPr>
        <w:t>A、招标文件第二部分“供应商须知前附表”第12条“投标文件组成”部分中，带“★”号部分的证明文件不全或无效的；</w:t>
      </w:r>
    </w:p>
    <w:p>
      <w:pPr>
        <w:spacing w:line="360" w:lineRule="auto"/>
        <w:ind w:firstLine="470" w:firstLineChars="196"/>
        <w:rPr>
          <w:rFonts w:ascii="宋体" w:hAnsi="宋体" w:cs="宋体"/>
          <w:color w:val="auto"/>
          <w:sz w:val="24"/>
        </w:rPr>
      </w:pPr>
      <w:r>
        <w:rPr>
          <w:rFonts w:hint="eastAsia" w:ascii="宋体" w:hAnsi="宋体" w:cs="宋体"/>
          <w:color w:val="auto"/>
          <w:sz w:val="24"/>
        </w:rPr>
        <w:t>B、投标文件未按招标文件的规定签章的；</w:t>
      </w:r>
    </w:p>
    <w:p>
      <w:pPr>
        <w:spacing w:line="360" w:lineRule="auto"/>
        <w:ind w:firstLine="470" w:firstLineChars="196"/>
        <w:rPr>
          <w:rFonts w:ascii="宋体" w:hAnsi="宋体" w:cs="宋体"/>
          <w:color w:val="auto"/>
          <w:sz w:val="24"/>
        </w:rPr>
      </w:pPr>
      <w:r>
        <w:rPr>
          <w:rFonts w:hint="eastAsia" w:ascii="宋体" w:hAnsi="宋体" w:cs="宋体"/>
          <w:color w:val="auto"/>
          <w:sz w:val="24"/>
        </w:rPr>
        <w:t>C、未按投标文件份数要求提交投标文件的；</w:t>
      </w:r>
    </w:p>
    <w:p>
      <w:pPr>
        <w:spacing w:line="360" w:lineRule="auto"/>
        <w:ind w:firstLine="470" w:firstLineChars="196"/>
        <w:rPr>
          <w:rFonts w:ascii="宋体" w:hAnsi="宋体" w:cs="宋体"/>
          <w:color w:val="auto"/>
          <w:sz w:val="24"/>
        </w:rPr>
      </w:pPr>
      <w:r>
        <w:rPr>
          <w:rFonts w:hint="eastAsia" w:ascii="宋体" w:hAnsi="宋体" w:cs="宋体"/>
          <w:color w:val="auto"/>
          <w:sz w:val="24"/>
        </w:rPr>
        <w:t>D、招标文件带“★”号部分任意一款不满足要求的；</w:t>
      </w:r>
    </w:p>
    <w:p>
      <w:pPr>
        <w:spacing w:line="360" w:lineRule="auto"/>
        <w:ind w:firstLine="470" w:firstLineChars="196"/>
        <w:rPr>
          <w:rFonts w:ascii="宋体" w:hAnsi="宋体" w:cs="宋体"/>
          <w:color w:val="auto"/>
          <w:sz w:val="24"/>
        </w:rPr>
      </w:pPr>
      <w:r>
        <w:rPr>
          <w:rFonts w:hint="eastAsia" w:ascii="宋体" w:hAnsi="宋体" w:cs="宋体"/>
          <w:color w:val="auto"/>
          <w:sz w:val="24"/>
        </w:rPr>
        <w:t>E、报价超过项目预算或经评标委员会认定低于成本的；</w:t>
      </w:r>
    </w:p>
    <w:p>
      <w:pPr>
        <w:spacing w:line="360" w:lineRule="auto"/>
        <w:ind w:firstLine="470" w:firstLineChars="196"/>
        <w:rPr>
          <w:rFonts w:ascii="宋体" w:hAnsi="宋体" w:cs="宋体"/>
          <w:color w:val="auto"/>
          <w:sz w:val="24"/>
        </w:rPr>
      </w:pPr>
      <w:r>
        <w:rPr>
          <w:rFonts w:hint="eastAsia" w:ascii="宋体" w:hAnsi="宋体" w:cs="宋体"/>
          <w:color w:val="auto"/>
          <w:sz w:val="24"/>
        </w:rPr>
        <w:t>F、投标有效期不足的；</w:t>
      </w:r>
    </w:p>
    <w:p>
      <w:pPr>
        <w:spacing w:line="360" w:lineRule="auto"/>
        <w:ind w:firstLine="470" w:firstLineChars="196"/>
        <w:rPr>
          <w:rFonts w:ascii="宋体" w:hAnsi="宋体" w:cs="宋体"/>
          <w:color w:val="auto"/>
          <w:sz w:val="24"/>
        </w:rPr>
      </w:pPr>
      <w:r>
        <w:rPr>
          <w:rFonts w:hint="eastAsia" w:ascii="宋体" w:hAnsi="宋体" w:cs="宋体"/>
          <w:color w:val="auto"/>
          <w:sz w:val="24"/>
        </w:rPr>
        <w:t>G、联合体投标文件未附联合体投标协议书的；</w:t>
      </w:r>
    </w:p>
    <w:p>
      <w:pPr>
        <w:spacing w:line="360" w:lineRule="auto"/>
        <w:ind w:firstLine="470" w:firstLineChars="196"/>
        <w:rPr>
          <w:rFonts w:ascii="宋体" w:hAnsi="宋体" w:cs="宋体"/>
          <w:color w:val="auto"/>
          <w:sz w:val="24"/>
        </w:rPr>
      </w:pPr>
      <w:r>
        <w:rPr>
          <w:rFonts w:hint="eastAsia" w:ascii="宋体" w:hAnsi="宋体" w:cs="宋体"/>
          <w:color w:val="auto"/>
          <w:sz w:val="24"/>
        </w:rPr>
        <w:t>H、不符合招标文件中有关分包规定的；</w:t>
      </w:r>
    </w:p>
    <w:p>
      <w:pPr>
        <w:spacing w:line="360" w:lineRule="auto"/>
        <w:ind w:firstLine="470" w:firstLineChars="196"/>
        <w:rPr>
          <w:rFonts w:ascii="宋体" w:hAnsi="宋体" w:cs="宋体"/>
          <w:color w:val="auto"/>
          <w:sz w:val="24"/>
        </w:rPr>
      </w:pPr>
      <w:r>
        <w:rPr>
          <w:rFonts w:hint="eastAsia" w:ascii="宋体" w:hAnsi="宋体" w:cs="宋体"/>
          <w:color w:val="auto"/>
          <w:sz w:val="24"/>
        </w:rPr>
        <w:t>I、有串通投标或弄虚作假或有其他违法行为的；</w:t>
      </w:r>
    </w:p>
    <w:p>
      <w:pPr>
        <w:spacing w:line="360" w:lineRule="auto"/>
        <w:ind w:firstLine="470" w:firstLineChars="196"/>
        <w:rPr>
          <w:rFonts w:ascii="宋体" w:hAnsi="宋体" w:cs="宋体"/>
          <w:color w:val="auto"/>
          <w:sz w:val="24"/>
        </w:rPr>
      </w:pPr>
      <w:r>
        <w:rPr>
          <w:rFonts w:hint="eastAsia" w:ascii="宋体" w:hAnsi="宋体" w:cs="宋体"/>
          <w:color w:val="auto"/>
          <w:sz w:val="24"/>
        </w:rPr>
        <w:t>J、供应商名称或组织结构与报名时不一致且无有效变更证明的；</w:t>
      </w:r>
    </w:p>
    <w:p>
      <w:pPr>
        <w:spacing w:line="360" w:lineRule="auto"/>
        <w:ind w:firstLine="470" w:firstLineChars="196"/>
        <w:rPr>
          <w:rFonts w:ascii="宋体" w:hAnsi="宋体" w:cs="宋体"/>
          <w:color w:val="auto"/>
          <w:sz w:val="24"/>
        </w:rPr>
      </w:pPr>
      <w:r>
        <w:rPr>
          <w:rFonts w:hint="eastAsia" w:ascii="宋体" w:hAnsi="宋体" w:cs="宋体"/>
          <w:color w:val="auto"/>
          <w:sz w:val="24"/>
        </w:rPr>
        <w:t>K、不符合招标文件中规定的其他实质性要求。</w:t>
      </w:r>
    </w:p>
    <w:p>
      <w:pPr>
        <w:spacing w:line="360" w:lineRule="auto"/>
        <w:ind w:firstLine="480" w:firstLineChars="200"/>
        <w:rPr>
          <w:rFonts w:ascii="宋体" w:hAnsi="宋体" w:cs="宋体"/>
          <w:color w:val="auto"/>
          <w:sz w:val="24"/>
        </w:rPr>
      </w:pPr>
      <w:r>
        <w:rPr>
          <w:rFonts w:hint="eastAsia" w:ascii="宋体" w:hAnsi="宋体" w:cs="宋体"/>
          <w:color w:val="auto"/>
          <w:sz w:val="24"/>
        </w:rPr>
        <w:t>23.3投标文件的细微偏差是指在实质上响应招标文件要求，但在个别地方存在漏项或者提供了不完整的技术信息和数据等情况，并且补正这些遗漏或者不完整，不会对其他供应商造成不公正的结果。细微偏差不影响投标文件的有效性。</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23.4初步评审中，对明显的文字和计算错误按下述原则处理，若出现相互矛盾之处，应以排列在先的原则为准优先处理：        </w:t>
      </w:r>
    </w:p>
    <w:p>
      <w:pPr>
        <w:spacing w:line="360" w:lineRule="auto"/>
        <w:ind w:firstLine="470" w:firstLineChars="196"/>
        <w:rPr>
          <w:rFonts w:ascii="宋体" w:hAnsi="宋体" w:cs="宋体"/>
          <w:color w:val="auto"/>
          <w:sz w:val="24"/>
        </w:rPr>
      </w:pPr>
      <w:r>
        <w:rPr>
          <w:rFonts w:hint="eastAsia" w:ascii="宋体" w:hAnsi="宋体" w:cs="宋体"/>
          <w:color w:val="auto"/>
          <w:sz w:val="24"/>
        </w:rPr>
        <w:t>1）投标文件中的开标一览表与明细表内容不一致的，以开标一览表为准。</w:t>
      </w:r>
    </w:p>
    <w:p>
      <w:pPr>
        <w:spacing w:line="360" w:lineRule="auto"/>
        <w:ind w:firstLine="480" w:firstLineChars="200"/>
        <w:rPr>
          <w:rFonts w:ascii="宋体" w:hAnsi="宋体" w:cs="宋体"/>
          <w:color w:val="auto"/>
          <w:sz w:val="24"/>
        </w:rPr>
      </w:pPr>
      <w:r>
        <w:rPr>
          <w:rFonts w:hint="eastAsia" w:ascii="宋体" w:hAnsi="宋体" w:cs="宋体"/>
          <w:color w:val="auto"/>
          <w:sz w:val="24"/>
        </w:rPr>
        <w:t>2）如果以文字表示的数据与数字表示的有差别，以文字为准修正数字。如果大写金额和小写金额不一致的，以大写金额为准；</w:t>
      </w:r>
    </w:p>
    <w:p>
      <w:pPr>
        <w:spacing w:line="360" w:lineRule="auto"/>
        <w:ind w:firstLine="480" w:firstLineChars="200"/>
        <w:rPr>
          <w:rFonts w:ascii="宋体" w:hAnsi="宋体" w:cs="宋体"/>
          <w:color w:val="auto"/>
          <w:sz w:val="24"/>
        </w:rPr>
      </w:pPr>
      <w:r>
        <w:rPr>
          <w:rFonts w:hint="eastAsia" w:ascii="宋体" w:hAnsi="宋体" w:cs="宋体"/>
          <w:color w:val="auto"/>
          <w:sz w:val="24"/>
        </w:rPr>
        <w:t>3）如果单价乘以数量不等于总价，以单价为准修正总价，但单价金额小数点有明显错位的，应以总价为准，并修改单价。如果明细价格相加不等于汇总价格，以明细价格为准。</w:t>
      </w:r>
    </w:p>
    <w:p>
      <w:pPr>
        <w:spacing w:line="360" w:lineRule="auto"/>
        <w:ind w:firstLine="480" w:firstLineChars="200"/>
        <w:rPr>
          <w:rFonts w:ascii="宋体" w:hAnsi="宋体" w:cs="宋体"/>
          <w:color w:val="auto"/>
          <w:sz w:val="24"/>
        </w:rPr>
      </w:pPr>
      <w:r>
        <w:rPr>
          <w:rFonts w:hint="eastAsia" w:ascii="宋体" w:hAnsi="宋体" w:cs="宋体"/>
          <w:color w:val="auto"/>
          <w:sz w:val="24"/>
        </w:rPr>
        <w:t>4）调整后的数据对供应商具有约束力，供应商不同意以上修正，其投标将被拒绝。</w:t>
      </w:r>
    </w:p>
    <w:p>
      <w:pPr>
        <w:spacing w:line="360" w:lineRule="auto"/>
        <w:ind w:firstLine="480" w:firstLineChars="200"/>
        <w:rPr>
          <w:rFonts w:ascii="宋体" w:hAnsi="宋体" w:cs="宋体"/>
          <w:color w:val="auto"/>
          <w:sz w:val="24"/>
        </w:rPr>
      </w:pPr>
      <w:r>
        <w:rPr>
          <w:rFonts w:hint="eastAsia" w:ascii="宋体" w:hAnsi="宋体" w:cs="宋体"/>
          <w:color w:val="auto"/>
          <w:sz w:val="24"/>
        </w:rPr>
        <w:t>23.5评标委员会对投标文件的判定，只依据投标文件内容本身，不依据其他外来证明。</w:t>
      </w:r>
    </w:p>
    <w:p>
      <w:pPr>
        <w:spacing w:line="360" w:lineRule="auto"/>
        <w:rPr>
          <w:rFonts w:ascii="宋体" w:hAnsi="宋体" w:cs="宋体"/>
          <w:b/>
          <w:color w:val="auto"/>
          <w:sz w:val="24"/>
        </w:rPr>
      </w:pPr>
      <w:r>
        <w:rPr>
          <w:rFonts w:hint="eastAsia" w:ascii="宋体" w:hAnsi="宋体" w:cs="宋体"/>
          <w:b/>
          <w:color w:val="auto"/>
          <w:sz w:val="24"/>
        </w:rPr>
        <w:t>24.投标的澄清</w:t>
      </w:r>
    </w:p>
    <w:p>
      <w:pPr>
        <w:spacing w:line="360" w:lineRule="auto"/>
        <w:ind w:firstLine="480" w:firstLineChars="200"/>
        <w:rPr>
          <w:rFonts w:ascii="宋体" w:hAnsi="宋体" w:cs="宋体"/>
          <w:color w:val="auto"/>
          <w:sz w:val="24"/>
        </w:rPr>
      </w:pPr>
      <w:r>
        <w:rPr>
          <w:rFonts w:hint="eastAsia" w:ascii="宋体" w:hAnsi="宋体" w:cs="宋体"/>
          <w:color w:val="auto"/>
          <w:sz w:val="24"/>
        </w:rPr>
        <w:t>24.1评标委员会有权要求供应商对投标文件中含义不明确、对同类问题表述不一致或者有明显文字和计算错误等内容作必要的澄清、说明或者补正。该要求应当采用书面形式，并由评标委员会成员签字。评标委员会不接受供应商主动提出的澄清、说明或者补正。</w:t>
      </w:r>
    </w:p>
    <w:p>
      <w:pPr>
        <w:spacing w:line="360" w:lineRule="auto"/>
        <w:ind w:firstLine="480" w:firstLineChars="200"/>
        <w:rPr>
          <w:rFonts w:ascii="宋体" w:hAnsi="宋体" w:cs="宋体"/>
          <w:color w:val="auto"/>
          <w:sz w:val="24"/>
        </w:rPr>
      </w:pPr>
      <w:r>
        <w:rPr>
          <w:rFonts w:hint="eastAsia" w:ascii="宋体" w:hAnsi="宋体" w:cs="宋体"/>
          <w:color w:val="auto"/>
          <w:sz w:val="24"/>
        </w:rPr>
        <w:t>24.2供应商必须按照评标委员会通知的内容和时间做出书面答复，该答复经法定代表人或授权代理人的签字认可，将作为投标文件内容的一部分。澄清、说明或者补正不得超出投标文件的范围或者改变投标文件的实质性内容。供应商拒不按照要求对投标文件进行澄清、说明或者补正的，评标委员会可拒绝该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24.3如评标委员会一致认为某个供应商的报价明显不合理，有降低质量、不能诚信履行的可能时，评标委员会有权决定是否通知供应商限期进行书面解释或提供相关证明材料。若已要求，而该供应商在规定期限内未做出解释、作出的解释不合理或不能提供证明材料的，经评标委员会取得一致意见后，可拒绝该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24.4公开招标采购项目采购人或者采购代理机构应当依法对供应商的资格进行审查。合格供应商不足3家的，不得评标。</w:t>
      </w:r>
    </w:p>
    <w:p>
      <w:pPr>
        <w:spacing w:line="360" w:lineRule="auto"/>
        <w:rPr>
          <w:rFonts w:ascii="宋体" w:hAnsi="宋体" w:cs="宋体"/>
          <w:b/>
          <w:color w:val="auto"/>
          <w:sz w:val="24"/>
        </w:rPr>
      </w:pPr>
      <w:r>
        <w:rPr>
          <w:rFonts w:hint="eastAsia" w:ascii="宋体" w:hAnsi="宋体" w:cs="宋体"/>
          <w:b/>
          <w:color w:val="auto"/>
          <w:sz w:val="24"/>
        </w:rPr>
        <w:t>25.详细评审</w:t>
      </w:r>
    </w:p>
    <w:p>
      <w:pPr>
        <w:spacing w:line="360" w:lineRule="auto"/>
        <w:ind w:firstLine="480" w:firstLineChars="200"/>
        <w:rPr>
          <w:rFonts w:ascii="宋体" w:hAnsi="宋体" w:cs="宋体"/>
          <w:color w:val="auto"/>
          <w:sz w:val="24"/>
        </w:rPr>
      </w:pPr>
      <w:r>
        <w:rPr>
          <w:rFonts w:hint="eastAsia" w:ascii="宋体" w:hAnsi="宋体" w:cs="宋体"/>
          <w:color w:val="auto"/>
          <w:sz w:val="24"/>
        </w:rPr>
        <w:t>25.1评标委员会只对实质上响应招标文件的投标进行评价和比较；评审应严格按照招标文件第二部分“供应商须知前附表”中第23项规定以及招标文件的要求进行。具体要求等详见招标文件第五部分“评审方法”。</w:t>
      </w:r>
    </w:p>
    <w:p>
      <w:pPr>
        <w:spacing w:line="360" w:lineRule="auto"/>
        <w:ind w:firstLine="480" w:firstLineChars="200"/>
        <w:rPr>
          <w:rFonts w:ascii="宋体" w:hAnsi="宋体" w:cs="宋体"/>
          <w:color w:val="auto"/>
          <w:sz w:val="24"/>
        </w:rPr>
      </w:pPr>
      <w:r>
        <w:rPr>
          <w:rFonts w:hint="eastAsia" w:ascii="宋体" w:hAnsi="宋体" w:cs="宋体"/>
          <w:color w:val="auto"/>
          <w:sz w:val="24"/>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spacing w:line="360" w:lineRule="auto"/>
        <w:rPr>
          <w:rFonts w:ascii="宋体" w:hAnsi="宋体" w:cs="宋体"/>
          <w:b/>
          <w:color w:val="auto"/>
          <w:sz w:val="24"/>
        </w:rPr>
      </w:pPr>
      <w:r>
        <w:rPr>
          <w:rFonts w:hint="eastAsia" w:ascii="宋体" w:hAnsi="宋体" w:cs="宋体"/>
          <w:b/>
          <w:color w:val="auto"/>
          <w:sz w:val="24"/>
        </w:rPr>
        <w:t>26.确定中标人</w:t>
      </w:r>
    </w:p>
    <w:p>
      <w:pPr>
        <w:spacing w:line="360" w:lineRule="auto"/>
        <w:ind w:firstLine="480" w:firstLineChars="200"/>
        <w:rPr>
          <w:rFonts w:ascii="宋体" w:hAnsi="宋体" w:cs="宋体"/>
          <w:color w:val="auto"/>
          <w:sz w:val="24"/>
        </w:rPr>
      </w:pPr>
      <w:r>
        <w:rPr>
          <w:rFonts w:hint="eastAsia" w:ascii="宋体" w:hAnsi="宋体" w:cs="宋体"/>
          <w:color w:val="auto"/>
          <w:sz w:val="24"/>
        </w:rPr>
        <w:t>26.1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spacing w:line="360" w:lineRule="auto"/>
        <w:ind w:firstLine="480" w:firstLineChars="200"/>
        <w:rPr>
          <w:rFonts w:ascii="宋体" w:hAnsi="宋体" w:cs="宋体"/>
          <w:color w:val="auto"/>
          <w:sz w:val="24"/>
        </w:rPr>
      </w:pPr>
      <w:r>
        <w:rPr>
          <w:rFonts w:hint="eastAsia" w:ascii="宋体" w:hAnsi="宋体" w:cs="宋体"/>
          <w:color w:val="auto"/>
          <w:sz w:val="24"/>
        </w:rPr>
        <w:t>26.2 评标委员会根据评审结果及招标文件的规定确定中标人。</w:t>
      </w:r>
    </w:p>
    <w:p>
      <w:pPr>
        <w:spacing w:line="360" w:lineRule="auto"/>
        <w:rPr>
          <w:rFonts w:ascii="宋体" w:hAnsi="宋体" w:cs="宋体"/>
          <w:b/>
          <w:color w:val="auto"/>
          <w:sz w:val="24"/>
        </w:rPr>
      </w:pPr>
      <w:r>
        <w:rPr>
          <w:rFonts w:hint="eastAsia" w:ascii="宋体" w:hAnsi="宋体" w:cs="宋体"/>
          <w:b/>
          <w:color w:val="auto"/>
          <w:sz w:val="24"/>
        </w:rPr>
        <w:t>27.评标过程要求</w:t>
      </w:r>
    </w:p>
    <w:p>
      <w:pPr>
        <w:spacing w:line="360" w:lineRule="auto"/>
        <w:ind w:firstLine="480" w:firstLineChars="200"/>
        <w:rPr>
          <w:rFonts w:ascii="宋体" w:hAnsi="宋体" w:cs="宋体"/>
          <w:color w:val="auto"/>
          <w:sz w:val="24"/>
        </w:rPr>
      </w:pPr>
      <w:r>
        <w:rPr>
          <w:rFonts w:hint="eastAsia" w:ascii="宋体" w:hAnsi="宋体" w:cs="宋体"/>
          <w:color w:val="auto"/>
          <w:sz w:val="24"/>
        </w:rPr>
        <w:t>27.1开标之后，直到签订合同止，凡是属于审查、澄清、评价和比较投标的有关资料以及定标意向等，均不向供应商或者其他与评标无关的人员透露。</w:t>
      </w:r>
    </w:p>
    <w:p>
      <w:pPr>
        <w:spacing w:line="360" w:lineRule="auto"/>
        <w:ind w:firstLine="480" w:firstLineChars="200"/>
        <w:rPr>
          <w:rFonts w:ascii="宋体" w:hAnsi="宋体" w:cs="宋体"/>
          <w:color w:val="auto"/>
          <w:sz w:val="24"/>
        </w:rPr>
      </w:pPr>
      <w:r>
        <w:rPr>
          <w:rFonts w:hint="eastAsia" w:ascii="宋体" w:hAnsi="宋体" w:cs="宋体"/>
          <w:color w:val="auto"/>
          <w:sz w:val="24"/>
        </w:rPr>
        <w:t>27.2在确定中标人之前，供应商试图在投标文件审查、澄清、比较和评标时对评标委员会、采购人和采购代理机构施加任何影响都可能导致其投标无效。</w:t>
      </w:r>
    </w:p>
    <w:p>
      <w:pPr>
        <w:spacing w:line="360" w:lineRule="auto"/>
        <w:rPr>
          <w:rFonts w:ascii="宋体" w:hAnsi="宋体" w:cs="宋体"/>
          <w:b/>
          <w:color w:val="auto"/>
          <w:sz w:val="24"/>
        </w:rPr>
      </w:pPr>
      <w:r>
        <w:rPr>
          <w:rFonts w:hint="eastAsia" w:ascii="宋体" w:hAnsi="宋体" w:cs="宋体"/>
          <w:b/>
          <w:color w:val="auto"/>
          <w:sz w:val="24"/>
        </w:rPr>
        <w:t>28.供应商瑕疵滞后发现的处理规则</w:t>
      </w:r>
    </w:p>
    <w:p>
      <w:pPr>
        <w:spacing w:line="360" w:lineRule="auto"/>
        <w:ind w:firstLine="480" w:firstLineChars="200"/>
        <w:rPr>
          <w:rFonts w:ascii="宋体" w:hAnsi="宋体" w:cs="宋体"/>
          <w:color w:val="auto"/>
          <w:sz w:val="24"/>
        </w:rPr>
      </w:pPr>
      <w:r>
        <w:rPr>
          <w:rFonts w:hint="eastAsia" w:ascii="宋体" w:hAnsi="宋体" w:cs="宋体"/>
          <w:color w:val="auto"/>
          <w:sz w:val="24"/>
        </w:rPr>
        <w:t>28.1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pPr>
        <w:spacing w:line="360" w:lineRule="auto"/>
        <w:rPr>
          <w:rFonts w:ascii="宋体" w:hAnsi="宋体" w:cs="宋体"/>
          <w:b/>
          <w:color w:val="auto"/>
          <w:sz w:val="24"/>
        </w:rPr>
      </w:pPr>
      <w:r>
        <w:rPr>
          <w:rFonts w:hint="eastAsia" w:ascii="宋体" w:hAnsi="宋体" w:cs="宋体"/>
          <w:b/>
          <w:color w:val="auto"/>
          <w:sz w:val="24"/>
        </w:rPr>
        <w:t>29.采购项目废标</w:t>
      </w:r>
    </w:p>
    <w:p>
      <w:pPr>
        <w:spacing w:line="360" w:lineRule="auto"/>
        <w:ind w:firstLine="480" w:firstLineChars="200"/>
        <w:rPr>
          <w:rFonts w:ascii="宋体" w:hAnsi="宋体" w:cs="宋体"/>
          <w:color w:val="auto"/>
          <w:sz w:val="24"/>
        </w:rPr>
      </w:pPr>
      <w:r>
        <w:rPr>
          <w:rFonts w:hint="eastAsia" w:ascii="宋体" w:hAnsi="宋体" w:cs="宋体"/>
          <w:color w:val="auto"/>
          <w:sz w:val="24"/>
        </w:rPr>
        <w:t>29.1在评标过程中，评标委员会发现有下列情形之一的，应对采购项目予以废标：</w:t>
      </w:r>
    </w:p>
    <w:p>
      <w:pPr>
        <w:spacing w:line="360" w:lineRule="auto"/>
        <w:ind w:firstLine="480" w:firstLineChars="200"/>
        <w:rPr>
          <w:rFonts w:ascii="宋体" w:hAnsi="宋体" w:cs="宋体"/>
          <w:color w:val="auto"/>
          <w:sz w:val="24"/>
        </w:rPr>
      </w:pPr>
      <w:r>
        <w:rPr>
          <w:rFonts w:hint="eastAsia" w:ascii="宋体" w:hAnsi="宋体" w:cs="宋体"/>
          <w:color w:val="auto"/>
          <w:sz w:val="24"/>
        </w:rPr>
        <w:t>1）符合专业条件的供应商或者对招标文件作实质响应的供应商数量不足，导致进入详细评审、打分阶段的供应商不足3家的；</w:t>
      </w:r>
    </w:p>
    <w:p>
      <w:pPr>
        <w:spacing w:line="360" w:lineRule="auto"/>
        <w:ind w:left="479" w:leftChars="228"/>
        <w:rPr>
          <w:rFonts w:ascii="宋体" w:hAnsi="宋体" w:cs="宋体"/>
          <w:color w:val="auto"/>
          <w:sz w:val="24"/>
        </w:rPr>
      </w:pPr>
      <w:r>
        <w:rPr>
          <w:rFonts w:hint="eastAsia" w:ascii="宋体" w:hAnsi="宋体" w:cs="宋体"/>
          <w:color w:val="auto"/>
          <w:sz w:val="24"/>
        </w:rPr>
        <w:t>2）供应商的报价不符合招标文件要求的；</w:t>
      </w:r>
      <w:r>
        <w:rPr>
          <w:rFonts w:hint="eastAsia" w:ascii="宋体" w:hAnsi="宋体" w:cs="宋体"/>
          <w:color w:val="auto"/>
          <w:sz w:val="24"/>
        </w:rPr>
        <w:br w:type="textWrapping"/>
      </w:r>
      <w:r>
        <w:rPr>
          <w:rFonts w:hint="eastAsia" w:ascii="宋体" w:hAnsi="宋体" w:cs="宋体"/>
          <w:color w:val="auto"/>
          <w:sz w:val="24"/>
        </w:rPr>
        <w:t>3）出现影响采购公正的违法、违规行为的；</w:t>
      </w:r>
      <w:r>
        <w:rPr>
          <w:rFonts w:hint="eastAsia" w:ascii="宋体" w:hAnsi="宋体" w:cs="宋体"/>
          <w:color w:val="auto"/>
          <w:sz w:val="24"/>
        </w:rPr>
        <w:br w:type="textWrapping"/>
      </w:r>
      <w:r>
        <w:rPr>
          <w:rFonts w:hint="eastAsia" w:ascii="宋体" w:hAnsi="宋体" w:cs="宋体"/>
          <w:color w:val="auto"/>
          <w:sz w:val="24"/>
        </w:rPr>
        <w:t>4）因重大变故，采购任务取消的。</w:t>
      </w:r>
    </w:p>
    <w:p>
      <w:pPr>
        <w:spacing w:line="360" w:lineRule="auto"/>
        <w:ind w:firstLine="480" w:firstLineChars="200"/>
        <w:rPr>
          <w:rFonts w:ascii="宋体" w:hAnsi="宋体" w:cs="宋体"/>
          <w:color w:val="auto"/>
          <w:sz w:val="24"/>
        </w:rPr>
      </w:pPr>
      <w:r>
        <w:rPr>
          <w:rFonts w:hint="eastAsia" w:ascii="宋体" w:hAnsi="宋体" w:cs="宋体"/>
          <w:color w:val="auto"/>
          <w:sz w:val="24"/>
        </w:rPr>
        <w:t>除前款第四项规定的情形外，项目废标后，如未变更采购方式，采购代理机构将依法重新组织招标。</w:t>
      </w:r>
    </w:p>
    <w:p>
      <w:pPr>
        <w:spacing w:line="360" w:lineRule="auto"/>
        <w:ind w:firstLine="480" w:firstLineChars="200"/>
        <w:rPr>
          <w:rFonts w:ascii="宋体" w:hAnsi="宋体" w:cs="宋体"/>
          <w:color w:val="auto"/>
          <w:sz w:val="24"/>
        </w:rPr>
      </w:pPr>
      <w:r>
        <w:rPr>
          <w:rFonts w:hint="eastAsia" w:ascii="宋体" w:hAnsi="宋体" w:cs="宋体"/>
          <w:color w:val="auto"/>
          <w:sz w:val="24"/>
        </w:rPr>
        <w:t>29.2有前款第一项规定的情形导致废标时，供应商只有2家的，可以改为竞争性谈判方式，在书面征得供应商同意并报经财政部门核准后，由采购人、采购代理机构按照竞争性谈判方式的程序组织采购。</w:t>
      </w:r>
    </w:p>
    <w:p>
      <w:pPr>
        <w:spacing w:line="360" w:lineRule="auto"/>
        <w:ind w:firstLine="420" w:firstLineChars="175"/>
        <w:rPr>
          <w:rFonts w:ascii="宋体" w:hAnsi="宋体" w:cs="宋体"/>
          <w:color w:val="auto"/>
          <w:sz w:val="24"/>
        </w:rPr>
      </w:pPr>
      <w:r>
        <w:rPr>
          <w:rFonts w:hint="eastAsia" w:ascii="宋体" w:hAnsi="宋体" w:cs="宋体"/>
          <w:color w:val="auto"/>
          <w:sz w:val="24"/>
        </w:rPr>
        <w:t>29.2.1转为谈判后，若供应商未能在评标委员会指定时间内（原则上不超过60分钟）提交符合要求的补充资料或未作出实质性响应的，投标无效。经过审查符合谈判要求的有效供应商少于两家的，作废标处理。</w:t>
      </w:r>
    </w:p>
    <w:p>
      <w:pPr>
        <w:spacing w:line="360" w:lineRule="auto"/>
        <w:ind w:firstLine="420" w:firstLineChars="175"/>
        <w:rPr>
          <w:rFonts w:ascii="宋体" w:hAnsi="宋体" w:cs="宋体"/>
          <w:color w:val="auto"/>
          <w:sz w:val="24"/>
        </w:rPr>
      </w:pPr>
      <w:r>
        <w:rPr>
          <w:rFonts w:hint="eastAsia" w:ascii="宋体" w:hAnsi="宋体" w:cs="宋体"/>
          <w:color w:val="auto"/>
          <w:sz w:val="24"/>
        </w:rPr>
        <w:t>29.2.2评标委员会根据招标文件内容与实质性响应招标文件要求的供应商分别进行谈判，并给予所有参加谈判的供应商平等的谈判机会。在谈判过程中，评标委员会可以根据招标文件和谈判情况实质性变动采购需求中的技术、服务要求以及合同草案条款，但不得变动招标文件中的其他内容。实质性变动的内容，须经采购人代表确认。对招标文件作出的实质性变动是招标文件的有效组成部分，评标委员会应当及时以书面形式同时通知所有参加谈判的供应商。</w:t>
      </w:r>
    </w:p>
    <w:p>
      <w:pPr>
        <w:spacing w:line="360" w:lineRule="auto"/>
        <w:ind w:firstLine="420" w:firstLineChars="175"/>
        <w:rPr>
          <w:rFonts w:ascii="宋体" w:hAnsi="宋体" w:cs="宋体"/>
          <w:color w:val="auto"/>
          <w:sz w:val="24"/>
        </w:rPr>
      </w:pPr>
      <w:r>
        <w:rPr>
          <w:rFonts w:hint="eastAsia" w:ascii="宋体" w:hAnsi="宋体" w:cs="宋体"/>
          <w:color w:val="auto"/>
          <w:sz w:val="24"/>
        </w:rPr>
        <w:t>供应商应当按照招标文件的变动情况和评标委员会的要求重新提交</w:t>
      </w:r>
      <w:r>
        <w:rPr>
          <w:rFonts w:hint="eastAsia" w:ascii="宋体" w:hAnsi="宋体" w:cs="宋体"/>
          <w:color w:val="auto"/>
          <w:sz w:val="24"/>
          <w:lang w:val="en-US" w:eastAsia="zh-CN"/>
        </w:rPr>
        <w:t>投标</w:t>
      </w:r>
      <w:r>
        <w:rPr>
          <w:rFonts w:hint="eastAsia" w:ascii="宋体" w:hAnsi="宋体" w:cs="宋体"/>
          <w:color w:val="auto"/>
          <w:sz w:val="24"/>
        </w:rPr>
        <w:t>文件，并由其法定代表人或授权代表签字或者加盖公章。</w:t>
      </w:r>
    </w:p>
    <w:p>
      <w:pPr>
        <w:spacing w:line="360" w:lineRule="auto"/>
        <w:ind w:firstLine="480"/>
        <w:rPr>
          <w:rFonts w:ascii="宋体" w:hAnsi="宋体" w:cs="宋体"/>
          <w:color w:val="auto"/>
          <w:sz w:val="24"/>
        </w:rPr>
      </w:pPr>
      <w:r>
        <w:rPr>
          <w:rFonts w:hint="eastAsia" w:ascii="宋体" w:hAnsi="宋体" w:cs="宋体"/>
          <w:color w:val="auto"/>
          <w:sz w:val="24"/>
        </w:rPr>
        <w:t>29.2.3投标文件的报价视为谈判时的首次报价。谈判结束后，评标委员会应当要求所有继续参加谈判的供应商在规定时间内提交不超过两轮的报价。供应商的各轮报价是供应商报价文件的有效组成部分。除最终报价外，谈判时将公开各供应商每轮报价。</w:t>
      </w:r>
    </w:p>
    <w:p>
      <w:pPr>
        <w:spacing w:line="360" w:lineRule="auto"/>
        <w:ind w:firstLine="523" w:firstLineChars="218"/>
        <w:rPr>
          <w:rFonts w:ascii="宋体" w:hAnsi="宋体" w:cs="宋体"/>
          <w:color w:val="auto"/>
          <w:sz w:val="24"/>
        </w:rPr>
      </w:pPr>
      <w:r>
        <w:rPr>
          <w:rFonts w:hint="eastAsia" w:ascii="宋体" w:hAnsi="宋体" w:cs="宋体"/>
          <w:color w:val="auto"/>
          <w:sz w:val="24"/>
        </w:rPr>
        <w:t>29.2.4在谈判内容不作实质性变更及重大调整的前提下，供应商次轮报价不得高于上一轮报价，否则将视为重大偏离并导致报价被拒绝。</w:t>
      </w:r>
    </w:p>
    <w:p>
      <w:pPr>
        <w:pStyle w:val="5"/>
        <w:numPr>
          <w:ilvl w:val="0"/>
          <w:numId w:val="0"/>
        </w:numPr>
        <w:spacing w:before="0" w:after="0" w:line="360" w:lineRule="auto"/>
        <w:rPr>
          <w:rFonts w:ascii="宋体" w:hAnsi="宋体" w:cs="宋体"/>
          <w:color w:val="auto"/>
          <w:sz w:val="24"/>
          <w:szCs w:val="24"/>
        </w:rPr>
      </w:pPr>
      <w:bookmarkStart w:id="29" w:name="_Toc30153"/>
      <w:r>
        <w:rPr>
          <w:rFonts w:hint="eastAsia" w:ascii="宋体" w:hAnsi="宋体" w:cs="宋体"/>
          <w:color w:val="auto"/>
          <w:sz w:val="24"/>
          <w:szCs w:val="24"/>
        </w:rPr>
        <w:t>八、履约保证金</w:t>
      </w:r>
      <w:bookmarkEnd w:id="29"/>
    </w:p>
    <w:p>
      <w:pPr>
        <w:spacing w:line="360" w:lineRule="auto"/>
        <w:rPr>
          <w:rFonts w:ascii="宋体" w:hAnsi="宋体" w:cs="宋体"/>
          <w:b/>
          <w:color w:val="auto"/>
          <w:sz w:val="24"/>
        </w:rPr>
      </w:pPr>
      <w:r>
        <w:rPr>
          <w:rFonts w:hint="eastAsia" w:ascii="宋体" w:hAnsi="宋体" w:cs="宋体"/>
          <w:color w:val="auto"/>
          <w:sz w:val="24"/>
          <w:szCs w:val="24"/>
        </w:rPr>
        <w:t>(见供应商须知前附表)</w:t>
      </w:r>
    </w:p>
    <w:p>
      <w:pPr>
        <w:spacing w:line="360" w:lineRule="auto"/>
        <w:rPr>
          <w:rFonts w:ascii="宋体" w:hAnsi="宋体" w:cs="宋体"/>
          <w:b/>
          <w:color w:val="auto"/>
          <w:sz w:val="24"/>
        </w:rPr>
      </w:pPr>
      <w:r>
        <w:rPr>
          <w:rFonts w:hint="eastAsia" w:ascii="宋体" w:hAnsi="宋体" w:cs="宋体"/>
          <w:b/>
          <w:color w:val="auto"/>
          <w:sz w:val="24"/>
        </w:rPr>
        <w:t>31.代理服务费</w:t>
      </w:r>
    </w:p>
    <w:p>
      <w:pPr>
        <w:spacing w:line="360" w:lineRule="auto"/>
        <w:ind w:firstLine="470" w:firstLineChars="196"/>
        <w:rPr>
          <w:rFonts w:ascii="宋体" w:hAnsi="宋体" w:cs="宋体"/>
          <w:color w:val="auto"/>
          <w:sz w:val="24"/>
        </w:rPr>
      </w:pPr>
      <w:r>
        <w:rPr>
          <w:rFonts w:hint="eastAsia" w:ascii="宋体" w:hAnsi="宋体" w:cs="宋体"/>
          <w:color w:val="auto"/>
          <w:sz w:val="24"/>
        </w:rPr>
        <w:t>31.1代理服务费、公证费按照招标文件第二部分“供应商须知前附表”中第29项的规定由中标人交纳，请供应商在测算投标报价时充分考虑这一因素。</w:t>
      </w:r>
    </w:p>
    <w:p>
      <w:pPr>
        <w:pStyle w:val="5"/>
        <w:numPr>
          <w:ilvl w:val="0"/>
          <w:numId w:val="0"/>
        </w:numPr>
        <w:spacing w:before="0" w:after="0" w:line="360" w:lineRule="auto"/>
        <w:rPr>
          <w:rFonts w:ascii="宋体" w:hAnsi="宋体" w:cs="宋体"/>
          <w:color w:val="auto"/>
          <w:sz w:val="24"/>
          <w:szCs w:val="24"/>
        </w:rPr>
      </w:pPr>
      <w:bookmarkStart w:id="30" w:name="_Toc15802"/>
      <w:r>
        <w:rPr>
          <w:rFonts w:hint="eastAsia" w:ascii="宋体" w:hAnsi="宋体" w:cs="宋体"/>
          <w:color w:val="auto"/>
          <w:sz w:val="24"/>
          <w:szCs w:val="24"/>
        </w:rPr>
        <w:t>九、签订、审核合同</w:t>
      </w:r>
      <w:bookmarkEnd w:id="30"/>
    </w:p>
    <w:p>
      <w:pPr>
        <w:spacing w:line="360" w:lineRule="auto"/>
        <w:rPr>
          <w:rFonts w:ascii="宋体" w:hAnsi="宋体" w:cs="宋体"/>
          <w:b/>
          <w:color w:val="auto"/>
          <w:sz w:val="24"/>
        </w:rPr>
      </w:pPr>
      <w:r>
        <w:rPr>
          <w:rFonts w:hint="eastAsia" w:ascii="宋体" w:hAnsi="宋体" w:cs="宋体"/>
          <w:b/>
          <w:color w:val="auto"/>
          <w:sz w:val="24"/>
        </w:rPr>
        <w:t>32.中标通知</w:t>
      </w:r>
    </w:p>
    <w:p>
      <w:pPr>
        <w:spacing w:line="360" w:lineRule="auto"/>
        <w:ind w:firstLine="480" w:firstLineChars="200"/>
        <w:rPr>
          <w:rFonts w:ascii="宋体" w:hAnsi="宋体" w:cs="宋体"/>
          <w:color w:val="auto"/>
          <w:sz w:val="24"/>
        </w:rPr>
      </w:pPr>
      <w:r>
        <w:rPr>
          <w:rFonts w:hint="eastAsia" w:ascii="宋体" w:hAnsi="宋体" w:cs="宋体"/>
          <w:color w:val="auto"/>
          <w:sz w:val="24"/>
        </w:rPr>
        <w:t>32.1中标人确定后,采购代理机构将在相关政府采购信息发布媒体上发布中标公告，并以书面形式向中标人发出中标通知书，但该中标结果的有效性不依赖于未中标的供应商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32.2采购代理机构对未中标的供应商不作未中标原因的解释，但中标结果的有效性不以未中标的供应商是否收到相应的通知为前提。</w:t>
      </w:r>
    </w:p>
    <w:p>
      <w:pPr>
        <w:spacing w:line="360" w:lineRule="auto"/>
        <w:ind w:firstLine="480" w:firstLineChars="200"/>
        <w:rPr>
          <w:rFonts w:ascii="宋体" w:hAnsi="宋体" w:cs="宋体"/>
          <w:color w:val="auto"/>
          <w:sz w:val="24"/>
        </w:rPr>
      </w:pPr>
      <w:r>
        <w:rPr>
          <w:rFonts w:hint="eastAsia" w:ascii="宋体" w:hAnsi="宋体" w:cs="宋体"/>
          <w:color w:val="auto"/>
          <w:sz w:val="24"/>
        </w:rPr>
        <w:t>32.3中标通知书是合同的组成部分。</w:t>
      </w:r>
    </w:p>
    <w:p>
      <w:pPr>
        <w:spacing w:line="360" w:lineRule="auto"/>
        <w:rPr>
          <w:rFonts w:ascii="宋体" w:hAnsi="宋体" w:cs="宋体"/>
          <w:b/>
          <w:color w:val="auto"/>
          <w:sz w:val="24"/>
        </w:rPr>
      </w:pPr>
      <w:r>
        <w:rPr>
          <w:rFonts w:hint="eastAsia" w:ascii="宋体" w:hAnsi="宋体" w:cs="宋体"/>
          <w:b/>
          <w:color w:val="auto"/>
          <w:sz w:val="24"/>
        </w:rPr>
        <w:t>33.签订合同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33.1中标人须在中标通知书发出之日起30日内与采购人签订采购合同。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33.2中标人须按照招标文件、投标文件及评标过程中的有关澄清、说明或者补正文件的内容与采购人签订合同。中标人不得再与采购人签订背离合同实质性内容的其他协议或声明。</w:t>
      </w:r>
    </w:p>
    <w:p>
      <w:pPr>
        <w:spacing w:line="360" w:lineRule="auto"/>
        <w:ind w:firstLine="480" w:firstLineChars="200"/>
        <w:rPr>
          <w:rFonts w:ascii="宋体" w:hAnsi="宋体" w:cs="宋体"/>
          <w:color w:val="auto"/>
          <w:sz w:val="24"/>
        </w:rPr>
      </w:pPr>
      <w:r>
        <w:rPr>
          <w:rFonts w:hint="eastAsia" w:ascii="宋体" w:hAnsi="宋体" w:cs="宋体"/>
          <w:color w:val="auto"/>
          <w:sz w:val="24"/>
        </w:rPr>
        <w:t>33.3采购人如需追加与合同标的相同的货物或服务，在不改变合同其他条款的前提下，提交追加合同的申请报经同级财政部门审核后，可与中标人签订补充合同，但所有补充合同的采购金额不得超过原合同金额的百分之十。</w:t>
      </w:r>
    </w:p>
    <w:p>
      <w:pPr>
        <w:spacing w:line="360" w:lineRule="auto"/>
        <w:ind w:firstLine="480" w:firstLineChars="200"/>
        <w:rPr>
          <w:rFonts w:ascii="宋体" w:hAnsi="宋体" w:cs="宋体"/>
          <w:color w:val="auto"/>
          <w:sz w:val="24"/>
        </w:rPr>
      </w:pPr>
      <w:r>
        <w:rPr>
          <w:rFonts w:hint="eastAsia" w:ascii="宋体" w:hAnsi="宋体" w:cs="宋体"/>
          <w:color w:val="auto"/>
          <w:sz w:val="24"/>
        </w:rPr>
        <w:t>33.4中标人一旦中标及签订合同后，不得转包，亦不得将合同全部及任何权利、义务向第三方转让。</w:t>
      </w:r>
    </w:p>
    <w:p>
      <w:pPr>
        <w:spacing w:line="360" w:lineRule="auto"/>
        <w:ind w:firstLine="480" w:firstLineChars="200"/>
        <w:rPr>
          <w:rFonts w:ascii="宋体" w:hAnsi="宋体" w:cs="宋体"/>
          <w:color w:val="auto"/>
          <w:sz w:val="24"/>
        </w:rPr>
      </w:pPr>
      <w:r>
        <w:rPr>
          <w:rFonts w:hint="eastAsia" w:ascii="宋体" w:hAnsi="宋体" w:cs="宋体"/>
          <w:color w:val="auto"/>
          <w:sz w:val="24"/>
        </w:rPr>
        <w:t>33.5中标人不履行合同的，采购人可在报经同级人民政府财政部门核准后，与排位在中标人之后的第一位中标候选供应商签订合同，以此类推；或在报经同级人民政府财政部门核准后重新组织采购。</w:t>
      </w:r>
    </w:p>
    <w:p>
      <w:pPr>
        <w:spacing w:line="360" w:lineRule="auto"/>
        <w:ind w:firstLine="480" w:firstLineChars="200"/>
        <w:rPr>
          <w:rFonts w:ascii="宋体" w:hAnsi="宋体" w:cs="宋体"/>
          <w:color w:val="auto"/>
          <w:sz w:val="24"/>
        </w:rPr>
      </w:pPr>
      <w:r>
        <w:rPr>
          <w:rFonts w:hint="eastAsia" w:ascii="宋体" w:hAnsi="宋体" w:cs="宋体"/>
          <w:color w:val="auto"/>
          <w:sz w:val="24"/>
        </w:rPr>
        <w:t>33.6违反32.1条、32.2条的规定，给对方造成损失的，应承担赔偿责任。</w:t>
      </w:r>
    </w:p>
    <w:p>
      <w:pPr>
        <w:spacing w:line="360" w:lineRule="auto"/>
        <w:rPr>
          <w:rFonts w:ascii="宋体" w:hAnsi="宋体" w:cs="宋体"/>
          <w:b/>
          <w:color w:val="auto"/>
          <w:sz w:val="24"/>
        </w:rPr>
      </w:pPr>
      <w:r>
        <w:rPr>
          <w:rFonts w:hint="eastAsia" w:ascii="宋体" w:hAnsi="宋体" w:cs="宋体"/>
          <w:b/>
          <w:color w:val="auto"/>
          <w:sz w:val="24"/>
        </w:rPr>
        <w:t>34.审核合同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34.1中标人持政府采购合同于签订合同之日起3个工作日内到相关部门备案留存。</w:t>
      </w:r>
    </w:p>
    <w:p>
      <w:pPr>
        <w:pStyle w:val="5"/>
        <w:numPr>
          <w:ilvl w:val="0"/>
          <w:numId w:val="0"/>
        </w:numPr>
        <w:spacing w:before="0" w:after="0" w:line="360" w:lineRule="auto"/>
        <w:rPr>
          <w:rFonts w:ascii="宋体" w:hAnsi="宋体" w:cs="宋体"/>
          <w:color w:val="auto"/>
          <w:sz w:val="24"/>
          <w:szCs w:val="24"/>
        </w:rPr>
      </w:pPr>
      <w:bookmarkStart w:id="31" w:name="_Toc8542"/>
      <w:r>
        <w:rPr>
          <w:rFonts w:hint="eastAsia" w:ascii="宋体" w:hAnsi="宋体" w:cs="宋体"/>
          <w:color w:val="auto"/>
          <w:sz w:val="24"/>
          <w:szCs w:val="24"/>
        </w:rPr>
        <w:t>十、处罚、询问和质疑</w:t>
      </w:r>
      <w:bookmarkEnd w:id="31"/>
      <w:r>
        <w:rPr>
          <w:rFonts w:hint="eastAsia" w:ascii="宋体" w:hAnsi="宋体" w:cs="宋体"/>
          <w:color w:val="auto"/>
          <w:sz w:val="24"/>
          <w:szCs w:val="24"/>
        </w:rPr>
        <w:t xml:space="preserve"> </w:t>
      </w:r>
    </w:p>
    <w:p>
      <w:pPr>
        <w:spacing w:line="360" w:lineRule="auto"/>
        <w:rPr>
          <w:rFonts w:ascii="宋体" w:hAnsi="宋体" w:cs="宋体"/>
          <w:b/>
          <w:color w:val="auto"/>
          <w:sz w:val="24"/>
        </w:rPr>
      </w:pPr>
      <w:r>
        <w:rPr>
          <w:rFonts w:hint="eastAsia" w:ascii="宋体" w:hAnsi="宋体" w:cs="宋体"/>
          <w:b/>
          <w:color w:val="auto"/>
          <w:sz w:val="24"/>
        </w:rPr>
        <w:t>35.处罚</w:t>
      </w:r>
    </w:p>
    <w:p>
      <w:pPr>
        <w:spacing w:line="360" w:lineRule="auto"/>
        <w:ind w:firstLine="480" w:firstLineChars="200"/>
        <w:rPr>
          <w:rFonts w:ascii="宋体" w:hAnsi="宋体" w:cs="宋体"/>
          <w:color w:val="auto"/>
          <w:sz w:val="24"/>
        </w:rPr>
      </w:pPr>
      <w:r>
        <w:rPr>
          <w:rFonts w:hint="eastAsia" w:ascii="宋体" w:hAnsi="宋体" w:cs="宋体"/>
          <w:color w:val="auto"/>
          <w:sz w:val="24"/>
        </w:rPr>
        <w:t>35.1发生下列情况之一，供应商的保证金不予退还；情节严重的将其列入不良记录名单。</w:t>
      </w:r>
    </w:p>
    <w:p>
      <w:pPr>
        <w:spacing w:line="360" w:lineRule="auto"/>
        <w:ind w:firstLine="480" w:firstLineChars="200"/>
        <w:rPr>
          <w:rFonts w:ascii="宋体" w:hAnsi="宋体" w:cs="宋体"/>
          <w:color w:val="auto"/>
          <w:sz w:val="24"/>
        </w:rPr>
      </w:pPr>
      <w:r>
        <w:rPr>
          <w:rFonts w:hint="eastAsia" w:ascii="宋体" w:hAnsi="宋体" w:cs="宋体"/>
          <w:color w:val="auto"/>
          <w:sz w:val="24"/>
        </w:rPr>
        <w:t>1）开标后在投标有效期内，供应商撤回其投标；</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2）中标后无正当理由不与采购人签订合同的；</w:t>
      </w:r>
    </w:p>
    <w:p>
      <w:pPr>
        <w:spacing w:line="360" w:lineRule="auto"/>
        <w:ind w:firstLine="480" w:firstLineChars="200"/>
        <w:rPr>
          <w:rFonts w:ascii="宋体" w:hAnsi="宋体" w:cs="宋体"/>
          <w:color w:val="auto"/>
          <w:sz w:val="24"/>
        </w:rPr>
      </w:pPr>
      <w:r>
        <w:rPr>
          <w:rFonts w:hint="eastAsia" w:ascii="宋体" w:hAnsi="宋体" w:cs="宋体"/>
          <w:color w:val="auto"/>
          <w:sz w:val="24"/>
        </w:rPr>
        <w:t>3）中标人与采购人订立背离合同实质性内容的其他协议；</w:t>
      </w:r>
    </w:p>
    <w:p>
      <w:pPr>
        <w:spacing w:line="360" w:lineRule="auto"/>
        <w:ind w:firstLine="480" w:firstLineChars="200"/>
        <w:rPr>
          <w:rFonts w:ascii="宋体" w:hAnsi="宋体" w:cs="宋体"/>
          <w:color w:val="auto"/>
          <w:sz w:val="24"/>
        </w:rPr>
      </w:pPr>
      <w:r>
        <w:rPr>
          <w:rFonts w:hint="eastAsia" w:ascii="宋体" w:hAnsi="宋体" w:cs="宋体"/>
          <w:color w:val="auto"/>
          <w:sz w:val="24"/>
        </w:rPr>
        <w:t>4）将中标项目转让给他人，或者在投标文件中未说明，且未经采购代理机构同意，将中标项目分包给他人的；</w:t>
      </w:r>
    </w:p>
    <w:p>
      <w:pPr>
        <w:spacing w:line="360" w:lineRule="auto"/>
        <w:ind w:firstLine="480" w:firstLineChars="200"/>
        <w:rPr>
          <w:rFonts w:ascii="宋体" w:hAnsi="宋体" w:cs="宋体"/>
          <w:color w:val="auto"/>
          <w:sz w:val="24"/>
        </w:rPr>
      </w:pPr>
      <w:r>
        <w:rPr>
          <w:rFonts w:hint="eastAsia" w:ascii="宋体" w:hAnsi="宋体" w:cs="宋体"/>
          <w:color w:val="auto"/>
          <w:sz w:val="24"/>
        </w:rPr>
        <w:t>5）存在串通投标行为的；</w:t>
      </w:r>
    </w:p>
    <w:p>
      <w:pPr>
        <w:spacing w:line="360" w:lineRule="auto"/>
        <w:ind w:firstLine="480" w:firstLineChars="200"/>
        <w:rPr>
          <w:rFonts w:ascii="宋体" w:hAnsi="宋体" w:cs="宋体"/>
          <w:color w:val="auto"/>
          <w:sz w:val="24"/>
        </w:rPr>
      </w:pPr>
      <w:r>
        <w:rPr>
          <w:rFonts w:hint="eastAsia" w:ascii="宋体" w:hAnsi="宋体" w:cs="宋体"/>
          <w:color w:val="auto"/>
          <w:sz w:val="24"/>
        </w:rPr>
        <w:t>6）存在弄虚作假或提供虚假材料谋取中标的；</w:t>
      </w:r>
    </w:p>
    <w:p>
      <w:pPr>
        <w:spacing w:line="360" w:lineRule="auto"/>
        <w:ind w:firstLine="480" w:firstLineChars="200"/>
        <w:rPr>
          <w:rFonts w:ascii="宋体" w:hAnsi="宋体" w:cs="宋体"/>
          <w:color w:val="auto"/>
          <w:sz w:val="24"/>
        </w:rPr>
      </w:pPr>
      <w:r>
        <w:rPr>
          <w:rFonts w:hint="eastAsia" w:ascii="宋体" w:hAnsi="宋体" w:cs="宋体"/>
          <w:color w:val="auto"/>
          <w:sz w:val="24"/>
        </w:rPr>
        <w:t>7）供应商其他未按招标文件规定和合同约定履行义务的行为。</w:t>
      </w:r>
    </w:p>
    <w:p>
      <w:pPr>
        <w:spacing w:line="360" w:lineRule="auto"/>
        <w:rPr>
          <w:rFonts w:ascii="宋体" w:hAnsi="宋体" w:cs="宋体"/>
          <w:b/>
          <w:color w:val="auto"/>
          <w:sz w:val="24"/>
        </w:rPr>
      </w:pPr>
      <w:r>
        <w:rPr>
          <w:rFonts w:hint="eastAsia" w:ascii="宋体" w:hAnsi="宋体" w:cs="宋体"/>
          <w:b/>
          <w:color w:val="auto"/>
          <w:sz w:val="24"/>
        </w:rPr>
        <w:t>36．询问</w:t>
      </w:r>
    </w:p>
    <w:p>
      <w:pPr>
        <w:spacing w:line="360" w:lineRule="auto"/>
        <w:ind w:firstLine="480" w:firstLineChars="200"/>
        <w:rPr>
          <w:rFonts w:ascii="宋体" w:hAnsi="宋体" w:cs="宋体"/>
          <w:color w:val="auto"/>
          <w:sz w:val="24"/>
        </w:rPr>
      </w:pPr>
      <w:r>
        <w:rPr>
          <w:rFonts w:hint="eastAsia" w:ascii="宋体" w:hAnsi="宋体" w:cs="宋体"/>
          <w:color w:val="auto"/>
          <w:sz w:val="24"/>
        </w:rPr>
        <w:t>36.1供应商对采购事项有疑问的，可以向采购人或采购代理机构提出询问。</w:t>
      </w:r>
    </w:p>
    <w:p>
      <w:pPr>
        <w:spacing w:line="360" w:lineRule="auto"/>
        <w:rPr>
          <w:rFonts w:ascii="宋体" w:hAnsi="宋体" w:cs="宋体"/>
          <w:b/>
          <w:color w:val="auto"/>
          <w:sz w:val="24"/>
        </w:rPr>
      </w:pPr>
      <w:r>
        <w:rPr>
          <w:rFonts w:hint="eastAsia" w:ascii="宋体" w:hAnsi="宋体" w:cs="宋体"/>
          <w:b/>
          <w:color w:val="auto"/>
          <w:sz w:val="24"/>
        </w:rPr>
        <w:t>37.供应商有权就招标事宜提出质疑</w:t>
      </w:r>
    </w:p>
    <w:p>
      <w:pPr>
        <w:spacing w:line="360" w:lineRule="auto"/>
        <w:ind w:firstLine="480" w:firstLineChars="200"/>
        <w:rPr>
          <w:rFonts w:ascii="宋体" w:hAnsi="宋体" w:cs="宋体"/>
          <w:color w:val="auto"/>
          <w:sz w:val="24"/>
        </w:rPr>
      </w:pPr>
      <w:r>
        <w:rPr>
          <w:rFonts w:hint="eastAsia" w:ascii="宋体" w:hAnsi="宋体" w:cs="宋体"/>
          <w:color w:val="auto"/>
          <w:sz w:val="24"/>
        </w:rPr>
        <w:t>37.1供应商认为招标文件、采购过程和中标结果使自已的权益受到损害的，可以在知道或者应知其权益受到损害之日起7个工作日内，以书面形式提出质疑。</w:t>
      </w:r>
    </w:p>
    <w:p>
      <w:pPr>
        <w:spacing w:line="360" w:lineRule="auto"/>
        <w:ind w:firstLine="480" w:firstLineChars="200"/>
        <w:rPr>
          <w:rFonts w:ascii="宋体" w:hAnsi="宋体" w:cs="宋体"/>
          <w:color w:val="auto"/>
          <w:sz w:val="24"/>
        </w:rPr>
      </w:pPr>
      <w:r>
        <w:rPr>
          <w:rFonts w:hint="eastAsia" w:ascii="宋体" w:hAnsi="宋体" w:cs="宋体"/>
          <w:color w:val="auto"/>
          <w:sz w:val="24"/>
        </w:rPr>
        <w:t>37.2质疑应当按照《中华人民共和国政府采购法》、《中华人民共和国政府采购法实施条例》、《政府采购供应商投诉处理办法》等法律法规的相关规定，以书面形式向采购代理机构提出。</w:t>
      </w:r>
    </w:p>
    <w:p>
      <w:pPr>
        <w:spacing w:line="360" w:lineRule="auto"/>
        <w:ind w:firstLine="480" w:firstLineChars="200"/>
        <w:rPr>
          <w:rFonts w:ascii="宋体" w:hAnsi="宋体" w:cs="宋体"/>
          <w:color w:val="auto"/>
          <w:sz w:val="24"/>
        </w:rPr>
      </w:pPr>
      <w:r>
        <w:rPr>
          <w:rFonts w:hint="eastAsia" w:ascii="宋体" w:hAnsi="宋体" w:cs="宋体"/>
          <w:color w:val="auto"/>
          <w:sz w:val="24"/>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spacing w:line="360" w:lineRule="auto"/>
        <w:ind w:firstLine="480" w:firstLineChars="200"/>
        <w:rPr>
          <w:rFonts w:ascii="宋体" w:hAnsi="宋体" w:cs="宋体"/>
          <w:color w:val="auto"/>
          <w:sz w:val="24"/>
        </w:rPr>
      </w:pPr>
      <w:r>
        <w:rPr>
          <w:rFonts w:hint="eastAsia" w:ascii="宋体" w:hAnsi="宋体" w:cs="宋体"/>
          <w:color w:val="auto"/>
          <w:sz w:val="24"/>
        </w:rPr>
        <w:t>37.4质疑人可以采取直接送达或者邮寄方式提交质疑书。采购代理机构收到质疑书后，对质疑书进行审查，对符合质疑条件的将办理签收手续，自签收质疑书之日起即为受理。</w:t>
      </w:r>
    </w:p>
    <w:p>
      <w:pPr>
        <w:spacing w:line="360" w:lineRule="auto"/>
        <w:ind w:firstLine="480" w:firstLineChars="200"/>
        <w:rPr>
          <w:rFonts w:ascii="宋体" w:hAnsi="宋体" w:cs="宋体"/>
          <w:color w:val="auto"/>
          <w:sz w:val="24"/>
        </w:rPr>
      </w:pPr>
      <w:r>
        <w:rPr>
          <w:rFonts w:hint="eastAsia" w:ascii="宋体" w:hAnsi="宋体" w:cs="宋体"/>
          <w:color w:val="auto"/>
          <w:sz w:val="24"/>
        </w:rPr>
        <w:t>37.5采购代理机构将在受理书面质疑后7个工作日内审查质疑事项，作出答复或相关处理决定，并以书面形式通知质疑人和其他相关供应商，但答复的内容不涉及商业秘密。</w:t>
      </w:r>
    </w:p>
    <w:p>
      <w:pPr>
        <w:spacing w:line="360" w:lineRule="auto"/>
        <w:ind w:firstLine="480" w:firstLineChars="200"/>
        <w:rPr>
          <w:rFonts w:ascii="宋体" w:hAnsi="宋体" w:cs="宋体"/>
          <w:color w:val="auto"/>
          <w:sz w:val="24"/>
        </w:rPr>
      </w:pPr>
      <w:r>
        <w:rPr>
          <w:rFonts w:hint="eastAsia" w:ascii="宋体" w:hAnsi="宋体" w:cs="宋体"/>
          <w:color w:val="auto"/>
          <w:sz w:val="24"/>
        </w:rPr>
        <w:t>37.6供应商进行虚假和恶意质疑的，采购代理机构将提请有关部门将其列入不良记录名单，在一至三年内禁止参加政府采购活动，并将处理决定在相关政府采购媒体上公布。</w:t>
      </w:r>
    </w:p>
    <w:p>
      <w:pPr>
        <w:spacing w:line="360" w:lineRule="auto"/>
        <w:ind w:firstLine="480" w:firstLineChars="200"/>
        <w:rPr>
          <w:rFonts w:ascii="宋体" w:hAnsi="宋体" w:cs="宋体"/>
          <w:color w:val="auto"/>
          <w:sz w:val="24"/>
        </w:rPr>
      </w:pPr>
      <w:r>
        <w:rPr>
          <w:rFonts w:hint="eastAsia" w:ascii="宋体" w:hAnsi="宋体" w:cs="宋体"/>
          <w:color w:val="auto"/>
          <w:sz w:val="24"/>
        </w:rPr>
        <w:t>37.7质疑人对答复不满意以及采购代理机构未在规定的时间内作出答复的，可以在答复期满后15个工作日内向财政部门投拆。</w:t>
      </w:r>
    </w:p>
    <w:p>
      <w:pPr>
        <w:pStyle w:val="5"/>
        <w:numPr>
          <w:ilvl w:val="0"/>
          <w:numId w:val="0"/>
        </w:numPr>
        <w:spacing w:before="0" w:after="0" w:line="360" w:lineRule="auto"/>
        <w:rPr>
          <w:rFonts w:ascii="宋体" w:hAnsi="宋体" w:cs="宋体"/>
          <w:color w:val="auto"/>
          <w:sz w:val="24"/>
          <w:szCs w:val="24"/>
        </w:rPr>
      </w:pPr>
      <w:bookmarkStart w:id="32" w:name="_Toc19259"/>
      <w:r>
        <w:rPr>
          <w:rFonts w:hint="eastAsia" w:ascii="宋体" w:hAnsi="宋体" w:cs="宋体"/>
          <w:color w:val="auto"/>
          <w:sz w:val="24"/>
          <w:szCs w:val="24"/>
        </w:rPr>
        <w:t>十一、保密和披露</w:t>
      </w:r>
      <w:bookmarkEnd w:id="32"/>
    </w:p>
    <w:p>
      <w:pPr>
        <w:spacing w:line="360" w:lineRule="auto"/>
        <w:rPr>
          <w:rFonts w:ascii="宋体" w:hAnsi="宋体" w:cs="宋体"/>
          <w:b/>
          <w:color w:val="auto"/>
          <w:sz w:val="24"/>
        </w:rPr>
      </w:pPr>
      <w:r>
        <w:rPr>
          <w:rFonts w:hint="eastAsia" w:ascii="宋体" w:hAnsi="宋体" w:cs="宋体"/>
          <w:b/>
          <w:color w:val="auto"/>
          <w:sz w:val="24"/>
        </w:rPr>
        <w:t>38.保密和披露</w:t>
      </w:r>
    </w:p>
    <w:p>
      <w:pPr>
        <w:spacing w:line="360" w:lineRule="auto"/>
        <w:ind w:firstLine="480" w:firstLineChars="200"/>
        <w:rPr>
          <w:rFonts w:ascii="宋体" w:hAnsi="宋体" w:cs="宋体"/>
          <w:color w:val="auto"/>
          <w:sz w:val="24"/>
        </w:rPr>
      </w:pPr>
      <w:r>
        <w:rPr>
          <w:rFonts w:hint="eastAsia" w:ascii="宋体" w:hAnsi="宋体" w:cs="宋体"/>
          <w:color w:val="auto"/>
          <w:sz w:val="24"/>
        </w:rPr>
        <w:t>38.1供应商自领取招标文件之日起，须承担本招标项目保密义务，不得将因本次招标获得的信息向第三人外传。由采购人向供应商提供的图纸、详细资料、样品、模型、模件和所有其它资料，被视为保密资料，仅被用于它所规定的用途。除非得到采购人的同意，不能向任何第三方透露。开标结束后，应采购人要求，供应商应归还所有从采购人处获得的保密资料。</w:t>
      </w:r>
    </w:p>
    <w:p>
      <w:pPr>
        <w:spacing w:line="360" w:lineRule="auto"/>
        <w:ind w:firstLine="480" w:firstLineChars="200"/>
        <w:rPr>
          <w:rFonts w:ascii="宋体" w:hAnsi="宋体" w:cs="宋体"/>
          <w:color w:val="auto"/>
          <w:sz w:val="24"/>
        </w:rPr>
      </w:pPr>
      <w:r>
        <w:rPr>
          <w:rFonts w:hint="eastAsia" w:ascii="宋体" w:hAnsi="宋体" w:cs="宋体"/>
          <w:color w:val="auto"/>
          <w:sz w:val="24"/>
        </w:rPr>
        <w:t>38.2采购代理机构有权将供应商提供的所有资料向有关政府部门或评审标书的有关人员披露。</w:t>
      </w:r>
    </w:p>
    <w:p>
      <w:pPr>
        <w:spacing w:line="360" w:lineRule="auto"/>
        <w:ind w:firstLine="480" w:firstLineChars="200"/>
        <w:rPr>
          <w:rFonts w:ascii="宋体" w:hAnsi="宋体" w:cs="宋体"/>
          <w:color w:val="auto"/>
          <w:sz w:val="24"/>
        </w:rPr>
      </w:pPr>
      <w:r>
        <w:rPr>
          <w:rFonts w:hint="eastAsia" w:ascii="宋体" w:hAnsi="宋体" w:cs="宋体"/>
          <w:color w:val="auto"/>
          <w:sz w:val="24"/>
        </w:rPr>
        <w:t>38.3在采购代理机构认为适当时、国家机关调查、审查、审计时以及其他符合法律规定的情形下，采购代理机构无须事先征求供应商同意而可以披露关于采购过程、合同文本、签署情况的资料、供应商的名称及地址、投标文件的有关信息以及补充条款等，但应当在合理的必要范围内。对任何已经公布过的内容或与之内容相同的资料，以及供应商已经泄露或公开的，无须再承担保密责任。</w:t>
      </w:r>
    </w:p>
    <w:p>
      <w:pPr>
        <w:spacing w:line="360" w:lineRule="auto"/>
        <w:rPr>
          <w:rFonts w:ascii="宋体" w:hAnsi="宋体" w:cs="宋体"/>
          <w:color w:val="auto"/>
        </w:rPr>
      </w:pPr>
    </w:p>
    <w:p>
      <w:pPr>
        <w:pStyle w:val="18"/>
        <w:numPr>
          <w:ilvl w:val="0"/>
          <w:numId w:val="0"/>
        </w:numPr>
        <w:tabs>
          <w:tab w:val="left" w:pos="0"/>
        </w:tabs>
        <w:spacing w:line="360" w:lineRule="auto"/>
        <w:ind w:leftChars="0"/>
        <w:jc w:val="center"/>
        <w:outlineLvl w:val="0"/>
        <w:rPr>
          <w:rStyle w:val="41"/>
          <w:rFonts w:hint="eastAsia" w:ascii="宋体" w:hAnsi="宋体" w:cs="宋体"/>
          <w:color w:val="auto"/>
        </w:rPr>
      </w:pPr>
      <w:r>
        <w:rPr>
          <w:rFonts w:hint="eastAsia" w:ascii="宋体" w:hAnsi="宋体" w:cs="宋体"/>
          <w:color w:val="auto"/>
        </w:rPr>
        <w:br w:type="page"/>
      </w:r>
      <w:bookmarkStart w:id="33" w:name="_Toc31163"/>
      <w:r>
        <w:rPr>
          <w:rStyle w:val="41"/>
          <w:rFonts w:hint="eastAsia" w:ascii="宋体" w:hAnsi="宋体" w:cs="宋体"/>
          <w:color w:val="auto"/>
          <w:lang w:val="en-US" w:eastAsia="zh-CN"/>
        </w:rPr>
        <w:t>第三部分</w:t>
      </w:r>
      <w:r>
        <w:rPr>
          <w:rStyle w:val="41"/>
          <w:rFonts w:hint="eastAsia" w:ascii="宋体" w:hAnsi="宋体" w:cs="宋体"/>
          <w:color w:val="auto"/>
        </w:rPr>
        <w:t xml:space="preserve"> 采购需求</w:t>
      </w:r>
      <w:bookmarkEnd w:id="33"/>
      <w:bookmarkStart w:id="34" w:name="EBe6f29cfd18e6459587ecf2aa36a0140e"/>
    </w:p>
    <w:bookmarkEnd w:id="34"/>
    <w:p>
      <w:pPr>
        <w:pageBreakBefore w:val="0"/>
        <w:kinsoku/>
        <w:wordWrap/>
        <w:overflowPunct/>
        <w:topLinePunct w:val="0"/>
        <w:autoSpaceDE/>
        <w:autoSpaceDN/>
        <w:bidi w:val="0"/>
        <w:snapToGrid/>
        <w:spacing w:line="354" w:lineRule="exact"/>
        <w:jc w:val="both"/>
        <w:rPr>
          <w:rFonts w:hint="eastAsia" w:ascii="宋体" w:hAnsi="宋体" w:eastAsia="宋体" w:cs="宋体"/>
          <w:sz w:val="24"/>
          <w:szCs w:val="24"/>
        </w:rPr>
      </w:pPr>
      <w:bookmarkStart w:id="35" w:name="EB89dfcf1f611f469c94ff5b2c1c521519"/>
      <w:r>
        <w:rPr>
          <w:rFonts w:hint="eastAsia" w:ascii="宋体" w:hAnsi="宋体" w:eastAsia="宋体" w:cs="宋体"/>
          <w:sz w:val="24"/>
          <w:szCs w:val="24"/>
          <w:lang w:val="en-US" w:eastAsia="zh-CN"/>
        </w:rPr>
        <w:t>一</w:t>
      </w:r>
      <w:r>
        <w:rPr>
          <w:rFonts w:hint="eastAsia" w:ascii="宋体" w:hAnsi="宋体" w:eastAsia="宋体" w:cs="宋体"/>
          <w:sz w:val="24"/>
          <w:szCs w:val="24"/>
        </w:rPr>
        <w:t>、项目建设目标：</w:t>
      </w:r>
    </w:p>
    <w:p>
      <w:pPr>
        <w:pageBreakBefore w:val="0"/>
        <w:kinsoku/>
        <w:wordWrap/>
        <w:overflowPunct/>
        <w:topLinePunct w:val="0"/>
        <w:autoSpaceDE/>
        <w:autoSpaceDN/>
        <w:bidi w:val="0"/>
        <w:snapToGrid/>
        <w:spacing w:line="354" w:lineRule="exact"/>
        <w:jc w:val="both"/>
        <w:rPr>
          <w:rFonts w:hint="eastAsia" w:ascii="宋体" w:hAnsi="宋体" w:eastAsia="宋体" w:cs="宋体"/>
          <w:sz w:val="24"/>
          <w:szCs w:val="24"/>
        </w:rPr>
      </w:pPr>
      <w:r>
        <w:rPr>
          <w:rFonts w:hint="eastAsia" w:ascii="宋体" w:hAnsi="宋体" w:eastAsia="宋体" w:cs="宋体"/>
          <w:sz w:val="24"/>
          <w:szCs w:val="24"/>
        </w:rPr>
        <w:t>为保证塔城地区公安局指挥部设备正常使用和日常会议、视频调度工作的正常进行。需对现有退市DLP大屏设备进行更换，同时针对图控室视屏矩阵、音频处理系统、中控系统、数字会议系统和扩声系统进行更换和升级，提升日常工作效率。</w:t>
      </w:r>
    </w:p>
    <w:p>
      <w:pPr>
        <w:pageBreakBefore w:val="0"/>
        <w:numPr>
          <w:ilvl w:val="0"/>
          <w:numId w:val="0"/>
        </w:numPr>
        <w:kinsoku/>
        <w:wordWrap/>
        <w:overflowPunct/>
        <w:topLinePunct w:val="0"/>
        <w:autoSpaceDE/>
        <w:autoSpaceDN/>
        <w:bidi w:val="0"/>
        <w:snapToGrid/>
        <w:spacing w:line="354"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项目建设内容：</w:t>
      </w:r>
    </w:p>
    <w:p>
      <w:pPr>
        <w:pageBreakBefore w:val="0"/>
        <w:kinsoku/>
        <w:wordWrap/>
        <w:overflowPunct/>
        <w:topLinePunct w:val="0"/>
        <w:autoSpaceDE/>
        <w:autoSpaceDN/>
        <w:bidi w:val="0"/>
        <w:snapToGrid/>
        <w:spacing w:line="354" w:lineRule="exact"/>
        <w:jc w:val="both"/>
        <w:rPr>
          <w:rFonts w:hint="eastAsia" w:ascii="宋体" w:hAnsi="宋体" w:eastAsia="宋体" w:cs="宋体"/>
          <w:sz w:val="24"/>
          <w:szCs w:val="24"/>
        </w:rPr>
      </w:pPr>
      <w:r>
        <w:rPr>
          <w:rFonts w:hint="eastAsia" w:ascii="宋体" w:hAnsi="宋体" w:eastAsia="宋体" w:cs="宋体"/>
          <w:sz w:val="24"/>
          <w:szCs w:val="24"/>
        </w:rPr>
        <w:t>本项目建设内容包括LED大屏显示系统、数字高清视频矩阵、集中控制系统、数字音频处理系统、数字会议系统和扩声系统。</w:t>
      </w:r>
    </w:p>
    <w:p>
      <w:pPr>
        <w:pageBreakBefore w:val="0"/>
        <w:kinsoku/>
        <w:wordWrap/>
        <w:overflowPunct/>
        <w:topLinePunct w:val="0"/>
        <w:autoSpaceDE/>
        <w:autoSpaceDN/>
        <w:bidi w:val="0"/>
        <w:snapToGrid/>
        <w:spacing w:line="354" w:lineRule="exact"/>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、项目建设需求：</w:t>
      </w:r>
    </w:p>
    <w:tbl>
      <w:tblPr>
        <w:tblStyle w:val="33"/>
        <w:tblW w:w="4987" w:type="pct"/>
        <w:tblInd w:w="0" w:type="dxa"/>
        <w:tblLayout w:type="autofit"/>
        <w:tblCellMar>
          <w:top w:w="0" w:type="dxa"/>
          <w:left w:w="108" w:type="dxa"/>
          <w:bottom w:w="0" w:type="dxa"/>
          <w:right w:w="108" w:type="dxa"/>
        </w:tblCellMar>
      </w:tblPr>
      <w:tblGrid>
        <w:gridCol w:w="739"/>
        <w:gridCol w:w="5024"/>
        <w:gridCol w:w="1761"/>
        <w:gridCol w:w="982"/>
      </w:tblGrid>
      <w:tr>
        <w:tblPrEx>
          <w:tblCellMar>
            <w:top w:w="0" w:type="dxa"/>
            <w:left w:w="108" w:type="dxa"/>
            <w:bottom w:w="0" w:type="dxa"/>
            <w:right w:w="108" w:type="dxa"/>
          </w:tblCellMar>
        </w:tblPrEx>
        <w:trPr>
          <w:trHeight w:val="288" w:hRule="atLeast"/>
        </w:trPr>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952" w:type="pct"/>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035" w:type="pct"/>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288"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952"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大屏显示系统</w:t>
            </w:r>
          </w:p>
        </w:tc>
        <w:tc>
          <w:tcPr>
            <w:tcW w:w="1035"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sz w:val="24"/>
                <w:szCs w:val="24"/>
              </w:rPr>
              <w:t>57.71平方米</w:t>
            </w:r>
          </w:p>
        </w:tc>
        <w:tc>
          <w:tcPr>
            <w:tcW w:w="577"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952"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数字高清视频矩阵、集中控制系统</w:t>
            </w:r>
          </w:p>
        </w:tc>
        <w:tc>
          <w:tcPr>
            <w:tcW w:w="1035"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c>
          <w:tcPr>
            <w:tcW w:w="577"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952"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数字转录系统</w:t>
            </w:r>
          </w:p>
        </w:tc>
        <w:tc>
          <w:tcPr>
            <w:tcW w:w="1035"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c>
          <w:tcPr>
            <w:tcW w:w="577"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288"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952"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数字音频、扩声系统</w:t>
            </w:r>
          </w:p>
        </w:tc>
        <w:tc>
          <w:tcPr>
            <w:tcW w:w="1035"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1套</w:t>
            </w:r>
          </w:p>
        </w:tc>
        <w:tc>
          <w:tcPr>
            <w:tcW w:w="577" w:type="pct"/>
            <w:tcBorders>
              <w:top w:val="nil"/>
              <w:left w:val="nil"/>
              <w:bottom w:val="single" w:color="auto" w:sz="4" w:space="0"/>
              <w:right w:val="single" w:color="auto" w:sz="4" w:space="0"/>
            </w:tcBorders>
            <w:shd w:val="clear" w:color="auto" w:fill="auto"/>
            <w:noWrap/>
            <w:vAlign w:val="center"/>
          </w:tcPr>
          <w:p>
            <w:pPr>
              <w:pageBreakBefore w:val="0"/>
              <w:widowControl/>
              <w:kinsoku/>
              <w:wordWrap/>
              <w:overflowPunct/>
              <w:topLinePunct w:val="0"/>
              <w:autoSpaceDE/>
              <w:autoSpaceDN/>
              <w:bidi w:val="0"/>
              <w:snapToGrid/>
              <w:spacing w:line="354" w:lineRule="exact"/>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pStyle w:val="2"/>
        <w:pageBreakBefore w:val="0"/>
        <w:kinsoku/>
        <w:wordWrap/>
        <w:overflowPunct/>
        <w:topLinePunct w:val="0"/>
        <w:autoSpaceDE/>
        <w:autoSpaceDN/>
        <w:bidi w:val="0"/>
        <w:snapToGrid/>
        <w:spacing w:line="354" w:lineRule="exact"/>
        <w:rPr>
          <w:rFonts w:hint="eastAsia" w:ascii="宋体" w:hAnsi="宋体" w:eastAsia="宋体" w:cs="宋体"/>
          <w:sz w:val="24"/>
          <w:szCs w:val="24"/>
        </w:rPr>
      </w:pPr>
    </w:p>
    <w:p>
      <w:pPr>
        <w:pageBreakBefore w:val="0"/>
        <w:kinsoku/>
        <w:wordWrap/>
        <w:overflowPunct/>
        <w:topLinePunct w:val="0"/>
        <w:autoSpaceDE/>
        <w:autoSpaceDN/>
        <w:bidi w:val="0"/>
        <w:snapToGrid/>
        <w:spacing w:line="354" w:lineRule="exact"/>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1.大屏显示系统</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室内全彩屏</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1）小间距LED全彩显示屏；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2）★像素间距＜1.57mm；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3）箱体比例：16:9，全封闭压铸铝材质；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4）★像素结构：COB 3 in1；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5）★箱体分辨率：384*216，箱体尺寸（mm）：600 (W) × 337.5 (H) × 59.5(D) mm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6）像素密度：409600点/㎡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7）光学参数：显示屏亮度＞750 cd/m2，色温：3000K-10000K可调，水平、垂直视角≥160°，推荐视距：4m，亮度均匀性≥97%，最大对比度≥3000:1；刷新率：3840Hz；</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8）具备智能节能功能，自动检测当前环境是否有人，无人时自动调暗屏幕画面或黑屏；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9）完全前维护，灯板电源和接收卡均在前面维护。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10）支持分段校正，提升各个灰阶的显示均匀性</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LCD拼接屏</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1）★55英寸液晶拼接屏，对角线尺寸≥55英寸，物理分辨率≥1920×1080，响应时间≤8ms；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2）物理拼缝≤3.5mm，亮度≥500cd/㎡，对比度≥1200:1，水平、垂直视场角均≥178°；</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3）输入接口≥1个HDMI、≥1个DVI、≥1个VGA、≥1个DP，输出接口≥1个HDMI，可选配HDbaseT等接口；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4）★图像显示灰度等级提升技术，使8bit液晶屏实现≥10bit的显示效果，灰度等级从256级增加到≥1024级，画面层次丰富、色彩逼真；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5）支持校正后色坐标误差≤±0.001，亮度误差≤±10nit,0-255灰阶中32灰阶以上，每阶之间色温误差≤±500K；</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6）支持以像素点为单位进行矫正，能够消除屏幕局部亮暗不均现象，屏幕所有像素点亮度均一性≥80%；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7）支持不低于十级灰阶色度、亮度校正的功能，使各灰阶整墙一致性≥80%，支持屏幕边缘渐进修正功能，修正屏间边缘颜色过渡不均匀；</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8）支持检测并匹配与输入信源相同的颜色空间的功能，使显示画面不丢失暗阶、亮阶细节；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9）支持不少于R、G、B、C、M、Y、FLESH、Y-G、C-G、F、F-R、F-LIP、F-Y-HAIR、F-MEAT、F-DARK独立调节功能，使画面颜色显示更加准确；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10）设备通过GB/T 26125-2011、GB/T 26572-2011认证。</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p>
    <w:p>
      <w:pPr>
        <w:pStyle w:val="2"/>
        <w:pageBreakBefore w:val="0"/>
        <w:kinsoku/>
        <w:wordWrap/>
        <w:overflowPunct/>
        <w:topLinePunct w:val="0"/>
        <w:autoSpaceDE/>
        <w:autoSpaceDN/>
        <w:bidi w:val="0"/>
        <w:snapToGrid/>
        <w:spacing w:line="354" w:lineRule="exact"/>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r>
        <w:rPr>
          <w:rFonts w:hint="eastAsia" w:ascii="宋体" w:hAnsi="宋体" w:eastAsia="宋体" w:cs="宋体"/>
          <w:b/>
          <w:bCs/>
          <w:sz w:val="24"/>
          <w:szCs w:val="24"/>
        </w:rPr>
        <w:t>数字高清视频矩阵、集中控制系统</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中央可视化管理控制系统</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1）★专业级的服务器设备，采用开放式语言编程语言，Linux 架构设计，可灵活编写各种通讯协议，适应各种控制设备；具有强大的逻辑计算能力，为可视化集控平台提供最强大脑，方便综合管理可视化集控平台等配置；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2）提供WEB配置，对整个平台进行全局管理，实现资源管理、界面定制、账户管理、权限划分、状态监测、设备控制、可视化操作、信号源预监、回显、会议控制等功能。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高度业务扩展性，可以添加各种被管理设备;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3）功能可扩展，可以根据需要添加各种新功能;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4）通过平板操作实现视频源实时可视化，大屏布局可视化、大屏显示可视化，让用户操作所见即所得，支持信号预览、回显、信号切换、开窗、漫游、窗口缩放、布局切换等一系列功能；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5）坐席协作功能，坐席布局可视化，可现坐席不同显示屏的视频信号切换;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6）具备场景一键保存和调用，会场环境状态一键恢复；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7）多操作终端实时同步界面反馈,其中一个触屏操作，实时反馈在另外几个触屏上，真正做到协同操作；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8）具备权限控制能力，可分配不同账号设置权限。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9）化回显预览功能；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10）★支持8路RTSP1080P30码流同时输出；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11）不同分辨率和同分辨率切换无黑屏、无重新同步、无延迟，具备显示预案一键切换功能；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12）带内远程升级与管理；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13）内置web 界面管理；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14）传输距离：多模光纤1000m ，单模光纤10km（最高支持80Km）。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15）单屏具有6个信号叠加显示能力，可支持 HDMI、DVI等不同信号格式的多屏同步叠加显示；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16）实现大屏幕显示规模、显示分辨率、开窗、替换、缩放、漫游、移动、关窗、平铺、全屏、叠加、显示模式的执行操作场景；</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中央可视化纯光纤集控平台</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1）★单台总数不小于384通道分布式非IP光纤拼接主机；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考虑系统的安全必要性，平台须采用非TCP/IP协议方式，要求采用非交换机的闭环式全光引擎架构，无需占用现有的网络资源，并把数据业务信息和管理控制信息完全剥离，通过专用物理信道承载管理控制信息，确保具有高度的安全和保密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3）主引擎具备主机端口自适应技术，实现光纤光缆插至另外一个空余端口，引擎实现自动寻址识别，数据信号快速恢复；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4）具备大屏拼接处理功能功能，实现大屏幕显示规模、显示分辨率、开窗、替换、缩放、漫游、移动、关窗、平铺、全屏、叠加、显示模式的执行操作场景；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5）支持视频透明度调整；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6）支持一键预案功能，并且不同场景之间切换无黑屏、无重新同步、无延迟;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7）支持多屏集中管理，多地协同操作与信号源共享;</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8）支持一个大屏单元内显示六个图层,多数据处理，打破空间限制。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9）中央控制器具备带电热插拔和业务恢复功能，即要求在不关机、不切断电源的情况下，可更换或移除损坏其中一个中央控制板卡，实现自动恢复;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中央控制器是系统的指挥控制中心，对整个平台稳定有序工作极为重要，要求中央控制处理器支持主备自动热跳转机制（可选），即当主用中央控制器发生断电、故障时，系统将自动热跳转至备用中央控制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11）光纤拼接 I/O模组支持不少于48通道从前端到后端10Km（可选80Km）数据传输；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12）光纤拼接 I/O模组要求具备带电热插拔和业务恢复功能，即要求在不关闭主机、不切断电源的情况下，可更换或移除损坏板卡，实现自动恢复；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13）光纤拼接 I/O模组支持接口自适应技术，实现光纤光缆插至另外一个空余端口，接口实现自动寻址识别，数据信号快速恢复。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整套系统为全光纤架构、全数字处理、纯分布式非IP坐席拼控管理平台，由多信号光纤输入端、会议室集群光纤拼控终端可视化平台主机、多信号光纤输出端三部分组成，非集中式混合矩阵架构，会议室集群光纤拼控终端可视化平台主机采用模块化设计，通过增加或减少I/O板卡实现通道数灵活变化，单块I/O光纤板卡支持不小于48端口。单块I/O光纤板卡须支持输入输出端口随意分配。采用光纤KVM技术，通过单/双路光纤实现VGA、DVI-D、HDMI、双HDMI、DP、模拟音频和RS232等信号输入/输出。考虑到操作实时性，要求视频信号从输入端接入，经过主机后至输出端输出，传输平均延时不超过20ms，输出端从一个视频源切换至另一个不同的视频源平均延时不超过20m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15）节点具备自我检测能力，可通过指示灯或者软件界面等方式表征系统的视频链路（视频分辨率、视频线状态、视频输入状态和EDID状态）、控制链路（在线离线状态）、通信链路（在线离线状态）状态；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16）★主机具备内置不少于跨16个不同业务平台编辑操作功能，即通过内部软件设置，支持1套鼠标键盘控制跨16个不同业务平台系统，实现跨网段、跨系统极速编辑操作；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具备大屏拼接处理功能功能，实现大屏幕显示规模、显示分辨率、开窗、替换、缩放、漫游、移动、关窗、平铺、全屏、叠加、显示模式的执行操作场景；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17）开放API协议，支持第三方中控控制、键盘及OSD控制；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18）系统实现全中文界面，有分组检索、中文一键预案处理功能，功能强大、操作简单。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19）大屏模式编排：实现大屏幕显示规模、显示分辨率、开窗、替换、缩放、漫游、移动、关窗、平铺、全屏、叠加、显示模式的执行操作场景以及实时信号切换功能 ；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20）预案管理：可以对相应的信号源和大屏拼接模式做好编排。做好对应的预案，只需要一键，即可调度所有区域的信号；</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21）集中管理：多套大屏实时管理，多地协同操作与信号源共享；</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22）可选预览回显：所有实时接入的信号不管是信息、还是图像，都可以进行预览与回显。</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分布式光纤输入端</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1）★分布式光纤输入端要求采用非IP全光纤终端架构，通过单路光纤实现HDMI、RS232、音频等接入；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2）通过中央可视化纯光纤集控平台主机引擎+光纤处理终端，代替传统的分布式节点、光纤矩阵/混合矩阵、大屏拼接处理器，以实现少一套系统少一个故障节点；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考虑系统的安全必要性，平台须采用非TCP/IP协议方式，要求采用非交换机的闭环式全光引擎架构，无需占用现有的网络资源，并把数据业务信息和管理控制信息完全剥离，通过专用物理信道承载管理控制信息，防止病毒感染、黑客攻击，防雷击、过载、断电和人为破坏，确保具有高度的安全和保密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4）支持机架式集中供电安装；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5）传输距离：多模光纤≥1km,单模光纤≥10km。</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分布式光纤出端</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1）★分布式光纤出端要求采用非IP全光纤终端架构，通过单路光纤实现HDMI、RS232、音频等输出；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2）通过中央可视化纯光纤集控平台主机引擎+光纤处理终端，代替传统的分布式节点、光纤矩阵/混合矩阵、大屏拼接处理器，以实现少一套系统少一个故障节点；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考虑系统的安全必要性，平台须采用非TCP/IP协议方式，要求采用非交换机的闭环式全光引擎架构，无需占用现有的网络资源，并把数据业务信息和管理控制信息完全剥离，通过专用物理信道承载管理控制信息，防止病毒感染、黑客攻击，防雷击、过载、断电和人为破坏，确保具有高度的安全和保密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4）支持机架式集中供电安装；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5）传输距离：多模光纤≥1km,单模光纤≥10km。</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分布式光纤拼控节点</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1）★通过中央可视化纯光纤集控平台主机+单台大屏幕光纤拼控终端的架构，实现光纤传输至大屏幕信号接入，代替传统交换机分布式输入输出节点、集中式处理器的新型架构；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2）支持8路大屏幕1200P@60Hz光纤拼控拼接显示，屏端集约简洁的应用场景；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3）基于像素点总和的分辨率自定义输出技术。通过时钟计算可任意调整分辨率的输出高度、输出宽度、刷新频率。实现总像素任意异形调整一张图显示、智能分屏；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4）支持超高分底图功能；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5）传输距离：多模光纤≥1km,单模光纤≥10km。</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可视化预览终端</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1）通过8路光纤输入即可8路可视化子码流输出显示的场景，实现可视化回显预览功能；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2）支持8路RTSP1080P30码流同时输出；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3）不同分辨率和同分辨率切换无黑屏、无重新同步、无延迟，具备显示预案一键切换功能；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4）带内远程升级与管理；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5）内置web 界面管理；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6）传输距离：多模光纤1000m ，单模光纤10km（最高支持80Km）。</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p>
    <w:p>
      <w:pPr>
        <w:pStyle w:val="2"/>
        <w:pageBreakBefore w:val="0"/>
        <w:kinsoku/>
        <w:wordWrap/>
        <w:overflowPunct/>
        <w:topLinePunct w:val="0"/>
        <w:autoSpaceDE/>
        <w:autoSpaceDN/>
        <w:bidi w:val="0"/>
        <w:snapToGrid/>
        <w:spacing w:line="354" w:lineRule="exact"/>
        <w:ind w:firstLine="0" w:firstLineChars="0"/>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r>
        <w:rPr>
          <w:rFonts w:hint="eastAsia" w:ascii="宋体" w:hAnsi="宋体" w:eastAsia="宋体" w:cs="宋体"/>
          <w:b/>
          <w:bCs/>
          <w:sz w:val="24"/>
          <w:szCs w:val="24"/>
        </w:rPr>
        <w:t>数字转录系统</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智能会议管理软件-语音识别模块系统运维升级</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对已有智能会议系统（服务器标准版）采购1项3年升级维护服务，满足日常办公会议、会议录音整理、外出访谈等场景下的文字整理需求。实现对普通话连续语音的实时转写，并提供对已转写文字的后处理及字音同步对齐能力；包含实时转写、历史音频转写、会议信息管理三大核心功能，可实现对实时会议语音及导入录音的转写功能，并提供文本实时编辑、自动分段、字音同步、关键词优化、快速排版、自动角色分离、实时上屏等辅助功能。</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2）★本次升级现有语音会议系统，需提供对现有语音会议系统三年运维升级承诺书，且提供现有语音会系统厂家出具的运维升级无缝对接证明资料，确保语音系统能够和现有音频设备兼容。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3）普通话识别准确率≥97%；</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4）实时转写平均速度≤500ms；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5）支持8路音频流的处理能力</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p>
    <w:p>
      <w:pPr>
        <w:pStyle w:val="10"/>
        <w:pageBreakBefore w:val="0"/>
        <w:kinsoku/>
        <w:wordWrap/>
        <w:overflowPunct/>
        <w:topLinePunct w:val="0"/>
        <w:autoSpaceDE/>
        <w:autoSpaceDN/>
        <w:bidi w:val="0"/>
        <w:snapToGrid/>
        <w:spacing w:line="354" w:lineRule="exact"/>
        <w:jc w:val="center"/>
        <w:rPr>
          <w:rFonts w:hint="eastAsia" w:ascii="宋体" w:hAnsi="宋体" w:eastAsia="宋体" w:cs="宋体"/>
          <w:b/>
          <w:bCs/>
          <w:sz w:val="24"/>
          <w:szCs w:val="24"/>
        </w:rPr>
      </w:pPr>
      <w:r>
        <w:rPr>
          <w:rFonts w:hint="eastAsia" w:ascii="宋体" w:hAnsi="宋体" w:eastAsia="宋体" w:cs="宋体"/>
          <w:b/>
          <w:bCs/>
          <w:color w:val="000000"/>
          <w:kern w:val="0"/>
          <w:sz w:val="24"/>
          <w:szCs w:val="24"/>
        </w:rPr>
        <w:t>4.</w:t>
      </w:r>
      <w:r>
        <w:rPr>
          <w:rFonts w:hint="eastAsia" w:ascii="宋体" w:hAnsi="宋体" w:eastAsia="宋体" w:cs="宋体"/>
          <w:b/>
          <w:bCs/>
          <w:sz w:val="24"/>
          <w:szCs w:val="24"/>
        </w:rPr>
        <w:t>数字音频、扩声系统</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数字音频媒体矩阵</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1）★12路平衡宽带AEC回声抑制输入，支持Sona™ AEC算法用于回声消除信号处理；8路话筒/线路电平输出；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2）支持1路模拟电话信号接入，采用 RJ-11 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3）支持2路VOIP电话信号接入，采用 RJ-45 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4）支持8路USB音频，可自由分配输入输出信号，可连接电脑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5）通过IEEE标准协议，支持千兆网络，可通过以太网进行配置和控制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6）支持AVB网络协议，128 x 128数字音频通道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DSP同时提供大量的音频处理功能，包括但不仅限于：信号路由分配和混音、均衡、滤波、动态、延迟、控制、监视和诊断工具。所有处理通过设计软件进行配置，丰富的扩展设备（输入、输出、逻辑等）可随时接入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8）内置处理模块必须包括：ANC环境噪声补偿、增益共享自动混音、UBER滤波器、AGC自动增益控制、AEC回声消除、ROOM COMBINER房间组合等模块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9）通过SpeechSense（语音触发技术）和AmbientSense（环境触发技术），增强对人声的处理，以精确区别判断人声和环境噪声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10）配置文件支持远程回复及备份功能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11）编程式设计，所有的系统设计、配置和控制可通过设计软件完成，软件中所有的功能都可通过‘拖拽’轻松实现，整个系统通过编程完成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12）★软件支持分区编译；可以让程序按分区分别编译，可分几段完成程序，并支持对系统的一小部分单独的进行维护和修改而不影响系统其他部分的正常使用；一个设计文件可支持最多32个分区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13）支持场景预设功能，最大支持100组场景。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14）支持iOS、iPad、Android的手机/平板APP进行操作控制。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15）可脱机通过程序编译核查设计系统与硬件是否匹配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16）支持网络冗余，可实现网络备份功能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17）4*4GPIO端口，用于周边设备LOGIC控制命令使用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18）前面板LED显示设备和系统信息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19）输出每通道：12路平衡式线路输出，采用裸线接口端子，平衡接法。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20）支持DANTE网络传输协议,低延时的DANTE网络音频传输，16路发送，16路接收通道，可实现网络音频扩展。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21）配置双向RS-232接口，可用于控制外部设备。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22）配置RS-485接口，可实现自动摄像跟踪功能。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23）配置8通道可编程GPIO控制接口（可自定义输入输出）。</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数字音频媒体矩阵</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1）★4路平衡宽带AEC回声抑制输入，支持Sona™ AEC算法用于回声消除信号处理；4路话筒/线路电平输出；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2）通过IEEE标准协议，支持千兆网络，可通过以太网进行配置和控制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3）支持AVB网络协议，128 x 128数字音频通道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DSP同时提供大量的音频处理功能，包括但不仅限于：信号路由分配和混音、均衡、滤波、动态、延迟、控制、监视和诊断工具。所有处理通过设计软件进行配置，丰富的扩展设备（输入、输出、逻辑等）可随时接入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5）内置处理模块必须包括：ANC环境噪声补偿、增益共享自动混音、UBER滤波器、AGC自动增益控制、AEC回声消除、ROOM COMBINER房间组合等模块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6）通过SpeechSense（语音触发技术）和AmbientSense（环境触发技术），增强对人声的处理，以精确区别判断人声和环境噪声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7）配置文件支持远程回复及备份功能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8）编程式设计，所有的系统设计、配置和控制可通过设计软件完成，软件中所有的功能都可通过‘拖拽’轻松实现，整个系统通过编程完成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9）软件支持分区编译；可以让程序按分区分别编译，可分几段完成程序，并支持对系统的一小部分单独的进行维护和修改而不影响系统其他部分的正常使用；一个设计文件可支持最多32个分区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10）输入每通道：8路平衡式话筒/线路，采用裸线接口端子，平衡接法。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11）输出每通道：8路平衡式线路输出，采用裸线接口端子，平衡接法。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12）支持DANTE网络传输协议,低延时的DANTE网络音频传输，8路发送，8路接收通道，可实现网络音频扩展。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13）可脱机通过程序编译核查设计系统与硬件是否匹配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14）支持网络冗余，可实现网络备份功能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15）4*4GPIO端口，用于周边设备LOGIC控制命令使用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16）前面板LED显示设备和系统信息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17）配置双向RS-232接口，可用于控制外部设备。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18）配置RS-485接口，可实现自动摄像跟踪功能。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19）配置8通道可编程GPIO控制接口（可自定义输入输出）。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20）支持iOS、iPad、Android的手机/平板APP进行操作控制。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21）支持场景预设功能，最大支持100组场景。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22）信号处理通过软件直观的配置和控制，如：信号路由和混音、均衡、滤波、动态处理、延迟等等</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数字音频媒体矩阵</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1）12路平衡宽带AEC回声抑制输入，支持Sona™ AEC算法用于回声消除信号处理；8路话筒/线路电平输出；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2）支持1路模拟电话信号接入，采用 RJ-11 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3）支持2路VOIP电话信号接入，采用 RJ-45 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4）支持8路USB音频，可自由分配输入输出信号，可连接电脑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5）通过IEEE标准协议，支持千兆网络，可通过以太网进行配置和控制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6）支持AVB网络协议，128 x 128数字音频通道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DSP同时提供大量的音频处理功能，包括但不仅限于：信号路由分配和混音、均衡、滤波、动态、延迟、控制、监视和诊断工具。所有处理通过设计软件进行配置，丰富的扩展设备（输入、输出、逻辑等）可随时接入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8）内置处理模块必须包括：ANC环境噪声补偿、增益共享自动混音、UBER滤波器、AGC自动增益控制、AEC回声消除、ROOM COMBINER房间组合等模块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9）通过SpeechSense（语音触发技术）和AmbientSense（环境触发技术），增强对人声的处理，以精确区别判断人声和环境噪声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10）配置文件支持远程回复及备份功能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11）编程式设计，所有的系统设计、配置和控制可通过设计软件完成，软件中所有的功能都可通过‘拖拽’轻松实现，整个系统通过编程完成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12）软件支持分区编译；可以让程序按分区分别编译，可分几段完成程序，并支持对系统的一小部分单独的进行维护和修改而不影响系统其他部分的正常使用；一个设计文件可支持最多32个分区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13）可脱机通过程序编译核查设计系统与硬件是否匹配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14）支持网络冗余，可实现网络备份功能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15）支持场景预设功能，最大支持100组场景。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16）支持iOS、iPad、Android的手机/平板APP进行操作控制。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17）4*4GPIO端口，用于周边设备LOGIC控制命令使用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18）前面板LED显示设备和系统信息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19）信号处理通过软件直观的配置和控制，如：信号路由和混音、均衡、滤波、动态处理、延迟等等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20）输出每通道：12路平衡式线路输出，采用裸线接口端子，平衡接法。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21）支持DANTE网络传输协议,低延时的DANTE网络音频传输，16路发送，16路接收通道，可实现网络音频扩展。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22）配置双向RS-232接口，可用于控制外部设备。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23）配置RS-485接口，可实现自动摄像跟踪功能。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24）配置8通道可编程GPIO控制接口（可自定义输入输出）。</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AVB光收发器</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1）★40KM光收发器，RJ45，符合：IEEE802.3、IEEE802.3u 、IEEE802.3z/ab.  1000Base-T/SX/LX，850nm/1310nm/1490nm/1550nm，双绞线：5或6类线（最长距离至100米），多模光纤：50/125，62.5/125μm（最长距离550米）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2）单模光纤：8/125，8.7/125，9/125，10/125μm（最长距离10～120公里），电口：RJ-45 1个，光口:SC 2个，1000Mbps，光电转换、存贮转发 / 直通，全双工/半双工 自适应，存贮转发： 9.6us ，直通： 0.9us 。提供超低时延的数据传输。对网络协议完全透明。采用专用ASIC芯片实现数据线速转发。可编程ASIC将多项功能集中到一个芯片上，具有设计简单、可靠性高、电源消耗少等优点，能使设备得到更高的性能和更低的成本。采用独特集成电路解决方案，芯片温升低，不需加散热系统，实现流量控制，减少广播风暴。采用知名品牌的光模块提供高品质的光特性和电气特性，保证网络数据传输稳定，产品使用寿命长，机架型设备可提供热拔插功能，便于维护和无间断升级。RJ-45电口自动交叉识别计算机网卡或交换机、集线器相连状态。兼容平行线和交叉线2种接线方式。支持最长1916byte超长数据包传输。平均无故障工作时间在5万小时以上，符合电信使用标准，超低功耗小于10W</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数字音频媒体矩阵</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1）★12路平衡宽带AEC回声抑制输入，支持Sona™ AEC算法用于回声消除信号处理；8路话筒/线路电平输出；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2）支持1路模拟电话信号接入，采用 RJ-11 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3）支持2路VOIP电话信号接入，采用 RJ-45 接口</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4）支持8路USB音频，可自由分配输入输出信号，可连接电脑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5）通过IEEE标准协议，支持千兆网络，可通过以太网进行配置和控制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6）支持AVB网络协议，128 x 128数字音频通道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DSP同时提供大量的音频处理功能，包括但不仅限于：信号路由分配和混音、均衡、滤波、动态、延迟、控制、监视和诊断工具。所有处理通过设计软件进行配置，丰富的扩展设备（输入、输出、逻辑等）可随时接入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8）内置处理模块必须包括：ANC环境噪声补偿、增益共享自动混音、UBER滤波器、AGC自动增益控制、AEC回声消除、ROOM COMBINER房间组合等模块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9）通过SpeechSense（语音触发技术）和AmbientSense（环境触发技术），增强对人声的处理，以精确区别判断人声和环境噪声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10）配置文件支持远程回复及备份功能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11）编程式设计，所有的系统设计、配置和控制可通过设计软件完成，软件中所有的功能都可通过‘拖拽’轻松实现，整个系统通过编程完成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12）软件支持分区编译；可以让程序按分区分别编译，可分几段完成程序，并支持对系统的一小部分单独的进行维护和修改而不影响系统其他部分的正常使用；一个设计文件可支持最多32个分区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13）可脱机通过程序编译核查设计系统与硬件是否匹配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14）支持网络冗余，可实现网络备份功能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15）支持场景预设功能，最大支持100组场景。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16）支持iOS、iPad、Android的手机/平板APP进行操作控制。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17）4*4GPIO端口，用于周边设备LOGIC控制命令使用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18）前面板LED显示设备和系统信息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19）信号处理通过软件直观的配置和控制，如：信号路由和混音、均衡、滤波、动态处理、延迟等等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20）输出每通道：12路平衡式线路输出，采用裸线接口端子，平衡接法。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21）支持DANTE网络传输协议,低延时的DANTE网络音频传输，16路发送，16路接收通道，可实现网络音频扩展。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22）配置双向RS-232接口，可用于控制外部设备。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23）配置RS-485接口，可实现自动摄像跟踪功能。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24）配置8通道可编程GPIO控制接口（可自定义输入输出）。</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AVB光收发器</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1）40KM光收发器，RJ45，符合：IEEE802.3、IEEE802.3u 、IEEE802.3z/ab.  1000Base-T/SX/LX，850nm/1310nm/1490nm/1550nm，双绞线：5或6类线（最长距离至100米），多模光纤：50/125，62.5/125μm（最长距离550米）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2）单模光纤：8/125，8.7/125，9/125，10/125μm（最长距离10～120公里），电口：RJ-45 1个，光口:SC 2个，1000Mbps，光电转换、存贮转发 / 直通，全双工/半双工 自适应，存贮转发： 9.6us ，直通： 0.9us 。提供超低时延的数据传输。对网络协议完全透明。采用专用ASIC芯片实现数据线速转发。可编程ASIC将多项功能集中到一个芯片上，具有设计简单、可靠性高、电源消耗少等优点，能使设备得到更高的性能和更低的成本。采用独特集成电路解决方案，芯片温升低，不需加散热系统，实现流量控制，减少广播风暴。采用知名品牌的光模块提供高品质的光特性和电气特性，保证网络数据传输稳定，产品使用寿命长，机架型设备可提供热拔插功能，便于维护和无间断升级。RJ-45电口自动交叉识别计算机网卡或交换机、集线器相连状态。兼容平行线和交叉线2种接线方式。支持最长1916byte超长数据包传输。平均无故障工作时间在5万小时以上，符合电信使用标准，超低功耗小于10W</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数字音频媒体矩阵</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1）4路平衡宽带AEC回声抑制输入，支持Sona™ AEC算法用于回声消除信号处理；4路话筒/线路电平输出；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2）通过IEEE标准协议，支持千兆网络，可通过以太网进行配置和控制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3）支持AVB网络协议，128 x 128数字音频通道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DSP同时提供大量的音频处理功能，包括但不仅限于：信号路由分配和混音、均衡、滤波、动态、延迟、控制、监视和诊断工具。所有处理通过设计软件进行配置，丰富的扩展设备（输入、输出、逻辑等）可随时接入系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5）内置处理模块必须包括：ANC环境噪声补偿、增益共享自动混音、UBER滤波器、AGC自动增益控制、AEC回声消除、ROOM COMBINER房间组合等模块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6）通过SpeechSense（语音触发技术）和AmbientSense（环境触发技术），增强对人声的处理，以精确区别判断人声和环境噪声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7）配置文件支持远程回复及备份功能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8）编程式设计，所有的系统设计、配置和控制可通过设计软件完成，软件中所有的功能都可通过‘拖拽’轻松实现，整个系统通过编程完成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9）软件支持分区编译；可以让程序按分区分别编译，可分几段完成程序，并支持对系统的一小部分单独的进行维护和修改而不影响系统其他部分的正常使用；一个设计文件可支持最多32个分区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10）输入每通道：8路平衡式话筒/线路，采用裸线接口端子，平衡接法。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11）输出每通道：8路平衡式线路输出，采用裸线接口端子，平衡接法。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12）支持DANTE网络传输协议,低延时的DANTE网络音频传输，8路发送，8路接收通道，可实现网络音频扩展。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13）可脱机通过程序编译核查设计系统与硬件是否匹配</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14）支持网络冗余，可实现网络备份功能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15）4*4GPIO端口，用于周边设备LOGIC控制命令使用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16）前面板LED显示设备和系统信息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17）配置双向RS-232接口，可用于控制外部设备。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18）配置RS-485接口，可实现自动摄像跟踪功能。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19）配置8通道可编程GPIO控制接口（可自定义输入输出）。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20）信号处理通过软件直观的配置和控制，如：信号路由和混音、均衡、滤波、动态处理、延迟等等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21）支持iOS、iPad、Android的手机/平板APP进行操作控制。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22）支持场景预设功能，最大支持100组场景。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23）★产品需达到声频工程企业综合技术等级壹级资质认证标准，并提供相关文件证明。</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会议主席话筒</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1）发言设备特性: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内置14MM纯金振膜音头，超强指向性麦克风拾音技术，有效拾音距离可达80cm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T型总线手拉手连接技术，一台单元机或多台出现故障或更换不会影响到系统中其它单元机的工作，从而使系统具有更高可靠性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系统具有自动修复功能，支持线路的“热插拔”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具麦克风发言按键及发言指示灯，可控制及显示麦克风开启/关闭</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单指向性、具防气爆音、内建防风防护罩之功能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主席话筒具有主席优先控制按键，可启动系统提示音提醒所有出席人员注意，可设定永久终止或暂停终止所有发言代表麦克风单元动作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单元由系统主机供电。输入电压为DC18V，属于安全范围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系统中主席单元不受限制，并可置回路中位置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具有强制切断代表单元麦克风发言的优先功能和主席优先的提示音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具有主席专有模式：主席按PRIO键关闭发言状态的代表单体后，所有代表单元不能在开启，直至该主席单元结束发言关闭麦克风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内含会议麦克风单元连接线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2）技术参数：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换能方式：电容式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频率响应：80Hz-15kHz</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指向性：超心型指向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输出阻抗（欧姆）：1200Ω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灵敏度：-35dB</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信噪比：60dB</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等效噪声级：35dB(A)/20u Pa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总谐波失真：1%</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供电电压：系统DC18V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铁座、抗手机、电磁、高频干扰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同声传译支持63+1通道，单元具有双通道收听功能，可同时收听不同译员通道。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具备两个3.5mm耳机接口，可收听63+1个通道任意一通道的声音。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具有发言计时和定时发言功能，代表机具有申请发言功能。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具有 5 段 EQ 调节功能，可针对发言者的声音特点调节不同的音效，直至达到完美的效果。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支持（圆盘）时钟显示功能，可显示时间，支持同步管理电脑时间。</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支持会议后勤服务功能，话筒单元可向会议主机发送茶水、纸笔、人工服务等需求。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支持签到功能，也可以通过PC软件禁止单元签到、控制单元签到等功能。</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全频阵列音箱</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1）产品特性：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采用立柱型箱体，巧妙的内部结构使声音更加强有力；</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采用平面波技术，减少反射声从而减少啸叫点；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采用底部导向孔增强了中低频，使人声表现力更强；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外形小巧，容易隐藏安装；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附带L型壁挂安装支架；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2）技术参数：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类型：被动全频扬声器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供电电压：系统DC18V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频率响应：100Hz~20KHz</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灵敏度(1W/1m)：99dB</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额定功率/峰值功率：200W/800W</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最大/峰值声压级：124dB</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额定阻抗：4Ω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覆盖角度(H×V)：80°×60°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连接插座：1×speakon NL4MP，1×红黑接线座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尺寸(W×D×H)：135×127×805mm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包装尺寸：245×235×920mm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净重：7.6Kg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毛重：8.5Kg</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箱体表面：黑色（可定制白色）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吊挂/安装装置：L型壁挂架</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功率放大器</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1）H类功放，</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2）额定功率RMS：(8Ω)2×350W；</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额定功率RMS：(4Ω)：2×530W；</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3）频响：20Hz-20kHz, ±0.5dB；</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4）输入灵敏度:0.77V；</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5）信噪比≥95dB，失真度（THD）≤0.03%；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6）阻尼系数（f=1KHz 8Ω）＞240；转换速率：15V/uS；净重11.5Kg，机箱厚度2U；</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7）整机静态功耗低，动态能量充沛；具备开机软启动，欠压，过压，过热，过载，过流，直流保护等特性；适用于大型厅堂，多功能厅，演艺娱乐厅，大型KTV等场合。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8）产品需满足相关机构的专业功放短路、过载保护电路的产品功能确认认证，并提供相关文件证明</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AVB光收发器</w:t>
      </w:r>
    </w:p>
    <w:p>
      <w:pPr>
        <w:pStyle w:val="2"/>
        <w:pageBreakBefore w:val="0"/>
        <w:kinsoku/>
        <w:wordWrap/>
        <w:overflowPunct/>
        <w:topLinePunct w:val="0"/>
        <w:autoSpaceDE/>
        <w:autoSpaceDN/>
        <w:bidi w:val="0"/>
        <w:snapToGrid/>
        <w:spacing w:line="354" w:lineRule="exact"/>
        <w:ind w:firstLine="0" w:firstLineChars="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1）40KM光收发器，RJ45，符合：IEEE802.3、IEEE802.3u 、IEEE802.3z/ab.  1000Base-T/SX/LX，850nm/1310nm/1490nm/1550nm，双绞线：5或6类线（最长距离至100米），多模光纤：50/125，62.5/125μm（最长距离550米）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2）单模光纤：8/125，8.7/125，9/125，10/125μm（最长距离10～120公里），电口：RJ-45 1个，光口:SC 2个，1000Mbps，光电转换、存贮转发 / 直通，全双工/半双工 自适应，存贮转发： 9.6us ，直通： 0.9us 。提供超低时延的数据传输。对网络协议完全透明。采用专用ASIC芯片实现数据线速转发。可编程ASIC将多项功能集中到一个芯片上，具有设计简单、可靠性高、电源消耗少等优点，能使设备得到更高的性能和更低的成本。采用独特集成电路解决方案，芯片温升低，不需加散热系统，实现流量控制，减少广播风暴。采用知名品牌的光模块提供高品质的光特性和电气特性，保证网络数据传输稳定，产品使用寿命长，机架型设备可提供热拔插功能，便于维护和无间断升级。RJ-45电口自动交叉识别计算机网卡或交换机、集线器相连状态。兼容平行线和交叉线2种接线方式。支持最长1916byte超长数据包传输。平均无故障工作时间在5万小时以上，符合电信使用标准，超低功耗小于10W</w:t>
      </w:r>
      <w:r>
        <w:rPr>
          <w:rFonts w:hint="eastAsia" w:ascii="宋体" w:hAnsi="宋体" w:eastAsia="宋体" w:cs="宋体"/>
          <w:color w:val="000000"/>
          <w:kern w:val="0"/>
          <w:sz w:val="24"/>
          <w:szCs w:val="24"/>
          <w:lang w:eastAsia="zh-CN"/>
        </w:rPr>
        <w:t>。</w:t>
      </w:r>
    </w:p>
    <w:p>
      <w:pPr>
        <w:pageBreakBefore w:val="0"/>
        <w:widowControl w:val="0"/>
        <w:numPr>
          <w:ilvl w:val="0"/>
          <w:numId w:val="0"/>
        </w:numPr>
        <w:kinsoku/>
        <w:wordWrap/>
        <w:overflowPunct/>
        <w:topLinePunct w:val="0"/>
        <w:autoSpaceDE/>
        <w:autoSpaceDN/>
        <w:bidi w:val="0"/>
        <w:spacing w:line="400" w:lineRule="exact"/>
        <w:ind w:leftChars="200"/>
        <w:jc w:val="center"/>
        <w:rPr>
          <w:rFonts w:ascii="宋体" w:hAnsi="宋体" w:cs="宋体"/>
          <w:b/>
          <w:color w:val="auto"/>
          <w:sz w:val="36"/>
        </w:rPr>
      </w:pPr>
      <w:r>
        <w:rPr>
          <w:rFonts w:hint="eastAsia" w:ascii="宋体" w:hAnsi="宋体" w:cs="宋体"/>
          <w:color w:val="auto"/>
        </w:rPr>
        <w:br w:type="page"/>
      </w:r>
      <w:bookmarkEnd w:id="35"/>
      <w:bookmarkStart w:id="36" w:name="_Toc10914"/>
      <w:r>
        <w:rPr>
          <w:rStyle w:val="41"/>
          <w:rFonts w:hint="eastAsia" w:ascii="宋体" w:hAnsi="宋体" w:cs="宋体"/>
          <w:color w:val="auto"/>
        </w:rPr>
        <w:t>第四部分  评审方法（综合评分法）</w:t>
      </w:r>
      <w:bookmarkEnd w:id="36"/>
    </w:p>
    <w:p>
      <w:pPr>
        <w:spacing w:line="360" w:lineRule="auto"/>
        <w:ind w:left="-9" w:right="-86" w:rightChars="-41" w:firstLine="429"/>
        <w:rPr>
          <w:rFonts w:ascii="宋体" w:hAnsi="宋体" w:cs="宋体"/>
          <w:color w:val="auto"/>
          <w:kern w:val="0"/>
          <w:sz w:val="24"/>
        </w:rPr>
      </w:pPr>
      <w:r>
        <w:rPr>
          <w:rFonts w:hint="eastAsia" w:ascii="宋体" w:hAnsi="宋体" w:cs="宋体"/>
          <w:color w:val="auto"/>
          <w:sz w:val="24"/>
        </w:rPr>
        <w:t>本项目评审方法见招标文件第二部分“供应商须知前附表”中第23项的规定。</w:t>
      </w:r>
      <w:r>
        <w:rPr>
          <w:rFonts w:hint="eastAsia" w:ascii="宋体" w:hAnsi="宋体" w:cs="宋体"/>
          <w:color w:val="auto"/>
          <w:kern w:val="0"/>
          <w:sz w:val="24"/>
        </w:rPr>
        <w:t>如果采用综合评分法，评分细则如下：</w:t>
      </w:r>
    </w:p>
    <w:tbl>
      <w:tblPr>
        <w:tblStyle w:val="33"/>
        <w:tblpPr w:leftFromText="180" w:rightFromText="180" w:vertAnchor="text" w:horzAnchor="margin" w:tblpXSpec="center" w:tblpY="152"/>
        <w:tblW w:w="85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4"/>
        <w:gridCol w:w="1208"/>
        <w:gridCol w:w="1629"/>
        <w:gridCol w:w="4250"/>
        <w:gridCol w:w="51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atLeast"/>
        </w:trPr>
        <w:tc>
          <w:tcPr>
            <w:tcW w:w="1592" w:type="dxa"/>
            <w:gridSpan w:val="2"/>
            <w:vMerge w:val="restart"/>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评分因素</w:t>
            </w:r>
          </w:p>
        </w:tc>
        <w:tc>
          <w:tcPr>
            <w:tcW w:w="1629" w:type="dxa"/>
            <w:vMerge w:val="restart"/>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评分点</w:t>
            </w:r>
          </w:p>
        </w:tc>
        <w:tc>
          <w:tcPr>
            <w:tcW w:w="4250" w:type="dxa"/>
            <w:vMerge w:val="restart"/>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评分标准</w:t>
            </w:r>
          </w:p>
        </w:tc>
        <w:tc>
          <w:tcPr>
            <w:tcW w:w="1080" w:type="dxa"/>
            <w:gridSpan w:val="2"/>
            <w:vAlign w:val="center"/>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trPr>
        <w:tc>
          <w:tcPr>
            <w:tcW w:w="1592" w:type="dxa"/>
            <w:gridSpan w:val="2"/>
            <w:vMerge w:val="continue"/>
          </w:tcPr>
          <w:p>
            <w:pPr>
              <w:spacing w:line="240" w:lineRule="auto"/>
              <w:jc w:val="center"/>
              <w:rPr>
                <w:rFonts w:ascii="宋体" w:hAnsi="宋体" w:cs="宋体"/>
                <w:b/>
                <w:color w:val="auto"/>
                <w:sz w:val="21"/>
                <w:szCs w:val="21"/>
              </w:rPr>
            </w:pPr>
          </w:p>
        </w:tc>
        <w:tc>
          <w:tcPr>
            <w:tcW w:w="1629" w:type="dxa"/>
            <w:vMerge w:val="continue"/>
            <w:vAlign w:val="center"/>
          </w:tcPr>
          <w:p>
            <w:pPr>
              <w:spacing w:line="240" w:lineRule="auto"/>
              <w:jc w:val="center"/>
              <w:rPr>
                <w:rFonts w:ascii="宋体" w:hAnsi="宋体" w:cs="宋体"/>
                <w:b/>
                <w:color w:val="auto"/>
                <w:sz w:val="21"/>
                <w:szCs w:val="21"/>
              </w:rPr>
            </w:pPr>
          </w:p>
        </w:tc>
        <w:tc>
          <w:tcPr>
            <w:tcW w:w="4250" w:type="dxa"/>
            <w:vMerge w:val="continue"/>
            <w:vAlign w:val="center"/>
          </w:tcPr>
          <w:p>
            <w:pPr>
              <w:spacing w:line="240" w:lineRule="auto"/>
              <w:jc w:val="center"/>
              <w:rPr>
                <w:rFonts w:ascii="宋体" w:hAnsi="宋体" w:cs="宋体"/>
                <w:b/>
                <w:color w:val="auto"/>
                <w:sz w:val="21"/>
                <w:szCs w:val="21"/>
              </w:rPr>
            </w:pPr>
          </w:p>
        </w:tc>
        <w:tc>
          <w:tcPr>
            <w:tcW w:w="510" w:type="dxa"/>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是</w:t>
            </w:r>
          </w:p>
        </w:tc>
        <w:tc>
          <w:tcPr>
            <w:tcW w:w="570" w:type="dxa"/>
          </w:tcPr>
          <w:p>
            <w:pPr>
              <w:spacing w:line="240" w:lineRule="auto"/>
              <w:jc w:val="center"/>
              <w:rPr>
                <w:rFonts w:ascii="宋体" w:hAnsi="宋体" w:cs="宋体"/>
                <w:b/>
                <w:color w:val="auto"/>
                <w:sz w:val="21"/>
                <w:szCs w:val="21"/>
              </w:rPr>
            </w:pPr>
            <w:r>
              <w:rPr>
                <w:rFonts w:hint="eastAsia" w:ascii="宋体" w:hAnsi="宋体" w:cs="宋体"/>
                <w:b/>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restart"/>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初步评审</w:t>
            </w:r>
          </w:p>
        </w:tc>
        <w:tc>
          <w:tcPr>
            <w:tcW w:w="1208" w:type="dxa"/>
            <w:vMerge w:val="restart"/>
            <w:vAlign w:val="center"/>
          </w:tcPr>
          <w:p>
            <w:pPr>
              <w:spacing w:line="240" w:lineRule="auto"/>
              <w:ind w:firstLine="105" w:firstLineChars="50"/>
              <w:rPr>
                <w:rFonts w:ascii="宋体" w:hAnsi="宋体" w:cs="宋体"/>
                <w:b/>
                <w:color w:val="auto"/>
                <w:sz w:val="21"/>
                <w:szCs w:val="21"/>
              </w:rPr>
            </w:pPr>
            <w:r>
              <w:rPr>
                <w:rFonts w:hint="eastAsia" w:ascii="宋体" w:hAnsi="宋体" w:cs="宋体"/>
                <w:color w:val="auto"/>
                <w:sz w:val="21"/>
                <w:szCs w:val="21"/>
              </w:rPr>
              <w:t>资格检查</w:t>
            </w:r>
          </w:p>
        </w:tc>
        <w:tc>
          <w:tcPr>
            <w:tcW w:w="1629" w:type="dxa"/>
            <w:vAlign w:val="center"/>
          </w:tcPr>
          <w:p>
            <w:pPr>
              <w:spacing w:line="240" w:lineRule="auto"/>
              <w:jc w:val="center"/>
              <w:rPr>
                <w:rFonts w:ascii="宋体" w:hAnsi="宋体" w:cs="宋体"/>
                <w:b/>
                <w:color w:val="auto"/>
                <w:sz w:val="21"/>
                <w:szCs w:val="21"/>
              </w:rPr>
            </w:pPr>
            <w:r>
              <w:rPr>
                <w:rFonts w:hint="eastAsia" w:ascii="宋体" w:hAnsi="宋体" w:cs="宋体"/>
                <w:color w:val="auto"/>
                <w:sz w:val="21"/>
                <w:szCs w:val="21"/>
              </w:rPr>
              <w:t>营业执照</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供应商是否具备有效的营业执照</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vAlign w:val="center"/>
          </w:tcPr>
          <w:p>
            <w:pPr>
              <w:spacing w:line="240" w:lineRule="auto"/>
              <w:jc w:val="center"/>
              <w:rPr>
                <w:rFonts w:hint="eastAsia" w:ascii="宋体" w:hAnsi="宋体" w:cs="宋体"/>
                <w:color w:val="auto"/>
                <w:sz w:val="21"/>
                <w:szCs w:val="21"/>
              </w:rPr>
            </w:pPr>
          </w:p>
        </w:tc>
        <w:tc>
          <w:tcPr>
            <w:tcW w:w="1208" w:type="dxa"/>
            <w:vMerge w:val="continue"/>
            <w:vAlign w:val="center"/>
          </w:tcPr>
          <w:p>
            <w:pPr>
              <w:spacing w:line="240" w:lineRule="auto"/>
              <w:ind w:firstLine="105" w:firstLineChars="50"/>
              <w:rPr>
                <w:rFonts w:hint="eastAsia" w:ascii="宋体" w:hAnsi="宋体" w:cs="宋体"/>
                <w:color w:val="auto"/>
                <w:sz w:val="21"/>
                <w:szCs w:val="21"/>
              </w:rPr>
            </w:pPr>
          </w:p>
        </w:tc>
        <w:tc>
          <w:tcPr>
            <w:tcW w:w="1629" w:type="dxa"/>
            <w:vAlign w:val="center"/>
          </w:tcPr>
          <w:p>
            <w:pPr>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资质证书</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eastAsia="zh-CN"/>
              </w:rPr>
              <w:t>供应商须具备电子与智能化工程专业承包资质证书、安全生产许可证、计算机信息系统集成资质证书</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jc w:val="center"/>
              <w:rPr>
                <w:rFonts w:ascii="宋体" w:hAnsi="宋体" w:cs="宋体"/>
                <w:color w:val="auto"/>
                <w:sz w:val="21"/>
                <w:szCs w:val="21"/>
              </w:rPr>
            </w:pPr>
          </w:p>
        </w:tc>
        <w:tc>
          <w:tcPr>
            <w:tcW w:w="1208" w:type="dxa"/>
            <w:vMerge w:val="continue"/>
            <w:vAlign w:val="center"/>
          </w:tcPr>
          <w:p>
            <w:pPr>
              <w:spacing w:line="240" w:lineRule="auto"/>
              <w:jc w:val="center"/>
              <w:rPr>
                <w:rFonts w:ascii="宋体" w:hAnsi="宋体" w:cs="宋体"/>
                <w:color w:val="auto"/>
                <w:sz w:val="21"/>
                <w:szCs w:val="21"/>
              </w:rPr>
            </w:pPr>
          </w:p>
        </w:tc>
        <w:tc>
          <w:tcPr>
            <w:tcW w:w="1629" w:type="dxa"/>
            <w:vAlign w:val="center"/>
          </w:tcPr>
          <w:p>
            <w:pPr>
              <w:pStyle w:val="167"/>
              <w:spacing w:line="240" w:lineRule="auto"/>
              <w:jc w:val="center"/>
              <w:rPr>
                <w:rFonts w:ascii="宋体" w:hAnsi="宋体" w:eastAsia="宋体" w:cs="宋体"/>
                <w:color w:val="auto"/>
                <w:sz w:val="21"/>
                <w:szCs w:val="21"/>
              </w:rPr>
            </w:pPr>
            <w:r>
              <w:rPr>
                <w:rFonts w:hint="eastAsia" w:ascii="宋体" w:hAnsi="宋体" w:eastAsia="宋体" w:cs="宋体"/>
                <w:color w:val="auto"/>
                <w:kern w:val="2"/>
                <w:sz w:val="21"/>
                <w:szCs w:val="21"/>
              </w:rPr>
              <w:t>法定代表人或授权委托书</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是否提供法定代表人身份证明书和法定代表人身份证或者法定代表人授权委托书及被授权人身份证明</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投标保证金交纳情况</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供应商是否交纳投标保证金</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jc w:val="center"/>
              <w:rPr>
                <w:rFonts w:ascii="宋体" w:hAnsi="宋体" w:cs="宋体"/>
                <w:color w:val="auto"/>
                <w:sz w:val="21"/>
                <w:szCs w:val="21"/>
              </w:rPr>
            </w:pPr>
          </w:p>
        </w:tc>
        <w:tc>
          <w:tcPr>
            <w:tcW w:w="1208" w:type="dxa"/>
            <w:vMerge w:val="restart"/>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符合性</w:t>
            </w:r>
          </w:p>
          <w:p>
            <w:pPr>
              <w:spacing w:line="240" w:lineRule="auto"/>
              <w:jc w:val="center"/>
              <w:rPr>
                <w:rFonts w:ascii="宋体" w:hAnsi="宋体" w:cs="宋体"/>
                <w:color w:val="auto"/>
                <w:sz w:val="21"/>
                <w:szCs w:val="21"/>
              </w:rPr>
            </w:pPr>
            <w:r>
              <w:rPr>
                <w:rFonts w:hint="eastAsia" w:ascii="宋体" w:hAnsi="宋体" w:cs="宋体"/>
                <w:color w:val="auto"/>
                <w:sz w:val="21"/>
                <w:szCs w:val="21"/>
              </w:rPr>
              <w:t>检查</w:t>
            </w:r>
          </w:p>
        </w:tc>
        <w:tc>
          <w:tcPr>
            <w:tcW w:w="1629" w:type="dxa"/>
            <w:vAlign w:val="center"/>
          </w:tcPr>
          <w:p>
            <w:pPr>
              <w:pStyle w:val="167"/>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供应商名称</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供应商名称是否与营业执照</w:t>
            </w:r>
            <w:r>
              <w:rPr>
                <w:rFonts w:hint="eastAsia" w:ascii="宋体" w:hAnsi="宋体" w:cs="宋体"/>
                <w:bCs/>
                <w:color w:val="FF0000"/>
                <w:sz w:val="22"/>
                <w:szCs w:val="22"/>
                <w:lang w:val="zh-CN"/>
              </w:rPr>
              <w:t>、</w:t>
            </w:r>
            <w:r>
              <w:rPr>
                <w:rFonts w:hint="eastAsia" w:ascii="宋体" w:hAnsi="宋体" w:cs="宋体"/>
                <w:bCs/>
                <w:color w:val="auto"/>
                <w:sz w:val="22"/>
                <w:szCs w:val="22"/>
                <w:lang w:val="zh-CN"/>
              </w:rPr>
              <w:t>资质证书中的一致</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7"/>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资格证明文件</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供应商资格证明文件是否满足招标文件要求</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spacing w:line="240" w:lineRule="auto"/>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7"/>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投标文件密封、签署、盖章</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投标文件是否按照招标文件规定要求密封、签署、盖章</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3"/>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7"/>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投标报价</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投标报价是否按照招标文件格式填写</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3"/>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7"/>
              <w:spacing w:line="240" w:lineRule="auto"/>
              <w:jc w:val="center"/>
              <w:rPr>
                <w:rFonts w:ascii="宋体" w:hAnsi="宋体" w:eastAsia="宋体" w:cs="宋体"/>
                <w:color w:val="auto"/>
                <w:sz w:val="21"/>
                <w:szCs w:val="21"/>
              </w:rPr>
            </w:pPr>
            <w:r>
              <w:rPr>
                <w:rFonts w:hint="eastAsia" w:ascii="宋体" w:hAnsi="宋体" w:eastAsia="宋体" w:cs="宋体"/>
                <w:color w:val="auto"/>
                <w:sz w:val="21"/>
                <w:szCs w:val="21"/>
              </w:rPr>
              <w:t>报价合理性</w:t>
            </w:r>
          </w:p>
          <w:p>
            <w:pPr>
              <w:pStyle w:val="167"/>
              <w:spacing w:line="240" w:lineRule="auto"/>
              <w:jc w:val="center"/>
              <w:rPr>
                <w:rFonts w:ascii="宋体" w:hAnsi="宋体" w:eastAsia="宋体" w:cs="宋体"/>
                <w:color w:val="auto"/>
                <w:kern w:val="2"/>
                <w:sz w:val="21"/>
                <w:szCs w:val="21"/>
              </w:rPr>
            </w:pPr>
            <w:r>
              <w:rPr>
                <w:rFonts w:hint="eastAsia" w:ascii="宋体" w:hAnsi="宋体" w:eastAsia="宋体" w:cs="宋体"/>
                <w:color w:val="auto"/>
                <w:sz w:val="21"/>
                <w:szCs w:val="21"/>
              </w:rPr>
              <w:t>审查</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投标报价合理性审查。评标委员会认为供应商的报价明显低于其他供应商的报价，有可能影响产品质量或不能诚信履约的，可要求供应商在评标现场合理的时间内提供书面说明，必要时提供相关证明材料；供应商不能证明其报价合理性的，此项审查结果不合格</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3"/>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7"/>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投标文件</w:t>
            </w:r>
          </w:p>
          <w:p>
            <w:pPr>
              <w:pStyle w:val="167"/>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完整性</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供应商</w:t>
            </w:r>
            <w:r>
              <w:rPr>
                <w:rFonts w:hint="eastAsia" w:ascii="宋体" w:hAnsi="宋体" w:cs="宋体"/>
                <w:bCs/>
                <w:color w:val="auto"/>
                <w:sz w:val="22"/>
                <w:szCs w:val="22"/>
                <w:lang w:val="en-US" w:eastAsia="zh-CN"/>
              </w:rPr>
              <w:t>投标</w:t>
            </w:r>
            <w:r>
              <w:rPr>
                <w:rFonts w:hint="eastAsia" w:ascii="宋体" w:hAnsi="宋体" w:cs="宋体"/>
                <w:bCs/>
                <w:color w:val="auto"/>
                <w:sz w:val="22"/>
                <w:szCs w:val="22"/>
                <w:lang w:val="zh-CN"/>
              </w:rPr>
              <w:t>文件的完整性是否符合招标文件要求</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rPr>
        <w:tc>
          <w:tcPr>
            <w:tcW w:w="384" w:type="dxa"/>
            <w:vMerge w:val="continue"/>
          </w:tcPr>
          <w:p>
            <w:pPr>
              <w:pStyle w:val="13"/>
              <w:spacing w:line="240" w:lineRule="auto"/>
              <w:ind w:firstLine="0" w:firstLineChars="0"/>
              <w:rPr>
                <w:rFonts w:ascii="宋体" w:hAnsi="宋体" w:cs="宋体"/>
                <w:color w:val="auto"/>
                <w:sz w:val="21"/>
                <w:szCs w:val="21"/>
              </w:rPr>
            </w:pPr>
          </w:p>
        </w:tc>
        <w:tc>
          <w:tcPr>
            <w:tcW w:w="1208" w:type="dxa"/>
            <w:vMerge w:val="continue"/>
            <w:vAlign w:val="center"/>
          </w:tcPr>
          <w:p>
            <w:pPr>
              <w:spacing w:line="240" w:lineRule="auto"/>
              <w:rPr>
                <w:rFonts w:ascii="宋体" w:hAnsi="宋体" w:cs="宋体"/>
                <w:color w:val="auto"/>
                <w:sz w:val="21"/>
                <w:szCs w:val="21"/>
              </w:rPr>
            </w:pPr>
          </w:p>
        </w:tc>
        <w:tc>
          <w:tcPr>
            <w:tcW w:w="1629" w:type="dxa"/>
            <w:vAlign w:val="center"/>
          </w:tcPr>
          <w:p>
            <w:pPr>
              <w:pStyle w:val="167"/>
              <w:spacing w:line="24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投标有效期</w:t>
            </w:r>
          </w:p>
        </w:tc>
        <w:tc>
          <w:tcPr>
            <w:tcW w:w="4250" w:type="dxa"/>
            <w:vAlign w:val="center"/>
          </w:tcPr>
          <w:p>
            <w:pPr>
              <w:spacing w:line="240" w:lineRule="auto"/>
              <w:rPr>
                <w:rFonts w:hint="eastAsia" w:ascii="宋体" w:hAnsi="宋体" w:cs="宋体"/>
                <w:bCs/>
                <w:color w:val="auto"/>
                <w:sz w:val="22"/>
                <w:szCs w:val="22"/>
                <w:lang w:val="zh-CN"/>
              </w:rPr>
            </w:pPr>
            <w:r>
              <w:rPr>
                <w:rFonts w:hint="eastAsia" w:ascii="宋体" w:hAnsi="宋体" w:cs="宋体"/>
                <w:bCs/>
                <w:color w:val="auto"/>
                <w:sz w:val="22"/>
                <w:szCs w:val="22"/>
                <w:lang w:val="zh-CN"/>
              </w:rPr>
              <w:t>投标有效期是否满足招标文件要求；</w:t>
            </w:r>
          </w:p>
        </w:tc>
        <w:tc>
          <w:tcPr>
            <w:tcW w:w="510" w:type="dxa"/>
          </w:tcPr>
          <w:p>
            <w:pPr>
              <w:spacing w:line="240" w:lineRule="auto"/>
              <w:jc w:val="center"/>
              <w:rPr>
                <w:rFonts w:ascii="宋体" w:hAnsi="宋体" w:cs="宋体"/>
                <w:color w:val="auto"/>
                <w:sz w:val="21"/>
                <w:szCs w:val="21"/>
              </w:rPr>
            </w:pPr>
          </w:p>
        </w:tc>
        <w:tc>
          <w:tcPr>
            <w:tcW w:w="570" w:type="dxa"/>
            <w:vAlign w:val="center"/>
          </w:tcPr>
          <w:p>
            <w:pPr>
              <w:spacing w:line="240" w:lineRule="auto"/>
              <w:jc w:val="center"/>
              <w:rPr>
                <w:rFonts w:ascii="宋体" w:hAnsi="宋体" w:cs="宋体"/>
                <w:color w:val="auto"/>
                <w:sz w:val="21"/>
                <w:szCs w:val="21"/>
              </w:rPr>
            </w:pPr>
          </w:p>
        </w:tc>
      </w:tr>
    </w:tbl>
    <w:p>
      <w:pPr>
        <w:rPr>
          <w:color w:val="auto"/>
        </w:rPr>
      </w:pPr>
      <w:bookmarkStart w:id="37" w:name="EBa48645eff2ee4582a36f886367fb689c"/>
      <w:bookmarkEnd w:id="37"/>
      <w:bookmarkStart w:id="38" w:name="_Toc24746"/>
    </w:p>
    <w:p>
      <w:pPr>
        <w:jc w:val="center"/>
        <w:rPr>
          <w:rFonts w:ascii="宋体" w:hAnsi="宋体" w:cs="宋体"/>
          <w:b/>
          <w:bCs/>
          <w:color w:val="auto"/>
          <w:sz w:val="32"/>
          <w:szCs w:val="48"/>
        </w:rPr>
      </w:pPr>
      <w:r>
        <w:rPr>
          <w:rFonts w:hint="eastAsia"/>
          <w:color w:val="auto"/>
        </w:rPr>
        <w:br w:type="page"/>
      </w:r>
      <w:r>
        <w:rPr>
          <w:rFonts w:hint="eastAsia" w:ascii="宋体" w:hAnsi="宋体" w:cs="宋体"/>
          <w:b/>
          <w:bCs/>
          <w:color w:val="auto"/>
          <w:sz w:val="32"/>
          <w:szCs w:val="48"/>
        </w:rPr>
        <w:t>评标办法及评标标准</w:t>
      </w:r>
      <w:bookmarkEnd w:id="38"/>
    </w:p>
    <w:p>
      <w:pPr>
        <w:numPr>
          <w:ilvl w:val="0"/>
          <w:numId w:val="4"/>
        </w:numPr>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评标办法：</w:t>
      </w:r>
      <w:r>
        <w:rPr>
          <w:rFonts w:hint="eastAsia" w:ascii="宋体" w:hAnsi="宋体" w:cs="宋体"/>
          <w:color w:val="auto"/>
          <w:sz w:val="24"/>
          <w:szCs w:val="24"/>
        </w:rPr>
        <w:t>采用</w:t>
      </w:r>
      <w:r>
        <w:rPr>
          <w:rFonts w:hint="eastAsia" w:ascii="宋体" w:hAnsi="宋体" w:cs="宋体"/>
          <w:color w:val="auto"/>
          <w:sz w:val="24"/>
          <w:szCs w:val="24"/>
          <w:u w:val="single"/>
        </w:rPr>
        <w:t xml:space="preserve"> 综合评分法 </w:t>
      </w:r>
      <w:r>
        <w:rPr>
          <w:rFonts w:hint="eastAsia" w:ascii="宋体" w:hAnsi="宋体" w:cs="宋体"/>
          <w:color w:val="auto"/>
          <w:sz w:val="24"/>
          <w:szCs w:val="24"/>
        </w:rPr>
        <w:t>。</w:t>
      </w:r>
      <w:bookmarkStart w:id="39" w:name="_Toc188469662"/>
    </w:p>
    <w:p>
      <w:pPr>
        <w:numPr>
          <w:ilvl w:val="0"/>
          <w:numId w:val="4"/>
        </w:numPr>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评标流程：</w:t>
      </w:r>
      <w:r>
        <w:rPr>
          <w:rFonts w:hint="eastAsia" w:ascii="宋体" w:hAnsi="宋体" w:cs="宋体"/>
          <w:color w:val="auto"/>
          <w:sz w:val="24"/>
          <w:szCs w:val="24"/>
        </w:rPr>
        <w:t>委员会根据本评标办法对已接收的投标文件进行评审，向采购人提供评标排序结果，撰写评标报告，由采购人最终确定中标人。</w:t>
      </w:r>
      <w:bookmarkEnd w:id="39"/>
      <w:bookmarkStart w:id="40" w:name="_Toc188469663"/>
    </w:p>
    <w:p>
      <w:pPr>
        <w:numPr>
          <w:ilvl w:val="0"/>
          <w:numId w:val="4"/>
        </w:numPr>
        <w:spacing w:line="360" w:lineRule="auto"/>
        <w:ind w:firstLine="482"/>
        <w:rPr>
          <w:rFonts w:ascii="宋体" w:hAnsi="宋体" w:cs="宋体"/>
          <w:b/>
          <w:bCs/>
          <w:color w:val="auto"/>
          <w:sz w:val="24"/>
          <w:szCs w:val="24"/>
        </w:rPr>
      </w:pPr>
      <w:r>
        <w:rPr>
          <w:rFonts w:hint="eastAsia" w:ascii="宋体" w:hAnsi="宋体" w:cs="宋体"/>
          <w:b/>
          <w:bCs/>
          <w:color w:val="auto"/>
          <w:sz w:val="24"/>
          <w:szCs w:val="24"/>
        </w:rPr>
        <w:t>评标程序</w:t>
      </w:r>
      <w:bookmarkEnd w:id="40"/>
      <w:r>
        <w:rPr>
          <w:rFonts w:hint="eastAsia" w:ascii="宋体" w:hAnsi="宋体" w:cs="宋体"/>
          <w:b/>
          <w:bCs/>
          <w:color w:val="auto"/>
          <w:sz w:val="24"/>
          <w:szCs w:val="24"/>
        </w:rPr>
        <w:t>：</w:t>
      </w:r>
      <w:r>
        <w:rPr>
          <w:rFonts w:hint="eastAsia" w:ascii="宋体" w:hAnsi="宋体" w:cs="宋体"/>
          <w:color w:val="auto"/>
          <w:sz w:val="24"/>
          <w:szCs w:val="24"/>
        </w:rPr>
        <w:t>评标程序分为资格审查、初步评审、详细评审、综合评分并提出评审意见。</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1．资格审查</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1.1评标委员会对招标文件中要求的资质文件系统地进行评审，确定合格供应商。</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1.2只有通过资格审查合格的供应商才能进入下一阶段的评审。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2．初步评审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2.1评标委员会将首先审查投标文件是否完整，有无计算上的错误，文件签署是否合格，投标文件的总体编排是否有序。</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2.2其次审查投标文件是否实质上响应了招标文件的要求。实质上响应的投标是指与招标文件提出的实质性要求和条件相符，包括招标项目的技术要求、对供应商的资格要求、投标报价要求以及合同的主要条款。</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2.3 对投标文件的初步评审应遵循以下原则：</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2.3.1文字表示的数值与数字表示的数值不一致，以文字表示的值为准。</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2.3.2如果投标文件实质上没有响应招标文件的要求，评标委员会可以予以拒绝。供应商不得通过修正或撤消不合要求的偏离或保留从而使其投标成为实质上响应的投标，对于投标文件中不构成实质性偏差的小的不正规、不一致或不规则，评标委员会可以接受，但这种接受不能损害或影响任何供应商的相对排序。</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3．详细评审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3.1评标委员会只对初审合格的投标文件进行详细评审。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3.2评标委员会对投标文件进行技术、商务详细评审。</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3.3评标委员会质询，供应商答疑，澄清有关问题。</w:t>
      </w:r>
    </w:p>
    <w:p>
      <w:pPr>
        <w:spacing w:line="360" w:lineRule="auto"/>
        <w:ind w:firstLine="482"/>
        <w:rPr>
          <w:rFonts w:ascii="宋体" w:hAnsi="宋体" w:cs="宋体"/>
          <w:color w:val="auto"/>
          <w:sz w:val="24"/>
          <w:szCs w:val="24"/>
        </w:rPr>
      </w:pPr>
      <w:r>
        <w:rPr>
          <w:rFonts w:hint="eastAsia" w:ascii="宋体" w:hAnsi="宋体" w:cs="宋体"/>
          <w:color w:val="auto"/>
          <w:sz w:val="24"/>
          <w:szCs w:val="24"/>
        </w:rPr>
        <w:t>3.4评标委员会可以要求供应商对其投标文件进行澄清，有关澄清的要求和答复应以书面形式提交。</w:t>
      </w:r>
    </w:p>
    <w:p>
      <w:pPr>
        <w:numPr>
          <w:ilvl w:val="0"/>
          <w:numId w:val="5"/>
        </w:numPr>
        <w:spacing w:line="360" w:lineRule="auto"/>
        <w:ind w:firstLine="482"/>
        <w:rPr>
          <w:color w:val="auto"/>
        </w:rPr>
      </w:pPr>
      <w:r>
        <w:rPr>
          <w:rFonts w:hint="eastAsia" w:ascii="宋体" w:hAnsi="宋体" w:cs="宋体"/>
          <w:color w:val="auto"/>
          <w:sz w:val="24"/>
          <w:szCs w:val="24"/>
        </w:rPr>
        <w:t>评标委员会按照评分标准进行综合评分并提出评审意见。</w:t>
      </w:r>
    </w:p>
    <w:p>
      <w:pPr>
        <w:numPr>
          <w:ilvl w:val="0"/>
          <w:numId w:val="4"/>
        </w:numPr>
        <w:spacing w:line="360" w:lineRule="auto"/>
        <w:ind w:firstLine="482"/>
        <w:rPr>
          <w:rFonts w:ascii="宋体" w:hAnsi="宋体" w:cs="宋体"/>
          <w:b/>
          <w:bCs/>
          <w:color w:val="auto"/>
          <w:sz w:val="24"/>
          <w:szCs w:val="24"/>
        </w:rPr>
      </w:pPr>
      <w:bookmarkStart w:id="41" w:name="_Toc188469664"/>
      <w:r>
        <w:rPr>
          <w:rFonts w:hint="eastAsia" w:ascii="宋体" w:hAnsi="宋体" w:cs="宋体"/>
          <w:b/>
          <w:bCs/>
          <w:color w:val="auto"/>
          <w:sz w:val="24"/>
          <w:szCs w:val="24"/>
        </w:rPr>
        <w:t>评标标准</w:t>
      </w:r>
      <w:bookmarkEnd w:id="41"/>
    </w:p>
    <w:tbl>
      <w:tblPr>
        <w:tblStyle w:val="33"/>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028"/>
        <w:gridCol w:w="1252"/>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序号</w:t>
            </w:r>
          </w:p>
        </w:tc>
        <w:tc>
          <w:tcPr>
            <w:tcW w:w="1028" w:type="dxa"/>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项目</w:t>
            </w:r>
          </w:p>
        </w:tc>
        <w:tc>
          <w:tcPr>
            <w:tcW w:w="1252" w:type="dxa"/>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评审因素</w:t>
            </w:r>
          </w:p>
        </w:tc>
        <w:tc>
          <w:tcPr>
            <w:tcW w:w="6557" w:type="dxa"/>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1</w:t>
            </w:r>
          </w:p>
        </w:tc>
        <w:tc>
          <w:tcPr>
            <w:tcW w:w="1028" w:type="dxa"/>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报价</w:t>
            </w:r>
          </w:p>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部分</w:t>
            </w:r>
          </w:p>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（30分）</w:t>
            </w:r>
          </w:p>
        </w:tc>
        <w:tc>
          <w:tcPr>
            <w:tcW w:w="1252" w:type="dxa"/>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sz w:val="22"/>
                <w:szCs w:val="22"/>
              </w:rPr>
            </w:pPr>
            <w:r>
              <w:rPr>
                <w:rFonts w:hint="eastAsia" w:ascii="宋体" w:hAnsi="宋体" w:eastAsia="宋体" w:cs="宋体"/>
                <w:bCs/>
                <w:color w:val="auto"/>
                <w:sz w:val="22"/>
                <w:szCs w:val="22"/>
              </w:rPr>
              <w:t>投标报价</w:t>
            </w:r>
          </w:p>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（30分）</w:t>
            </w:r>
          </w:p>
        </w:tc>
        <w:tc>
          <w:tcPr>
            <w:tcW w:w="6557" w:type="dxa"/>
            <w:vAlign w:val="center"/>
          </w:tcPr>
          <w:p>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eastAsia="宋体" w:cs="宋体"/>
                <w:bCs/>
                <w:color w:val="auto"/>
                <w:sz w:val="22"/>
                <w:szCs w:val="22"/>
                <w:lang w:val="zh-CN"/>
              </w:rPr>
            </w:pPr>
            <w:r>
              <w:rPr>
                <w:rFonts w:hint="eastAsia" w:ascii="宋体" w:hAnsi="宋体" w:eastAsia="宋体" w:cs="宋体"/>
                <w:bCs/>
                <w:color w:val="auto"/>
                <w:sz w:val="22"/>
                <w:szCs w:val="22"/>
                <w:lang w:val="zh-CN"/>
              </w:rPr>
              <w:t>满足招标文件要求且投标报价最低的供应商的价格为评标基准价，其价格分为满分30分。其他供应商的价格分统一按照下列公式计算：</w:t>
            </w:r>
          </w:p>
          <w:p>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eastAsia="宋体" w:cs="宋体"/>
                <w:bCs/>
                <w:color w:val="auto"/>
                <w:sz w:val="22"/>
                <w:szCs w:val="22"/>
                <w:lang w:val="zh-CN"/>
              </w:rPr>
            </w:pPr>
            <w:r>
              <w:rPr>
                <w:rFonts w:hint="eastAsia" w:ascii="宋体" w:hAnsi="宋体" w:eastAsia="宋体" w:cs="宋体"/>
                <w:bCs/>
                <w:color w:val="auto"/>
                <w:sz w:val="22"/>
                <w:szCs w:val="22"/>
                <w:lang w:val="zh-CN"/>
              </w:rPr>
              <w:t>投标报价得分=（评标基准价/投标报价）×价格权重×100</w:t>
            </w:r>
          </w:p>
          <w:p>
            <w:pPr>
              <w:keepNext w:val="0"/>
              <w:keepLines w:val="0"/>
              <w:pageBreakBefore w:val="0"/>
              <w:kinsoku/>
              <w:wordWrap/>
              <w:overflowPunct/>
              <w:topLinePunct w:val="0"/>
              <w:autoSpaceDE/>
              <w:autoSpaceDN/>
              <w:bidi w:val="0"/>
              <w:adjustRightInd/>
              <w:snapToGrid/>
              <w:spacing w:line="380" w:lineRule="exact"/>
              <w:jc w:val="both"/>
              <w:rPr>
                <w:rFonts w:hint="eastAsia" w:ascii="宋体" w:hAnsi="宋体" w:eastAsia="宋体" w:cs="宋体"/>
                <w:bCs/>
                <w:color w:val="auto"/>
                <w:sz w:val="22"/>
                <w:szCs w:val="22"/>
              </w:rPr>
            </w:pPr>
            <w:r>
              <w:rPr>
                <w:rFonts w:hint="eastAsia" w:ascii="宋体" w:hAnsi="宋体" w:eastAsia="宋体" w:cs="宋体"/>
                <w:bCs/>
                <w:color w:val="auto"/>
                <w:sz w:val="22"/>
                <w:szCs w:val="22"/>
                <w:lang w:val="zh-CN"/>
              </w:rPr>
              <w:t>计算结果保留2位小数。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restart"/>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2</w:t>
            </w:r>
          </w:p>
        </w:tc>
        <w:tc>
          <w:tcPr>
            <w:tcW w:w="1028" w:type="dxa"/>
            <w:vMerge w:val="restart"/>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商务</w:t>
            </w:r>
          </w:p>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技术</w:t>
            </w:r>
          </w:p>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部分</w:t>
            </w:r>
          </w:p>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w:t>
            </w:r>
            <w:r>
              <w:rPr>
                <w:rFonts w:hint="eastAsia" w:ascii="宋体" w:hAnsi="宋体" w:eastAsia="宋体" w:cs="宋体"/>
                <w:bCs/>
                <w:color w:val="auto"/>
                <w:sz w:val="22"/>
                <w:szCs w:val="22"/>
                <w:lang w:val="en-US" w:eastAsia="zh-CN"/>
              </w:rPr>
              <w:t>70</w:t>
            </w:r>
            <w:r>
              <w:rPr>
                <w:rFonts w:hint="eastAsia" w:ascii="宋体" w:hAnsi="宋体" w:eastAsia="宋体" w:cs="宋体"/>
                <w:bCs/>
                <w:color w:val="auto"/>
                <w:sz w:val="22"/>
                <w:szCs w:val="22"/>
              </w:rPr>
              <w:t>分）</w:t>
            </w:r>
          </w:p>
        </w:tc>
        <w:tc>
          <w:tcPr>
            <w:tcW w:w="125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投标企业</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资质</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Cs/>
                <w:color w:val="auto"/>
                <w:sz w:val="22"/>
                <w:szCs w:val="22"/>
              </w:rPr>
            </w:pPr>
            <w:r>
              <w:rPr>
                <w:rFonts w:hint="eastAsia" w:ascii="宋体" w:hAnsi="宋体" w:eastAsia="宋体" w:cs="宋体"/>
                <w:i w:val="0"/>
                <w:iCs w:val="0"/>
                <w:color w:val="000000"/>
                <w:kern w:val="0"/>
                <w:sz w:val="22"/>
                <w:szCs w:val="22"/>
                <w:u w:val="none"/>
                <w:lang w:val="en-US" w:eastAsia="zh-CN" w:bidi="ar"/>
              </w:rPr>
              <w:t>（4分）</w:t>
            </w:r>
          </w:p>
        </w:tc>
        <w:tc>
          <w:tcPr>
            <w:tcW w:w="655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1、投标人具有ISO9001质量管理体系认证得1分；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2、投标人具有ISO14001环境管理体系认证证书得1分；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3、投标人具有ISO45001职业健康安全管理体系认证证书得1分；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4、投标人具有涉密信息系统集成资质乙级及以上的得1分；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bCs/>
                <w:color w:val="auto"/>
                <w:sz w:val="22"/>
                <w:szCs w:val="22"/>
                <w:lang w:val="zh-CN"/>
              </w:rPr>
            </w:pPr>
            <w:r>
              <w:rPr>
                <w:rFonts w:hint="eastAsia" w:ascii="宋体" w:hAnsi="宋体" w:eastAsia="宋体" w:cs="宋体"/>
                <w:i w:val="0"/>
                <w:iCs w:val="0"/>
                <w:color w:val="000000"/>
                <w:kern w:val="0"/>
                <w:sz w:val="22"/>
                <w:szCs w:val="22"/>
                <w:u w:val="none"/>
                <w:lang w:val="en-US" w:eastAsia="zh-CN" w:bidi="ar"/>
              </w:rPr>
              <w:t>注：投标人须提供证书复印件，原件备查，无提供的不得分。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028"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p>
        </w:tc>
        <w:tc>
          <w:tcPr>
            <w:tcW w:w="125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业绩</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Cs/>
                <w:color w:val="auto"/>
                <w:sz w:val="22"/>
                <w:szCs w:val="22"/>
              </w:rPr>
            </w:pPr>
            <w:r>
              <w:rPr>
                <w:rFonts w:hint="eastAsia" w:ascii="宋体" w:hAnsi="宋体" w:eastAsia="宋体" w:cs="宋体"/>
                <w:i w:val="0"/>
                <w:iCs w:val="0"/>
                <w:color w:val="000000"/>
                <w:kern w:val="0"/>
                <w:sz w:val="22"/>
                <w:szCs w:val="22"/>
                <w:u w:val="none"/>
                <w:lang w:val="en-US" w:eastAsia="zh-CN" w:bidi="ar"/>
              </w:rPr>
              <w:t>（3分）</w:t>
            </w:r>
          </w:p>
        </w:tc>
        <w:tc>
          <w:tcPr>
            <w:tcW w:w="655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bCs/>
                <w:color w:val="auto"/>
                <w:sz w:val="22"/>
                <w:szCs w:val="22"/>
                <w:lang w:val="zh-CN"/>
              </w:rPr>
            </w:pPr>
            <w:r>
              <w:rPr>
                <w:rFonts w:hint="eastAsia" w:ascii="宋体" w:hAnsi="宋体" w:eastAsia="宋体" w:cs="宋体"/>
                <w:i w:val="0"/>
                <w:iCs w:val="0"/>
                <w:color w:val="000000"/>
                <w:kern w:val="0"/>
                <w:sz w:val="22"/>
                <w:szCs w:val="22"/>
                <w:u w:val="none"/>
                <w:lang w:val="en-US" w:eastAsia="zh-CN" w:bidi="ar"/>
              </w:rPr>
              <w:t>投标人提供近三年（2019年至今）的)承担过同类或相似规模项目经验材料的，每个得1分（需提供合同关键页及中标通知书复印件，原件备查，无提供的不得分），最多3分。不提供不得分。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028"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p>
        </w:tc>
        <w:tc>
          <w:tcPr>
            <w:tcW w:w="125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Cs/>
                <w:color w:val="auto"/>
                <w:sz w:val="22"/>
                <w:szCs w:val="22"/>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40</w:t>
            </w:r>
            <w:r>
              <w:rPr>
                <w:rFonts w:hint="eastAsia" w:ascii="宋体" w:hAnsi="宋体" w:eastAsia="宋体" w:cs="宋体"/>
                <w:i w:val="0"/>
                <w:iCs w:val="0"/>
                <w:color w:val="000000"/>
                <w:kern w:val="0"/>
                <w:sz w:val="22"/>
                <w:szCs w:val="22"/>
                <w:u w:val="none"/>
                <w:lang w:val="en-US" w:eastAsia="zh-CN" w:bidi="ar"/>
              </w:rPr>
              <w:t>分）</w:t>
            </w:r>
          </w:p>
        </w:tc>
        <w:tc>
          <w:tcPr>
            <w:tcW w:w="655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LED拼接显示单元制造商能够提供标准化良好的5A证书、国家强制CCC认证报告、通过ISO9001系列质量保证体系认证、通过视觉低疲劳电子产品检测、获得HDR证书、有18001职业健康安全管理体系认证证书、供应链安全管理体系评价证书、产品节能认证，每少一个报告或证书扣1分，总分8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2、高清视频矩阵系统制造商能够提供产品3C认证、CNAS认证机构出具的检测认证报告；每少一个报告或证书扣1.5分，扣完为止，总分3分。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3、数字音频系统需通过IEEE标准协议，支持千兆网络，可通过以太网进行配置和控制 </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支持AVB网络协议，128 x 128数字音频通道，得1分；内置模块包含ANC环境噪声补偿、增益共享自动混音、UBER滤波器、AGC自动增益控制、AEC回声消除、ROOM COMBINER房间组合的得1.5分，少一项不得分；本项共3分。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会议系统制造商能够提供产品3C认证、CNAS第三方检测认证报告、CMMI3认证、国际标准产品标志认证证书；每少一个报告或证书扣1分，总分3分；为保证系统稳定性支持环形手拉手功能，确保在其中的一条网线断开或者单元出问题时，会议能继续正常进行。（提供功能演示视频供评标查证，未提供本项演示的视为非实质性响应）</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5、扩声系统制造商能够提供3C认证、CNAS第三方检测认证报告、声频工程企业等级壹级认证、EASE声学相关技术认证；每少一个报告或证书扣1.5分，总分6分。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数字转录系统升级服务需包含实时转写、历史音频转写、会议信息管理三大核心功能，实现文本实时编辑、自动分段、字音同步、关键词优化、快速排版、自动角色分离、实时上屏等辅助功能，并提供厂家授权许可，得共4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投标人所投主要设备性能符合招标文件且满足技术需求中带“★”的条款，缺少一项扣1分，共10分，有负偏离的此项不得分；（需按招标文件参数要求提供权威机构检测报告复印件，并加盖公章，不提供视为无效）</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bCs/>
                <w:color w:val="auto"/>
                <w:sz w:val="22"/>
                <w:szCs w:val="22"/>
                <w:lang w:val="zh-CN"/>
              </w:rPr>
            </w:pPr>
            <w:r>
              <w:rPr>
                <w:rFonts w:hint="eastAsia" w:ascii="宋体" w:hAnsi="宋体" w:eastAsia="宋体" w:cs="宋体"/>
                <w:i w:val="0"/>
                <w:iCs w:val="0"/>
                <w:color w:val="000000"/>
                <w:kern w:val="0"/>
                <w:sz w:val="22"/>
                <w:szCs w:val="22"/>
                <w:u w:val="none"/>
                <w:lang w:val="en-US" w:eastAsia="zh-CN" w:bidi="ar"/>
              </w:rPr>
              <w:t>8、设计方案的合理性、可靠性、先进性、功能完备且完全满足采购单位实际需要，能达到本项目建设目的，得3分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58"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028" w:type="dxa"/>
            <w:vMerge w:val="continue"/>
            <w:vAlign w:val="center"/>
          </w:tcPr>
          <w:p>
            <w:pPr>
              <w:keepNext w:val="0"/>
              <w:keepLines w:val="0"/>
              <w:pageBreakBefore w:val="0"/>
              <w:kinsoku/>
              <w:wordWrap/>
              <w:overflowPunct/>
              <w:topLinePunct w:val="0"/>
              <w:autoSpaceDE/>
              <w:autoSpaceDN/>
              <w:bidi w:val="0"/>
              <w:adjustRightInd/>
              <w:snapToGrid/>
              <w:spacing w:line="380" w:lineRule="exact"/>
              <w:ind w:firstLine="440" w:firstLineChars="200"/>
              <w:jc w:val="center"/>
              <w:rPr>
                <w:rFonts w:hint="eastAsia" w:ascii="宋体" w:hAnsi="宋体" w:eastAsia="宋体" w:cs="宋体"/>
                <w:bCs/>
                <w:color w:val="auto"/>
                <w:sz w:val="22"/>
                <w:szCs w:val="22"/>
              </w:rPr>
            </w:pPr>
          </w:p>
        </w:tc>
        <w:tc>
          <w:tcPr>
            <w:tcW w:w="1252" w:type="dxa"/>
            <w:vMerge w:val="restart"/>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售后服务保障</w:t>
            </w:r>
          </w:p>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w:t>
            </w:r>
            <w:r>
              <w:rPr>
                <w:rFonts w:hint="eastAsia" w:ascii="宋体" w:hAnsi="宋体" w:eastAsia="宋体" w:cs="宋体"/>
                <w:bCs/>
                <w:color w:val="auto"/>
                <w:sz w:val="22"/>
                <w:szCs w:val="22"/>
                <w:lang w:val="en-US" w:eastAsia="zh-CN"/>
              </w:rPr>
              <w:t>1</w:t>
            </w:r>
            <w:r>
              <w:rPr>
                <w:rFonts w:hint="eastAsia" w:ascii="宋体" w:hAnsi="宋体" w:cs="宋体"/>
                <w:bCs/>
                <w:color w:val="auto"/>
                <w:sz w:val="22"/>
                <w:szCs w:val="22"/>
                <w:lang w:val="en-US" w:eastAsia="zh-CN"/>
              </w:rPr>
              <w:t>1</w:t>
            </w:r>
            <w:r>
              <w:rPr>
                <w:rFonts w:hint="eastAsia" w:ascii="宋体" w:hAnsi="宋体" w:eastAsia="宋体" w:cs="宋体"/>
                <w:bCs/>
                <w:color w:val="auto"/>
                <w:sz w:val="22"/>
                <w:szCs w:val="22"/>
              </w:rPr>
              <w:t>分）</w:t>
            </w:r>
          </w:p>
        </w:tc>
        <w:tc>
          <w:tcPr>
            <w:tcW w:w="655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bCs/>
                <w:color w:val="auto"/>
                <w:sz w:val="22"/>
                <w:szCs w:val="22"/>
                <w:lang w:val="zh-CN"/>
              </w:rPr>
            </w:pPr>
            <w:r>
              <w:rPr>
                <w:rFonts w:hint="eastAsia" w:ascii="宋体" w:hAnsi="宋体" w:eastAsia="宋体" w:cs="宋体"/>
                <w:i w:val="0"/>
                <w:iCs w:val="0"/>
                <w:color w:val="000000"/>
                <w:kern w:val="0"/>
                <w:sz w:val="22"/>
                <w:szCs w:val="22"/>
                <w:u w:val="none"/>
                <w:lang w:val="en-US" w:eastAsia="zh-CN" w:bidi="ar"/>
              </w:rPr>
              <w:t>根据投标单位服务方式、响应时间、零配件供应、费用收取、常规易损设备备品备件等情况，优得2分，良得1分，差不得分。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028"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p>
        </w:tc>
        <w:tc>
          <w:tcPr>
            <w:tcW w:w="1252"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p>
        </w:tc>
        <w:tc>
          <w:tcPr>
            <w:tcW w:w="655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（1）投标企业在疆内有固定的服务机构或服务团队的得2分；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（2）服务机构或服务团队自愿设立在项目所在地的得2分（提供营业执照或租房合同或其他相关证明材料等扫描件加盖公章）；</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（3）在项目所在地提供不少于2名驻场技术人员的得1分。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bCs/>
                <w:color w:val="auto"/>
                <w:sz w:val="22"/>
                <w:szCs w:val="22"/>
                <w:lang w:val="zh-CN"/>
              </w:rPr>
            </w:pPr>
            <w:r>
              <w:rPr>
                <w:rFonts w:hint="eastAsia" w:ascii="宋体" w:hAnsi="宋体" w:eastAsia="宋体" w:cs="宋体"/>
                <w:i w:val="0"/>
                <w:iCs w:val="0"/>
                <w:color w:val="000000"/>
                <w:kern w:val="0"/>
                <w:sz w:val="22"/>
                <w:szCs w:val="22"/>
                <w:u w:val="none"/>
                <w:lang w:val="en-US" w:eastAsia="zh-CN" w:bidi="ar"/>
              </w:rPr>
              <w:t>（4）投标企业提供3年质保的加2分，投标企业提供5年质保的加4分；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tcBorders>
              <w:bottom w:val="nil"/>
            </w:tcBorders>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028" w:type="dxa"/>
            <w:vMerge w:val="continue"/>
            <w:tcBorders>
              <w:bottom w:val="nil"/>
            </w:tcBorders>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252" w:type="dxa"/>
            <w:vMerge w:val="restart"/>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投标产品及技术</w:t>
            </w:r>
          </w:p>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先进性</w:t>
            </w:r>
          </w:p>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w:t>
            </w:r>
            <w:r>
              <w:rPr>
                <w:rFonts w:hint="eastAsia" w:ascii="宋体" w:hAnsi="宋体" w:eastAsia="宋体" w:cs="宋体"/>
                <w:bCs/>
                <w:color w:val="auto"/>
                <w:sz w:val="22"/>
                <w:szCs w:val="22"/>
                <w:lang w:val="en-US" w:eastAsia="zh-CN"/>
              </w:rPr>
              <w:t>13</w:t>
            </w:r>
            <w:r>
              <w:rPr>
                <w:rFonts w:hint="eastAsia" w:ascii="宋体" w:hAnsi="宋体" w:eastAsia="宋体" w:cs="宋体"/>
                <w:bCs/>
                <w:color w:val="auto"/>
                <w:sz w:val="22"/>
                <w:szCs w:val="22"/>
              </w:rPr>
              <w:t>分）</w:t>
            </w:r>
          </w:p>
        </w:tc>
        <w:tc>
          <w:tcPr>
            <w:tcW w:w="655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bCs/>
                <w:color w:val="auto"/>
                <w:sz w:val="22"/>
                <w:szCs w:val="22"/>
                <w:lang w:val="zh-CN"/>
              </w:rPr>
            </w:pPr>
            <w:r>
              <w:rPr>
                <w:rFonts w:hint="eastAsia" w:ascii="宋体" w:hAnsi="宋体" w:eastAsia="宋体" w:cs="宋体"/>
                <w:i w:val="0"/>
                <w:iCs w:val="0"/>
                <w:color w:val="000000"/>
                <w:kern w:val="0"/>
                <w:sz w:val="22"/>
                <w:szCs w:val="22"/>
                <w:u w:val="none"/>
                <w:lang w:val="en-US" w:eastAsia="zh-CN" w:bidi="ar"/>
              </w:rPr>
              <w:t>根据投标产品的质量、稳定性、安全性、可扩展性、市场信誉情况、操作是否简便等的情况进行综合评定，优得4分，良得3分，差得2分；凡投标单位查处一起信誉不良记录，扣2分；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028"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252"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p>
        </w:tc>
        <w:tc>
          <w:tcPr>
            <w:tcW w:w="655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bCs/>
                <w:color w:val="auto"/>
                <w:sz w:val="22"/>
                <w:szCs w:val="22"/>
                <w:lang w:val="zh-CN"/>
              </w:rPr>
            </w:pPr>
            <w:r>
              <w:rPr>
                <w:rFonts w:hint="eastAsia" w:ascii="宋体" w:hAnsi="宋体" w:eastAsia="宋体" w:cs="宋体"/>
                <w:i w:val="0"/>
                <w:iCs w:val="0"/>
                <w:color w:val="000000"/>
                <w:kern w:val="0"/>
                <w:sz w:val="22"/>
                <w:szCs w:val="22"/>
                <w:u w:val="none"/>
                <w:lang w:val="en-US" w:eastAsia="zh-CN" w:bidi="ar"/>
              </w:rPr>
              <w:t>根据投标商提供的硬件设备施工、安装、环保、维修（安装材料、元件、备品及专用工具、维修工具选择的合理性）、人员培训计划等方面情况，优得3分，良得2分，差得1分。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028" w:type="dxa"/>
            <w:vMerge w:val="continue"/>
            <w:tcBorders>
              <w:top w:val="nil"/>
              <w:bottom w:val="nil"/>
            </w:tcBorders>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252"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p>
        </w:tc>
        <w:tc>
          <w:tcPr>
            <w:tcW w:w="655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（1）投标人制定方案对项目表述清楚，内容完善的得1分;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（2）项目进度安排合理，能够明确施工期限的，得1分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（3）投标人在投标文件中对同类系统及设备提供兼容方案的得1分；</w:t>
            </w:r>
          </w:p>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bCs/>
                <w:color w:val="auto"/>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施工现场安全保障、现场文明施工等方面情况由评委进行评议。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 w:type="dxa"/>
            <w:vMerge w:val="continue"/>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028" w:type="dxa"/>
            <w:vMerge w:val="continue"/>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color w:val="auto"/>
                <w:kern w:val="0"/>
                <w:sz w:val="22"/>
                <w:szCs w:val="22"/>
              </w:rPr>
            </w:pPr>
          </w:p>
        </w:tc>
        <w:tc>
          <w:tcPr>
            <w:tcW w:w="1252"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eastAsia="宋体" w:cs="宋体"/>
                <w:bCs/>
                <w:color w:val="auto"/>
                <w:sz w:val="22"/>
                <w:szCs w:val="22"/>
              </w:rPr>
            </w:pPr>
          </w:p>
        </w:tc>
        <w:tc>
          <w:tcPr>
            <w:tcW w:w="655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bCs/>
                <w:color w:val="auto"/>
                <w:kern w:val="2"/>
                <w:sz w:val="22"/>
                <w:szCs w:val="22"/>
                <w:lang w:val="zh-CN" w:eastAsia="zh-CN" w:bidi="ar-SA"/>
              </w:rPr>
            </w:pPr>
            <w:bookmarkStart w:id="69" w:name="_GoBack"/>
            <w:r>
              <w:rPr>
                <w:rFonts w:hint="eastAsia" w:ascii="宋体" w:hAnsi="宋体" w:eastAsia="宋体" w:cs="宋体"/>
                <w:i w:val="0"/>
                <w:iCs w:val="0"/>
                <w:color w:val="000000"/>
                <w:kern w:val="0"/>
                <w:sz w:val="22"/>
                <w:szCs w:val="22"/>
                <w:u w:val="none"/>
                <w:lang w:val="en-US" w:eastAsia="zh-CN" w:bidi="ar"/>
              </w:rPr>
              <w:t>为保障本项目实施和后期持续稳定运行，投标单位提出的合理化建议并提供本招标文件未要求的其他服务，优得</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分，良得</w:t>
            </w:r>
            <w:r>
              <w:rPr>
                <w:rFonts w:hint="eastAsia" w:ascii="宋体" w:hAnsi="宋体" w:cs="宋体"/>
                <w:i w:val="0"/>
                <w:iCs w:val="0"/>
                <w:color w:val="000000"/>
                <w:kern w:val="0"/>
                <w:sz w:val="22"/>
                <w:szCs w:val="22"/>
                <w:u w:val="none"/>
                <w:lang w:val="en-US" w:eastAsia="zh-CN" w:bidi="ar"/>
              </w:rPr>
              <w:t>1分</w:t>
            </w:r>
            <w:r>
              <w:rPr>
                <w:rFonts w:hint="eastAsia" w:ascii="宋体" w:hAnsi="宋体" w:eastAsia="宋体" w:cs="宋体"/>
                <w:i w:val="0"/>
                <w:iCs w:val="0"/>
                <w:color w:val="000000"/>
                <w:kern w:val="0"/>
                <w:sz w:val="22"/>
                <w:szCs w:val="22"/>
                <w:u w:val="none"/>
                <w:lang w:val="en-US" w:eastAsia="zh-CN" w:bidi="ar"/>
              </w:rPr>
              <w:t>，差</w:t>
            </w:r>
            <w:r>
              <w:rPr>
                <w:rFonts w:hint="eastAsia" w:ascii="宋体" w:hAnsi="宋体" w:cs="宋体"/>
                <w:i w:val="0"/>
                <w:iCs w:val="0"/>
                <w:color w:val="000000"/>
                <w:kern w:val="0"/>
                <w:sz w:val="22"/>
                <w:szCs w:val="22"/>
                <w:u w:val="none"/>
                <w:lang w:val="en-US" w:eastAsia="zh-CN" w:bidi="ar"/>
              </w:rPr>
              <w:t>不得分</w:t>
            </w:r>
            <w:r>
              <w:rPr>
                <w:rFonts w:hint="eastAsia" w:ascii="宋体" w:hAnsi="宋体" w:eastAsia="宋体" w:cs="宋体"/>
                <w:i w:val="0"/>
                <w:iCs w:val="0"/>
                <w:color w:val="000000"/>
                <w:kern w:val="0"/>
                <w:sz w:val="22"/>
                <w:szCs w:val="22"/>
                <w:u w:val="none"/>
                <w:lang w:val="en-US" w:eastAsia="zh-CN" w:bidi="ar"/>
              </w:rPr>
              <w:t>。</w:t>
            </w:r>
            <w:bookmarkEnd w:id="69"/>
          </w:p>
        </w:tc>
      </w:tr>
    </w:tbl>
    <w:p>
      <w:pPr>
        <w:spacing w:line="340" w:lineRule="exact"/>
        <w:ind w:firstLine="480" w:firstLineChars="200"/>
        <w:rPr>
          <w:rFonts w:ascii="宋体" w:hAnsi="宋体" w:cs="宋体"/>
          <w:color w:val="auto"/>
          <w:sz w:val="24"/>
        </w:rPr>
      </w:pPr>
    </w:p>
    <w:p>
      <w:pPr>
        <w:rPr>
          <w:rFonts w:hint="eastAsia" w:ascii="宋体" w:hAnsi="宋体" w:cs="宋体"/>
          <w:color w:val="auto"/>
          <w:sz w:val="24"/>
        </w:rPr>
      </w:pPr>
      <w:r>
        <w:rPr>
          <w:rFonts w:hint="eastAsia" w:ascii="宋体" w:hAnsi="宋体" w:cs="宋体"/>
          <w:color w:val="auto"/>
          <w:sz w:val="24"/>
        </w:rPr>
        <w:br w:type="page"/>
      </w:r>
    </w:p>
    <w:p>
      <w:pPr>
        <w:spacing w:line="360" w:lineRule="auto"/>
        <w:ind w:firstLine="480" w:firstLineChars="200"/>
        <w:rPr>
          <w:rFonts w:ascii="宋体" w:hAnsi="宋体" w:cs="宋体"/>
          <w:color w:val="auto"/>
          <w:sz w:val="24"/>
        </w:rPr>
      </w:pPr>
      <w:r>
        <w:rPr>
          <w:rFonts w:hint="eastAsia" w:ascii="宋体" w:hAnsi="宋体" w:cs="宋体"/>
          <w:color w:val="auto"/>
          <w:sz w:val="24"/>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ascii="宋体" w:hAnsi="宋体" w:cs="宋体"/>
          <w:color w:val="auto"/>
          <w:sz w:val="24"/>
        </w:rPr>
      </w:pPr>
      <w:r>
        <w:rPr>
          <w:rFonts w:hint="eastAsia" w:ascii="宋体" w:hAnsi="宋体" w:cs="宋体"/>
          <w:color w:val="auto"/>
          <w:sz w:val="24"/>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 文件规定的评标委员会成员产生方式另行确定替代者进行评标。</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3、在任何评标环节中，需评标委员会就某项评审结论做出表决的，由评标委员会全体成员按照少数服从多数的原则，以记名投票方式表决。</w:t>
      </w:r>
    </w:p>
    <w:p>
      <w:pPr>
        <w:spacing w:line="360" w:lineRule="auto"/>
        <w:jc w:val="left"/>
        <w:rPr>
          <w:rFonts w:ascii="宋体" w:hAnsi="宋体" w:cs="宋体"/>
          <w:b/>
          <w:bCs/>
          <w:color w:val="auto"/>
          <w:sz w:val="24"/>
        </w:rPr>
      </w:pPr>
      <w:r>
        <w:rPr>
          <w:rFonts w:hint="eastAsia" w:ascii="宋体" w:hAnsi="宋体" w:cs="宋体"/>
          <w:b/>
          <w:bCs/>
          <w:color w:val="auto"/>
          <w:sz w:val="24"/>
        </w:rPr>
        <w:t>另：政府采购政策功能落实</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小微型企业价格扣除</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本项目对小型和微型企业产品给予6%的扣除价格，用扣除后的价格参与评审。</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供应商需按照招标文件的要求提供相应的《企业声明函》。</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企业标准请参照《关于印发中小企业划型标准规定的通知》（工信部联企业[2011]300 号）文件规定自行填写。</w:t>
      </w:r>
    </w:p>
    <w:p>
      <w:pPr>
        <w:spacing w:line="360" w:lineRule="auto"/>
        <w:ind w:firstLine="480" w:firstLineChars="200"/>
        <w:jc w:val="center"/>
        <w:rPr>
          <w:rStyle w:val="41"/>
          <w:rFonts w:ascii="宋体" w:hAnsi="宋体" w:cs="宋体"/>
          <w:color w:val="auto"/>
        </w:rPr>
      </w:pPr>
      <w:r>
        <w:rPr>
          <w:rFonts w:hint="eastAsia" w:ascii="宋体" w:hAnsi="宋体" w:cs="宋体"/>
          <w:color w:val="auto"/>
          <w:sz w:val="24"/>
        </w:rPr>
        <w:br w:type="page"/>
      </w:r>
      <w:bookmarkStart w:id="42" w:name="_Toc10894"/>
      <w:r>
        <w:rPr>
          <w:rStyle w:val="41"/>
          <w:rFonts w:hint="eastAsia" w:ascii="宋体" w:hAnsi="宋体" w:cs="宋体"/>
          <w:color w:val="auto"/>
        </w:rPr>
        <w:t xml:space="preserve">第五部分  </w:t>
      </w:r>
      <w:bookmarkEnd w:id="42"/>
      <w:r>
        <w:rPr>
          <w:rStyle w:val="41"/>
          <w:rFonts w:hint="eastAsia" w:ascii="宋体" w:hAnsi="宋体" w:cs="宋体"/>
          <w:color w:val="auto"/>
        </w:rPr>
        <w:t>拟签订的合同文本</w:t>
      </w:r>
    </w:p>
    <w:p>
      <w:pPr>
        <w:pStyle w:val="2"/>
        <w:spacing w:before="196" w:line="360" w:lineRule="auto"/>
        <w:ind w:right="-86" w:rightChars="-41" w:firstLine="420" w:firstLineChars="175"/>
        <w:rPr>
          <w:rFonts w:ascii="宋体" w:hAnsi="宋体" w:cs="宋体"/>
          <w:color w:val="auto"/>
        </w:rPr>
      </w:pPr>
      <w:bookmarkStart w:id="43" w:name="EB835308aa585640bcbdb7859c5d572516"/>
      <w:r>
        <w:rPr>
          <w:rFonts w:hint="eastAsia" w:ascii="宋体" w:hAnsi="宋体" w:cs="宋体"/>
          <w:color w:val="auto"/>
        </w:rPr>
        <w:t>以下为中标后签定本项目合同的通用条款，中标人不得提出实质性的修改，关于专用条款将由采购人与中标人结合本项目具体情况协商后签订。</w:t>
      </w:r>
    </w:p>
    <w:p>
      <w:pPr>
        <w:jc w:val="center"/>
        <w:rPr>
          <w:b/>
          <w:bCs/>
          <w:color w:val="auto"/>
          <w:sz w:val="32"/>
          <w:szCs w:val="36"/>
        </w:rPr>
      </w:pPr>
      <w:bookmarkStart w:id="44" w:name="政府采购合同（合同编号）"/>
      <w:bookmarkEnd w:id="44"/>
      <w:r>
        <w:rPr>
          <w:rFonts w:hint="eastAsia"/>
          <w:b/>
          <w:bCs/>
          <w:color w:val="auto"/>
          <w:sz w:val="32"/>
          <w:szCs w:val="36"/>
        </w:rPr>
        <w:t>政府采购合同（合同编号）</w:t>
      </w:r>
    </w:p>
    <w:p>
      <w:pPr>
        <w:pStyle w:val="2"/>
        <w:autoSpaceDE w:val="0"/>
        <w:autoSpaceDN w:val="0"/>
        <w:adjustRightInd w:val="0"/>
        <w:snapToGrid w:val="0"/>
        <w:spacing w:before="11" w:after="0" w:line="360" w:lineRule="auto"/>
        <w:ind w:firstLine="422" w:firstLineChars="175"/>
        <w:rPr>
          <w:rFonts w:ascii="宋体" w:hAnsi="宋体" w:cs="宋体"/>
          <w:b/>
          <w:color w:val="auto"/>
        </w:rPr>
      </w:pPr>
    </w:p>
    <w:p>
      <w:pPr>
        <w:pStyle w:val="2"/>
        <w:spacing w:after="0" w:line="360" w:lineRule="auto"/>
        <w:ind w:firstLine="420" w:firstLineChars="175"/>
        <w:rPr>
          <w:color w:val="auto"/>
        </w:rPr>
      </w:pPr>
      <w:r>
        <w:rPr>
          <w:rFonts w:hint="eastAsia"/>
          <w:color w:val="auto"/>
        </w:rPr>
        <w:t>项目名称：</w:t>
      </w:r>
      <w:r>
        <w:rPr>
          <w:rFonts w:hint="eastAsia"/>
          <w:color w:val="auto"/>
          <w:u w:val="single"/>
        </w:rPr>
        <w:t xml:space="preserve">                              </w:t>
      </w:r>
      <w:r>
        <w:rPr>
          <w:rFonts w:hint="eastAsia"/>
          <w:color w:val="auto"/>
        </w:rPr>
        <w:t xml:space="preserve">  项目编号：</w:t>
      </w:r>
      <w:r>
        <w:rPr>
          <w:rFonts w:hint="eastAsia"/>
          <w:color w:val="auto"/>
          <w:u w:val="single"/>
        </w:rPr>
        <w:t xml:space="preserve">           </w:t>
      </w:r>
    </w:p>
    <w:p>
      <w:pPr>
        <w:pStyle w:val="2"/>
        <w:spacing w:after="0" w:line="360" w:lineRule="auto"/>
        <w:ind w:firstLine="420" w:firstLineChars="175"/>
        <w:rPr>
          <w:color w:val="auto"/>
        </w:rPr>
      </w:pPr>
      <w:r>
        <w:rPr>
          <w:rFonts w:hint="eastAsia"/>
          <w:color w:val="auto"/>
        </w:rPr>
        <w:t>甲方：（买方）</w:t>
      </w:r>
      <w:r>
        <w:rPr>
          <w:rFonts w:hint="eastAsia"/>
          <w:color w:val="auto"/>
          <w:u w:val="single"/>
        </w:rPr>
        <w:t xml:space="preserve">                  </w:t>
      </w:r>
    </w:p>
    <w:p>
      <w:pPr>
        <w:pStyle w:val="2"/>
        <w:spacing w:after="0" w:line="360" w:lineRule="auto"/>
        <w:ind w:firstLine="420" w:firstLineChars="175"/>
        <w:rPr>
          <w:color w:val="auto"/>
        </w:rPr>
      </w:pPr>
      <w:r>
        <w:rPr>
          <w:rFonts w:hint="eastAsia"/>
          <w:color w:val="auto"/>
        </w:rPr>
        <w:t>乙方：（卖方）</w:t>
      </w:r>
      <w:r>
        <w:rPr>
          <w:rFonts w:hint="eastAsia"/>
          <w:color w:val="auto"/>
          <w:u w:val="single"/>
        </w:rPr>
        <w:t xml:space="preserve">                  </w:t>
      </w:r>
    </w:p>
    <w:p>
      <w:pPr>
        <w:pStyle w:val="2"/>
        <w:spacing w:after="0" w:line="360" w:lineRule="auto"/>
        <w:ind w:firstLine="420" w:firstLineChars="175"/>
        <w:rPr>
          <w:color w:val="auto"/>
        </w:rPr>
      </w:pPr>
      <w:r>
        <w:rPr>
          <w:rFonts w:hint="eastAsia"/>
          <w:color w:val="auto"/>
        </w:rPr>
        <w:t>甲、乙双方根据政府采购</w:t>
      </w:r>
      <w:r>
        <w:rPr>
          <w:rFonts w:hint="eastAsia"/>
          <w:color w:val="auto"/>
          <w:u w:val="single"/>
        </w:rPr>
        <w:t xml:space="preserve">               </w:t>
      </w:r>
      <w:r>
        <w:rPr>
          <w:rFonts w:hint="eastAsia"/>
          <w:color w:val="auto"/>
        </w:rPr>
        <w:t>项目公开招标的结果，签署本合同。</w:t>
      </w:r>
    </w:p>
    <w:p>
      <w:pPr>
        <w:pStyle w:val="2"/>
        <w:spacing w:after="0" w:line="360" w:lineRule="auto"/>
        <w:ind w:firstLine="422" w:firstLineChars="175"/>
        <w:rPr>
          <w:b/>
          <w:bCs/>
          <w:color w:val="auto"/>
        </w:rPr>
      </w:pPr>
      <w:r>
        <w:rPr>
          <w:rFonts w:hint="eastAsia"/>
          <w:b/>
          <w:bCs/>
          <w:color w:val="auto"/>
        </w:rPr>
        <w:t>一、产品内容</w:t>
      </w:r>
    </w:p>
    <w:p>
      <w:pPr>
        <w:pStyle w:val="2"/>
        <w:spacing w:after="0" w:line="360" w:lineRule="auto"/>
        <w:ind w:firstLine="420" w:firstLineChars="175"/>
        <w:rPr>
          <w:color w:val="auto"/>
        </w:rPr>
      </w:pPr>
      <w:r>
        <w:rPr>
          <w:rFonts w:hint="eastAsia"/>
          <w:color w:val="auto"/>
        </w:rPr>
        <w:t>1.1 产品名称：</w:t>
      </w:r>
    </w:p>
    <w:p>
      <w:pPr>
        <w:pStyle w:val="2"/>
        <w:spacing w:after="0" w:line="360" w:lineRule="auto"/>
        <w:ind w:firstLine="420" w:firstLineChars="175"/>
        <w:rPr>
          <w:color w:val="auto"/>
        </w:rPr>
      </w:pPr>
      <w:r>
        <w:rPr>
          <w:rFonts w:hint="eastAsia"/>
          <w:color w:val="auto"/>
        </w:rPr>
        <w:t>1.2 型号规格：</w:t>
      </w:r>
    </w:p>
    <w:p>
      <w:pPr>
        <w:pStyle w:val="2"/>
        <w:spacing w:after="0" w:line="360" w:lineRule="auto"/>
        <w:ind w:firstLine="420" w:firstLineChars="175"/>
        <w:rPr>
          <w:color w:val="auto"/>
        </w:rPr>
      </w:pPr>
      <w:r>
        <w:rPr>
          <w:rFonts w:hint="eastAsia"/>
          <w:color w:val="auto"/>
        </w:rPr>
        <w:t>1.3 数量（单位）：</w:t>
      </w:r>
    </w:p>
    <w:p>
      <w:pPr>
        <w:pStyle w:val="2"/>
        <w:spacing w:after="0" w:line="360" w:lineRule="auto"/>
        <w:ind w:firstLine="422" w:firstLineChars="175"/>
        <w:rPr>
          <w:b/>
          <w:bCs/>
          <w:color w:val="auto"/>
        </w:rPr>
      </w:pPr>
      <w:r>
        <w:rPr>
          <w:rFonts w:hint="eastAsia"/>
          <w:b/>
          <w:bCs/>
          <w:color w:val="auto"/>
        </w:rPr>
        <w:t>二、合同金额</w:t>
      </w:r>
    </w:p>
    <w:p>
      <w:pPr>
        <w:pStyle w:val="2"/>
        <w:spacing w:after="0" w:line="360" w:lineRule="auto"/>
        <w:ind w:firstLine="420" w:firstLineChars="175"/>
        <w:rPr>
          <w:color w:val="auto"/>
        </w:rPr>
      </w:pPr>
      <w:r>
        <w:rPr>
          <w:rFonts w:hint="eastAsia"/>
          <w:color w:val="auto"/>
        </w:rPr>
        <w:t>2.1 本合同金额为（大写）：</w:t>
      </w:r>
      <w:r>
        <w:rPr>
          <w:rFonts w:hint="eastAsia"/>
          <w:color w:val="auto"/>
          <w:u w:val="single"/>
        </w:rPr>
        <w:t xml:space="preserve">         </w:t>
      </w:r>
      <w:r>
        <w:rPr>
          <w:rFonts w:hint="eastAsia"/>
          <w:color w:val="auto"/>
        </w:rPr>
        <w:t>元（</w:t>
      </w:r>
      <w:r>
        <w:rPr>
          <w:rFonts w:hint="eastAsia"/>
          <w:color w:val="auto"/>
          <w:u w:val="single"/>
        </w:rPr>
        <w:t xml:space="preserve">     </w:t>
      </w:r>
      <w:r>
        <w:rPr>
          <w:rFonts w:hint="eastAsia"/>
          <w:color w:val="auto"/>
        </w:rPr>
        <w:t>元）人民币或其他币种。</w:t>
      </w:r>
    </w:p>
    <w:p>
      <w:pPr>
        <w:pStyle w:val="2"/>
        <w:spacing w:after="0" w:line="360" w:lineRule="auto"/>
        <w:ind w:firstLine="422" w:firstLineChars="175"/>
        <w:rPr>
          <w:b/>
          <w:bCs/>
          <w:color w:val="auto"/>
        </w:rPr>
      </w:pPr>
      <w:r>
        <w:rPr>
          <w:rFonts w:hint="eastAsia"/>
          <w:b/>
          <w:bCs/>
          <w:color w:val="auto"/>
        </w:rPr>
        <w:t>三、技术资料</w:t>
      </w:r>
    </w:p>
    <w:p>
      <w:pPr>
        <w:pStyle w:val="2"/>
        <w:spacing w:after="0" w:line="360" w:lineRule="auto"/>
        <w:ind w:firstLine="420" w:firstLineChars="175"/>
        <w:rPr>
          <w:color w:val="auto"/>
        </w:rPr>
      </w:pPr>
      <w:r>
        <w:rPr>
          <w:rFonts w:hint="eastAsia"/>
          <w:color w:val="auto"/>
        </w:rPr>
        <w:t>3.1 乙方应按招标文件规定的时间向甲方提供使用产品的有关技术资料。</w:t>
      </w:r>
    </w:p>
    <w:p>
      <w:pPr>
        <w:pStyle w:val="2"/>
        <w:spacing w:after="0" w:line="360" w:lineRule="auto"/>
        <w:ind w:firstLine="420" w:firstLineChars="175"/>
        <w:rPr>
          <w:color w:val="auto"/>
        </w:rPr>
      </w:pPr>
      <w:r>
        <w:rPr>
          <w:rFonts w:hint="eastAsia"/>
          <w:color w:val="auto"/>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after="0" w:line="360" w:lineRule="auto"/>
        <w:ind w:firstLine="422" w:firstLineChars="175"/>
        <w:rPr>
          <w:b/>
          <w:bCs/>
          <w:color w:val="auto"/>
        </w:rPr>
      </w:pPr>
      <w:r>
        <w:rPr>
          <w:rFonts w:hint="eastAsia"/>
          <w:b/>
          <w:bCs/>
          <w:color w:val="auto"/>
        </w:rPr>
        <w:t>四、知识产权</w:t>
      </w:r>
    </w:p>
    <w:p>
      <w:pPr>
        <w:pStyle w:val="2"/>
        <w:spacing w:after="0" w:line="360" w:lineRule="auto"/>
        <w:ind w:firstLine="420" w:firstLineChars="175"/>
        <w:rPr>
          <w:color w:val="auto"/>
        </w:rPr>
      </w:pPr>
      <w:r>
        <w:rPr>
          <w:rFonts w:hint="eastAsia"/>
          <w:color w:val="auto"/>
        </w:rPr>
        <w:t>4.1 乙方应保证甲方在使用、接受本合同产品和服务或其任何一部分时不受第三方提出侵犯其专利权、版权、商标权和工业设计权等知识产权的起诉。一旦出现侵权，由乙方负全部责任。</w:t>
      </w:r>
    </w:p>
    <w:p>
      <w:pPr>
        <w:pStyle w:val="2"/>
        <w:spacing w:after="0" w:line="360" w:lineRule="auto"/>
        <w:ind w:firstLine="422" w:firstLineChars="175"/>
        <w:rPr>
          <w:b/>
          <w:bCs/>
          <w:color w:val="auto"/>
        </w:rPr>
      </w:pPr>
      <w:r>
        <w:rPr>
          <w:rFonts w:hint="eastAsia"/>
          <w:b/>
          <w:bCs/>
          <w:color w:val="auto"/>
        </w:rPr>
        <w:t>五、产权担保</w:t>
      </w:r>
    </w:p>
    <w:p>
      <w:pPr>
        <w:pStyle w:val="2"/>
        <w:spacing w:after="0" w:line="360" w:lineRule="auto"/>
        <w:ind w:firstLine="420" w:firstLineChars="175"/>
        <w:rPr>
          <w:color w:val="auto"/>
        </w:rPr>
      </w:pPr>
      <w:r>
        <w:rPr>
          <w:rFonts w:hint="eastAsia"/>
          <w:color w:val="auto"/>
        </w:rPr>
        <w:t>5.1 乙方保证所交付的产品的所有权完全属于乙方且无任何抵押、查封等产权瑕疵。</w:t>
      </w:r>
    </w:p>
    <w:p>
      <w:pPr>
        <w:pStyle w:val="2"/>
        <w:spacing w:after="0" w:line="360" w:lineRule="auto"/>
        <w:ind w:firstLine="422" w:firstLineChars="175"/>
        <w:rPr>
          <w:b/>
          <w:bCs/>
          <w:color w:val="auto"/>
        </w:rPr>
      </w:pPr>
      <w:r>
        <w:rPr>
          <w:rFonts w:hint="eastAsia"/>
          <w:b/>
          <w:bCs/>
          <w:color w:val="auto"/>
        </w:rPr>
        <w:t>六、履约保证金</w:t>
      </w:r>
    </w:p>
    <w:p>
      <w:pPr>
        <w:pStyle w:val="2"/>
        <w:spacing w:after="0" w:line="360" w:lineRule="auto"/>
        <w:ind w:firstLine="420" w:firstLineChars="175"/>
        <w:rPr>
          <w:color w:val="auto"/>
        </w:rPr>
      </w:pPr>
      <w:r>
        <w:rPr>
          <w:rFonts w:hint="eastAsia"/>
          <w:color w:val="auto"/>
        </w:rPr>
        <w:t>6.1 乙方交纳人民币</w:t>
      </w:r>
      <w:r>
        <w:rPr>
          <w:rFonts w:hint="eastAsia"/>
          <w:color w:val="auto"/>
          <w:u w:val="single"/>
        </w:rPr>
        <w:t xml:space="preserve">          </w:t>
      </w:r>
      <w:r>
        <w:rPr>
          <w:rFonts w:hint="eastAsia"/>
          <w:color w:val="auto"/>
        </w:rPr>
        <w:t>元作为本合同的履约保证金。</w:t>
      </w:r>
    </w:p>
    <w:p>
      <w:pPr>
        <w:pStyle w:val="2"/>
        <w:spacing w:after="0" w:line="360" w:lineRule="auto"/>
        <w:ind w:firstLine="422" w:firstLineChars="175"/>
        <w:rPr>
          <w:b/>
          <w:bCs/>
          <w:color w:val="auto"/>
        </w:rPr>
      </w:pPr>
      <w:r>
        <w:rPr>
          <w:rFonts w:hint="eastAsia"/>
          <w:b/>
          <w:bCs/>
          <w:color w:val="auto"/>
        </w:rPr>
        <w:t>七、转包或分包</w:t>
      </w:r>
    </w:p>
    <w:p>
      <w:pPr>
        <w:pStyle w:val="2"/>
        <w:spacing w:after="0" w:line="360" w:lineRule="auto"/>
        <w:ind w:firstLine="420" w:firstLineChars="175"/>
        <w:rPr>
          <w:color w:val="auto"/>
        </w:rPr>
      </w:pPr>
      <w:r>
        <w:rPr>
          <w:rFonts w:hint="eastAsia"/>
          <w:color w:val="auto"/>
        </w:rPr>
        <w:t>7.1 本合同范围的产品，应由乙方直接供应，不得转让他人供应；</w:t>
      </w:r>
    </w:p>
    <w:p>
      <w:pPr>
        <w:pStyle w:val="2"/>
        <w:spacing w:after="0" w:line="360" w:lineRule="auto"/>
        <w:ind w:firstLine="420" w:firstLineChars="175"/>
        <w:rPr>
          <w:color w:val="auto"/>
        </w:rPr>
      </w:pPr>
      <w:r>
        <w:rPr>
          <w:rFonts w:hint="eastAsia"/>
          <w:color w:val="auto"/>
        </w:rPr>
        <w:t>7.2 除非得到甲方的书面同意，乙方不得部分分包给他人供应。</w:t>
      </w:r>
    </w:p>
    <w:p>
      <w:pPr>
        <w:pStyle w:val="2"/>
        <w:spacing w:after="0" w:line="360" w:lineRule="auto"/>
        <w:ind w:firstLine="420" w:firstLineChars="175"/>
        <w:rPr>
          <w:color w:val="auto"/>
        </w:rPr>
      </w:pPr>
      <w:r>
        <w:rPr>
          <w:rFonts w:hint="eastAsia"/>
          <w:color w:val="auto"/>
        </w:rPr>
        <w:t>7.3 如有转让和未经甲方同意的分包行为，甲方有权给予终止合同。</w:t>
      </w:r>
    </w:p>
    <w:p>
      <w:pPr>
        <w:pStyle w:val="2"/>
        <w:spacing w:after="0" w:line="360" w:lineRule="auto"/>
        <w:ind w:firstLine="422" w:firstLineChars="175"/>
        <w:rPr>
          <w:b/>
          <w:bCs/>
          <w:color w:val="auto"/>
        </w:rPr>
      </w:pPr>
      <w:r>
        <w:rPr>
          <w:rFonts w:hint="eastAsia"/>
          <w:b/>
          <w:bCs/>
          <w:color w:val="auto"/>
        </w:rPr>
        <w:t>八、维保期</w:t>
      </w:r>
    </w:p>
    <w:p>
      <w:pPr>
        <w:pStyle w:val="2"/>
        <w:spacing w:after="0" w:line="360" w:lineRule="auto"/>
        <w:ind w:firstLine="420" w:firstLineChars="175"/>
        <w:rPr>
          <w:color w:val="auto"/>
        </w:rPr>
      </w:pPr>
      <w:r>
        <w:rPr>
          <w:rFonts w:hint="eastAsia"/>
          <w:color w:val="auto"/>
        </w:rPr>
        <w:t>8.1 产品维保期</w:t>
      </w:r>
      <w:r>
        <w:rPr>
          <w:rFonts w:hint="eastAsia"/>
          <w:color w:val="auto"/>
          <w:u w:val="single"/>
        </w:rPr>
        <w:t xml:space="preserve">       </w:t>
      </w:r>
      <w:r>
        <w:rPr>
          <w:rFonts w:hint="eastAsia"/>
          <w:color w:val="auto"/>
        </w:rPr>
        <w:t>年。（自通过甲方验收合格之日起计）</w:t>
      </w:r>
    </w:p>
    <w:p>
      <w:pPr>
        <w:pStyle w:val="2"/>
        <w:spacing w:after="0" w:line="360" w:lineRule="auto"/>
        <w:ind w:firstLine="422" w:firstLineChars="175"/>
        <w:rPr>
          <w:b/>
          <w:bCs/>
          <w:color w:val="auto"/>
        </w:rPr>
      </w:pPr>
      <w:r>
        <w:rPr>
          <w:rFonts w:hint="eastAsia"/>
          <w:b/>
          <w:bCs/>
          <w:color w:val="auto"/>
        </w:rPr>
        <w:t>九、交货期、交货方式及交货地点</w:t>
      </w:r>
    </w:p>
    <w:p>
      <w:pPr>
        <w:pStyle w:val="2"/>
        <w:spacing w:after="0" w:line="360" w:lineRule="auto"/>
        <w:ind w:firstLine="420" w:firstLineChars="175"/>
        <w:rPr>
          <w:color w:val="auto"/>
        </w:rPr>
      </w:pPr>
      <w:r>
        <w:rPr>
          <w:rFonts w:hint="eastAsia"/>
          <w:color w:val="auto"/>
        </w:rPr>
        <w:t>9.1 交货期：</w:t>
      </w:r>
      <w:r>
        <w:rPr>
          <w:rFonts w:hint="eastAsia"/>
          <w:color w:val="auto"/>
          <w:u w:val="single"/>
        </w:rPr>
        <w:t xml:space="preserve">            </w:t>
      </w:r>
    </w:p>
    <w:p>
      <w:pPr>
        <w:pStyle w:val="2"/>
        <w:spacing w:after="0" w:line="360" w:lineRule="auto"/>
        <w:ind w:firstLine="420" w:firstLineChars="175"/>
        <w:rPr>
          <w:color w:val="auto"/>
        </w:rPr>
      </w:pPr>
      <w:r>
        <w:rPr>
          <w:rFonts w:hint="eastAsia"/>
          <w:color w:val="auto"/>
        </w:rPr>
        <w:t>9.2 交货方式：</w:t>
      </w:r>
      <w:r>
        <w:rPr>
          <w:rFonts w:hint="eastAsia"/>
          <w:color w:val="auto"/>
          <w:u w:val="single"/>
        </w:rPr>
        <w:t xml:space="preserve">          </w:t>
      </w:r>
    </w:p>
    <w:p>
      <w:pPr>
        <w:pStyle w:val="2"/>
        <w:spacing w:after="0" w:line="360" w:lineRule="auto"/>
        <w:ind w:firstLine="420" w:firstLineChars="175"/>
        <w:rPr>
          <w:color w:val="auto"/>
        </w:rPr>
      </w:pPr>
      <w:r>
        <w:rPr>
          <w:rFonts w:hint="eastAsia"/>
          <w:color w:val="auto"/>
        </w:rPr>
        <w:t>9.3 交货地点：</w:t>
      </w:r>
      <w:r>
        <w:rPr>
          <w:rFonts w:hint="eastAsia"/>
          <w:color w:val="auto"/>
          <w:u w:val="single"/>
        </w:rPr>
        <w:t xml:space="preserve">          </w:t>
      </w:r>
    </w:p>
    <w:p>
      <w:pPr>
        <w:pStyle w:val="2"/>
        <w:spacing w:after="0" w:line="360" w:lineRule="auto"/>
        <w:ind w:firstLine="422" w:firstLineChars="175"/>
        <w:rPr>
          <w:b/>
          <w:bCs/>
          <w:color w:val="auto"/>
        </w:rPr>
      </w:pPr>
      <w:r>
        <w:rPr>
          <w:rFonts w:hint="eastAsia"/>
          <w:b/>
          <w:bCs/>
          <w:color w:val="auto"/>
        </w:rPr>
        <w:t>十、货款支付</w:t>
      </w:r>
    </w:p>
    <w:p>
      <w:pPr>
        <w:pStyle w:val="2"/>
        <w:spacing w:after="0" w:line="360" w:lineRule="auto"/>
        <w:ind w:firstLine="420" w:firstLineChars="175"/>
        <w:rPr>
          <w:color w:val="auto"/>
        </w:rPr>
      </w:pPr>
      <w:r>
        <w:rPr>
          <w:rFonts w:hint="eastAsia"/>
          <w:color w:val="auto"/>
        </w:rPr>
        <w:t>10.1 付款方式：</w:t>
      </w:r>
      <w:r>
        <w:rPr>
          <w:rFonts w:hint="eastAsia"/>
          <w:color w:val="auto"/>
          <w:u w:val="single"/>
        </w:rPr>
        <w:t xml:space="preserve">                      </w:t>
      </w:r>
      <w:r>
        <w:rPr>
          <w:rFonts w:hint="eastAsia"/>
          <w:color w:val="auto"/>
        </w:rPr>
        <w:t>；</w:t>
      </w:r>
    </w:p>
    <w:p>
      <w:pPr>
        <w:pStyle w:val="2"/>
        <w:spacing w:after="0" w:line="360" w:lineRule="auto"/>
        <w:ind w:firstLine="422" w:firstLineChars="175"/>
        <w:rPr>
          <w:b/>
          <w:bCs/>
          <w:color w:val="auto"/>
        </w:rPr>
      </w:pPr>
      <w:r>
        <w:rPr>
          <w:rFonts w:hint="eastAsia"/>
          <w:b/>
          <w:bCs/>
          <w:color w:val="auto"/>
        </w:rPr>
        <w:t>十一.税</w:t>
      </w:r>
    </w:p>
    <w:p>
      <w:pPr>
        <w:pStyle w:val="2"/>
        <w:spacing w:after="0" w:line="360" w:lineRule="auto"/>
        <w:ind w:firstLine="420" w:firstLineChars="175"/>
        <w:rPr>
          <w:color w:val="auto"/>
        </w:rPr>
      </w:pPr>
      <w:r>
        <w:rPr>
          <w:rFonts w:hint="eastAsia"/>
          <w:color w:val="auto"/>
        </w:rPr>
        <w:t>11.1 本合同执行中相关的一切税费均由乙方负担。</w:t>
      </w:r>
    </w:p>
    <w:p>
      <w:pPr>
        <w:pStyle w:val="2"/>
        <w:spacing w:after="0" w:line="360" w:lineRule="auto"/>
        <w:ind w:firstLine="422" w:firstLineChars="175"/>
        <w:rPr>
          <w:b/>
          <w:bCs/>
          <w:color w:val="auto"/>
        </w:rPr>
      </w:pPr>
      <w:r>
        <w:rPr>
          <w:rFonts w:hint="eastAsia"/>
          <w:b/>
          <w:bCs/>
          <w:color w:val="auto"/>
        </w:rPr>
        <w:t>十二、质量保证及售后服务</w:t>
      </w:r>
    </w:p>
    <w:p>
      <w:pPr>
        <w:pStyle w:val="2"/>
        <w:spacing w:after="0" w:line="360" w:lineRule="auto"/>
        <w:ind w:firstLine="420" w:firstLineChars="175"/>
        <w:rPr>
          <w:color w:val="auto"/>
        </w:rPr>
      </w:pPr>
      <w:r>
        <w:rPr>
          <w:rFonts w:hint="eastAsia"/>
          <w:color w:val="auto"/>
        </w:rPr>
        <w:t>乙方应按招标文件规定的产品性能、技术要求、质量标准向甲方提供未经使用的全新产品。</w:t>
      </w:r>
    </w:p>
    <w:p>
      <w:pPr>
        <w:pStyle w:val="2"/>
        <w:spacing w:after="0" w:line="360" w:lineRule="auto"/>
        <w:ind w:firstLine="420" w:firstLineChars="175"/>
        <w:rPr>
          <w:color w:val="auto"/>
        </w:rPr>
      </w:pPr>
      <w:r>
        <w:rPr>
          <w:rFonts w:hint="eastAsia"/>
          <w:color w:val="auto"/>
        </w:rPr>
        <w:t>乙方提供的产品在质量期内因产品本身的质量问题发生故障，乙方应负责免费更换。对达不到技术要求者，根据实际情况，经双方协商，可按以下办法处理：</w:t>
      </w:r>
    </w:p>
    <w:p>
      <w:pPr>
        <w:pStyle w:val="2"/>
        <w:spacing w:after="0" w:line="360" w:lineRule="auto"/>
        <w:ind w:firstLine="420" w:firstLineChars="175"/>
        <w:rPr>
          <w:color w:val="auto"/>
        </w:rPr>
      </w:pPr>
      <w:r>
        <w:rPr>
          <w:rFonts w:hint="eastAsia"/>
          <w:color w:val="auto"/>
        </w:rPr>
        <w:t>（1）更换：由乙方承担所发生的全部费用。</w:t>
      </w:r>
    </w:p>
    <w:p>
      <w:pPr>
        <w:pStyle w:val="2"/>
        <w:spacing w:after="0" w:line="360" w:lineRule="auto"/>
        <w:ind w:firstLine="420" w:firstLineChars="175"/>
        <w:rPr>
          <w:color w:val="auto"/>
        </w:rPr>
      </w:pPr>
      <w:r>
        <w:rPr>
          <w:rFonts w:hint="eastAsia"/>
          <w:color w:val="auto"/>
        </w:rPr>
        <w:t>（2）贬值处理：由甲乙双方合议定价。</w:t>
      </w:r>
    </w:p>
    <w:p>
      <w:pPr>
        <w:pStyle w:val="2"/>
        <w:spacing w:after="0" w:line="360" w:lineRule="auto"/>
        <w:ind w:firstLine="420" w:firstLineChars="175"/>
        <w:rPr>
          <w:color w:val="auto"/>
        </w:rPr>
      </w:pPr>
      <w:r>
        <w:rPr>
          <w:rFonts w:hint="eastAsia"/>
          <w:color w:val="auto"/>
        </w:rPr>
        <w:t>（3）退货处理：乙方应退还甲方支付的合同款，同时应承担该产品的直接费用（运输、保险、检验、货款利息及银行手续费等）。</w:t>
      </w:r>
    </w:p>
    <w:p>
      <w:pPr>
        <w:pStyle w:val="2"/>
        <w:spacing w:after="0" w:line="360" w:lineRule="auto"/>
        <w:ind w:firstLine="420" w:firstLineChars="175"/>
        <w:rPr>
          <w:color w:val="auto"/>
        </w:rPr>
      </w:pPr>
      <w:r>
        <w:rPr>
          <w:rFonts w:hint="eastAsia"/>
          <w:color w:val="auto"/>
        </w:rPr>
        <w:t>如在使用过程中发生质量问题，乙方在接到甲方通知后在</w:t>
      </w:r>
      <w:r>
        <w:rPr>
          <w:rFonts w:hint="eastAsia"/>
          <w:color w:val="auto"/>
          <w:u w:val="single"/>
        </w:rPr>
        <w:t xml:space="preserve">      </w:t>
      </w:r>
      <w:r>
        <w:rPr>
          <w:rFonts w:hint="eastAsia"/>
          <w:color w:val="auto"/>
        </w:rPr>
        <w:t>时间内到达甲方现场。</w:t>
      </w:r>
    </w:p>
    <w:p>
      <w:pPr>
        <w:pStyle w:val="2"/>
        <w:spacing w:after="0" w:line="360" w:lineRule="auto"/>
        <w:ind w:firstLine="420" w:firstLineChars="175"/>
        <w:rPr>
          <w:color w:val="auto"/>
        </w:rPr>
      </w:pPr>
      <w:r>
        <w:rPr>
          <w:rFonts w:hint="eastAsia"/>
          <w:color w:val="auto"/>
        </w:rPr>
        <w:t>在维保期内，乙方应对产品出现的质量及安全问题负责处理解决并承担一切费用。</w:t>
      </w:r>
    </w:p>
    <w:p>
      <w:pPr>
        <w:pStyle w:val="2"/>
        <w:spacing w:after="0" w:line="360" w:lineRule="auto"/>
        <w:ind w:firstLine="420" w:firstLineChars="175"/>
        <w:rPr>
          <w:color w:val="auto"/>
        </w:rPr>
      </w:pPr>
      <w:r>
        <w:rPr>
          <w:rFonts w:hint="eastAsia"/>
          <w:color w:val="auto"/>
        </w:rPr>
        <w:t>上述的产品的免费保修期为</w:t>
      </w:r>
      <w:r>
        <w:rPr>
          <w:rFonts w:hint="eastAsia"/>
          <w:color w:val="auto"/>
          <w:u w:val="single"/>
        </w:rPr>
        <w:t xml:space="preserve">     </w:t>
      </w:r>
      <w:r>
        <w:rPr>
          <w:rFonts w:hint="eastAsia"/>
          <w:color w:val="auto"/>
        </w:rPr>
        <w:t>年，因人为因素出现的故障不在免费保修范围内。超过保修期后，终生维修，维修时只收部件成本费。</w:t>
      </w:r>
    </w:p>
    <w:p>
      <w:pPr>
        <w:pStyle w:val="2"/>
        <w:spacing w:after="0" w:line="360" w:lineRule="auto"/>
        <w:ind w:firstLine="422" w:firstLineChars="175"/>
        <w:rPr>
          <w:b/>
          <w:bCs/>
          <w:color w:val="auto"/>
        </w:rPr>
      </w:pPr>
      <w:r>
        <w:rPr>
          <w:rFonts w:hint="eastAsia"/>
          <w:b/>
          <w:bCs/>
          <w:color w:val="auto"/>
        </w:rPr>
        <w:t>十三、调试和验收</w:t>
      </w:r>
    </w:p>
    <w:p>
      <w:pPr>
        <w:pStyle w:val="2"/>
        <w:spacing w:after="0" w:line="360" w:lineRule="auto"/>
        <w:ind w:firstLine="420" w:firstLineChars="175"/>
        <w:rPr>
          <w:color w:val="auto"/>
        </w:rPr>
      </w:pPr>
      <w:r>
        <w:rPr>
          <w:rFonts w:hint="eastAsia"/>
          <w:color w:val="auto"/>
        </w:rPr>
        <w:t>初验条件：所投软硬件产品全部安装部署到位，产品外观、数量、功能、性能、技术参数以及集成服务等符合招标文件要求。</w:t>
      </w:r>
    </w:p>
    <w:p>
      <w:pPr>
        <w:pStyle w:val="2"/>
        <w:spacing w:after="0" w:line="360" w:lineRule="auto"/>
        <w:ind w:firstLine="420" w:firstLineChars="175"/>
        <w:rPr>
          <w:color w:val="auto"/>
        </w:rPr>
      </w:pPr>
      <w:r>
        <w:rPr>
          <w:rFonts w:hint="eastAsia"/>
          <w:color w:val="auto"/>
        </w:rPr>
        <w:t>终验条件：通过甲方初验后，所投软硬件产品运行正常，满足甲方本次项目需求， 提交全部报告材料（含中标方在本单位财务独立核算的财务资料）。</w:t>
      </w:r>
    </w:p>
    <w:p>
      <w:pPr>
        <w:pStyle w:val="2"/>
        <w:spacing w:after="0" w:line="360" w:lineRule="auto"/>
        <w:ind w:firstLine="420" w:firstLineChars="175"/>
        <w:rPr>
          <w:color w:val="auto"/>
        </w:rPr>
      </w:pPr>
      <w:r>
        <w:rPr>
          <w:rFonts w:hint="eastAsia"/>
          <w:color w:val="auto"/>
        </w:rPr>
        <w:t>对技术复杂的产品，甲方可请国家认可的专业检测机构参与初步验收及最终验收，并由其出具质量检测报告，验收费用由乙方承担。</w:t>
      </w:r>
    </w:p>
    <w:p>
      <w:pPr>
        <w:pStyle w:val="2"/>
        <w:spacing w:after="0" w:line="360" w:lineRule="auto"/>
        <w:ind w:firstLine="422" w:firstLineChars="175"/>
        <w:rPr>
          <w:b/>
          <w:bCs/>
          <w:color w:val="auto"/>
        </w:rPr>
      </w:pPr>
      <w:r>
        <w:rPr>
          <w:rFonts w:hint="eastAsia"/>
          <w:b/>
          <w:bCs/>
          <w:color w:val="auto"/>
        </w:rPr>
        <w:t>十四、产品包装、发运及运输</w:t>
      </w:r>
    </w:p>
    <w:p>
      <w:pPr>
        <w:pStyle w:val="2"/>
        <w:spacing w:after="0" w:line="360" w:lineRule="auto"/>
        <w:ind w:firstLine="420" w:firstLineChars="175"/>
        <w:rPr>
          <w:color w:val="auto"/>
        </w:rPr>
      </w:pPr>
      <w:r>
        <w:rPr>
          <w:rFonts w:hint="eastAsia"/>
          <w:color w:val="auto"/>
        </w:rPr>
        <w:t>乙方应在产品发运前对其进行满足运输距离、防潮、防震、防锈和防破损装卸等要求包装，以保证产品安全运达甲方指定地点。</w:t>
      </w:r>
    </w:p>
    <w:p>
      <w:pPr>
        <w:pStyle w:val="2"/>
        <w:spacing w:after="0" w:line="360" w:lineRule="auto"/>
        <w:ind w:firstLine="420" w:firstLineChars="175"/>
        <w:rPr>
          <w:color w:val="auto"/>
        </w:rPr>
      </w:pPr>
      <w:r>
        <w:rPr>
          <w:rFonts w:hint="eastAsia"/>
          <w:color w:val="auto"/>
        </w:rPr>
        <w:t>使用说明书、质量检验证明书、随配附件和工具以及清单一并附于产品内。</w:t>
      </w:r>
    </w:p>
    <w:p>
      <w:pPr>
        <w:pStyle w:val="2"/>
        <w:spacing w:after="0" w:line="360" w:lineRule="auto"/>
        <w:ind w:firstLine="420" w:firstLineChars="175"/>
        <w:rPr>
          <w:color w:val="auto"/>
        </w:rPr>
      </w:pPr>
      <w:r>
        <w:rPr>
          <w:rFonts w:hint="eastAsia"/>
          <w:color w:val="auto"/>
        </w:rPr>
        <w:t>乙方在产品发运手续办理完毕后</w:t>
      </w:r>
      <w:r>
        <w:rPr>
          <w:rFonts w:hint="eastAsia"/>
          <w:color w:val="auto"/>
          <w:u w:val="single"/>
        </w:rPr>
        <w:t xml:space="preserve"> 24 </w:t>
      </w:r>
      <w:r>
        <w:rPr>
          <w:rFonts w:hint="eastAsia"/>
          <w:color w:val="auto"/>
        </w:rPr>
        <w:t>小时内或货到甲方</w:t>
      </w:r>
      <w:r>
        <w:rPr>
          <w:rFonts w:hint="eastAsia"/>
          <w:color w:val="auto"/>
          <w:u w:val="single"/>
        </w:rPr>
        <w:t xml:space="preserve"> 48 </w:t>
      </w:r>
      <w:r>
        <w:rPr>
          <w:rFonts w:hint="eastAsia"/>
          <w:color w:val="auto"/>
        </w:rPr>
        <w:t>小时前通知甲方，以准备接货。</w:t>
      </w:r>
    </w:p>
    <w:p>
      <w:pPr>
        <w:pStyle w:val="2"/>
        <w:spacing w:after="0" w:line="360" w:lineRule="auto"/>
        <w:ind w:firstLine="420" w:firstLineChars="175"/>
        <w:rPr>
          <w:color w:val="auto"/>
        </w:rPr>
      </w:pPr>
      <w:r>
        <w:rPr>
          <w:rFonts w:hint="eastAsia"/>
          <w:color w:val="auto"/>
        </w:rPr>
        <w:t>产品在交付甲方前发生的风险均由乙方负责。</w:t>
      </w:r>
    </w:p>
    <w:p>
      <w:pPr>
        <w:pStyle w:val="2"/>
        <w:spacing w:after="0" w:line="360" w:lineRule="auto"/>
        <w:ind w:firstLine="420" w:firstLineChars="175"/>
        <w:rPr>
          <w:color w:val="auto"/>
        </w:rPr>
      </w:pPr>
      <w:r>
        <w:rPr>
          <w:rFonts w:hint="eastAsia"/>
          <w:color w:val="auto"/>
        </w:rPr>
        <w:t>产品在规定的交付期限内由乙方送达甲方指定的地点视为交付，乙方同时需通知甲方产品已送达。</w:t>
      </w:r>
    </w:p>
    <w:p>
      <w:pPr>
        <w:pStyle w:val="2"/>
        <w:spacing w:after="0" w:line="360" w:lineRule="auto"/>
        <w:ind w:firstLine="422" w:firstLineChars="175"/>
        <w:rPr>
          <w:b/>
          <w:bCs/>
          <w:color w:val="auto"/>
        </w:rPr>
      </w:pPr>
      <w:r>
        <w:rPr>
          <w:rFonts w:hint="eastAsia"/>
          <w:b/>
          <w:bCs/>
          <w:color w:val="auto"/>
        </w:rPr>
        <w:t>十五、违约责任</w:t>
      </w:r>
    </w:p>
    <w:p>
      <w:pPr>
        <w:pStyle w:val="2"/>
        <w:spacing w:after="0" w:line="360" w:lineRule="auto"/>
        <w:ind w:firstLine="420" w:firstLineChars="175"/>
        <w:rPr>
          <w:color w:val="auto"/>
        </w:rPr>
      </w:pPr>
      <w:r>
        <w:rPr>
          <w:rFonts w:hint="eastAsia"/>
          <w:color w:val="auto"/>
        </w:rPr>
        <w:t>甲方无正当理由拒收产品的，甲方向乙方偿付拒收货款总值的百分之五违约金。</w:t>
      </w:r>
    </w:p>
    <w:p>
      <w:pPr>
        <w:pStyle w:val="2"/>
        <w:spacing w:after="0" w:line="360" w:lineRule="auto"/>
        <w:ind w:firstLine="420" w:firstLineChars="175"/>
        <w:rPr>
          <w:color w:val="auto"/>
        </w:rPr>
      </w:pPr>
      <w:r>
        <w:rPr>
          <w:rFonts w:hint="eastAsia"/>
          <w:color w:val="auto"/>
        </w:rPr>
        <w:t>甲方无故逾期验收和办理货款支付手续的,甲方应按逾期付款总额每日万分之五向乙方支付违约金。</w:t>
      </w:r>
    </w:p>
    <w:p>
      <w:pPr>
        <w:pStyle w:val="2"/>
        <w:spacing w:after="0" w:line="360" w:lineRule="auto"/>
        <w:ind w:firstLine="420" w:firstLineChars="175"/>
        <w:rPr>
          <w:color w:val="auto"/>
        </w:rPr>
      </w:pPr>
      <w:r>
        <w:rPr>
          <w:rFonts w:hint="eastAsia"/>
          <w:color w:val="auto"/>
        </w:rPr>
        <w:t>乙方逾期交付产品的，乙方应按逾期交货总额每日千分之六向甲方支付违约金， 由甲方从待付货款中扣除。逾期超过约定日期</w:t>
      </w:r>
      <w:r>
        <w:rPr>
          <w:rFonts w:hint="eastAsia"/>
          <w:color w:val="auto"/>
          <w:u w:val="single"/>
        </w:rPr>
        <w:t xml:space="preserve"> 10 </w:t>
      </w:r>
      <w:r>
        <w:rPr>
          <w:rFonts w:hint="eastAsia"/>
          <w:color w:val="auto"/>
        </w:rPr>
        <w:t>个工作日不能交货的，甲方可解除本合同。乙方因逾期交货或因其他违约行为导致甲方解除合同的，乙方应向甲方支付合同总值</w:t>
      </w:r>
      <w:r>
        <w:rPr>
          <w:rFonts w:hint="eastAsia"/>
          <w:color w:val="auto"/>
          <w:u w:val="single"/>
        </w:rPr>
        <w:t xml:space="preserve"> 5% </w:t>
      </w:r>
      <w:r>
        <w:rPr>
          <w:rFonts w:hint="eastAsia"/>
          <w:color w:val="auto"/>
        </w:rPr>
        <w:t>的违约金，如造成甲方损失超过违约金的，超出部分由乙方继续承担赔偿责任。</w:t>
      </w:r>
    </w:p>
    <w:p>
      <w:pPr>
        <w:pStyle w:val="2"/>
        <w:spacing w:after="0" w:line="360" w:lineRule="auto"/>
        <w:ind w:firstLine="420" w:firstLineChars="175"/>
        <w:rPr>
          <w:color w:val="auto"/>
        </w:rPr>
      </w:pPr>
      <w:r>
        <w:rPr>
          <w:rFonts w:hint="eastAsia"/>
          <w:color w:val="auto"/>
        </w:rPr>
        <w:t>乙方所交的产品品种、型号、规格、技术参数、质量不符合合同规定及招标文件规定标准的，甲方有权拒收该产品，乙方愿意更换产品但逾期交货的，按乙方逾期交货处理。乙方拒绝更换产品的，甲方可单方面解除合同。</w:t>
      </w:r>
    </w:p>
    <w:p>
      <w:pPr>
        <w:pStyle w:val="2"/>
        <w:spacing w:after="0" w:line="360" w:lineRule="auto"/>
        <w:ind w:firstLine="422" w:firstLineChars="175"/>
        <w:rPr>
          <w:b/>
          <w:bCs/>
          <w:color w:val="auto"/>
        </w:rPr>
      </w:pPr>
      <w:r>
        <w:rPr>
          <w:rFonts w:hint="eastAsia"/>
          <w:b/>
          <w:bCs/>
          <w:color w:val="auto"/>
        </w:rPr>
        <w:t>十六、不可抗力事件处理</w:t>
      </w:r>
    </w:p>
    <w:p>
      <w:pPr>
        <w:pStyle w:val="2"/>
        <w:spacing w:after="0" w:line="360" w:lineRule="auto"/>
        <w:ind w:firstLine="420" w:firstLineChars="175"/>
        <w:rPr>
          <w:color w:val="auto"/>
        </w:rPr>
      </w:pPr>
      <w:r>
        <w:rPr>
          <w:rFonts w:hint="eastAsia"/>
          <w:color w:val="auto"/>
        </w:rPr>
        <w:t>在合同有效期内，任何一方因不可抗力事件导致不能履行合同，则合同履行期可延长，其延长期与不可抗力影响期相同。</w:t>
      </w:r>
    </w:p>
    <w:p>
      <w:pPr>
        <w:pStyle w:val="2"/>
        <w:spacing w:after="0" w:line="360" w:lineRule="auto"/>
        <w:ind w:firstLine="420" w:firstLineChars="175"/>
        <w:rPr>
          <w:color w:val="auto"/>
        </w:rPr>
      </w:pPr>
      <w:r>
        <w:rPr>
          <w:rFonts w:hint="eastAsia"/>
          <w:color w:val="auto"/>
        </w:rPr>
        <w:t>不可抗力事件发生后，应立即通知对方，并寄送有关权威机构出具的证明。</w:t>
      </w:r>
    </w:p>
    <w:p>
      <w:pPr>
        <w:pStyle w:val="2"/>
        <w:spacing w:after="0" w:line="360" w:lineRule="auto"/>
        <w:ind w:firstLine="420" w:firstLineChars="175"/>
        <w:rPr>
          <w:color w:val="auto"/>
        </w:rPr>
      </w:pPr>
      <w:r>
        <w:rPr>
          <w:rFonts w:hint="eastAsia"/>
          <w:color w:val="auto"/>
        </w:rPr>
        <w:t>不可抗力事件延续</w:t>
      </w:r>
      <w:r>
        <w:rPr>
          <w:rFonts w:hint="eastAsia"/>
          <w:color w:val="auto"/>
          <w:u w:val="single"/>
        </w:rPr>
        <w:t xml:space="preserve"> 120 </w:t>
      </w:r>
      <w:r>
        <w:rPr>
          <w:rFonts w:hint="eastAsia"/>
          <w:color w:val="auto"/>
        </w:rPr>
        <w:t>天以上，双方应通过友好协商，确定是否继续履行合同。</w:t>
      </w:r>
    </w:p>
    <w:p>
      <w:pPr>
        <w:pStyle w:val="2"/>
        <w:spacing w:after="0" w:line="360" w:lineRule="auto"/>
        <w:ind w:firstLine="422" w:firstLineChars="175"/>
        <w:rPr>
          <w:b/>
          <w:bCs/>
          <w:color w:val="auto"/>
        </w:rPr>
      </w:pPr>
      <w:r>
        <w:rPr>
          <w:rFonts w:hint="eastAsia"/>
          <w:b/>
          <w:bCs/>
          <w:color w:val="auto"/>
        </w:rPr>
        <w:t>十七、诉讼</w:t>
      </w:r>
    </w:p>
    <w:p>
      <w:pPr>
        <w:pStyle w:val="2"/>
        <w:spacing w:after="0" w:line="360" w:lineRule="auto"/>
        <w:ind w:firstLine="420" w:firstLineChars="175"/>
        <w:rPr>
          <w:color w:val="auto"/>
        </w:rPr>
      </w:pPr>
      <w:r>
        <w:rPr>
          <w:rFonts w:hint="eastAsia"/>
          <w:color w:val="auto"/>
        </w:rPr>
        <w:t>17.1 双方在执行合同中所发生的一切争议，应通过协商解决。如协商不成，可向合同签订地法院起诉，合同签订地在此约定为</w:t>
      </w:r>
      <w:r>
        <w:rPr>
          <w:rFonts w:hint="eastAsia"/>
          <w:color w:val="auto"/>
          <w:u w:val="single"/>
        </w:rPr>
        <w:t xml:space="preserve">             </w:t>
      </w:r>
      <w:r>
        <w:rPr>
          <w:rFonts w:hint="eastAsia"/>
          <w:color w:val="auto"/>
        </w:rPr>
        <w:t>。</w:t>
      </w:r>
    </w:p>
    <w:p>
      <w:pPr>
        <w:pStyle w:val="2"/>
        <w:spacing w:after="0" w:line="360" w:lineRule="auto"/>
        <w:ind w:firstLine="422" w:firstLineChars="175"/>
        <w:rPr>
          <w:b/>
          <w:bCs/>
          <w:color w:val="auto"/>
        </w:rPr>
      </w:pPr>
      <w:r>
        <w:rPr>
          <w:rFonts w:hint="eastAsia"/>
          <w:b/>
          <w:bCs/>
          <w:color w:val="auto"/>
        </w:rPr>
        <w:t>十八、组成本合同的文件包括：</w:t>
      </w:r>
    </w:p>
    <w:p>
      <w:pPr>
        <w:pStyle w:val="2"/>
        <w:spacing w:after="0" w:line="360" w:lineRule="auto"/>
        <w:ind w:firstLine="420" w:firstLineChars="175"/>
        <w:rPr>
          <w:color w:val="auto"/>
        </w:rPr>
      </w:pPr>
      <w:r>
        <w:rPr>
          <w:rFonts w:hint="eastAsia"/>
          <w:color w:val="auto"/>
        </w:rPr>
        <w:t>合同通用条款和专用条款；</w:t>
      </w:r>
    </w:p>
    <w:p>
      <w:pPr>
        <w:pStyle w:val="2"/>
        <w:spacing w:after="0" w:line="360" w:lineRule="auto"/>
        <w:ind w:firstLine="420" w:firstLineChars="175"/>
        <w:rPr>
          <w:color w:val="auto"/>
        </w:rPr>
      </w:pPr>
      <w:r>
        <w:rPr>
          <w:rFonts w:hint="eastAsia"/>
          <w:color w:val="auto"/>
        </w:rPr>
        <w:t>招标文件和乙方的投标文件；</w:t>
      </w:r>
    </w:p>
    <w:p>
      <w:pPr>
        <w:pStyle w:val="2"/>
        <w:spacing w:after="0" w:line="360" w:lineRule="auto"/>
        <w:ind w:firstLine="420" w:firstLineChars="175"/>
        <w:rPr>
          <w:color w:val="auto"/>
        </w:rPr>
      </w:pPr>
      <w:r>
        <w:rPr>
          <w:rFonts w:hint="eastAsia"/>
          <w:color w:val="auto"/>
        </w:rPr>
        <w:t>中标通知书；</w:t>
      </w:r>
    </w:p>
    <w:p>
      <w:pPr>
        <w:pStyle w:val="2"/>
        <w:spacing w:after="0" w:line="360" w:lineRule="auto"/>
        <w:ind w:firstLine="420" w:firstLineChars="175"/>
        <w:rPr>
          <w:color w:val="auto"/>
        </w:rPr>
      </w:pPr>
      <w:r>
        <w:rPr>
          <w:rFonts w:hint="eastAsia"/>
          <w:color w:val="auto"/>
        </w:rPr>
        <w:t>甲乙双方商定的其他必要文件。</w:t>
      </w:r>
    </w:p>
    <w:p>
      <w:pPr>
        <w:pStyle w:val="2"/>
        <w:spacing w:after="0" w:line="360" w:lineRule="auto"/>
        <w:ind w:firstLine="420" w:firstLineChars="175"/>
        <w:rPr>
          <w:color w:val="auto"/>
        </w:rPr>
      </w:pPr>
      <w:r>
        <w:rPr>
          <w:rFonts w:hint="eastAsia"/>
          <w:color w:val="auto"/>
        </w:rPr>
        <w:t>上述合同文件内容互为补充，如有不明确，由甲方负责解释。</w:t>
      </w:r>
    </w:p>
    <w:p>
      <w:pPr>
        <w:pStyle w:val="2"/>
        <w:spacing w:after="0" w:line="360" w:lineRule="auto"/>
        <w:ind w:firstLine="422" w:firstLineChars="175"/>
        <w:rPr>
          <w:b/>
          <w:bCs/>
          <w:color w:val="auto"/>
        </w:rPr>
      </w:pPr>
      <w:r>
        <w:rPr>
          <w:rFonts w:hint="eastAsia"/>
          <w:b/>
          <w:bCs/>
          <w:color w:val="auto"/>
        </w:rPr>
        <w:t>十九、合同生效及其它</w:t>
      </w:r>
    </w:p>
    <w:p>
      <w:pPr>
        <w:pStyle w:val="2"/>
        <w:spacing w:after="0" w:line="360" w:lineRule="auto"/>
        <w:ind w:firstLine="420" w:firstLineChars="175"/>
        <w:rPr>
          <w:color w:val="auto"/>
        </w:rPr>
      </w:pPr>
      <w:r>
        <w:rPr>
          <w:rFonts w:hint="eastAsia"/>
          <w:color w:val="auto"/>
        </w:rPr>
        <w:t>合同经双方法定代表人或授权委托代表人签字并加盖单位公章，并经昌吉州政资局政府采购交易服务科见证盖章后生效。</w:t>
      </w:r>
    </w:p>
    <w:p>
      <w:pPr>
        <w:pStyle w:val="2"/>
        <w:spacing w:after="0" w:line="360" w:lineRule="auto"/>
        <w:ind w:firstLine="420" w:firstLineChars="175"/>
        <w:rPr>
          <w:color w:val="auto"/>
        </w:rPr>
      </w:pPr>
      <w:r>
        <w:rPr>
          <w:rFonts w:hint="eastAsia"/>
          <w:color w:val="auto"/>
        </w:rPr>
        <w:t>本合同未尽事宜，遵照《合同法》有关条文执行。</w:t>
      </w:r>
    </w:p>
    <w:p>
      <w:pPr>
        <w:pStyle w:val="2"/>
        <w:spacing w:after="0" w:line="360" w:lineRule="auto"/>
        <w:ind w:firstLine="420" w:firstLineChars="175"/>
        <w:rPr>
          <w:color w:val="auto"/>
        </w:rPr>
      </w:pPr>
      <w:r>
        <w:rPr>
          <w:rFonts w:hint="eastAsia"/>
          <w:color w:val="auto"/>
        </w:rPr>
        <w:t>本合同正本一式三份，具有同等法律效力，甲方、乙方及财政监管部门各执一份。</w:t>
      </w:r>
    </w:p>
    <w:p>
      <w:pPr>
        <w:pStyle w:val="2"/>
        <w:spacing w:after="0" w:line="360" w:lineRule="auto"/>
        <w:ind w:firstLine="420" w:firstLineChars="175"/>
        <w:rPr>
          <w:color w:val="auto"/>
        </w:rPr>
      </w:pPr>
      <w:r>
        <w:rPr>
          <w:rFonts w:hint="eastAsia"/>
          <w:color w:val="auto"/>
        </w:rPr>
        <w:t>甲方：                            乙方：</w:t>
      </w:r>
    </w:p>
    <w:p>
      <w:pPr>
        <w:pStyle w:val="2"/>
        <w:spacing w:after="0" w:line="360" w:lineRule="auto"/>
        <w:ind w:firstLine="420" w:firstLineChars="175"/>
        <w:rPr>
          <w:color w:val="auto"/>
        </w:rPr>
      </w:pPr>
      <w:r>
        <w:rPr>
          <w:rFonts w:hint="eastAsia"/>
          <w:color w:val="auto"/>
        </w:rPr>
        <w:t>地址：                            地址：</w:t>
      </w:r>
    </w:p>
    <w:p>
      <w:pPr>
        <w:pStyle w:val="2"/>
        <w:spacing w:after="0" w:line="360" w:lineRule="auto"/>
        <w:ind w:firstLine="420" w:firstLineChars="175"/>
        <w:rPr>
          <w:color w:val="auto"/>
        </w:rPr>
      </w:pPr>
      <w:r>
        <w:rPr>
          <w:rFonts w:hint="eastAsia"/>
          <w:color w:val="auto"/>
        </w:rPr>
        <w:t>法定代表人或授权代表：            法定代表人或授权代表：</w:t>
      </w:r>
    </w:p>
    <w:p>
      <w:pPr>
        <w:pStyle w:val="2"/>
        <w:spacing w:after="0" w:line="360" w:lineRule="auto"/>
        <w:ind w:firstLine="420" w:firstLineChars="175"/>
        <w:rPr>
          <w:color w:val="auto"/>
        </w:rPr>
      </w:pPr>
      <w:r>
        <w:rPr>
          <w:rFonts w:hint="eastAsia"/>
          <w:color w:val="auto"/>
        </w:rPr>
        <w:t>联系电话：                        联系电话：</w:t>
      </w:r>
    </w:p>
    <w:p>
      <w:pPr>
        <w:pStyle w:val="2"/>
        <w:spacing w:after="0" w:line="360" w:lineRule="auto"/>
        <w:ind w:firstLine="420" w:firstLineChars="175"/>
        <w:rPr>
          <w:color w:val="auto"/>
        </w:rPr>
      </w:pPr>
      <w:r>
        <w:rPr>
          <w:rFonts w:hint="eastAsia"/>
          <w:color w:val="auto"/>
        </w:rPr>
        <w:t>签订日期：    年  月   日</w:t>
      </w:r>
    </w:p>
    <w:p>
      <w:pPr>
        <w:pStyle w:val="2"/>
        <w:jc w:val="center"/>
        <w:rPr>
          <w:rFonts w:ascii="宋体" w:hAnsi="宋体" w:cs="宋体"/>
          <w:b/>
          <w:color w:val="auto"/>
        </w:rPr>
      </w:pPr>
      <w:r>
        <w:rPr>
          <w:rFonts w:hint="eastAsia"/>
          <w:color w:val="auto"/>
        </w:rPr>
        <w:br w:type="page"/>
      </w:r>
      <w:bookmarkEnd w:id="43"/>
      <w:bookmarkStart w:id="45" w:name="_Toc3634"/>
      <w:r>
        <w:rPr>
          <w:rStyle w:val="41"/>
          <w:rFonts w:hint="eastAsia" w:ascii="宋体" w:hAnsi="宋体" w:cs="宋体"/>
          <w:color w:val="auto"/>
        </w:rPr>
        <w:t>第六部分  投标文件格式</w:t>
      </w:r>
      <w:bookmarkEnd w:id="45"/>
      <w:bookmarkStart w:id="46" w:name="EBa6563f599c41462c9a1a5775fbb6dec3"/>
    </w:p>
    <w:p>
      <w:pPr>
        <w:pStyle w:val="130"/>
        <w:spacing w:line="360" w:lineRule="auto"/>
        <w:jc w:val="center"/>
        <w:outlineLvl w:val="2"/>
        <w:rPr>
          <w:rFonts w:ascii="宋体" w:hAnsi="宋体" w:eastAsia="宋体" w:cs="宋体"/>
          <w:color w:val="auto"/>
          <w:sz w:val="30"/>
          <w:szCs w:val="30"/>
        </w:rPr>
      </w:pPr>
      <w:bookmarkStart w:id="47" w:name="_Toc11740"/>
      <w:r>
        <w:rPr>
          <w:rFonts w:hint="eastAsia" w:ascii="宋体" w:hAnsi="宋体" w:eastAsia="宋体" w:cs="宋体"/>
          <w:color w:val="auto"/>
          <w:sz w:val="30"/>
          <w:szCs w:val="30"/>
        </w:rPr>
        <w:t>投标文件封面</w:t>
      </w:r>
      <w:bookmarkEnd w:id="47"/>
    </w:p>
    <w:p>
      <w:pPr>
        <w:pStyle w:val="79"/>
        <w:tabs>
          <w:tab w:val="left" w:pos="7518"/>
        </w:tabs>
        <w:spacing w:line="360" w:lineRule="auto"/>
        <w:jc w:val="right"/>
        <w:rPr>
          <w:rFonts w:ascii="宋体" w:hAnsi="宋体" w:cs="宋体"/>
          <w:b/>
          <w:color w:val="auto"/>
          <w:sz w:val="36"/>
          <w:szCs w:val="36"/>
        </w:rPr>
      </w:pPr>
      <w:r>
        <w:rPr>
          <w:rFonts w:hint="eastAsia" w:ascii="宋体" w:hAnsi="宋体" w:cs="宋体"/>
          <w:b/>
          <w:color w:val="auto"/>
          <w:sz w:val="36"/>
          <w:szCs w:val="36"/>
          <w:bdr w:val="single" w:color="000000" w:sz="4" w:space="0"/>
        </w:rPr>
        <w:t>正/副本</w:t>
      </w:r>
    </w:p>
    <w:p>
      <w:pPr>
        <w:pStyle w:val="79"/>
        <w:spacing w:line="360" w:lineRule="auto"/>
        <w:jc w:val="center"/>
        <w:rPr>
          <w:rFonts w:ascii="宋体" w:hAnsi="宋体" w:cs="宋体"/>
          <w:color w:val="auto"/>
          <w:sz w:val="24"/>
        </w:rPr>
      </w:pPr>
    </w:p>
    <w:p>
      <w:pPr>
        <w:pStyle w:val="79"/>
        <w:spacing w:line="360" w:lineRule="auto"/>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（项目名称）</w:t>
      </w:r>
    </w:p>
    <w:p>
      <w:pPr>
        <w:pStyle w:val="79"/>
        <w:spacing w:line="360" w:lineRule="auto"/>
        <w:jc w:val="center"/>
        <w:rPr>
          <w:rFonts w:ascii="宋体" w:hAnsi="宋体" w:cs="宋体"/>
          <w:color w:val="auto"/>
          <w:sz w:val="28"/>
          <w:szCs w:val="28"/>
        </w:rPr>
      </w:pPr>
    </w:p>
    <w:p>
      <w:pPr>
        <w:pStyle w:val="79"/>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u w:val="single"/>
        </w:rPr>
        <w:t xml:space="preserve">                    </w:t>
      </w:r>
      <w:r>
        <w:rPr>
          <w:rFonts w:hint="eastAsia" w:ascii="宋体" w:hAnsi="宋体" w:cs="宋体"/>
          <w:color w:val="auto"/>
          <w:sz w:val="28"/>
          <w:szCs w:val="28"/>
        </w:rPr>
        <w:t>（项目编号）</w:t>
      </w:r>
    </w:p>
    <w:p>
      <w:pPr>
        <w:pStyle w:val="79"/>
        <w:spacing w:line="360" w:lineRule="auto"/>
        <w:jc w:val="center"/>
        <w:rPr>
          <w:rFonts w:ascii="宋体" w:hAnsi="宋体" w:cs="宋体"/>
          <w:color w:val="auto"/>
          <w:sz w:val="24"/>
        </w:rPr>
      </w:pPr>
    </w:p>
    <w:p>
      <w:pPr>
        <w:pStyle w:val="79"/>
        <w:spacing w:line="360" w:lineRule="auto"/>
        <w:jc w:val="center"/>
        <w:rPr>
          <w:rFonts w:ascii="宋体" w:hAnsi="宋体" w:cs="宋体"/>
          <w:color w:val="auto"/>
          <w:sz w:val="24"/>
        </w:rPr>
      </w:pPr>
    </w:p>
    <w:p>
      <w:pPr>
        <w:pStyle w:val="79"/>
        <w:spacing w:line="360" w:lineRule="auto"/>
        <w:jc w:val="center"/>
        <w:rPr>
          <w:rFonts w:ascii="宋体" w:hAnsi="宋体" w:cs="宋体"/>
          <w:b/>
          <w:color w:val="auto"/>
          <w:sz w:val="72"/>
          <w:szCs w:val="72"/>
        </w:rPr>
      </w:pPr>
      <w:r>
        <w:rPr>
          <w:rFonts w:hint="eastAsia" w:ascii="宋体" w:hAnsi="宋体" w:cs="宋体"/>
          <w:b/>
          <w:color w:val="auto"/>
          <w:sz w:val="72"/>
          <w:szCs w:val="72"/>
        </w:rPr>
        <w:t>投标文件</w:t>
      </w:r>
    </w:p>
    <w:p>
      <w:pPr>
        <w:pStyle w:val="79"/>
        <w:spacing w:line="360" w:lineRule="auto"/>
        <w:jc w:val="center"/>
        <w:rPr>
          <w:rFonts w:ascii="宋体" w:hAnsi="宋体" w:cs="宋体"/>
          <w:color w:val="auto"/>
          <w:sz w:val="24"/>
        </w:rPr>
      </w:pPr>
    </w:p>
    <w:p>
      <w:pPr>
        <w:pStyle w:val="79"/>
        <w:spacing w:line="360" w:lineRule="auto"/>
        <w:jc w:val="center"/>
        <w:rPr>
          <w:rFonts w:ascii="宋体" w:hAnsi="宋体" w:cs="宋体"/>
          <w:color w:val="auto"/>
          <w:sz w:val="24"/>
        </w:rPr>
      </w:pPr>
    </w:p>
    <w:p>
      <w:pPr>
        <w:pStyle w:val="79"/>
        <w:spacing w:line="360" w:lineRule="auto"/>
        <w:jc w:val="center"/>
        <w:rPr>
          <w:rFonts w:ascii="宋体" w:hAnsi="宋体" w:cs="宋体"/>
          <w:b/>
          <w:color w:val="auto"/>
          <w:sz w:val="24"/>
        </w:rPr>
      </w:pPr>
    </w:p>
    <w:p>
      <w:pPr>
        <w:pStyle w:val="79"/>
        <w:spacing w:line="360" w:lineRule="auto"/>
        <w:jc w:val="center"/>
        <w:rPr>
          <w:rFonts w:ascii="宋体" w:hAnsi="宋体" w:cs="宋体"/>
          <w:b/>
          <w:color w:val="auto"/>
          <w:sz w:val="24"/>
        </w:rPr>
      </w:pPr>
    </w:p>
    <w:p>
      <w:pPr>
        <w:pStyle w:val="79"/>
        <w:spacing w:line="360" w:lineRule="auto"/>
        <w:ind w:firstLine="1680" w:firstLineChars="600"/>
        <w:rPr>
          <w:rFonts w:ascii="宋体" w:hAnsi="宋体" w:cs="宋体"/>
          <w:color w:val="auto"/>
          <w:sz w:val="28"/>
          <w:szCs w:val="28"/>
          <w:u w:val="single"/>
        </w:rPr>
      </w:pPr>
      <w:r>
        <w:rPr>
          <w:rFonts w:hint="eastAsia" w:ascii="宋体" w:hAnsi="宋体" w:cs="宋体"/>
          <w:color w:val="auto"/>
          <w:sz w:val="28"/>
          <w:szCs w:val="28"/>
        </w:rPr>
        <w:t>供应商名称：</w:t>
      </w:r>
      <w:r>
        <w:rPr>
          <w:rFonts w:hint="eastAsia" w:ascii="宋体" w:hAnsi="宋体" w:cs="宋体"/>
          <w:color w:val="auto"/>
          <w:sz w:val="28"/>
          <w:szCs w:val="28"/>
          <w:u w:val="single"/>
        </w:rPr>
        <w:t xml:space="preserve">                     </w:t>
      </w:r>
      <w:r>
        <w:rPr>
          <w:rFonts w:hint="eastAsia" w:ascii="宋体" w:hAnsi="宋体" w:cs="宋体"/>
          <w:color w:val="auto"/>
          <w:sz w:val="28"/>
          <w:szCs w:val="28"/>
        </w:rPr>
        <w:t>（盖章）</w:t>
      </w:r>
    </w:p>
    <w:p>
      <w:pPr>
        <w:pStyle w:val="79"/>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（签字或盖章）</w:t>
      </w:r>
    </w:p>
    <w:p>
      <w:pPr>
        <w:pStyle w:val="79"/>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委托代理人：</w:t>
      </w:r>
      <w:r>
        <w:rPr>
          <w:rFonts w:hint="eastAsia" w:ascii="宋体" w:hAnsi="宋体" w:cs="宋体"/>
          <w:b/>
          <w:color w:val="auto"/>
          <w:sz w:val="24"/>
          <w:u w:val="single"/>
        </w:rPr>
        <w:t xml:space="preserve">                    </w:t>
      </w:r>
      <w:r>
        <w:rPr>
          <w:rFonts w:hint="eastAsia" w:ascii="宋体" w:hAnsi="宋体" w:cs="宋体"/>
          <w:color w:val="auto"/>
          <w:sz w:val="28"/>
          <w:szCs w:val="28"/>
        </w:rPr>
        <w:t>（签字）</w:t>
      </w:r>
    </w:p>
    <w:p>
      <w:pPr>
        <w:pStyle w:val="79"/>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联系人：</w:t>
      </w:r>
      <w:r>
        <w:rPr>
          <w:rFonts w:hint="eastAsia" w:ascii="宋体" w:hAnsi="宋体" w:cs="宋体"/>
          <w:color w:val="auto"/>
          <w:sz w:val="28"/>
          <w:szCs w:val="28"/>
          <w:u w:val="single"/>
        </w:rPr>
        <w:t xml:space="preserve">                     </w:t>
      </w:r>
    </w:p>
    <w:p>
      <w:pPr>
        <w:pStyle w:val="79"/>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联系电话：</w:t>
      </w:r>
      <w:r>
        <w:rPr>
          <w:rFonts w:hint="eastAsia" w:ascii="宋体" w:hAnsi="宋体" w:cs="宋体"/>
          <w:color w:val="auto"/>
          <w:sz w:val="28"/>
          <w:szCs w:val="28"/>
          <w:u w:val="single"/>
        </w:rPr>
        <w:t xml:space="preserve">                   </w:t>
      </w:r>
    </w:p>
    <w:p>
      <w:pPr>
        <w:pStyle w:val="79"/>
        <w:spacing w:line="360" w:lineRule="auto"/>
        <w:ind w:firstLine="1680" w:firstLineChars="600"/>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 xml:space="preserve">                 </w:t>
      </w:r>
    </w:p>
    <w:p>
      <w:pPr>
        <w:pStyle w:val="79"/>
        <w:spacing w:line="360" w:lineRule="auto"/>
        <w:ind w:firstLine="1680" w:firstLineChars="600"/>
        <w:rPr>
          <w:rFonts w:ascii="宋体" w:hAnsi="宋体" w:cs="宋体"/>
          <w:color w:val="auto"/>
          <w:sz w:val="28"/>
          <w:szCs w:val="28"/>
          <w:u w:val="single"/>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p>
    <w:p>
      <w:pPr>
        <w:pStyle w:val="79"/>
        <w:spacing w:line="360" w:lineRule="auto"/>
        <w:ind w:firstLine="1440" w:firstLineChars="600"/>
        <w:rPr>
          <w:rFonts w:ascii="宋体" w:hAnsi="宋体" w:cs="宋体"/>
          <w:color w:val="auto"/>
          <w:sz w:val="24"/>
        </w:rPr>
      </w:pPr>
    </w:p>
    <w:p>
      <w:pPr>
        <w:pStyle w:val="79"/>
        <w:spacing w:line="360" w:lineRule="auto"/>
        <w:jc w:val="center"/>
        <w:rPr>
          <w:rFonts w:ascii="宋体" w:hAnsi="宋体" w:cs="宋体"/>
          <w:color w:val="auto"/>
          <w:sz w:val="28"/>
          <w:szCs w:val="28"/>
          <w:u w:val="single"/>
        </w:rPr>
      </w:pPr>
      <w:r>
        <w:rPr>
          <w:rFonts w:hint="eastAsia" w:ascii="宋体" w:hAnsi="宋体" w:cs="宋体"/>
          <w:color w:val="auto"/>
          <w:sz w:val="24"/>
        </w:rPr>
        <w:t>年  月  日   开标前不准启封</w:t>
      </w:r>
    </w:p>
    <w:p>
      <w:pPr>
        <w:pStyle w:val="141"/>
        <w:jc w:val="center"/>
        <w:outlineLvl w:val="1"/>
        <w:rPr>
          <w:rFonts w:ascii="宋体" w:hAnsi="宋体" w:eastAsia="宋体" w:cs="宋体"/>
          <w:color w:val="auto"/>
        </w:rPr>
      </w:pPr>
      <w:r>
        <w:rPr>
          <w:rFonts w:hint="eastAsia" w:ascii="宋体" w:hAnsi="宋体" w:eastAsia="宋体" w:cs="宋体"/>
          <w:color w:val="auto"/>
        </w:rPr>
        <w:br w:type="page"/>
      </w:r>
      <w:bookmarkStart w:id="48" w:name="_Toc20108"/>
      <w:r>
        <w:rPr>
          <w:rFonts w:hint="eastAsia" w:ascii="宋体" w:hAnsi="宋体" w:eastAsia="宋体" w:cs="宋体"/>
          <w:color w:val="auto"/>
          <w:sz w:val="30"/>
          <w:szCs w:val="30"/>
        </w:rPr>
        <w:t>商务、经济文件</w:t>
      </w:r>
      <w:bookmarkEnd w:id="48"/>
    </w:p>
    <w:p>
      <w:pPr>
        <w:pStyle w:val="121"/>
        <w:jc w:val="center"/>
        <w:outlineLvl w:val="2"/>
        <w:rPr>
          <w:rFonts w:ascii="宋体" w:hAnsi="宋体" w:eastAsia="宋体" w:cs="宋体"/>
          <w:color w:val="auto"/>
          <w:sz w:val="24"/>
        </w:rPr>
      </w:pPr>
      <w:bookmarkStart w:id="49" w:name="_Toc3557"/>
      <w:r>
        <w:rPr>
          <w:rFonts w:hint="eastAsia" w:ascii="宋体" w:hAnsi="宋体" w:eastAsia="宋体" w:cs="宋体"/>
          <w:color w:val="auto"/>
          <w:sz w:val="24"/>
        </w:rPr>
        <w:t>★投标函</w:t>
      </w:r>
      <w:bookmarkEnd w:id="49"/>
    </w:p>
    <w:p>
      <w:pPr>
        <w:pStyle w:val="98"/>
        <w:widowControl/>
        <w:spacing w:line="420" w:lineRule="exact"/>
        <w:ind w:left="0" w:leftChars="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（采购人）：</w:t>
      </w:r>
    </w:p>
    <w:p>
      <w:pPr>
        <w:pStyle w:val="98"/>
        <w:widowControl/>
        <w:spacing w:line="420" w:lineRule="exact"/>
        <w:ind w:left="0" w:leftChars="0"/>
        <w:rPr>
          <w:rFonts w:ascii="宋体" w:hAnsi="宋体" w:cs="宋体"/>
          <w:color w:val="auto"/>
        </w:rPr>
      </w:pPr>
      <w:r>
        <w:rPr>
          <w:rFonts w:hint="eastAsia" w:ascii="宋体" w:hAnsi="宋体" w:cs="宋体"/>
          <w:color w:val="auto"/>
          <w:sz w:val="24"/>
          <w:u w:val="single"/>
        </w:rPr>
        <w:t xml:space="preserve">                    </w:t>
      </w:r>
      <w:r>
        <w:rPr>
          <w:rFonts w:hint="eastAsia" w:ascii="宋体" w:hAnsi="宋体" w:cs="宋体"/>
          <w:color w:val="auto"/>
          <w:sz w:val="24"/>
        </w:rPr>
        <w:t>（采购代理机构）：</w:t>
      </w:r>
    </w:p>
    <w:p>
      <w:pPr>
        <w:pStyle w:val="98"/>
        <w:widowControl/>
        <w:spacing w:line="420" w:lineRule="exact"/>
        <w:ind w:left="0" w:leftChars="0"/>
        <w:jc w:val="left"/>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(供应商名称)授权</w:t>
      </w:r>
      <w:r>
        <w:rPr>
          <w:rFonts w:hint="eastAsia" w:ascii="宋体" w:hAnsi="宋体" w:cs="宋体"/>
          <w:color w:val="auto"/>
          <w:sz w:val="24"/>
          <w:u w:val="single"/>
        </w:rPr>
        <w:t xml:space="preserve">       </w:t>
      </w:r>
      <w:r>
        <w:rPr>
          <w:rFonts w:hint="eastAsia" w:ascii="宋体" w:hAnsi="宋体" w:cs="宋体"/>
          <w:color w:val="auto"/>
          <w:sz w:val="24"/>
        </w:rPr>
        <w:t>(供应商委托代理人姓名)</w:t>
      </w:r>
      <w:r>
        <w:rPr>
          <w:rFonts w:hint="eastAsia" w:ascii="宋体" w:hAnsi="宋体" w:cs="宋体"/>
          <w:color w:val="auto"/>
          <w:sz w:val="24"/>
          <w:u w:val="single"/>
        </w:rPr>
        <w:t xml:space="preserve">     </w:t>
      </w:r>
      <w:r>
        <w:rPr>
          <w:rFonts w:hint="eastAsia" w:ascii="宋体" w:hAnsi="宋体" w:cs="宋体"/>
          <w:color w:val="auto"/>
          <w:sz w:val="24"/>
        </w:rPr>
        <w:t>(职务)为我方代表，参加贵方组织的</w:t>
      </w:r>
      <w:r>
        <w:rPr>
          <w:rFonts w:hint="eastAsia" w:ascii="宋体" w:hAnsi="宋体" w:cs="宋体"/>
          <w:color w:val="auto"/>
          <w:sz w:val="24"/>
          <w:u w:val="single"/>
        </w:rPr>
        <w:t xml:space="preserve">         </w:t>
      </w:r>
      <w:r>
        <w:rPr>
          <w:rFonts w:hint="eastAsia" w:ascii="宋体" w:hAnsi="宋体" w:cs="宋体"/>
          <w:color w:val="auto"/>
          <w:sz w:val="24"/>
        </w:rPr>
        <w:t xml:space="preserve"> (项目名称、项目编号)招标的有关活动，并对此项目进行投标。为此：</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1、我方同意在本项目招标文件中规定的投标有效期内遵守本投标文件中的承诺且在此期限期满之前均具有约束力。</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2、我方承诺已经具备规定的供应商应当具备的条件：</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1）具有独立承担民事责任的能力；</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2）具有良好的商业信誉和健全的财务会计制度；</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5）参加此项采购活动前三年内，在经营活动中没有重大违法记录；</w:t>
      </w:r>
    </w:p>
    <w:p>
      <w:pPr>
        <w:pStyle w:val="72"/>
        <w:spacing w:line="420" w:lineRule="exact"/>
        <w:ind w:firstLine="480" w:firstLineChars="200"/>
        <w:rPr>
          <w:rFonts w:ascii="宋体" w:hAnsi="宋体" w:cs="宋体"/>
          <w:color w:val="auto"/>
          <w:sz w:val="24"/>
        </w:rPr>
      </w:pPr>
      <w:r>
        <w:rPr>
          <w:rFonts w:hint="eastAsia" w:ascii="宋体" w:hAnsi="宋体" w:cs="宋体"/>
          <w:color w:val="auto"/>
          <w:sz w:val="24"/>
        </w:rPr>
        <w:t>6）法律、行政法规规定的其他条件。</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3、提供供应商须知规定的全部投标文件，包括在投标文件</w:t>
      </w:r>
      <w:r>
        <w:rPr>
          <w:rFonts w:hint="eastAsia" w:ascii="宋体" w:hAnsi="宋体" w:cs="宋体"/>
          <w:color w:val="auto"/>
          <w:sz w:val="24"/>
          <w:u w:val="single"/>
        </w:rPr>
        <w:t>伍</w:t>
      </w:r>
      <w:r>
        <w:rPr>
          <w:rFonts w:hint="eastAsia" w:ascii="宋体" w:hAnsi="宋体" w:cs="宋体"/>
          <w:color w:val="auto"/>
          <w:sz w:val="24"/>
        </w:rPr>
        <w:t>份及电子版（Ｕ盘）一份。</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4、我方承诺：照招标文件中的要求，提供招标货物及技术服务等内容的投标总价 （大写）</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（小写）。</w:t>
      </w:r>
    </w:p>
    <w:p>
      <w:pPr>
        <w:pStyle w:val="72"/>
        <w:spacing w:line="420" w:lineRule="exact"/>
        <w:ind w:firstLine="480" w:firstLineChars="200"/>
        <w:rPr>
          <w:rFonts w:ascii="宋体" w:hAnsi="宋体" w:cs="宋体"/>
          <w:color w:val="auto"/>
        </w:rPr>
      </w:pPr>
      <w:r>
        <w:rPr>
          <w:rFonts w:hint="eastAsia" w:ascii="宋体" w:hAnsi="宋体" w:cs="宋体"/>
          <w:color w:val="auto"/>
          <w:sz w:val="24"/>
        </w:rPr>
        <w:t>5、同意按招标文件的规定，本投标文件的有效期为</w:t>
      </w:r>
      <w:r>
        <w:rPr>
          <w:rFonts w:hint="eastAsia" w:ascii="宋体" w:hAnsi="宋体" w:cs="宋体"/>
          <w:color w:val="auto"/>
          <w:sz w:val="24"/>
          <w:u w:val="single"/>
        </w:rPr>
        <w:t xml:space="preserve"> 90 </w:t>
      </w:r>
      <w:r>
        <w:rPr>
          <w:rFonts w:hint="eastAsia" w:ascii="宋体" w:hAnsi="宋体" w:cs="宋体"/>
          <w:color w:val="auto"/>
          <w:sz w:val="24"/>
        </w:rPr>
        <w:t>日历日。</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6、保证忠实地执行双方所签订的合同，并承担合同规定的责任和义务。</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7、我方承诺：与在本项目中设计编制技术规格的机构及其附属机构无任何直接隶属关系和利益关联。</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8、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72"/>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9、我方承诺：采购人若需追加采购本项目招标文件所列服务的，在不改变合同其他实质性条款的前提下，按相同或更优惠的折扣率保证提供服务。</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10、我方承诺：接受招标文件中的全部条款且无任何异议，保证遵守招标文件的规定。</w:t>
      </w:r>
    </w:p>
    <w:p>
      <w:pPr>
        <w:pStyle w:val="72"/>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11、完全理解投标报价若未响应招标文件要求时，投标将被拒绝。</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12、如果在开标后规定的投标有效期内撤回投标，我方的投标保证金可被贵方没收。</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13、我方完全理解贵方不一定接受最低价的投标或收到的任何投标。</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14、我方已详细审核全部投标文件，包括投标文件修改书（如有的话）、参考资料及有关附件，确认无误。</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15、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1）提供虚假材料谋取中标、成交的；</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2）采取不正当手段诋毁、排挤其他供应商的；</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3）与采购人、其他供应商或者采购代理机构工作人员恶意串通的；</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4）向采购人、采购代理机构工作人员行贿或者提供其他不正当利益的；</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5）在采购过程中与采购人进行协商谈判的；</w:t>
      </w:r>
    </w:p>
    <w:p>
      <w:pPr>
        <w:pStyle w:val="98"/>
        <w:widowControl/>
        <w:spacing w:line="420" w:lineRule="exact"/>
        <w:ind w:left="0" w:leftChars="0" w:firstLine="480" w:firstLineChars="200"/>
        <w:rPr>
          <w:rFonts w:ascii="宋体" w:hAnsi="宋体" w:cs="宋体"/>
          <w:color w:val="auto"/>
          <w:sz w:val="24"/>
        </w:rPr>
      </w:pPr>
      <w:r>
        <w:rPr>
          <w:rFonts w:hint="eastAsia" w:ascii="宋体" w:hAnsi="宋体" w:cs="宋体"/>
          <w:color w:val="auto"/>
          <w:sz w:val="24"/>
        </w:rPr>
        <w:t>6）拒绝有关部门监督检查或提供虚假情况的。</w:t>
      </w:r>
    </w:p>
    <w:p>
      <w:pPr>
        <w:pStyle w:val="72"/>
        <w:spacing w:line="420" w:lineRule="exact"/>
        <w:rPr>
          <w:rFonts w:ascii="宋体" w:hAnsi="宋体" w:cs="宋体"/>
          <w:color w:val="auto"/>
          <w:sz w:val="24"/>
        </w:rPr>
      </w:pPr>
      <w:r>
        <w:rPr>
          <w:rFonts w:hint="eastAsia" w:ascii="宋体" w:hAnsi="宋体" w:cs="宋体"/>
          <w:color w:val="auto"/>
          <w:sz w:val="24"/>
        </w:rPr>
        <w:t xml:space="preserve">    16、与本投标有关的一切往来通讯请寄：</w:t>
      </w:r>
    </w:p>
    <w:p>
      <w:pPr>
        <w:pStyle w:val="98"/>
        <w:widowControl/>
        <w:spacing w:line="420" w:lineRule="exact"/>
        <w:ind w:left="0" w:leftChars="0"/>
        <w:rPr>
          <w:rFonts w:ascii="宋体" w:hAnsi="宋体" w:cs="宋体"/>
          <w:color w:val="auto"/>
          <w:sz w:val="24"/>
        </w:rPr>
      </w:pPr>
      <w:r>
        <w:rPr>
          <w:rFonts w:hint="eastAsia" w:ascii="宋体" w:hAnsi="宋体" w:cs="宋体"/>
          <w:color w:val="auto"/>
          <w:sz w:val="24"/>
        </w:rPr>
        <w:t>地址：____________________________________________________</w:t>
      </w:r>
    </w:p>
    <w:p>
      <w:pPr>
        <w:pStyle w:val="98"/>
        <w:widowControl/>
        <w:spacing w:line="420" w:lineRule="exact"/>
        <w:ind w:left="0" w:leftChars="0"/>
        <w:rPr>
          <w:rFonts w:ascii="宋体" w:hAnsi="宋体" w:cs="宋体"/>
          <w:color w:val="auto"/>
          <w:sz w:val="24"/>
        </w:rPr>
      </w:pPr>
      <w:r>
        <w:rPr>
          <w:rFonts w:hint="eastAsia" w:ascii="宋体" w:hAnsi="宋体" w:cs="宋体"/>
          <w:color w:val="auto"/>
          <w:sz w:val="24"/>
        </w:rPr>
        <w:t>邮编：____________</w:t>
      </w:r>
    </w:p>
    <w:p>
      <w:pPr>
        <w:pStyle w:val="98"/>
        <w:widowControl/>
        <w:spacing w:line="420" w:lineRule="exact"/>
        <w:ind w:left="0" w:leftChars="0"/>
        <w:rPr>
          <w:rFonts w:ascii="宋体" w:hAnsi="宋体" w:cs="宋体"/>
          <w:color w:val="auto"/>
          <w:sz w:val="24"/>
        </w:rPr>
      </w:pPr>
      <w:r>
        <w:rPr>
          <w:rFonts w:hint="eastAsia" w:ascii="宋体" w:hAnsi="宋体" w:cs="宋体"/>
          <w:color w:val="auto"/>
          <w:sz w:val="24"/>
        </w:rPr>
        <w:t>电话：____________</w:t>
      </w:r>
    </w:p>
    <w:p>
      <w:pPr>
        <w:pStyle w:val="98"/>
        <w:widowControl/>
        <w:spacing w:line="420" w:lineRule="exact"/>
        <w:ind w:left="0" w:leftChars="0"/>
        <w:rPr>
          <w:rFonts w:ascii="宋体" w:hAnsi="宋体" w:cs="宋体"/>
          <w:color w:val="auto"/>
          <w:sz w:val="24"/>
        </w:rPr>
      </w:pPr>
      <w:r>
        <w:rPr>
          <w:rFonts w:hint="eastAsia" w:ascii="宋体" w:hAnsi="宋体" w:cs="宋体"/>
          <w:color w:val="auto"/>
          <w:sz w:val="24"/>
        </w:rPr>
        <w:t>传真：____________</w:t>
      </w:r>
    </w:p>
    <w:p>
      <w:pPr>
        <w:pStyle w:val="72"/>
        <w:spacing w:line="420" w:lineRule="exact"/>
        <w:rPr>
          <w:rFonts w:ascii="宋体" w:hAnsi="宋体" w:cs="宋体"/>
          <w:color w:val="auto"/>
        </w:rPr>
      </w:pPr>
      <w:r>
        <w:rPr>
          <w:rFonts w:hint="eastAsia" w:ascii="宋体" w:hAnsi="宋体" w:cs="宋体"/>
          <w:color w:val="auto"/>
          <w:sz w:val="24"/>
        </w:rPr>
        <w:t>电子邮箱：</w:t>
      </w:r>
      <w:r>
        <w:rPr>
          <w:rFonts w:hint="eastAsia" w:ascii="宋体" w:hAnsi="宋体" w:cs="宋体"/>
          <w:color w:val="auto"/>
          <w:sz w:val="24"/>
          <w:u w:val="single"/>
        </w:rPr>
        <w:t xml:space="preserve">        </w:t>
      </w:r>
    </w:p>
    <w:p>
      <w:pPr>
        <w:pStyle w:val="98"/>
        <w:widowControl/>
        <w:spacing w:line="420" w:lineRule="exact"/>
        <w:ind w:left="0" w:leftChars="0"/>
        <w:rPr>
          <w:rFonts w:ascii="宋体" w:hAnsi="宋体" w:cs="宋体"/>
          <w:color w:val="auto"/>
          <w:sz w:val="24"/>
        </w:rPr>
      </w:pPr>
      <w:r>
        <w:rPr>
          <w:rFonts w:hint="eastAsia" w:ascii="宋体" w:hAnsi="宋体" w:cs="宋体"/>
          <w:color w:val="auto"/>
          <w:sz w:val="24"/>
        </w:rPr>
        <w:t>供应商法定代表人或授权代理人联系电话：</w:t>
      </w:r>
      <w:r>
        <w:rPr>
          <w:rFonts w:hint="eastAsia" w:ascii="宋体" w:hAnsi="宋体" w:cs="宋体"/>
          <w:color w:val="auto"/>
          <w:sz w:val="24"/>
          <w:u w:val="single"/>
        </w:rPr>
        <w:t xml:space="preserve">          </w:t>
      </w:r>
    </w:p>
    <w:p>
      <w:pPr>
        <w:pStyle w:val="98"/>
        <w:widowControl/>
        <w:spacing w:line="420" w:lineRule="exact"/>
        <w:ind w:left="101" w:leftChars="48" w:firstLine="361" w:firstLineChars="150"/>
        <w:rPr>
          <w:rFonts w:ascii="宋体" w:hAnsi="宋体" w:cs="宋体"/>
          <w:b/>
          <w:color w:val="auto"/>
          <w:sz w:val="24"/>
        </w:rPr>
      </w:pPr>
    </w:p>
    <w:p>
      <w:pPr>
        <w:pStyle w:val="98"/>
        <w:widowControl/>
        <w:spacing w:line="420" w:lineRule="exact"/>
        <w:ind w:left="101" w:leftChars="48" w:firstLine="361" w:firstLineChars="150"/>
        <w:rPr>
          <w:rFonts w:ascii="宋体" w:hAnsi="宋体" w:cs="宋体"/>
          <w:b/>
          <w:color w:val="auto"/>
          <w:sz w:val="24"/>
        </w:rPr>
      </w:pPr>
    </w:p>
    <w:p>
      <w:pPr>
        <w:pStyle w:val="98"/>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供应商名称（盖章）：</w:t>
      </w:r>
      <w:r>
        <w:rPr>
          <w:rFonts w:hint="eastAsia" w:ascii="宋体" w:hAnsi="宋体" w:cs="宋体"/>
          <w:b/>
          <w:color w:val="auto"/>
          <w:sz w:val="24"/>
          <w:u w:val="single"/>
        </w:rPr>
        <w:t xml:space="preserve">                       </w:t>
      </w:r>
      <w:r>
        <w:rPr>
          <w:rFonts w:hint="eastAsia" w:ascii="宋体" w:hAnsi="宋体" w:cs="宋体"/>
          <w:b/>
          <w:color w:val="auto"/>
          <w:sz w:val="24"/>
        </w:rPr>
        <w:t xml:space="preserve"> </w:t>
      </w:r>
    </w:p>
    <w:p>
      <w:pPr>
        <w:pStyle w:val="98"/>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法定代表人（签字或盖章）：</w:t>
      </w:r>
      <w:r>
        <w:rPr>
          <w:rFonts w:hint="eastAsia" w:ascii="宋体" w:hAnsi="宋体" w:cs="宋体"/>
          <w:b/>
          <w:color w:val="auto"/>
          <w:sz w:val="24"/>
          <w:u w:val="single"/>
        </w:rPr>
        <w:t xml:space="preserve">                 </w:t>
      </w:r>
    </w:p>
    <w:p>
      <w:pPr>
        <w:pStyle w:val="98"/>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委托代理人（签字）：</w:t>
      </w:r>
      <w:r>
        <w:rPr>
          <w:rFonts w:hint="eastAsia" w:ascii="宋体" w:hAnsi="宋体" w:cs="宋体"/>
          <w:b/>
          <w:color w:val="auto"/>
          <w:sz w:val="24"/>
          <w:u w:val="single"/>
        </w:rPr>
        <w:t xml:space="preserve">                       </w:t>
      </w:r>
    </w:p>
    <w:p>
      <w:pPr>
        <w:pStyle w:val="98"/>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日期：     年   月   日</w:t>
      </w:r>
    </w:p>
    <w:p>
      <w:pPr>
        <w:pStyle w:val="98"/>
        <w:widowControl/>
        <w:spacing w:line="420" w:lineRule="exact"/>
        <w:ind w:left="0" w:leftChars="0" w:firstLine="482" w:firstLineChars="200"/>
        <w:rPr>
          <w:rFonts w:ascii="宋体" w:hAnsi="宋体" w:cs="宋体"/>
          <w:b/>
          <w:color w:val="auto"/>
          <w:sz w:val="24"/>
        </w:rPr>
      </w:pPr>
      <w:r>
        <w:rPr>
          <w:rFonts w:hint="eastAsia" w:ascii="宋体" w:hAnsi="宋体" w:cs="宋体"/>
          <w:b/>
          <w:color w:val="auto"/>
          <w:sz w:val="24"/>
        </w:rPr>
        <w:t>说明：除可填报项目外，对本投标函的任何修改将被视为非实质性响应投标，从而导致该投标被拒绝。</w:t>
      </w:r>
    </w:p>
    <w:p>
      <w:pPr>
        <w:pStyle w:val="172"/>
        <w:spacing w:line="420" w:lineRule="exact"/>
        <w:jc w:val="center"/>
        <w:outlineLvl w:val="2"/>
        <w:rPr>
          <w:rFonts w:ascii="宋体" w:hAnsi="宋体" w:eastAsia="宋体" w:cs="宋体"/>
          <w:color w:val="auto"/>
          <w:sz w:val="24"/>
        </w:rPr>
      </w:pPr>
      <w:r>
        <w:rPr>
          <w:rFonts w:hint="eastAsia" w:ascii="宋体" w:hAnsi="宋体" w:eastAsia="宋体" w:cs="宋体"/>
          <w:color w:val="auto"/>
          <w:sz w:val="24"/>
        </w:rPr>
        <w:br w:type="page"/>
      </w:r>
      <w:bookmarkStart w:id="50" w:name="_Toc19025"/>
      <w:r>
        <w:rPr>
          <w:rFonts w:hint="eastAsia" w:ascii="宋体" w:hAnsi="宋体" w:eastAsia="宋体" w:cs="宋体"/>
          <w:color w:val="auto"/>
          <w:sz w:val="24"/>
        </w:rPr>
        <w:t>★法定代表人资格证明书及授权委托书</w:t>
      </w:r>
      <w:bookmarkEnd w:id="50"/>
    </w:p>
    <w:p>
      <w:pPr>
        <w:pStyle w:val="118"/>
        <w:outlineLvl w:val="9"/>
        <w:rPr>
          <w:rFonts w:cs="宋体"/>
          <w:b w:val="0"/>
          <w:color w:val="auto"/>
          <w:sz w:val="24"/>
          <w:szCs w:val="24"/>
        </w:rPr>
      </w:pPr>
      <w:bookmarkStart w:id="51" w:name="_Toc480371721"/>
      <w:bookmarkStart w:id="52" w:name="_Toc480368424"/>
      <w:bookmarkStart w:id="53" w:name="_Toc480368595"/>
      <w:bookmarkStart w:id="54" w:name="_Toc480368653"/>
    </w:p>
    <w:p>
      <w:pPr>
        <w:pStyle w:val="118"/>
        <w:outlineLvl w:val="9"/>
        <w:rPr>
          <w:rFonts w:cs="宋体"/>
          <w:bCs/>
          <w:color w:val="auto"/>
          <w:sz w:val="24"/>
          <w:szCs w:val="24"/>
        </w:rPr>
      </w:pPr>
      <w:bookmarkStart w:id="55" w:name="_Toc18836"/>
      <w:r>
        <w:rPr>
          <w:rFonts w:hint="eastAsia" w:cs="宋体"/>
          <w:bCs/>
          <w:color w:val="auto"/>
          <w:sz w:val="24"/>
          <w:szCs w:val="24"/>
        </w:rPr>
        <w:t>法定代表人资格证明</w:t>
      </w:r>
      <w:bookmarkEnd w:id="51"/>
      <w:bookmarkEnd w:id="52"/>
      <w:bookmarkEnd w:id="53"/>
      <w:bookmarkEnd w:id="54"/>
      <w:r>
        <w:rPr>
          <w:rFonts w:hint="eastAsia" w:cs="宋体"/>
          <w:bCs/>
          <w:color w:val="auto"/>
          <w:sz w:val="24"/>
          <w:szCs w:val="24"/>
        </w:rPr>
        <w:t>书</w:t>
      </w:r>
      <w:bookmarkEnd w:id="55"/>
    </w:p>
    <w:p>
      <w:pPr>
        <w:pStyle w:val="119"/>
        <w:adjustRightInd w:val="0"/>
        <w:snapToGrid w:val="0"/>
        <w:spacing w:line="360" w:lineRule="auto"/>
        <w:rPr>
          <w:rFonts w:ascii="宋体" w:hAnsi="宋体" w:cs="宋体"/>
          <w:color w:val="auto"/>
          <w:sz w:val="24"/>
          <w:szCs w:val="24"/>
        </w:rPr>
      </w:pPr>
      <w:r>
        <w:rPr>
          <w:rFonts w:hint="eastAsia" w:ascii="宋体" w:hAnsi="宋体" w:cs="宋体"/>
          <w:color w:val="auto"/>
          <w:sz w:val="24"/>
          <w:szCs w:val="24"/>
          <w:u w:val="single"/>
        </w:rPr>
        <w:t>（代理机构名称）</w:t>
      </w:r>
      <w:r>
        <w:rPr>
          <w:rFonts w:hint="eastAsia" w:ascii="宋体" w:hAnsi="宋体" w:cs="宋体"/>
          <w:color w:val="auto"/>
          <w:sz w:val="24"/>
          <w:szCs w:val="24"/>
        </w:rPr>
        <w:t>：</w:t>
      </w:r>
    </w:p>
    <w:p>
      <w:pPr>
        <w:pStyle w:val="119"/>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兹有</w:t>
      </w:r>
      <w:r>
        <w:rPr>
          <w:rFonts w:hint="eastAsia" w:ascii="宋体" w:hAnsi="宋体" w:cs="宋体"/>
          <w:color w:val="auto"/>
          <w:sz w:val="24"/>
          <w:szCs w:val="24"/>
          <w:u w:val="single"/>
        </w:rPr>
        <w:t xml:space="preserve">          </w:t>
      </w:r>
      <w:r>
        <w:rPr>
          <w:rFonts w:hint="eastAsia" w:ascii="宋体" w:hAnsi="宋体" w:cs="宋体"/>
          <w:color w:val="auto"/>
          <w:sz w:val="24"/>
          <w:szCs w:val="24"/>
        </w:rPr>
        <w:t>同志为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公司法定代表人，代表我公司办理一切社会公务事宜，具有法律效力。 </w:t>
      </w:r>
    </w:p>
    <w:p>
      <w:pPr>
        <w:pStyle w:val="119"/>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附法定代表人基本情况： </w:t>
      </w:r>
    </w:p>
    <w:p>
      <w:pPr>
        <w:pStyle w:val="119"/>
        <w:adjustRightInd w:val="0"/>
        <w:snapToGrid w:val="0"/>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hint="eastAsia" w:ascii="宋体" w:hAnsi="宋体" w:cs="宋体"/>
          <w:color w:val="auto"/>
          <w:sz w:val="24"/>
          <w:szCs w:val="24"/>
        </w:rPr>
        <w:t>性别：</w:t>
      </w:r>
      <w:r>
        <w:rPr>
          <w:rFonts w:hint="eastAsia" w:ascii="宋体" w:hAnsi="宋体" w:cs="宋体"/>
          <w:color w:val="auto"/>
          <w:sz w:val="24"/>
          <w:szCs w:val="24"/>
          <w:u w:val="single"/>
        </w:rPr>
        <w:t xml:space="preserve">     </w:t>
      </w:r>
      <w:r>
        <w:rPr>
          <w:rFonts w:hint="eastAsia" w:ascii="宋体" w:hAnsi="宋体" w:cs="宋体"/>
          <w:color w:val="auto"/>
          <w:sz w:val="24"/>
          <w:szCs w:val="24"/>
        </w:rPr>
        <w:t>年龄：</w:t>
      </w:r>
      <w:r>
        <w:rPr>
          <w:rFonts w:hint="eastAsia" w:ascii="宋体" w:hAnsi="宋体" w:cs="宋体"/>
          <w:color w:val="auto"/>
          <w:sz w:val="24"/>
          <w:szCs w:val="24"/>
          <w:u w:val="single"/>
        </w:rPr>
        <w:t xml:space="preserve">     </w:t>
      </w:r>
      <w:r>
        <w:rPr>
          <w:rFonts w:hint="eastAsia" w:ascii="宋体" w:hAnsi="宋体" w:cs="宋体"/>
          <w:color w:val="auto"/>
          <w:sz w:val="24"/>
          <w:szCs w:val="24"/>
        </w:rPr>
        <w:t>职务：</w:t>
      </w:r>
      <w:r>
        <w:rPr>
          <w:rFonts w:hint="eastAsia" w:ascii="宋体" w:hAnsi="宋体" w:cs="宋体"/>
          <w:color w:val="auto"/>
          <w:sz w:val="24"/>
          <w:szCs w:val="24"/>
          <w:u w:val="single"/>
        </w:rPr>
        <w:t xml:space="preserve">         </w:t>
      </w:r>
    </w:p>
    <w:p>
      <w:pPr>
        <w:pStyle w:val="119"/>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p>
    <w:p>
      <w:pPr>
        <w:pStyle w:val="119"/>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通讯地址：</w:t>
      </w:r>
      <w:r>
        <w:rPr>
          <w:rFonts w:hint="eastAsia" w:ascii="宋体" w:hAnsi="宋体" w:cs="宋体"/>
          <w:color w:val="auto"/>
          <w:sz w:val="24"/>
          <w:szCs w:val="24"/>
          <w:u w:val="single"/>
        </w:rPr>
        <w:t xml:space="preserve">                       </w:t>
      </w:r>
    </w:p>
    <w:p>
      <w:pPr>
        <w:pStyle w:val="119"/>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电话号码：</w:t>
      </w:r>
      <w:r>
        <w:rPr>
          <w:rFonts w:hint="eastAsia" w:ascii="宋体" w:hAnsi="宋体" w:cs="宋体"/>
          <w:color w:val="auto"/>
          <w:sz w:val="24"/>
          <w:szCs w:val="24"/>
          <w:u w:val="single"/>
        </w:rPr>
        <w:t xml:space="preserve">                   </w:t>
      </w:r>
      <w:r>
        <w:rPr>
          <w:rFonts w:hint="eastAsia" w:ascii="宋体" w:hAnsi="宋体" w:cs="宋体"/>
          <w:color w:val="auto"/>
          <w:sz w:val="24"/>
          <w:szCs w:val="24"/>
        </w:rPr>
        <w:t>邮政编码：</w:t>
      </w:r>
      <w:r>
        <w:rPr>
          <w:rFonts w:hint="eastAsia" w:ascii="宋体" w:hAnsi="宋体" w:cs="宋体"/>
          <w:color w:val="auto"/>
          <w:sz w:val="24"/>
          <w:szCs w:val="24"/>
          <w:u w:val="single"/>
        </w:rPr>
        <w:t xml:space="preserve">               </w:t>
      </w:r>
    </w:p>
    <w:p>
      <w:pPr>
        <w:pStyle w:val="119"/>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vAlign w:val="center"/>
          </w:tcPr>
          <w:p>
            <w:pPr>
              <w:pStyle w:val="119"/>
              <w:adjustRightInd w:val="0"/>
              <w:snapToGrid w:val="0"/>
              <w:spacing w:line="360" w:lineRule="auto"/>
              <w:jc w:val="center"/>
              <w:rPr>
                <w:rFonts w:ascii="宋体" w:hAnsi="宋体" w:cs="宋体"/>
                <w:color w:val="auto"/>
                <w:sz w:val="24"/>
                <w:szCs w:val="24"/>
              </w:rPr>
            </w:pPr>
            <w:r>
              <w:rPr>
                <w:rFonts w:hint="eastAsia" w:ascii="宋体" w:hAnsi="宋体" w:cs="宋体"/>
                <w:color w:val="auto"/>
                <w:sz w:val="24"/>
                <w:szCs w:val="24"/>
              </w:rPr>
              <w:t>法定代表人《居民身份证》复印件正反面</w:t>
            </w:r>
          </w:p>
        </w:tc>
      </w:tr>
    </w:tbl>
    <w:p>
      <w:pPr>
        <w:pStyle w:val="119"/>
        <w:adjustRightInd w:val="0"/>
        <w:snapToGrid w:val="0"/>
        <w:spacing w:line="500" w:lineRule="exact"/>
        <w:rPr>
          <w:rFonts w:ascii="宋体" w:hAnsi="宋体" w:cs="宋体"/>
          <w:color w:val="auto"/>
          <w:sz w:val="24"/>
          <w:szCs w:val="24"/>
        </w:rPr>
      </w:pPr>
    </w:p>
    <w:p>
      <w:pPr>
        <w:pStyle w:val="119"/>
        <w:tabs>
          <w:tab w:val="left" w:pos="750"/>
        </w:tabs>
        <w:adjustRightInd w:val="0"/>
        <w:snapToGrid w:val="0"/>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19"/>
        <w:tabs>
          <w:tab w:val="left" w:pos="750"/>
        </w:tabs>
        <w:adjustRightInd w:val="0"/>
        <w:snapToGrid w:val="0"/>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19"/>
        <w:tabs>
          <w:tab w:val="left" w:pos="750"/>
        </w:tabs>
        <w:adjustRightInd w:val="0"/>
        <w:snapToGrid w:val="0"/>
        <w:spacing w:line="500" w:lineRule="exact"/>
        <w:rPr>
          <w:rFonts w:ascii="宋体" w:hAnsi="宋体" w:cs="宋体"/>
          <w:color w:val="auto"/>
          <w:sz w:val="24"/>
          <w:szCs w:val="24"/>
        </w:rPr>
      </w:pPr>
    </w:p>
    <w:p>
      <w:pPr>
        <w:pStyle w:val="119"/>
        <w:tabs>
          <w:tab w:val="left" w:pos="750"/>
        </w:tabs>
        <w:adjustRightInd w:val="0"/>
        <w:snapToGrid w:val="0"/>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w:t>
      </w:r>
    </w:p>
    <w:p>
      <w:pPr>
        <w:pStyle w:val="118"/>
        <w:outlineLvl w:val="9"/>
        <w:rPr>
          <w:rFonts w:cs="宋体"/>
          <w:color w:val="auto"/>
        </w:rPr>
      </w:pPr>
      <w:r>
        <w:rPr>
          <w:rFonts w:hint="eastAsia" w:cs="宋体"/>
          <w:color w:val="auto"/>
        </w:rPr>
        <w:t xml:space="preserve"> </w:t>
      </w:r>
      <w:bookmarkStart w:id="56" w:name="_Toc468535483"/>
    </w:p>
    <w:p>
      <w:pPr>
        <w:pStyle w:val="118"/>
        <w:outlineLvl w:val="9"/>
        <w:rPr>
          <w:rFonts w:cs="宋体"/>
          <w:bCs/>
          <w:color w:val="auto"/>
        </w:rPr>
      </w:pPr>
      <w:bookmarkStart w:id="57" w:name="_Toc480368596"/>
      <w:bookmarkStart w:id="58" w:name="_Toc480368654"/>
      <w:bookmarkStart w:id="59" w:name="_Toc480371722"/>
      <w:bookmarkStart w:id="60" w:name="_Toc480368425"/>
      <w:r>
        <w:rPr>
          <w:rFonts w:hint="eastAsia" w:cs="宋体"/>
          <w:b w:val="0"/>
          <w:color w:val="auto"/>
        </w:rPr>
        <w:br w:type="page"/>
      </w:r>
      <w:bookmarkStart w:id="61" w:name="_Toc613"/>
      <w:r>
        <w:rPr>
          <w:rFonts w:hint="eastAsia" w:cs="宋体"/>
          <w:bCs/>
          <w:color w:val="auto"/>
          <w:sz w:val="24"/>
          <w:szCs w:val="24"/>
        </w:rPr>
        <w:t>法定代表人授权委托书</w:t>
      </w:r>
      <w:bookmarkEnd w:id="56"/>
      <w:bookmarkEnd w:id="57"/>
      <w:bookmarkEnd w:id="58"/>
      <w:bookmarkEnd w:id="59"/>
      <w:bookmarkEnd w:id="60"/>
      <w:bookmarkEnd w:id="61"/>
    </w:p>
    <w:p>
      <w:pPr>
        <w:pStyle w:val="119"/>
        <w:spacing w:line="360" w:lineRule="auto"/>
        <w:rPr>
          <w:rFonts w:ascii="宋体" w:hAnsi="宋体" w:cs="宋体"/>
          <w:color w:val="auto"/>
          <w:sz w:val="24"/>
          <w:szCs w:val="24"/>
        </w:rPr>
      </w:pPr>
      <w:r>
        <w:rPr>
          <w:rFonts w:hint="eastAsia" w:ascii="宋体" w:hAnsi="宋体" w:cs="宋体"/>
          <w:color w:val="auto"/>
          <w:sz w:val="24"/>
          <w:szCs w:val="24"/>
          <w:u w:val="single"/>
        </w:rPr>
        <w:t>（代理机构名称）</w:t>
      </w:r>
      <w:r>
        <w:rPr>
          <w:rFonts w:hint="eastAsia" w:ascii="宋体" w:hAnsi="宋体" w:cs="宋体"/>
          <w:color w:val="auto"/>
          <w:sz w:val="24"/>
          <w:szCs w:val="24"/>
        </w:rPr>
        <w:t>：</w:t>
      </w:r>
    </w:p>
    <w:p>
      <w:pPr>
        <w:pStyle w:val="119"/>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rPr>
        <w:t xml:space="preserve">           </w:t>
      </w:r>
      <w:r>
        <w:rPr>
          <w:rFonts w:hint="eastAsia" w:ascii="宋体" w:hAnsi="宋体" w:cs="宋体"/>
          <w:color w:val="auto"/>
          <w:sz w:val="24"/>
          <w:szCs w:val="24"/>
        </w:rPr>
        <w:t>同志为我公司参加贵单位组织的编号为</w:t>
      </w:r>
      <w:r>
        <w:rPr>
          <w:rFonts w:hint="eastAsia" w:ascii="宋体" w:hAnsi="宋体" w:cs="宋体"/>
          <w:color w:val="auto"/>
          <w:sz w:val="24"/>
          <w:szCs w:val="24"/>
          <w:u w:val="single"/>
        </w:rPr>
        <w:t>（项目编号）</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采购活动的委托代理人，全权代表我公司处理在该项目采购活动中的一切事宜。</w:t>
      </w:r>
    </w:p>
    <w:p>
      <w:pPr>
        <w:pStyle w:val="119"/>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代理期限：</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pStyle w:val="119"/>
        <w:spacing w:line="500" w:lineRule="exact"/>
        <w:rPr>
          <w:rFonts w:ascii="宋体" w:hAnsi="宋体" w:cs="宋体"/>
          <w:color w:val="auto"/>
          <w:sz w:val="24"/>
          <w:szCs w:val="24"/>
        </w:rPr>
      </w:pPr>
    </w:p>
    <w:p>
      <w:pPr>
        <w:pStyle w:val="119"/>
        <w:spacing w:line="500" w:lineRule="exact"/>
        <w:rPr>
          <w:rFonts w:ascii="宋体" w:hAnsi="宋体" w:cs="宋体"/>
          <w:color w:val="auto"/>
          <w:sz w:val="24"/>
          <w:szCs w:val="24"/>
        </w:rPr>
      </w:pPr>
      <w:r>
        <w:rPr>
          <w:rFonts w:hint="eastAsia" w:ascii="宋体" w:hAnsi="宋体" w:cs="宋体"/>
          <w:color w:val="auto"/>
          <w:sz w:val="24"/>
          <w:szCs w:val="24"/>
        </w:rPr>
        <w:t>代理人工作单位：</w:t>
      </w:r>
      <w:r>
        <w:rPr>
          <w:rFonts w:hint="eastAsia" w:ascii="宋体" w:hAnsi="宋体" w:cs="宋体"/>
          <w:color w:val="auto"/>
          <w:sz w:val="24"/>
          <w:szCs w:val="24"/>
          <w:u w:val="single"/>
        </w:rPr>
        <w:t xml:space="preserve">                          </w:t>
      </w:r>
    </w:p>
    <w:p>
      <w:pPr>
        <w:pStyle w:val="119"/>
        <w:spacing w:line="500" w:lineRule="exact"/>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性别：</w:t>
      </w:r>
      <w:r>
        <w:rPr>
          <w:rFonts w:hint="eastAsia" w:ascii="宋体" w:hAnsi="宋体" w:cs="宋体"/>
          <w:color w:val="auto"/>
          <w:sz w:val="24"/>
          <w:szCs w:val="24"/>
          <w:u w:val="single"/>
        </w:rPr>
        <w:t xml:space="preserve">      </w:t>
      </w:r>
    </w:p>
    <w:p>
      <w:pPr>
        <w:pStyle w:val="119"/>
        <w:adjustRightInd w:val="0"/>
        <w:snapToGrid w:val="0"/>
        <w:spacing w:line="500" w:lineRule="exact"/>
        <w:rPr>
          <w:rFonts w:ascii="宋体" w:hAnsi="宋体" w:cs="宋体"/>
          <w:color w:val="auto"/>
          <w:sz w:val="24"/>
          <w:szCs w:val="24"/>
          <w:u w:val="single"/>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p>
    <w:p>
      <w:pPr>
        <w:pStyle w:val="119"/>
        <w:adjustRightInd w:val="0"/>
        <w:snapToGrid w:val="0"/>
        <w:spacing w:line="500" w:lineRule="exact"/>
        <w:ind w:left="-88" w:leftChars="-42" w:firstLine="600" w:firstLineChars="250"/>
        <w:rPr>
          <w:rFonts w:ascii="宋体" w:hAnsi="宋体" w:cs="宋体"/>
          <w:color w:val="auto"/>
          <w:sz w:val="24"/>
          <w:szCs w:val="24"/>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7680" w:type="dxa"/>
            <w:tcBorders>
              <w:top w:val="single" w:color="auto" w:sz="4" w:space="0"/>
              <w:left w:val="single" w:color="auto" w:sz="4" w:space="0"/>
              <w:bottom w:val="single" w:color="auto" w:sz="4" w:space="0"/>
              <w:right w:val="single" w:color="auto" w:sz="4" w:space="0"/>
            </w:tcBorders>
            <w:vAlign w:val="center"/>
          </w:tcPr>
          <w:p>
            <w:pPr>
              <w:pStyle w:val="119"/>
              <w:spacing w:line="500" w:lineRule="exact"/>
              <w:jc w:val="center"/>
              <w:rPr>
                <w:rFonts w:ascii="宋体" w:hAnsi="宋体" w:cs="宋体"/>
                <w:color w:val="auto"/>
                <w:sz w:val="24"/>
                <w:szCs w:val="24"/>
              </w:rPr>
            </w:pPr>
            <w:r>
              <w:rPr>
                <w:rFonts w:hint="eastAsia" w:ascii="宋体" w:hAnsi="宋体" w:cs="宋体"/>
                <w:color w:val="auto"/>
                <w:sz w:val="24"/>
                <w:szCs w:val="24"/>
              </w:rPr>
              <w:t>法定代表人《居民身份证》复印件正反面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7680" w:type="dxa"/>
            <w:tcBorders>
              <w:top w:val="single" w:color="auto" w:sz="4" w:space="0"/>
              <w:left w:val="single" w:color="auto" w:sz="4" w:space="0"/>
              <w:bottom w:val="single" w:color="auto" w:sz="4" w:space="0"/>
              <w:right w:val="single" w:color="auto" w:sz="4" w:space="0"/>
            </w:tcBorders>
            <w:vAlign w:val="center"/>
          </w:tcPr>
          <w:p>
            <w:pPr>
              <w:pStyle w:val="119"/>
              <w:spacing w:line="500" w:lineRule="exact"/>
              <w:jc w:val="center"/>
              <w:rPr>
                <w:rFonts w:ascii="宋体" w:hAnsi="宋体" w:cs="宋体"/>
                <w:color w:val="auto"/>
                <w:sz w:val="24"/>
                <w:szCs w:val="24"/>
              </w:rPr>
            </w:pPr>
            <w:r>
              <w:rPr>
                <w:rFonts w:hint="eastAsia" w:ascii="宋体" w:hAnsi="宋体" w:cs="宋体"/>
                <w:color w:val="auto"/>
                <w:sz w:val="24"/>
                <w:szCs w:val="24"/>
              </w:rPr>
              <w:t>被授权人《居民身份证》复印件正反面</w:t>
            </w:r>
          </w:p>
        </w:tc>
      </w:tr>
    </w:tbl>
    <w:p>
      <w:pPr>
        <w:pStyle w:val="68"/>
        <w:tabs>
          <w:tab w:val="left" w:pos="8786"/>
        </w:tabs>
        <w:spacing w:after="0" w:line="360" w:lineRule="auto"/>
        <w:rPr>
          <w:rFonts w:ascii="宋体" w:hAnsi="宋体" w:cs="宋体"/>
          <w:b/>
          <w:color w:val="auto"/>
          <w:sz w:val="24"/>
        </w:rPr>
      </w:pPr>
    </w:p>
    <w:p>
      <w:pPr>
        <w:pStyle w:val="68"/>
        <w:tabs>
          <w:tab w:val="left" w:pos="8786"/>
        </w:tabs>
        <w:spacing w:after="0" w:line="360" w:lineRule="auto"/>
        <w:rPr>
          <w:rFonts w:ascii="宋体" w:hAnsi="宋体" w:cs="宋体"/>
          <w:b/>
          <w:color w:val="auto"/>
          <w:sz w:val="24"/>
        </w:rPr>
      </w:pPr>
    </w:p>
    <w:p>
      <w:pPr>
        <w:pStyle w:val="119"/>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19"/>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19"/>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p>
    <w:p>
      <w:pPr>
        <w:pStyle w:val="119"/>
        <w:spacing w:line="500" w:lineRule="exact"/>
        <w:rPr>
          <w:rFonts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172"/>
        <w:jc w:val="center"/>
        <w:outlineLvl w:val="2"/>
        <w:rPr>
          <w:rFonts w:ascii="宋体" w:hAnsi="宋体" w:eastAsia="宋体" w:cs="宋体"/>
          <w:color w:val="auto"/>
          <w:sz w:val="24"/>
        </w:rPr>
      </w:pPr>
      <w:r>
        <w:rPr>
          <w:rFonts w:hint="eastAsia" w:ascii="宋体" w:hAnsi="宋体" w:eastAsia="宋体" w:cs="宋体"/>
          <w:color w:val="auto"/>
          <w:sz w:val="24"/>
        </w:rPr>
        <w:br w:type="page"/>
      </w:r>
      <w:bookmarkStart w:id="62" w:name="_Toc30613"/>
      <w:r>
        <w:rPr>
          <w:rFonts w:hint="eastAsia" w:ascii="宋体" w:hAnsi="宋体" w:eastAsia="宋体" w:cs="宋体"/>
          <w:color w:val="auto"/>
          <w:sz w:val="24"/>
        </w:rPr>
        <w:t>★开标一览表</w:t>
      </w:r>
      <w:bookmarkEnd w:id="62"/>
    </w:p>
    <w:p>
      <w:pPr>
        <w:pStyle w:val="172"/>
        <w:jc w:val="center"/>
        <w:outlineLvl w:val="2"/>
        <w:rPr>
          <w:rFonts w:ascii="宋体" w:hAnsi="宋体" w:eastAsia="宋体" w:cs="宋体"/>
          <w:color w:val="auto"/>
          <w:sz w:val="24"/>
        </w:rPr>
      </w:pPr>
    </w:p>
    <w:tbl>
      <w:tblPr>
        <w:tblStyle w:val="33"/>
        <w:tblpPr w:leftFromText="180" w:rightFromText="180" w:vertAnchor="text" w:horzAnchor="page" w:tblpX="1657" w:tblpY="4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532" w:type="dxa"/>
            <w:tcBorders>
              <w:bottom w:val="single" w:color="auto" w:sz="4" w:space="0"/>
            </w:tcBorders>
            <w:vAlign w:val="center"/>
          </w:tcPr>
          <w:p>
            <w:pPr>
              <w:pStyle w:val="103"/>
              <w:tabs>
                <w:tab w:val="left" w:pos="1337"/>
              </w:tabs>
              <w:spacing w:line="360" w:lineRule="auto"/>
              <w:rPr>
                <w:rFonts w:ascii="宋体" w:hAnsi="宋体" w:cs="宋体"/>
                <w:color w:val="auto"/>
                <w:sz w:val="24"/>
              </w:rPr>
            </w:pPr>
            <w:r>
              <w:rPr>
                <w:rFonts w:hint="eastAsia" w:ascii="宋体" w:hAnsi="宋体" w:cs="宋体"/>
                <w:bCs/>
                <w:color w:val="auto"/>
                <w:sz w:val="24"/>
              </w:rPr>
              <w:t>项目名称</w:t>
            </w:r>
          </w:p>
        </w:tc>
        <w:tc>
          <w:tcPr>
            <w:tcW w:w="7387" w:type="dxa"/>
            <w:tcBorders>
              <w:bottom w:val="single" w:color="auto" w:sz="4" w:space="0"/>
            </w:tcBorders>
            <w:vAlign w:val="center"/>
          </w:tcPr>
          <w:p>
            <w:pPr>
              <w:pStyle w:val="103"/>
              <w:tabs>
                <w:tab w:val="left" w:pos="1337"/>
              </w:tabs>
              <w:spacing w:line="360" w:lineRule="auto"/>
              <w:rPr>
                <w:rFonts w:ascii="宋体" w:hAnsi="宋体" w:cs="宋体"/>
                <w:bCs/>
                <w:color w:val="auto"/>
                <w:sz w:val="24"/>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1532" w:type="dxa"/>
            <w:tcBorders>
              <w:bottom w:val="single" w:color="auto" w:sz="4" w:space="0"/>
            </w:tcBorders>
            <w:vAlign w:val="center"/>
          </w:tcPr>
          <w:p>
            <w:pPr>
              <w:pStyle w:val="103"/>
              <w:tabs>
                <w:tab w:val="left" w:pos="1337"/>
              </w:tabs>
              <w:spacing w:line="360" w:lineRule="auto"/>
              <w:rPr>
                <w:rFonts w:ascii="宋体" w:hAnsi="宋体" w:cs="宋体"/>
                <w:bCs/>
                <w:color w:val="auto"/>
                <w:sz w:val="24"/>
              </w:rPr>
            </w:pPr>
            <w:r>
              <w:rPr>
                <w:rFonts w:hint="eastAsia" w:ascii="宋体" w:hAnsi="宋体" w:cs="宋体"/>
                <w:bCs/>
                <w:color w:val="auto"/>
                <w:sz w:val="24"/>
              </w:rPr>
              <w:t>项目编号</w:t>
            </w:r>
          </w:p>
        </w:tc>
        <w:tc>
          <w:tcPr>
            <w:tcW w:w="7387" w:type="dxa"/>
            <w:tcBorders>
              <w:bottom w:val="single" w:color="auto" w:sz="4" w:space="0"/>
            </w:tcBorders>
            <w:vAlign w:val="center"/>
          </w:tcPr>
          <w:p>
            <w:pPr>
              <w:pStyle w:val="103"/>
              <w:tabs>
                <w:tab w:val="left" w:pos="1337"/>
              </w:tabs>
              <w:spacing w:line="360" w:lineRule="auto"/>
              <w:rPr>
                <w:rFonts w:ascii="宋体" w:hAnsi="宋体" w:cs="宋体"/>
                <w:color w:val="auto"/>
                <w:sz w:val="24"/>
                <w:u w:val="single"/>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2" w:hRule="atLeast"/>
        </w:trPr>
        <w:tc>
          <w:tcPr>
            <w:tcW w:w="1532" w:type="dxa"/>
            <w:vAlign w:val="center"/>
          </w:tcPr>
          <w:p>
            <w:pPr>
              <w:pStyle w:val="103"/>
              <w:tabs>
                <w:tab w:val="left" w:pos="1337"/>
              </w:tabs>
              <w:spacing w:line="360" w:lineRule="auto"/>
              <w:jc w:val="center"/>
              <w:rPr>
                <w:rFonts w:ascii="宋体" w:hAnsi="宋体" w:cs="宋体"/>
                <w:color w:val="auto"/>
                <w:sz w:val="24"/>
              </w:rPr>
            </w:pPr>
            <w:r>
              <w:rPr>
                <w:rFonts w:hint="eastAsia" w:ascii="宋体" w:hAnsi="宋体" w:cs="宋体"/>
                <w:bCs/>
                <w:color w:val="auto"/>
                <w:sz w:val="24"/>
              </w:rPr>
              <w:t>投标总价</w:t>
            </w:r>
          </w:p>
        </w:tc>
        <w:tc>
          <w:tcPr>
            <w:tcW w:w="7387" w:type="dxa"/>
            <w:vAlign w:val="center"/>
          </w:tcPr>
          <w:p>
            <w:pPr>
              <w:pStyle w:val="103"/>
              <w:tabs>
                <w:tab w:val="left" w:pos="1337"/>
              </w:tabs>
              <w:spacing w:line="360" w:lineRule="auto"/>
              <w:rPr>
                <w:rFonts w:ascii="宋体" w:hAnsi="宋体" w:cs="宋体"/>
                <w:bCs/>
                <w:color w:val="auto"/>
                <w:sz w:val="24"/>
              </w:rPr>
            </w:pPr>
          </w:p>
          <w:p>
            <w:pPr>
              <w:pStyle w:val="103"/>
              <w:tabs>
                <w:tab w:val="left" w:pos="1337"/>
              </w:tabs>
              <w:spacing w:line="360" w:lineRule="auto"/>
              <w:rPr>
                <w:rFonts w:ascii="宋体" w:hAnsi="宋体" w:cs="宋体"/>
                <w:bCs/>
                <w:color w:val="auto"/>
                <w:sz w:val="24"/>
              </w:rPr>
            </w:pPr>
            <w:r>
              <w:rPr>
                <w:rFonts w:hint="eastAsia" w:ascii="宋体" w:hAnsi="宋体" w:cs="宋体"/>
                <w:bCs/>
                <w:color w:val="auto"/>
                <w:sz w:val="24"/>
              </w:rPr>
              <w:t>小写：</w:t>
            </w:r>
            <w:r>
              <w:rPr>
                <w:rFonts w:hint="eastAsia" w:ascii="宋体" w:hAnsi="宋体" w:cs="宋体"/>
                <w:bCs/>
                <w:color w:val="auto"/>
                <w:sz w:val="24"/>
                <w:u w:val="single"/>
              </w:rPr>
              <w:t xml:space="preserve">                          </w:t>
            </w:r>
          </w:p>
          <w:p>
            <w:pPr>
              <w:pStyle w:val="103"/>
              <w:tabs>
                <w:tab w:val="left" w:pos="1337"/>
              </w:tabs>
              <w:spacing w:line="360" w:lineRule="auto"/>
              <w:rPr>
                <w:rFonts w:ascii="宋体" w:hAnsi="宋体" w:cs="宋体"/>
                <w:bCs/>
                <w:color w:val="auto"/>
                <w:sz w:val="24"/>
              </w:rPr>
            </w:pPr>
          </w:p>
          <w:p>
            <w:pPr>
              <w:pStyle w:val="103"/>
              <w:tabs>
                <w:tab w:val="left" w:pos="1337"/>
              </w:tabs>
              <w:spacing w:line="360" w:lineRule="auto"/>
              <w:rPr>
                <w:rFonts w:ascii="宋体" w:hAnsi="宋体" w:cs="宋体"/>
                <w:bCs/>
                <w:color w:val="auto"/>
                <w:sz w:val="24"/>
              </w:rPr>
            </w:pPr>
            <w:r>
              <w:rPr>
                <w:rFonts w:hint="eastAsia" w:ascii="宋体" w:hAnsi="宋体" w:cs="宋体"/>
                <w:bCs/>
                <w:color w:val="auto"/>
                <w:sz w:val="24"/>
              </w:rPr>
              <w:t>大写：</w:t>
            </w:r>
            <w:r>
              <w:rPr>
                <w:rFonts w:hint="eastAsia" w:ascii="宋体" w:hAnsi="宋体" w:cs="宋体"/>
                <w:bCs/>
                <w:color w:val="auto"/>
                <w:sz w:val="24"/>
                <w:u w:val="single"/>
              </w:rPr>
              <w:t xml:space="preserve">                          </w:t>
            </w:r>
          </w:p>
          <w:p>
            <w:pPr>
              <w:pStyle w:val="103"/>
              <w:tabs>
                <w:tab w:val="left" w:pos="1337"/>
              </w:tabs>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532" w:type="dxa"/>
            <w:vAlign w:val="center"/>
          </w:tcPr>
          <w:p>
            <w:pPr>
              <w:pStyle w:val="103"/>
              <w:tabs>
                <w:tab w:val="left" w:pos="1337"/>
              </w:tabs>
              <w:spacing w:line="360" w:lineRule="auto"/>
              <w:jc w:val="center"/>
              <w:rPr>
                <w:rFonts w:hint="eastAsia" w:ascii="宋体" w:hAnsi="宋体" w:eastAsia="宋体" w:cs="宋体"/>
                <w:color w:val="auto"/>
                <w:sz w:val="24"/>
                <w:lang w:eastAsia="zh-CN"/>
              </w:rPr>
            </w:pPr>
            <w:r>
              <w:rPr>
                <w:rFonts w:hint="eastAsia" w:ascii="宋体" w:hAnsi="宋体" w:cs="宋体"/>
                <w:bCs/>
                <w:color w:val="auto"/>
                <w:sz w:val="24"/>
                <w:lang w:eastAsia="zh-CN"/>
              </w:rPr>
              <w:t>工期</w:t>
            </w:r>
          </w:p>
        </w:tc>
        <w:tc>
          <w:tcPr>
            <w:tcW w:w="7387" w:type="dxa"/>
            <w:vAlign w:val="center"/>
          </w:tcPr>
          <w:p>
            <w:pPr>
              <w:pStyle w:val="103"/>
              <w:tabs>
                <w:tab w:val="left" w:pos="1337"/>
              </w:tabs>
              <w:spacing w:line="360" w:lineRule="auto"/>
              <w:rPr>
                <w:rFonts w:ascii="宋体" w:hAnsi="宋体" w:cs="宋体"/>
                <w:color w:val="auto"/>
                <w:sz w:val="24"/>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532" w:type="dxa"/>
            <w:vAlign w:val="center"/>
          </w:tcPr>
          <w:p>
            <w:pPr>
              <w:pStyle w:val="103"/>
              <w:tabs>
                <w:tab w:val="left" w:pos="1337"/>
              </w:tabs>
              <w:spacing w:line="360" w:lineRule="auto"/>
              <w:jc w:val="center"/>
              <w:rPr>
                <w:rFonts w:ascii="宋体" w:hAnsi="宋体" w:cs="宋体"/>
                <w:bCs/>
                <w:color w:val="auto"/>
                <w:sz w:val="24"/>
              </w:rPr>
            </w:pPr>
            <w:r>
              <w:rPr>
                <w:rFonts w:hint="eastAsia" w:ascii="宋体" w:hAnsi="宋体" w:cs="宋体"/>
                <w:bCs/>
                <w:color w:val="auto"/>
                <w:sz w:val="24"/>
              </w:rPr>
              <w:t>质量标准</w:t>
            </w:r>
          </w:p>
        </w:tc>
        <w:tc>
          <w:tcPr>
            <w:tcW w:w="7387" w:type="dxa"/>
            <w:vAlign w:val="center"/>
          </w:tcPr>
          <w:p>
            <w:pPr>
              <w:pStyle w:val="103"/>
              <w:tabs>
                <w:tab w:val="left" w:pos="1337"/>
              </w:tabs>
              <w:spacing w:line="360" w:lineRule="auto"/>
              <w:rPr>
                <w:rFonts w:ascii="宋体" w:hAnsi="宋体" w:cs="宋体"/>
                <w:color w:val="auto"/>
                <w:sz w:val="24"/>
                <w:u w:val="single"/>
              </w:rPr>
            </w:pPr>
            <w:r>
              <w:rPr>
                <w:rFonts w:hint="eastAsia" w:ascii="宋体" w:hAnsi="宋体" w:cs="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8919" w:type="dxa"/>
            <w:gridSpan w:val="2"/>
            <w:vAlign w:val="center"/>
          </w:tcPr>
          <w:p>
            <w:pPr>
              <w:pStyle w:val="103"/>
              <w:tabs>
                <w:tab w:val="left" w:pos="1337"/>
              </w:tabs>
              <w:spacing w:line="360" w:lineRule="auto"/>
              <w:rPr>
                <w:rFonts w:ascii="宋体" w:hAnsi="宋体" w:cs="宋体"/>
                <w:color w:val="auto"/>
                <w:sz w:val="24"/>
              </w:rPr>
            </w:pPr>
            <w:r>
              <w:rPr>
                <w:rFonts w:hint="eastAsia" w:ascii="宋体" w:hAnsi="宋体" w:cs="宋体"/>
                <w:bCs/>
                <w:color w:val="auto"/>
                <w:sz w:val="24"/>
              </w:rPr>
              <w:t>备注：</w:t>
            </w:r>
            <w:r>
              <w:rPr>
                <w:rFonts w:hint="eastAsia" w:ascii="宋体" w:hAnsi="宋体" w:cs="宋体"/>
                <w:bCs/>
                <w:color w:val="auto"/>
                <w:sz w:val="24"/>
                <w:u w:val="single"/>
              </w:rPr>
              <w:t xml:space="preserve">                                      </w:t>
            </w:r>
          </w:p>
        </w:tc>
      </w:tr>
    </w:tbl>
    <w:p>
      <w:pPr>
        <w:pStyle w:val="102"/>
        <w:spacing w:line="360" w:lineRule="auto"/>
        <w:ind w:left="0" w:leftChars="0" w:firstLine="0" w:firstLineChars="0"/>
        <w:rPr>
          <w:rFonts w:ascii="宋体" w:hAnsi="宋体" w:cs="宋体"/>
          <w:color w:val="auto"/>
        </w:rPr>
      </w:pPr>
    </w:p>
    <w:p>
      <w:pPr>
        <w:pStyle w:val="102"/>
        <w:spacing w:line="360" w:lineRule="auto"/>
        <w:ind w:left="0" w:leftChars="0" w:firstLine="482" w:firstLineChars="200"/>
        <w:rPr>
          <w:rFonts w:ascii="仿宋" w:hAnsi="仿宋" w:eastAsia="仿宋"/>
          <w:b/>
          <w:color w:val="auto"/>
        </w:rPr>
      </w:pPr>
    </w:p>
    <w:p>
      <w:pPr>
        <w:pStyle w:val="103"/>
        <w:spacing w:line="360" w:lineRule="auto"/>
        <w:rPr>
          <w:rFonts w:ascii="宋体" w:hAnsi="宋体" w:cs="宋体"/>
          <w:color w:val="auto"/>
          <w:sz w:val="24"/>
        </w:rPr>
      </w:pPr>
      <w:r>
        <w:rPr>
          <w:rFonts w:hint="eastAsia" w:ascii="宋体" w:hAnsi="宋体" w:cs="宋体"/>
          <w:color w:val="auto"/>
          <w:sz w:val="24"/>
        </w:rPr>
        <w:t>说明：1、供应商严格按照规定的格式填写。投标总价作为评审及定标的依据。</w:t>
      </w:r>
    </w:p>
    <w:p>
      <w:pPr>
        <w:pStyle w:val="103"/>
        <w:spacing w:line="360" w:lineRule="auto"/>
        <w:ind w:firstLine="720" w:firstLineChars="300"/>
        <w:rPr>
          <w:rFonts w:ascii="宋体" w:hAnsi="宋体" w:cs="宋体"/>
          <w:color w:val="auto"/>
          <w:sz w:val="24"/>
        </w:rPr>
      </w:pPr>
      <w:r>
        <w:rPr>
          <w:rFonts w:hint="eastAsia" w:ascii="宋体" w:hAnsi="宋体" w:cs="宋体"/>
          <w:color w:val="auto"/>
          <w:sz w:val="24"/>
        </w:rPr>
        <w:t>2、任何有选择或有条件的投标总价或表中填写多个报价，均将导致投标被拒绝。</w:t>
      </w:r>
    </w:p>
    <w:p>
      <w:pPr>
        <w:pStyle w:val="103"/>
        <w:spacing w:line="360" w:lineRule="auto"/>
        <w:ind w:firstLine="723" w:firstLineChars="300"/>
        <w:rPr>
          <w:rFonts w:ascii="宋体" w:hAnsi="宋体" w:cs="宋体"/>
          <w:b/>
          <w:bCs/>
          <w:color w:val="auto"/>
          <w:sz w:val="24"/>
        </w:rPr>
      </w:pPr>
      <w:r>
        <w:rPr>
          <w:rFonts w:hint="eastAsia" w:ascii="宋体" w:hAnsi="宋体" w:cs="宋体"/>
          <w:b/>
          <w:bCs/>
          <w:color w:val="auto"/>
          <w:sz w:val="24"/>
        </w:rPr>
        <w:t>3、开标一览表除投标文件正副本中提供外，另须单独密封一份，随投标文件一起提交。</w:t>
      </w:r>
    </w:p>
    <w:p>
      <w:pPr>
        <w:pStyle w:val="103"/>
        <w:spacing w:line="360" w:lineRule="auto"/>
        <w:ind w:left="360" w:firstLine="723" w:firstLineChars="300"/>
        <w:rPr>
          <w:rFonts w:ascii="宋体" w:hAnsi="宋体" w:cs="宋体"/>
          <w:b/>
          <w:bCs/>
          <w:color w:val="auto"/>
          <w:sz w:val="24"/>
        </w:rPr>
      </w:pPr>
    </w:p>
    <w:p>
      <w:pPr>
        <w:pStyle w:val="119"/>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（盖章）</w:t>
      </w:r>
    </w:p>
    <w:p>
      <w:pPr>
        <w:pStyle w:val="119"/>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（签字或盖章）</w:t>
      </w:r>
    </w:p>
    <w:p>
      <w:pPr>
        <w:pStyle w:val="119"/>
        <w:tabs>
          <w:tab w:val="left" w:pos="750"/>
        </w:tabs>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p>
    <w:p>
      <w:pPr>
        <w:pStyle w:val="103"/>
        <w:spacing w:line="360" w:lineRule="auto"/>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103"/>
        <w:spacing w:line="360" w:lineRule="auto"/>
        <w:rPr>
          <w:rFonts w:ascii="宋体" w:hAnsi="宋体" w:cs="宋体"/>
          <w:color w:val="auto"/>
          <w:sz w:val="24"/>
        </w:rPr>
      </w:pPr>
    </w:p>
    <w:p>
      <w:pPr>
        <w:pStyle w:val="85"/>
        <w:rPr>
          <w:rFonts w:cs="宋体"/>
          <w:color w:val="auto"/>
        </w:rPr>
      </w:pPr>
      <w:r>
        <w:rPr>
          <w:rFonts w:hint="eastAsia" w:cs="宋体"/>
          <w:color w:val="auto"/>
          <w:sz w:val="24"/>
          <w:szCs w:val="24"/>
        </w:rPr>
        <w:br w:type="page"/>
      </w:r>
      <w:bookmarkStart w:id="63" w:name="_Toc6176"/>
      <w:bookmarkStart w:id="64" w:name="_Toc11982"/>
      <w:r>
        <w:rPr>
          <w:rFonts w:hint="eastAsia" w:cs="宋体"/>
          <w:color w:val="auto"/>
          <w:sz w:val="24"/>
          <w:szCs w:val="24"/>
        </w:rPr>
        <w:t>★分项报价表</w:t>
      </w:r>
      <w:bookmarkEnd w:id="63"/>
    </w:p>
    <w:p>
      <w:pPr>
        <w:pStyle w:val="86"/>
        <w:adjustRightInd w:val="0"/>
        <w:snapToGrid w:val="0"/>
        <w:spacing w:line="500" w:lineRule="exact"/>
        <w:rPr>
          <w:rFonts w:ascii="宋体" w:hAnsi="宋体" w:cs="宋体"/>
          <w:color w:val="auto"/>
          <w:sz w:val="24"/>
          <w:szCs w:val="24"/>
          <w:u w:val="single"/>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p>
    <w:p>
      <w:pPr>
        <w:pStyle w:val="86"/>
        <w:adjustRightInd w:val="0"/>
        <w:snapToGrid w:val="0"/>
        <w:spacing w:line="500" w:lineRule="exact"/>
        <w:rPr>
          <w:rFonts w:ascii="宋体" w:hAnsi="宋体" w:cs="宋体"/>
          <w:color w:val="auto"/>
          <w:sz w:val="24"/>
          <w:szCs w:val="24"/>
          <w:u w:val="single"/>
        </w:rPr>
      </w:pP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p>
    <w:tbl>
      <w:tblPr>
        <w:tblStyle w:val="33"/>
        <w:tblW w:w="93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1"/>
        <w:gridCol w:w="2012"/>
        <w:gridCol w:w="1587"/>
        <w:gridCol w:w="689"/>
        <w:gridCol w:w="776"/>
        <w:gridCol w:w="1397"/>
        <w:gridCol w:w="948"/>
        <w:gridCol w:w="965"/>
        <w:gridCol w:w="6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381" w:type="dxa"/>
            <w:tcBorders>
              <w:top w:val="single" w:color="auto" w:sz="4" w:space="0"/>
              <w:left w:val="single" w:color="auto" w:sz="4"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序号</w:t>
            </w:r>
          </w:p>
        </w:tc>
        <w:tc>
          <w:tcPr>
            <w:tcW w:w="2012" w:type="dxa"/>
            <w:tcBorders>
              <w:top w:val="single" w:color="auto" w:sz="4"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货物名称</w:t>
            </w:r>
          </w:p>
        </w:tc>
        <w:tc>
          <w:tcPr>
            <w:tcW w:w="1587" w:type="dxa"/>
            <w:tcBorders>
              <w:top w:val="single" w:color="auto" w:sz="4"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规格型号</w:t>
            </w:r>
          </w:p>
        </w:tc>
        <w:tc>
          <w:tcPr>
            <w:tcW w:w="689" w:type="dxa"/>
            <w:tcBorders>
              <w:top w:val="single" w:color="auto" w:sz="4"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产地</w:t>
            </w:r>
          </w:p>
        </w:tc>
        <w:tc>
          <w:tcPr>
            <w:tcW w:w="776" w:type="dxa"/>
            <w:tcBorders>
              <w:top w:val="single" w:color="auto" w:sz="4"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单位</w:t>
            </w:r>
          </w:p>
        </w:tc>
        <w:tc>
          <w:tcPr>
            <w:tcW w:w="1397" w:type="dxa"/>
            <w:tcBorders>
              <w:top w:val="single" w:color="auto" w:sz="4"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数量</w:t>
            </w:r>
          </w:p>
        </w:tc>
        <w:tc>
          <w:tcPr>
            <w:tcW w:w="948" w:type="dxa"/>
            <w:tcBorders>
              <w:top w:val="single" w:color="auto" w:sz="4"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单价（元）</w:t>
            </w:r>
          </w:p>
        </w:tc>
        <w:tc>
          <w:tcPr>
            <w:tcW w:w="965" w:type="dxa"/>
            <w:tcBorders>
              <w:top w:val="single" w:color="auto" w:sz="4"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总价（元)</w:t>
            </w:r>
          </w:p>
        </w:tc>
        <w:tc>
          <w:tcPr>
            <w:tcW w:w="600" w:type="dxa"/>
            <w:tcBorders>
              <w:top w:val="single" w:color="auto" w:sz="4"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381" w:type="dxa"/>
            <w:tcBorders>
              <w:top w:val="single" w:color="auto" w:sz="6" w:space="0"/>
              <w:left w:val="single" w:color="auto" w:sz="4"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1</w:t>
            </w:r>
          </w:p>
        </w:tc>
        <w:tc>
          <w:tcPr>
            <w:tcW w:w="2012"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1587"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689"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776"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1397"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948"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965"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c>
          <w:tcPr>
            <w:tcW w:w="600"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81" w:type="dxa"/>
            <w:tcBorders>
              <w:left w:val="single" w:color="auto" w:sz="4"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2</w:t>
            </w:r>
          </w:p>
        </w:tc>
        <w:tc>
          <w:tcPr>
            <w:tcW w:w="2012" w:type="dxa"/>
            <w:tcBorders>
              <w:left w:val="single" w:color="auto" w:sz="6" w:space="0"/>
              <w:bottom w:val="single" w:color="auto" w:sz="6" w:space="0"/>
              <w:right w:val="single" w:color="auto" w:sz="6" w:space="0"/>
            </w:tcBorders>
            <w:vAlign w:val="center"/>
          </w:tcPr>
          <w:p>
            <w:pPr>
              <w:pStyle w:val="86"/>
              <w:adjustRightInd w:val="0"/>
              <w:snapToGrid w:val="0"/>
              <w:rPr>
                <w:rFonts w:ascii="宋体" w:hAnsi="宋体" w:cs="宋体"/>
                <w:color w:val="auto"/>
                <w:sz w:val="24"/>
                <w:szCs w:val="24"/>
              </w:rPr>
            </w:pPr>
          </w:p>
        </w:tc>
        <w:tc>
          <w:tcPr>
            <w:tcW w:w="158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cs="宋体"/>
                <w:color w:val="auto"/>
                <w:sz w:val="24"/>
                <w:szCs w:val="24"/>
              </w:rPr>
            </w:pPr>
          </w:p>
        </w:tc>
        <w:tc>
          <w:tcPr>
            <w:tcW w:w="689"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776"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1397"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948"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965"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c>
          <w:tcPr>
            <w:tcW w:w="600"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81" w:type="dxa"/>
            <w:tcBorders>
              <w:top w:val="single" w:color="auto" w:sz="6" w:space="0"/>
              <w:left w:val="single" w:color="auto" w:sz="4"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3</w:t>
            </w:r>
          </w:p>
        </w:tc>
        <w:tc>
          <w:tcPr>
            <w:tcW w:w="2012"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1587" w:type="dxa"/>
            <w:tcBorders>
              <w:top w:val="single" w:color="auto" w:sz="6" w:space="0"/>
              <w:left w:val="single" w:color="auto" w:sz="6" w:space="0"/>
              <w:bottom w:val="single" w:color="auto" w:sz="6" w:space="0"/>
              <w:right w:val="single" w:color="auto" w:sz="6" w:space="0"/>
            </w:tcBorders>
            <w:vAlign w:val="center"/>
          </w:tcPr>
          <w:p>
            <w:pPr>
              <w:pStyle w:val="103"/>
              <w:tabs>
                <w:tab w:val="left" w:pos="1337"/>
              </w:tabs>
              <w:spacing w:line="360" w:lineRule="auto"/>
              <w:rPr>
                <w:rFonts w:ascii="宋体" w:hAnsi="宋体" w:cs="宋体"/>
                <w:color w:val="auto"/>
                <w:sz w:val="24"/>
              </w:rPr>
            </w:pPr>
          </w:p>
        </w:tc>
        <w:tc>
          <w:tcPr>
            <w:tcW w:w="689"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776"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1397" w:type="dxa"/>
            <w:tcBorders>
              <w:top w:val="single" w:color="auto" w:sz="6" w:space="0"/>
              <w:left w:val="single" w:color="auto" w:sz="6" w:space="0"/>
              <w:bottom w:val="single" w:color="auto" w:sz="6" w:space="0"/>
              <w:right w:val="single" w:color="auto" w:sz="6" w:space="0"/>
            </w:tcBorders>
            <w:vAlign w:val="center"/>
          </w:tcPr>
          <w:p>
            <w:pPr>
              <w:pStyle w:val="86"/>
              <w:tabs>
                <w:tab w:val="left" w:pos="405"/>
                <w:tab w:val="center" w:pos="421"/>
              </w:tabs>
              <w:adjustRightInd w:val="0"/>
              <w:snapToGrid w:val="0"/>
              <w:jc w:val="center"/>
              <w:rPr>
                <w:rFonts w:ascii="宋体" w:hAnsi="宋体" w:cs="宋体"/>
                <w:color w:val="auto"/>
                <w:sz w:val="24"/>
                <w:szCs w:val="24"/>
              </w:rPr>
            </w:pPr>
          </w:p>
        </w:tc>
        <w:tc>
          <w:tcPr>
            <w:tcW w:w="948"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965"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c>
          <w:tcPr>
            <w:tcW w:w="600"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381" w:type="dxa"/>
            <w:tcBorders>
              <w:top w:val="single" w:color="auto" w:sz="6" w:space="0"/>
              <w:left w:val="single" w:color="auto" w:sz="4"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4</w:t>
            </w:r>
          </w:p>
        </w:tc>
        <w:tc>
          <w:tcPr>
            <w:tcW w:w="2012"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rPr>
                <w:rFonts w:ascii="宋体" w:hAnsi="宋体" w:cs="宋体"/>
                <w:color w:val="auto"/>
                <w:sz w:val="24"/>
                <w:szCs w:val="24"/>
              </w:rPr>
            </w:pPr>
          </w:p>
        </w:tc>
        <w:tc>
          <w:tcPr>
            <w:tcW w:w="1587"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689"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776"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1397"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948"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965"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c>
          <w:tcPr>
            <w:tcW w:w="600"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381" w:type="dxa"/>
            <w:tcBorders>
              <w:top w:val="single" w:color="auto" w:sz="6" w:space="0"/>
              <w:left w:val="single" w:color="auto" w:sz="4"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w:t>
            </w:r>
          </w:p>
        </w:tc>
        <w:tc>
          <w:tcPr>
            <w:tcW w:w="2012"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rPr>
                <w:rFonts w:ascii="宋体" w:hAnsi="宋体" w:cs="宋体"/>
                <w:color w:val="auto"/>
                <w:sz w:val="24"/>
                <w:szCs w:val="24"/>
              </w:rPr>
            </w:pPr>
            <w:r>
              <w:rPr>
                <w:rFonts w:hint="eastAsia" w:ascii="宋体" w:hAnsi="宋体" w:cs="宋体"/>
                <w:color w:val="auto"/>
                <w:sz w:val="24"/>
                <w:szCs w:val="24"/>
              </w:rPr>
              <w:t>…</w:t>
            </w:r>
          </w:p>
        </w:tc>
        <w:tc>
          <w:tcPr>
            <w:tcW w:w="1587"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689"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776"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1397"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948" w:type="dxa"/>
            <w:tcBorders>
              <w:top w:val="single" w:color="auto" w:sz="6" w:space="0"/>
              <w:left w:val="single" w:color="auto" w:sz="6"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p>
        </w:tc>
        <w:tc>
          <w:tcPr>
            <w:tcW w:w="965"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c>
          <w:tcPr>
            <w:tcW w:w="600"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6842" w:type="dxa"/>
            <w:gridSpan w:val="6"/>
            <w:tcBorders>
              <w:top w:val="single" w:color="auto" w:sz="6" w:space="0"/>
              <w:left w:val="single" w:color="auto" w:sz="4" w:space="0"/>
              <w:bottom w:val="single" w:color="auto" w:sz="6" w:space="0"/>
              <w:right w:val="single" w:color="auto" w:sz="6"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 xml:space="preserve">总 计：                                                                                 </w:t>
            </w:r>
          </w:p>
        </w:tc>
        <w:tc>
          <w:tcPr>
            <w:tcW w:w="1913" w:type="dxa"/>
            <w:gridSpan w:val="2"/>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r>
              <w:rPr>
                <w:rFonts w:hint="eastAsia" w:ascii="宋体" w:hAnsi="宋体" w:cs="宋体"/>
                <w:color w:val="auto"/>
                <w:sz w:val="24"/>
                <w:szCs w:val="24"/>
              </w:rPr>
              <w:t>¥：</w:t>
            </w:r>
          </w:p>
        </w:tc>
        <w:tc>
          <w:tcPr>
            <w:tcW w:w="600" w:type="dxa"/>
            <w:tcBorders>
              <w:top w:val="single" w:color="auto" w:sz="6" w:space="0"/>
              <w:left w:val="single" w:color="auto" w:sz="6" w:space="0"/>
              <w:bottom w:val="single" w:color="auto" w:sz="6" w:space="0"/>
              <w:right w:val="single" w:color="auto" w:sz="4" w:space="0"/>
            </w:tcBorders>
            <w:vAlign w:val="center"/>
          </w:tcPr>
          <w:p>
            <w:pPr>
              <w:pStyle w:val="86"/>
              <w:adjustRightInd w:val="0"/>
              <w:snapToGrid w:val="0"/>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9355" w:type="dxa"/>
            <w:gridSpan w:val="9"/>
            <w:tcBorders>
              <w:top w:val="single" w:color="auto" w:sz="6" w:space="0"/>
              <w:left w:val="single" w:color="auto" w:sz="4" w:space="0"/>
              <w:bottom w:val="single" w:color="auto" w:sz="4" w:space="0"/>
              <w:right w:val="single" w:color="auto" w:sz="4" w:space="0"/>
            </w:tcBorders>
            <w:vAlign w:val="center"/>
          </w:tcPr>
          <w:p>
            <w:pPr>
              <w:pStyle w:val="86"/>
              <w:adjustRightInd w:val="0"/>
              <w:snapToGrid w:val="0"/>
              <w:jc w:val="left"/>
              <w:rPr>
                <w:rFonts w:hint="eastAsia" w:ascii="宋体" w:hAnsi="宋体" w:eastAsia="宋体" w:cs="宋体"/>
                <w:color w:val="auto"/>
                <w:sz w:val="24"/>
                <w:szCs w:val="24"/>
              </w:rPr>
            </w:pPr>
            <w:r>
              <w:rPr>
                <w:rFonts w:hint="eastAsia" w:ascii="宋体" w:hAnsi="宋体" w:eastAsia="宋体" w:cs="宋体"/>
                <w:b/>
                <w:color w:val="auto"/>
                <w:sz w:val="24"/>
                <w:szCs w:val="21"/>
              </w:rPr>
              <w:t>注：运输、保险费、施工、安装辅材及其它均含在单项报价中</w:t>
            </w:r>
          </w:p>
        </w:tc>
      </w:tr>
    </w:tbl>
    <w:p>
      <w:pPr>
        <w:pStyle w:val="86"/>
        <w:adjustRightInd w:val="0"/>
        <w:snapToGrid w:val="0"/>
        <w:spacing w:line="500" w:lineRule="exact"/>
        <w:jc w:val="left"/>
        <w:rPr>
          <w:rFonts w:ascii="宋体" w:hAnsi="宋体" w:cs="宋体"/>
          <w:color w:val="auto"/>
          <w:sz w:val="24"/>
          <w:szCs w:val="24"/>
        </w:rPr>
      </w:pPr>
      <w:r>
        <w:rPr>
          <w:rFonts w:hint="eastAsia" w:ascii="宋体" w:hAnsi="宋体" w:cs="宋体"/>
          <w:color w:val="auto"/>
          <w:sz w:val="24"/>
          <w:szCs w:val="24"/>
        </w:rPr>
        <w:t>说明：1．所有价格均用人民币表示，单位为元。</w:t>
      </w:r>
    </w:p>
    <w:p>
      <w:pPr>
        <w:pStyle w:val="86"/>
        <w:adjustRightInd w:val="0"/>
        <w:snapToGrid w:val="0"/>
        <w:spacing w:line="500" w:lineRule="exact"/>
        <w:ind w:left="1000" w:leftChars="304" w:hanging="362" w:hangingChars="151"/>
        <w:jc w:val="left"/>
        <w:rPr>
          <w:rFonts w:ascii="宋体" w:hAnsi="宋体" w:cs="宋体"/>
          <w:color w:val="auto"/>
          <w:sz w:val="24"/>
          <w:szCs w:val="24"/>
        </w:rPr>
      </w:pPr>
      <w:r>
        <w:rPr>
          <w:rFonts w:hint="eastAsia" w:ascii="宋体" w:hAnsi="宋体" w:cs="宋体"/>
          <w:color w:val="auto"/>
          <w:sz w:val="24"/>
          <w:szCs w:val="24"/>
        </w:rPr>
        <w:t>2. 分项报价总计价格必须与《报价一览表》报价一致。</w:t>
      </w:r>
    </w:p>
    <w:p>
      <w:pPr>
        <w:pStyle w:val="86"/>
        <w:adjustRightInd w:val="0"/>
        <w:snapToGrid w:val="0"/>
        <w:spacing w:line="500" w:lineRule="exact"/>
        <w:ind w:left="1000" w:leftChars="304" w:hanging="362" w:hangingChars="151"/>
        <w:jc w:val="left"/>
        <w:rPr>
          <w:rFonts w:ascii="宋体" w:hAnsi="宋体" w:cs="宋体"/>
          <w:color w:val="auto"/>
          <w:sz w:val="24"/>
          <w:szCs w:val="24"/>
        </w:rPr>
      </w:pPr>
      <w:r>
        <w:rPr>
          <w:rFonts w:hint="eastAsia" w:ascii="宋体" w:hAnsi="宋体" w:cs="宋体"/>
          <w:color w:val="auto"/>
          <w:sz w:val="24"/>
          <w:szCs w:val="24"/>
        </w:rPr>
        <w:t>3. 如果不提供详细的分项报价表将被视为没有实质性响应</w:t>
      </w:r>
      <w:r>
        <w:rPr>
          <w:rFonts w:hint="eastAsia" w:ascii="宋体" w:hAnsi="宋体" w:cs="宋体"/>
          <w:color w:val="auto"/>
          <w:sz w:val="24"/>
          <w:szCs w:val="24"/>
          <w:lang w:val="en-US" w:eastAsia="zh-CN"/>
        </w:rPr>
        <w:t>招标文件</w:t>
      </w:r>
      <w:r>
        <w:rPr>
          <w:rFonts w:hint="eastAsia" w:ascii="宋体" w:hAnsi="宋体" w:cs="宋体"/>
          <w:color w:val="auto"/>
          <w:sz w:val="24"/>
          <w:szCs w:val="24"/>
        </w:rPr>
        <w:t>。</w:t>
      </w:r>
    </w:p>
    <w:p>
      <w:pPr>
        <w:pStyle w:val="86"/>
        <w:adjustRightInd w:val="0"/>
        <w:snapToGrid w:val="0"/>
        <w:spacing w:line="500" w:lineRule="exact"/>
        <w:ind w:left="1000" w:leftChars="304" w:hanging="362" w:hangingChars="151"/>
        <w:jc w:val="left"/>
        <w:rPr>
          <w:rFonts w:ascii="宋体" w:hAnsi="宋体" w:cs="宋体"/>
          <w:color w:val="auto"/>
          <w:sz w:val="24"/>
          <w:szCs w:val="24"/>
        </w:rPr>
      </w:pPr>
      <w:r>
        <w:rPr>
          <w:rFonts w:hint="eastAsia" w:ascii="宋体" w:hAnsi="宋体" w:cs="宋体"/>
          <w:color w:val="auto"/>
          <w:sz w:val="24"/>
          <w:szCs w:val="24"/>
        </w:rPr>
        <w:t>4．供应商必须按此表格式中的对应栏目内容填写，若需增加栏目，请参照以上格式自行增加。</w:t>
      </w:r>
    </w:p>
    <w:p>
      <w:pPr>
        <w:pStyle w:val="86"/>
        <w:autoSpaceDE w:val="0"/>
        <w:autoSpaceDN w:val="0"/>
        <w:adjustRightInd w:val="0"/>
        <w:spacing w:line="500" w:lineRule="exact"/>
        <w:ind w:firstLine="100" w:firstLineChars="50"/>
        <w:jc w:val="left"/>
        <w:rPr>
          <w:rFonts w:ascii="宋体" w:hAnsi="宋体" w:cs="宋体"/>
          <w:color w:val="auto"/>
          <w:sz w:val="20"/>
          <w:szCs w:val="28"/>
        </w:rPr>
      </w:pPr>
    </w:p>
    <w:p>
      <w:pPr>
        <w:pStyle w:val="86"/>
        <w:autoSpaceDE w:val="0"/>
        <w:autoSpaceDN w:val="0"/>
        <w:adjustRightInd w:val="0"/>
        <w:spacing w:line="500" w:lineRule="exact"/>
        <w:ind w:firstLine="100" w:firstLineChars="50"/>
        <w:jc w:val="left"/>
        <w:rPr>
          <w:rFonts w:ascii="宋体" w:hAnsi="宋体" w:cs="宋体"/>
          <w:color w:val="auto"/>
          <w:sz w:val="20"/>
          <w:szCs w:val="28"/>
        </w:rPr>
      </w:pPr>
    </w:p>
    <w:p>
      <w:pPr>
        <w:pStyle w:val="159"/>
        <w:spacing w:line="360" w:lineRule="auto"/>
        <w:ind w:firstLine="480" w:firstLineChars="200"/>
        <w:jc w:val="both"/>
        <w:rPr>
          <w:rFonts w:ascii="宋体" w:hAnsi="宋体" w:cs="宋体"/>
          <w:color w:val="auto"/>
        </w:rPr>
      </w:pPr>
      <w:r>
        <w:rPr>
          <w:rFonts w:hint="eastAsia" w:ascii="宋体" w:hAnsi="宋体" w:cs="宋体"/>
          <w:color w:val="auto"/>
        </w:rPr>
        <w:t>供应商名称：</w:t>
      </w:r>
      <w:r>
        <w:rPr>
          <w:rFonts w:hint="eastAsia" w:ascii="宋体" w:hAnsi="宋体" w:cs="宋体"/>
          <w:color w:val="auto"/>
          <w:u w:val="single"/>
        </w:rPr>
        <w:t xml:space="preserve">                        </w:t>
      </w:r>
      <w:r>
        <w:rPr>
          <w:rFonts w:hint="eastAsia" w:ascii="宋体" w:hAnsi="宋体" w:cs="宋体"/>
          <w:color w:val="auto"/>
        </w:rPr>
        <w:t>（盖章）</w:t>
      </w:r>
    </w:p>
    <w:p>
      <w:pPr>
        <w:pStyle w:val="159"/>
        <w:spacing w:line="360" w:lineRule="auto"/>
        <w:ind w:firstLine="480" w:firstLineChars="200"/>
        <w:jc w:val="both"/>
        <w:rPr>
          <w:rFonts w:ascii="宋体" w:hAnsi="宋体" w:cs="宋体"/>
          <w:color w:val="auto"/>
          <w:u w:val="single"/>
        </w:rPr>
      </w:pPr>
      <w:r>
        <w:rPr>
          <w:rFonts w:hint="eastAsia" w:ascii="宋体" w:hAnsi="宋体" w:cs="宋体"/>
          <w:color w:val="auto"/>
        </w:rPr>
        <w:t>法定代表人：</w:t>
      </w:r>
      <w:r>
        <w:rPr>
          <w:rFonts w:hint="eastAsia" w:ascii="宋体" w:hAnsi="宋体" w:cs="宋体"/>
          <w:color w:val="auto"/>
          <w:u w:val="single"/>
        </w:rPr>
        <w:t xml:space="preserve">                        </w:t>
      </w:r>
      <w:r>
        <w:rPr>
          <w:rFonts w:hint="eastAsia" w:ascii="宋体" w:hAnsi="宋体" w:cs="宋体"/>
          <w:color w:val="auto"/>
        </w:rPr>
        <w:t>（签字或盖章）</w:t>
      </w:r>
    </w:p>
    <w:p>
      <w:pPr>
        <w:pStyle w:val="159"/>
        <w:spacing w:line="360" w:lineRule="auto"/>
        <w:ind w:firstLine="480" w:firstLineChars="200"/>
        <w:jc w:val="both"/>
        <w:rPr>
          <w:rFonts w:ascii="宋体" w:hAnsi="宋体" w:cs="宋体"/>
          <w:color w:val="auto"/>
        </w:rPr>
      </w:pPr>
      <w:r>
        <w:rPr>
          <w:rFonts w:hint="eastAsia" w:ascii="宋体" w:hAnsi="宋体" w:cs="宋体"/>
          <w:color w:val="auto"/>
        </w:rPr>
        <w:t>委托代理人：</w:t>
      </w:r>
      <w:r>
        <w:rPr>
          <w:rFonts w:hint="eastAsia" w:ascii="宋体" w:hAnsi="宋体" w:cs="宋体"/>
          <w:color w:val="auto"/>
          <w:u w:val="single"/>
        </w:rPr>
        <w:t xml:space="preserve">                        </w:t>
      </w:r>
      <w:r>
        <w:rPr>
          <w:rFonts w:hint="eastAsia" w:ascii="宋体" w:hAnsi="宋体" w:cs="宋体"/>
          <w:color w:val="auto"/>
        </w:rPr>
        <w:t>（签字）</w:t>
      </w:r>
    </w:p>
    <w:p>
      <w:pPr>
        <w:pStyle w:val="158"/>
        <w:spacing w:line="360" w:lineRule="auto"/>
        <w:ind w:firstLine="480" w:firstLineChars="200"/>
        <w:jc w:val="both"/>
        <w:rPr>
          <w:rFonts w:ascii="宋体" w:hAnsi="宋体" w:cs="宋体"/>
          <w:color w:val="auto"/>
          <w:szCs w:val="20"/>
        </w:rPr>
      </w:pPr>
      <w:r>
        <w:rPr>
          <w:rFonts w:hint="eastAsia" w:ascii="宋体" w:hAnsi="宋体" w:cs="宋体"/>
          <w:color w:val="auto"/>
          <w:szCs w:val="20"/>
        </w:rPr>
        <w:t>日期：  年   月   日</w:t>
      </w:r>
    </w:p>
    <w:p>
      <w:pPr>
        <w:pStyle w:val="168"/>
        <w:jc w:val="center"/>
        <w:outlineLvl w:val="2"/>
        <w:rPr>
          <w:rFonts w:ascii="宋体" w:hAnsi="宋体" w:eastAsia="宋体" w:cs="宋体"/>
          <w:color w:val="auto"/>
          <w:sz w:val="24"/>
        </w:rPr>
      </w:pPr>
      <w:r>
        <w:rPr>
          <w:rFonts w:hint="eastAsia" w:ascii="宋体" w:hAnsi="宋体" w:eastAsia="宋体" w:cs="宋体"/>
          <w:color w:val="auto"/>
          <w:sz w:val="24"/>
        </w:rPr>
        <w:br w:type="page"/>
      </w:r>
      <w:r>
        <w:rPr>
          <w:rFonts w:hint="eastAsia" w:ascii="宋体" w:hAnsi="宋体" w:eastAsia="宋体" w:cs="宋体"/>
          <w:color w:val="auto"/>
          <w:sz w:val="24"/>
        </w:rPr>
        <w:t>★资格证明文件</w:t>
      </w:r>
      <w:bookmarkEnd w:id="64"/>
    </w:p>
    <w:p>
      <w:pPr>
        <w:pStyle w:val="168"/>
        <w:jc w:val="center"/>
        <w:outlineLvl w:val="2"/>
        <w:rPr>
          <w:rFonts w:ascii="宋体" w:hAnsi="宋体" w:eastAsia="宋体" w:cs="宋体"/>
          <w:color w:val="auto"/>
          <w:sz w:val="24"/>
        </w:rPr>
      </w:pPr>
    </w:p>
    <w:p>
      <w:pPr>
        <w:pStyle w:val="135"/>
        <w:spacing w:line="360" w:lineRule="auto"/>
        <w:outlineLvl w:val="2"/>
        <w:rPr>
          <w:rFonts w:hint="eastAsia" w:ascii="宋体" w:hAnsi="宋体" w:eastAsia="宋体" w:cs="宋体"/>
          <w:b w:val="0"/>
          <w:bCs/>
          <w:color w:val="auto"/>
          <w:sz w:val="24"/>
        </w:rPr>
      </w:pPr>
      <w:bookmarkStart w:id="65" w:name="_Toc9140"/>
      <w:r>
        <w:rPr>
          <w:rFonts w:hint="eastAsia" w:ascii="宋体" w:hAnsi="宋体" w:eastAsia="宋体" w:cs="宋体"/>
          <w:b w:val="0"/>
          <w:bCs/>
          <w:color w:val="auto"/>
          <w:sz w:val="24"/>
        </w:rPr>
        <w:t>★营业执照、组织机构代码证、税务登记证（或三证合一的营业执照）</w:t>
      </w:r>
      <w:bookmarkEnd w:id="65"/>
    </w:p>
    <w:p>
      <w:pPr>
        <w:pStyle w:val="135"/>
        <w:spacing w:line="360" w:lineRule="auto"/>
        <w:outlineLvl w:val="2"/>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w:t>
      </w:r>
      <w:r>
        <w:rPr>
          <w:rFonts w:hint="eastAsia" w:ascii="宋体" w:hAnsi="宋体" w:eastAsia="宋体" w:cs="宋体"/>
          <w:b w:val="0"/>
          <w:bCs/>
          <w:color w:val="auto"/>
          <w:sz w:val="24"/>
          <w:lang w:val="en-US" w:eastAsia="zh-CN"/>
        </w:rPr>
        <w:t>资质证书</w:t>
      </w:r>
    </w:p>
    <w:p>
      <w:pPr>
        <w:pStyle w:val="170"/>
        <w:spacing w:line="360" w:lineRule="auto"/>
        <w:outlineLvl w:val="2"/>
        <w:rPr>
          <w:rFonts w:hint="eastAsia" w:ascii="宋体" w:hAnsi="宋体" w:eastAsia="宋体" w:cs="宋体"/>
          <w:b w:val="0"/>
          <w:bCs/>
          <w:color w:val="auto"/>
          <w:sz w:val="24"/>
          <w:lang w:eastAsia="zh-CN"/>
        </w:rPr>
      </w:pPr>
      <w:bookmarkStart w:id="66" w:name="_Toc5625"/>
      <w:r>
        <w:rPr>
          <w:rFonts w:hint="eastAsia" w:ascii="宋体" w:hAnsi="宋体" w:eastAsia="宋体" w:cs="宋体"/>
          <w:b w:val="0"/>
          <w:bCs/>
          <w:color w:val="auto"/>
          <w:sz w:val="24"/>
        </w:rPr>
        <w:t>★近三年（2018、2019、2020）</w:t>
      </w:r>
      <w:r>
        <w:rPr>
          <w:rFonts w:hint="eastAsia" w:ascii="宋体" w:hAnsi="宋体" w:eastAsia="宋体" w:cs="宋体"/>
          <w:b w:val="0"/>
          <w:bCs/>
          <w:color w:val="auto"/>
          <w:sz w:val="24"/>
          <w:lang w:val="en-US" w:eastAsia="zh-CN"/>
        </w:rPr>
        <w:t>财务报表</w:t>
      </w:r>
    </w:p>
    <w:p>
      <w:pPr>
        <w:pStyle w:val="170"/>
        <w:spacing w:line="360" w:lineRule="auto"/>
        <w:outlineLvl w:val="2"/>
        <w:rPr>
          <w:rFonts w:ascii="宋体" w:hAnsi="宋体" w:eastAsia="宋体" w:cs="宋体"/>
          <w:b w:val="0"/>
          <w:bCs/>
          <w:color w:val="auto"/>
          <w:sz w:val="24"/>
        </w:rPr>
      </w:pPr>
      <w:r>
        <w:rPr>
          <w:rFonts w:hint="eastAsia" w:ascii="宋体" w:hAnsi="宋体" w:eastAsia="宋体" w:cs="宋体"/>
          <w:b w:val="0"/>
          <w:bCs/>
          <w:color w:val="auto"/>
          <w:sz w:val="24"/>
        </w:rPr>
        <w:t>★</w:t>
      </w:r>
      <w:bookmarkEnd w:id="66"/>
      <w:r>
        <w:rPr>
          <w:rFonts w:hint="eastAsia" w:ascii="宋体" w:hAnsi="宋体" w:eastAsia="宋体" w:cs="宋体"/>
          <w:b w:val="0"/>
          <w:bCs/>
          <w:color w:val="auto"/>
          <w:sz w:val="24"/>
        </w:rPr>
        <w:t>汇款凭证或投标保证金收据（以采购代理公司出具为准）</w:t>
      </w:r>
    </w:p>
    <w:p>
      <w:pPr>
        <w:pStyle w:val="170"/>
        <w:spacing w:line="360" w:lineRule="auto"/>
        <w:outlineLvl w:val="2"/>
        <w:rPr>
          <w:rFonts w:ascii="宋体" w:hAnsi="宋体" w:eastAsia="宋体" w:cs="宋体"/>
          <w:b w:val="0"/>
          <w:bCs/>
          <w:color w:val="auto"/>
          <w:sz w:val="24"/>
        </w:rPr>
      </w:pPr>
      <w:bookmarkStart w:id="67" w:name="_Toc18070"/>
      <w:r>
        <w:rPr>
          <w:rFonts w:hint="eastAsia" w:ascii="宋体" w:hAnsi="宋体" w:eastAsia="宋体" w:cs="宋体"/>
          <w:b w:val="0"/>
          <w:bCs/>
          <w:color w:val="auto"/>
          <w:sz w:val="24"/>
        </w:rPr>
        <w:t>★“信用中国”、“中国政府采购网”网页打印件</w:t>
      </w:r>
      <w:bookmarkEnd w:id="67"/>
    </w:p>
    <w:p>
      <w:pPr>
        <w:pStyle w:val="170"/>
        <w:spacing w:line="360" w:lineRule="auto"/>
        <w:outlineLvl w:val="2"/>
        <w:rPr>
          <w:rFonts w:ascii="宋体" w:hAnsi="宋体" w:eastAsia="宋体" w:cs="宋体"/>
          <w:bCs/>
          <w:color w:val="auto"/>
          <w:sz w:val="24"/>
        </w:rPr>
      </w:pPr>
      <w:r>
        <w:rPr>
          <w:rFonts w:hint="eastAsia" w:ascii="宋体" w:hAnsi="宋体" w:eastAsia="宋体" w:cs="宋体"/>
          <w:bCs/>
          <w:color w:val="auto"/>
          <w:sz w:val="24"/>
        </w:rPr>
        <w:t>供应商认为有必要提供其他材料（如有）</w:t>
      </w:r>
    </w:p>
    <w:p>
      <w:pPr>
        <w:pStyle w:val="170"/>
        <w:spacing w:line="360" w:lineRule="auto"/>
        <w:outlineLvl w:val="2"/>
        <w:rPr>
          <w:rFonts w:ascii="宋体" w:hAnsi="宋体" w:eastAsia="宋体" w:cs="宋体"/>
          <w:bCs/>
          <w:color w:val="auto"/>
          <w:sz w:val="24"/>
        </w:rPr>
      </w:pPr>
    </w:p>
    <w:p>
      <w:pPr>
        <w:pStyle w:val="66"/>
        <w:spacing w:line="360" w:lineRule="auto"/>
        <w:ind w:right="-97"/>
        <w:jc w:val="center"/>
        <w:rPr>
          <w:b/>
          <w:color w:val="auto"/>
          <w:sz w:val="24"/>
        </w:rPr>
      </w:pPr>
      <w:r>
        <w:rPr>
          <w:rFonts w:hint="eastAsia"/>
          <w:b/>
          <w:color w:val="auto"/>
          <w:sz w:val="24"/>
        </w:rPr>
        <w:t>中小企业声明函</w:t>
      </w:r>
    </w:p>
    <w:p>
      <w:pPr>
        <w:pStyle w:val="65"/>
        <w:spacing w:line="360" w:lineRule="auto"/>
        <w:ind w:left="0" w:leftChars="0" w:firstLine="0" w:firstLineChars="0"/>
        <w:rPr>
          <w:rFonts w:ascii="黑体"/>
          <w:bCs/>
          <w:color w:val="auto"/>
          <w:u w:val="single"/>
        </w:rPr>
      </w:pPr>
      <w:r>
        <w:rPr>
          <w:rFonts w:hint="eastAsia"/>
          <w:color w:val="auto"/>
        </w:rPr>
        <w:t>项目编号：</w:t>
      </w:r>
      <w:r>
        <w:rPr>
          <w:rFonts w:hint="eastAsia"/>
          <w:color w:val="auto"/>
          <w:u w:val="single"/>
        </w:rPr>
        <w:t xml:space="preserve">                 </w:t>
      </w:r>
    </w:p>
    <w:p>
      <w:pPr>
        <w:pStyle w:val="66"/>
        <w:spacing w:line="360" w:lineRule="auto"/>
        <w:ind w:firstLine="504" w:firstLineChars="200"/>
        <w:rPr>
          <w:rFonts w:ascii="宋体" w:hAnsi="宋体"/>
          <w:color w:val="auto"/>
          <w:spacing w:val="6"/>
          <w:sz w:val="24"/>
        </w:rPr>
      </w:pPr>
      <w:r>
        <w:rPr>
          <w:rFonts w:hint="eastAsia" w:ascii="宋体" w:hAnsi="宋体"/>
          <w:color w:val="auto"/>
          <w:spacing w:val="6"/>
          <w:sz w:val="24"/>
        </w:rPr>
        <w:t>本公司郑重声明，根据《政府采购促进中小企业发展暂行办法》（财库[2011]181号）的规定，本公司为______（请填写：中型、小型、微型）企业。即，本公司同时满足以下条件：</w:t>
      </w:r>
    </w:p>
    <w:p>
      <w:pPr>
        <w:pStyle w:val="66"/>
        <w:spacing w:line="360" w:lineRule="auto"/>
        <w:ind w:firstLine="504" w:firstLineChars="200"/>
        <w:rPr>
          <w:rFonts w:ascii="宋体" w:hAnsi="宋体"/>
          <w:color w:val="auto"/>
          <w:spacing w:val="6"/>
          <w:sz w:val="24"/>
        </w:rPr>
      </w:pPr>
      <w:r>
        <w:rPr>
          <w:rFonts w:hint="eastAsia" w:ascii="宋体" w:hAnsi="宋体"/>
          <w:color w:val="auto"/>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66"/>
        <w:spacing w:line="360" w:lineRule="auto"/>
        <w:ind w:firstLine="504" w:firstLineChars="200"/>
        <w:rPr>
          <w:rFonts w:ascii="宋体" w:hAnsi="宋体"/>
          <w:color w:val="auto"/>
          <w:spacing w:val="6"/>
          <w:sz w:val="24"/>
        </w:rPr>
      </w:pPr>
      <w:r>
        <w:rPr>
          <w:rFonts w:hint="eastAsia" w:ascii="宋体" w:hAnsi="宋体"/>
          <w:color w:val="auto"/>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66"/>
        <w:spacing w:line="360" w:lineRule="auto"/>
        <w:ind w:firstLine="504" w:firstLineChars="200"/>
        <w:rPr>
          <w:rFonts w:ascii="宋体" w:hAnsi="宋体"/>
          <w:color w:val="auto"/>
          <w:spacing w:val="6"/>
          <w:sz w:val="24"/>
        </w:rPr>
      </w:pPr>
      <w:r>
        <w:rPr>
          <w:rFonts w:hint="eastAsia" w:ascii="宋体" w:hAnsi="宋体"/>
          <w:color w:val="auto"/>
          <w:spacing w:val="6"/>
          <w:sz w:val="24"/>
        </w:rPr>
        <w:t>本公司对上述声明的真实性负责。如有虚假，将依法承担相应责任。</w:t>
      </w:r>
    </w:p>
    <w:p>
      <w:pPr>
        <w:pStyle w:val="66"/>
        <w:spacing w:line="360" w:lineRule="auto"/>
        <w:ind w:firstLine="5040" w:firstLineChars="2100"/>
        <w:rPr>
          <w:color w:val="auto"/>
          <w:sz w:val="24"/>
        </w:rPr>
      </w:pPr>
    </w:p>
    <w:p>
      <w:pPr>
        <w:pStyle w:val="66"/>
        <w:spacing w:line="360" w:lineRule="auto"/>
        <w:ind w:firstLine="5040" w:firstLineChars="2100"/>
        <w:rPr>
          <w:color w:val="auto"/>
          <w:sz w:val="24"/>
        </w:rPr>
      </w:pPr>
      <w:r>
        <w:rPr>
          <w:rFonts w:hint="eastAsia"/>
          <w:color w:val="auto"/>
          <w:sz w:val="24"/>
          <w:lang w:eastAsia="zh-CN"/>
        </w:rPr>
        <w:t>供应商</w:t>
      </w:r>
      <w:r>
        <w:rPr>
          <w:rFonts w:hint="eastAsia"/>
          <w:color w:val="auto"/>
          <w:sz w:val="24"/>
        </w:rPr>
        <w:t>名称（加盖公章）：</w:t>
      </w:r>
    </w:p>
    <w:p>
      <w:pPr>
        <w:pStyle w:val="66"/>
        <w:spacing w:line="360" w:lineRule="auto"/>
        <w:ind w:firstLine="6000" w:firstLineChars="2500"/>
        <w:rPr>
          <w:color w:val="auto"/>
          <w:sz w:val="24"/>
        </w:rPr>
      </w:pPr>
      <w:r>
        <w:rPr>
          <w:rFonts w:hint="eastAsia"/>
          <w:color w:val="auto"/>
          <w:sz w:val="24"/>
        </w:rPr>
        <w:t>年   月   日</w:t>
      </w:r>
    </w:p>
    <w:p>
      <w:pPr>
        <w:pStyle w:val="90"/>
        <w:ind w:right="-88"/>
        <w:jc w:val="left"/>
        <w:rPr>
          <w:rFonts w:hint="eastAsia" w:ascii="宋体" w:hAnsi="宋体" w:cs="宋体"/>
          <w:b/>
          <w:bCs/>
          <w:color w:val="auto"/>
          <w:sz w:val="24"/>
        </w:rPr>
      </w:pPr>
    </w:p>
    <w:p>
      <w:pPr>
        <w:pStyle w:val="90"/>
        <w:ind w:right="-88"/>
        <w:jc w:val="left"/>
        <w:rPr>
          <w:rFonts w:ascii="宋体" w:hAnsi="宋体" w:cs="宋体"/>
          <w:b/>
          <w:bCs/>
          <w:color w:val="auto"/>
          <w:sz w:val="24"/>
        </w:rPr>
      </w:pPr>
      <w:r>
        <w:rPr>
          <w:rFonts w:hint="eastAsia" w:ascii="宋体" w:hAnsi="宋体" w:cs="宋体"/>
          <w:b/>
          <w:bCs/>
          <w:color w:val="auto"/>
          <w:sz w:val="24"/>
        </w:rPr>
        <w:t>注：如</w:t>
      </w:r>
      <w:r>
        <w:rPr>
          <w:rFonts w:hint="eastAsia" w:ascii="宋体" w:hAnsi="宋体" w:cs="宋体"/>
          <w:b/>
          <w:bCs/>
          <w:color w:val="auto"/>
          <w:sz w:val="24"/>
          <w:lang w:eastAsia="zh-CN"/>
        </w:rPr>
        <w:t>供应商</w:t>
      </w:r>
      <w:r>
        <w:rPr>
          <w:rFonts w:hint="eastAsia" w:ascii="宋体" w:hAnsi="宋体" w:cs="宋体"/>
          <w:b/>
          <w:bCs/>
          <w:color w:val="auto"/>
          <w:sz w:val="24"/>
        </w:rPr>
        <w:t>是中小微企业，须提供国家企业信用信息公示系统（http://www.gsxt.gov.cn/index.html）（http://xwqy.gsxt.gov.cn/）网站中查询的小微企业名录网络截图；</w:t>
      </w:r>
      <w:r>
        <w:rPr>
          <w:rFonts w:hint="eastAsia" w:ascii="宋体" w:hAnsi="宋体" w:cs="宋体"/>
          <w:b/>
          <w:bCs/>
          <w:color w:val="auto"/>
          <w:sz w:val="24"/>
          <w:lang w:eastAsia="zh-CN"/>
        </w:rPr>
        <w:t>供应商</w:t>
      </w:r>
      <w:r>
        <w:rPr>
          <w:rFonts w:hint="eastAsia" w:ascii="宋体" w:hAnsi="宋体" w:cs="宋体"/>
          <w:b/>
          <w:bCs/>
          <w:color w:val="auto"/>
          <w:sz w:val="24"/>
        </w:rPr>
        <w:t>为代理商的，其代理产品的制造商也必须为小型、微型企业，需同时提供其国家企业信用信息公示系统网站中查询的小微企业名录网络截图。如未附明确的小微企业名录，将不按小型、微型企业处理。如已附网络截图但有虚假，将按无效标处理。如</w:t>
      </w:r>
      <w:r>
        <w:rPr>
          <w:rFonts w:hint="eastAsia" w:ascii="宋体" w:hAnsi="宋体" w:cs="宋体"/>
          <w:b/>
          <w:bCs/>
          <w:color w:val="auto"/>
          <w:sz w:val="24"/>
          <w:lang w:eastAsia="zh-CN"/>
        </w:rPr>
        <w:t>供应商</w:t>
      </w:r>
      <w:r>
        <w:rPr>
          <w:rFonts w:hint="eastAsia" w:ascii="宋体" w:hAnsi="宋体" w:cs="宋体"/>
          <w:b/>
          <w:bCs/>
          <w:color w:val="auto"/>
          <w:sz w:val="24"/>
        </w:rPr>
        <w:t>不是中小微企业，以上内容请填写“/”。</w:t>
      </w:r>
    </w:p>
    <w:p>
      <w:pPr>
        <w:pStyle w:val="68"/>
        <w:tabs>
          <w:tab w:val="left" w:pos="8786"/>
        </w:tabs>
        <w:spacing w:after="0" w:line="360" w:lineRule="auto"/>
        <w:jc w:val="center"/>
        <w:rPr>
          <w:rFonts w:ascii="宋体" w:hAnsi="宋体" w:cs="宋体"/>
          <w:color w:val="auto"/>
          <w:sz w:val="24"/>
        </w:rPr>
      </w:pPr>
      <w:r>
        <w:rPr>
          <w:rFonts w:hint="eastAsia" w:ascii="宋体" w:hAnsi="宋体" w:cs="宋体"/>
          <w:color w:val="auto"/>
          <w:sz w:val="24"/>
        </w:rPr>
        <w:br w:type="page"/>
      </w:r>
      <w:r>
        <w:rPr>
          <w:rFonts w:hint="eastAsia" w:ascii="宋体" w:hAnsi="宋体" w:cs="宋体"/>
          <w:b/>
          <w:color w:val="auto"/>
          <w:sz w:val="24"/>
        </w:rPr>
        <w:t>★</w:t>
      </w:r>
      <w:r>
        <w:rPr>
          <w:rFonts w:hint="eastAsia" w:ascii="宋体" w:hAnsi="宋体" w:cs="宋体"/>
          <w:b/>
          <w:color w:val="auto"/>
          <w:sz w:val="24"/>
          <w:lang w:val="en-US" w:eastAsia="zh-CN"/>
        </w:rPr>
        <w:t>近三年（2019年至今）相关类似业绩</w:t>
      </w:r>
    </w:p>
    <w:p>
      <w:pPr>
        <w:pStyle w:val="106"/>
        <w:adjustRightInd w:val="0"/>
        <w:snapToGrid w:val="0"/>
        <w:spacing w:line="500" w:lineRule="exact"/>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pStyle w:val="106"/>
        <w:adjustRightInd w:val="0"/>
        <w:snapToGrid w:val="0"/>
        <w:spacing w:line="500" w:lineRule="exact"/>
        <w:rPr>
          <w:rFonts w:ascii="宋体" w:hAnsi="宋体" w:cs="宋体"/>
          <w:color w:val="auto"/>
          <w:sz w:val="24"/>
          <w:szCs w:val="24"/>
          <w:u w:val="single"/>
        </w:rPr>
      </w:pP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p>
    <w:p>
      <w:pPr>
        <w:pStyle w:val="106"/>
        <w:adjustRightInd w:val="0"/>
        <w:snapToGrid w:val="0"/>
        <w:spacing w:line="500" w:lineRule="exact"/>
        <w:rPr>
          <w:rFonts w:ascii="宋体" w:hAnsi="宋体" w:cs="宋体"/>
          <w:color w:val="auto"/>
          <w:sz w:val="24"/>
          <w:szCs w:val="24"/>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08" w:type="dxa"/>
            <w:vAlign w:val="center"/>
          </w:tcPr>
          <w:p>
            <w:pPr>
              <w:pStyle w:val="106"/>
              <w:jc w:val="center"/>
              <w:rPr>
                <w:rFonts w:ascii="宋体" w:hAnsi="宋体" w:cs="宋体"/>
                <w:color w:val="auto"/>
                <w:sz w:val="24"/>
                <w:szCs w:val="24"/>
              </w:rPr>
            </w:pPr>
            <w:r>
              <w:rPr>
                <w:rFonts w:hint="eastAsia" w:ascii="宋体" w:hAnsi="宋体" w:cs="宋体"/>
                <w:color w:val="auto"/>
                <w:sz w:val="24"/>
                <w:szCs w:val="24"/>
              </w:rPr>
              <w:t>项目名称</w:t>
            </w:r>
          </w:p>
        </w:tc>
        <w:tc>
          <w:tcPr>
            <w:tcW w:w="7200" w:type="dxa"/>
          </w:tcPr>
          <w:p>
            <w:pPr>
              <w:pStyle w:val="106"/>
              <w:tabs>
                <w:tab w:val="left" w:pos="2265"/>
              </w:tabs>
              <w:rPr>
                <w:rFonts w:ascii="宋体" w:hAnsi="宋体" w:cs="宋体"/>
                <w:color w:val="auto"/>
                <w:sz w:val="24"/>
                <w:szCs w:val="24"/>
              </w:rPr>
            </w:pPr>
            <w:r>
              <w:rPr>
                <w:rFonts w:hint="eastAsia" w:ascii="宋体" w:hAnsi="宋体" w:cs="宋体"/>
                <w:color w:val="auto"/>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08" w:type="dxa"/>
            <w:vAlign w:val="center"/>
          </w:tcPr>
          <w:p>
            <w:pPr>
              <w:pStyle w:val="106"/>
              <w:jc w:val="center"/>
              <w:rPr>
                <w:rFonts w:ascii="宋体" w:hAnsi="宋体" w:cs="宋体"/>
                <w:color w:val="auto"/>
                <w:sz w:val="24"/>
                <w:szCs w:val="24"/>
              </w:rPr>
            </w:pPr>
            <w:r>
              <w:rPr>
                <w:rFonts w:hint="eastAsia" w:ascii="宋体" w:hAnsi="宋体" w:cs="宋体"/>
                <w:color w:val="auto"/>
                <w:sz w:val="24"/>
                <w:szCs w:val="24"/>
              </w:rPr>
              <w:t>项目单位名称</w:t>
            </w:r>
          </w:p>
        </w:tc>
        <w:tc>
          <w:tcPr>
            <w:tcW w:w="7200" w:type="dxa"/>
          </w:tcPr>
          <w:p>
            <w:pPr>
              <w:pStyle w:val="106"/>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08" w:type="dxa"/>
            <w:vAlign w:val="center"/>
          </w:tcPr>
          <w:p>
            <w:pPr>
              <w:pStyle w:val="106"/>
              <w:jc w:val="center"/>
              <w:rPr>
                <w:rFonts w:ascii="宋体" w:hAnsi="宋体" w:cs="宋体"/>
                <w:color w:val="auto"/>
                <w:sz w:val="24"/>
                <w:szCs w:val="24"/>
              </w:rPr>
            </w:pPr>
            <w:r>
              <w:rPr>
                <w:rFonts w:hint="eastAsia" w:ascii="宋体" w:hAnsi="宋体" w:cs="宋体"/>
                <w:color w:val="auto"/>
                <w:sz w:val="24"/>
                <w:szCs w:val="24"/>
              </w:rPr>
              <w:t>项目单位联系人姓名及联系方式</w:t>
            </w:r>
          </w:p>
        </w:tc>
        <w:tc>
          <w:tcPr>
            <w:tcW w:w="7200" w:type="dxa"/>
          </w:tcPr>
          <w:p>
            <w:pPr>
              <w:pStyle w:val="106"/>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08" w:type="dxa"/>
            <w:vAlign w:val="center"/>
          </w:tcPr>
          <w:p>
            <w:pPr>
              <w:pStyle w:val="106"/>
              <w:jc w:val="center"/>
              <w:rPr>
                <w:rFonts w:ascii="宋体" w:hAnsi="宋体" w:cs="宋体"/>
                <w:color w:val="auto"/>
                <w:sz w:val="24"/>
                <w:szCs w:val="24"/>
              </w:rPr>
            </w:pPr>
            <w:r>
              <w:rPr>
                <w:rFonts w:hint="eastAsia" w:ascii="宋体" w:hAnsi="宋体" w:cs="宋体"/>
                <w:color w:val="auto"/>
                <w:sz w:val="24"/>
                <w:szCs w:val="24"/>
              </w:rPr>
              <w:t>合同金额</w:t>
            </w:r>
          </w:p>
        </w:tc>
        <w:tc>
          <w:tcPr>
            <w:tcW w:w="7200" w:type="dxa"/>
          </w:tcPr>
          <w:p>
            <w:pPr>
              <w:pStyle w:val="106"/>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08" w:type="dxa"/>
            <w:vAlign w:val="center"/>
          </w:tcPr>
          <w:p>
            <w:pPr>
              <w:pStyle w:val="106"/>
              <w:jc w:val="center"/>
              <w:rPr>
                <w:rFonts w:ascii="宋体" w:hAnsi="宋体" w:cs="宋体"/>
                <w:color w:val="auto"/>
                <w:sz w:val="24"/>
                <w:szCs w:val="24"/>
              </w:rPr>
            </w:pPr>
            <w:r>
              <w:rPr>
                <w:rFonts w:hint="eastAsia" w:ascii="宋体" w:hAnsi="宋体" w:cs="宋体"/>
                <w:color w:val="auto"/>
                <w:sz w:val="24"/>
                <w:szCs w:val="24"/>
              </w:rPr>
              <w:t>项目负责人</w:t>
            </w:r>
          </w:p>
          <w:p>
            <w:pPr>
              <w:pStyle w:val="106"/>
              <w:jc w:val="center"/>
              <w:rPr>
                <w:rFonts w:ascii="宋体" w:hAnsi="宋体" w:cs="宋体"/>
                <w:color w:val="auto"/>
                <w:sz w:val="24"/>
                <w:szCs w:val="24"/>
              </w:rPr>
            </w:pPr>
            <w:r>
              <w:rPr>
                <w:rFonts w:hint="eastAsia" w:ascii="宋体" w:hAnsi="宋体" w:cs="宋体"/>
                <w:color w:val="auto"/>
                <w:sz w:val="24"/>
                <w:szCs w:val="24"/>
              </w:rPr>
              <w:t>姓名</w:t>
            </w:r>
          </w:p>
        </w:tc>
        <w:tc>
          <w:tcPr>
            <w:tcW w:w="7200" w:type="dxa"/>
          </w:tcPr>
          <w:p>
            <w:pPr>
              <w:pStyle w:val="106"/>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08" w:type="dxa"/>
            <w:vAlign w:val="center"/>
          </w:tcPr>
          <w:p>
            <w:pPr>
              <w:pStyle w:val="106"/>
              <w:jc w:val="center"/>
              <w:rPr>
                <w:rFonts w:ascii="宋体" w:hAnsi="宋体" w:cs="宋体"/>
                <w:color w:val="auto"/>
                <w:sz w:val="24"/>
                <w:szCs w:val="24"/>
              </w:rPr>
            </w:pPr>
            <w:r>
              <w:rPr>
                <w:rFonts w:hint="eastAsia" w:ascii="宋体" w:hAnsi="宋体" w:cs="宋体"/>
                <w:color w:val="auto"/>
                <w:sz w:val="24"/>
                <w:szCs w:val="24"/>
              </w:rPr>
              <w:t>项目实施时间</w:t>
            </w:r>
          </w:p>
        </w:tc>
        <w:tc>
          <w:tcPr>
            <w:tcW w:w="7200" w:type="dxa"/>
          </w:tcPr>
          <w:p>
            <w:pPr>
              <w:pStyle w:val="106"/>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pPr>
              <w:pStyle w:val="106"/>
              <w:jc w:val="center"/>
              <w:rPr>
                <w:rFonts w:ascii="宋体" w:hAnsi="宋体" w:cs="宋体"/>
                <w:color w:val="auto"/>
                <w:sz w:val="24"/>
                <w:szCs w:val="24"/>
              </w:rPr>
            </w:pPr>
            <w:r>
              <w:rPr>
                <w:rFonts w:hint="eastAsia" w:ascii="宋体" w:hAnsi="宋体" w:cs="宋体"/>
                <w:color w:val="auto"/>
                <w:sz w:val="24"/>
                <w:szCs w:val="24"/>
              </w:rPr>
              <w:t>项目内容说明</w:t>
            </w:r>
          </w:p>
        </w:tc>
        <w:tc>
          <w:tcPr>
            <w:tcW w:w="7200" w:type="dxa"/>
          </w:tcPr>
          <w:p>
            <w:pPr>
              <w:pStyle w:val="106"/>
              <w:jc w:val="center"/>
              <w:rPr>
                <w:rFonts w:ascii="宋体" w:hAnsi="宋体" w:cs="宋体"/>
                <w:color w:val="auto"/>
                <w:sz w:val="24"/>
                <w:szCs w:val="24"/>
              </w:rPr>
            </w:pPr>
          </w:p>
        </w:tc>
      </w:tr>
    </w:tbl>
    <w:p>
      <w:pPr>
        <w:pStyle w:val="106"/>
        <w:autoSpaceDE w:val="0"/>
        <w:autoSpaceDN w:val="0"/>
        <w:spacing w:line="360" w:lineRule="auto"/>
        <w:rPr>
          <w:rFonts w:ascii="宋体" w:hAnsi="宋体" w:cs="宋体"/>
          <w:color w:val="auto"/>
          <w:sz w:val="24"/>
          <w:szCs w:val="24"/>
        </w:rPr>
      </w:pPr>
      <w:r>
        <w:rPr>
          <w:rFonts w:hint="eastAsia" w:ascii="宋体" w:hAnsi="宋体" w:cs="宋体"/>
          <w:color w:val="auto"/>
          <w:sz w:val="24"/>
          <w:szCs w:val="24"/>
        </w:rPr>
        <w:t>说明：1．每个项目须单独附表，并附上相关证明材料，否则专家在评审时将不予采信；</w:t>
      </w:r>
    </w:p>
    <w:p>
      <w:pPr>
        <w:pStyle w:val="106"/>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2．项目内容请详细说明所承担的具体工作内容；</w:t>
      </w:r>
    </w:p>
    <w:p>
      <w:pPr>
        <w:pStyle w:val="106"/>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3．本表后附中标通知书或合同扫描件（</w:t>
      </w:r>
      <w:r>
        <w:rPr>
          <w:rFonts w:hint="eastAsia" w:ascii="宋体" w:hAnsi="宋体" w:cs="宋体"/>
          <w:bCs/>
          <w:color w:val="auto"/>
          <w:sz w:val="24"/>
          <w:szCs w:val="24"/>
        </w:rPr>
        <w:t>注：合同扫描件提供首页，金额页及签署页即可。</w:t>
      </w:r>
      <w:r>
        <w:rPr>
          <w:rFonts w:hint="eastAsia" w:ascii="宋体" w:hAnsi="宋体" w:cs="宋体"/>
          <w:color w:val="auto"/>
          <w:sz w:val="24"/>
          <w:szCs w:val="24"/>
        </w:rPr>
        <w:t>）。</w:t>
      </w:r>
    </w:p>
    <w:p>
      <w:pPr>
        <w:pStyle w:val="106"/>
        <w:adjustRightInd w:val="0"/>
        <w:snapToGrid w:val="0"/>
        <w:spacing w:line="500" w:lineRule="exact"/>
        <w:rPr>
          <w:rFonts w:ascii="宋体" w:hAnsi="宋体" w:cs="宋体"/>
          <w:color w:val="auto"/>
          <w:sz w:val="24"/>
          <w:szCs w:val="24"/>
        </w:rPr>
      </w:pPr>
    </w:p>
    <w:p>
      <w:pPr>
        <w:pStyle w:val="159"/>
        <w:spacing w:line="360" w:lineRule="auto"/>
        <w:ind w:firstLine="480" w:firstLineChars="200"/>
        <w:jc w:val="both"/>
        <w:rPr>
          <w:rFonts w:ascii="宋体" w:hAnsi="宋体" w:cs="宋体"/>
          <w:color w:val="auto"/>
        </w:rPr>
      </w:pPr>
      <w:r>
        <w:rPr>
          <w:rFonts w:hint="eastAsia" w:ascii="宋体" w:hAnsi="宋体" w:cs="宋体"/>
          <w:color w:val="auto"/>
        </w:rPr>
        <w:t>供应商名称：</w:t>
      </w:r>
      <w:r>
        <w:rPr>
          <w:rFonts w:hint="eastAsia" w:ascii="宋体" w:hAnsi="宋体" w:cs="宋体"/>
          <w:color w:val="auto"/>
          <w:u w:val="single"/>
        </w:rPr>
        <w:t xml:space="preserve">                        </w:t>
      </w:r>
      <w:r>
        <w:rPr>
          <w:rFonts w:hint="eastAsia" w:ascii="宋体" w:hAnsi="宋体" w:cs="宋体"/>
          <w:color w:val="auto"/>
        </w:rPr>
        <w:t>（盖章）</w:t>
      </w:r>
    </w:p>
    <w:p>
      <w:pPr>
        <w:pStyle w:val="159"/>
        <w:spacing w:line="360" w:lineRule="auto"/>
        <w:ind w:firstLine="480" w:firstLineChars="200"/>
        <w:jc w:val="both"/>
        <w:rPr>
          <w:rFonts w:ascii="宋体" w:hAnsi="宋体" w:cs="宋体"/>
          <w:color w:val="auto"/>
          <w:u w:val="single"/>
        </w:rPr>
      </w:pPr>
      <w:r>
        <w:rPr>
          <w:rFonts w:hint="eastAsia" w:ascii="宋体" w:hAnsi="宋体" w:cs="宋体"/>
          <w:color w:val="auto"/>
        </w:rPr>
        <w:t>法定代表人：</w:t>
      </w:r>
      <w:r>
        <w:rPr>
          <w:rFonts w:hint="eastAsia" w:ascii="宋体" w:hAnsi="宋体" w:cs="宋体"/>
          <w:color w:val="auto"/>
          <w:u w:val="single"/>
        </w:rPr>
        <w:t xml:space="preserve">                        </w:t>
      </w:r>
      <w:r>
        <w:rPr>
          <w:rFonts w:hint="eastAsia" w:ascii="宋体" w:hAnsi="宋体" w:cs="宋体"/>
          <w:color w:val="auto"/>
        </w:rPr>
        <w:t>（签字或盖章）</w:t>
      </w:r>
    </w:p>
    <w:p>
      <w:pPr>
        <w:pStyle w:val="159"/>
        <w:spacing w:line="360" w:lineRule="auto"/>
        <w:ind w:firstLine="480" w:firstLineChars="200"/>
        <w:jc w:val="both"/>
        <w:rPr>
          <w:rFonts w:ascii="宋体" w:hAnsi="宋体" w:cs="宋体"/>
          <w:color w:val="auto"/>
        </w:rPr>
      </w:pPr>
      <w:r>
        <w:rPr>
          <w:rFonts w:hint="eastAsia" w:ascii="宋体" w:hAnsi="宋体" w:cs="宋体"/>
          <w:color w:val="auto"/>
        </w:rPr>
        <w:t>委托代理人：</w:t>
      </w:r>
      <w:r>
        <w:rPr>
          <w:rFonts w:hint="eastAsia" w:ascii="宋体" w:hAnsi="宋体" w:cs="宋体"/>
          <w:color w:val="auto"/>
          <w:u w:val="single"/>
        </w:rPr>
        <w:t xml:space="preserve">                        </w:t>
      </w:r>
      <w:r>
        <w:rPr>
          <w:rFonts w:hint="eastAsia" w:ascii="宋体" w:hAnsi="宋体" w:cs="宋体"/>
          <w:color w:val="auto"/>
        </w:rPr>
        <w:t>（签字）</w:t>
      </w:r>
    </w:p>
    <w:p>
      <w:pPr>
        <w:pStyle w:val="158"/>
        <w:spacing w:line="360" w:lineRule="auto"/>
        <w:ind w:firstLine="480" w:firstLineChars="200"/>
        <w:jc w:val="both"/>
        <w:rPr>
          <w:rFonts w:ascii="宋体" w:hAnsi="宋体" w:cs="宋体"/>
          <w:color w:val="auto"/>
          <w:szCs w:val="20"/>
        </w:rPr>
      </w:pPr>
      <w:r>
        <w:rPr>
          <w:rFonts w:hint="eastAsia" w:ascii="宋体" w:hAnsi="宋体" w:cs="宋体"/>
          <w:color w:val="auto"/>
          <w:szCs w:val="20"/>
        </w:rPr>
        <w:t>日期：  年   月   日</w:t>
      </w:r>
    </w:p>
    <w:p>
      <w:pPr>
        <w:pStyle w:val="129"/>
        <w:jc w:val="center"/>
        <w:outlineLvl w:val="1"/>
        <w:rPr>
          <w:rFonts w:ascii="宋体" w:hAnsi="宋体" w:eastAsia="宋体" w:cs="宋体"/>
          <w:color w:val="auto"/>
          <w:sz w:val="24"/>
        </w:rPr>
      </w:pPr>
      <w:r>
        <w:rPr>
          <w:rFonts w:hint="eastAsia" w:ascii="宋体" w:hAnsi="宋体" w:eastAsia="宋体" w:cs="宋体"/>
          <w:color w:val="auto"/>
          <w:sz w:val="24"/>
        </w:rPr>
        <w:br w:type="page"/>
      </w:r>
      <w:bookmarkStart w:id="68" w:name="_Toc16745"/>
      <w:r>
        <w:rPr>
          <w:rFonts w:hint="eastAsia" w:ascii="宋体" w:hAnsi="宋体" w:eastAsia="宋体" w:cs="宋体"/>
          <w:color w:val="auto"/>
          <w:sz w:val="24"/>
        </w:rPr>
        <w:t>★主要人员配备表</w:t>
      </w:r>
      <w:bookmarkEnd w:id="68"/>
    </w:p>
    <w:p>
      <w:pPr>
        <w:rPr>
          <w:rFonts w:ascii="宋体" w:hAnsi="宋体" w:cs="宋体"/>
          <w:color w:val="auto"/>
        </w:rPr>
      </w:pPr>
    </w:p>
    <w:tbl>
      <w:tblPr>
        <w:tblStyle w:val="33"/>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63"/>
        <w:gridCol w:w="2025"/>
        <w:gridCol w:w="950"/>
        <w:gridCol w:w="900"/>
        <w:gridCol w:w="975"/>
        <w:gridCol w:w="1237"/>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jc w:val="center"/>
              <w:rPr>
                <w:rFonts w:ascii="宋体" w:hAnsi="宋体" w:cs="宋体"/>
                <w:color w:val="auto"/>
                <w:sz w:val="24"/>
                <w:szCs w:val="24"/>
              </w:rPr>
            </w:pPr>
            <w:r>
              <w:rPr>
                <w:rFonts w:hint="eastAsia" w:ascii="宋体" w:hAnsi="宋体" w:cs="宋体"/>
                <w:color w:val="auto"/>
                <w:sz w:val="24"/>
                <w:szCs w:val="24"/>
              </w:rPr>
              <w:t>序号</w:t>
            </w:r>
          </w:p>
        </w:tc>
        <w:tc>
          <w:tcPr>
            <w:tcW w:w="1063" w:type="dxa"/>
            <w:vAlign w:val="center"/>
          </w:tcPr>
          <w:p>
            <w:pPr>
              <w:jc w:val="center"/>
              <w:rPr>
                <w:rFonts w:ascii="宋体" w:hAnsi="宋体" w:cs="宋体"/>
                <w:color w:val="auto"/>
                <w:sz w:val="24"/>
                <w:szCs w:val="24"/>
              </w:rPr>
            </w:pPr>
            <w:r>
              <w:rPr>
                <w:rFonts w:hint="eastAsia" w:ascii="宋体" w:hAnsi="宋体" w:cs="宋体"/>
                <w:color w:val="auto"/>
                <w:sz w:val="24"/>
                <w:szCs w:val="24"/>
              </w:rPr>
              <w:t>姓名</w:t>
            </w:r>
          </w:p>
        </w:tc>
        <w:tc>
          <w:tcPr>
            <w:tcW w:w="2025" w:type="dxa"/>
            <w:vAlign w:val="center"/>
          </w:tcPr>
          <w:p>
            <w:pPr>
              <w:jc w:val="center"/>
              <w:rPr>
                <w:rFonts w:ascii="宋体" w:hAnsi="宋体" w:cs="宋体"/>
                <w:color w:val="auto"/>
                <w:sz w:val="24"/>
                <w:szCs w:val="24"/>
              </w:rPr>
            </w:pPr>
            <w:r>
              <w:rPr>
                <w:rFonts w:hint="eastAsia" w:ascii="宋体" w:hAnsi="宋体" w:cs="宋体"/>
                <w:color w:val="auto"/>
                <w:sz w:val="24"/>
                <w:szCs w:val="24"/>
              </w:rPr>
              <w:t>身份证号码</w:t>
            </w:r>
          </w:p>
        </w:tc>
        <w:tc>
          <w:tcPr>
            <w:tcW w:w="950" w:type="dxa"/>
            <w:vAlign w:val="center"/>
          </w:tcPr>
          <w:p>
            <w:pPr>
              <w:jc w:val="center"/>
              <w:rPr>
                <w:rFonts w:ascii="宋体" w:hAnsi="宋体" w:cs="宋体"/>
                <w:color w:val="auto"/>
                <w:sz w:val="24"/>
                <w:szCs w:val="24"/>
              </w:rPr>
            </w:pPr>
            <w:r>
              <w:rPr>
                <w:rFonts w:hint="eastAsia" w:ascii="宋体" w:hAnsi="宋体" w:cs="宋体"/>
                <w:color w:val="auto"/>
                <w:sz w:val="24"/>
                <w:szCs w:val="24"/>
              </w:rPr>
              <w:t>性别</w:t>
            </w:r>
          </w:p>
        </w:tc>
        <w:tc>
          <w:tcPr>
            <w:tcW w:w="900" w:type="dxa"/>
            <w:vAlign w:val="center"/>
          </w:tcPr>
          <w:p>
            <w:pPr>
              <w:jc w:val="center"/>
              <w:rPr>
                <w:rFonts w:ascii="宋体" w:hAnsi="宋体" w:cs="宋体"/>
                <w:color w:val="auto"/>
                <w:sz w:val="24"/>
                <w:szCs w:val="24"/>
              </w:rPr>
            </w:pPr>
            <w:r>
              <w:rPr>
                <w:rFonts w:hint="eastAsia" w:ascii="宋体" w:hAnsi="宋体" w:cs="宋体"/>
                <w:color w:val="auto"/>
                <w:sz w:val="24"/>
                <w:szCs w:val="24"/>
              </w:rPr>
              <w:t>职务</w:t>
            </w:r>
          </w:p>
        </w:tc>
        <w:tc>
          <w:tcPr>
            <w:tcW w:w="975" w:type="dxa"/>
            <w:vAlign w:val="center"/>
          </w:tcPr>
          <w:p>
            <w:pPr>
              <w:jc w:val="center"/>
              <w:rPr>
                <w:rFonts w:ascii="宋体" w:hAnsi="宋体" w:cs="宋体"/>
                <w:color w:val="auto"/>
                <w:sz w:val="24"/>
                <w:szCs w:val="24"/>
              </w:rPr>
            </w:pPr>
            <w:r>
              <w:rPr>
                <w:rFonts w:hint="eastAsia" w:ascii="宋体" w:hAnsi="宋体" w:cs="宋体"/>
                <w:color w:val="auto"/>
                <w:sz w:val="24"/>
                <w:szCs w:val="24"/>
              </w:rPr>
              <w:t>学历</w:t>
            </w:r>
          </w:p>
        </w:tc>
        <w:tc>
          <w:tcPr>
            <w:tcW w:w="1237" w:type="dxa"/>
            <w:vAlign w:val="center"/>
          </w:tcPr>
          <w:p>
            <w:pPr>
              <w:jc w:val="center"/>
              <w:rPr>
                <w:rFonts w:ascii="宋体" w:hAnsi="宋体" w:cs="宋体"/>
                <w:color w:val="auto"/>
                <w:sz w:val="24"/>
                <w:szCs w:val="24"/>
              </w:rPr>
            </w:pPr>
            <w:r>
              <w:rPr>
                <w:rFonts w:hint="eastAsia" w:ascii="宋体" w:hAnsi="宋体" w:cs="宋体"/>
                <w:color w:val="auto"/>
                <w:sz w:val="24"/>
                <w:szCs w:val="24"/>
              </w:rPr>
              <w:t>工作年限</w:t>
            </w:r>
          </w:p>
        </w:tc>
        <w:tc>
          <w:tcPr>
            <w:tcW w:w="812" w:type="dxa"/>
            <w:vAlign w:val="center"/>
          </w:tcPr>
          <w:p>
            <w:pPr>
              <w:jc w:val="center"/>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ascii="宋体" w:hAnsi="宋体" w:cs="宋体"/>
                <w:color w:val="auto"/>
                <w:sz w:val="24"/>
                <w:szCs w:val="24"/>
              </w:rPr>
            </w:pPr>
          </w:p>
        </w:tc>
        <w:tc>
          <w:tcPr>
            <w:tcW w:w="1063" w:type="dxa"/>
          </w:tcPr>
          <w:p>
            <w:pPr>
              <w:rPr>
                <w:rFonts w:ascii="宋体" w:hAnsi="宋体" w:cs="宋体"/>
                <w:color w:val="auto"/>
                <w:sz w:val="24"/>
                <w:szCs w:val="24"/>
              </w:rPr>
            </w:pPr>
          </w:p>
        </w:tc>
        <w:tc>
          <w:tcPr>
            <w:tcW w:w="2025" w:type="dxa"/>
          </w:tcPr>
          <w:p>
            <w:pPr>
              <w:rPr>
                <w:rFonts w:ascii="宋体" w:hAnsi="宋体" w:cs="宋体"/>
                <w:color w:val="auto"/>
                <w:sz w:val="24"/>
                <w:szCs w:val="24"/>
              </w:rPr>
            </w:pPr>
          </w:p>
        </w:tc>
        <w:tc>
          <w:tcPr>
            <w:tcW w:w="950" w:type="dxa"/>
          </w:tcPr>
          <w:p>
            <w:pPr>
              <w:rPr>
                <w:rFonts w:ascii="宋体" w:hAnsi="宋体" w:cs="宋体"/>
                <w:color w:val="auto"/>
                <w:sz w:val="24"/>
                <w:szCs w:val="24"/>
              </w:rPr>
            </w:pPr>
          </w:p>
        </w:tc>
        <w:tc>
          <w:tcPr>
            <w:tcW w:w="900" w:type="dxa"/>
          </w:tcPr>
          <w:p>
            <w:pPr>
              <w:rPr>
                <w:rFonts w:ascii="宋体" w:hAnsi="宋体" w:cs="宋体"/>
                <w:color w:val="auto"/>
                <w:sz w:val="24"/>
                <w:szCs w:val="24"/>
              </w:rPr>
            </w:pPr>
          </w:p>
        </w:tc>
        <w:tc>
          <w:tcPr>
            <w:tcW w:w="975" w:type="dxa"/>
          </w:tcPr>
          <w:p>
            <w:pPr>
              <w:rPr>
                <w:rFonts w:ascii="宋体" w:hAnsi="宋体" w:cs="宋体"/>
                <w:color w:val="auto"/>
                <w:sz w:val="24"/>
                <w:szCs w:val="24"/>
              </w:rPr>
            </w:pPr>
          </w:p>
        </w:tc>
        <w:tc>
          <w:tcPr>
            <w:tcW w:w="1237" w:type="dxa"/>
          </w:tcPr>
          <w:p>
            <w:pPr>
              <w:rPr>
                <w:rFonts w:ascii="宋体" w:hAnsi="宋体" w:cs="宋体"/>
                <w:color w:val="auto"/>
                <w:sz w:val="24"/>
                <w:szCs w:val="24"/>
              </w:rPr>
            </w:pPr>
          </w:p>
        </w:tc>
        <w:tc>
          <w:tcPr>
            <w:tcW w:w="812"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ascii="宋体" w:hAnsi="宋体" w:cs="宋体"/>
                <w:color w:val="auto"/>
                <w:sz w:val="24"/>
                <w:szCs w:val="24"/>
              </w:rPr>
            </w:pPr>
          </w:p>
        </w:tc>
        <w:tc>
          <w:tcPr>
            <w:tcW w:w="1063" w:type="dxa"/>
          </w:tcPr>
          <w:p>
            <w:pPr>
              <w:rPr>
                <w:rFonts w:ascii="宋体" w:hAnsi="宋体" w:cs="宋体"/>
                <w:color w:val="auto"/>
                <w:sz w:val="24"/>
                <w:szCs w:val="24"/>
              </w:rPr>
            </w:pPr>
          </w:p>
        </w:tc>
        <w:tc>
          <w:tcPr>
            <w:tcW w:w="2025" w:type="dxa"/>
          </w:tcPr>
          <w:p>
            <w:pPr>
              <w:rPr>
                <w:rFonts w:ascii="宋体" w:hAnsi="宋体" w:cs="宋体"/>
                <w:color w:val="auto"/>
                <w:sz w:val="24"/>
                <w:szCs w:val="24"/>
              </w:rPr>
            </w:pPr>
          </w:p>
        </w:tc>
        <w:tc>
          <w:tcPr>
            <w:tcW w:w="950" w:type="dxa"/>
          </w:tcPr>
          <w:p>
            <w:pPr>
              <w:rPr>
                <w:rFonts w:ascii="宋体" w:hAnsi="宋体" w:cs="宋体"/>
                <w:color w:val="auto"/>
                <w:sz w:val="24"/>
                <w:szCs w:val="24"/>
              </w:rPr>
            </w:pPr>
          </w:p>
        </w:tc>
        <w:tc>
          <w:tcPr>
            <w:tcW w:w="900" w:type="dxa"/>
          </w:tcPr>
          <w:p>
            <w:pPr>
              <w:rPr>
                <w:rFonts w:ascii="宋体" w:hAnsi="宋体" w:cs="宋体"/>
                <w:color w:val="auto"/>
                <w:sz w:val="24"/>
                <w:szCs w:val="24"/>
              </w:rPr>
            </w:pPr>
          </w:p>
        </w:tc>
        <w:tc>
          <w:tcPr>
            <w:tcW w:w="975" w:type="dxa"/>
          </w:tcPr>
          <w:p>
            <w:pPr>
              <w:rPr>
                <w:rFonts w:ascii="宋体" w:hAnsi="宋体" w:cs="宋体"/>
                <w:color w:val="auto"/>
                <w:sz w:val="24"/>
                <w:szCs w:val="24"/>
              </w:rPr>
            </w:pPr>
          </w:p>
        </w:tc>
        <w:tc>
          <w:tcPr>
            <w:tcW w:w="1237" w:type="dxa"/>
          </w:tcPr>
          <w:p>
            <w:pPr>
              <w:rPr>
                <w:rFonts w:ascii="宋体" w:hAnsi="宋体" w:cs="宋体"/>
                <w:color w:val="auto"/>
                <w:sz w:val="24"/>
                <w:szCs w:val="24"/>
              </w:rPr>
            </w:pPr>
          </w:p>
        </w:tc>
        <w:tc>
          <w:tcPr>
            <w:tcW w:w="812"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ascii="宋体" w:hAnsi="宋体" w:cs="宋体"/>
                <w:color w:val="auto"/>
                <w:sz w:val="24"/>
                <w:szCs w:val="24"/>
              </w:rPr>
            </w:pPr>
          </w:p>
        </w:tc>
        <w:tc>
          <w:tcPr>
            <w:tcW w:w="1063" w:type="dxa"/>
          </w:tcPr>
          <w:p>
            <w:pPr>
              <w:rPr>
                <w:rFonts w:ascii="宋体" w:hAnsi="宋体" w:cs="宋体"/>
                <w:color w:val="auto"/>
                <w:sz w:val="24"/>
                <w:szCs w:val="24"/>
              </w:rPr>
            </w:pPr>
          </w:p>
        </w:tc>
        <w:tc>
          <w:tcPr>
            <w:tcW w:w="2025" w:type="dxa"/>
          </w:tcPr>
          <w:p>
            <w:pPr>
              <w:rPr>
                <w:rFonts w:ascii="宋体" w:hAnsi="宋体" w:cs="宋体"/>
                <w:color w:val="auto"/>
                <w:sz w:val="24"/>
                <w:szCs w:val="24"/>
              </w:rPr>
            </w:pPr>
          </w:p>
        </w:tc>
        <w:tc>
          <w:tcPr>
            <w:tcW w:w="950" w:type="dxa"/>
          </w:tcPr>
          <w:p>
            <w:pPr>
              <w:rPr>
                <w:rFonts w:ascii="宋体" w:hAnsi="宋体" w:cs="宋体"/>
                <w:color w:val="auto"/>
                <w:sz w:val="24"/>
                <w:szCs w:val="24"/>
              </w:rPr>
            </w:pPr>
          </w:p>
        </w:tc>
        <w:tc>
          <w:tcPr>
            <w:tcW w:w="900" w:type="dxa"/>
          </w:tcPr>
          <w:p>
            <w:pPr>
              <w:rPr>
                <w:rFonts w:ascii="宋体" w:hAnsi="宋体" w:cs="宋体"/>
                <w:color w:val="auto"/>
                <w:sz w:val="24"/>
                <w:szCs w:val="24"/>
              </w:rPr>
            </w:pPr>
          </w:p>
        </w:tc>
        <w:tc>
          <w:tcPr>
            <w:tcW w:w="975" w:type="dxa"/>
          </w:tcPr>
          <w:p>
            <w:pPr>
              <w:rPr>
                <w:rFonts w:ascii="宋体" w:hAnsi="宋体" w:cs="宋体"/>
                <w:color w:val="auto"/>
                <w:sz w:val="24"/>
                <w:szCs w:val="24"/>
              </w:rPr>
            </w:pPr>
          </w:p>
        </w:tc>
        <w:tc>
          <w:tcPr>
            <w:tcW w:w="1237" w:type="dxa"/>
          </w:tcPr>
          <w:p>
            <w:pPr>
              <w:rPr>
                <w:rFonts w:ascii="宋体" w:hAnsi="宋体" w:cs="宋体"/>
                <w:color w:val="auto"/>
                <w:sz w:val="24"/>
                <w:szCs w:val="24"/>
              </w:rPr>
            </w:pPr>
          </w:p>
        </w:tc>
        <w:tc>
          <w:tcPr>
            <w:tcW w:w="812"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ascii="宋体" w:hAnsi="宋体" w:cs="宋体"/>
                <w:color w:val="auto"/>
                <w:sz w:val="24"/>
                <w:szCs w:val="24"/>
              </w:rPr>
            </w:pPr>
          </w:p>
        </w:tc>
        <w:tc>
          <w:tcPr>
            <w:tcW w:w="1063" w:type="dxa"/>
          </w:tcPr>
          <w:p>
            <w:pPr>
              <w:rPr>
                <w:rFonts w:ascii="宋体" w:hAnsi="宋体" w:cs="宋体"/>
                <w:color w:val="auto"/>
                <w:sz w:val="24"/>
                <w:szCs w:val="24"/>
              </w:rPr>
            </w:pPr>
          </w:p>
        </w:tc>
        <w:tc>
          <w:tcPr>
            <w:tcW w:w="2025" w:type="dxa"/>
          </w:tcPr>
          <w:p>
            <w:pPr>
              <w:rPr>
                <w:rFonts w:ascii="宋体" w:hAnsi="宋体" w:cs="宋体"/>
                <w:color w:val="auto"/>
                <w:sz w:val="24"/>
                <w:szCs w:val="24"/>
              </w:rPr>
            </w:pPr>
          </w:p>
        </w:tc>
        <w:tc>
          <w:tcPr>
            <w:tcW w:w="950" w:type="dxa"/>
          </w:tcPr>
          <w:p>
            <w:pPr>
              <w:rPr>
                <w:rFonts w:ascii="宋体" w:hAnsi="宋体" w:cs="宋体"/>
                <w:color w:val="auto"/>
                <w:sz w:val="24"/>
                <w:szCs w:val="24"/>
              </w:rPr>
            </w:pPr>
          </w:p>
        </w:tc>
        <w:tc>
          <w:tcPr>
            <w:tcW w:w="900" w:type="dxa"/>
          </w:tcPr>
          <w:p>
            <w:pPr>
              <w:rPr>
                <w:rFonts w:ascii="宋体" w:hAnsi="宋体" w:cs="宋体"/>
                <w:color w:val="auto"/>
                <w:sz w:val="24"/>
                <w:szCs w:val="24"/>
              </w:rPr>
            </w:pPr>
          </w:p>
        </w:tc>
        <w:tc>
          <w:tcPr>
            <w:tcW w:w="975" w:type="dxa"/>
          </w:tcPr>
          <w:p>
            <w:pPr>
              <w:rPr>
                <w:rFonts w:ascii="宋体" w:hAnsi="宋体" w:cs="宋体"/>
                <w:color w:val="auto"/>
                <w:sz w:val="24"/>
                <w:szCs w:val="24"/>
              </w:rPr>
            </w:pPr>
          </w:p>
        </w:tc>
        <w:tc>
          <w:tcPr>
            <w:tcW w:w="1237" w:type="dxa"/>
          </w:tcPr>
          <w:p>
            <w:pPr>
              <w:rPr>
                <w:rFonts w:ascii="宋体" w:hAnsi="宋体" w:cs="宋体"/>
                <w:color w:val="auto"/>
                <w:sz w:val="24"/>
                <w:szCs w:val="24"/>
              </w:rPr>
            </w:pPr>
          </w:p>
        </w:tc>
        <w:tc>
          <w:tcPr>
            <w:tcW w:w="812"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ascii="宋体" w:hAnsi="宋体" w:cs="宋体"/>
                <w:color w:val="auto"/>
                <w:sz w:val="24"/>
                <w:szCs w:val="24"/>
              </w:rPr>
            </w:pPr>
          </w:p>
        </w:tc>
        <w:tc>
          <w:tcPr>
            <w:tcW w:w="1063" w:type="dxa"/>
          </w:tcPr>
          <w:p>
            <w:pPr>
              <w:rPr>
                <w:rFonts w:ascii="宋体" w:hAnsi="宋体" w:cs="宋体"/>
                <w:color w:val="auto"/>
                <w:sz w:val="24"/>
                <w:szCs w:val="24"/>
              </w:rPr>
            </w:pPr>
          </w:p>
        </w:tc>
        <w:tc>
          <w:tcPr>
            <w:tcW w:w="2025" w:type="dxa"/>
          </w:tcPr>
          <w:p>
            <w:pPr>
              <w:rPr>
                <w:rFonts w:ascii="宋体" w:hAnsi="宋体" w:cs="宋体"/>
                <w:color w:val="auto"/>
                <w:sz w:val="24"/>
                <w:szCs w:val="24"/>
              </w:rPr>
            </w:pPr>
          </w:p>
        </w:tc>
        <w:tc>
          <w:tcPr>
            <w:tcW w:w="950" w:type="dxa"/>
          </w:tcPr>
          <w:p>
            <w:pPr>
              <w:rPr>
                <w:rFonts w:ascii="宋体" w:hAnsi="宋体" w:cs="宋体"/>
                <w:color w:val="auto"/>
                <w:sz w:val="24"/>
                <w:szCs w:val="24"/>
              </w:rPr>
            </w:pPr>
          </w:p>
        </w:tc>
        <w:tc>
          <w:tcPr>
            <w:tcW w:w="900" w:type="dxa"/>
          </w:tcPr>
          <w:p>
            <w:pPr>
              <w:rPr>
                <w:rFonts w:ascii="宋体" w:hAnsi="宋体" w:cs="宋体"/>
                <w:color w:val="auto"/>
                <w:sz w:val="24"/>
                <w:szCs w:val="24"/>
              </w:rPr>
            </w:pPr>
          </w:p>
        </w:tc>
        <w:tc>
          <w:tcPr>
            <w:tcW w:w="975" w:type="dxa"/>
          </w:tcPr>
          <w:p>
            <w:pPr>
              <w:rPr>
                <w:rFonts w:ascii="宋体" w:hAnsi="宋体" w:cs="宋体"/>
                <w:color w:val="auto"/>
                <w:sz w:val="24"/>
                <w:szCs w:val="24"/>
              </w:rPr>
            </w:pPr>
          </w:p>
        </w:tc>
        <w:tc>
          <w:tcPr>
            <w:tcW w:w="1237" w:type="dxa"/>
          </w:tcPr>
          <w:p>
            <w:pPr>
              <w:rPr>
                <w:rFonts w:ascii="宋体" w:hAnsi="宋体" w:cs="宋体"/>
                <w:color w:val="auto"/>
                <w:sz w:val="24"/>
                <w:szCs w:val="24"/>
              </w:rPr>
            </w:pPr>
          </w:p>
        </w:tc>
        <w:tc>
          <w:tcPr>
            <w:tcW w:w="812"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ascii="宋体" w:hAnsi="宋体" w:cs="宋体"/>
                <w:color w:val="auto"/>
                <w:sz w:val="24"/>
                <w:szCs w:val="24"/>
              </w:rPr>
            </w:pPr>
          </w:p>
        </w:tc>
        <w:tc>
          <w:tcPr>
            <w:tcW w:w="1063" w:type="dxa"/>
          </w:tcPr>
          <w:p>
            <w:pPr>
              <w:rPr>
                <w:rFonts w:ascii="宋体" w:hAnsi="宋体" w:cs="宋体"/>
                <w:color w:val="auto"/>
                <w:sz w:val="24"/>
                <w:szCs w:val="24"/>
              </w:rPr>
            </w:pPr>
          </w:p>
        </w:tc>
        <w:tc>
          <w:tcPr>
            <w:tcW w:w="2025" w:type="dxa"/>
          </w:tcPr>
          <w:p>
            <w:pPr>
              <w:rPr>
                <w:rFonts w:ascii="宋体" w:hAnsi="宋体" w:cs="宋体"/>
                <w:color w:val="auto"/>
                <w:sz w:val="24"/>
                <w:szCs w:val="24"/>
              </w:rPr>
            </w:pPr>
          </w:p>
        </w:tc>
        <w:tc>
          <w:tcPr>
            <w:tcW w:w="950" w:type="dxa"/>
          </w:tcPr>
          <w:p>
            <w:pPr>
              <w:rPr>
                <w:rFonts w:ascii="宋体" w:hAnsi="宋体" w:cs="宋体"/>
                <w:color w:val="auto"/>
                <w:sz w:val="24"/>
                <w:szCs w:val="24"/>
              </w:rPr>
            </w:pPr>
          </w:p>
        </w:tc>
        <w:tc>
          <w:tcPr>
            <w:tcW w:w="900" w:type="dxa"/>
          </w:tcPr>
          <w:p>
            <w:pPr>
              <w:rPr>
                <w:rFonts w:ascii="宋体" w:hAnsi="宋体" w:cs="宋体"/>
                <w:color w:val="auto"/>
                <w:sz w:val="24"/>
                <w:szCs w:val="24"/>
              </w:rPr>
            </w:pPr>
          </w:p>
        </w:tc>
        <w:tc>
          <w:tcPr>
            <w:tcW w:w="975" w:type="dxa"/>
          </w:tcPr>
          <w:p>
            <w:pPr>
              <w:rPr>
                <w:rFonts w:ascii="宋体" w:hAnsi="宋体" w:cs="宋体"/>
                <w:color w:val="auto"/>
                <w:sz w:val="24"/>
                <w:szCs w:val="24"/>
              </w:rPr>
            </w:pPr>
          </w:p>
        </w:tc>
        <w:tc>
          <w:tcPr>
            <w:tcW w:w="1237" w:type="dxa"/>
          </w:tcPr>
          <w:p>
            <w:pPr>
              <w:rPr>
                <w:rFonts w:ascii="宋体" w:hAnsi="宋体" w:cs="宋体"/>
                <w:color w:val="auto"/>
                <w:sz w:val="24"/>
                <w:szCs w:val="24"/>
              </w:rPr>
            </w:pPr>
          </w:p>
        </w:tc>
        <w:tc>
          <w:tcPr>
            <w:tcW w:w="812"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tcPr>
          <w:p>
            <w:pPr>
              <w:rPr>
                <w:rFonts w:ascii="宋体" w:hAnsi="宋体" w:cs="宋体"/>
                <w:color w:val="auto"/>
                <w:sz w:val="24"/>
                <w:szCs w:val="24"/>
              </w:rPr>
            </w:pPr>
          </w:p>
        </w:tc>
        <w:tc>
          <w:tcPr>
            <w:tcW w:w="1063" w:type="dxa"/>
          </w:tcPr>
          <w:p>
            <w:pPr>
              <w:rPr>
                <w:rFonts w:ascii="宋体" w:hAnsi="宋体" w:cs="宋体"/>
                <w:color w:val="auto"/>
                <w:sz w:val="24"/>
                <w:szCs w:val="24"/>
              </w:rPr>
            </w:pPr>
          </w:p>
        </w:tc>
        <w:tc>
          <w:tcPr>
            <w:tcW w:w="2025" w:type="dxa"/>
          </w:tcPr>
          <w:p>
            <w:pPr>
              <w:rPr>
                <w:rFonts w:ascii="宋体" w:hAnsi="宋体" w:cs="宋体"/>
                <w:color w:val="auto"/>
                <w:sz w:val="24"/>
                <w:szCs w:val="24"/>
              </w:rPr>
            </w:pPr>
          </w:p>
        </w:tc>
        <w:tc>
          <w:tcPr>
            <w:tcW w:w="950" w:type="dxa"/>
          </w:tcPr>
          <w:p>
            <w:pPr>
              <w:rPr>
                <w:rFonts w:ascii="宋体" w:hAnsi="宋体" w:cs="宋体"/>
                <w:color w:val="auto"/>
                <w:sz w:val="24"/>
                <w:szCs w:val="24"/>
              </w:rPr>
            </w:pPr>
          </w:p>
        </w:tc>
        <w:tc>
          <w:tcPr>
            <w:tcW w:w="900" w:type="dxa"/>
          </w:tcPr>
          <w:p>
            <w:pPr>
              <w:rPr>
                <w:rFonts w:ascii="宋体" w:hAnsi="宋体" w:cs="宋体"/>
                <w:color w:val="auto"/>
                <w:sz w:val="24"/>
                <w:szCs w:val="24"/>
              </w:rPr>
            </w:pPr>
          </w:p>
        </w:tc>
        <w:tc>
          <w:tcPr>
            <w:tcW w:w="975" w:type="dxa"/>
          </w:tcPr>
          <w:p>
            <w:pPr>
              <w:rPr>
                <w:rFonts w:ascii="宋体" w:hAnsi="宋体" w:cs="宋体"/>
                <w:color w:val="auto"/>
                <w:sz w:val="24"/>
                <w:szCs w:val="24"/>
              </w:rPr>
            </w:pPr>
          </w:p>
        </w:tc>
        <w:tc>
          <w:tcPr>
            <w:tcW w:w="1237" w:type="dxa"/>
          </w:tcPr>
          <w:p>
            <w:pPr>
              <w:rPr>
                <w:rFonts w:ascii="宋体" w:hAnsi="宋体" w:cs="宋体"/>
                <w:color w:val="auto"/>
                <w:sz w:val="24"/>
                <w:szCs w:val="24"/>
              </w:rPr>
            </w:pPr>
          </w:p>
        </w:tc>
        <w:tc>
          <w:tcPr>
            <w:tcW w:w="812" w:type="dxa"/>
          </w:tcPr>
          <w:p>
            <w:pPr>
              <w:rPr>
                <w:rFonts w:ascii="宋体" w:hAnsi="宋体" w:cs="宋体"/>
                <w:color w:val="auto"/>
                <w:sz w:val="24"/>
                <w:szCs w:val="24"/>
              </w:rPr>
            </w:pPr>
          </w:p>
        </w:tc>
      </w:tr>
    </w:tbl>
    <w:p>
      <w:pPr>
        <w:jc w:val="center"/>
        <w:rPr>
          <w:rFonts w:ascii="宋体" w:hAnsi="宋体" w:cs="宋体"/>
          <w:b/>
          <w:color w:val="auto"/>
        </w:rPr>
      </w:pPr>
    </w:p>
    <w:p>
      <w:pPr>
        <w:jc w:val="center"/>
        <w:rPr>
          <w:rFonts w:ascii="宋体" w:hAnsi="宋体" w:cs="宋体"/>
          <w:b/>
          <w:color w:val="auto"/>
        </w:rPr>
      </w:pPr>
    </w:p>
    <w:p>
      <w:pPr>
        <w:rPr>
          <w:rFonts w:ascii="宋体" w:hAnsi="宋体" w:cs="宋体"/>
          <w:color w:val="auto"/>
          <w:sz w:val="24"/>
          <w:szCs w:val="24"/>
        </w:rPr>
      </w:pPr>
      <w:r>
        <w:rPr>
          <w:rFonts w:hint="eastAsia" w:ascii="宋体" w:hAnsi="宋体" w:cs="宋体"/>
          <w:color w:val="auto"/>
          <w:sz w:val="24"/>
          <w:szCs w:val="24"/>
        </w:rPr>
        <w:t>1、主要人员应包括：供应商认为需要配备的其他人员。</w:t>
      </w:r>
    </w:p>
    <w:p>
      <w:pPr>
        <w:rPr>
          <w:rFonts w:ascii="宋体" w:hAnsi="宋体" w:cs="宋体"/>
          <w:color w:val="auto"/>
          <w:sz w:val="24"/>
          <w:szCs w:val="24"/>
        </w:rPr>
      </w:pPr>
      <w:r>
        <w:rPr>
          <w:rFonts w:hint="eastAsia" w:ascii="宋体" w:hAnsi="宋体" w:cs="宋体"/>
          <w:color w:val="auto"/>
          <w:sz w:val="24"/>
          <w:szCs w:val="24"/>
        </w:rPr>
        <w:t>2、上述人员介绍应包括姓名、职务等基本信息。</w:t>
      </w:r>
    </w:p>
    <w:p>
      <w:pPr>
        <w:rPr>
          <w:rFonts w:ascii="宋体" w:hAnsi="宋体" w:cs="宋体"/>
          <w:color w:val="auto"/>
          <w:sz w:val="24"/>
          <w:szCs w:val="24"/>
        </w:rPr>
      </w:pPr>
      <w:r>
        <w:rPr>
          <w:rFonts w:hint="eastAsia" w:ascii="宋体" w:hAnsi="宋体" w:cs="宋体"/>
          <w:color w:val="auto"/>
          <w:sz w:val="24"/>
          <w:szCs w:val="24"/>
        </w:rPr>
        <w:t>3、相关人员应附身份证或岗位证书等的复印件。</w:t>
      </w:r>
    </w:p>
    <w:p>
      <w:pPr>
        <w:pStyle w:val="13"/>
        <w:ind w:firstLine="0" w:firstLineChars="0"/>
        <w:rPr>
          <w:rFonts w:ascii="宋体" w:hAnsi="宋体" w:cs="宋体"/>
          <w:color w:val="auto"/>
        </w:rPr>
      </w:pPr>
      <w:r>
        <w:rPr>
          <w:rFonts w:hint="eastAsia" w:ascii="宋体" w:hAnsi="宋体" w:cs="宋体"/>
          <w:color w:val="auto"/>
          <w:sz w:val="24"/>
          <w:szCs w:val="24"/>
        </w:rPr>
        <w:t>4、社会保险证明材料及相关劳动合同。</w:t>
      </w:r>
    </w:p>
    <w:p>
      <w:pPr>
        <w:pStyle w:val="90"/>
        <w:spacing w:line="360" w:lineRule="auto"/>
        <w:ind w:right="-88"/>
        <w:rPr>
          <w:rFonts w:ascii="宋体" w:hAnsi="宋体" w:cs="宋体"/>
          <w:b/>
          <w:bCs/>
          <w:color w:val="auto"/>
          <w:sz w:val="24"/>
        </w:rPr>
      </w:pPr>
    </w:p>
    <w:p>
      <w:pPr>
        <w:pStyle w:val="90"/>
        <w:spacing w:line="360" w:lineRule="auto"/>
        <w:ind w:right="-88"/>
        <w:rPr>
          <w:rFonts w:ascii="宋体" w:hAnsi="宋体" w:cs="宋体"/>
          <w:b/>
          <w:bCs/>
          <w:color w:val="auto"/>
          <w:sz w:val="24"/>
        </w:rPr>
      </w:pPr>
    </w:p>
    <w:p>
      <w:pPr>
        <w:pStyle w:val="90"/>
        <w:spacing w:line="360" w:lineRule="auto"/>
        <w:ind w:right="-88"/>
        <w:rPr>
          <w:rFonts w:ascii="宋体" w:hAnsi="宋体" w:cs="宋体"/>
          <w:b/>
          <w:bCs/>
          <w:color w:val="auto"/>
          <w:sz w:val="24"/>
        </w:rPr>
      </w:pPr>
    </w:p>
    <w:p>
      <w:pPr>
        <w:pStyle w:val="90"/>
        <w:spacing w:line="360" w:lineRule="auto"/>
        <w:ind w:right="-88"/>
        <w:rPr>
          <w:rFonts w:ascii="宋体" w:hAnsi="宋体" w:cs="宋体"/>
          <w:b/>
          <w:bCs/>
          <w:color w:val="auto"/>
          <w:sz w:val="24"/>
        </w:rPr>
      </w:pPr>
    </w:p>
    <w:p>
      <w:pPr>
        <w:pStyle w:val="90"/>
        <w:spacing w:line="360" w:lineRule="auto"/>
        <w:ind w:right="-88"/>
        <w:rPr>
          <w:rFonts w:ascii="宋体" w:hAnsi="宋体" w:cs="宋体"/>
          <w:b/>
          <w:bCs/>
          <w:color w:val="auto"/>
          <w:sz w:val="24"/>
        </w:rPr>
      </w:pPr>
    </w:p>
    <w:p>
      <w:pPr>
        <w:pStyle w:val="90"/>
        <w:spacing w:line="360" w:lineRule="auto"/>
        <w:ind w:right="-88"/>
        <w:jc w:val="center"/>
        <w:rPr>
          <w:rFonts w:ascii="宋体" w:hAnsi="宋体" w:cs="宋体"/>
          <w:b/>
          <w:bCs/>
          <w:color w:val="auto"/>
          <w:sz w:val="28"/>
          <w:szCs w:val="28"/>
        </w:rPr>
      </w:pPr>
      <w:r>
        <w:rPr>
          <w:rFonts w:hint="eastAsia" w:ascii="宋体" w:hAnsi="宋体" w:cs="宋体"/>
          <w:bCs/>
          <w:color w:val="auto"/>
          <w:sz w:val="24"/>
        </w:rPr>
        <w:br w:type="page"/>
      </w:r>
      <w:r>
        <w:rPr>
          <w:rFonts w:hint="eastAsia" w:ascii="宋体" w:hAnsi="宋体" w:cs="宋体"/>
          <w:b/>
          <w:bCs/>
          <w:color w:val="auto"/>
          <w:sz w:val="28"/>
          <w:szCs w:val="28"/>
        </w:rPr>
        <w:t>技术文件</w:t>
      </w:r>
    </w:p>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r>
        <w:rPr>
          <w:rFonts w:hint="eastAsia" w:ascii="宋体" w:hAnsi="宋体" w:cs="宋体"/>
          <w:color w:val="auto"/>
          <w:sz w:val="24"/>
          <w:szCs w:val="24"/>
        </w:rPr>
        <w:t>以下内容由供应商格式自拟。包括但不限于以下内容：</w:t>
      </w:r>
    </w:p>
    <w:p>
      <w:pPr>
        <w:pStyle w:val="13"/>
        <w:spacing w:line="360" w:lineRule="auto"/>
        <w:rPr>
          <w:rFonts w:ascii="宋体" w:hAnsi="宋体" w:cs="宋体"/>
          <w:color w:val="auto"/>
        </w:rPr>
      </w:pPr>
    </w:p>
    <w:p>
      <w:pPr>
        <w:pStyle w:val="13"/>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★项目理解；</w:t>
      </w:r>
    </w:p>
    <w:p>
      <w:pPr>
        <w:pStyle w:val="13"/>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★技术参数；</w:t>
      </w:r>
    </w:p>
    <w:p>
      <w:pPr>
        <w:pStyle w:val="13"/>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★实施方案；</w:t>
      </w:r>
    </w:p>
    <w:p>
      <w:pPr>
        <w:pStyle w:val="13"/>
        <w:spacing w:line="360" w:lineRule="auto"/>
        <w:ind w:firstLine="0" w:firstLineChars="0"/>
        <w:jc w:val="left"/>
        <w:rPr>
          <w:rFonts w:ascii="宋体" w:hAnsi="宋体" w:cs="宋体"/>
          <w:color w:val="auto"/>
          <w:sz w:val="24"/>
          <w:szCs w:val="24"/>
        </w:rPr>
      </w:pPr>
      <w:r>
        <w:rPr>
          <w:rFonts w:hint="eastAsia" w:ascii="宋体" w:hAnsi="宋体" w:cs="宋体"/>
          <w:color w:val="auto"/>
          <w:sz w:val="24"/>
          <w:szCs w:val="24"/>
        </w:rPr>
        <w:t>★组织安排；</w:t>
      </w:r>
    </w:p>
    <w:p>
      <w:pPr>
        <w:pStyle w:val="13"/>
        <w:spacing w:line="360" w:lineRule="auto"/>
        <w:ind w:firstLine="0" w:firstLineChars="0"/>
        <w:jc w:val="left"/>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售后服务。</w:t>
      </w:r>
    </w:p>
    <w:p>
      <w:pPr>
        <w:pStyle w:val="158"/>
        <w:spacing w:line="360" w:lineRule="auto"/>
        <w:jc w:val="center"/>
        <w:rPr>
          <w:rFonts w:ascii="宋体" w:hAnsi="宋体" w:cs="宋体"/>
          <w:bCs/>
          <w:color w:val="auto"/>
        </w:rPr>
      </w:pPr>
    </w:p>
    <w:p>
      <w:pPr>
        <w:pStyle w:val="13"/>
        <w:spacing w:line="360" w:lineRule="auto"/>
        <w:ind w:firstLine="0" w:firstLineChars="0"/>
        <w:jc w:val="left"/>
        <w:rPr>
          <w:rFonts w:ascii="宋体" w:hAnsi="宋体" w:cs="宋体"/>
          <w:color w:val="auto"/>
          <w:sz w:val="24"/>
          <w:szCs w:val="24"/>
        </w:rPr>
      </w:pPr>
    </w:p>
    <w:p>
      <w:pPr>
        <w:rPr>
          <w:rFonts w:hint="eastAsia" w:ascii="宋体" w:hAnsi="宋体" w:cs="宋体"/>
          <w:b/>
          <w:bCs/>
          <w:color w:val="auto"/>
          <w:sz w:val="24"/>
          <w:szCs w:val="24"/>
        </w:rPr>
      </w:pPr>
      <w:r>
        <w:rPr>
          <w:rFonts w:hint="eastAsia" w:ascii="宋体" w:hAnsi="宋体" w:cs="宋体"/>
          <w:b/>
          <w:bCs/>
          <w:color w:val="auto"/>
          <w:sz w:val="24"/>
          <w:szCs w:val="24"/>
        </w:rPr>
        <w:br w:type="page"/>
      </w:r>
    </w:p>
    <w:p>
      <w:pPr>
        <w:spacing w:line="360" w:lineRule="auto"/>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供应商认为有必要提供其他材料（如有）</w:t>
      </w:r>
    </w:p>
    <w:bookmarkEnd w:id="46"/>
    <w:p>
      <w:pPr>
        <w:spacing w:line="360" w:lineRule="auto"/>
        <w:rPr>
          <w:rFonts w:ascii="宋体" w:hAnsi="宋体" w:cs="宋体"/>
          <w:color w:val="auto"/>
          <w:sz w:val="24"/>
          <w:szCs w:val="24"/>
        </w:rPr>
      </w:pPr>
    </w:p>
    <w:sectPr>
      <w:footerReference r:id="rId11" w:type="first"/>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jc w:val="center"/>
                          </w:pPr>
                          <w:r>
                            <w:fldChar w:fldCharType="begin"/>
                          </w:r>
                          <w:r>
                            <w:instrText xml:space="preserve"> PAGE   \* MERGEFORMAT </w:instrText>
                          </w:r>
                          <w:r>
                            <w:fldChar w:fldCharType="separate"/>
                          </w:r>
                          <w:r>
                            <w:rPr>
                              <w:lang w:val="zh-CN"/>
                            </w:rPr>
                            <w:t>35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5"/>
                      <w:jc w:val="center"/>
                    </w:pP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tabs>
        <w:tab w:val="left" w:pos="625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61F8C"/>
    <w:multiLevelType w:val="multilevel"/>
    <w:tmpl w:val="1B861F8C"/>
    <w:lvl w:ilvl="0" w:tentative="0">
      <w:start w:val="1"/>
      <w:numFmt w:val="bullet"/>
      <w:pStyle w:val="177"/>
      <w:lvlText w:val=""/>
      <w:lvlJc w:val="left"/>
      <w:pPr>
        <w:ind w:left="620" w:hanging="420"/>
      </w:pPr>
      <w:rPr>
        <w:rFonts w:hint="default" w:ascii="Wingdings" w:hAnsi="Wingdings"/>
        <w:sz w:val="24"/>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
    <w:nsid w:val="2A0AEBD3"/>
    <w:multiLevelType w:val="singleLevel"/>
    <w:tmpl w:val="2A0AEBD3"/>
    <w:lvl w:ilvl="0" w:tentative="0">
      <w:start w:val="1"/>
      <w:numFmt w:val="chineseCounting"/>
      <w:suff w:val="nothing"/>
      <w:lvlText w:val="%1、"/>
      <w:lvlJc w:val="left"/>
      <w:pPr>
        <w:ind w:left="-62"/>
      </w:pPr>
      <w:rPr>
        <w:rFonts w:hint="eastAsia"/>
      </w:rPr>
    </w:lvl>
  </w:abstractNum>
  <w:abstractNum w:abstractNumId="2">
    <w:nsid w:val="4F2E0E64"/>
    <w:multiLevelType w:val="singleLevel"/>
    <w:tmpl w:val="4F2E0E64"/>
    <w:lvl w:ilvl="0" w:tentative="0">
      <w:start w:val="4"/>
      <w:numFmt w:val="decimal"/>
      <w:suff w:val="nothing"/>
      <w:lvlText w:val="%1．"/>
      <w:lvlJc w:val="left"/>
    </w:lvl>
  </w:abstractNum>
  <w:abstractNum w:abstractNumId="3">
    <w:nsid w:val="5761F54D"/>
    <w:multiLevelType w:val="singleLevel"/>
    <w:tmpl w:val="5761F54D"/>
    <w:lvl w:ilvl="0" w:tentative="0">
      <w:start w:val="1"/>
      <w:numFmt w:val="chineseCounting"/>
      <w:suff w:val="space"/>
      <w:lvlText w:val="第%1部分"/>
      <w:lvlJc w:val="left"/>
      <w:rPr>
        <w:rFonts w:hint="eastAsia"/>
      </w:rPr>
    </w:lvl>
  </w:abstractNum>
  <w:abstractNum w:abstractNumId="4">
    <w:nsid w:val="656D6133"/>
    <w:multiLevelType w:val="multilevel"/>
    <w:tmpl w:val="656D6133"/>
    <w:lvl w:ilvl="0" w:tentative="0">
      <w:start w:val="1"/>
      <w:numFmt w:val="chineseCountingThousand"/>
      <w:pStyle w:val="145"/>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ZGIxYzM0NDM5NGFjZGQ3OWFhNzc4ZTMxMDE5ZjcifQ=="/>
  </w:docVars>
  <w:rsids>
    <w:rsidRoot w:val="00A719E8"/>
    <w:rsid w:val="00001F6D"/>
    <w:rsid w:val="00002752"/>
    <w:rsid w:val="000101A1"/>
    <w:rsid w:val="000131CE"/>
    <w:rsid w:val="00016CEC"/>
    <w:rsid w:val="0001778D"/>
    <w:rsid w:val="00030B50"/>
    <w:rsid w:val="00031E7A"/>
    <w:rsid w:val="00032FAA"/>
    <w:rsid w:val="0003336B"/>
    <w:rsid w:val="00034D61"/>
    <w:rsid w:val="00041446"/>
    <w:rsid w:val="00041C0D"/>
    <w:rsid w:val="000446B4"/>
    <w:rsid w:val="0005150C"/>
    <w:rsid w:val="00052611"/>
    <w:rsid w:val="00065865"/>
    <w:rsid w:val="0007218F"/>
    <w:rsid w:val="00076986"/>
    <w:rsid w:val="00083919"/>
    <w:rsid w:val="00090A53"/>
    <w:rsid w:val="00090E5F"/>
    <w:rsid w:val="00091420"/>
    <w:rsid w:val="000942AA"/>
    <w:rsid w:val="00096805"/>
    <w:rsid w:val="000A00D5"/>
    <w:rsid w:val="000A33D3"/>
    <w:rsid w:val="000B167E"/>
    <w:rsid w:val="000B20E3"/>
    <w:rsid w:val="000C6A1F"/>
    <w:rsid w:val="000C6AEA"/>
    <w:rsid w:val="000E130D"/>
    <w:rsid w:val="000F3978"/>
    <w:rsid w:val="000F4839"/>
    <w:rsid w:val="00100959"/>
    <w:rsid w:val="00102D90"/>
    <w:rsid w:val="00107AF8"/>
    <w:rsid w:val="00120830"/>
    <w:rsid w:val="00120D5B"/>
    <w:rsid w:val="00123653"/>
    <w:rsid w:val="001265FA"/>
    <w:rsid w:val="00127052"/>
    <w:rsid w:val="001271D4"/>
    <w:rsid w:val="00137B38"/>
    <w:rsid w:val="001400AD"/>
    <w:rsid w:val="0014015F"/>
    <w:rsid w:val="001503E5"/>
    <w:rsid w:val="001621C2"/>
    <w:rsid w:val="00165249"/>
    <w:rsid w:val="00166324"/>
    <w:rsid w:val="00172162"/>
    <w:rsid w:val="001738FA"/>
    <w:rsid w:val="0017456B"/>
    <w:rsid w:val="00175DCD"/>
    <w:rsid w:val="0018102D"/>
    <w:rsid w:val="001862C0"/>
    <w:rsid w:val="0019662D"/>
    <w:rsid w:val="001B3928"/>
    <w:rsid w:val="001C2236"/>
    <w:rsid w:val="001D35EF"/>
    <w:rsid w:val="001D7BEF"/>
    <w:rsid w:val="001E094D"/>
    <w:rsid w:val="001E139F"/>
    <w:rsid w:val="001E22A8"/>
    <w:rsid w:val="001E68D2"/>
    <w:rsid w:val="00200BEE"/>
    <w:rsid w:val="002013D5"/>
    <w:rsid w:val="00210825"/>
    <w:rsid w:val="002212FF"/>
    <w:rsid w:val="00225283"/>
    <w:rsid w:val="00227185"/>
    <w:rsid w:val="00243CBE"/>
    <w:rsid w:val="00247F6E"/>
    <w:rsid w:val="00257165"/>
    <w:rsid w:val="002635CB"/>
    <w:rsid w:val="002649B9"/>
    <w:rsid w:val="00265D26"/>
    <w:rsid w:val="00271B91"/>
    <w:rsid w:val="00273D81"/>
    <w:rsid w:val="00274752"/>
    <w:rsid w:val="002754FE"/>
    <w:rsid w:val="0027569A"/>
    <w:rsid w:val="00287822"/>
    <w:rsid w:val="00295F7D"/>
    <w:rsid w:val="002A10F8"/>
    <w:rsid w:val="002B1CC5"/>
    <w:rsid w:val="002B4C0A"/>
    <w:rsid w:val="002C3B71"/>
    <w:rsid w:val="002C5E1C"/>
    <w:rsid w:val="002C62B2"/>
    <w:rsid w:val="002C74E1"/>
    <w:rsid w:val="002D2458"/>
    <w:rsid w:val="002D25EF"/>
    <w:rsid w:val="002D2C3F"/>
    <w:rsid w:val="002D4C99"/>
    <w:rsid w:val="002D6B6F"/>
    <w:rsid w:val="002E6EEA"/>
    <w:rsid w:val="002F292C"/>
    <w:rsid w:val="002F30D6"/>
    <w:rsid w:val="002F4E32"/>
    <w:rsid w:val="002F709F"/>
    <w:rsid w:val="002F760E"/>
    <w:rsid w:val="00301EBD"/>
    <w:rsid w:val="00304FF3"/>
    <w:rsid w:val="00305792"/>
    <w:rsid w:val="003176CC"/>
    <w:rsid w:val="00330F86"/>
    <w:rsid w:val="003323EF"/>
    <w:rsid w:val="00334308"/>
    <w:rsid w:val="0034435B"/>
    <w:rsid w:val="0034503C"/>
    <w:rsid w:val="003459AB"/>
    <w:rsid w:val="00346DC5"/>
    <w:rsid w:val="0035097D"/>
    <w:rsid w:val="00351383"/>
    <w:rsid w:val="00357A0D"/>
    <w:rsid w:val="003629B4"/>
    <w:rsid w:val="00396B08"/>
    <w:rsid w:val="003A2553"/>
    <w:rsid w:val="003B1859"/>
    <w:rsid w:val="003B3A87"/>
    <w:rsid w:val="003B66A8"/>
    <w:rsid w:val="003F14F6"/>
    <w:rsid w:val="003F1BF7"/>
    <w:rsid w:val="003F75A5"/>
    <w:rsid w:val="003F79D9"/>
    <w:rsid w:val="00402FB8"/>
    <w:rsid w:val="00405B90"/>
    <w:rsid w:val="004125E5"/>
    <w:rsid w:val="00412FFB"/>
    <w:rsid w:val="0041756E"/>
    <w:rsid w:val="004231C9"/>
    <w:rsid w:val="00431DFC"/>
    <w:rsid w:val="004336B7"/>
    <w:rsid w:val="00435C90"/>
    <w:rsid w:val="00436424"/>
    <w:rsid w:val="00441B7C"/>
    <w:rsid w:val="00456E8F"/>
    <w:rsid w:val="004619C6"/>
    <w:rsid w:val="00464690"/>
    <w:rsid w:val="0046774D"/>
    <w:rsid w:val="00494280"/>
    <w:rsid w:val="004979F3"/>
    <w:rsid w:val="004A65B3"/>
    <w:rsid w:val="004C335E"/>
    <w:rsid w:val="004C3654"/>
    <w:rsid w:val="004D5745"/>
    <w:rsid w:val="004D7358"/>
    <w:rsid w:val="004F0826"/>
    <w:rsid w:val="004F0D20"/>
    <w:rsid w:val="00504294"/>
    <w:rsid w:val="00511C3E"/>
    <w:rsid w:val="00524B1F"/>
    <w:rsid w:val="00525451"/>
    <w:rsid w:val="005332BF"/>
    <w:rsid w:val="00534A33"/>
    <w:rsid w:val="00535BAE"/>
    <w:rsid w:val="00536605"/>
    <w:rsid w:val="00547000"/>
    <w:rsid w:val="005508D6"/>
    <w:rsid w:val="005527E7"/>
    <w:rsid w:val="00554B2A"/>
    <w:rsid w:val="005551EF"/>
    <w:rsid w:val="00566952"/>
    <w:rsid w:val="00566BDB"/>
    <w:rsid w:val="00567CDB"/>
    <w:rsid w:val="005746AB"/>
    <w:rsid w:val="00577C7B"/>
    <w:rsid w:val="005822D6"/>
    <w:rsid w:val="00590E28"/>
    <w:rsid w:val="00593008"/>
    <w:rsid w:val="00594D68"/>
    <w:rsid w:val="005A0C82"/>
    <w:rsid w:val="005A3669"/>
    <w:rsid w:val="005B0030"/>
    <w:rsid w:val="005B04C3"/>
    <w:rsid w:val="005B2285"/>
    <w:rsid w:val="005B280E"/>
    <w:rsid w:val="005B7403"/>
    <w:rsid w:val="005C1B2D"/>
    <w:rsid w:val="005C373C"/>
    <w:rsid w:val="005C57E3"/>
    <w:rsid w:val="005D29FA"/>
    <w:rsid w:val="005E1318"/>
    <w:rsid w:val="005E4C7C"/>
    <w:rsid w:val="005E6F5A"/>
    <w:rsid w:val="005F02A9"/>
    <w:rsid w:val="0060704B"/>
    <w:rsid w:val="00611964"/>
    <w:rsid w:val="00622F44"/>
    <w:rsid w:val="00626F18"/>
    <w:rsid w:val="00631E5C"/>
    <w:rsid w:val="00644F67"/>
    <w:rsid w:val="00651227"/>
    <w:rsid w:val="00652E66"/>
    <w:rsid w:val="0065428B"/>
    <w:rsid w:val="00663EAC"/>
    <w:rsid w:val="00671374"/>
    <w:rsid w:val="006733D7"/>
    <w:rsid w:val="00682959"/>
    <w:rsid w:val="00686745"/>
    <w:rsid w:val="00690892"/>
    <w:rsid w:val="006A7483"/>
    <w:rsid w:val="006B07C8"/>
    <w:rsid w:val="006B109B"/>
    <w:rsid w:val="006B21F7"/>
    <w:rsid w:val="006B722D"/>
    <w:rsid w:val="006D4B22"/>
    <w:rsid w:val="006D4DCF"/>
    <w:rsid w:val="006E5FAE"/>
    <w:rsid w:val="006E7276"/>
    <w:rsid w:val="006E7DC2"/>
    <w:rsid w:val="006F1753"/>
    <w:rsid w:val="006F34E4"/>
    <w:rsid w:val="0070089D"/>
    <w:rsid w:val="007045CD"/>
    <w:rsid w:val="00705B62"/>
    <w:rsid w:val="007121DE"/>
    <w:rsid w:val="00714858"/>
    <w:rsid w:val="007248B7"/>
    <w:rsid w:val="007256FA"/>
    <w:rsid w:val="00731145"/>
    <w:rsid w:val="00736F2F"/>
    <w:rsid w:val="00737ED9"/>
    <w:rsid w:val="00742D2B"/>
    <w:rsid w:val="0076054C"/>
    <w:rsid w:val="00766EAC"/>
    <w:rsid w:val="00766F10"/>
    <w:rsid w:val="00771C80"/>
    <w:rsid w:val="0077228D"/>
    <w:rsid w:val="00772831"/>
    <w:rsid w:val="0077389C"/>
    <w:rsid w:val="007805CE"/>
    <w:rsid w:val="007849A7"/>
    <w:rsid w:val="007911EB"/>
    <w:rsid w:val="00791B84"/>
    <w:rsid w:val="00793D77"/>
    <w:rsid w:val="00793F1B"/>
    <w:rsid w:val="007A56F4"/>
    <w:rsid w:val="007B07F4"/>
    <w:rsid w:val="007B0C2F"/>
    <w:rsid w:val="007B7824"/>
    <w:rsid w:val="007C288F"/>
    <w:rsid w:val="007D3EE5"/>
    <w:rsid w:val="007D4AC1"/>
    <w:rsid w:val="007D7435"/>
    <w:rsid w:val="007E6CE9"/>
    <w:rsid w:val="007E713C"/>
    <w:rsid w:val="008052C0"/>
    <w:rsid w:val="008124A9"/>
    <w:rsid w:val="00815C55"/>
    <w:rsid w:val="008166A8"/>
    <w:rsid w:val="00821234"/>
    <w:rsid w:val="008264C0"/>
    <w:rsid w:val="00826DCD"/>
    <w:rsid w:val="00827249"/>
    <w:rsid w:val="008273A1"/>
    <w:rsid w:val="00831FEC"/>
    <w:rsid w:val="008356A7"/>
    <w:rsid w:val="0084202D"/>
    <w:rsid w:val="0085058A"/>
    <w:rsid w:val="0085329E"/>
    <w:rsid w:val="008540BC"/>
    <w:rsid w:val="00856B43"/>
    <w:rsid w:val="00872D62"/>
    <w:rsid w:val="0087570E"/>
    <w:rsid w:val="00875A5D"/>
    <w:rsid w:val="00880E07"/>
    <w:rsid w:val="008816D3"/>
    <w:rsid w:val="0089081E"/>
    <w:rsid w:val="008909E6"/>
    <w:rsid w:val="00895847"/>
    <w:rsid w:val="008A6C56"/>
    <w:rsid w:val="008B0505"/>
    <w:rsid w:val="008C0564"/>
    <w:rsid w:val="008C62B8"/>
    <w:rsid w:val="008C77C9"/>
    <w:rsid w:val="008D1669"/>
    <w:rsid w:val="008D688E"/>
    <w:rsid w:val="008E49B0"/>
    <w:rsid w:val="008E77C2"/>
    <w:rsid w:val="00901109"/>
    <w:rsid w:val="00901BC3"/>
    <w:rsid w:val="00905719"/>
    <w:rsid w:val="00907B1D"/>
    <w:rsid w:val="00910B89"/>
    <w:rsid w:val="00913C46"/>
    <w:rsid w:val="0092017E"/>
    <w:rsid w:val="00923A16"/>
    <w:rsid w:val="00924F4C"/>
    <w:rsid w:val="009279F1"/>
    <w:rsid w:val="00927BA4"/>
    <w:rsid w:val="009328F1"/>
    <w:rsid w:val="00944634"/>
    <w:rsid w:val="0094592B"/>
    <w:rsid w:val="009471AC"/>
    <w:rsid w:val="00956D76"/>
    <w:rsid w:val="00967B87"/>
    <w:rsid w:val="0097450D"/>
    <w:rsid w:val="009768DF"/>
    <w:rsid w:val="0097736E"/>
    <w:rsid w:val="00984F1E"/>
    <w:rsid w:val="00986F74"/>
    <w:rsid w:val="0099011A"/>
    <w:rsid w:val="00996854"/>
    <w:rsid w:val="009A4A36"/>
    <w:rsid w:val="009B0B13"/>
    <w:rsid w:val="009B2E2E"/>
    <w:rsid w:val="009B68F4"/>
    <w:rsid w:val="009C0A13"/>
    <w:rsid w:val="009C6F00"/>
    <w:rsid w:val="009D0354"/>
    <w:rsid w:val="009E37D0"/>
    <w:rsid w:val="009E3B50"/>
    <w:rsid w:val="009E537C"/>
    <w:rsid w:val="009F1F8B"/>
    <w:rsid w:val="009F7414"/>
    <w:rsid w:val="00A01F58"/>
    <w:rsid w:val="00A07117"/>
    <w:rsid w:val="00A07977"/>
    <w:rsid w:val="00A10C51"/>
    <w:rsid w:val="00A10C9C"/>
    <w:rsid w:val="00A139C3"/>
    <w:rsid w:val="00A171E4"/>
    <w:rsid w:val="00A34AFB"/>
    <w:rsid w:val="00A373C0"/>
    <w:rsid w:val="00A45243"/>
    <w:rsid w:val="00A54948"/>
    <w:rsid w:val="00A54E28"/>
    <w:rsid w:val="00A55EC6"/>
    <w:rsid w:val="00A61FBD"/>
    <w:rsid w:val="00A6298D"/>
    <w:rsid w:val="00A64E41"/>
    <w:rsid w:val="00A719E8"/>
    <w:rsid w:val="00A750D9"/>
    <w:rsid w:val="00A81792"/>
    <w:rsid w:val="00A817D1"/>
    <w:rsid w:val="00A8323B"/>
    <w:rsid w:val="00A85AF3"/>
    <w:rsid w:val="00A868A2"/>
    <w:rsid w:val="00A920C8"/>
    <w:rsid w:val="00A96B79"/>
    <w:rsid w:val="00AA33E6"/>
    <w:rsid w:val="00AB4F12"/>
    <w:rsid w:val="00AC64D0"/>
    <w:rsid w:val="00AC6604"/>
    <w:rsid w:val="00AC6A1B"/>
    <w:rsid w:val="00AD13E9"/>
    <w:rsid w:val="00AD2696"/>
    <w:rsid w:val="00AD486B"/>
    <w:rsid w:val="00AD5962"/>
    <w:rsid w:val="00AD6FD0"/>
    <w:rsid w:val="00AD720A"/>
    <w:rsid w:val="00AE58C6"/>
    <w:rsid w:val="00AF0AE6"/>
    <w:rsid w:val="00AF6849"/>
    <w:rsid w:val="00AF716A"/>
    <w:rsid w:val="00B01983"/>
    <w:rsid w:val="00B0279E"/>
    <w:rsid w:val="00B03EAB"/>
    <w:rsid w:val="00B1108E"/>
    <w:rsid w:val="00B13FEC"/>
    <w:rsid w:val="00B235BC"/>
    <w:rsid w:val="00B23889"/>
    <w:rsid w:val="00B30A43"/>
    <w:rsid w:val="00B31012"/>
    <w:rsid w:val="00B31BFC"/>
    <w:rsid w:val="00B35789"/>
    <w:rsid w:val="00B41391"/>
    <w:rsid w:val="00B41AD1"/>
    <w:rsid w:val="00B451D9"/>
    <w:rsid w:val="00B50B1F"/>
    <w:rsid w:val="00B56EC4"/>
    <w:rsid w:val="00B6282A"/>
    <w:rsid w:val="00B6312C"/>
    <w:rsid w:val="00B6771B"/>
    <w:rsid w:val="00B70B90"/>
    <w:rsid w:val="00B73558"/>
    <w:rsid w:val="00B7532D"/>
    <w:rsid w:val="00B83C79"/>
    <w:rsid w:val="00B909C2"/>
    <w:rsid w:val="00B91B20"/>
    <w:rsid w:val="00B91D9A"/>
    <w:rsid w:val="00B93DE2"/>
    <w:rsid w:val="00BA3EE1"/>
    <w:rsid w:val="00BB0AD6"/>
    <w:rsid w:val="00BB1137"/>
    <w:rsid w:val="00BB15C4"/>
    <w:rsid w:val="00BB27DC"/>
    <w:rsid w:val="00BB655E"/>
    <w:rsid w:val="00BC76BB"/>
    <w:rsid w:val="00BF555C"/>
    <w:rsid w:val="00C01418"/>
    <w:rsid w:val="00C05528"/>
    <w:rsid w:val="00C0646E"/>
    <w:rsid w:val="00C1245F"/>
    <w:rsid w:val="00C12ADB"/>
    <w:rsid w:val="00C20DAE"/>
    <w:rsid w:val="00C25587"/>
    <w:rsid w:val="00C30FEE"/>
    <w:rsid w:val="00C54361"/>
    <w:rsid w:val="00C55EC4"/>
    <w:rsid w:val="00C604D7"/>
    <w:rsid w:val="00C606A4"/>
    <w:rsid w:val="00C672F6"/>
    <w:rsid w:val="00C75289"/>
    <w:rsid w:val="00C76D63"/>
    <w:rsid w:val="00C77B4E"/>
    <w:rsid w:val="00C82685"/>
    <w:rsid w:val="00C866A3"/>
    <w:rsid w:val="00C91C1E"/>
    <w:rsid w:val="00CB02B8"/>
    <w:rsid w:val="00CB1684"/>
    <w:rsid w:val="00CB35AF"/>
    <w:rsid w:val="00CC017E"/>
    <w:rsid w:val="00CC4EE9"/>
    <w:rsid w:val="00CC69B2"/>
    <w:rsid w:val="00CD02D4"/>
    <w:rsid w:val="00CD21A6"/>
    <w:rsid w:val="00CD27F0"/>
    <w:rsid w:val="00CD3E3C"/>
    <w:rsid w:val="00CD740C"/>
    <w:rsid w:val="00CE4249"/>
    <w:rsid w:val="00D01E9D"/>
    <w:rsid w:val="00D0634B"/>
    <w:rsid w:val="00D07766"/>
    <w:rsid w:val="00D12A15"/>
    <w:rsid w:val="00D20CEA"/>
    <w:rsid w:val="00D263FA"/>
    <w:rsid w:val="00D330CB"/>
    <w:rsid w:val="00D34563"/>
    <w:rsid w:val="00D410DD"/>
    <w:rsid w:val="00D411B1"/>
    <w:rsid w:val="00D61F16"/>
    <w:rsid w:val="00D63E1F"/>
    <w:rsid w:val="00D726EB"/>
    <w:rsid w:val="00D73F4C"/>
    <w:rsid w:val="00D9179A"/>
    <w:rsid w:val="00DA61C0"/>
    <w:rsid w:val="00DB255D"/>
    <w:rsid w:val="00DB6D4F"/>
    <w:rsid w:val="00DC0DE3"/>
    <w:rsid w:val="00DC5944"/>
    <w:rsid w:val="00DC6C90"/>
    <w:rsid w:val="00DC6F03"/>
    <w:rsid w:val="00DD185C"/>
    <w:rsid w:val="00DD65C6"/>
    <w:rsid w:val="00DD6D40"/>
    <w:rsid w:val="00DD7203"/>
    <w:rsid w:val="00DE79EB"/>
    <w:rsid w:val="00DF0D84"/>
    <w:rsid w:val="00DF5017"/>
    <w:rsid w:val="00E01F6A"/>
    <w:rsid w:val="00E0638B"/>
    <w:rsid w:val="00E07406"/>
    <w:rsid w:val="00E104CC"/>
    <w:rsid w:val="00E12643"/>
    <w:rsid w:val="00E16C2D"/>
    <w:rsid w:val="00E20296"/>
    <w:rsid w:val="00E21AB5"/>
    <w:rsid w:val="00E22820"/>
    <w:rsid w:val="00E25985"/>
    <w:rsid w:val="00E37991"/>
    <w:rsid w:val="00E41C88"/>
    <w:rsid w:val="00E4437C"/>
    <w:rsid w:val="00E737C3"/>
    <w:rsid w:val="00E73CF8"/>
    <w:rsid w:val="00E74327"/>
    <w:rsid w:val="00E828C7"/>
    <w:rsid w:val="00E82CF9"/>
    <w:rsid w:val="00E914D8"/>
    <w:rsid w:val="00E9342D"/>
    <w:rsid w:val="00E959BB"/>
    <w:rsid w:val="00E97137"/>
    <w:rsid w:val="00EA0AC9"/>
    <w:rsid w:val="00EA14B2"/>
    <w:rsid w:val="00EB6DC6"/>
    <w:rsid w:val="00EB7634"/>
    <w:rsid w:val="00EC0EFB"/>
    <w:rsid w:val="00EC2DD0"/>
    <w:rsid w:val="00ED5559"/>
    <w:rsid w:val="00ED65A6"/>
    <w:rsid w:val="00ED763E"/>
    <w:rsid w:val="00EE0AC8"/>
    <w:rsid w:val="00EF13D0"/>
    <w:rsid w:val="00F01286"/>
    <w:rsid w:val="00F0733A"/>
    <w:rsid w:val="00F103DB"/>
    <w:rsid w:val="00F2074C"/>
    <w:rsid w:val="00F265D6"/>
    <w:rsid w:val="00F44441"/>
    <w:rsid w:val="00F469A7"/>
    <w:rsid w:val="00F47862"/>
    <w:rsid w:val="00F57D97"/>
    <w:rsid w:val="00F65C62"/>
    <w:rsid w:val="00F66340"/>
    <w:rsid w:val="00F71143"/>
    <w:rsid w:val="00F71189"/>
    <w:rsid w:val="00F8032B"/>
    <w:rsid w:val="00F81F11"/>
    <w:rsid w:val="00F835A1"/>
    <w:rsid w:val="00F83F72"/>
    <w:rsid w:val="00F85215"/>
    <w:rsid w:val="00F85548"/>
    <w:rsid w:val="00F91624"/>
    <w:rsid w:val="00FA1380"/>
    <w:rsid w:val="00FA5190"/>
    <w:rsid w:val="00FB0938"/>
    <w:rsid w:val="00FB6E6A"/>
    <w:rsid w:val="00FC0BBB"/>
    <w:rsid w:val="00FC59DA"/>
    <w:rsid w:val="00FC5EA1"/>
    <w:rsid w:val="00FC69EF"/>
    <w:rsid w:val="00FD1B23"/>
    <w:rsid w:val="00FD2F04"/>
    <w:rsid w:val="00FD5600"/>
    <w:rsid w:val="00FD5609"/>
    <w:rsid w:val="00FE28F9"/>
    <w:rsid w:val="00FE3AD8"/>
    <w:rsid w:val="00FF20D9"/>
    <w:rsid w:val="00FF27F9"/>
    <w:rsid w:val="00FF43C4"/>
    <w:rsid w:val="016B62F6"/>
    <w:rsid w:val="01AB497B"/>
    <w:rsid w:val="023F2664"/>
    <w:rsid w:val="02CB13C0"/>
    <w:rsid w:val="02F0571A"/>
    <w:rsid w:val="02F43704"/>
    <w:rsid w:val="03206975"/>
    <w:rsid w:val="03E12307"/>
    <w:rsid w:val="04205056"/>
    <w:rsid w:val="04691374"/>
    <w:rsid w:val="04D1666C"/>
    <w:rsid w:val="05084EDC"/>
    <w:rsid w:val="051478AB"/>
    <w:rsid w:val="054A4BEB"/>
    <w:rsid w:val="05630983"/>
    <w:rsid w:val="0592662B"/>
    <w:rsid w:val="05C20A88"/>
    <w:rsid w:val="05C218F7"/>
    <w:rsid w:val="06A108F0"/>
    <w:rsid w:val="06DE2EBB"/>
    <w:rsid w:val="088279F8"/>
    <w:rsid w:val="08D428B8"/>
    <w:rsid w:val="092978CC"/>
    <w:rsid w:val="09BD71A8"/>
    <w:rsid w:val="09BE2F12"/>
    <w:rsid w:val="09DF74B0"/>
    <w:rsid w:val="0A1D318C"/>
    <w:rsid w:val="0A395E6C"/>
    <w:rsid w:val="0A412928"/>
    <w:rsid w:val="0A4473AD"/>
    <w:rsid w:val="0A455D9E"/>
    <w:rsid w:val="0A573132"/>
    <w:rsid w:val="0AEE5F81"/>
    <w:rsid w:val="0AF968BA"/>
    <w:rsid w:val="0B112338"/>
    <w:rsid w:val="0BC427CC"/>
    <w:rsid w:val="0BE80DC0"/>
    <w:rsid w:val="0C0C272E"/>
    <w:rsid w:val="0C2921A6"/>
    <w:rsid w:val="0C352CC9"/>
    <w:rsid w:val="0CBA6708"/>
    <w:rsid w:val="0CD85BD3"/>
    <w:rsid w:val="0D2A6064"/>
    <w:rsid w:val="0D2D18AC"/>
    <w:rsid w:val="0D477588"/>
    <w:rsid w:val="0D6070FA"/>
    <w:rsid w:val="0E170857"/>
    <w:rsid w:val="0F6A060A"/>
    <w:rsid w:val="0F821CED"/>
    <w:rsid w:val="0FBA0015"/>
    <w:rsid w:val="0FFC464E"/>
    <w:rsid w:val="10A05AE3"/>
    <w:rsid w:val="127C2D67"/>
    <w:rsid w:val="13E45583"/>
    <w:rsid w:val="13FF4D9B"/>
    <w:rsid w:val="142F346D"/>
    <w:rsid w:val="148E6004"/>
    <w:rsid w:val="1516466D"/>
    <w:rsid w:val="15432B61"/>
    <w:rsid w:val="15C02A4D"/>
    <w:rsid w:val="15D26B7C"/>
    <w:rsid w:val="17A4444F"/>
    <w:rsid w:val="17AA4FFC"/>
    <w:rsid w:val="17E257B5"/>
    <w:rsid w:val="182F0196"/>
    <w:rsid w:val="18304DB4"/>
    <w:rsid w:val="184D472C"/>
    <w:rsid w:val="188264DE"/>
    <w:rsid w:val="18AF3114"/>
    <w:rsid w:val="19116713"/>
    <w:rsid w:val="19842917"/>
    <w:rsid w:val="1A1570EE"/>
    <w:rsid w:val="1ACA1479"/>
    <w:rsid w:val="1B1B78AF"/>
    <w:rsid w:val="1BAB555D"/>
    <w:rsid w:val="1C301AAE"/>
    <w:rsid w:val="1C4E1582"/>
    <w:rsid w:val="1CF0019E"/>
    <w:rsid w:val="1D8D4DC6"/>
    <w:rsid w:val="1E6574A9"/>
    <w:rsid w:val="1E930E59"/>
    <w:rsid w:val="1F0F085B"/>
    <w:rsid w:val="1F606A7A"/>
    <w:rsid w:val="1F6F2C89"/>
    <w:rsid w:val="1F76555A"/>
    <w:rsid w:val="1F7F0077"/>
    <w:rsid w:val="1FA82EF7"/>
    <w:rsid w:val="1FC30524"/>
    <w:rsid w:val="1FD74F96"/>
    <w:rsid w:val="201B3214"/>
    <w:rsid w:val="20EB261F"/>
    <w:rsid w:val="214B6033"/>
    <w:rsid w:val="217E588D"/>
    <w:rsid w:val="22F8796A"/>
    <w:rsid w:val="230159DA"/>
    <w:rsid w:val="24416D96"/>
    <w:rsid w:val="247A7EC6"/>
    <w:rsid w:val="252B686E"/>
    <w:rsid w:val="25706846"/>
    <w:rsid w:val="25887747"/>
    <w:rsid w:val="25E64956"/>
    <w:rsid w:val="261A7E30"/>
    <w:rsid w:val="26A43314"/>
    <w:rsid w:val="27092E73"/>
    <w:rsid w:val="27092F1C"/>
    <w:rsid w:val="27176953"/>
    <w:rsid w:val="281D33A8"/>
    <w:rsid w:val="29124525"/>
    <w:rsid w:val="29C4355E"/>
    <w:rsid w:val="29C60204"/>
    <w:rsid w:val="2A015D18"/>
    <w:rsid w:val="2B1D7557"/>
    <w:rsid w:val="2B3014B5"/>
    <w:rsid w:val="2B3E4964"/>
    <w:rsid w:val="2BAA31D2"/>
    <w:rsid w:val="2C441079"/>
    <w:rsid w:val="2C6B7D2D"/>
    <w:rsid w:val="2DC55114"/>
    <w:rsid w:val="2DEA2F44"/>
    <w:rsid w:val="2E80761A"/>
    <w:rsid w:val="2F7B5AAF"/>
    <w:rsid w:val="2FFE0A6B"/>
    <w:rsid w:val="30133DC6"/>
    <w:rsid w:val="304D1142"/>
    <w:rsid w:val="30FB4394"/>
    <w:rsid w:val="312520EC"/>
    <w:rsid w:val="317704DF"/>
    <w:rsid w:val="32FE78AF"/>
    <w:rsid w:val="331A5FBD"/>
    <w:rsid w:val="33231168"/>
    <w:rsid w:val="334F276A"/>
    <w:rsid w:val="33671469"/>
    <w:rsid w:val="336F3EEC"/>
    <w:rsid w:val="34101BF0"/>
    <w:rsid w:val="342976F9"/>
    <w:rsid w:val="34DB2902"/>
    <w:rsid w:val="351918AC"/>
    <w:rsid w:val="35582558"/>
    <w:rsid w:val="3630445E"/>
    <w:rsid w:val="36CD37AB"/>
    <w:rsid w:val="36D26B33"/>
    <w:rsid w:val="37076EA0"/>
    <w:rsid w:val="37676CB8"/>
    <w:rsid w:val="37AD330F"/>
    <w:rsid w:val="38495031"/>
    <w:rsid w:val="388C04DD"/>
    <w:rsid w:val="390B288A"/>
    <w:rsid w:val="394D1D50"/>
    <w:rsid w:val="3972124B"/>
    <w:rsid w:val="39DD0E6E"/>
    <w:rsid w:val="39DF4284"/>
    <w:rsid w:val="3A336B35"/>
    <w:rsid w:val="3A48089E"/>
    <w:rsid w:val="3A721021"/>
    <w:rsid w:val="3B632D40"/>
    <w:rsid w:val="3B80480B"/>
    <w:rsid w:val="3BDF5065"/>
    <w:rsid w:val="3C95632B"/>
    <w:rsid w:val="3CC3312A"/>
    <w:rsid w:val="3CE46D1D"/>
    <w:rsid w:val="3D024B25"/>
    <w:rsid w:val="3D267D61"/>
    <w:rsid w:val="3D374538"/>
    <w:rsid w:val="3D865031"/>
    <w:rsid w:val="3DA77D50"/>
    <w:rsid w:val="3DF02E36"/>
    <w:rsid w:val="3E07010B"/>
    <w:rsid w:val="3E9927E2"/>
    <w:rsid w:val="3ED35A71"/>
    <w:rsid w:val="3F3B0142"/>
    <w:rsid w:val="3FBF6385"/>
    <w:rsid w:val="40D146C9"/>
    <w:rsid w:val="414C6D35"/>
    <w:rsid w:val="428E3FC3"/>
    <w:rsid w:val="432E0F2D"/>
    <w:rsid w:val="43E426E2"/>
    <w:rsid w:val="442908AE"/>
    <w:rsid w:val="448466F3"/>
    <w:rsid w:val="44EB5139"/>
    <w:rsid w:val="46784787"/>
    <w:rsid w:val="46B40402"/>
    <w:rsid w:val="47372A6C"/>
    <w:rsid w:val="47A93FD6"/>
    <w:rsid w:val="47F50747"/>
    <w:rsid w:val="489565FF"/>
    <w:rsid w:val="48BE6773"/>
    <w:rsid w:val="49092F82"/>
    <w:rsid w:val="491D50A1"/>
    <w:rsid w:val="49252B30"/>
    <w:rsid w:val="49C3200F"/>
    <w:rsid w:val="49FB3591"/>
    <w:rsid w:val="4A3176A9"/>
    <w:rsid w:val="4A591A6A"/>
    <w:rsid w:val="4A6F7971"/>
    <w:rsid w:val="4A732FC3"/>
    <w:rsid w:val="4AA82C2D"/>
    <w:rsid w:val="4AC214ED"/>
    <w:rsid w:val="4B041C41"/>
    <w:rsid w:val="4B4214FB"/>
    <w:rsid w:val="4BFE7C77"/>
    <w:rsid w:val="4C085554"/>
    <w:rsid w:val="4C785C90"/>
    <w:rsid w:val="4C9258BF"/>
    <w:rsid w:val="4CEA0FE2"/>
    <w:rsid w:val="4D980958"/>
    <w:rsid w:val="4DD52905"/>
    <w:rsid w:val="4E01067D"/>
    <w:rsid w:val="4E012CAD"/>
    <w:rsid w:val="4E3724EB"/>
    <w:rsid w:val="4E99319A"/>
    <w:rsid w:val="4ED22DFD"/>
    <w:rsid w:val="4EE030DA"/>
    <w:rsid w:val="4F3A2CEA"/>
    <w:rsid w:val="4F95298C"/>
    <w:rsid w:val="50380196"/>
    <w:rsid w:val="51A853FA"/>
    <w:rsid w:val="51C23B31"/>
    <w:rsid w:val="521A777D"/>
    <w:rsid w:val="52324ED8"/>
    <w:rsid w:val="5298299D"/>
    <w:rsid w:val="52992154"/>
    <w:rsid w:val="52C15CF9"/>
    <w:rsid w:val="53343845"/>
    <w:rsid w:val="53FE74AB"/>
    <w:rsid w:val="542640A1"/>
    <w:rsid w:val="548D6E9C"/>
    <w:rsid w:val="559D42A0"/>
    <w:rsid w:val="55BA2415"/>
    <w:rsid w:val="55C04168"/>
    <w:rsid w:val="57645477"/>
    <w:rsid w:val="57CD1191"/>
    <w:rsid w:val="583F49CF"/>
    <w:rsid w:val="58CC7907"/>
    <w:rsid w:val="590B27AB"/>
    <w:rsid w:val="591D2D22"/>
    <w:rsid w:val="59812694"/>
    <w:rsid w:val="5A6A0A55"/>
    <w:rsid w:val="5AF3076A"/>
    <w:rsid w:val="5B132661"/>
    <w:rsid w:val="5C822C4F"/>
    <w:rsid w:val="5CD061DD"/>
    <w:rsid w:val="5D154F95"/>
    <w:rsid w:val="5D316A3A"/>
    <w:rsid w:val="5DD65BAD"/>
    <w:rsid w:val="5E4919C2"/>
    <w:rsid w:val="5E6738DC"/>
    <w:rsid w:val="5EBD385C"/>
    <w:rsid w:val="5EEA30DE"/>
    <w:rsid w:val="5F815E1A"/>
    <w:rsid w:val="600711EA"/>
    <w:rsid w:val="607E1888"/>
    <w:rsid w:val="615C4FBA"/>
    <w:rsid w:val="61681F31"/>
    <w:rsid w:val="616C5BA1"/>
    <w:rsid w:val="61CA73D2"/>
    <w:rsid w:val="6276094E"/>
    <w:rsid w:val="630C2BB0"/>
    <w:rsid w:val="638E64B7"/>
    <w:rsid w:val="645D4E99"/>
    <w:rsid w:val="646C13B3"/>
    <w:rsid w:val="647C66C6"/>
    <w:rsid w:val="648241DA"/>
    <w:rsid w:val="64857F81"/>
    <w:rsid w:val="64922636"/>
    <w:rsid w:val="64D2643A"/>
    <w:rsid w:val="652D46F5"/>
    <w:rsid w:val="6563556B"/>
    <w:rsid w:val="6577678D"/>
    <w:rsid w:val="658C1C9A"/>
    <w:rsid w:val="65957C87"/>
    <w:rsid w:val="6614248C"/>
    <w:rsid w:val="66DD0228"/>
    <w:rsid w:val="67AF564B"/>
    <w:rsid w:val="67C9563F"/>
    <w:rsid w:val="68186F33"/>
    <w:rsid w:val="68535A23"/>
    <w:rsid w:val="68927939"/>
    <w:rsid w:val="689B396F"/>
    <w:rsid w:val="68DE6CC7"/>
    <w:rsid w:val="68F277FC"/>
    <w:rsid w:val="69335B0D"/>
    <w:rsid w:val="693403DF"/>
    <w:rsid w:val="69CD4D48"/>
    <w:rsid w:val="6A746D68"/>
    <w:rsid w:val="6AFA1082"/>
    <w:rsid w:val="6BAB65DC"/>
    <w:rsid w:val="6BC75BCA"/>
    <w:rsid w:val="6BF66C0F"/>
    <w:rsid w:val="6CA57945"/>
    <w:rsid w:val="6D101A45"/>
    <w:rsid w:val="6DED60C3"/>
    <w:rsid w:val="6E0262E7"/>
    <w:rsid w:val="6E2F46ED"/>
    <w:rsid w:val="6E994CDA"/>
    <w:rsid w:val="6F23431E"/>
    <w:rsid w:val="6F827009"/>
    <w:rsid w:val="6FC51378"/>
    <w:rsid w:val="6FD94B88"/>
    <w:rsid w:val="6FE508DA"/>
    <w:rsid w:val="70AA35D4"/>
    <w:rsid w:val="70C6369C"/>
    <w:rsid w:val="71385900"/>
    <w:rsid w:val="714E0CE9"/>
    <w:rsid w:val="71A321C0"/>
    <w:rsid w:val="72C07A2B"/>
    <w:rsid w:val="72DD3127"/>
    <w:rsid w:val="72F10719"/>
    <w:rsid w:val="732F0468"/>
    <w:rsid w:val="737A2E24"/>
    <w:rsid w:val="7408000A"/>
    <w:rsid w:val="743C1F3D"/>
    <w:rsid w:val="747C0ED3"/>
    <w:rsid w:val="751B7CB5"/>
    <w:rsid w:val="758254CE"/>
    <w:rsid w:val="75E96AC8"/>
    <w:rsid w:val="77251757"/>
    <w:rsid w:val="77B2004A"/>
    <w:rsid w:val="793C6101"/>
    <w:rsid w:val="79A13C6A"/>
    <w:rsid w:val="79D63FD7"/>
    <w:rsid w:val="7A8A50A2"/>
    <w:rsid w:val="7AC35F10"/>
    <w:rsid w:val="7B1D7E3B"/>
    <w:rsid w:val="7B7E7CC1"/>
    <w:rsid w:val="7B85673C"/>
    <w:rsid w:val="7BB07AA3"/>
    <w:rsid w:val="7C3623F1"/>
    <w:rsid w:val="7C484CAE"/>
    <w:rsid w:val="7C4B5D63"/>
    <w:rsid w:val="7D316297"/>
    <w:rsid w:val="7D8457E7"/>
    <w:rsid w:val="7E735E71"/>
    <w:rsid w:val="7EAD6AD7"/>
    <w:rsid w:val="7EBF5558"/>
    <w:rsid w:val="7EEC45DF"/>
    <w:rsid w:val="7F5A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1"/>
    <w:qFormat/>
    <w:uiPriority w:val="0"/>
    <w:pPr>
      <w:keepNext/>
      <w:keepLines/>
      <w:adjustRightInd w:val="0"/>
      <w:spacing w:before="340" w:after="330" w:line="578" w:lineRule="atLeast"/>
      <w:ind w:firstLine="288"/>
      <w:jc w:val="left"/>
      <w:textAlignment w:val="baseline"/>
      <w:outlineLvl w:val="0"/>
    </w:pPr>
    <w:rPr>
      <w:b/>
      <w:bCs/>
      <w:kern w:val="44"/>
      <w:sz w:val="32"/>
      <w:szCs w:val="44"/>
    </w:rPr>
  </w:style>
  <w:style w:type="paragraph" w:styleId="4">
    <w:name w:val="heading 2"/>
    <w:basedOn w:val="1"/>
    <w:next w:val="1"/>
    <w:link w:val="4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43"/>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4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45"/>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46"/>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47"/>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48"/>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49"/>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0"/>
    <w:pPr>
      <w:spacing w:after="120"/>
      <w:jc w:val="left"/>
    </w:pPr>
    <w:rPr>
      <w:kern w:val="0"/>
      <w:sz w:val="24"/>
      <w:szCs w:val="24"/>
    </w:rPr>
  </w:style>
  <w:style w:type="paragraph" w:styleId="12">
    <w:name w:val="List 3"/>
    <w:basedOn w:val="1"/>
    <w:qFormat/>
    <w:uiPriority w:val="0"/>
    <w:pPr>
      <w:ind w:left="100" w:leftChars="400" w:hanging="200" w:hangingChars="200"/>
    </w:pPr>
  </w:style>
  <w:style w:type="paragraph" w:styleId="13">
    <w:name w:val="Normal Indent"/>
    <w:basedOn w:val="1"/>
    <w:unhideWhenUsed/>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50"/>
    <w:semiHidden/>
    <w:qFormat/>
    <w:uiPriority w:val="0"/>
    <w:pPr>
      <w:shd w:val="clear" w:color="auto" w:fill="000080"/>
    </w:pPr>
  </w:style>
  <w:style w:type="paragraph" w:styleId="16">
    <w:name w:val="annotation text"/>
    <w:basedOn w:val="1"/>
    <w:link w:val="51"/>
    <w:unhideWhenUsed/>
    <w:qFormat/>
    <w:uiPriority w:val="0"/>
    <w:pPr>
      <w:jc w:val="left"/>
    </w:pPr>
  </w:style>
  <w:style w:type="paragraph" w:styleId="17">
    <w:name w:val="Body Text 3"/>
    <w:basedOn w:val="1"/>
    <w:link w:val="52"/>
    <w:qFormat/>
    <w:uiPriority w:val="0"/>
    <w:pPr>
      <w:spacing w:after="120"/>
    </w:pPr>
    <w:rPr>
      <w:sz w:val="16"/>
      <w:szCs w:val="16"/>
    </w:rPr>
  </w:style>
  <w:style w:type="paragraph" w:styleId="18">
    <w:name w:val="Body Text Indent"/>
    <w:basedOn w:val="1"/>
    <w:link w:val="53"/>
    <w:qFormat/>
    <w:uiPriority w:val="0"/>
    <w:pPr>
      <w:spacing w:line="500" w:lineRule="exact"/>
      <w:ind w:left="1588" w:leftChars="832" w:firstLine="433" w:firstLineChars="196"/>
    </w:pPr>
    <w:rPr>
      <w:kern w:val="0"/>
      <w:sz w:val="24"/>
      <w:szCs w:val="24"/>
    </w:rPr>
  </w:style>
  <w:style w:type="paragraph" w:styleId="19">
    <w:name w:val="List 2"/>
    <w:basedOn w:val="1"/>
    <w:qFormat/>
    <w:uiPriority w:val="0"/>
    <w:pPr>
      <w:ind w:left="100" w:leftChars="200" w:hanging="200" w:hangingChars="200"/>
    </w:pPr>
  </w:style>
  <w:style w:type="paragraph" w:styleId="20">
    <w:name w:val="toc 3"/>
    <w:basedOn w:val="1"/>
    <w:next w:val="1"/>
    <w:qFormat/>
    <w:uiPriority w:val="39"/>
    <w:pPr>
      <w:ind w:left="840" w:leftChars="400"/>
    </w:pPr>
  </w:style>
  <w:style w:type="paragraph" w:styleId="21">
    <w:name w:val="Plain Text"/>
    <w:basedOn w:val="1"/>
    <w:link w:val="54"/>
    <w:qFormat/>
    <w:uiPriority w:val="0"/>
    <w:rPr>
      <w:rFonts w:ascii="宋体" w:hAnsi="Courier New"/>
      <w:kern w:val="0"/>
      <w:sz w:val="20"/>
      <w:szCs w:val="21"/>
    </w:rPr>
  </w:style>
  <w:style w:type="paragraph" w:styleId="22">
    <w:name w:val="Date"/>
    <w:basedOn w:val="1"/>
    <w:next w:val="1"/>
    <w:link w:val="55"/>
    <w:qFormat/>
    <w:uiPriority w:val="0"/>
    <w:pPr>
      <w:ind w:left="100" w:leftChars="2500"/>
    </w:pPr>
  </w:style>
  <w:style w:type="paragraph" w:styleId="23">
    <w:name w:val="Body Text Indent 2"/>
    <w:basedOn w:val="1"/>
    <w:link w:val="56"/>
    <w:qFormat/>
    <w:uiPriority w:val="0"/>
    <w:pPr>
      <w:spacing w:after="120" w:line="480" w:lineRule="auto"/>
      <w:ind w:left="420" w:leftChars="200"/>
    </w:pPr>
  </w:style>
  <w:style w:type="paragraph" w:styleId="24">
    <w:name w:val="Balloon Text"/>
    <w:basedOn w:val="1"/>
    <w:link w:val="57"/>
    <w:semiHidden/>
    <w:qFormat/>
    <w:uiPriority w:val="0"/>
    <w:rPr>
      <w:sz w:val="18"/>
      <w:szCs w:val="18"/>
    </w:rPr>
  </w:style>
  <w:style w:type="paragraph" w:styleId="25">
    <w:name w:val="footer"/>
    <w:basedOn w:val="1"/>
    <w:link w:val="58"/>
    <w:qFormat/>
    <w:uiPriority w:val="99"/>
    <w:pPr>
      <w:tabs>
        <w:tab w:val="center" w:pos="4153"/>
        <w:tab w:val="right" w:pos="8306"/>
      </w:tabs>
      <w:snapToGrid w:val="0"/>
      <w:jc w:val="left"/>
    </w:pPr>
    <w:rPr>
      <w:kern w:val="0"/>
      <w:sz w:val="18"/>
      <w:szCs w:val="18"/>
    </w:rPr>
  </w:style>
  <w:style w:type="paragraph" w:styleId="26">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8302"/>
      </w:tabs>
    </w:pPr>
  </w:style>
  <w:style w:type="paragraph" w:styleId="28">
    <w:name w:val="Body Text Indent 3"/>
    <w:basedOn w:val="1"/>
    <w:link w:val="60"/>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9">
    <w:name w:val="toc 2"/>
    <w:basedOn w:val="1"/>
    <w:next w:val="1"/>
    <w:qFormat/>
    <w:uiPriority w:val="39"/>
    <w:pPr>
      <w:ind w:left="420" w:leftChars="200"/>
    </w:pPr>
  </w:style>
  <w:style w:type="paragraph" w:styleId="30">
    <w:name w:val="Normal (Web)"/>
    <w:basedOn w:val="1"/>
    <w:qFormat/>
    <w:uiPriority w:val="0"/>
    <w:rPr>
      <w:sz w:val="24"/>
    </w:rPr>
  </w:style>
  <w:style w:type="paragraph" w:styleId="31">
    <w:name w:val="Title"/>
    <w:basedOn w:val="1"/>
    <w:qFormat/>
    <w:uiPriority w:val="0"/>
    <w:pPr>
      <w:spacing w:before="240" w:after="60"/>
      <w:jc w:val="center"/>
      <w:outlineLvl w:val="0"/>
    </w:pPr>
    <w:rPr>
      <w:rFonts w:ascii="Arial" w:hAnsi="Arial"/>
      <w:sz w:val="32"/>
    </w:rPr>
  </w:style>
  <w:style w:type="paragraph" w:styleId="32">
    <w:name w:val="annotation subject"/>
    <w:basedOn w:val="16"/>
    <w:next w:val="16"/>
    <w:link w:val="61"/>
    <w:semiHidden/>
    <w:qFormat/>
    <w:uiPriority w:val="0"/>
    <w:rPr>
      <w:b/>
      <w:bCs/>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page number"/>
    <w:qFormat/>
    <w:uiPriority w:val="0"/>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正文文本 Char"/>
    <w:link w:val="2"/>
    <w:qFormat/>
    <w:uiPriority w:val="0"/>
    <w:rPr>
      <w:rFonts w:ascii="Times New Roman" w:hAnsi="Times New Roman" w:eastAsia="宋体"/>
      <w:sz w:val="24"/>
      <w:szCs w:val="24"/>
    </w:rPr>
  </w:style>
  <w:style w:type="character" w:customStyle="1" w:styleId="41">
    <w:name w:val="标题 1 Char"/>
    <w:link w:val="3"/>
    <w:qFormat/>
    <w:uiPriority w:val="0"/>
    <w:rPr>
      <w:rFonts w:ascii="Times New Roman" w:hAnsi="Times New Roman" w:eastAsia="宋体" w:cs="Times New Roman"/>
      <w:b/>
      <w:bCs/>
      <w:kern w:val="44"/>
      <w:sz w:val="32"/>
      <w:szCs w:val="44"/>
    </w:rPr>
  </w:style>
  <w:style w:type="character" w:customStyle="1" w:styleId="42">
    <w:name w:val="标题 2 Char"/>
    <w:link w:val="4"/>
    <w:qFormat/>
    <w:uiPriority w:val="0"/>
    <w:rPr>
      <w:rFonts w:ascii="Arial" w:hAnsi="Arial" w:eastAsia="黑体" w:cs="Times New Roman"/>
      <w:b/>
      <w:bCs/>
      <w:kern w:val="0"/>
      <w:sz w:val="32"/>
      <w:szCs w:val="32"/>
    </w:rPr>
  </w:style>
  <w:style w:type="character" w:customStyle="1" w:styleId="43">
    <w:name w:val="标题 3 Char"/>
    <w:link w:val="5"/>
    <w:qFormat/>
    <w:uiPriority w:val="0"/>
    <w:rPr>
      <w:rFonts w:ascii="Calibri" w:hAnsi="Calibri" w:eastAsia="宋体" w:cs="Times New Roman"/>
      <w:b/>
      <w:bCs/>
      <w:kern w:val="0"/>
      <w:sz w:val="32"/>
      <w:szCs w:val="32"/>
    </w:rPr>
  </w:style>
  <w:style w:type="character" w:customStyle="1" w:styleId="44">
    <w:name w:val="标题 4 Char"/>
    <w:link w:val="6"/>
    <w:qFormat/>
    <w:uiPriority w:val="0"/>
    <w:rPr>
      <w:rFonts w:ascii="Arial" w:hAnsi="Arial" w:eastAsia="黑体" w:cs="Times New Roman"/>
      <w:b/>
      <w:bCs/>
      <w:kern w:val="0"/>
      <w:sz w:val="28"/>
      <w:szCs w:val="28"/>
    </w:rPr>
  </w:style>
  <w:style w:type="character" w:customStyle="1" w:styleId="45">
    <w:name w:val="标题 5 Char"/>
    <w:link w:val="7"/>
    <w:qFormat/>
    <w:uiPriority w:val="0"/>
    <w:rPr>
      <w:rFonts w:ascii="Calibri" w:hAnsi="Calibri" w:eastAsia="宋体" w:cs="Times New Roman"/>
      <w:b/>
      <w:bCs/>
      <w:kern w:val="0"/>
      <w:sz w:val="28"/>
      <w:szCs w:val="28"/>
    </w:rPr>
  </w:style>
  <w:style w:type="character" w:customStyle="1" w:styleId="46">
    <w:name w:val="标题 6 Char"/>
    <w:link w:val="8"/>
    <w:qFormat/>
    <w:uiPriority w:val="0"/>
    <w:rPr>
      <w:rFonts w:ascii="Arial" w:hAnsi="Arial" w:eastAsia="黑体" w:cs="Times New Roman"/>
      <w:b/>
      <w:bCs/>
      <w:kern w:val="0"/>
      <w:sz w:val="24"/>
    </w:rPr>
  </w:style>
  <w:style w:type="character" w:customStyle="1" w:styleId="47">
    <w:name w:val="标题 7 Char"/>
    <w:link w:val="9"/>
    <w:qFormat/>
    <w:uiPriority w:val="0"/>
    <w:rPr>
      <w:rFonts w:ascii="Calibri" w:hAnsi="Calibri" w:eastAsia="宋体" w:cs="Times New Roman"/>
      <w:b/>
      <w:bCs/>
      <w:kern w:val="0"/>
      <w:sz w:val="24"/>
    </w:rPr>
  </w:style>
  <w:style w:type="character" w:customStyle="1" w:styleId="48">
    <w:name w:val="标题 8 Char"/>
    <w:link w:val="10"/>
    <w:qFormat/>
    <w:uiPriority w:val="0"/>
    <w:rPr>
      <w:rFonts w:ascii="Arial" w:hAnsi="Arial" w:eastAsia="黑体" w:cs="Times New Roman"/>
      <w:kern w:val="0"/>
      <w:sz w:val="24"/>
    </w:rPr>
  </w:style>
  <w:style w:type="character" w:customStyle="1" w:styleId="49">
    <w:name w:val="标题 9 Char"/>
    <w:link w:val="11"/>
    <w:qFormat/>
    <w:uiPriority w:val="0"/>
    <w:rPr>
      <w:rFonts w:ascii="Arial" w:hAnsi="Arial" w:eastAsia="黑体" w:cs="Times New Roman"/>
      <w:kern w:val="0"/>
      <w:szCs w:val="21"/>
    </w:rPr>
  </w:style>
  <w:style w:type="character" w:customStyle="1" w:styleId="50">
    <w:name w:val="文档结构图 Char"/>
    <w:link w:val="15"/>
    <w:semiHidden/>
    <w:qFormat/>
    <w:uiPriority w:val="0"/>
    <w:rPr>
      <w:rFonts w:ascii="Calibri" w:hAnsi="Calibri" w:eastAsia="宋体" w:cs="Times New Roman"/>
      <w:shd w:val="clear" w:color="auto" w:fill="000080"/>
    </w:rPr>
  </w:style>
  <w:style w:type="character" w:customStyle="1" w:styleId="51">
    <w:name w:val="批注文字 Char1"/>
    <w:link w:val="16"/>
    <w:semiHidden/>
    <w:qFormat/>
    <w:uiPriority w:val="99"/>
    <w:rPr>
      <w:rFonts w:ascii="Calibri" w:hAnsi="Calibri" w:eastAsia="宋体" w:cs="Times New Roman"/>
    </w:rPr>
  </w:style>
  <w:style w:type="character" w:customStyle="1" w:styleId="52">
    <w:name w:val="正文文本 3 Char"/>
    <w:link w:val="17"/>
    <w:qFormat/>
    <w:uiPriority w:val="0"/>
    <w:rPr>
      <w:rFonts w:ascii="Calibri" w:hAnsi="Calibri" w:eastAsia="宋体" w:cs="Times New Roman"/>
      <w:sz w:val="16"/>
      <w:szCs w:val="16"/>
    </w:rPr>
  </w:style>
  <w:style w:type="character" w:customStyle="1" w:styleId="53">
    <w:name w:val="正文文本缩进 Char"/>
    <w:link w:val="18"/>
    <w:qFormat/>
    <w:uiPriority w:val="0"/>
    <w:rPr>
      <w:rFonts w:eastAsia="宋体"/>
      <w:sz w:val="24"/>
      <w:szCs w:val="24"/>
    </w:rPr>
  </w:style>
  <w:style w:type="character" w:customStyle="1" w:styleId="54">
    <w:name w:val="纯文本 Char"/>
    <w:link w:val="21"/>
    <w:qFormat/>
    <w:uiPriority w:val="0"/>
    <w:rPr>
      <w:rFonts w:ascii="宋体" w:hAnsi="Courier New" w:eastAsia="宋体"/>
      <w:szCs w:val="21"/>
    </w:rPr>
  </w:style>
  <w:style w:type="character" w:customStyle="1" w:styleId="55">
    <w:name w:val="日期 Char1"/>
    <w:link w:val="22"/>
    <w:qFormat/>
    <w:uiPriority w:val="0"/>
    <w:rPr>
      <w:rFonts w:ascii="Calibri" w:hAnsi="Calibri" w:eastAsia="宋体" w:cs="Times New Roman"/>
    </w:rPr>
  </w:style>
  <w:style w:type="character" w:customStyle="1" w:styleId="56">
    <w:name w:val="正文文本缩进 2 Char"/>
    <w:link w:val="23"/>
    <w:qFormat/>
    <w:uiPriority w:val="0"/>
    <w:rPr>
      <w:rFonts w:ascii="Calibri" w:hAnsi="Calibri" w:eastAsia="宋体" w:cs="Times New Roman"/>
    </w:rPr>
  </w:style>
  <w:style w:type="character" w:customStyle="1" w:styleId="57">
    <w:name w:val="批注框文本 Char"/>
    <w:link w:val="24"/>
    <w:semiHidden/>
    <w:qFormat/>
    <w:uiPriority w:val="0"/>
    <w:rPr>
      <w:rFonts w:ascii="Calibri" w:hAnsi="Calibri" w:eastAsia="宋体" w:cs="Times New Roman"/>
      <w:sz w:val="18"/>
      <w:szCs w:val="18"/>
    </w:rPr>
  </w:style>
  <w:style w:type="character" w:customStyle="1" w:styleId="58">
    <w:name w:val="页脚 Char"/>
    <w:link w:val="25"/>
    <w:qFormat/>
    <w:uiPriority w:val="99"/>
    <w:rPr>
      <w:sz w:val="18"/>
      <w:szCs w:val="18"/>
    </w:rPr>
  </w:style>
  <w:style w:type="character" w:customStyle="1" w:styleId="59">
    <w:name w:val="页眉 Char"/>
    <w:link w:val="26"/>
    <w:qFormat/>
    <w:uiPriority w:val="0"/>
    <w:rPr>
      <w:rFonts w:ascii="Calibri" w:hAnsi="Calibri" w:eastAsia="宋体" w:cs="Times New Roman"/>
      <w:sz w:val="18"/>
      <w:szCs w:val="18"/>
    </w:rPr>
  </w:style>
  <w:style w:type="character" w:customStyle="1" w:styleId="60">
    <w:name w:val="正文文本缩进 3 Char"/>
    <w:link w:val="28"/>
    <w:qFormat/>
    <w:uiPriority w:val="0"/>
    <w:rPr>
      <w:rFonts w:ascii="Calibri" w:hAnsi="Calibri" w:eastAsia="黑体" w:cs="Times New Roman"/>
      <w:b/>
      <w:bCs/>
      <w:sz w:val="72"/>
    </w:rPr>
  </w:style>
  <w:style w:type="character" w:customStyle="1" w:styleId="61">
    <w:name w:val="批注主题 Char"/>
    <w:link w:val="32"/>
    <w:semiHidden/>
    <w:qFormat/>
    <w:uiPriority w:val="0"/>
    <w:rPr>
      <w:rFonts w:ascii="Times New Roman" w:hAnsi="Times New Roman"/>
      <w:b/>
      <w:bCs/>
      <w:szCs w:val="24"/>
    </w:rPr>
  </w:style>
  <w:style w:type="character" w:customStyle="1" w:styleId="62">
    <w:name w:val="页脚 Char1"/>
    <w:semiHidden/>
    <w:qFormat/>
    <w:uiPriority w:val="99"/>
    <w:rPr>
      <w:rFonts w:ascii="Calibri" w:hAnsi="Calibri" w:eastAsia="宋体" w:cs="Times New Roman"/>
      <w:sz w:val="18"/>
      <w:szCs w:val="18"/>
    </w:rPr>
  </w:style>
  <w:style w:type="character" w:customStyle="1" w:styleId="63">
    <w:name w:val="Char Char3"/>
    <w:qFormat/>
    <w:uiPriority w:val="0"/>
    <w:rPr>
      <w:rFonts w:eastAsia="宋体"/>
      <w:kern w:val="2"/>
      <w:sz w:val="21"/>
      <w:szCs w:val="24"/>
      <w:lang w:val="en-US" w:eastAsia="zh-CN" w:bidi="ar-SA"/>
    </w:rPr>
  </w:style>
  <w:style w:type="character" w:customStyle="1" w:styleId="64">
    <w:name w:val="正文文本缩进 Char_0_0"/>
    <w:link w:val="65"/>
    <w:qFormat/>
    <w:uiPriority w:val="0"/>
    <w:rPr>
      <w:rFonts w:ascii="Times New Roman" w:hAnsi="Times New Roman" w:eastAsia="宋体" w:cs="Times New Roman"/>
      <w:sz w:val="24"/>
      <w:szCs w:val="24"/>
    </w:rPr>
  </w:style>
  <w:style w:type="paragraph" w:customStyle="1" w:styleId="65">
    <w:name w:val="正文文本缩进_0_0"/>
    <w:basedOn w:val="66"/>
    <w:link w:val="64"/>
    <w:qFormat/>
    <w:uiPriority w:val="0"/>
    <w:pPr>
      <w:spacing w:line="500" w:lineRule="exact"/>
      <w:ind w:left="1588" w:leftChars="832" w:firstLine="433" w:firstLineChars="196"/>
    </w:pPr>
    <w:rPr>
      <w:kern w:val="0"/>
      <w:sz w:val="24"/>
    </w:rPr>
  </w:style>
  <w:style w:type="paragraph" w:customStyle="1" w:styleId="6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正文文本 Char1_1"/>
    <w:link w:val="68"/>
    <w:qFormat/>
    <w:uiPriority w:val="0"/>
    <w:rPr>
      <w:rFonts w:ascii="Times New Roman" w:hAnsi="Times New Roman" w:eastAsia="宋体" w:cs="Times New Roman"/>
      <w:szCs w:val="24"/>
    </w:rPr>
  </w:style>
  <w:style w:type="paragraph" w:customStyle="1" w:styleId="68">
    <w:name w:val="正文文本_1"/>
    <w:basedOn w:val="69"/>
    <w:link w:val="67"/>
    <w:qFormat/>
    <w:uiPriority w:val="0"/>
    <w:pPr>
      <w:spacing w:after="120"/>
    </w:pPr>
    <w:rPr>
      <w:kern w:val="0"/>
      <w:sz w:val="20"/>
    </w:rPr>
  </w:style>
  <w:style w:type="paragraph" w:customStyle="1" w:styleId="6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正文文本 Char1_1_0"/>
    <w:link w:val="71"/>
    <w:qFormat/>
    <w:uiPriority w:val="0"/>
    <w:rPr>
      <w:rFonts w:ascii="Times New Roman" w:hAnsi="Times New Roman" w:eastAsia="宋体" w:cs="Times New Roman"/>
      <w:szCs w:val="24"/>
    </w:rPr>
  </w:style>
  <w:style w:type="paragraph" w:customStyle="1" w:styleId="71">
    <w:name w:val="正文文本_1_0"/>
    <w:basedOn w:val="72"/>
    <w:link w:val="70"/>
    <w:qFormat/>
    <w:uiPriority w:val="0"/>
    <w:pPr>
      <w:spacing w:after="120"/>
    </w:pPr>
    <w:rPr>
      <w:kern w:val="0"/>
      <w:sz w:val="20"/>
    </w:rPr>
  </w:style>
  <w:style w:type="paragraph" w:customStyle="1" w:styleId="7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3">
    <w:name w:val="批注文字 Char"/>
    <w:qFormat/>
    <w:uiPriority w:val="0"/>
    <w:rPr>
      <w:rFonts w:eastAsia="宋体"/>
      <w:kern w:val="2"/>
      <w:sz w:val="21"/>
      <w:szCs w:val="24"/>
      <w:lang w:val="en-US" w:eastAsia="zh-CN" w:bidi="ar-SA"/>
    </w:rPr>
  </w:style>
  <w:style w:type="character" w:customStyle="1" w:styleId="74">
    <w:name w:val="正文文本缩进 Char_5"/>
    <w:link w:val="75"/>
    <w:qFormat/>
    <w:uiPriority w:val="0"/>
    <w:rPr>
      <w:rFonts w:ascii="Times New Roman" w:hAnsi="Times New Roman" w:eastAsia="宋体" w:cs="Times New Roman"/>
      <w:sz w:val="24"/>
      <w:szCs w:val="24"/>
    </w:rPr>
  </w:style>
  <w:style w:type="paragraph" w:customStyle="1" w:styleId="75">
    <w:name w:val="正文文本缩进_5"/>
    <w:basedOn w:val="76"/>
    <w:link w:val="74"/>
    <w:qFormat/>
    <w:uiPriority w:val="0"/>
    <w:pPr>
      <w:spacing w:line="500" w:lineRule="exact"/>
      <w:ind w:left="1588" w:leftChars="832" w:firstLine="433" w:firstLineChars="196"/>
    </w:pPr>
    <w:rPr>
      <w:kern w:val="0"/>
      <w:sz w:val="24"/>
    </w:rPr>
  </w:style>
  <w:style w:type="paragraph" w:customStyle="1" w:styleId="7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正文文本缩进 Char_0"/>
    <w:link w:val="78"/>
    <w:qFormat/>
    <w:uiPriority w:val="0"/>
    <w:rPr>
      <w:rFonts w:ascii="Times New Roman" w:hAnsi="Times New Roman" w:eastAsia="宋体" w:cs="Times New Roman"/>
      <w:sz w:val="24"/>
      <w:szCs w:val="24"/>
    </w:rPr>
  </w:style>
  <w:style w:type="paragraph" w:customStyle="1" w:styleId="78">
    <w:name w:val="正文文本缩进_0"/>
    <w:basedOn w:val="79"/>
    <w:link w:val="77"/>
    <w:qFormat/>
    <w:uiPriority w:val="0"/>
    <w:pPr>
      <w:spacing w:line="500" w:lineRule="exact"/>
      <w:ind w:left="1588" w:leftChars="832" w:firstLine="433" w:firstLineChars="196"/>
    </w:pPr>
    <w:rPr>
      <w:kern w:val="0"/>
      <w:sz w:val="24"/>
    </w:rPr>
  </w:style>
  <w:style w:type="paragraph" w:customStyle="1" w:styleId="7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标题 3 Char_0_0_0"/>
    <w:link w:val="81"/>
    <w:qFormat/>
    <w:uiPriority w:val="0"/>
    <w:rPr>
      <w:rFonts w:ascii="宋体" w:hAnsi="宋体" w:eastAsia="宋体" w:cs="Times New Roman"/>
      <w:b/>
      <w:sz w:val="28"/>
      <w:szCs w:val="28"/>
    </w:rPr>
  </w:style>
  <w:style w:type="paragraph" w:customStyle="1" w:styleId="81">
    <w:name w:val="标题 3_0_0_0"/>
    <w:basedOn w:val="82"/>
    <w:next w:val="82"/>
    <w:link w:val="80"/>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2">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83">
    <w:name w:val="正文文本缩进 Char1"/>
    <w:semiHidden/>
    <w:qFormat/>
    <w:uiPriority w:val="99"/>
    <w:rPr>
      <w:rFonts w:ascii="Calibri" w:hAnsi="Calibri" w:eastAsia="宋体" w:cs="Times New Roman"/>
    </w:rPr>
  </w:style>
  <w:style w:type="character" w:customStyle="1" w:styleId="84">
    <w:name w:val="标题 3 Char_0"/>
    <w:link w:val="85"/>
    <w:qFormat/>
    <w:uiPriority w:val="0"/>
    <w:rPr>
      <w:rFonts w:ascii="宋体" w:hAnsi="宋体"/>
      <w:b/>
      <w:sz w:val="28"/>
      <w:szCs w:val="28"/>
    </w:rPr>
  </w:style>
  <w:style w:type="paragraph" w:customStyle="1" w:styleId="85">
    <w:name w:val="标题 3_0"/>
    <w:basedOn w:val="86"/>
    <w:next w:val="86"/>
    <w:link w:val="84"/>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6">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87">
    <w:name w:val="纯文本 Char1"/>
    <w:semiHidden/>
    <w:qFormat/>
    <w:uiPriority w:val="99"/>
    <w:rPr>
      <w:rFonts w:ascii="宋体" w:hAnsi="Courier New" w:eastAsia="宋体" w:cs="Courier New"/>
      <w:szCs w:val="21"/>
    </w:rPr>
  </w:style>
  <w:style w:type="character" w:customStyle="1" w:styleId="88">
    <w:name w:val="正文文本缩进 Char_3"/>
    <w:link w:val="89"/>
    <w:qFormat/>
    <w:uiPriority w:val="0"/>
    <w:rPr>
      <w:rFonts w:ascii="Times New Roman" w:hAnsi="Times New Roman" w:eastAsia="宋体" w:cs="Times New Roman"/>
      <w:sz w:val="24"/>
      <w:szCs w:val="24"/>
    </w:rPr>
  </w:style>
  <w:style w:type="paragraph" w:customStyle="1" w:styleId="89">
    <w:name w:val="正文文本缩进_3"/>
    <w:basedOn w:val="90"/>
    <w:link w:val="88"/>
    <w:qFormat/>
    <w:uiPriority w:val="0"/>
    <w:pPr>
      <w:spacing w:line="500" w:lineRule="exact"/>
      <w:ind w:left="1588" w:leftChars="832" w:firstLine="433" w:firstLineChars="196"/>
    </w:pPr>
    <w:rPr>
      <w:kern w:val="0"/>
      <w:sz w:val="24"/>
    </w:rPr>
  </w:style>
  <w:style w:type="paragraph" w:customStyle="1" w:styleId="9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1">
    <w:name w:val="正文文本 Char1_0"/>
    <w:link w:val="92"/>
    <w:qFormat/>
    <w:locked/>
    <w:uiPriority w:val="0"/>
    <w:rPr>
      <w:szCs w:val="24"/>
    </w:rPr>
  </w:style>
  <w:style w:type="paragraph" w:customStyle="1" w:styleId="92">
    <w:name w:val="正文文本_0"/>
    <w:basedOn w:val="93"/>
    <w:link w:val="91"/>
    <w:qFormat/>
    <w:uiPriority w:val="0"/>
    <w:pPr>
      <w:spacing w:after="120"/>
    </w:pPr>
    <w:rPr>
      <w:rFonts w:ascii="Calibri" w:hAnsi="Calibri"/>
      <w:kern w:val="0"/>
      <w:sz w:val="20"/>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正文文本缩进 Char_2"/>
    <w:link w:val="95"/>
    <w:qFormat/>
    <w:uiPriority w:val="0"/>
    <w:rPr>
      <w:rFonts w:ascii="Times New Roman" w:hAnsi="Times New Roman" w:eastAsia="宋体" w:cs="Times New Roman"/>
      <w:sz w:val="24"/>
      <w:szCs w:val="24"/>
    </w:rPr>
  </w:style>
  <w:style w:type="paragraph" w:customStyle="1" w:styleId="95">
    <w:name w:val="正文文本缩进_2"/>
    <w:basedOn w:val="96"/>
    <w:link w:val="94"/>
    <w:qFormat/>
    <w:uiPriority w:val="0"/>
    <w:pPr>
      <w:spacing w:line="500" w:lineRule="exact"/>
      <w:ind w:left="1588" w:leftChars="832" w:firstLine="433" w:firstLineChars="196"/>
    </w:pPr>
    <w:rPr>
      <w:kern w:val="0"/>
      <w:sz w:val="24"/>
    </w:r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日期 Char"/>
    <w:link w:val="98"/>
    <w:qFormat/>
    <w:uiPriority w:val="0"/>
    <w:rPr>
      <w:rFonts w:ascii="Times New Roman" w:hAnsi="Times New Roman" w:eastAsia="宋体" w:cs="Times New Roman"/>
      <w:szCs w:val="24"/>
    </w:rPr>
  </w:style>
  <w:style w:type="paragraph" w:customStyle="1" w:styleId="98">
    <w:name w:val="日期_0"/>
    <w:basedOn w:val="72"/>
    <w:next w:val="72"/>
    <w:link w:val="97"/>
    <w:qFormat/>
    <w:uiPriority w:val="0"/>
    <w:pPr>
      <w:ind w:left="100" w:leftChars="2500"/>
    </w:pPr>
    <w:rPr>
      <w:kern w:val="0"/>
      <w:sz w:val="20"/>
    </w:rPr>
  </w:style>
  <w:style w:type="character" w:customStyle="1" w:styleId="99">
    <w:name w:val="font61"/>
    <w:qFormat/>
    <w:uiPriority w:val="0"/>
    <w:rPr>
      <w:rFonts w:hint="eastAsia" w:ascii="宋体" w:hAnsi="宋体" w:eastAsia="宋体" w:cs="宋体"/>
      <w:color w:val="000000"/>
      <w:sz w:val="16"/>
      <w:szCs w:val="16"/>
      <w:u w:val="none"/>
    </w:rPr>
  </w:style>
  <w:style w:type="character" w:customStyle="1" w:styleId="100">
    <w:name w:val="正文文本 Char1"/>
    <w:semiHidden/>
    <w:qFormat/>
    <w:uiPriority w:val="99"/>
    <w:rPr>
      <w:rFonts w:ascii="Calibri" w:hAnsi="Calibri" w:eastAsia="宋体" w:cs="Times New Roman"/>
    </w:rPr>
  </w:style>
  <w:style w:type="character" w:customStyle="1" w:styleId="101">
    <w:name w:val="正文文本缩进 Char_1"/>
    <w:link w:val="102"/>
    <w:qFormat/>
    <w:uiPriority w:val="0"/>
    <w:rPr>
      <w:rFonts w:ascii="Times New Roman" w:hAnsi="Times New Roman" w:eastAsia="宋体" w:cs="Times New Roman"/>
      <w:sz w:val="24"/>
      <w:szCs w:val="24"/>
    </w:rPr>
  </w:style>
  <w:style w:type="paragraph" w:customStyle="1" w:styleId="102">
    <w:name w:val="正文文本缩进_1"/>
    <w:basedOn w:val="103"/>
    <w:link w:val="101"/>
    <w:qFormat/>
    <w:uiPriority w:val="0"/>
    <w:pPr>
      <w:spacing w:line="500" w:lineRule="exact"/>
      <w:ind w:left="1588" w:leftChars="832" w:firstLine="433" w:firstLineChars="196"/>
    </w:pPr>
    <w:rPr>
      <w:kern w:val="0"/>
      <w:sz w:val="24"/>
    </w:rPr>
  </w:style>
  <w:style w:type="paragraph" w:customStyle="1" w:styleId="10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4">
    <w:name w:val="标题 3 Char_0_1"/>
    <w:link w:val="105"/>
    <w:qFormat/>
    <w:uiPriority w:val="0"/>
    <w:rPr>
      <w:rFonts w:ascii="宋体" w:hAnsi="宋体" w:eastAsia="宋体" w:cs="Times New Roman"/>
      <w:b/>
      <w:sz w:val="28"/>
      <w:szCs w:val="28"/>
    </w:rPr>
  </w:style>
  <w:style w:type="paragraph" w:customStyle="1" w:styleId="105">
    <w:name w:val="标题 3_0_1"/>
    <w:basedOn w:val="106"/>
    <w:next w:val="106"/>
    <w:link w:val="104"/>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6">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107">
    <w:name w:val="正文文本 Char1_0_0"/>
    <w:link w:val="108"/>
    <w:qFormat/>
    <w:uiPriority w:val="0"/>
    <w:rPr>
      <w:rFonts w:ascii="Times New Roman" w:hAnsi="Times New Roman" w:eastAsia="宋体" w:cs="Times New Roman"/>
      <w:szCs w:val="24"/>
    </w:rPr>
  </w:style>
  <w:style w:type="paragraph" w:customStyle="1" w:styleId="108">
    <w:name w:val="正文文本_0_0"/>
    <w:basedOn w:val="66"/>
    <w:link w:val="107"/>
    <w:qFormat/>
    <w:uiPriority w:val="0"/>
    <w:pPr>
      <w:spacing w:after="120"/>
    </w:pPr>
    <w:rPr>
      <w:kern w:val="0"/>
      <w:sz w:val="20"/>
    </w:rPr>
  </w:style>
  <w:style w:type="character" w:customStyle="1" w:styleId="109">
    <w:name w:val="font141"/>
    <w:qFormat/>
    <w:uiPriority w:val="0"/>
    <w:rPr>
      <w:rFonts w:hint="eastAsia" w:ascii="宋体" w:hAnsi="宋体" w:eastAsia="宋体" w:cs="宋体"/>
      <w:color w:val="000000"/>
      <w:sz w:val="16"/>
      <w:szCs w:val="16"/>
      <w:u w:val="none"/>
      <w:vertAlign w:val="superscript"/>
    </w:rPr>
  </w:style>
  <w:style w:type="character" w:customStyle="1" w:styleId="110">
    <w:name w:val="正文文本缩进 Char_4"/>
    <w:link w:val="111"/>
    <w:qFormat/>
    <w:uiPriority w:val="0"/>
    <w:rPr>
      <w:rFonts w:ascii="Times New Roman" w:hAnsi="Times New Roman" w:eastAsia="宋体" w:cs="Times New Roman"/>
      <w:sz w:val="24"/>
      <w:szCs w:val="24"/>
    </w:rPr>
  </w:style>
  <w:style w:type="paragraph" w:customStyle="1" w:styleId="111">
    <w:name w:val="正文文本缩进_4"/>
    <w:basedOn w:val="112"/>
    <w:link w:val="110"/>
    <w:qFormat/>
    <w:uiPriority w:val="0"/>
    <w:pPr>
      <w:spacing w:line="500" w:lineRule="exact"/>
      <w:ind w:left="1588" w:leftChars="832" w:firstLine="433" w:firstLineChars="196"/>
    </w:pPr>
    <w:rPr>
      <w:kern w:val="0"/>
      <w:sz w:val="24"/>
    </w:rPr>
  </w:style>
  <w:style w:type="paragraph" w:customStyle="1" w:styleId="11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3">
    <w:name w:val="Char Char6"/>
    <w:qFormat/>
    <w:uiPriority w:val="0"/>
    <w:rPr>
      <w:rFonts w:eastAsia="宋体"/>
      <w:kern w:val="2"/>
      <w:sz w:val="21"/>
      <w:szCs w:val="24"/>
      <w:lang w:val="en-US" w:eastAsia="zh-CN" w:bidi="ar-SA"/>
    </w:rPr>
  </w:style>
  <w:style w:type="character" w:customStyle="1" w:styleId="114">
    <w:name w:val="正文文本 Char1_2"/>
    <w:link w:val="115"/>
    <w:qFormat/>
    <w:uiPriority w:val="0"/>
    <w:rPr>
      <w:rFonts w:ascii="Times New Roman" w:hAnsi="Times New Roman" w:eastAsia="宋体" w:cs="Times New Roman"/>
      <w:szCs w:val="24"/>
    </w:rPr>
  </w:style>
  <w:style w:type="paragraph" w:customStyle="1" w:styleId="115">
    <w:name w:val="正文文本_2"/>
    <w:basedOn w:val="103"/>
    <w:link w:val="114"/>
    <w:qFormat/>
    <w:uiPriority w:val="0"/>
    <w:pPr>
      <w:spacing w:after="120"/>
    </w:pPr>
    <w:rPr>
      <w:kern w:val="0"/>
      <w:sz w:val="20"/>
    </w:rPr>
  </w:style>
  <w:style w:type="character" w:customStyle="1" w:styleId="116">
    <w:name w:val="font11"/>
    <w:qFormat/>
    <w:uiPriority w:val="0"/>
    <w:rPr>
      <w:rFonts w:hint="eastAsia" w:ascii="宋体" w:hAnsi="宋体" w:eastAsia="宋体" w:cs="宋体"/>
      <w:color w:val="000000"/>
      <w:sz w:val="24"/>
      <w:szCs w:val="24"/>
      <w:u w:val="none"/>
    </w:rPr>
  </w:style>
  <w:style w:type="character" w:customStyle="1" w:styleId="117">
    <w:name w:val="标题 3 Char_0_0"/>
    <w:link w:val="118"/>
    <w:qFormat/>
    <w:uiPriority w:val="0"/>
    <w:rPr>
      <w:rFonts w:ascii="宋体" w:hAnsi="宋体" w:eastAsia="宋体" w:cs="Times New Roman"/>
      <w:b/>
      <w:sz w:val="28"/>
      <w:szCs w:val="28"/>
    </w:rPr>
  </w:style>
  <w:style w:type="paragraph" w:customStyle="1" w:styleId="118">
    <w:name w:val="标题 3_0_0"/>
    <w:basedOn w:val="119"/>
    <w:next w:val="119"/>
    <w:link w:val="117"/>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19">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20">
    <w:name w:val="Normal_6"/>
    <w:qFormat/>
    <w:uiPriority w:val="0"/>
    <w:rPr>
      <w:rFonts w:ascii="黑体" w:hAnsi="黑体" w:eastAsia="黑体" w:cs="Times New Roman"/>
      <w:b/>
      <w:sz w:val="32"/>
      <w:szCs w:val="24"/>
      <w:lang w:val="en-US" w:eastAsia="zh-CN" w:bidi="ar-SA"/>
    </w:rPr>
  </w:style>
  <w:style w:type="paragraph" w:customStyle="1" w:styleId="121">
    <w:name w:val="Normal_10"/>
    <w:qFormat/>
    <w:uiPriority w:val="0"/>
    <w:rPr>
      <w:rFonts w:ascii="黑体" w:hAnsi="黑体" w:eastAsia="黑体" w:cs="Times New Roman"/>
      <w:b/>
      <w:sz w:val="32"/>
      <w:szCs w:val="24"/>
      <w:lang w:val="en-US" w:eastAsia="zh-CN" w:bidi="ar-SA"/>
    </w:rPr>
  </w:style>
  <w:style w:type="paragraph" w:styleId="1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3">
    <w:name w:val="Normal_12"/>
    <w:qFormat/>
    <w:uiPriority w:val="0"/>
    <w:rPr>
      <w:rFonts w:ascii="黑体" w:hAnsi="黑体" w:eastAsia="黑体" w:cs="Times New Roman"/>
      <w:b/>
      <w:sz w:val="32"/>
      <w:szCs w:val="24"/>
      <w:lang w:val="en-US" w:eastAsia="zh-CN" w:bidi="ar-SA"/>
    </w:rPr>
  </w:style>
  <w:style w:type="paragraph" w:customStyle="1" w:styleId="124">
    <w:name w:val="Normal_7"/>
    <w:qFormat/>
    <w:uiPriority w:val="0"/>
    <w:rPr>
      <w:rFonts w:ascii="黑体" w:hAnsi="黑体" w:eastAsia="黑体" w:cs="Times New Roman"/>
      <w:b/>
      <w:sz w:val="32"/>
      <w:szCs w:val="24"/>
      <w:lang w:val="en-US" w:eastAsia="zh-CN" w:bidi="ar-SA"/>
    </w:rPr>
  </w:style>
  <w:style w:type="paragraph" w:customStyle="1" w:styleId="125">
    <w:name w:val="Normal_17"/>
    <w:qFormat/>
    <w:uiPriority w:val="0"/>
    <w:rPr>
      <w:rFonts w:ascii="黑体" w:hAnsi="黑体" w:eastAsia="黑体" w:cs="Times New Roman"/>
      <w:b/>
      <w:sz w:val="32"/>
      <w:szCs w:val="24"/>
      <w:lang w:val="en-US" w:eastAsia="zh-CN" w:bidi="ar-SA"/>
    </w:rPr>
  </w:style>
  <w:style w:type="paragraph" w:customStyle="1" w:styleId="126">
    <w:name w:val="附件正文"/>
    <w:basedOn w:val="1"/>
    <w:qFormat/>
    <w:uiPriority w:val="0"/>
    <w:pPr>
      <w:snapToGrid w:val="0"/>
      <w:spacing w:line="500" w:lineRule="exact"/>
      <w:ind w:firstLine="540" w:firstLineChars="225"/>
    </w:pPr>
    <w:rPr>
      <w:kern w:val="0"/>
      <w:sz w:val="24"/>
    </w:rPr>
  </w:style>
  <w:style w:type="paragraph" w:customStyle="1" w:styleId="127">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8">
    <w:name w:val="Normal_14"/>
    <w:qFormat/>
    <w:uiPriority w:val="0"/>
    <w:rPr>
      <w:rFonts w:ascii="黑体" w:hAnsi="黑体" w:eastAsia="黑体" w:cs="Times New Roman"/>
      <w:b/>
      <w:sz w:val="32"/>
      <w:szCs w:val="24"/>
      <w:lang w:val="en-US" w:eastAsia="zh-CN" w:bidi="ar-SA"/>
    </w:rPr>
  </w:style>
  <w:style w:type="paragraph" w:customStyle="1" w:styleId="129">
    <w:name w:val="Normal_16"/>
    <w:qFormat/>
    <w:uiPriority w:val="0"/>
    <w:rPr>
      <w:rFonts w:ascii="黑体" w:hAnsi="黑体" w:eastAsia="黑体" w:cs="Times New Roman"/>
      <w:b/>
      <w:sz w:val="32"/>
      <w:szCs w:val="24"/>
      <w:lang w:val="en-US" w:eastAsia="zh-CN" w:bidi="ar-SA"/>
    </w:rPr>
  </w:style>
  <w:style w:type="paragraph" w:customStyle="1" w:styleId="130">
    <w:name w:val="Normal_1"/>
    <w:qFormat/>
    <w:uiPriority w:val="0"/>
    <w:rPr>
      <w:rFonts w:ascii="黑体" w:hAnsi="黑体" w:eastAsia="黑体" w:cs="Times New Roman"/>
      <w:b/>
      <w:sz w:val="32"/>
      <w:szCs w:val="24"/>
      <w:lang w:val="en-US" w:eastAsia="zh-CN" w:bidi="ar-SA"/>
    </w:rPr>
  </w:style>
  <w:style w:type="paragraph" w:styleId="131">
    <w:name w:val="List Paragraph"/>
    <w:basedOn w:val="1"/>
    <w:qFormat/>
    <w:uiPriority w:val="34"/>
    <w:pPr>
      <w:ind w:firstLine="420" w:firstLineChars="200"/>
    </w:pPr>
  </w:style>
  <w:style w:type="paragraph" w:customStyle="1" w:styleId="132">
    <w:name w:val="Char Char Char Char Char Char"/>
    <w:basedOn w:val="15"/>
    <w:qFormat/>
    <w:uiPriority w:val="0"/>
    <w:rPr>
      <w:rFonts w:ascii="Tahoma" w:hAnsi="Tahoma"/>
      <w:sz w:val="24"/>
    </w:rPr>
  </w:style>
  <w:style w:type="paragraph" w:customStyle="1" w:styleId="133">
    <w:name w:val="题注_0_0"/>
    <w:basedOn w:val="76"/>
    <w:next w:val="76"/>
    <w:qFormat/>
    <w:uiPriority w:val="0"/>
    <w:pPr>
      <w:spacing w:before="152" w:after="160"/>
    </w:pPr>
    <w:rPr>
      <w:rFonts w:ascii="Arial" w:hAnsi="Arial" w:eastAsia="黑体"/>
      <w:sz w:val="20"/>
      <w:szCs w:val="20"/>
    </w:rPr>
  </w:style>
  <w:style w:type="paragraph" w:customStyle="1" w:styleId="134">
    <w:name w:val="Normal_18"/>
    <w:qFormat/>
    <w:uiPriority w:val="0"/>
    <w:rPr>
      <w:rFonts w:ascii="黑体" w:hAnsi="黑体" w:eastAsia="黑体" w:cs="Times New Roman"/>
      <w:b/>
      <w:sz w:val="32"/>
      <w:szCs w:val="24"/>
      <w:lang w:val="en-US" w:eastAsia="zh-CN" w:bidi="ar-SA"/>
    </w:rPr>
  </w:style>
  <w:style w:type="paragraph" w:customStyle="1" w:styleId="135">
    <w:name w:val="Normal_3"/>
    <w:qFormat/>
    <w:uiPriority w:val="0"/>
    <w:rPr>
      <w:rFonts w:ascii="黑体" w:hAnsi="黑体" w:eastAsia="黑体" w:cs="Times New Roman"/>
      <w:b/>
      <w:sz w:val="32"/>
      <w:szCs w:val="24"/>
      <w:lang w:val="en-US" w:eastAsia="zh-CN" w:bidi="ar-SA"/>
    </w:rPr>
  </w:style>
  <w:style w:type="paragraph" w:customStyle="1" w:styleId="136">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列出段落2"/>
    <w:basedOn w:val="1"/>
    <w:qFormat/>
    <w:uiPriority w:val="34"/>
    <w:pPr>
      <w:ind w:firstLine="420" w:firstLineChars="200"/>
    </w:pPr>
  </w:style>
  <w:style w:type="paragraph" w:customStyle="1" w:styleId="138">
    <w:name w:val="题注_0"/>
    <w:basedOn w:val="112"/>
    <w:next w:val="112"/>
    <w:qFormat/>
    <w:uiPriority w:val="0"/>
    <w:pPr>
      <w:spacing w:before="152" w:after="160"/>
    </w:pPr>
    <w:rPr>
      <w:rFonts w:ascii="Arial" w:hAnsi="Arial" w:eastAsia="黑体"/>
      <w:sz w:val="20"/>
      <w:szCs w:val="20"/>
    </w:rPr>
  </w:style>
  <w:style w:type="paragraph" w:customStyle="1" w:styleId="139">
    <w:name w:val="正文文本缩进1"/>
    <w:basedOn w:val="1"/>
    <w:qFormat/>
    <w:uiPriority w:val="0"/>
    <w:pPr>
      <w:ind w:firstLine="630"/>
    </w:pPr>
    <w:rPr>
      <w:rFonts w:eastAsia="楷体_GB2312"/>
      <w:kern w:val="0"/>
      <w:sz w:val="30"/>
      <w:szCs w:val="20"/>
    </w:rPr>
  </w:style>
  <w:style w:type="paragraph" w:customStyle="1" w:styleId="140">
    <w:name w:val="正文 A"/>
    <w:qFormat/>
    <w:uiPriority w:val="0"/>
    <w:pPr>
      <w:widowControl w:val="0"/>
      <w:spacing w:line="360" w:lineRule="auto"/>
      <w:ind w:firstLine="200"/>
      <w:jc w:val="both"/>
    </w:pPr>
    <w:rPr>
      <w:rFonts w:ascii="宋体" w:hAnsi="宋体" w:eastAsia="宋体" w:cs="宋体"/>
      <w:color w:val="000000"/>
      <w:kern w:val="2"/>
      <w:sz w:val="28"/>
      <w:szCs w:val="28"/>
      <w:u w:color="000000"/>
      <w:lang w:val="en-US" w:eastAsia="zh-CN" w:bidi="ar-SA"/>
    </w:rPr>
  </w:style>
  <w:style w:type="paragraph" w:customStyle="1" w:styleId="141">
    <w:name w:val="Normal_9"/>
    <w:qFormat/>
    <w:uiPriority w:val="0"/>
    <w:rPr>
      <w:rFonts w:ascii="黑体" w:hAnsi="黑体" w:eastAsia="黑体" w:cs="Times New Roman"/>
      <w:b/>
      <w:sz w:val="32"/>
      <w:szCs w:val="24"/>
      <w:lang w:val="en-US" w:eastAsia="zh-CN" w:bidi="ar-SA"/>
    </w:rPr>
  </w:style>
  <w:style w:type="paragraph" w:customStyle="1" w:styleId="14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Normal_8"/>
    <w:qFormat/>
    <w:uiPriority w:val="0"/>
    <w:rPr>
      <w:rFonts w:ascii="黑体" w:hAnsi="黑体" w:eastAsia="黑体" w:cs="Times New Roman"/>
      <w:b/>
      <w:sz w:val="32"/>
      <w:szCs w:val="24"/>
      <w:lang w:val="en-US" w:eastAsia="zh-CN" w:bidi="ar-SA"/>
    </w:rPr>
  </w:style>
  <w:style w:type="paragraph" w:customStyle="1" w:styleId="144">
    <w:name w:val="Char Char Char"/>
    <w:basedOn w:val="1"/>
    <w:qFormat/>
    <w:uiPriority w:val="0"/>
    <w:pPr>
      <w:widowControl/>
      <w:spacing w:after="160" w:line="240" w:lineRule="exact"/>
      <w:jc w:val="left"/>
    </w:pPr>
  </w:style>
  <w:style w:type="paragraph" w:customStyle="1" w:styleId="145">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4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样式 标题 2 + 宋体 五号 非加粗 黑色"/>
    <w:basedOn w:val="4"/>
    <w:qFormat/>
    <w:uiPriority w:val="0"/>
    <w:rPr>
      <w:rFonts w:ascii="宋体" w:hAnsi="宋体" w:eastAsia="宋体"/>
      <w:b w:val="0"/>
      <w:bCs w:val="0"/>
      <w:color w:val="000000"/>
      <w:sz w:val="21"/>
    </w:rPr>
  </w:style>
  <w:style w:type="paragraph" w:customStyle="1" w:styleId="148">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9">
    <w:name w:val="Normal_2"/>
    <w:qFormat/>
    <w:uiPriority w:val="0"/>
    <w:rPr>
      <w:rFonts w:ascii="黑体" w:hAnsi="黑体" w:eastAsia="黑体" w:cs="Times New Roman"/>
      <w:b/>
      <w:sz w:val="32"/>
      <w:szCs w:val="24"/>
      <w:lang w:val="en-US" w:eastAsia="zh-CN" w:bidi="ar-SA"/>
    </w:rPr>
  </w:style>
  <w:style w:type="paragraph" w:customStyle="1" w:styleId="150">
    <w:name w:val="Char"/>
    <w:basedOn w:val="1"/>
    <w:qFormat/>
    <w:uiPriority w:val="0"/>
    <w:pPr>
      <w:tabs>
        <w:tab w:val="left" w:pos="432"/>
      </w:tabs>
      <w:spacing w:before="156" w:beforeLines="50" w:after="156" w:afterLines="50"/>
      <w:ind w:left="432" w:hanging="432"/>
    </w:pPr>
  </w:style>
  <w:style w:type="paragraph" w:customStyle="1" w:styleId="151">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52">
    <w:name w:val="Normal_15"/>
    <w:qFormat/>
    <w:uiPriority w:val="0"/>
    <w:rPr>
      <w:rFonts w:ascii="黑体" w:hAnsi="黑体" w:eastAsia="黑体" w:cs="Times New Roman"/>
      <w:b/>
      <w:sz w:val="32"/>
      <w:szCs w:val="24"/>
      <w:lang w:val="en-US" w:eastAsia="zh-CN" w:bidi="ar-SA"/>
    </w:rPr>
  </w:style>
  <w:style w:type="paragraph" w:customStyle="1" w:styleId="153">
    <w:name w:val="Char1"/>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54">
    <w:name w:val="Normal_4"/>
    <w:qFormat/>
    <w:uiPriority w:val="0"/>
    <w:rPr>
      <w:rFonts w:ascii="黑体" w:hAnsi="黑体" w:eastAsia="黑体" w:cs="Times New Roman"/>
      <w:b/>
      <w:sz w:val="32"/>
      <w:szCs w:val="24"/>
      <w:lang w:val="en-US" w:eastAsia="zh-CN" w:bidi="ar-SA"/>
    </w:rPr>
  </w:style>
  <w:style w:type="paragraph" w:customStyle="1" w:styleId="155">
    <w:name w:val="列表段落"/>
    <w:basedOn w:val="1"/>
    <w:qFormat/>
    <w:uiPriority w:val="34"/>
    <w:pPr>
      <w:ind w:firstLine="420" w:firstLineChars="200"/>
    </w:pPr>
    <w:rPr>
      <w:szCs w:val="24"/>
    </w:rPr>
  </w:style>
  <w:style w:type="paragraph" w:customStyle="1" w:styleId="1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9">
    <w:name w:val="È±Ê¡ÎÄ±¾"/>
    <w:basedOn w:val="1"/>
    <w:qFormat/>
    <w:uiPriority w:val="0"/>
    <w:pPr>
      <w:widowControl/>
      <w:overflowPunct w:val="0"/>
      <w:autoSpaceDE w:val="0"/>
      <w:autoSpaceDN w:val="0"/>
      <w:adjustRightInd w:val="0"/>
      <w:jc w:val="left"/>
    </w:pPr>
    <w:rPr>
      <w:kern w:val="0"/>
      <w:sz w:val="24"/>
    </w:rPr>
  </w:style>
  <w:style w:type="paragraph" w:customStyle="1" w:styleId="16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Normal_19"/>
    <w:qFormat/>
    <w:uiPriority w:val="0"/>
    <w:rPr>
      <w:rFonts w:ascii="黑体" w:hAnsi="黑体" w:eastAsia="黑体" w:cs="Times New Roman"/>
      <w:b/>
      <w:sz w:val="32"/>
      <w:szCs w:val="24"/>
      <w:lang w:val="en-US" w:eastAsia="zh-CN" w:bidi="ar-SA"/>
    </w:rPr>
  </w:style>
  <w:style w:type="paragraph" w:customStyle="1" w:styleId="162">
    <w:name w:val="_Style 161"/>
    <w:basedOn w:val="3"/>
    <w:next w:val="1"/>
    <w:qFormat/>
    <w:uiPriority w:val="3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163">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64">
    <w:name w:val="默认段落字体 Para Char Char Char Char Char Char Char Char Char Char Char Char Char Char Char Char"/>
    <w:basedOn w:val="1"/>
    <w:qFormat/>
    <w:uiPriority w:val="0"/>
    <w:rPr>
      <w:rFonts w:ascii="Tahoma" w:hAnsi="Tahoma"/>
      <w:sz w:val="24"/>
      <w:szCs w:val="20"/>
    </w:rPr>
  </w:style>
  <w:style w:type="paragraph" w:customStyle="1" w:styleId="16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样式 标题 4 + 段前: 5 磅 段后: 5 磅 行距: 单倍行距"/>
    <w:basedOn w:val="6"/>
    <w:qFormat/>
    <w:uiPriority w:val="0"/>
    <w:pPr>
      <w:spacing w:before="100" w:after="100" w:line="240" w:lineRule="auto"/>
    </w:pPr>
    <w:rPr>
      <w:rFonts w:cs="宋体"/>
      <w:szCs w:val="20"/>
    </w:rPr>
  </w:style>
  <w:style w:type="paragraph" w:customStyle="1" w:styleId="167">
    <w:name w:val="正文1"/>
    <w:qFormat/>
    <w:uiPriority w:val="0"/>
    <w:rPr>
      <w:rFonts w:ascii="Times New Roman" w:hAnsi="Times New Roman" w:eastAsia="Times New Roman" w:cs="Times New Roman"/>
      <w:sz w:val="24"/>
      <w:szCs w:val="24"/>
      <w:lang w:val="en-US" w:eastAsia="zh-CN" w:bidi="ar-SA"/>
    </w:rPr>
  </w:style>
  <w:style w:type="paragraph" w:customStyle="1" w:styleId="168">
    <w:name w:val="Normal_13"/>
    <w:qFormat/>
    <w:uiPriority w:val="0"/>
    <w:rPr>
      <w:rFonts w:ascii="黑体" w:hAnsi="黑体" w:eastAsia="黑体" w:cs="Times New Roman"/>
      <w:b/>
      <w:sz w:val="32"/>
      <w:szCs w:val="24"/>
      <w:lang w:val="en-US" w:eastAsia="zh-CN" w:bidi="ar-SA"/>
    </w:rPr>
  </w:style>
  <w:style w:type="paragraph" w:customStyle="1" w:styleId="169">
    <w:name w:val="Normal_0"/>
    <w:qFormat/>
    <w:uiPriority w:val="0"/>
    <w:rPr>
      <w:rFonts w:ascii="黑体" w:hAnsi="黑体" w:eastAsia="黑体" w:cs="Times New Roman"/>
      <w:b/>
      <w:sz w:val="32"/>
      <w:szCs w:val="24"/>
      <w:lang w:val="en-US" w:eastAsia="zh-CN" w:bidi="ar-SA"/>
    </w:rPr>
  </w:style>
  <w:style w:type="paragraph" w:customStyle="1" w:styleId="170">
    <w:name w:val="Normal_5"/>
    <w:qFormat/>
    <w:uiPriority w:val="0"/>
    <w:rPr>
      <w:rFonts w:ascii="黑体" w:hAnsi="黑体" w:eastAsia="黑体" w:cs="Times New Roman"/>
      <w:b/>
      <w:sz w:val="32"/>
      <w:szCs w:val="24"/>
      <w:lang w:val="en-US" w:eastAsia="zh-CN" w:bidi="ar-SA"/>
    </w:rPr>
  </w:style>
  <w:style w:type="paragraph" w:customStyle="1" w:styleId="17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2">
    <w:name w:val="Normal_11"/>
    <w:qFormat/>
    <w:uiPriority w:val="0"/>
    <w:rPr>
      <w:rFonts w:ascii="黑体" w:hAnsi="黑体" w:eastAsia="黑体" w:cs="Times New Roman"/>
      <w:b/>
      <w:sz w:val="32"/>
      <w:szCs w:val="24"/>
      <w:lang w:val="en-US" w:eastAsia="zh-CN" w:bidi="ar-SA"/>
    </w:rPr>
  </w:style>
  <w:style w:type="character" w:customStyle="1" w:styleId="173">
    <w:name w:val="font21"/>
    <w:qFormat/>
    <w:uiPriority w:val="0"/>
    <w:rPr>
      <w:rFonts w:hint="eastAsia" w:ascii="宋体" w:hAnsi="宋体" w:eastAsia="宋体" w:cs="宋体"/>
      <w:color w:val="000000"/>
      <w:sz w:val="20"/>
      <w:szCs w:val="20"/>
      <w:u w:val="none"/>
    </w:rPr>
  </w:style>
  <w:style w:type="character" w:customStyle="1" w:styleId="174">
    <w:name w:val="font01"/>
    <w:qFormat/>
    <w:uiPriority w:val="0"/>
    <w:rPr>
      <w:rFonts w:hint="eastAsia" w:ascii="宋体" w:hAnsi="宋体" w:eastAsia="宋体" w:cs="宋体"/>
      <w:color w:val="000000"/>
      <w:sz w:val="22"/>
      <w:szCs w:val="22"/>
      <w:u w:val="none"/>
    </w:rPr>
  </w:style>
  <w:style w:type="character" w:customStyle="1" w:styleId="175">
    <w:name w:val="param-name"/>
    <w:qFormat/>
    <w:uiPriority w:val="0"/>
  </w:style>
  <w:style w:type="paragraph" w:customStyle="1" w:styleId="176">
    <w:name w:val="表格样式"/>
    <w:basedOn w:val="1"/>
    <w:qFormat/>
    <w:uiPriority w:val="0"/>
    <w:pPr>
      <w:adjustRightInd w:val="0"/>
      <w:snapToGrid w:val="0"/>
      <w:spacing w:before="60" w:after="60" w:line="240" w:lineRule="auto"/>
      <w:ind w:firstLine="0" w:firstLineChars="0"/>
      <w:jc w:val="center"/>
    </w:pPr>
    <w:rPr>
      <w:rFonts w:ascii="Times New Roman" w:hAnsi="Times New Roman" w:eastAsia="微软雅黑"/>
      <w:kern w:val="21"/>
      <w:sz w:val="21"/>
    </w:rPr>
  </w:style>
  <w:style w:type="paragraph" w:customStyle="1" w:styleId="177">
    <w:name w:val="小标题"/>
    <w:basedOn w:val="1"/>
    <w:qFormat/>
    <w:uiPriority w:val="0"/>
    <w:pPr>
      <w:numPr>
        <w:ilvl w:val="0"/>
        <w:numId w:val="2"/>
      </w:numPr>
      <w:tabs>
        <w:tab w:val="left" w:pos="576"/>
      </w:tabs>
      <w:spacing w:before="150" w:beforeLines="150" w:after="50" w:afterLines="50" w:line="240" w:lineRule="auto"/>
      <w:ind w:left="0" w:firstLine="0" w:firstLineChars="0"/>
      <w:jc w:val="left"/>
    </w:pPr>
    <w:rPr>
      <w:rFonts w:ascii="Times New Roman" w:hAnsi="Times New Roman" w:eastAsia="宋体"/>
      <w:b/>
    </w:rPr>
  </w:style>
  <w:style w:type="character" w:customStyle="1" w:styleId="178">
    <w:name w:val="font31"/>
    <w:basedOn w:val="3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36177</Words>
  <Characters>39339</Characters>
  <Lines>235</Lines>
  <Paragraphs>66</Paragraphs>
  <TotalTime>20</TotalTime>
  <ScaleCrop>false</ScaleCrop>
  <LinksUpToDate>false</LinksUpToDate>
  <CharactersWithSpaces>41376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2019-07-30T08:34:00Z</dcterms:created>
  <dc:creator>Administrator</dc:creator>
  <cp:lastModifiedBy>Rock狗蛋</cp:lastModifiedBy>
  <cp:lastPrinted>2021-12-12T09:49:00Z</cp:lastPrinted>
  <dcterms:modified xsi:type="dcterms:W3CDTF">2022-05-12T08:20:39Z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94EF3B73439F42D7A96C7B69BEADF38E</vt:lpwstr>
  </property>
</Properties>
</file>